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b/>
          <w:color w:val="auto"/>
          <w:sz w:val="28"/>
          <w:szCs w:val="28"/>
          <w:highlight w:val="none"/>
          <w:lang w:eastAsia="zh-CN"/>
        </w:rPr>
        <w:t>项目编号</w:t>
      </w:r>
      <w:r>
        <w:rPr>
          <w:rFonts w:hint="eastAsia" w:ascii="宋体" w:hAnsi="宋体" w:eastAsia="宋体" w:cs="宋体"/>
          <w:b/>
          <w:color w:val="auto"/>
          <w:sz w:val="28"/>
          <w:szCs w:val="28"/>
          <w:highlight w:val="none"/>
        </w:rPr>
        <w:t>：</w:t>
      </w:r>
      <w:r>
        <w:rPr>
          <w:rFonts w:hint="eastAsia" w:cs="宋体"/>
          <w:b/>
          <w:bCs/>
          <w:strike w:val="0"/>
          <w:dstrike w:val="0"/>
          <w:color w:val="auto"/>
          <w:sz w:val="28"/>
          <w:szCs w:val="28"/>
          <w:highlight w:val="none"/>
          <w:u w:val="single"/>
          <w:lang w:eastAsia="zh-CN"/>
        </w:rPr>
        <w:t>510101202101317</w:t>
      </w:r>
    </w:p>
    <w:p>
      <w:pPr>
        <w:spacing w:line="360" w:lineRule="auto"/>
        <w:jc w:val="left"/>
        <w:rPr>
          <w:rFonts w:hint="eastAsia" w:ascii="宋体" w:hAnsi="宋体" w:eastAsia="宋体" w:cs="宋体"/>
          <w:b/>
          <w:color w:val="auto"/>
          <w:sz w:val="48"/>
          <w:szCs w:val="48"/>
          <w:highlight w:val="none"/>
        </w:rPr>
      </w:pPr>
    </w:p>
    <w:p>
      <w:pPr>
        <w:pStyle w:val="46"/>
        <w:jc w:val="both"/>
        <w:rPr>
          <w:rFonts w:hint="eastAsia" w:ascii="宋体" w:hAnsi="宋体" w:eastAsia="宋体" w:cs="宋体"/>
          <w:b/>
          <w:bCs w:val="0"/>
          <w:color w:val="auto"/>
          <w:sz w:val="48"/>
          <w:szCs w:val="48"/>
          <w:highlight w:val="none"/>
          <w:lang w:eastAsia="zh-CN"/>
        </w:rPr>
      </w:pPr>
    </w:p>
    <w:p>
      <w:pPr>
        <w:pStyle w:val="46"/>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hAnsi="宋体" w:cs="宋体"/>
          <w:b/>
          <w:bCs w:val="0"/>
          <w:color w:val="auto"/>
          <w:sz w:val="48"/>
          <w:szCs w:val="48"/>
          <w:highlight w:val="none"/>
          <w:lang w:eastAsia="zh-CN"/>
        </w:rPr>
      </w:pPr>
      <w:r>
        <w:rPr>
          <w:rFonts w:hint="eastAsia" w:hAnsi="宋体" w:cs="宋体"/>
          <w:b/>
          <w:bCs w:val="0"/>
          <w:color w:val="auto"/>
          <w:sz w:val="48"/>
          <w:szCs w:val="48"/>
          <w:highlight w:val="none"/>
          <w:lang w:eastAsia="zh-CN"/>
        </w:rPr>
        <w:t>成都动物园（成都市野生动物研究所）</w:t>
      </w:r>
    </w:p>
    <w:p>
      <w:pPr>
        <w:pStyle w:val="46"/>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宋体" w:hAnsi="宋体" w:eastAsia="宋体" w:cs="宋体"/>
          <w:color w:val="auto"/>
          <w:spacing w:val="-20"/>
          <w:sz w:val="24"/>
          <w:szCs w:val="24"/>
          <w:highlight w:val="none"/>
        </w:rPr>
      </w:pPr>
      <w:r>
        <w:rPr>
          <w:rFonts w:hint="eastAsia" w:hAnsi="宋体" w:cs="宋体"/>
          <w:b/>
          <w:bCs w:val="0"/>
          <w:color w:val="auto"/>
          <w:sz w:val="48"/>
          <w:szCs w:val="48"/>
          <w:highlight w:val="none"/>
          <w:lang w:eastAsia="zh-CN"/>
        </w:rPr>
        <w:t>农副食品、动、植物油制品配送（第二次）</w:t>
      </w:r>
    </w:p>
    <w:p>
      <w:pPr>
        <w:pStyle w:val="46"/>
        <w:jc w:val="center"/>
        <w:rPr>
          <w:rFonts w:hint="eastAsia" w:ascii="宋体" w:hAnsi="宋体" w:eastAsia="宋体" w:cs="宋体"/>
          <w:b/>
          <w:bCs w:val="0"/>
          <w:color w:val="auto"/>
          <w:sz w:val="84"/>
          <w:szCs w:val="84"/>
          <w:highlight w:val="none"/>
          <w:lang w:eastAsia="zh-CN"/>
        </w:rPr>
      </w:pPr>
    </w:p>
    <w:p>
      <w:pPr>
        <w:pStyle w:val="46"/>
        <w:jc w:val="center"/>
        <w:rPr>
          <w:rFonts w:hint="eastAsia" w:ascii="宋体" w:hAnsi="宋体" w:eastAsia="宋体" w:cs="宋体"/>
          <w:b/>
          <w:bCs w:val="0"/>
          <w:color w:val="auto"/>
          <w:sz w:val="84"/>
          <w:szCs w:val="84"/>
          <w:highlight w:val="none"/>
          <w:lang w:eastAsia="zh-CN"/>
        </w:rPr>
      </w:pPr>
    </w:p>
    <w:p>
      <w:pPr>
        <w:pStyle w:val="46"/>
        <w:jc w:val="center"/>
        <w:rPr>
          <w:rFonts w:hint="eastAsia" w:ascii="宋体" w:hAnsi="宋体" w:eastAsia="宋体" w:cs="宋体"/>
          <w:b/>
          <w:bCs w:val="0"/>
          <w:color w:val="auto"/>
          <w:sz w:val="84"/>
          <w:szCs w:val="84"/>
          <w:highlight w:val="none"/>
          <w:lang w:eastAsia="zh-CN"/>
        </w:rPr>
      </w:pPr>
      <w:r>
        <w:rPr>
          <w:rFonts w:hint="eastAsia" w:ascii="宋体" w:hAnsi="宋体" w:eastAsia="宋体" w:cs="宋体"/>
          <w:b/>
          <w:bCs w:val="0"/>
          <w:color w:val="auto"/>
          <w:sz w:val="84"/>
          <w:szCs w:val="84"/>
          <w:highlight w:val="none"/>
          <w:lang w:eastAsia="zh-CN"/>
        </w:rPr>
        <w:t>竞争性磋商文件</w:t>
      </w:r>
    </w:p>
    <w:p>
      <w:pPr>
        <w:pStyle w:val="46"/>
        <w:jc w:val="center"/>
        <w:rPr>
          <w:rFonts w:hint="eastAsia" w:ascii="宋体" w:hAnsi="宋体" w:eastAsia="宋体" w:cs="宋体"/>
          <w:color w:val="auto"/>
          <w:sz w:val="84"/>
          <w:szCs w:val="84"/>
          <w:highlight w:val="none"/>
        </w:rPr>
      </w:pPr>
    </w:p>
    <w:p>
      <w:pPr>
        <w:pStyle w:val="12"/>
        <w:rPr>
          <w:rFonts w:hint="eastAsia"/>
          <w:color w:val="auto"/>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采购人：</w:t>
      </w:r>
      <w:r>
        <w:rPr>
          <w:rFonts w:hint="eastAsia" w:cs="宋体"/>
          <w:b/>
          <w:bCs w:val="0"/>
          <w:color w:val="auto"/>
          <w:sz w:val="28"/>
          <w:szCs w:val="28"/>
          <w:highlight w:val="none"/>
          <w:u w:val="single"/>
          <w:lang w:eastAsia="zh-CN"/>
        </w:rPr>
        <w:t>成都动物园（成都市野生动物研究所）</w:t>
      </w:r>
      <w:r>
        <w:rPr>
          <w:rFonts w:hint="eastAsia" w:ascii="宋体" w:hAnsi="宋体" w:eastAsia="宋体" w:cs="宋体"/>
          <w:b/>
          <w:bCs w:val="0"/>
          <w:color w:val="auto"/>
          <w:sz w:val="28"/>
          <w:szCs w:val="28"/>
          <w:highlight w:val="none"/>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采购代理机构：</w:t>
      </w:r>
      <w:r>
        <w:rPr>
          <w:rFonts w:hint="eastAsia" w:ascii="宋体" w:hAnsi="宋体" w:eastAsia="宋体" w:cs="宋体"/>
          <w:b/>
          <w:bCs w:val="0"/>
          <w:color w:val="auto"/>
          <w:sz w:val="28"/>
          <w:szCs w:val="28"/>
          <w:highlight w:val="none"/>
          <w:u w:val="single"/>
        </w:rPr>
        <w:t>四川天力招标有限责任公司</w:t>
      </w:r>
      <w:r>
        <w:rPr>
          <w:rFonts w:hint="eastAsia" w:ascii="宋体" w:hAnsi="宋体" w:eastAsia="宋体" w:cs="宋体"/>
          <w:b/>
          <w:bCs w:val="0"/>
          <w:color w:val="auto"/>
          <w:sz w:val="28"/>
          <w:szCs w:val="28"/>
          <w:highlight w:val="none"/>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共同编制</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中国·四川（成都）</w:t>
      </w:r>
    </w:p>
    <w:p>
      <w:pPr>
        <w:keepNext w:val="0"/>
        <w:keepLines w:val="0"/>
        <w:pageBreakBefore w:val="0"/>
        <w:kinsoku/>
        <w:wordWrap/>
        <w:overflowPunct/>
        <w:topLinePunct w:val="0"/>
        <w:autoSpaceDE/>
        <w:autoSpaceDN/>
        <w:bidi w:val="0"/>
        <w:spacing w:before="0" w:beforeLines="0" w:after="0" w:afterLines="0" w:line="480" w:lineRule="auto"/>
        <w:ind w:left="0" w:leftChars="0" w:right="0" w:rightChars="0" w:firstLine="0" w:firstLineChars="0"/>
        <w:jc w:val="center"/>
        <w:textAlignment w:val="auto"/>
        <w:rPr>
          <w:color w:val="auto"/>
          <w:highlight w:val="none"/>
        </w:rPr>
      </w:pPr>
      <w:bookmarkStart w:id="0" w:name="_Hlt101843627"/>
      <w:bookmarkEnd w:id="0"/>
      <w:bookmarkStart w:id="1" w:name="_Hlt101233737"/>
      <w:bookmarkEnd w:id="1"/>
      <w:r>
        <w:rPr>
          <w:rFonts w:hint="eastAsia" w:ascii="宋体" w:hAnsi="宋体" w:eastAsia="宋体" w:cs="宋体"/>
          <w:b/>
          <w:bCs w:val="0"/>
          <w:color w:val="auto"/>
          <w:sz w:val="28"/>
          <w:szCs w:val="28"/>
          <w:highlight w:val="none"/>
        </w:rPr>
        <w:t>202</w:t>
      </w:r>
      <w:r>
        <w:rPr>
          <w:rFonts w:hint="eastAsia"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年</w:t>
      </w:r>
      <w:r>
        <w:rPr>
          <w:rFonts w:hint="eastAsia" w:cs="宋体"/>
          <w:b/>
          <w:bCs w:val="0"/>
          <w:color w:val="auto"/>
          <w:sz w:val="28"/>
          <w:szCs w:val="28"/>
          <w:highlight w:val="none"/>
          <w:lang w:val="en-US" w:eastAsia="zh-CN"/>
        </w:rPr>
        <w:t>10</w:t>
      </w:r>
      <w:r>
        <w:rPr>
          <w:rFonts w:hint="eastAsia" w:ascii="宋体" w:hAnsi="宋体" w:eastAsia="宋体" w:cs="宋体"/>
          <w:b/>
          <w:bCs w:val="0"/>
          <w:color w:val="auto"/>
          <w:sz w:val="28"/>
          <w:szCs w:val="28"/>
          <w:highlight w:val="none"/>
        </w:rPr>
        <w:t>月</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color w:val="auto"/>
          <w:sz w:val="30"/>
          <w:szCs w:val="30"/>
          <w:highlight w:val="none"/>
          <w:lang w:val="en-US" w:eastAsia="zh-CN" w:bidi="ar-SA"/>
        </w:rPr>
        <w:sectPr>
          <w:headerReference r:id="rId5" w:type="default"/>
          <w:pgSz w:w="11850" w:h="16783"/>
          <w:pgMar w:top="1134" w:right="1274" w:bottom="1440" w:left="1418" w:header="851" w:footer="992" w:gutter="0"/>
          <w:pgNumType w:fmt="decimal" w:start="1"/>
          <w:cols w:space="720" w:num="1"/>
          <w:titlePg/>
          <w:docGrid w:type="lines" w:linePitch="312" w:charSpace="0"/>
        </w:sectPr>
      </w:pPr>
    </w:p>
    <w:sdt>
      <w:sdtPr>
        <w:rPr>
          <w:rFonts w:hint="eastAsia" w:ascii="宋体" w:hAnsi="宋体" w:eastAsia="宋体" w:cs="宋体"/>
          <w:b/>
          <w:bCs/>
          <w:color w:val="auto"/>
          <w:sz w:val="30"/>
          <w:szCs w:val="30"/>
          <w:highlight w:val="none"/>
          <w:lang w:val="en-US" w:eastAsia="zh-CN" w:bidi="ar-SA"/>
        </w:rPr>
        <w:id w:val="147477019"/>
        <w15:color w:val="DBDBDB"/>
        <w:docPartObj>
          <w:docPartGallery w:val="Table of Contents"/>
          <w:docPartUnique/>
        </w:docPartObj>
      </w:sdtPr>
      <w:sdtEndPr>
        <w:rPr>
          <w:rFonts w:hint="eastAsia" w:ascii="宋体" w:hAnsi="宋体" w:eastAsia="宋体" w:cs="宋体"/>
          <w:b/>
          <w:bCs/>
          <w:color w:val="auto"/>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color w:val="auto"/>
              <w:sz w:val="30"/>
              <w:szCs w:val="30"/>
              <w:highlight w:val="none"/>
            </w:rPr>
          </w:pPr>
          <w:bookmarkStart w:id="2" w:name="_Toc32544"/>
          <w:bookmarkStart w:id="3" w:name="_Toc181610856"/>
          <w:bookmarkStart w:id="4" w:name="_Toc181591102"/>
          <w:bookmarkStart w:id="5" w:name="_Toc204575871"/>
          <w:bookmarkStart w:id="6" w:name="_Toc13321"/>
          <w:bookmarkStart w:id="7" w:name="_Toc101328520"/>
          <w:bookmarkStart w:id="8" w:name="_Toc101247312"/>
          <w:bookmarkStart w:id="9" w:name="_Toc101234248"/>
          <w:bookmarkStart w:id="10" w:name="_Toc148505181"/>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_Toc1531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_Toc27352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第二章 磋商须知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_Toc27352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_Toc30087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第三章 供应商资格条件要求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_Toc24154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第四章 供应商资格证明材料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_Toc11057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第五章 采购项目技术服务、商务及其他要求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磋商内容、磋商过程中可实质性变动的内容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_Toc21625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第七章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_Toc28498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第八章 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_Toc25368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第九章 政府采购合同（草案）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6"/>
            <w:keepNext w:val="0"/>
            <w:keepLines w:val="0"/>
            <w:pageBreakBefore w:val="0"/>
            <w:widowControl w:val="0"/>
            <w:tabs>
              <w:tab w:val="left" w:pos="620"/>
              <w:tab w:val="right" w:leader="dot" w:pos="8364"/>
            </w:tabs>
            <w:kinsoku/>
            <w:wordWrap/>
            <w:overflowPunct/>
            <w:topLinePunct w:val="0"/>
            <w:autoSpaceDE/>
            <w:autoSpaceDN/>
            <w:bidi w:val="0"/>
            <w:adjustRightInd w:val="0"/>
            <w:snapToGrid w:val="0"/>
            <w:spacing w:line="48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sdtContent>
    </w:sdt>
    <w:p>
      <w:pPr>
        <w:pStyle w:val="3"/>
        <w:tabs>
          <w:tab w:val="left" w:pos="0"/>
        </w:tabs>
        <w:autoSpaceDE w:val="0"/>
        <w:autoSpaceDN w:val="0"/>
        <w:adjustRightInd w:val="0"/>
        <w:spacing w:before="0" w:after="0" w:line="360" w:lineRule="auto"/>
        <w:jc w:val="center"/>
        <w:rPr>
          <w:rFonts w:hint="eastAsia" w:ascii="宋体" w:hAnsi="宋体" w:eastAsia="宋体" w:cs="宋体"/>
          <w:b/>
          <w:bCs/>
          <w:color w:val="auto"/>
          <w:sz w:val="28"/>
          <w:szCs w:val="28"/>
          <w:highlight w:val="none"/>
        </w:rPr>
      </w:pPr>
      <w:bookmarkStart w:id="11" w:name="_Toc4107"/>
      <w:bookmarkStart w:id="12" w:name="_Toc30440"/>
      <w:r>
        <w:rPr>
          <w:rFonts w:hint="eastAsia" w:ascii="宋体" w:hAnsi="宋体" w:eastAsia="宋体" w:cs="宋体"/>
          <w:b/>
          <w:bCs/>
          <w:color w:val="auto"/>
          <w:sz w:val="28"/>
          <w:szCs w:val="28"/>
          <w:highlight w:val="none"/>
        </w:rPr>
        <w:br w:type="page"/>
      </w:r>
      <w:bookmarkStart w:id="13" w:name="_Toc9237"/>
      <w:bookmarkStart w:id="14" w:name="_Toc14946"/>
      <w:bookmarkStart w:id="15" w:name="_Toc2311"/>
      <w:bookmarkStart w:id="16" w:name="_Toc31957"/>
      <w:bookmarkStart w:id="17" w:name="_Toc18205"/>
      <w:bookmarkStart w:id="18" w:name="_Toc1531"/>
      <w:r>
        <w:rPr>
          <w:rStyle w:val="49"/>
          <w:rFonts w:hint="eastAsia" w:ascii="宋体" w:hAnsi="宋体" w:eastAsia="宋体" w:cs="宋体"/>
          <w:b/>
          <w:bCs/>
          <w:color w:val="auto"/>
          <w:highlight w:val="none"/>
        </w:rPr>
        <w:t xml:space="preserve">第一章 </w:t>
      </w:r>
      <w:bookmarkEnd w:id="2"/>
      <w:bookmarkEnd w:id="3"/>
      <w:bookmarkEnd w:id="4"/>
      <w:bookmarkEnd w:id="5"/>
      <w:bookmarkEnd w:id="6"/>
      <w:bookmarkEnd w:id="11"/>
      <w:bookmarkEnd w:id="12"/>
      <w:bookmarkEnd w:id="13"/>
      <w:bookmarkEnd w:id="14"/>
      <w:bookmarkEnd w:id="15"/>
      <w:bookmarkEnd w:id="16"/>
      <w:bookmarkEnd w:id="17"/>
      <w:bookmarkStart w:id="19" w:name="_Toc35393797"/>
      <w:bookmarkStart w:id="20" w:name="_Toc28359011"/>
      <w:r>
        <w:rPr>
          <w:rStyle w:val="49"/>
          <w:rFonts w:hint="eastAsia" w:ascii="宋体" w:hAnsi="宋体" w:eastAsia="宋体" w:cs="宋体"/>
          <w:b/>
          <w:bCs/>
          <w:color w:val="auto"/>
          <w:highlight w:val="none"/>
        </w:rPr>
        <w:t>竞争性磋商公告</w:t>
      </w:r>
      <w:bookmarkEnd w:id="18"/>
      <w:bookmarkEnd w:id="19"/>
      <w:bookmarkEnd w:id="20"/>
    </w:p>
    <w:p>
      <w:pPr>
        <w:rPr>
          <w:rFonts w:hint="eastAsia" w:ascii="宋体" w:hAnsi="宋体" w:eastAsia="宋体" w:cs="宋体"/>
          <w:color w:val="auto"/>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4" w:type="dxa"/>
          </w:tcPr>
          <w:p>
            <w:pPr>
              <w:bidi w:val="0"/>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auto"/>
                <w:highlight w:val="none"/>
                <w:vertAlign w:val="baseline"/>
              </w:rPr>
            </w:pPr>
            <w:r>
              <w:rPr>
                <w:rFonts w:hint="eastAsia" w:cs="宋体"/>
                <w:b/>
                <w:bCs/>
                <w:color w:val="auto"/>
                <w:highlight w:val="none"/>
                <w:u w:val="single"/>
                <w:lang w:eastAsia="zh-CN"/>
              </w:rPr>
              <w:t>成都动物园（成都市野生动物研究所）农副食品、动、植物油制品配送（第二次）</w:t>
            </w:r>
            <w:r>
              <w:rPr>
                <w:rFonts w:hint="eastAsia" w:ascii="宋体" w:hAnsi="宋体" w:eastAsia="宋体" w:cs="宋体"/>
                <w:color w:val="auto"/>
                <w:highlight w:val="none"/>
              </w:rPr>
              <w:t>采购项目的潜在供应商应在</w:t>
            </w:r>
            <w:r>
              <w:rPr>
                <w:rFonts w:hint="eastAsia" w:cs="宋体"/>
                <w:b/>
                <w:bCs/>
                <w:color w:val="auto"/>
                <w:highlight w:val="none"/>
                <w:u w:val="single"/>
                <w:lang w:val="en-US" w:eastAsia="zh-CN"/>
              </w:rPr>
              <w:t>“政府采购云平台”（网址：https://www.zcygov.cn）</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rPr>
              <w:t>获取采购文件，并于</w:t>
            </w:r>
            <w:r>
              <w:rPr>
                <w:rFonts w:hint="eastAsia" w:ascii="宋体" w:hAnsi="宋体" w:eastAsia="宋体" w:cs="宋体"/>
                <w:b/>
                <w:bCs/>
                <w:color w:val="auto"/>
                <w:highlight w:val="none"/>
                <w:u w:val="single"/>
                <w:lang w:val="en-US" w:eastAsia="zh-CN"/>
              </w:rPr>
              <w:t>202</w:t>
            </w:r>
            <w:r>
              <w:rPr>
                <w:rFonts w:hint="eastAsia" w:cs="宋体"/>
                <w:b/>
                <w:bCs/>
                <w:color w:val="auto"/>
                <w:highlight w:val="none"/>
                <w:u w:val="single"/>
                <w:lang w:val="en-US" w:eastAsia="zh-CN"/>
              </w:rPr>
              <w:t>1</w:t>
            </w:r>
            <w:r>
              <w:rPr>
                <w:rFonts w:hint="eastAsia" w:ascii="宋体" w:hAnsi="宋体" w:eastAsia="宋体" w:cs="宋体"/>
                <w:b/>
                <w:bCs/>
                <w:color w:val="auto"/>
                <w:highlight w:val="none"/>
                <w:u w:val="single"/>
              </w:rPr>
              <w:t>年</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21</w:t>
            </w:r>
            <w:r>
              <w:rPr>
                <w:rFonts w:hint="eastAsia" w:ascii="宋体" w:hAnsi="宋体" w:eastAsia="宋体" w:cs="宋体"/>
                <w:b/>
                <w:bCs/>
                <w:color w:val="auto"/>
                <w:highlight w:val="none"/>
                <w:u w:val="single"/>
                <w:lang w:val="en-US" w:eastAsia="zh-CN"/>
              </w:rPr>
              <w:t>日</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00</w:t>
            </w:r>
            <w:r>
              <w:rPr>
                <w:rFonts w:hint="eastAsia" w:ascii="宋体" w:hAnsi="宋体" w:eastAsia="宋体" w:cs="宋体"/>
                <w:b/>
                <w:bCs/>
                <w:color w:val="auto"/>
                <w:highlight w:val="none"/>
                <w:u w:val="single"/>
              </w:rPr>
              <w:t>分</w:t>
            </w:r>
            <w:r>
              <w:rPr>
                <w:rFonts w:hint="eastAsia" w:ascii="宋体" w:hAnsi="宋体" w:eastAsia="宋体" w:cs="宋体"/>
                <w:color w:val="auto"/>
                <w:highlight w:val="none"/>
              </w:rPr>
              <w:t>（北京时间）前提交响应文件。</w:t>
            </w:r>
          </w:p>
        </w:tc>
      </w:tr>
    </w:tbl>
    <w:p>
      <w:pPr>
        <w:bidi w:val="0"/>
        <w:ind w:left="0" w:leftChars="0" w:firstLine="0" w:firstLineChars="0"/>
        <w:rPr>
          <w:rFonts w:hint="eastAsia" w:ascii="宋体" w:hAnsi="宋体" w:eastAsia="宋体" w:cs="宋体"/>
          <w:b/>
          <w:bCs/>
          <w:color w:val="auto"/>
          <w:highlight w:val="none"/>
        </w:rPr>
      </w:pPr>
      <w:bookmarkStart w:id="21" w:name="_Toc28359012"/>
      <w:bookmarkStart w:id="22" w:name="_Toc28359089"/>
      <w:bookmarkStart w:id="23" w:name="_Toc35393798"/>
      <w:bookmarkStart w:id="24" w:name="_Toc35393629"/>
      <w:r>
        <w:rPr>
          <w:rFonts w:hint="eastAsia" w:ascii="宋体" w:hAnsi="宋体" w:eastAsia="宋体" w:cs="宋体"/>
          <w:b/>
          <w:bCs/>
          <w:color w:val="auto"/>
          <w:highlight w:val="none"/>
        </w:rPr>
        <w:t>一、项目基本情况</w:t>
      </w:r>
      <w:bookmarkEnd w:id="21"/>
      <w:bookmarkEnd w:id="22"/>
      <w:bookmarkEnd w:id="23"/>
      <w:bookmarkEnd w:id="24"/>
    </w:p>
    <w:p>
      <w:pPr>
        <w:bidi w:val="0"/>
        <w:rPr>
          <w:rFonts w:hint="eastAsia"/>
          <w:b/>
          <w:bCs/>
          <w:color w:val="auto"/>
          <w:highlight w:val="none"/>
          <w:lang w:eastAsia="zh-CN"/>
        </w:rPr>
      </w:pPr>
      <w:r>
        <w:rPr>
          <w:rFonts w:hint="eastAsia"/>
          <w:b/>
          <w:bCs/>
          <w:color w:val="auto"/>
          <w:highlight w:val="none"/>
        </w:rPr>
        <w:t>项目编号：</w:t>
      </w:r>
      <w:r>
        <w:rPr>
          <w:rFonts w:hint="eastAsia"/>
          <w:b/>
          <w:bCs/>
          <w:color w:val="auto"/>
          <w:highlight w:val="none"/>
          <w:lang w:eastAsia="zh-CN"/>
        </w:rPr>
        <w:t>510101202101317</w:t>
      </w:r>
    </w:p>
    <w:p>
      <w:pPr>
        <w:bidi w:val="0"/>
        <w:rPr>
          <w:rFonts w:hint="eastAsia"/>
          <w:b/>
          <w:bCs/>
          <w:color w:val="auto"/>
          <w:highlight w:val="none"/>
          <w:lang w:eastAsia="zh-CN"/>
        </w:rPr>
      </w:pPr>
      <w:r>
        <w:rPr>
          <w:rFonts w:hint="eastAsia"/>
          <w:b/>
          <w:bCs/>
          <w:color w:val="auto"/>
          <w:highlight w:val="none"/>
        </w:rPr>
        <w:t>项目名称：</w:t>
      </w:r>
      <w:r>
        <w:rPr>
          <w:rFonts w:hint="eastAsia"/>
          <w:b/>
          <w:bCs/>
          <w:color w:val="auto"/>
          <w:highlight w:val="none"/>
          <w:lang w:eastAsia="zh-CN"/>
        </w:rPr>
        <w:t>成都动物园（成都市野生动物研究所）农副食品、动、植物油制品配送（第二次）</w:t>
      </w:r>
    </w:p>
    <w:p>
      <w:pPr>
        <w:bidi w:val="0"/>
        <w:rPr>
          <w:rFonts w:hint="eastAsia"/>
          <w:color w:val="auto"/>
          <w:highlight w:val="none"/>
        </w:rPr>
      </w:pPr>
      <w:r>
        <w:rPr>
          <w:rFonts w:hint="eastAsia"/>
          <w:color w:val="auto"/>
          <w:highlight w:val="none"/>
        </w:rPr>
        <w:t xml:space="preserve">采购方式：□竞争性谈判 </w:t>
      </w:r>
      <w:r>
        <w:rPr>
          <w:rFonts w:hint="eastAsia"/>
          <w:color w:val="auto"/>
          <w:highlight w:val="none"/>
          <w:lang w:eastAsia="zh-CN"/>
        </w:rPr>
        <w:t>☑</w:t>
      </w:r>
      <w:r>
        <w:rPr>
          <w:rFonts w:hint="eastAsia"/>
          <w:color w:val="auto"/>
          <w:highlight w:val="none"/>
        </w:rPr>
        <w:t>竞争性磋商 □询价</w:t>
      </w:r>
    </w:p>
    <w:p>
      <w:pPr>
        <w:bidi w:val="0"/>
        <w:rPr>
          <w:rFonts w:hint="eastAsia"/>
          <w:color w:val="auto"/>
          <w:highlight w:val="none"/>
        </w:rPr>
      </w:pPr>
      <w:r>
        <w:rPr>
          <w:rFonts w:hint="eastAsia"/>
          <w:color w:val="auto"/>
          <w:highlight w:val="none"/>
        </w:rPr>
        <w:t>预算金额：</w:t>
      </w:r>
      <w:r>
        <w:rPr>
          <w:rFonts w:hint="eastAsia"/>
          <w:color w:val="auto"/>
          <w:highlight w:val="none"/>
          <w:lang w:val="en-US" w:eastAsia="zh-CN"/>
        </w:rPr>
        <w:t>345万元</w:t>
      </w:r>
    </w:p>
    <w:p>
      <w:pPr>
        <w:bidi w:val="0"/>
        <w:rPr>
          <w:rFonts w:hint="eastAsia"/>
          <w:color w:val="auto"/>
          <w:highlight w:val="none"/>
          <w:lang w:val="en-US" w:eastAsia="zh-CN"/>
        </w:rPr>
      </w:pPr>
      <w:r>
        <w:rPr>
          <w:rFonts w:hint="eastAsia"/>
          <w:color w:val="auto"/>
          <w:highlight w:val="none"/>
        </w:rPr>
        <w:t>最高限价：</w:t>
      </w:r>
      <w:r>
        <w:rPr>
          <w:rFonts w:hint="eastAsia"/>
          <w:color w:val="auto"/>
          <w:highlight w:val="none"/>
          <w:lang w:val="en-US" w:eastAsia="zh-CN"/>
        </w:rPr>
        <w:t>345万元</w:t>
      </w:r>
    </w:p>
    <w:p>
      <w:pPr>
        <w:bidi w:val="0"/>
        <w:rPr>
          <w:rFonts w:hint="eastAsia"/>
          <w:color w:val="auto"/>
          <w:highlight w:val="none"/>
        </w:rPr>
      </w:pPr>
      <w:r>
        <w:rPr>
          <w:rFonts w:hint="eastAsia"/>
          <w:color w:val="auto"/>
          <w:highlight w:val="none"/>
        </w:rPr>
        <w:t>采购需求：本项目为</w:t>
      </w:r>
      <w:r>
        <w:rPr>
          <w:rFonts w:hint="eastAsia"/>
          <w:color w:val="auto"/>
          <w:highlight w:val="none"/>
          <w:lang w:eastAsia="zh-CN"/>
        </w:rPr>
        <w:t>成都动物园（成都市野生动物研究所）农副食品、动、植物油制品配送（第二次）</w:t>
      </w:r>
      <w:r>
        <w:rPr>
          <w:rFonts w:hint="eastAsia"/>
          <w:color w:val="auto"/>
          <w:highlight w:val="none"/>
        </w:rPr>
        <w:t>，共1个包件。</w:t>
      </w:r>
      <w:r>
        <w:rPr>
          <w:rFonts w:hint="eastAsia"/>
          <w:color w:val="auto"/>
          <w:highlight w:val="none"/>
          <w:lang w:val="en-US" w:eastAsia="zh-CN"/>
        </w:rPr>
        <w:t>详细的技术服务、商务及其他要求见磋商文件第五章。</w:t>
      </w:r>
    </w:p>
    <w:p>
      <w:pPr>
        <w:bidi w:val="0"/>
        <w:rPr>
          <w:rFonts w:hint="eastAsia"/>
          <w:color w:val="auto"/>
          <w:highlight w:val="none"/>
          <w:lang w:val="en-US" w:eastAsia="zh-CN"/>
        </w:rPr>
      </w:pPr>
      <w:r>
        <w:rPr>
          <w:rFonts w:hint="eastAsia"/>
          <w:color w:val="auto"/>
          <w:highlight w:val="none"/>
        </w:rPr>
        <w:t>合同履行期限：合同签订之日起1年。</w:t>
      </w:r>
    </w:p>
    <w:p>
      <w:pPr>
        <w:bidi w:val="0"/>
        <w:rPr>
          <w:rFonts w:hint="eastAsia"/>
          <w:color w:val="auto"/>
          <w:highlight w:val="none"/>
        </w:rPr>
      </w:pPr>
      <w:r>
        <w:rPr>
          <w:rFonts w:hint="eastAsia"/>
          <w:color w:val="auto"/>
          <w:highlight w:val="none"/>
        </w:rPr>
        <w:t>本项目</w:t>
      </w:r>
      <w:r>
        <w:rPr>
          <w:rFonts w:hint="eastAsia"/>
          <w:b/>
          <w:bCs/>
          <w:color w:val="auto"/>
          <w:highlight w:val="none"/>
          <w:lang w:eastAsia="zh-CN"/>
        </w:rPr>
        <w:t>不</w:t>
      </w:r>
      <w:r>
        <w:rPr>
          <w:rFonts w:hint="eastAsia"/>
          <w:b/>
          <w:bCs/>
          <w:color w:val="auto"/>
          <w:highlight w:val="none"/>
        </w:rPr>
        <w:t>接受</w:t>
      </w:r>
      <w:r>
        <w:rPr>
          <w:rFonts w:hint="eastAsia"/>
          <w:color w:val="auto"/>
          <w:highlight w:val="none"/>
        </w:rPr>
        <w:t>联合体。</w:t>
      </w:r>
    </w:p>
    <w:p>
      <w:pPr>
        <w:bidi w:val="0"/>
        <w:ind w:left="0" w:leftChars="0" w:firstLine="0" w:firstLineChars="0"/>
        <w:rPr>
          <w:rFonts w:hint="eastAsia" w:ascii="宋体" w:hAnsi="宋体" w:eastAsia="宋体" w:cs="宋体"/>
          <w:b/>
          <w:bCs/>
          <w:color w:val="auto"/>
          <w:highlight w:val="none"/>
        </w:rPr>
      </w:pPr>
      <w:bookmarkStart w:id="25" w:name="_Toc28359013"/>
      <w:bookmarkStart w:id="26" w:name="_Toc28359090"/>
      <w:bookmarkStart w:id="27" w:name="_Toc35393799"/>
      <w:bookmarkStart w:id="28" w:name="_Toc35393630"/>
      <w:r>
        <w:rPr>
          <w:rFonts w:hint="eastAsia" w:ascii="宋体" w:hAnsi="宋体" w:eastAsia="宋体" w:cs="宋体"/>
          <w:b/>
          <w:bCs/>
          <w:color w:val="auto"/>
          <w:highlight w:val="none"/>
        </w:rPr>
        <w:t>二、申请人的资格要求：</w:t>
      </w:r>
      <w:bookmarkEnd w:id="25"/>
      <w:bookmarkEnd w:id="26"/>
      <w:bookmarkEnd w:id="27"/>
      <w:bookmarkEnd w:id="28"/>
    </w:p>
    <w:p>
      <w:pPr>
        <w:bidi w:val="0"/>
        <w:rPr>
          <w:rFonts w:hint="eastAsia"/>
          <w:color w:val="auto"/>
          <w:highlight w:val="none"/>
        </w:rPr>
      </w:pPr>
      <w:r>
        <w:rPr>
          <w:rFonts w:hint="eastAsia"/>
          <w:color w:val="auto"/>
          <w:highlight w:val="none"/>
        </w:rPr>
        <w:t>1.满足《中华人民共和国政府采购法》第二十二条规定；</w:t>
      </w:r>
    </w:p>
    <w:p>
      <w:pPr>
        <w:bidi w:val="0"/>
        <w:rPr>
          <w:rFonts w:hint="eastAsia"/>
          <w:color w:val="auto"/>
          <w:highlight w:val="none"/>
        </w:rPr>
      </w:pPr>
      <w:bookmarkStart w:id="29" w:name="_Toc28359091"/>
      <w:bookmarkStart w:id="30" w:name="_Toc28359014"/>
      <w:r>
        <w:rPr>
          <w:rFonts w:hint="eastAsia"/>
          <w:color w:val="auto"/>
          <w:highlight w:val="none"/>
        </w:rPr>
        <w:t>2.落实政府采购政策需满足的资格要求：</w:t>
      </w:r>
      <w:r>
        <w:rPr>
          <w:rFonts w:hint="eastAsia"/>
          <w:color w:val="auto"/>
          <w:highlight w:val="none"/>
          <w:lang w:eastAsia="zh-CN"/>
        </w:rPr>
        <w:t>本项目专门面向中小企业（监狱企业、残疾人福利性单位视同小微企业）采购。</w:t>
      </w:r>
    </w:p>
    <w:p>
      <w:pPr>
        <w:bidi w:val="0"/>
        <w:rPr>
          <w:rFonts w:hint="eastAsia"/>
          <w:color w:val="auto"/>
          <w:highlight w:val="none"/>
          <w:lang w:eastAsia="zh-CN"/>
        </w:rPr>
      </w:pPr>
      <w:r>
        <w:rPr>
          <w:rFonts w:hint="eastAsia"/>
          <w:color w:val="auto"/>
          <w:highlight w:val="none"/>
        </w:rPr>
        <w:t>3.本项目的特定资格要求：</w:t>
      </w:r>
      <w:r>
        <w:rPr>
          <w:rFonts w:hint="eastAsia"/>
          <w:color w:val="auto"/>
          <w:highlight w:val="none"/>
          <w:lang w:eastAsia="zh-CN"/>
        </w:rPr>
        <w:t>无。</w:t>
      </w:r>
    </w:p>
    <w:p>
      <w:pPr>
        <w:bidi w:val="0"/>
        <w:ind w:left="0" w:leftChars="0" w:firstLine="0" w:firstLineChars="0"/>
        <w:rPr>
          <w:rFonts w:hint="eastAsia" w:ascii="宋体" w:hAnsi="宋体" w:eastAsia="宋体" w:cs="宋体"/>
          <w:b/>
          <w:bCs/>
          <w:color w:val="auto"/>
          <w:highlight w:val="none"/>
        </w:rPr>
      </w:pPr>
      <w:bookmarkStart w:id="31" w:name="_Toc35393800"/>
      <w:bookmarkStart w:id="32" w:name="_Toc35393631"/>
      <w:r>
        <w:rPr>
          <w:rFonts w:hint="eastAsia" w:ascii="宋体" w:hAnsi="宋体" w:eastAsia="宋体" w:cs="宋体"/>
          <w:b/>
          <w:bCs/>
          <w:color w:val="auto"/>
          <w:highlight w:val="none"/>
        </w:rPr>
        <w:t>三、获取采购文件</w:t>
      </w:r>
      <w:bookmarkEnd w:id="29"/>
      <w:bookmarkEnd w:id="30"/>
      <w:bookmarkEnd w:id="31"/>
      <w:bookmarkEnd w:id="32"/>
    </w:p>
    <w:p>
      <w:pPr>
        <w:bidi w:val="0"/>
        <w:rPr>
          <w:rFonts w:hint="eastAsia" w:ascii="宋体" w:hAnsi="宋体" w:eastAsia="宋体" w:cs="宋体"/>
          <w:color w:val="auto"/>
          <w:highlight w:val="none"/>
        </w:rPr>
      </w:pPr>
      <w:r>
        <w:rPr>
          <w:rFonts w:hint="eastAsia" w:ascii="宋体" w:hAnsi="宋体" w:eastAsia="宋体" w:cs="宋体"/>
          <w:b/>
          <w:bCs/>
          <w:color w:val="auto"/>
          <w:highlight w:val="none"/>
        </w:rPr>
        <w:t>时间：</w:t>
      </w:r>
      <w:r>
        <w:rPr>
          <w:rFonts w:hint="eastAsia" w:ascii="宋体" w:hAnsi="宋体" w:eastAsia="宋体" w:cs="宋体"/>
          <w:b/>
          <w:bCs/>
          <w:color w:val="auto"/>
          <w:highlight w:val="none"/>
          <w:u w:val="single"/>
          <w:lang w:val="en-US" w:eastAsia="zh-CN"/>
        </w:rPr>
        <w:t>202</w:t>
      </w:r>
      <w:r>
        <w:rPr>
          <w:rFonts w:hint="eastAsia" w:cs="宋体"/>
          <w:b/>
          <w:bCs/>
          <w:color w:val="auto"/>
          <w:highlight w:val="none"/>
          <w:u w:val="single"/>
          <w:lang w:val="en-US" w:eastAsia="zh-CN"/>
        </w:rPr>
        <w:t>1</w:t>
      </w:r>
      <w:r>
        <w:rPr>
          <w:rFonts w:hint="eastAsia" w:ascii="宋体" w:hAnsi="宋体" w:eastAsia="宋体" w:cs="宋体"/>
          <w:b/>
          <w:bCs/>
          <w:color w:val="auto"/>
          <w:highlight w:val="none"/>
          <w:u w:val="single"/>
        </w:rPr>
        <w:t>年</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11</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lang w:val="en-US" w:eastAsia="zh-CN"/>
        </w:rPr>
        <w:t>202</w:t>
      </w:r>
      <w:r>
        <w:rPr>
          <w:rFonts w:hint="eastAsia" w:cs="宋体"/>
          <w:b/>
          <w:bCs/>
          <w:color w:val="auto"/>
          <w:highlight w:val="none"/>
          <w:u w:val="single"/>
          <w:lang w:val="en-US" w:eastAsia="zh-CN"/>
        </w:rPr>
        <w:t>1</w:t>
      </w:r>
      <w:r>
        <w:rPr>
          <w:rFonts w:hint="eastAsia" w:ascii="宋体" w:hAnsi="宋体" w:eastAsia="宋体" w:cs="宋体"/>
          <w:b/>
          <w:bCs/>
          <w:color w:val="auto"/>
          <w:highlight w:val="none"/>
          <w:u w:val="single"/>
        </w:rPr>
        <w:t>年</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15</w:t>
      </w:r>
      <w:r>
        <w:rPr>
          <w:rFonts w:hint="eastAsia" w:ascii="宋体" w:hAnsi="宋体" w:eastAsia="宋体" w:cs="宋体"/>
          <w:b/>
          <w:bCs/>
          <w:color w:val="auto"/>
          <w:highlight w:val="none"/>
          <w:u w:val="single"/>
        </w:rPr>
        <w:t>日</w:t>
      </w:r>
      <w:r>
        <w:rPr>
          <w:rFonts w:hint="eastAsia" w:ascii="宋体" w:hAnsi="宋体" w:eastAsia="宋体" w:cs="宋体"/>
          <w:color w:val="auto"/>
          <w:highlight w:val="none"/>
        </w:rPr>
        <w:t>，</w:t>
      </w:r>
      <w:r>
        <w:rPr>
          <w:rFonts w:hint="eastAsia" w:ascii="宋体" w:hAnsi="宋体" w:eastAsia="宋体" w:cs="宋体"/>
          <w:b/>
          <w:bCs/>
          <w:color w:val="auto"/>
          <w:highlight w:val="none"/>
          <w:u w:val="single"/>
        </w:rPr>
        <w:t>每天上午</w:t>
      </w:r>
      <w:r>
        <w:rPr>
          <w:rFonts w:hint="eastAsia" w:ascii="宋体" w:hAnsi="宋体" w:eastAsia="宋体" w:cs="宋体"/>
          <w:b/>
          <w:bCs/>
          <w:color w:val="auto"/>
          <w:highlight w:val="none"/>
          <w:u w:val="single"/>
          <w:lang w:val="en-US" w:eastAsia="zh-CN"/>
        </w:rPr>
        <w:t>9：00</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lang w:val="en-US" w:eastAsia="zh-CN"/>
        </w:rPr>
        <w:t>12：00</w:t>
      </w:r>
      <w:r>
        <w:rPr>
          <w:rFonts w:hint="eastAsia" w:ascii="宋体" w:hAnsi="宋体" w:eastAsia="宋体" w:cs="宋体"/>
          <w:b/>
          <w:bCs/>
          <w:color w:val="auto"/>
          <w:highlight w:val="none"/>
        </w:rPr>
        <w:t>，</w:t>
      </w:r>
      <w:r>
        <w:rPr>
          <w:rFonts w:hint="eastAsia" w:ascii="宋体" w:hAnsi="宋体" w:eastAsia="宋体" w:cs="宋体"/>
          <w:b/>
          <w:bCs/>
          <w:color w:val="auto"/>
          <w:highlight w:val="none"/>
          <w:u w:val="single"/>
        </w:rPr>
        <w:t>下午</w:t>
      </w:r>
      <w:r>
        <w:rPr>
          <w:rFonts w:hint="eastAsia" w:ascii="宋体" w:hAnsi="宋体" w:eastAsia="宋体" w:cs="宋体"/>
          <w:b/>
          <w:bCs/>
          <w:color w:val="auto"/>
          <w:highlight w:val="none"/>
          <w:u w:val="single"/>
          <w:lang w:val="en-US" w:eastAsia="zh-CN"/>
        </w:rPr>
        <w:t>14：00</w:t>
      </w:r>
      <w:r>
        <w:rPr>
          <w:rFonts w:hint="eastAsia" w:ascii="宋体" w:hAnsi="宋体" w:eastAsia="宋体" w:cs="宋体"/>
          <w:b/>
          <w:bCs/>
          <w:color w:val="auto"/>
          <w:highlight w:val="none"/>
        </w:rPr>
        <w:t>至</w:t>
      </w:r>
      <w:r>
        <w:rPr>
          <w:rFonts w:hint="eastAsia" w:ascii="宋体" w:hAnsi="宋体" w:eastAsia="宋体" w:cs="宋体"/>
          <w:b/>
          <w:bCs/>
          <w:color w:val="auto"/>
          <w:highlight w:val="none"/>
          <w:u w:val="single"/>
          <w:lang w:val="en-US" w:eastAsia="zh-CN"/>
        </w:rPr>
        <w:t>17：00</w:t>
      </w:r>
      <w:r>
        <w:rPr>
          <w:rFonts w:hint="eastAsia" w:ascii="宋体" w:hAnsi="宋体" w:eastAsia="宋体" w:cs="宋体"/>
          <w:b/>
          <w:bCs/>
          <w:color w:val="auto"/>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textAlignment w:val="auto"/>
        <w:rPr>
          <w:rFonts w:hint="eastAsia"/>
          <w:color w:val="auto"/>
          <w:highlight w:val="none"/>
        </w:rPr>
      </w:pPr>
      <w:r>
        <w:rPr>
          <w:rFonts w:hint="eastAsia"/>
          <w:color w:val="auto"/>
          <w:highlight w:val="none"/>
        </w:rPr>
        <w:t>地点：</w:t>
      </w:r>
      <w:r>
        <w:rPr>
          <w:color w:val="auto"/>
          <w:highlight w:val="none"/>
        </w:rPr>
        <w:t>“政府采购云平台”（网址：https://www.zcygov.cn）。</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bCs/>
          <w:color w:val="auto"/>
          <w:highlight w:val="none"/>
          <w:lang w:val="en-US" w:eastAsia="zh-CN"/>
        </w:rPr>
      </w:pPr>
      <w:r>
        <w:rPr>
          <w:rFonts w:hint="eastAsia"/>
          <w:color w:val="auto"/>
          <w:highlight w:val="none"/>
        </w:rPr>
        <w:t>方式：</w:t>
      </w:r>
      <w:r>
        <w:rPr>
          <w:color w:val="auto"/>
          <w:highlight w:val="none"/>
        </w:rPr>
        <w:t>供应商须在“政府采购云平台”注册后，从“政府采购云平台”（网址：https://www.zcygov.cn）获取采购文件。登录政府采购云平台—项目采购—获取采购文件—申请获取采购文件。提示：（1）本项目磋商文件免费获取。</w:t>
      </w:r>
      <w:r>
        <w:rPr>
          <w:rFonts w:hint="eastAsia"/>
          <w:color w:val="auto"/>
          <w:highlight w:val="none"/>
          <w:lang w:eastAsia="zh-CN"/>
        </w:rPr>
        <w:t>（</w:t>
      </w:r>
      <w:r>
        <w:rPr>
          <w:color w:val="auto"/>
          <w:highlight w:val="none"/>
        </w:rPr>
        <w:t>2）供应商只有在“政府采购云平台”完成获取磋商文件申请并下载磋商文件后才视作依法参与本项目。如未在“政府采购云平台”内完成相关流程，引起的无效行为责任自负。</w:t>
      </w:r>
      <w:r>
        <w:rPr>
          <w:rFonts w:hint="eastAsia"/>
          <w:color w:val="auto"/>
          <w:highlight w:val="none"/>
          <w:lang w:eastAsia="zh-CN"/>
        </w:rPr>
        <w:t>（</w:t>
      </w:r>
      <w:r>
        <w:rPr>
          <w:color w:val="auto"/>
          <w:highlight w:val="none"/>
        </w:rPr>
        <w:t>3）政府采购云平台供应商注册地址： https://middle.zcygov.cn/v-settle-front/registry</w:t>
      </w:r>
      <w:r>
        <w:rPr>
          <w:rFonts w:hint="eastAsia"/>
          <w:color w:val="auto"/>
          <w:highlight w:val="none"/>
          <w:lang w:eastAsia="zh-CN"/>
        </w:rPr>
        <w:t>。</w:t>
      </w:r>
    </w:p>
    <w:p>
      <w:pPr>
        <w:rPr>
          <w:rFonts w:hint="default"/>
          <w:color w:val="auto"/>
          <w:highlight w:val="none"/>
          <w:lang w:val="en-US" w:eastAsia="zh-CN"/>
        </w:rPr>
      </w:pPr>
      <w:r>
        <w:rPr>
          <w:rFonts w:hint="eastAsia"/>
          <w:color w:val="auto"/>
          <w:highlight w:val="none"/>
        </w:rPr>
        <w:t>售价：</w:t>
      </w:r>
      <w:r>
        <w:rPr>
          <w:rFonts w:hint="default"/>
          <w:color w:val="auto"/>
          <w:highlight w:val="none"/>
          <w:lang w:val="en-US" w:eastAsia="zh-CN"/>
        </w:rPr>
        <w:t>0元</w:t>
      </w:r>
      <w:r>
        <w:rPr>
          <w:rFonts w:hint="eastAsia"/>
          <w:color w:val="auto"/>
          <w:highlight w:val="none"/>
          <w:lang w:val="en-US" w:eastAsia="zh-CN"/>
        </w:rPr>
        <w:t>/份。</w:t>
      </w:r>
    </w:p>
    <w:p>
      <w:pPr>
        <w:bidi w:val="0"/>
        <w:ind w:left="0" w:leftChars="0" w:firstLine="0" w:firstLineChars="0"/>
        <w:rPr>
          <w:rFonts w:hint="eastAsia" w:ascii="宋体" w:hAnsi="宋体" w:eastAsia="宋体" w:cs="宋体"/>
          <w:b/>
          <w:bCs/>
          <w:color w:val="auto"/>
          <w:highlight w:val="none"/>
        </w:rPr>
      </w:pPr>
      <w:bookmarkStart w:id="33" w:name="_Toc28359015"/>
      <w:bookmarkStart w:id="34" w:name="_Toc28359092"/>
      <w:bookmarkStart w:id="35" w:name="_Toc35393632"/>
      <w:bookmarkStart w:id="36" w:name="_Toc35393801"/>
      <w:r>
        <w:rPr>
          <w:rFonts w:hint="eastAsia" w:ascii="宋体" w:hAnsi="宋体" w:eastAsia="宋体" w:cs="宋体"/>
          <w:b/>
          <w:bCs/>
          <w:color w:val="auto"/>
          <w:highlight w:val="none"/>
        </w:rPr>
        <w:t>四、响应文件提交</w:t>
      </w:r>
      <w:bookmarkEnd w:id="33"/>
      <w:bookmarkEnd w:id="34"/>
      <w:bookmarkEnd w:id="35"/>
      <w:bookmarkEnd w:id="36"/>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截止时间：</w:t>
      </w:r>
      <w:r>
        <w:rPr>
          <w:rFonts w:hint="eastAsia" w:ascii="宋体" w:hAnsi="宋体" w:eastAsia="宋体" w:cs="宋体"/>
          <w:b/>
          <w:bCs/>
          <w:color w:val="auto"/>
          <w:highlight w:val="none"/>
          <w:u w:val="single"/>
          <w:lang w:val="en-US" w:eastAsia="zh-CN"/>
        </w:rPr>
        <w:t>202</w:t>
      </w:r>
      <w:r>
        <w:rPr>
          <w:rFonts w:hint="eastAsia" w:cs="宋体"/>
          <w:b/>
          <w:bCs/>
          <w:color w:val="auto"/>
          <w:highlight w:val="none"/>
          <w:u w:val="single"/>
          <w:lang w:val="en-US" w:eastAsia="zh-CN"/>
        </w:rPr>
        <w:t>1</w:t>
      </w:r>
      <w:r>
        <w:rPr>
          <w:rFonts w:hint="eastAsia" w:ascii="宋体" w:hAnsi="宋体" w:eastAsia="宋体" w:cs="宋体"/>
          <w:b/>
          <w:bCs/>
          <w:color w:val="auto"/>
          <w:highlight w:val="none"/>
          <w:u w:val="single"/>
        </w:rPr>
        <w:t>年</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21</w:t>
      </w:r>
      <w:r>
        <w:rPr>
          <w:rFonts w:hint="eastAsia" w:ascii="宋体" w:hAnsi="宋体" w:eastAsia="宋体" w:cs="宋体"/>
          <w:b/>
          <w:bCs/>
          <w:color w:val="auto"/>
          <w:highlight w:val="none"/>
          <w:u w:val="single"/>
          <w:lang w:val="en-US" w:eastAsia="zh-CN"/>
        </w:rPr>
        <w:t>日</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0</w:t>
      </w:r>
      <w:r>
        <w:rPr>
          <w:rFonts w:hint="eastAsia" w:cs="宋体"/>
          <w:b/>
          <w:bCs/>
          <w:color w:val="auto"/>
          <w:highlight w:val="none"/>
          <w:u w:val="none"/>
          <w:lang w:val="en-US" w:eastAsia="zh-CN"/>
        </w:rPr>
        <w:t>0</w:t>
      </w:r>
      <w:r>
        <w:rPr>
          <w:rFonts w:hint="eastAsia" w:ascii="宋体" w:hAnsi="宋体" w:eastAsia="宋体" w:cs="宋体"/>
          <w:b/>
          <w:bCs/>
          <w:color w:val="auto"/>
          <w:highlight w:val="none"/>
          <w:u w:val="none"/>
        </w:rPr>
        <w:t>分（北京时间）</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t>成都市金牛区九里堤南路93号6楼。</w:t>
      </w:r>
    </w:p>
    <w:p>
      <w:pPr>
        <w:bidi w:val="0"/>
        <w:ind w:left="0" w:leftChars="0" w:firstLine="0" w:firstLineChars="0"/>
        <w:rPr>
          <w:rFonts w:hint="eastAsia" w:ascii="宋体" w:hAnsi="宋体" w:eastAsia="宋体" w:cs="宋体"/>
          <w:b/>
          <w:bCs/>
          <w:color w:val="auto"/>
          <w:highlight w:val="none"/>
        </w:rPr>
      </w:pPr>
      <w:bookmarkStart w:id="37" w:name="_Toc35393802"/>
      <w:bookmarkStart w:id="38" w:name="_Toc35393633"/>
      <w:bookmarkStart w:id="39" w:name="_Toc28359016"/>
      <w:bookmarkStart w:id="40" w:name="_Toc28359093"/>
      <w:r>
        <w:rPr>
          <w:rFonts w:hint="eastAsia" w:ascii="宋体" w:hAnsi="宋体" w:eastAsia="宋体" w:cs="宋体"/>
          <w:b/>
          <w:bCs/>
          <w:color w:val="auto"/>
          <w:highlight w:val="none"/>
        </w:rPr>
        <w:t>五、开启</w:t>
      </w:r>
      <w:bookmarkEnd w:id="37"/>
      <w:bookmarkEnd w:id="38"/>
      <w:bookmarkEnd w:id="39"/>
      <w:bookmarkEnd w:id="40"/>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时间：</w:t>
      </w:r>
      <w:r>
        <w:rPr>
          <w:rFonts w:hint="eastAsia" w:ascii="宋体" w:hAnsi="宋体" w:eastAsia="宋体" w:cs="宋体"/>
          <w:b/>
          <w:bCs/>
          <w:color w:val="auto"/>
          <w:highlight w:val="none"/>
          <w:u w:val="single"/>
          <w:lang w:val="en-US" w:eastAsia="zh-CN"/>
        </w:rPr>
        <w:t>202</w:t>
      </w:r>
      <w:r>
        <w:rPr>
          <w:rFonts w:hint="eastAsia" w:cs="宋体"/>
          <w:b/>
          <w:bCs/>
          <w:color w:val="auto"/>
          <w:highlight w:val="none"/>
          <w:u w:val="single"/>
          <w:lang w:val="en-US" w:eastAsia="zh-CN"/>
        </w:rPr>
        <w:t>1</w:t>
      </w:r>
      <w:r>
        <w:rPr>
          <w:rFonts w:hint="eastAsia" w:ascii="宋体" w:hAnsi="宋体" w:eastAsia="宋体" w:cs="宋体"/>
          <w:b/>
          <w:bCs/>
          <w:color w:val="auto"/>
          <w:highlight w:val="none"/>
          <w:u w:val="single"/>
        </w:rPr>
        <w:t>年</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月</w:t>
      </w:r>
      <w:r>
        <w:rPr>
          <w:rFonts w:hint="eastAsia" w:cs="宋体"/>
          <w:b/>
          <w:bCs/>
          <w:color w:val="auto"/>
          <w:highlight w:val="none"/>
          <w:u w:val="single"/>
          <w:lang w:val="en-US" w:eastAsia="zh-CN"/>
        </w:rPr>
        <w:t>21</w:t>
      </w:r>
      <w:r>
        <w:rPr>
          <w:rFonts w:hint="eastAsia" w:ascii="宋体" w:hAnsi="宋体" w:eastAsia="宋体" w:cs="宋体"/>
          <w:b/>
          <w:bCs/>
          <w:color w:val="auto"/>
          <w:highlight w:val="none"/>
          <w:u w:val="single"/>
          <w:lang w:val="en-US" w:eastAsia="zh-CN"/>
        </w:rPr>
        <w:t>日</w:t>
      </w:r>
      <w:r>
        <w:rPr>
          <w:rFonts w:hint="eastAsia" w:cs="宋体"/>
          <w:b/>
          <w:bCs/>
          <w:color w:val="auto"/>
          <w:highlight w:val="none"/>
          <w:u w:val="single"/>
          <w:lang w:val="en-US" w:eastAsia="zh-CN"/>
        </w:rPr>
        <w:t>10</w:t>
      </w:r>
      <w:r>
        <w:rPr>
          <w:rFonts w:hint="eastAsia" w:ascii="宋体" w:hAnsi="宋体" w:eastAsia="宋体" w:cs="宋体"/>
          <w:b/>
          <w:bCs/>
          <w:color w:val="auto"/>
          <w:highlight w:val="none"/>
          <w:u w:val="single"/>
        </w:rPr>
        <w:t>点</w:t>
      </w:r>
      <w:r>
        <w:rPr>
          <w:rFonts w:hint="eastAsia" w:cs="宋体"/>
          <w:b/>
          <w:bCs/>
          <w:color w:val="auto"/>
          <w:highlight w:val="none"/>
          <w:u w:val="single"/>
          <w:lang w:val="en-US" w:eastAsia="zh-CN"/>
        </w:rPr>
        <w:t>00</w:t>
      </w:r>
      <w:r>
        <w:rPr>
          <w:rFonts w:hint="eastAsia" w:ascii="宋体" w:hAnsi="宋体" w:eastAsia="宋体" w:cs="宋体"/>
          <w:b/>
          <w:bCs/>
          <w:color w:val="auto"/>
          <w:highlight w:val="none"/>
          <w:u w:val="single"/>
        </w:rPr>
        <w:t>分（北京时间）</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t>成都市金牛区九里堤南路93号6楼。</w:t>
      </w:r>
    </w:p>
    <w:p>
      <w:pPr>
        <w:bidi w:val="0"/>
        <w:ind w:left="0" w:leftChars="0" w:firstLine="0" w:firstLineChars="0"/>
        <w:rPr>
          <w:rFonts w:hint="eastAsia" w:ascii="宋体" w:hAnsi="宋体" w:eastAsia="宋体" w:cs="宋体"/>
          <w:b/>
          <w:bCs/>
          <w:color w:val="auto"/>
          <w:highlight w:val="none"/>
        </w:rPr>
      </w:pPr>
      <w:bookmarkStart w:id="41" w:name="_Toc28359017"/>
      <w:bookmarkStart w:id="42" w:name="_Toc35393634"/>
      <w:bookmarkStart w:id="43" w:name="_Toc35393803"/>
      <w:bookmarkStart w:id="44" w:name="_Toc28359094"/>
      <w:r>
        <w:rPr>
          <w:rFonts w:hint="eastAsia" w:ascii="宋体" w:hAnsi="宋体" w:eastAsia="宋体" w:cs="宋体"/>
          <w:b/>
          <w:bCs/>
          <w:color w:val="auto"/>
          <w:highlight w:val="none"/>
        </w:rPr>
        <w:t>六、公告期限</w:t>
      </w:r>
      <w:bookmarkEnd w:id="41"/>
      <w:bookmarkEnd w:id="42"/>
      <w:bookmarkEnd w:id="43"/>
      <w:bookmarkEnd w:id="44"/>
    </w:p>
    <w:p>
      <w:pPr>
        <w:bidi w:val="0"/>
        <w:rPr>
          <w:rFonts w:hint="eastAsia" w:ascii="宋体" w:hAnsi="宋体" w:eastAsia="宋体" w:cs="宋体"/>
          <w:color w:val="auto"/>
          <w:highlight w:val="none"/>
        </w:rPr>
      </w:pPr>
      <w:r>
        <w:rPr>
          <w:rFonts w:hint="eastAsia" w:ascii="宋体" w:hAnsi="宋体" w:eastAsia="宋体" w:cs="宋体"/>
          <w:color w:val="auto"/>
          <w:highlight w:val="none"/>
        </w:rPr>
        <w:t>自本公告发布之日起3个工作日。</w:t>
      </w:r>
    </w:p>
    <w:p>
      <w:pPr>
        <w:bidi w:val="0"/>
        <w:ind w:left="0" w:leftChars="0" w:firstLine="0" w:firstLineChars="0"/>
        <w:rPr>
          <w:rFonts w:hint="eastAsia" w:ascii="宋体" w:hAnsi="宋体" w:eastAsia="宋体" w:cs="宋体"/>
          <w:b/>
          <w:bCs/>
          <w:color w:val="auto"/>
          <w:highlight w:val="none"/>
        </w:rPr>
      </w:pPr>
      <w:bookmarkStart w:id="45" w:name="_Toc35393804"/>
      <w:bookmarkStart w:id="46" w:name="_Toc35393635"/>
      <w:r>
        <w:rPr>
          <w:rFonts w:hint="eastAsia" w:ascii="宋体" w:hAnsi="宋体" w:eastAsia="宋体" w:cs="宋体"/>
          <w:b/>
          <w:bCs/>
          <w:color w:val="auto"/>
          <w:highlight w:val="none"/>
        </w:rPr>
        <w:t>七、其他补充事宜</w:t>
      </w:r>
      <w:bookmarkEnd w:id="45"/>
      <w:bookmarkEnd w:id="46"/>
    </w:p>
    <w:p>
      <w:pPr>
        <w:bidi w:val="0"/>
        <w:rPr>
          <w:rFonts w:hint="eastAsia" w:ascii="宋体" w:hAnsi="宋体" w:eastAsia="宋体" w:cs="宋体"/>
          <w:b/>
          <w:bCs/>
          <w:color w:val="auto"/>
          <w:highlight w:val="none"/>
          <w:lang w:val="en-US" w:eastAsia="zh-CN"/>
        </w:rPr>
      </w:pPr>
      <w:bookmarkStart w:id="47" w:name="_Toc35393636"/>
      <w:bookmarkStart w:id="48" w:name="_Toc28359018"/>
      <w:bookmarkStart w:id="49" w:name="_Toc28359095"/>
      <w:bookmarkStart w:id="50" w:name="_Toc35393805"/>
      <w:r>
        <w:rPr>
          <w:rFonts w:hint="eastAsia"/>
          <w:b/>
          <w:bCs/>
          <w:i w:val="0"/>
          <w:iCs w:val="0"/>
          <w:color w:val="auto"/>
          <w:highlight w:val="none"/>
          <w:u w:val="none"/>
          <w:lang w:val="en-US" w:eastAsia="zh-CN"/>
        </w:rPr>
        <w:t>1.</w:t>
      </w:r>
      <w:r>
        <w:rPr>
          <w:rFonts w:hint="eastAsia"/>
          <w:b/>
          <w:bCs/>
          <w:i w:val="0"/>
          <w:iCs w:val="0"/>
          <w:color w:val="auto"/>
          <w:highlight w:val="none"/>
          <w:u w:val="none"/>
        </w:rPr>
        <w:t>本项目参加政府采购活动的供应商及其现任法定代表人/主要负责人在前</w:t>
      </w:r>
      <w:r>
        <w:rPr>
          <w:rFonts w:hint="eastAsia"/>
          <w:b/>
          <w:bCs/>
          <w:i w:val="0"/>
          <w:iCs w:val="0"/>
          <w:color w:val="auto"/>
          <w:highlight w:val="none"/>
          <w:u w:val="none"/>
          <w:lang w:eastAsia="zh-CN"/>
        </w:rPr>
        <w:t>三</w:t>
      </w:r>
      <w:r>
        <w:rPr>
          <w:rFonts w:hint="eastAsia"/>
          <w:b/>
          <w:bCs/>
          <w:i w:val="0"/>
          <w:iCs w:val="0"/>
          <w:color w:val="auto"/>
          <w:highlight w:val="none"/>
          <w:u w:val="none"/>
        </w:rPr>
        <w:t>年内不得具有行贿犯罪记录</w:t>
      </w:r>
      <w:r>
        <w:rPr>
          <w:rFonts w:hint="eastAsia"/>
          <w:b/>
          <w:bCs/>
          <w:i w:val="0"/>
          <w:iCs w:val="0"/>
          <w:color w:val="auto"/>
          <w:highlight w:val="none"/>
          <w:u w:val="none"/>
          <w:lang w:eastAsia="zh-CN"/>
        </w:rPr>
        <w:t>。</w:t>
      </w:r>
    </w:p>
    <w:p>
      <w:pPr>
        <w:bidi w:val="0"/>
        <w:rPr>
          <w:rFonts w:hint="eastAsia" w:ascii="宋体" w:hAnsi="宋体" w:eastAsia="宋体" w:cs="宋体"/>
          <w:b/>
          <w:bCs/>
          <w:color w:val="auto"/>
          <w:highlight w:val="none"/>
        </w:rPr>
      </w:pPr>
      <w:r>
        <w:rPr>
          <w:rFonts w:hint="eastAsia" w:cs="宋体"/>
          <w:b/>
          <w:bCs/>
          <w:color w:val="auto"/>
          <w:highlight w:val="none"/>
          <w:lang w:val="en-US" w:eastAsia="zh-CN"/>
        </w:rPr>
        <w:t>2</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禁止参加本次采购活动的供应商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根据《关于在政府采购活动中查询及使用信用记录有关问题的通知》（财库〔2016〕125号）的要求，</w:t>
      </w:r>
      <w:r>
        <w:rPr>
          <w:rFonts w:hint="eastAsia" w:ascii="宋体" w:hAnsi="宋体" w:eastAsia="宋体" w:cs="宋体"/>
          <w:b/>
          <w:bCs/>
          <w:color w:val="auto"/>
          <w:highlight w:val="none"/>
        </w:rPr>
        <w:t>拒绝列入失信被执行人名单、重大税收违法案件当事人名单、政府采购严重违法失信行为记录名单中的供应商报名参加本项目的采购活动。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bidi w:val="0"/>
        <w:rPr>
          <w:rFonts w:hint="eastAsia" w:ascii="宋体" w:hAnsi="宋体" w:eastAsia="宋体" w:cs="宋体"/>
          <w:color w:val="auto"/>
          <w:highlight w:val="none"/>
        </w:rPr>
      </w:pPr>
      <w:r>
        <w:rPr>
          <w:rFonts w:hint="eastAsia" w:cs="宋体"/>
          <w:b/>
          <w:bCs/>
          <w:color w:val="auto"/>
          <w:highlight w:val="none"/>
          <w:lang w:val="en-US" w:eastAsia="zh-CN"/>
        </w:rPr>
        <w:t>3</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本项目确定供应商重大违法记录中较大数额罚款的金额标准是指：</w:t>
      </w:r>
      <w:r>
        <w:rPr>
          <w:rFonts w:hint="eastAsia" w:ascii="宋体" w:hAnsi="宋体" w:eastAsia="宋体" w:cs="宋体"/>
          <w:color w:val="auto"/>
          <w:highlight w:val="none"/>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bidi w:val="0"/>
        <w:rPr>
          <w:rFonts w:hint="eastAsia" w:ascii="宋体" w:hAnsi="宋体" w:eastAsia="宋体" w:cs="宋体"/>
          <w:b/>
          <w:bCs/>
          <w:color w:val="auto"/>
          <w:highlight w:val="none"/>
        </w:rPr>
      </w:pPr>
      <w:r>
        <w:rPr>
          <w:rFonts w:hint="eastAsia" w:cs="宋体"/>
          <w:b/>
          <w:bCs/>
          <w:color w:val="auto"/>
          <w:highlight w:val="none"/>
          <w:lang w:val="en-US" w:eastAsia="zh-CN"/>
        </w:rPr>
        <w:t>4</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中小企业政府采购信用融资</w:t>
      </w:r>
    </w:p>
    <w:p>
      <w:pPr>
        <w:bidi w:val="0"/>
        <w:rPr>
          <w:rFonts w:hint="eastAsia"/>
          <w:color w:val="auto"/>
          <w:highlight w:val="none"/>
          <w:lang w:val="en-US" w:eastAsia="zh-CN"/>
        </w:rPr>
      </w:pPr>
      <w:r>
        <w:rPr>
          <w:color w:val="auto"/>
          <w:highlight w:val="none"/>
        </w:rPr>
        <w:t>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r>
        <w:rPr>
          <w:rFonts w:hint="eastAsia"/>
          <w:color w:val="auto"/>
          <w:highlight w:val="none"/>
          <w:lang w:eastAsia="zh-CN"/>
        </w:rPr>
        <w:t>。</w:t>
      </w:r>
    </w:p>
    <w:p>
      <w:pPr>
        <w:bidi w:val="0"/>
        <w:rPr>
          <w:rFonts w:hint="eastAsia"/>
          <w:color w:val="auto"/>
          <w:highlight w:val="none"/>
        </w:rPr>
      </w:pPr>
      <w:r>
        <w:rPr>
          <w:color w:val="auto"/>
          <w:highlight w:val="none"/>
        </w:rPr>
        <w:t>根据《成都市财政局关于增补“蓉采贷”政策合作银行及做好相关工作的通知》（成财采发〔2020〕20号），参加本次采购活动的中小企业供应商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w:t>
      </w:r>
    </w:p>
    <w:p>
      <w:pPr>
        <w:bidi w:val="0"/>
        <w:rPr>
          <w:rFonts w:hint="eastAsia"/>
          <w:color w:val="auto"/>
          <w:highlight w:val="none"/>
          <w:lang w:val="en-US" w:eastAsia="zh-CN"/>
        </w:rPr>
      </w:pPr>
      <w:r>
        <w:rPr>
          <w:rFonts w:hint="eastAsia"/>
          <w:b/>
          <w:bCs/>
          <w:color w:val="auto"/>
          <w:highlight w:val="none"/>
          <w:lang w:val="en-US" w:eastAsia="zh-CN"/>
        </w:rPr>
        <w:t>5.需落实的政府采购政策：</w:t>
      </w:r>
      <w:r>
        <w:rPr>
          <w:rFonts w:hint="eastAsia"/>
          <w:color w:val="auto"/>
          <w:highlight w:val="none"/>
        </w:rPr>
        <w:t>优先采购节能产品,强制采购节能产品,优先采购环境标志产品,优先采购无线局域网产品,促进中小企业发展,促进监狱企业发展,促进残疾人福利性单位发展</w:t>
      </w:r>
      <w:r>
        <w:rPr>
          <w:rFonts w:hint="eastAsia"/>
          <w:color w:val="auto"/>
          <w:highlight w:val="none"/>
          <w:lang w:val="en-US" w:eastAsia="zh-CN"/>
        </w:rPr>
        <w:t>,</w:t>
      </w:r>
      <w:r>
        <w:rPr>
          <w:rFonts w:hint="eastAsia"/>
          <w:color w:val="auto"/>
          <w:highlight w:val="none"/>
        </w:rPr>
        <w:t>扶持不发达地区和少数民族地区</w:t>
      </w:r>
      <w:r>
        <w:rPr>
          <w:rFonts w:hint="eastAsia"/>
          <w:color w:val="auto"/>
          <w:highlight w:val="none"/>
          <w:lang w:eastAsia="zh-CN"/>
        </w:rPr>
        <w:t>。</w:t>
      </w:r>
    </w:p>
    <w:p>
      <w:pPr>
        <w:bidi w:val="0"/>
        <w:rPr>
          <w:rFonts w:hint="eastAsia"/>
          <w:b/>
          <w:bCs/>
          <w:color w:val="auto"/>
          <w:highlight w:val="none"/>
          <w:lang w:eastAsia="zh-CN"/>
        </w:rPr>
      </w:pPr>
      <w:r>
        <w:rPr>
          <w:rFonts w:hint="eastAsia"/>
          <w:b/>
          <w:bCs/>
          <w:color w:val="auto"/>
          <w:highlight w:val="none"/>
          <w:lang w:val="en-US" w:eastAsia="zh-CN"/>
        </w:rPr>
        <w:t>6.</w:t>
      </w:r>
      <w:r>
        <w:rPr>
          <w:rFonts w:hint="eastAsia"/>
          <w:b/>
          <w:bCs/>
          <w:color w:val="auto"/>
          <w:highlight w:val="none"/>
        </w:rPr>
        <w:t>资金情况</w:t>
      </w:r>
      <w:r>
        <w:rPr>
          <w:rFonts w:hint="eastAsia"/>
          <w:b/>
          <w:bCs/>
          <w:color w:val="auto"/>
          <w:highlight w:val="none"/>
          <w:lang w:eastAsia="zh-CN"/>
        </w:rPr>
        <w:t>：</w:t>
      </w:r>
      <w:r>
        <w:rPr>
          <w:rFonts w:hint="eastAsia"/>
          <w:b/>
          <w:bCs/>
          <w:color w:val="auto"/>
          <w:highlight w:val="none"/>
        </w:rPr>
        <w:t>财政性资金；采购资金计划表：成都市市级政府采购实施计划备案表，</w:t>
      </w:r>
      <w:r>
        <w:rPr>
          <w:rFonts w:hint="eastAsia"/>
          <w:b/>
          <w:bCs/>
          <w:color w:val="auto"/>
          <w:highlight w:val="none"/>
          <w:lang w:eastAsia="zh-CN"/>
        </w:rPr>
        <w:t>备案号</w:t>
      </w:r>
      <w:r>
        <w:rPr>
          <w:rFonts w:hint="eastAsia"/>
          <w:b/>
          <w:bCs/>
          <w:color w:val="auto"/>
          <w:highlight w:val="none"/>
        </w:rPr>
        <w:t>：（202</w:t>
      </w:r>
      <w:r>
        <w:rPr>
          <w:rFonts w:hint="eastAsia"/>
          <w:b/>
          <w:bCs/>
          <w:color w:val="auto"/>
          <w:highlight w:val="none"/>
          <w:lang w:val="en-US" w:eastAsia="zh-CN"/>
        </w:rPr>
        <w:t>1</w:t>
      </w:r>
      <w:r>
        <w:rPr>
          <w:rFonts w:hint="eastAsia"/>
          <w:b/>
          <w:bCs/>
          <w:color w:val="auto"/>
          <w:highlight w:val="none"/>
        </w:rPr>
        <w:t>）</w:t>
      </w:r>
      <w:r>
        <w:rPr>
          <w:rFonts w:hint="eastAsia"/>
          <w:b/>
          <w:bCs/>
          <w:color w:val="auto"/>
          <w:highlight w:val="none"/>
          <w:lang w:val="en-US" w:eastAsia="zh-CN"/>
        </w:rPr>
        <w:t>0185</w:t>
      </w:r>
      <w:r>
        <w:rPr>
          <w:rFonts w:hint="eastAsia"/>
          <w:b/>
          <w:bCs/>
          <w:color w:val="auto"/>
          <w:highlight w:val="none"/>
        </w:rPr>
        <w:t>号，</w:t>
      </w:r>
      <w:r>
        <w:rPr>
          <w:rFonts w:hint="eastAsia"/>
          <w:b/>
          <w:bCs/>
          <w:color w:val="auto"/>
          <w:highlight w:val="none"/>
          <w:lang w:eastAsia="zh-CN"/>
        </w:rPr>
        <w:t>采购品目：</w:t>
      </w:r>
      <w:r>
        <w:rPr>
          <w:b/>
          <w:bCs/>
          <w:color w:val="auto"/>
          <w:highlight w:val="none"/>
        </w:rPr>
        <w:t>A1501农副食品，动、植物油制品</w:t>
      </w:r>
      <w:r>
        <w:rPr>
          <w:rFonts w:hint="eastAsia"/>
          <w:b/>
          <w:bCs/>
          <w:color w:val="auto"/>
          <w:highlight w:val="none"/>
          <w:lang w:val="en-US" w:eastAsia="zh-CN"/>
        </w:rPr>
        <w:t>，</w:t>
      </w:r>
      <w:r>
        <w:rPr>
          <w:rFonts w:hint="eastAsia"/>
          <w:b/>
          <w:bCs/>
          <w:color w:val="auto"/>
          <w:highlight w:val="none"/>
          <w:lang w:val="zh-CN" w:eastAsia="zh-CN"/>
        </w:rPr>
        <w:t>项目属性：货物</w:t>
      </w:r>
      <w:r>
        <w:rPr>
          <w:rFonts w:hint="eastAsia"/>
          <w:b/>
          <w:bCs/>
          <w:color w:val="auto"/>
          <w:highlight w:val="none"/>
          <w:lang w:eastAsia="zh-CN"/>
        </w:rPr>
        <w:t>。</w:t>
      </w:r>
    </w:p>
    <w:p>
      <w:pPr>
        <w:bidi w:val="0"/>
        <w:rPr>
          <w:rFonts w:hint="eastAsia"/>
          <w:b/>
          <w:bCs/>
          <w:color w:val="auto"/>
          <w:highlight w:val="none"/>
        </w:rPr>
      </w:pPr>
      <w:r>
        <w:rPr>
          <w:rFonts w:hint="eastAsia"/>
          <w:b/>
          <w:bCs/>
          <w:color w:val="auto"/>
          <w:highlight w:val="none"/>
          <w:lang w:val="en-US" w:eastAsia="zh-CN"/>
        </w:rPr>
        <w:t>7.</w:t>
      </w:r>
      <w:r>
        <w:rPr>
          <w:rFonts w:hint="eastAsia"/>
          <w:b/>
          <w:bCs/>
          <w:color w:val="auto"/>
          <w:highlight w:val="none"/>
        </w:rPr>
        <w:t>监督机构：</w:t>
      </w:r>
      <w:r>
        <w:rPr>
          <w:rFonts w:hint="eastAsia"/>
          <w:b/>
          <w:bCs/>
          <w:color w:val="auto"/>
          <w:highlight w:val="none"/>
          <w:lang w:val="zh-CN"/>
        </w:rPr>
        <w:t>成都市财政局</w:t>
      </w:r>
      <w:r>
        <w:rPr>
          <w:rFonts w:hint="eastAsia"/>
          <w:b/>
          <w:bCs/>
          <w:color w:val="auto"/>
          <w:highlight w:val="none"/>
        </w:rPr>
        <w:t>，电话：</w:t>
      </w:r>
      <w:r>
        <w:rPr>
          <w:rFonts w:hint="eastAsia"/>
          <w:b/>
          <w:bCs/>
          <w:color w:val="auto"/>
          <w:highlight w:val="none"/>
          <w:lang w:eastAsia="zh-CN"/>
        </w:rPr>
        <w:t>028-61882648</w:t>
      </w:r>
      <w:r>
        <w:rPr>
          <w:rFonts w:hint="eastAsia"/>
          <w:b/>
          <w:bCs/>
          <w:color w:val="auto"/>
          <w:highlight w:val="none"/>
        </w:rPr>
        <w:t>。</w:t>
      </w:r>
    </w:p>
    <w:p>
      <w:pPr>
        <w:bidi w:val="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八、凡对本次采购提出询问，请按以下方式联系。</w:t>
      </w:r>
      <w:bookmarkEnd w:id="47"/>
      <w:bookmarkEnd w:id="48"/>
      <w:bookmarkEnd w:id="49"/>
      <w:bookmarkEnd w:id="50"/>
    </w:p>
    <w:p>
      <w:pPr>
        <w:bidi w:val="0"/>
        <w:rPr>
          <w:rFonts w:hint="eastAsia" w:ascii="宋体" w:hAnsi="宋体" w:eastAsia="宋体" w:cs="宋体"/>
          <w:color w:val="auto"/>
          <w:highlight w:val="none"/>
        </w:rPr>
      </w:pPr>
      <w:bookmarkStart w:id="51" w:name="_Toc28359096"/>
      <w:bookmarkStart w:id="52" w:name="_Toc28359019"/>
      <w:bookmarkStart w:id="53" w:name="_Toc35393806"/>
      <w:bookmarkStart w:id="54" w:name="_Toc35393637"/>
      <w:r>
        <w:rPr>
          <w:rFonts w:hint="eastAsia" w:ascii="宋体" w:hAnsi="宋体" w:eastAsia="宋体" w:cs="宋体"/>
          <w:color w:val="auto"/>
          <w:highlight w:val="none"/>
        </w:rPr>
        <w:t>1.采购人信息</w:t>
      </w:r>
      <w:bookmarkEnd w:id="51"/>
      <w:bookmarkEnd w:id="52"/>
      <w:bookmarkEnd w:id="53"/>
      <w:bookmarkEnd w:id="54"/>
    </w:p>
    <w:p>
      <w:pPr>
        <w:bidi w:val="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lang w:val="en-US" w:eastAsia="zh-CN"/>
        </w:rPr>
        <w:t>：</w:t>
      </w:r>
      <w:r>
        <w:rPr>
          <w:rFonts w:hint="eastAsia" w:cs="宋体"/>
          <w:b/>
          <w:bCs/>
          <w:color w:val="auto"/>
          <w:highlight w:val="none"/>
          <w:lang w:val="en-US" w:eastAsia="zh-CN"/>
        </w:rPr>
        <w:t>成都动物园（成都市野生动物研究所）</w:t>
      </w:r>
      <w:r>
        <w:rPr>
          <w:rFonts w:hint="eastAsia" w:ascii="宋体" w:hAnsi="宋体" w:eastAsia="宋体" w:cs="宋体"/>
          <w:color w:val="auto"/>
          <w:highlight w:val="none"/>
          <w:lang w:val="en-US" w:eastAsia="zh-CN"/>
        </w:rPr>
        <w:t>　</w:t>
      </w:r>
    </w:p>
    <w:p>
      <w:pPr>
        <w:bidi w:val="0"/>
        <w:rPr>
          <w:rFonts w:hint="eastAsia"/>
          <w:color w:val="auto"/>
          <w:highlight w:val="none"/>
          <w:lang w:eastAsia="zh-CN"/>
        </w:rPr>
      </w:pPr>
      <w:r>
        <w:rPr>
          <w:rFonts w:hint="eastAsia" w:ascii="宋体" w:hAnsi="宋体" w:eastAsia="宋体" w:cs="宋体"/>
          <w:color w:val="auto"/>
          <w:highlight w:val="none"/>
        </w:rPr>
        <w:t>地    址：</w:t>
      </w:r>
      <w:r>
        <w:rPr>
          <w:rFonts w:hint="eastAsia"/>
          <w:color w:val="auto"/>
          <w:highlight w:val="none"/>
          <w:lang w:eastAsia="zh-CN"/>
        </w:rPr>
        <w:t>成都市昭觉寺南路234号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cs="宋体"/>
          <w:color w:val="auto"/>
          <w:highlight w:val="none"/>
          <w:lang w:val="en-US" w:eastAsia="zh-CN"/>
        </w:rPr>
        <w:t>028-83503886</w:t>
      </w:r>
    </w:p>
    <w:p>
      <w:pPr>
        <w:bidi w:val="0"/>
        <w:rPr>
          <w:rFonts w:hint="eastAsia" w:ascii="宋体" w:hAnsi="宋体" w:eastAsia="宋体" w:cs="宋体"/>
          <w:color w:val="auto"/>
          <w:highlight w:val="none"/>
        </w:rPr>
      </w:pPr>
      <w:bookmarkStart w:id="55" w:name="_Toc28359097"/>
      <w:bookmarkStart w:id="56" w:name="_Toc35393638"/>
      <w:bookmarkStart w:id="57" w:name="_Toc28359020"/>
      <w:bookmarkStart w:id="58" w:name="_Toc35393807"/>
      <w:r>
        <w:rPr>
          <w:rFonts w:hint="eastAsia" w:ascii="宋体" w:hAnsi="宋体" w:eastAsia="宋体" w:cs="宋体"/>
          <w:color w:val="auto"/>
          <w:highlight w:val="none"/>
        </w:rPr>
        <w:t>2.采购代理机构信息</w:t>
      </w:r>
      <w:bookmarkEnd w:id="55"/>
      <w:bookmarkEnd w:id="56"/>
      <w:bookmarkEnd w:id="57"/>
      <w:bookmarkEnd w:id="58"/>
    </w:p>
    <w:p>
      <w:pPr>
        <w:bidi w:val="0"/>
        <w:rPr>
          <w:rFonts w:hint="eastAsia" w:ascii="宋体" w:hAnsi="宋体" w:eastAsia="宋体" w:cs="宋体"/>
          <w:b/>
          <w:bCs/>
          <w:color w:val="auto"/>
          <w:highlight w:val="none"/>
        </w:rPr>
      </w:pPr>
      <w:r>
        <w:rPr>
          <w:rFonts w:hint="eastAsia" w:ascii="宋体" w:hAnsi="宋体" w:eastAsia="宋体" w:cs="宋体"/>
          <w:b w:val="0"/>
          <w:bCs w:val="0"/>
          <w:color w:val="auto"/>
          <w:highlight w:val="none"/>
        </w:rPr>
        <w:t>名    称：</w:t>
      </w:r>
      <w:r>
        <w:rPr>
          <w:rFonts w:hint="eastAsia" w:ascii="宋体" w:hAnsi="宋体" w:eastAsia="宋体" w:cs="宋体"/>
          <w:b/>
          <w:bCs/>
          <w:color w:val="auto"/>
          <w:highlight w:val="none"/>
          <w:lang w:val="en-US" w:eastAsia="zh-CN"/>
        </w:rPr>
        <w:t>四川天力招标有限责任公司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lang w:val="en-US" w:eastAsia="zh-CN"/>
        </w:rPr>
        <w:t xml:space="preserve">成都市金牛区九里堤南路93号6楼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028-87701706　　</w:t>
      </w:r>
    </w:p>
    <w:p>
      <w:pPr>
        <w:bidi w:val="0"/>
        <w:rPr>
          <w:rFonts w:hint="eastAsia" w:ascii="宋体" w:hAnsi="宋体" w:eastAsia="宋体" w:cs="宋体"/>
          <w:color w:val="auto"/>
          <w:highlight w:val="none"/>
        </w:rPr>
      </w:pPr>
      <w:bookmarkStart w:id="59" w:name="_Toc35393639"/>
      <w:bookmarkStart w:id="60" w:name="_Toc28359098"/>
      <w:bookmarkStart w:id="61" w:name="_Toc35393808"/>
      <w:bookmarkStart w:id="62" w:name="_Toc28359021"/>
      <w:r>
        <w:rPr>
          <w:rFonts w:hint="eastAsia" w:ascii="宋体" w:hAnsi="宋体" w:eastAsia="宋体" w:cs="宋体"/>
          <w:color w:val="auto"/>
          <w:highlight w:val="none"/>
        </w:rPr>
        <w:t>3.项目联系方式</w:t>
      </w:r>
      <w:bookmarkEnd w:id="59"/>
      <w:bookmarkEnd w:id="60"/>
      <w:bookmarkEnd w:id="61"/>
      <w:bookmarkEnd w:id="62"/>
    </w:p>
    <w:p>
      <w:pPr>
        <w:bidi w:val="0"/>
        <w:rPr>
          <w:rFonts w:hint="eastAsia" w:ascii="宋体" w:hAnsi="宋体" w:eastAsia="宋体" w:cs="宋体"/>
          <w:color w:val="auto"/>
          <w:highlight w:val="none"/>
          <w:lang w:val="en-US"/>
        </w:rPr>
      </w:pPr>
      <w:r>
        <w:rPr>
          <w:rFonts w:hint="eastAsia" w:ascii="宋体" w:hAnsi="宋体" w:eastAsia="宋体" w:cs="宋体"/>
          <w:color w:val="auto"/>
          <w:highlight w:val="none"/>
        </w:rPr>
        <w:t>项目联系人：</w:t>
      </w:r>
      <w:r>
        <w:rPr>
          <w:rFonts w:hint="eastAsia" w:cs="宋体"/>
          <w:color w:val="auto"/>
          <w:highlight w:val="none"/>
          <w:lang w:val="en-US" w:eastAsia="zh-CN"/>
        </w:rPr>
        <w:t>何女士、杨女士</w:t>
      </w:r>
      <w:r>
        <w:rPr>
          <w:rFonts w:hint="eastAsia" w:ascii="宋体" w:hAnsi="宋体" w:eastAsia="宋体" w:cs="宋体"/>
          <w:color w:val="auto"/>
          <w:highlight w:val="none"/>
          <w:lang w:val="en-US" w:eastAsia="zh-CN"/>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028-87701706</w:t>
      </w:r>
      <w:r>
        <w:rPr>
          <w:rFonts w:hint="eastAsia" w:ascii="宋体" w:hAnsi="宋体" w:eastAsia="宋体" w:cs="宋体"/>
          <w:color w:val="auto"/>
          <w:highlight w:val="none"/>
        </w:rPr>
        <w:t>　</w:t>
      </w:r>
    </w:p>
    <w:p>
      <w:pPr>
        <w:spacing w:line="360" w:lineRule="auto"/>
        <w:rPr>
          <w:rFonts w:hint="eastAsia" w:ascii="宋体" w:hAnsi="宋体" w:eastAsia="宋体" w:cs="宋体"/>
          <w:color w:val="auto"/>
          <w:highlight w:val="none"/>
        </w:rPr>
      </w:pPr>
    </w:p>
    <w:p>
      <w:pPr>
        <w:rPr>
          <w:rStyle w:val="49"/>
          <w:rFonts w:hint="eastAsia" w:ascii="宋体" w:hAnsi="宋体" w:eastAsia="宋体" w:cs="宋体"/>
          <w:color w:val="auto"/>
          <w:highlight w:val="none"/>
        </w:rPr>
      </w:pPr>
      <w:bookmarkStart w:id="63" w:name="_Toc2471"/>
      <w:bookmarkStart w:id="64" w:name="_Toc25021"/>
      <w:bookmarkStart w:id="65" w:name="_Toc20075"/>
      <w:bookmarkStart w:id="66" w:name="_Toc6346"/>
      <w:bookmarkStart w:id="67" w:name="_Toc23753"/>
      <w:bookmarkStart w:id="68" w:name="_Toc30527"/>
      <w:bookmarkStart w:id="69" w:name="_Toc17565"/>
      <w:bookmarkStart w:id="70" w:name="_Toc27352"/>
      <w:bookmarkStart w:id="71" w:name="_Toc9620"/>
      <w:r>
        <w:rPr>
          <w:rStyle w:val="49"/>
          <w:rFonts w:hint="eastAsia" w:ascii="宋体" w:hAnsi="宋体" w:eastAsia="宋体" w:cs="宋体"/>
          <w:color w:val="auto"/>
          <w:highlight w:val="none"/>
        </w:rPr>
        <w:br w:type="page"/>
      </w:r>
    </w:p>
    <w:p>
      <w:pPr>
        <w:adjustRightInd w:val="0"/>
        <w:snapToGrid w:val="0"/>
        <w:spacing w:line="360" w:lineRule="auto"/>
        <w:ind w:left="0" w:leftChars="0" w:firstLine="0" w:firstLineChars="0"/>
        <w:jc w:val="center"/>
        <w:outlineLvl w:val="0"/>
        <w:rPr>
          <w:rFonts w:hint="eastAsia" w:ascii="宋体" w:hAnsi="宋体" w:eastAsia="宋体" w:cs="宋体"/>
          <w:b/>
          <w:bCs/>
          <w:color w:val="auto"/>
          <w:sz w:val="28"/>
          <w:szCs w:val="28"/>
          <w:highlight w:val="none"/>
        </w:rPr>
      </w:pPr>
      <w:r>
        <w:rPr>
          <w:rStyle w:val="49"/>
          <w:rFonts w:hint="eastAsia" w:ascii="宋体" w:hAnsi="宋体" w:eastAsia="宋体" w:cs="宋体"/>
          <w:color w:val="auto"/>
          <w:highlight w:val="none"/>
        </w:rPr>
        <w:t xml:space="preserve">第二章 </w:t>
      </w:r>
      <w:bookmarkStart w:id="72" w:name="_Toc12871"/>
      <w:r>
        <w:rPr>
          <w:rStyle w:val="49"/>
          <w:rFonts w:hint="eastAsia" w:ascii="宋体" w:hAnsi="宋体" w:eastAsia="宋体" w:cs="宋体"/>
          <w:color w:val="auto"/>
          <w:highlight w:val="none"/>
        </w:rPr>
        <w:t>磋商须知</w:t>
      </w:r>
      <w:bookmarkEnd w:id="63"/>
      <w:bookmarkEnd w:id="64"/>
      <w:bookmarkEnd w:id="65"/>
      <w:bookmarkEnd w:id="66"/>
      <w:bookmarkEnd w:id="67"/>
      <w:bookmarkEnd w:id="68"/>
      <w:bookmarkEnd w:id="69"/>
      <w:bookmarkEnd w:id="70"/>
      <w:bookmarkEnd w:id="71"/>
      <w:bookmarkEnd w:id="72"/>
    </w:p>
    <w:p>
      <w:pPr>
        <w:pStyle w:val="4"/>
        <w:bidi w:val="0"/>
        <w:jc w:val="center"/>
        <w:rPr>
          <w:rFonts w:hint="eastAsia" w:ascii="宋体" w:hAnsi="宋体" w:eastAsia="宋体" w:cs="宋体"/>
          <w:color w:val="auto"/>
          <w:highlight w:val="none"/>
        </w:rPr>
      </w:pPr>
      <w:bookmarkStart w:id="73" w:name="_Toc16618"/>
      <w:bookmarkStart w:id="74" w:name="_Toc17946"/>
      <w:bookmarkStart w:id="75" w:name="_Toc30631"/>
      <w:bookmarkStart w:id="76" w:name="_Toc11381"/>
      <w:bookmarkStart w:id="77" w:name="_Toc18675"/>
      <w:bookmarkStart w:id="78" w:name="_Toc3894"/>
      <w:bookmarkStart w:id="79" w:name="_Toc27964"/>
      <w:r>
        <w:rPr>
          <w:rFonts w:hint="eastAsia" w:ascii="宋体" w:hAnsi="宋体" w:eastAsia="宋体" w:cs="宋体"/>
          <w:color w:val="auto"/>
          <w:highlight w:val="none"/>
        </w:rPr>
        <w:t>一、供应商须知附表</w:t>
      </w:r>
      <w:bookmarkEnd w:id="73"/>
      <w:bookmarkEnd w:id="74"/>
    </w:p>
    <w:tbl>
      <w:tblPr>
        <w:tblStyle w:val="31"/>
        <w:tblW w:w="949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3"/>
        <w:gridCol w:w="1424"/>
        <w:gridCol w:w="6"/>
        <w:gridCol w:w="1455"/>
        <w:gridCol w:w="1461"/>
        <w:gridCol w:w="1461"/>
        <w:gridCol w:w="1461"/>
        <w:gridCol w:w="146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应知事项</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确定邀请磋商的供应商数量和方式</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本次采购采取</w:t>
            </w:r>
            <w:r>
              <w:rPr>
                <w:rFonts w:hint="eastAsia" w:cs="宋体"/>
                <w:color w:val="auto"/>
                <w:sz w:val="21"/>
                <w:szCs w:val="21"/>
                <w:highlight w:val="none"/>
                <w:lang w:val="zh-CN"/>
              </w:rPr>
              <w:t>以下</w:t>
            </w:r>
            <w:r>
              <w:rPr>
                <w:rFonts w:hint="eastAsia" w:ascii="宋体" w:hAnsi="宋体" w:eastAsia="宋体" w:cs="宋体"/>
                <w:color w:val="auto"/>
                <w:sz w:val="21"/>
                <w:szCs w:val="21"/>
                <w:highlight w:val="none"/>
                <w:lang w:val="zh-CN"/>
              </w:rPr>
              <w:t>方式邀请参加磋商的供应商。</w:t>
            </w:r>
          </w:p>
          <w:p>
            <w:pPr>
              <w:pStyle w:val="2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210" w:firstLineChars="1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zh-CN"/>
              </w:rPr>
              <w:t>公告方式：本次竞争性磋商邀请在四川政府采购（</w:t>
            </w:r>
            <w:r>
              <w:rPr>
                <w:rFonts w:hint="eastAsia" w:ascii="宋体" w:hAnsi="宋体" w:eastAsia="宋体" w:cs="宋体"/>
                <w:color w:val="auto"/>
                <w:sz w:val="21"/>
                <w:szCs w:val="21"/>
                <w:highlight w:val="none"/>
                <w:shd w:val="clear" w:color="auto" w:fill="FFFFFF"/>
              </w:rPr>
              <w:t>http://www.ccgp-</w:t>
            </w:r>
          </w:p>
          <w:p>
            <w:pPr>
              <w:pStyle w:val="2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sichuan.gov.cn</w:t>
            </w:r>
            <w:r>
              <w:rPr>
                <w:rFonts w:hint="eastAsia" w:ascii="宋体" w:hAnsi="宋体" w:eastAsia="宋体" w:cs="宋体"/>
                <w:color w:val="auto"/>
                <w:sz w:val="21"/>
                <w:szCs w:val="21"/>
                <w:highlight w:val="none"/>
                <w:lang w:val="zh-CN"/>
              </w:rPr>
              <w:t>）上以公告形式发布</w:t>
            </w:r>
            <w:r>
              <w:rPr>
                <w:rFonts w:hint="eastAsia" w:cs="宋体"/>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采购预算</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300" w:type="dxa"/>
            <w:gridSpan w:val="5"/>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本项目采购预算金额为：</w:t>
            </w:r>
            <w:r>
              <w:rPr>
                <w:rFonts w:hint="eastAsia" w:cs="宋体"/>
                <w:b/>
                <w:bCs/>
                <w:color w:val="auto"/>
                <w:sz w:val="21"/>
                <w:szCs w:val="21"/>
                <w:highlight w:val="none"/>
                <w:lang w:eastAsia="zh-CN"/>
              </w:rPr>
              <w:t>345万元</w:t>
            </w:r>
            <w:r>
              <w:rPr>
                <w:rFonts w:hint="eastAsia" w:ascii="宋体" w:hAnsi="宋体" w:eastAsia="宋体" w:cs="宋体"/>
                <w:b/>
                <w:bCs/>
                <w:color w:val="auto"/>
                <w:sz w:val="21"/>
                <w:szCs w:val="21"/>
                <w:highlight w:val="none"/>
                <w:lang w:val="zh-CN"/>
              </w:rPr>
              <w:t>。</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最高限价</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本项目最高限价为：</w:t>
            </w:r>
            <w:r>
              <w:rPr>
                <w:rFonts w:hint="eastAsia" w:cs="宋体"/>
                <w:b/>
                <w:bCs/>
                <w:color w:val="auto"/>
                <w:sz w:val="21"/>
                <w:szCs w:val="21"/>
                <w:highlight w:val="none"/>
                <w:lang w:val="en-US" w:eastAsia="zh-CN"/>
              </w:rPr>
              <w:t>345万元</w:t>
            </w:r>
            <w:r>
              <w:rPr>
                <w:rFonts w:hint="eastAsia" w:ascii="宋体" w:hAnsi="宋体" w:eastAsia="宋体" w:cs="宋体"/>
                <w:b/>
                <w:bCs/>
                <w:color w:val="auto"/>
                <w:sz w:val="21"/>
                <w:szCs w:val="21"/>
                <w:highlight w:val="none"/>
                <w:lang w:val="zh-CN"/>
              </w:rPr>
              <w:t>。</w:t>
            </w:r>
            <w:r>
              <w:rPr>
                <w:rFonts w:hint="eastAsia" w:cs="宋体"/>
                <w:b/>
                <w:bCs/>
                <w:color w:val="auto"/>
                <w:sz w:val="21"/>
                <w:szCs w:val="21"/>
                <w:highlight w:val="none"/>
                <w:lang w:val="zh-CN"/>
              </w:rPr>
              <w:t>单价最高限价详见第五章。</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cs="宋体"/>
                <w:b w:val="0"/>
                <w:bCs w:val="0"/>
                <w:color w:val="auto"/>
                <w:sz w:val="21"/>
                <w:szCs w:val="21"/>
                <w:highlight w:val="none"/>
                <w:lang w:val="zh-CN"/>
              </w:rPr>
              <w:t>供应商总报价高于最高限价或单价报价高于单价最高限价的，报价无效。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进口产品</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不接受</w:t>
            </w:r>
            <w:r>
              <w:rPr>
                <w:rFonts w:hint="eastAsia" w:ascii="宋体" w:hAnsi="宋体" w:eastAsia="宋体" w:cs="宋体"/>
                <w:b/>
                <w:bCs/>
                <w:color w:val="auto"/>
                <w:sz w:val="21"/>
                <w:szCs w:val="21"/>
                <w:highlight w:val="none"/>
                <w:lang w:val="zh-CN"/>
              </w:rPr>
              <w:t>联合体</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低于成本价</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不正当竞争预防措施</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1.在评审过程中，供应商的报价明显低于其他通过实质性审查供应商的报价，有可能影响</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质量或者不能诚信履约的，磋商小组应当要求其在磋商现场90分钟内提供书面说明，并提交相关证明材料，供应商不能证明其报价合理性的，磋商小组应当将其作为无效处理。</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供应商的书面说明材料应当按照国家财务会计制度的规定要求，逐项就供应商提供的货物、工程和服务的主营业务成本、税金及附加、销售费用、管理费用、财务费用等成本构成事项详细陈述。</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2.供应商书面说明应当签字确认或者加盖公章，否则无效。书面说明的签字确认，供应商为法人的，由其法定代表人/单位负责人或者代理人签字确认；供应商为其他组织的，由其主要负责人或者代理人签字确认。</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小微企业（监狱企业、残疾人福利性单位视同小微企业）价格扣除</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300" w:type="dxa"/>
            <w:gridSpan w:val="5"/>
          </w:tcPr>
          <w:p>
            <w:pPr>
              <w:keepNext w:val="0"/>
              <w:keepLines w:val="0"/>
              <w:pageBreakBefore w:val="0"/>
              <w:widowControl w:val="0"/>
              <w:tabs>
                <w:tab w:val="left" w:pos="-2127"/>
              </w:tabs>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小微企业（监狱企业、残疾人福利性单位视同小微企业）价格扣除</w:t>
            </w:r>
          </w:p>
          <w:p>
            <w:pPr>
              <w:keepNext w:val="0"/>
              <w:keepLines w:val="0"/>
              <w:pageBreakBefore w:val="0"/>
              <w:widowControl w:val="0"/>
              <w:tabs>
                <w:tab w:val="left" w:pos="-2127"/>
              </w:tabs>
              <w:kinsoku/>
              <w:wordWrap/>
              <w:overflowPunct/>
              <w:topLinePunct w:val="0"/>
              <w:autoSpaceDE/>
              <w:autoSpaceDN/>
              <w:bidi w:val="0"/>
              <w:adjustRightInd w:val="0"/>
              <w:snapToGrid w:val="0"/>
              <w:spacing w:line="360" w:lineRule="auto"/>
              <w:ind w:left="0" w:leftChars="0" w:firstLine="211" w:firstLineChars="100"/>
              <w:rPr>
                <w:rFonts w:hint="default" w:ascii="宋体" w:hAnsi="宋体" w:eastAsia="宋体" w:cs="宋体"/>
                <w:color w:val="auto"/>
                <w:sz w:val="21"/>
                <w:szCs w:val="21"/>
                <w:highlight w:val="none"/>
              </w:rPr>
            </w:pPr>
            <w:r>
              <w:rPr>
                <w:rFonts w:hint="default" w:cs="宋体"/>
                <w:b/>
                <w:bCs/>
                <w:color w:val="auto"/>
                <w:sz w:val="21"/>
                <w:szCs w:val="21"/>
                <w:highlight w:val="none"/>
              </w:rPr>
              <w:t>本项目专门面对中小企业。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rPr>
            </w:pPr>
          </w:p>
        </w:tc>
        <w:tc>
          <w:tcPr>
            <w:tcW w:w="14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节能、环境标志、无线局域网产品政府采购政策</w:t>
            </w:r>
          </w:p>
        </w:tc>
        <w:tc>
          <w:tcPr>
            <w:tcW w:w="7300" w:type="dxa"/>
            <w:gridSpan w:val="5"/>
          </w:tcPr>
          <w:p>
            <w:pPr>
              <w:pStyle w:val="69"/>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1.节能产品、环境标志产品</w:t>
            </w:r>
          </w:p>
          <w:p>
            <w:pPr>
              <w:pStyle w:val="58"/>
              <w:snapToGrid w:val="0"/>
              <w:spacing w:line="360" w:lineRule="auto"/>
              <w:ind w:firstLine="210" w:firstLineChars="1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8"/>
              <w:snapToGrid w:val="0"/>
              <w:spacing w:line="360" w:lineRule="auto"/>
              <w:ind w:firstLine="210" w:firstLineChars="1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本项目采购的产品属于品目清单强制采购范围的，供应商应按上述要求提供产品认证证书复印件并加盖供应商单位公章（鲜章），</w:t>
            </w:r>
            <w:r>
              <w:rPr>
                <w:rFonts w:hint="eastAsia" w:hAnsi="宋体" w:cs="宋体"/>
                <w:color w:val="auto"/>
                <w:sz w:val="21"/>
                <w:szCs w:val="21"/>
                <w:highlight w:val="none"/>
              </w:rPr>
              <w:t>未提供的作无效响应处理</w:t>
            </w:r>
            <w:r>
              <w:rPr>
                <w:rFonts w:hint="eastAsia" w:ascii="宋体" w:hAnsi="宋体" w:eastAsia="宋体"/>
                <w:color w:val="auto"/>
                <w:sz w:val="21"/>
                <w:szCs w:val="21"/>
                <w:highlight w:val="none"/>
              </w:rPr>
              <w:t>。</w:t>
            </w:r>
            <w:r>
              <w:rPr>
                <w:rFonts w:hint="eastAsia" w:ascii="宋体" w:hAnsi="宋体" w:eastAsia="宋体"/>
                <w:b w:val="0"/>
                <w:color w:val="auto"/>
                <w:sz w:val="21"/>
                <w:szCs w:val="21"/>
                <w:highlight w:val="none"/>
              </w:rPr>
              <w:t>（实质性要求）</w:t>
            </w:r>
          </w:p>
          <w:p>
            <w:pPr>
              <w:pStyle w:val="58"/>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本项目采购的产品属于品目清单内优先采购产品的，按照本磋商文件第八章中综合评分明细表的规定进行认定。</w:t>
            </w:r>
          </w:p>
          <w:p>
            <w:pPr>
              <w:pStyle w:val="58"/>
              <w:snapToGrid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pStyle w:val="69"/>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2.无线局域网产品</w:t>
            </w:r>
          </w:p>
          <w:p>
            <w:pPr>
              <w:pStyle w:val="69"/>
              <w:snapToGrid w:val="0"/>
              <w:spacing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财政部国家发展改革委信息产业部关于印发无线局域网产品政府采购实施意见的通知》财库[2005]366号文要求，本项目采购的产品属于《无线局域网认证产品政府采购清单》的，按照本磋商文件第八章中综合评分明细表的规定进行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磋商情况公告</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磋商保证金</w:t>
            </w:r>
          </w:p>
        </w:tc>
        <w:tc>
          <w:tcPr>
            <w:tcW w:w="7300" w:type="dxa"/>
            <w:gridSpan w:val="5"/>
            <w:vAlign w:val="center"/>
          </w:tcPr>
          <w:p>
            <w:pPr>
              <w:pStyle w:val="70"/>
              <w:keepNext w:val="0"/>
              <w:keepLines w:val="0"/>
              <w:pageBreakBefore w:val="0"/>
              <w:widowControl w:val="0"/>
              <w:kinsoku/>
              <w:wordWrap/>
              <w:overflowPunct/>
              <w:topLinePunct w:val="0"/>
              <w:autoSpaceDE/>
              <w:autoSpaceDN/>
              <w:bidi w:val="0"/>
              <w:adjustRightInd w:val="0"/>
              <w:snapToGrid w:val="0"/>
              <w:spacing w:line="360" w:lineRule="auto"/>
              <w:ind w:left="0" w:lef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本项目无磋商保证金。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tc>
        <w:tc>
          <w:tcPr>
            <w:tcW w:w="7300" w:type="dxa"/>
            <w:gridSpan w:val="5"/>
            <w:vAlign w:val="center"/>
          </w:tcPr>
          <w:p>
            <w:pPr>
              <w:pStyle w:val="58"/>
              <w:autoSpaceDE/>
              <w:autoSpaceDN/>
              <w:snapToGrid w:val="0"/>
              <w:spacing w:line="360" w:lineRule="auto"/>
              <w:ind w:firstLine="211" w:firstLineChars="100"/>
              <w:rPr>
                <w:rFonts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金额：成交金额的</w:t>
            </w:r>
            <w:r>
              <w:rPr>
                <w:rFonts w:hint="eastAsia" w:asciiTheme="minorEastAsia" w:hAnsiTheme="minorEastAsia" w:eastAsiaTheme="minorEastAsia" w:cstheme="minorEastAsia"/>
                <w:b/>
                <w:bCs/>
                <w:color w:val="auto"/>
                <w:sz w:val="21"/>
                <w:szCs w:val="21"/>
                <w:highlight w:val="none"/>
                <w:u w:val="single"/>
                <w:lang w:val="zh-CN"/>
              </w:rPr>
              <w:t>5%</w:t>
            </w:r>
            <w:r>
              <w:rPr>
                <w:rFonts w:hint="eastAsia" w:asciiTheme="minorEastAsia" w:hAnsiTheme="minorEastAsia" w:eastAsiaTheme="minorEastAsia" w:cstheme="minorEastAsia"/>
                <w:b/>
                <w:bCs/>
                <w:color w:val="auto"/>
                <w:sz w:val="21"/>
                <w:szCs w:val="21"/>
                <w:highlight w:val="none"/>
                <w:lang w:val="zh-CN"/>
              </w:rPr>
              <w:t>。</w:t>
            </w:r>
          </w:p>
          <w:p>
            <w:pPr>
              <w:pStyle w:val="58"/>
              <w:autoSpaceDE/>
              <w:autoSpaceDN/>
              <w:snapToGrid w:val="0"/>
              <w:spacing w:line="360" w:lineRule="auto"/>
              <w:ind w:firstLine="210" w:firstLineChars="100"/>
              <w:jc w:val="both"/>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交款方式：</w:t>
            </w:r>
            <w:r>
              <w:rPr>
                <w:rFonts w:hint="eastAsia" w:asciiTheme="minorEastAsia" w:hAnsiTheme="minorEastAsia" w:eastAsiaTheme="minorEastAsia" w:cstheme="minorEastAsia"/>
                <w:color w:val="auto"/>
                <w:sz w:val="21"/>
                <w:szCs w:val="21"/>
                <w:highlight w:val="none"/>
              </w:rPr>
              <w:t>以支票、汇票、本票、网上银行支付或者金融机构、担保机构出具的保函等非现金形式向采购人指定账户提交</w:t>
            </w:r>
            <w:r>
              <w:rPr>
                <w:rFonts w:hint="eastAsia" w:asciiTheme="minorEastAsia" w:hAnsiTheme="minorEastAsia" w:eastAsiaTheme="minorEastAsia" w:cstheme="minorEastAsia"/>
                <w:color w:val="auto"/>
                <w:sz w:val="21"/>
                <w:szCs w:val="21"/>
                <w:highlight w:val="none"/>
                <w:lang w:val="zh-CN"/>
              </w:rPr>
              <w:t>。</w:t>
            </w:r>
          </w:p>
          <w:p>
            <w:pPr>
              <w:adjustRightInd w:val="0"/>
              <w:snapToGrid w:val="0"/>
              <w:spacing w:line="360" w:lineRule="auto"/>
              <w:ind w:left="0" w:leftChars="0" w:firstLine="210" w:firstLineChars="1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收款单位：</w:t>
            </w:r>
            <w:r>
              <w:rPr>
                <w:rFonts w:hint="eastAsia" w:cs="宋体"/>
                <w:color w:val="auto"/>
                <w:sz w:val="21"/>
                <w:szCs w:val="21"/>
                <w:highlight w:val="none"/>
                <w:lang w:eastAsia="zh-CN"/>
              </w:rPr>
              <w:t>成都动物园（成都市野生动物研究所）</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交款时间：成交通知书发放后，政府采购合同签订前。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文件咨询</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何</w:t>
            </w:r>
            <w:r>
              <w:rPr>
                <w:rFonts w:hint="eastAsia" w:ascii="宋体" w:hAnsi="宋体" w:eastAsia="宋体" w:cs="宋体"/>
                <w:color w:val="auto"/>
                <w:sz w:val="21"/>
                <w:szCs w:val="21"/>
                <w:highlight w:val="none"/>
                <w:lang w:val="zh-CN"/>
              </w:rPr>
              <w:t>女士、</w:t>
            </w:r>
            <w:r>
              <w:rPr>
                <w:rFonts w:hint="eastAsia" w:cs="宋体"/>
                <w:color w:val="auto"/>
                <w:sz w:val="21"/>
                <w:szCs w:val="21"/>
                <w:highlight w:val="none"/>
                <w:lang w:val="zh-CN"/>
              </w:rPr>
              <w:t>杨女士</w:t>
            </w:r>
            <w:r>
              <w:rPr>
                <w:rFonts w:hint="eastAsia" w:ascii="宋体" w:hAnsi="宋体" w:eastAsia="宋体" w:cs="宋体"/>
                <w:color w:val="auto"/>
                <w:sz w:val="21"/>
                <w:szCs w:val="21"/>
                <w:highlight w:val="none"/>
                <w:lang w:val="zh-CN"/>
              </w:rPr>
              <w:t xml:space="preserve">，联系电话：028-87701706/18328703880。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磋商过程、结果</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工作咨询</w:t>
            </w:r>
          </w:p>
        </w:tc>
        <w:tc>
          <w:tcPr>
            <w:tcW w:w="7300" w:type="dxa"/>
            <w:gridSpan w:val="5"/>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cs="宋体"/>
                <w:color w:val="auto"/>
                <w:sz w:val="21"/>
                <w:szCs w:val="21"/>
                <w:highlight w:val="none"/>
                <w:lang w:val="zh-CN"/>
              </w:rPr>
              <w:t>王女士</w:t>
            </w:r>
            <w:r>
              <w:rPr>
                <w:rFonts w:hint="eastAsia" w:ascii="宋体" w:hAnsi="宋体" w:eastAsia="宋体" w:cs="宋体"/>
                <w:color w:val="auto"/>
                <w:sz w:val="21"/>
                <w:szCs w:val="21"/>
                <w:highlight w:val="none"/>
                <w:lang w:val="zh-CN"/>
              </w:rPr>
              <w:t>、</w:t>
            </w:r>
            <w:r>
              <w:rPr>
                <w:rFonts w:hint="eastAsia" w:cs="宋体"/>
                <w:color w:val="auto"/>
                <w:sz w:val="21"/>
                <w:szCs w:val="21"/>
                <w:highlight w:val="none"/>
                <w:lang w:val="zh-CN"/>
              </w:rPr>
              <w:t>胡</w:t>
            </w:r>
            <w:r>
              <w:rPr>
                <w:rFonts w:hint="eastAsia" w:ascii="宋体" w:hAnsi="宋体" w:eastAsia="宋体" w:cs="宋体"/>
                <w:color w:val="auto"/>
                <w:sz w:val="21"/>
                <w:szCs w:val="21"/>
                <w:highlight w:val="none"/>
                <w:lang w:val="zh-CN"/>
              </w:rPr>
              <w:t xml:space="preserve">女士，联系电话：028-87701706/18328703880。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成交通知书</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领取</w:t>
            </w:r>
          </w:p>
        </w:tc>
        <w:tc>
          <w:tcPr>
            <w:tcW w:w="7300" w:type="dxa"/>
            <w:gridSpan w:val="5"/>
            <w:vAlign w:val="center"/>
          </w:tcPr>
          <w:p>
            <w:pPr>
              <w:bidi w:val="0"/>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公告在四川政府采购网上</w:t>
            </w:r>
            <w:r>
              <w:rPr>
                <w:rFonts w:hint="eastAsia" w:ascii="宋体" w:hAnsi="宋体" w:eastAsia="宋体" w:cs="宋体"/>
                <w:color w:val="auto"/>
                <w:sz w:val="21"/>
                <w:szCs w:val="21"/>
                <w:highlight w:val="none"/>
                <w:lang w:eastAsia="zh-CN"/>
              </w:rPr>
              <w:t>发布</w:t>
            </w:r>
            <w:r>
              <w:rPr>
                <w:rFonts w:hint="eastAsia" w:ascii="宋体" w:hAnsi="宋体" w:eastAsia="宋体" w:cs="宋体"/>
                <w:color w:val="auto"/>
                <w:sz w:val="21"/>
                <w:szCs w:val="21"/>
                <w:highlight w:val="none"/>
              </w:rPr>
              <w:t>后，请成交供应商凭公司介绍信（注明项目名称、</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以及经办事项等，加盖公章）、经办人身份证（复印件并加盖公章）到四川天力招标有限责任公司领取成交通知书。</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cs="宋体"/>
                <w:color w:val="auto"/>
                <w:sz w:val="21"/>
                <w:szCs w:val="21"/>
                <w:highlight w:val="none"/>
                <w:lang w:val="zh-CN"/>
              </w:rPr>
              <w:t>王女士</w:t>
            </w:r>
            <w:r>
              <w:rPr>
                <w:rFonts w:hint="eastAsia" w:ascii="宋体" w:hAnsi="宋体" w:eastAsia="宋体" w:cs="宋体"/>
                <w:color w:val="auto"/>
                <w:sz w:val="21"/>
                <w:szCs w:val="21"/>
                <w:highlight w:val="none"/>
                <w:lang w:val="zh-CN"/>
              </w:rPr>
              <w:t>、</w:t>
            </w:r>
            <w:r>
              <w:rPr>
                <w:rFonts w:hint="eastAsia" w:cs="宋体"/>
                <w:color w:val="auto"/>
                <w:sz w:val="21"/>
                <w:szCs w:val="21"/>
                <w:highlight w:val="none"/>
                <w:lang w:val="zh-CN"/>
              </w:rPr>
              <w:t>胡</w:t>
            </w:r>
            <w:r>
              <w:rPr>
                <w:rFonts w:hint="eastAsia" w:ascii="宋体" w:hAnsi="宋体" w:eastAsia="宋体" w:cs="宋体"/>
                <w:color w:val="auto"/>
                <w:sz w:val="21"/>
                <w:szCs w:val="21"/>
                <w:highlight w:val="none"/>
                <w:lang w:val="zh-CN"/>
              </w:rPr>
              <w:t xml:space="preserve">女士 </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联系电话：028-87701706   </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地址：成都市金牛区九里堤南路93号6楼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tcBorders>
              <w:top w:val="single" w:color="auto" w:sz="8" w:space="0"/>
              <w:left w:val="single" w:color="auto" w:sz="8" w:space="0"/>
              <w:right w:val="single" w:color="auto" w:sz="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供应商询问、</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p>
        </w:tc>
        <w:tc>
          <w:tcPr>
            <w:tcW w:w="7300" w:type="dxa"/>
            <w:gridSpan w:val="5"/>
            <w:tcBorders>
              <w:top w:val="single" w:color="auto" w:sz="8" w:space="0"/>
              <w:left w:val="single" w:color="auto" w:sz="8" w:space="0"/>
              <w:right w:val="single" w:color="auto" w:sz="18" w:space="0"/>
            </w:tcBorders>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文件技术要求的询问、质疑，向采购人提出，并由采购人按相关规定作出答复。</w:t>
            </w:r>
          </w:p>
          <w:p>
            <w:pPr>
              <w:keepNext w:val="0"/>
              <w:keepLines w:val="0"/>
              <w:pageBreakBefore w:val="0"/>
              <w:widowControl w:val="0"/>
              <w:kinsoku/>
              <w:wordWrap/>
              <w:overflowPunct/>
              <w:topLinePunct w:val="0"/>
              <w:autoSpaceDE/>
              <w:autoSpaceDN/>
              <w:bidi w:val="0"/>
              <w:ind w:left="0" w:leftChars="0" w:firstLine="210" w:firstLineChars="100"/>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采购人的联系人：</w:t>
            </w:r>
            <w:r>
              <w:rPr>
                <w:rFonts w:hint="eastAsia" w:cs="宋体"/>
                <w:color w:val="auto"/>
                <w:sz w:val="21"/>
                <w:szCs w:val="21"/>
                <w:highlight w:val="none"/>
                <w:lang w:val="zh-CN" w:eastAsia="zh-CN" w:bidi="ar-SA"/>
              </w:rPr>
              <w:t>邓老师</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联系电话：</w:t>
            </w:r>
            <w:r>
              <w:rPr>
                <w:rFonts w:hint="eastAsia" w:cs="宋体"/>
                <w:color w:val="auto"/>
                <w:sz w:val="21"/>
                <w:szCs w:val="21"/>
                <w:highlight w:val="none"/>
                <w:lang w:val="en-US" w:eastAsia="zh-CN" w:bidi="ar-SA"/>
              </w:rPr>
              <w:t>028-83503886</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文件中的其他内容、采购过程及</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val="zh-CN"/>
              </w:rPr>
              <w:t>结果的询问、质疑，向代理机构提出，并由代理机构按相关规定作出答复。</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采购代理机构的联系人：</w:t>
            </w:r>
            <w:r>
              <w:rPr>
                <w:rFonts w:hint="eastAsia" w:cs="宋体"/>
                <w:color w:val="auto"/>
                <w:sz w:val="21"/>
                <w:szCs w:val="21"/>
                <w:highlight w:val="none"/>
                <w:lang w:val="zh-CN"/>
              </w:rPr>
              <w:t>王女士</w:t>
            </w:r>
            <w:r>
              <w:rPr>
                <w:rFonts w:hint="eastAsia" w:ascii="宋体" w:hAnsi="宋体" w:eastAsia="宋体" w:cs="宋体"/>
                <w:color w:val="auto"/>
                <w:sz w:val="21"/>
                <w:szCs w:val="21"/>
                <w:highlight w:val="none"/>
                <w:lang w:val="zh-CN"/>
              </w:rPr>
              <w:t>、</w:t>
            </w:r>
            <w:r>
              <w:rPr>
                <w:rFonts w:hint="eastAsia" w:cs="宋体"/>
                <w:color w:val="auto"/>
                <w:sz w:val="21"/>
                <w:szCs w:val="21"/>
                <w:highlight w:val="none"/>
                <w:lang w:val="zh-CN"/>
              </w:rPr>
              <w:t>胡</w:t>
            </w:r>
            <w:r>
              <w:rPr>
                <w:rFonts w:hint="eastAsia" w:ascii="宋体" w:hAnsi="宋体" w:eastAsia="宋体" w:cs="宋体"/>
                <w:color w:val="auto"/>
                <w:sz w:val="21"/>
                <w:szCs w:val="21"/>
                <w:highlight w:val="none"/>
                <w:lang w:val="zh-CN"/>
              </w:rPr>
              <w:t>女士  联系电话：</w:t>
            </w:r>
            <w:r>
              <w:rPr>
                <w:rFonts w:hint="eastAsia" w:ascii="宋体" w:hAnsi="宋体" w:eastAsia="宋体" w:cs="宋体"/>
                <w:color w:val="auto"/>
                <w:sz w:val="21"/>
                <w:szCs w:val="21"/>
                <w:highlight w:val="none"/>
              </w:rPr>
              <w:t>028-87701706</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注：根据《中华人民共和国政府采购法》的规定，供应商质疑不得超出采购文件、采购过程、采购结果的范围。供应商针对同一采购程序环节的质疑应在法定质疑期内一次性提出。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tcBorders>
              <w:top w:val="single" w:color="auto" w:sz="8" w:space="0"/>
              <w:left w:val="single" w:color="auto" w:sz="8" w:space="0"/>
              <w:bottom w:val="single" w:color="auto" w:sz="8" w:space="0"/>
              <w:right w:val="single" w:color="auto" w:sz="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tc>
        <w:tc>
          <w:tcPr>
            <w:tcW w:w="7300" w:type="dxa"/>
            <w:gridSpan w:val="5"/>
            <w:tcBorders>
              <w:top w:val="single" w:color="auto" w:sz="8" w:space="0"/>
              <w:left w:val="single" w:color="auto" w:sz="8" w:space="0"/>
              <w:bottom w:val="single" w:color="auto" w:sz="8" w:space="0"/>
              <w:right w:val="single" w:color="auto" w:sz="1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质疑供应商对采购人或采购代理机构的质疑答复不满意可在答复期满后十五个工作日内向同级政府采购监督管理部门投诉。</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投诉受理单位：本项目同级财政部门，即</w:t>
            </w:r>
            <w:r>
              <w:rPr>
                <w:rFonts w:hint="eastAsia" w:cs="宋体"/>
                <w:color w:val="auto"/>
                <w:sz w:val="21"/>
                <w:szCs w:val="21"/>
                <w:highlight w:val="none"/>
                <w:lang w:val="zh-CN"/>
              </w:rPr>
              <w:t>成都市财政局</w:t>
            </w:r>
            <w:r>
              <w:rPr>
                <w:rFonts w:hint="eastAsia" w:ascii="宋体" w:hAnsi="宋体" w:eastAsia="宋体" w:cs="宋体"/>
                <w:color w:val="auto"/>
                <w:sz w:val="21"/>
                <w:szCs w:val="21"/>
                <w:highlight w:val="none"/>
                <w:lang w:val="zh-CN"/>
              </w:rPr>
              <w:t>。</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联系电话：</w:t>
            </w:r>
            <w:r>
              <w:rPr>
                <w:rFonts w:hint="eastAsia" w:cs="宋体"/>
                <w:color w:val="auto"/>
                <w:sz w:val="21"/>
                <w:szCs w:val="21"/>
                <w:highlight w:val="none"/>
                <w:lang w:val="zh-CN" w:eastAsia="zh-CN"/>
              </w:rPr>
              <w:t>028-61882648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联系地址：</w:t>
            </w:r>
            <w:r>
              <w:rPr>
                <w:rFonts w:hint="eastAsia" w:cs="宋体"/>
                <w:color w:val="auto"/>
                <w:sz w:val="21"/>
                <w:szCs w:val="21"/>
                <w:highlight w:val="none"/>
                <w:lang w:val="zh-CN"/>
              </w:rPr>
              <w:t>成都市高新区锦城大道</w:t>
            </w:r>
            <w:r>
              <w:rPr>
                <w:rFonts w:hint="eastAsia" w:cs="宋体"/>
                <w:color w:val="auto"/>
                <w:sz w:val="21"/>
                <w:szCs w:val="21"/>
                <w:highlight w:val="none"/>
                <w:lang w:val="en-US" w:eastAsia="zh-CN"/>
              </w:rPr>
              <w:t>366号</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注：根据《政府采购质疑和投诉办法》——中华人民共和国财政部令第94号的规定，供应商投诉事项不得超出已质疑事项的范围，但基于质疑答复内容提出的投诉事项除外。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eastAsia" w:ascii="宋体" w:hAnsi="宋体" w:eastAsia="宋体" w:cs="宋体"/>
                <w:color w:val="auto"/>
                <w:sz w:val="21"/>
                <w:szCs w:val="21"/>
                <w:highlight w:val="none"/>
                <w:lang w:val="zh-CN"/>
              </w:rPr>
            </w:pPr>
          </w:p>
        </w:tc>
        <w:tc>
          <w:tcPr>
            <w:tcW w:w="1430" w:type="dxa"/>
            <w:gridSpan w:val="2"/>
            <w:tcBorders>
              <w:top w:val="single" w:color="auto" w:sz="8" w:space="0"/>
              <w:left w:val="single" w:color="auto" w:sz="8" w:space="0"/>
              <w:bottom w:val="single" w:color="auto" w:sz="8" w:space="0"/>
              <w:right w:val="single" w:color="auto" w:sz="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政府采购合同公告备案</w:t>
            </w:r>
          </w:p>
        </w:tc>
        <w:tc>
          <w:tcPr>
            <w:tcW w:w="7300" w:type="dxa"/>
            <w:gridSpan w:val="5"/>
            <w:tcBorders>
              <w:top w:val="single" w:color="auto" w:sz="8" w:space="0"/>
              <w:left w:val="single" w:color="auto" w:sz="8" w:space="0"/>
              <w:bottom w:val="single" w:color="auto" w:sz="8" w:space="0"/>
              <w:right w:val="single" w:color="auto" w:sz="1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政府采购合同签订之日起2个工作日内，政府采购合同将在四川政府采购网公告；政府采购合同签订之日起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个工作日内，政府采购合同将向采购项目同级财政部门备案，即</w:t>
            </w:r>
            <w:r>
              <w:rPr>
                <w:rFonts w:hint="eastAsia" w:cs="宋体"/>
                <w:color w:val="auto"/>
                <w:sz w:val="21"/>
                <w:szCs w:val="21"/>
                <w:highlight w:val="none"/>
                <w:lang w:val="zh-CN"/>
              </w:rPr>
              <w:t>成都市财政局</w:t>
            </w:r>
            <w:r>
              <w:rPr>
                <w:rFonts w:hint="eastAsia" w:ascii="宋体" w:hAnsi="宋体" w:eastAsia="宋体" w:cs="宋体"/>
                <w:color w:val="auto"/>
                <w:sz w:val="21"/>
                <w:szCs w:val="21"/>
                <w:highlight w:val="none"/>
                <w:lang w:val="zh-CN"/>
              </w:rPr>
              <w:t>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p>
        </w:tc>
        <w:tc>
          <w:tcPr>
            <w:tcW w:w="1430" w:type="dxa"/>
            <w:gridSpan w:val="2"/>
            <w:tcBorders>
              <w:top w:val="single" w:color="auto" w:sz="8" w:space="0"/>
              <w:left w:val="single" w:color="auto" w:sz="8" w:space="0"/>
              <w:bottom w:val="single" w:color="auto" w:sz="8" w:space="0"/>
              <w:right w:val="single" w:color="auto" w:sz="8" w:space="0"/>
            </w:tcBorders>
            <w:vAlign w:val="center"/>
          </w:tcPr>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strike w:val="0"/>
                <w:dstrike w:val="0"/>
                <w:color w:val="auto"/>
                <w:sz w:val="21"/>
                <w:szCs w:val="21"/>
                <w:highlight w:val="none"/>
                <w:lang w:val="zh-CN" w:eastAsia="zh-CN" w:bidi="ar-SA"/>
              </w:rPr>
            </w:pPr>
            <w:r>
              <w:rPr>
                <w:rFonts w:hint="eastAsia" w:ascii="宋体" w:hAnsi="宋体" w:eastAsia="宋体" w:cs="宋体"/>
                <w:strike w:val="0"/>
                <w:dstrike w:val="0"/>
                <w:color w:val="auto"/>
                <w:sz w:val="21"/>
                <w:szCs w:val="21"/>
                <w:highlight w:val="none"/>
                <w:lang w:val="en-US" w:eastAsia="zh-CN" w:bidi="ar-SA"/>
              </w:rPr>
              <w:t>代理服务费</w:t>
            </w:r>
          </w:p>
        </w:tc>
        <w:tc>
          <w:tcPr>
            <w:tcW w:w="7300" w:type="dxa"/>
            <w:gridSpan w:val="5"/>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left="0" w:leftChars="0" w:firstLine="210" w:firstLineChars="100"/>
              <w:jc w:val="left"/>
              <w:rPr>
                <w:rFonts w:hint="eastAsia" w:ascii="宋体" w:hAnsi="宋体" w:eastAsia="宋体" w:cs="宋体"/>
                <w:strike w:val="0"/>
                <w:dstrike w:val="0"/>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本项目代理服务费</w:t>
            </w:r>
            <w:r>
              <w:rPr>
                <w:rFonts w:hint="eastAsia" w:ascii="宋体" w:hAnsi="宋体" w:eastAsia="宋体" w:cs="宋体"/>
                <w:color w:val="auto"/>
                <w:sz w:val="21"/>
                <w:szCs w:val="21"/>
                <w:highlight w:val="none"/>
                <w:lang w:val="zh-CN" w:eastAsia="zh-CN" w:bidi="ar-SA"/>
              </w:rPr>
              <w:t>由成交供应商支付，通过银行转账方式向采购代理机构缴纳。按包干价人民币33560元（大写：叁万叁仟伍佰陆拾元整）收取。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p>
        </w:tc>
        <w:tc>
          <w:tcPr>
            <w:tcW w:w="1424" w:type="dxa"/>
            <w:tcBorders>
              <w:top w:val="single" w:color="auto" w:sz="8" w:space="0"/>
              <w:left w:val="single" w:color="auto" w:sz="8" w:space="0"/>
              <w:bottom w:val="single" w:color="auto" w:sz="8" w:space="0"/>
              <w:right w:val="single" w:color="auto" w:sz="4" w:space="0"/>
            </w:tcBorders>
            <w:vAlign w:val="center"/>
          </w:tcPr>
          <w:p>
            <w:pPr>
              <w:bidi w:val="0"/>
              <w:ind w:left="0" w:leftChars="0" w:firstLine="0" w:firstLineChars="0"/>
              <w:jc w:val="center"/>
              <w:rPr>
                <w:rFonts w:hint="eastAsia" w:cs="宋体"/>
                <w:b w:val="0"/>
                <w:bCs w:val="0"/>
                <w:color w:val="auto"/>
                <w:sz w:val="21"/>
                <w:szCs w:val="21"/>
                <w:highlight w:val="none"/>
                <w:lang w:val="zh-CN"/>
              </w:rPr>
            </w:pPr>
            <w:r>
              <w:rPr>
                <w:rFonts w:hint="eastAsia" w:cs="宋体"/>
                <w:b w:val="0"/>
                <w:bCs w:val="0"/>
                <w:color w:val="auto"/>
                <w:sz w:val="21"/>
                <w:szCs w:val="21"/>
                <w:highlight w:val="none"/>
                <w:lang w:val="zh-CN"/>
              </w:rPr>
              <w:t>采购标的</w:t>
            </w:r>
          </w:p>
        </w:tc>
        <w:tc>
          <w:tcPr>
            <w:tcW w:w="1461" w:type="dxa"/>
            <w:gridSpan w:val="2"/>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zh-CN" w:eastAsia="zh-CN" w:bidi="ar-SA"/>
              </w:rPr>
            </w:pPr>
            <w:r>
              <w:rPr>
                <w:rFonts w:hint="eastAsia"/>
                <w:color w:val="auto"/>
                <w:sz w:val="21"/>
                <w:szCs w:val="21"/>
                <w:highlight w:val="none"/>
              </w:rPr>
              <w:t>水果类</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鲜活肉类</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zh-CN" w:eastAsia="zh-CN" w:bidi="ar-SA"/>
              </w:rPr>
            </w:pPr>
            <w:r>
              <w:rPr>
                <w:rFonts w:hint="eastAsia"/>
                <w:color w:val="auto"/>
                <w:sz w:val="21"/>
                <w:szCs w:val="21"/>
                <w:highlight w:val="none"/>
                <w:lang w:eastAsia="zh-CN"/>
              </w:rPr>
              <w:t>蛋禽类</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杂粮类</w:t>
            </w:r>
          </w:p>
        </w:tc>
        <w:tc>
          <w:tcPr>
            <w:tcW w:w="1462" w:type="dxa"/>
            <w:tcBorders>
              <w:top w:val="single" w:color="auto" w:sz="8" w:space="0"/>
              <w:left w:val="single" w:color="auto" w:sz="4" w:space="0"/>
              <w:bottom w:val="single" w:color="auto" w:sz="8" w:space="0"/>
              <w:right w:val="single" w:color="auto" w:sz="18"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颗粒饲料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8"/>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p>
        </w:tc>
        <w:tc>
          <w:tcPr>
            <w:tcW w:w="1424" w:type="dxa"/>
            <w:tcBorders>
              <w:top w:val="single" w:color="auto" w:sz="8" w:space="0"/>
              <w:left w:val="single" w:color="auto" w:sz="8" w:space="0"/>
              <w:bottom w:val="single" w:color="auto" w:sz="8" w:space="0"/>
              <w:right w:val="single" w:color="auto" w:sz="4" w:space="0"/>
            </w:tcBorders>
            <w:vAlign w:val="center"/>
          </w:tcPr>
          <w:p>
            <w:pPr>
              <w:bidi w:val="0"/>
              <w:ind w:left="0" w:leftChars="0" w:firstLine="0" w:firstLineChars="0"/>
              <w:jc w:val="center"/>
              <w:rPr>
                <w:rFonts w:hint="eastAsia" w:cs="宋体"/>
                <w:b w:val="0"/>
                <w:bCs w:val="0"/>
                <w:color w:val="auto"/>
                <w:sz w:val="21"/>
                <w:szCs w:val="21"/>
                <w:highlight w:val="none"/>
                <w:lang w:val="zh-CN"/>
              </w:rPr>
            </w:pPr>
            <w:r>
              <w:rPr>
                <w:rFonts w:hint="eastAsia" w:cs="宋体"/>
                <w:b w:val="0"/>
                <w:bCs w:val="0"/>
                <w:color w:val="auto"/>
                <w:sz w:val="21"/>
                <w:szCs w:val="21"/>
                <w:highlight w:val="none"/>
                <w:lang w:val="zh-CN"/>
              </w:rPr>
              <w:t>所属行业</w:t>
            </w:r>
          </w:p>
        </w:tc>
        <w:tc>
          <w:tcPr>
            <w:tcW w:w="1461" w:type="dxa"/>
            <w:gridSpan w:val="2"/>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农、林、牧、渔业</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农、林、牧、渔业</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农、林、牧、渔业</w:t>
            </w:r>
          </w:p>
        </w:tc>
        <w:tc>
          <w:tcPr>
            <w:tcW w:w="1461" w:type="dxa"/>
            <w:tcBorders>
              <w:top w:val="single" w:color="auto" w:sz="8" w:space="0"/>
              <w:left w:val="single" w:color="auto" w:sz="4" w:space="0"/>
              <w:bottom w:val="single" w:color="auto" w:sz="8" w:space="0"/>
              <w:right w:val="single" w:color="auto" w:sz="4"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农、林、牧、渔业</w:t>
            </w:r>
          </w:p>
        </w:tc>
        <w:tc>
          <w:tcPr>
            <w:tcW w:w="1462" w:type="dxa"/>
            <w:tcBorders>
              <w:top w:val="single" w:color="auto" w:sz="8" w:space="0"/>
              <w:left w:val="single" w:color="auto" w:sz="4" w:space="0"/>
              <w:bottom w:val="single" w:color="auto" w:sz="8" w:space="0"/>
              <w:right w:val="single" w:color="auto" w:sz="18" w:space="0"/>
            </w:tcBorders>
            <w:vAlign w:val="center"/>
          </w:tcPr>
          <w:p>
            <w:pPr>
              <w:ind w:firstLine="0" w:firstLine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lang w:eastAsia="zh-CN"/>
              </w:rPr>
              <w:t>工业</w:t>
            </w:r>
          </w:p>
        </w:tc>
      </w:tr>
    </w:tbl>
    <w:p>
      <w:pPr>
        <w:pStyle w:val="4"/>
        <w:bidi w:val="0"/>
        <w:jc w:val="center"/>
        <w:rPr>
          <w:rFonts w:hint="eastAsia" w:ascii="宋体" w:hAnsi="宋体" w:eastAsia="宋体" w:cs="宋体"/>
          <w:color w:val="auto"/>
          <w:highlight w:val="none"/>
        </w:rPr>
      </w:pPr>
      <w:bookmarkStart w:id="80" w:name="_Toc21051"/>
      <w:bookmarkStart w:id="81" w:name="_Toc28961"/>
      <w:r>
        <w:rPr>
          <w:rFonts w:hint="eastAsia" w:ascii="宋体" w:hAnsi="宋体" w:eastAsia="宋体" w:cs="宋体"/>
          <w:color w:val="auto"/>
          <w:highlight w:val="none"/>
        </w:rPr>
        <w:t>二、总  则</w:t>
      </w:r>
      <w:bookmarkEnd w:id="80"/>
      <w:bookmarkEnd w:id="81"/>
    </w:p>
    <w:p>
      <w:pPr>
        <w:pStyle w:val="5"/>
        <w:bidi w:val="0"/>
        <w:rPr>
          <w:rFonts w:hint="eastAsia" w:ascii="宋体" w:hAnsi="宋体" w:eastAsia="宋体" w:cs="宋体"/>
          <w:color w:val="auto"/>
          <w:highlight w:val="none"/>
        </w:rPr>
      </w:pPr>
      <w:bookmarkStart w:id="82" w:name="_Toc3741"/>
      <w:r>
        <w:rPr>
          <w:rFonts w:hint="eastAsia" w:ascii="宋体" w:hAnsi="宋体" w:eastAsia="宋体" w:cs="宋体"/>
          <w:color w:val="auto"/>
          <w:highlight w:val="none"/>
        </w:rPr>
        <w:t>2.1适用范围</w:t>
      </w:r>
      <w:bookmarkEnd w:id="75"/>
      <w:bookmarkEnd w:id="76"/>
      <w:bookmarkEnd w:id="77"/>
      <w:bookmarkEnd w:id="82"/>
    </w:p>
    <w:p>
      <w:pPr>
        <w:bidi w:val="0"/>
        <w:rPr>
          <w:rFonts w:hint="eastAsia" w:ascii="宋体" w:hAnsi="宋体" w:eastAsia="宋体" w:cs="宋体"/>
          <w:color w:val="auto"/>
          <w:highlight w:val="none"/>
        </w:rPr>
      </w:pPr>
      <w:r>
        <w:rPr>
          <w:rFonts w:hint="eastAsia" w:ascii="宋体" w:hAnsi="宋体" w:eastAsia="宋体" w:cs="宋体"/>
          <w:color w:val="auto"/>
          <w:highlight w:val="none"/>
        </w:rPr>
        <w:t>1、本磋商文件仅适用于本次磋商所叙述的采购项目。</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2、本磋商文件的解释权归采购人和采购代理机构所有。</w:t>
      </w:r>
    </w:p>
    <w:p>
      <w:pPr>
        <w:pStyle w:val="5"/>
        <w:bidi w:val="0"/>
        <w:rPr>
          <w:rFonts w:hint="eastAsia" w:ascii="宋体" w:hAnsi="宋体" w:eastAsia="宋体" w:cs="宋体"/>
          <w:color w:val="auto"/>
          <w:highlight w:val="none"/>
        </w:rPr>
      </w:pPr>
      <w:bookmarkStart w:id="83" w:name="_Toc954"/>
      <w:bookmarkStart w:id="84" w:name="_Toc17017"/>
      <w:bookmarkStart w:id="85" w:name="_Toc20948"/>
      <w:bookmarkStart w:id="86" w:name="_Toc22695"/>
      <w:r>
        <w:rPr>
          <w:rFonts w:hint="eastAsia" w:ascii="宋体" w:hAnsi="宋体" w:eastAsia="宋体" w:cs="宋体"/>
          <w:color w:val="auto"/>
          <w:highlight w:val="none"/>
        </w:rPr>
        <w:t>2.2</w:t>
      </w:r>
      <w:bookmarkEnd w:id="83"/>
      <w:bookmarkEnd w:id="84"/>
      <w:bookmarkEnd w:id="85"/>
      <w:bookmarkEnd w:id="86"/>
      <w:r>
        <w:rPr>
          <w:rFonts w:hint="eastAsia" w:ascii="宋体" w:hAnsi="宋体" w:eastAsia="宋体" w:cs="宋体"/>
          <w:color w:val="auto"/>
          <w:highlight w:val="none"/>
        </w:rPr>
        <w:t>采购主体</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1、本次磋商的采购人是</w:t>
      </w:r>
      <w:r>
        <w:rPr>
          <w:rFonts w:hint="eastAsia" w:cs="宋体"/>
          <w:b/>
          <w:bCs/>
          <w:color w:val="auto"/>
          <w:highlight w:val="none"/>
          <w:u w:val="single"/>
          <w:lang w:eastAsia="zh-CN"/>
        </w:rPr>
        <w:t>成都动物园（成都市野生动物研究所）</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2、本次磋商的采购代理机构是</w:t>
      </w:r>
      <w:r>
        <w:rPr>
          <w:rFonts w:hint="eastAsia" w:ascii="宋体" w:hAnsi="宋体" w:eastAsia="宋体" w:cs="宋体"/>
          <w:b/>
          <w:bCs/>
          <w:color w:val="auto"/>
          <w:highlight w:val="none"/>
          <w:u w:val="single"/>
        </w:rPr>
        <w:t>四川天力招标有限责任公司</w:t>
      </w:r>
      <w:r>
        <w:rPr>
          <w:rFonts w:hint="eastAsia" w:ascii="宋体" w:hAnsi="宋体" w:eastAsia="宋体" w:cs="宋体"/>
          <w:color w:val="auto"/>
          <w:highlight w:val="none"/>
        </w:rPr>
        <w:t>。</w:t>
      </w:r>
    </w:p>
    <w:p>
      <w:pPr>
        <w:pStyle w:val="5"/>
        <w:bidi w:val="0"/>
        <w:rPr>
          <w:rFonts w:hint="eastAsia" w:ascii="宋体" w:hAnsi="宋体" w:eastAsia="宋体" w:cs="宋体"/>
          <w:color w:val="auto"/>
          <w:highlight w:val="none"/>
        </w:rPr>
      </w:pPr>
      <w:bookmarkStart w:id="87" w:name="_Toc31953"/>
      <w:bookmarkStart w:id="88" w:name="_Toc3854"/>
      <w:bookmarkStart w:id="89" w:name="_Toc5765"/>
      <w:bookmarkStart w:id="90" w:name="_Toc27033"/>
      <w:r>
        <w:rPr>
          <w:rFonts w:hint="eastAsia" w:ascii="宋体" w:hAnsi="宋体" w:eastAsia="宋体" w:cs="宋体"/>
          <w:color w:val="auto"/>
          <w:highlight w:val="none"/>
        </w:rPr>
        <w:t>2.3合格的供应商</w:t>
      </w:r>
      <w:bookmarkEnd w:id="87"/>
      <w:bookmarkEnd w:id="88"/>
      <w:bookmarkEnd w:id="89"/>
      <w:bookmarkEnd w:id="90"/>
      <w:r>
        <w:rPr>
          <w:rFonts w:hint="eastAsia" w:ascii="宋体" w:hAnsi="宋体" w:eastAsia="宋体" w:cs="宋体"/>
          <w:color w:val="auto"/>
          <w:highlight w:val="none"/>
        </w:rPr>
        <w:t>（实质性要求）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合格的供应商应具备以下条件：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一、具备法律法规和本采购文件规定的资格条件；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二、不属于禁止参加本项目采购活动的供应商；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三、按照规定获取了磋商文件，属于实质性参加政府采购活动的供应商。</w:t>
      </w:r>
      <w:bookmarkStart w:id="91" w:name="_Toc30639"/>
      <w:bookmarkStart w:id="92" w:name="_Toc10374"/>
      <w:bookmarkStart w:id="93" w:name="_Toc27814"/>
    </w:p>
    <w:p>
      <w:pPr>
        <w:pStyle w:val="5"/>
        <w:bidi w:val="0"/>
        <w:rPr>
          <w:rFonts w:hint="eastAsia" w:ascii="宋体" w:hAnsi="宋体" w:eastAsia="宋体" w:cs="宋体"/>
          <w:color w:val="auto"/>
          <w:highlight w:val="none"/>
        </w:rPr>
      </w:pPr>
      <w:bookmarkStart w:id="94" w:name="_Toc13044"/>
      <w:r>
        <w:rPr>
          <w:rFonts w:hint="eastAsia" w:ascii="宋体" w:hAnsi="宋体" w:eastAsia="宋体" w:cs="宋体"/>
          <w:color w:val="auto"/>
          <w:highlight w:val="none"/>
        </w:rPr>
        <w:t>2.4磋商费用</w:t>
      </w:r>
      <w:bookmarkEnd w:id="91"/>
      <w:bookmarkEnd w:id="92"/>
      <w:bookmarkEnd w:id="93"/>
      <w:bookmarkEnd w:id="94"/>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供应商应自行承担参加磋商活动的全部费用。</w:t>
      </w:r>
    </w:p>
    <w:p>
      <w:pPr>
        <w:pStyle w:val="5"/>
        <w:bidi w:val="0"/>
        <w:rPr>
          <w:rFonts w:hint="eastAsia" w:ascii="宋体" w:hAnsi="宋体" w:eastAsia="宋体" w:cs="宋体"/>
          <w:color w:val="auto"/>
          <w:highlight w:val="none"/>
        </w:rPr>
      </w:pPr>
      <w:bookmarkStart w:id="95" w:name="_Toc28016"/>
      <w:bookmarkStart w:id="96" w:name="_Toc5830"/>
      <w:bookmarkStart w:id="97" w:name="_Toc3253"/>
      <w:bookmarkStart w:id="98" w:name="_Toc9202"/>
      <w:r>
        <w:rPr>
          <w:rFonts w:hint="eastAsia" w:ascii="宋体" w:hAnsi="宋体" w:eastAsia="宋体" w:cs="宋体"/>
          <w:color w:val="auto"/>
          <w:highlight w:val="none"/>
        </w:rPr>
        <w:t>2.5充分、公平竞争保障措施</w:t>
      </w:r>
      <w:bookmarkEnd w:id="95"/>
      <w:bookmarkEnd w:id="96"/>
      <w:bookmarkEnd w:id="97"/>
      <w:r>
        <w:rPr>
          <w:rFonts w:hint="eastAsia" w:ascii="宋体" w:hAnsi="宋体" w:eastAsia="宋体" w:cs="宋体"/>
          <w:color w:val="auto"/>
          <w:highlight w:val="none"/>
        </w:rPr>
        <w:t>（实质性要求）</w:t>
      </w:r>
      <w:bookmarkEnd w:id="98"/>
    </w:p>
    <w:p>
      <w:pPr>
        <w:bidi w:val="0"/>
        <w:rPr>
          <w:rFonts w:hint="eastAsia" w:ascii="宋体" w:hAnsi="宋体" w:eastAsia="宋体" w:cs="宋体"/>
          <w:color w:val="auto"/>
          <w:highlight w:val="none"/>
        </w:rPr>
      </w:pPr>
      <w:bookmarkStart w:id="99" w:name="_Toc16886"/>
      <w:bookmarkStart w:id="100" w:name="_Toc17358"/>
      <w:bookmarkStart w:id="101" w:name="_Toc6994"/>
      <w:bookmarkStart w:id="102" w:name="_Toc11443"/>
      <w:bookmarkStart w:id="103" w:name="_Toc13098"/>
      <w:r>
        <w:rPr>
          <w:rFonts w:hint="eastAsia" w:ascii="宋体" w:hAnsi="宋体" w:eastAsia="宋体" w:cs="宋体"/>
          <w:color w:val="auto"/>
          <w:highlight w:val="none"/>
        </w:rPr>
        <w:t>2.5.1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2.5.2利害关系授权代表处理。两家以上的供应商不得在同一合同项下的采购项目中，委托同一个自然人、同一家庭的人员、同一单位的人员作为其授权代表，否则，其响应文件作为无效处理。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bidi w:val="0"/>
        <w:rPr>
          <w:rFonts w:hint="eastAsia"/>
          <w:color w:val="auto"/>
          <w:highlight w:val="none"/>
        </w:rPr>
      </w:pPr>
      <w:r>
        <w:rPr>
          <w:rFonts w:hint="eastAsia"/>
          <w:color w:val="auto"/>
          <w:highlight w:val="none"/>
          <w:lang w:val="en-US" w:eastAsia="zh-CN"/>
        </w:rPr>
        <w:t>2.5.4</w:t>
      </w:r>
      <w:r>
        <w:rPr>
          <w:rFonts w:hint="eastAsia"/>
          <w:color w:val="auto"/>
          <w:highlight w:val="none"/>
        </w:rPr>
        <w:t>提供相同品牌产品处理。提供相同品牌产品且通过资格审查的不同</w:t>
      </w:r>
      <w:r>
        <w:rPr>
          <w:rFonts w:hint="eastAsia"/>
          <w:color w:val="auto"/>
          <w:highlight w:val="none"/>
          <w:lang w:eastAsia="zh-CN"/>
        </w:rPr>
        <w:t>供应商</w:t>
      </w:r>
      <w:r>
        <w:rPr>
          <w:rFonts w:hint="eastAsia"/>
          <w:color w:val="auto"/>
          <w:highlight w:val="none"/>
        </w:rPr>
        <w:t>参加同一合同项下</w:t>
      </w:r>
      <w:r>
        <w:rPr>
          <w:rFonts w:hint="eastAsia"/>
          <w:color w:val="auto"/>
          <w:highlight w:val="none"/>
          <w:lang w:eastAsia="zh-CN"/>
        </w:rPr>
        <w:t>采购</w:t>
      </w:r>
      <w:r>
        <w:rPr>
          <w:rFonts w:hint="eastAsia"/>
          <w:color w:val="auto"/>
          <w:highlight w:val="none"/>
        </w:rPr>
        <w:t>的，按一家</w:t>
      </w:r>
      <w:r>
        <w:rPr>
          <w:rFonts w:hint="eastAsia"/>
          <w:color w:val="auto"/>
          <w:highlight w:val="none"/>
          <w:lang w:eastAsia="zh-CN"/>
        </w:rPr>
        <w:t>供应商</w:t>
      </w:r>
      <w:r>
        <w:rPr>
          <w:rFonts w:hint="eastAsia"/>
          <w:color w:val="auto"/>
          <w:highlight w:val="none"/>
        </w:rPr>
        <w:t>计算，评审后得分最高的同品牌</w:t>
      </w:r>
      <w:r>
        <w:rPr>
          <w:rFonts w:hint="eastAsia"/>
          <w:color w:val="auto"/>
          <w:highlight w:val="none"/>
          <w:lang w:eastAsia="zh-CN"/>
        </w:rPr>
        <w:t>供应商</w:t>
      </w:r>
      <w:r>
        <w:rPr>
          <w:rFonts w:hint="eastAsia"/>
          <w:color w:val="auto"/>
          <w:highlight w:val="none"/>
        </w:rPr>
        <w:t>获得</w:t>
      </w:r>
      <w:r>
        <w:rPr>
          <w:rFonts w:hint="eastAsia"/>
          <w:color w:val="auto"/>
          <w:highlight w:val="none"/>
          <w:lang w:eastAsia="zh-CN"/>
        </w:rPr>
        <w:t>成交供应商</w:t>
      </w:r>
      <w:r>
        <w:rPr>
          <w:rFonts w:hint="eastAsia"/>
          <w:color w:val="auto"/>
          <w:highlight w:val="none"/>
        </w:rPr>
        <w:t>推荐资格；评审得分相同的，由采购人委托</w:t>
      </w:r>
      <w:r>
        <w:rPr>
          <w:rFonts w:hint="eastAsia"/>
          <w:color w:val="auto"/>
          <w:highlight w:val="none"/>
          <w:lang w:eastAsia="zh-CN"/>
        </w:rPr>
        <w:t>评审委员会</w:t>
      </w:r>
      <w:r>
        <w:rPr>
          <w:rFonts w:hint="eastAsia"/>
          <w:color w:val="auto"/>
          <w:highlight w:val="none"/>
        </w:rPr>
        <w:t>自主采取</w:t>
      </w:r>
      <w:r>
        <w:rPr>
          <w:rFonts w:hint="eastAsia"/>
          <w:color w:val="auto"/>
          <w:highlight w:val="none"/>
          <w:lang w:eastAsia="zh-CN"/>
        </w:rPr>
        <w:t>随机抽取</w:t>
      </w:r>
      <w:r>
        <w:rPr>
          <w:rFonts w:hint="eastAsia"/>
          <w:color w:val="auto"/>
          <w:highlight w:val="none"/>
        </w:rPr>
        <w:t>的方式确定一个</w:t>
      </w:r>
      <w:r>
        <w:rPr>
          <w:rFonts w:hint="eastAsia"/>
          <w:color w:val="auto"/>
          <w:highlight w:val="none"/>
          <w:lang w:eastAsia="zh-CN"/>
        </w:rPr>
        <w:t>供应商</w:t>
      </w:r>
      <w:r>
        <w:rPr>
          <w:rFonts w:hint="eastAsia"/>
          <w:color w:val="auto"/>
          <w:highlight w:val="none"/>
        </w:rPr>
        <w:t>获得</w:t>
      </w:r>
      <w:r>
        <w:rPr>
          <w:rFonts w:hint="eastAsia"/>
          <w:color w:val="auto"/>
          <w:highlight w:val="none"/>
          <w:lang w:eastAsia="zh-CN"/>
        </w:rPr>
        <w:t>成交供应商</w:t>
      </w:r>
      <w:r>
        <w:rPr>
          <w:rFonts w:hint="eastAsia"/>
          <w:color w:val="auto"/>
          <w:highlight w:val="none"/>
        </w:rPr>
        <w:t>推荐资格，其他同品牌</w:t>
      </w:r>
      <w:r>
        <w:rPr>
          <w:rFonts w:hint="eastAsia"/>
          <w:color w:val="auto"/>
          <w:highlight w:val="none"/>
          <w:lang w:eastAsia="zh-CN"/>
        </w:rPr>
        <w:t>供应商</w:t>
      </w:r>
      <w:r>
        <w:rPr>
          <w:rFonts w:hint="eastAsia"/>
          <w:color w:val="auto"/>
          <w:highlight w:val="none"/>
        </w:rPr>
        <w:t>不作为</w:t>
      </w:r>
      <w:r>
        <w:rPr>
          <w:rFonts w:hint="eastAsia"/>
          <w:color w:val="auto"/>
          <w:highlight w:val="none"/>
          <w:lang w:eastAsia="zh-CN"/>
        </w:rPr>
        <w:t>成交</w:t>
      </w:r>
      <w:r>
        <w:rPr>
          <w:rFonts w:hint="eastAsia"/>
          <w:color w:val="auto"/>
          <w:highlight w:val="none"/>
        </w:rPr>
        <w:t>候选人。</w:t>
      </w:r>
    </w:p>
    <w:p>
      <w:pPr>
        <w:bidi w:val="0"/>
        <w:rPr>
          <w:rFonts w:hint="eastAsia"/>
          <w:color w:val="auto"/>
          <w:highlight w:val="none"/>
        </w:rPr>
      </w:pPr>
      <w:r>
        <w:rPr>
          <w:rFonts w:hint="eastAsia"/>
          <w:color w:val="auto"/>
          <w:highlight w:val="none"/>
        </w:rPr>
        <w:t>非单一产品采购项目</w:t>
      </w:r>
      <w:r>
        <w:rPr>
          <w:rFonts w:hint="eastAsia"/>
          <w:color w:val="auto"/>
          <w:highlight w:val="none"/>
          <w:lang w:eastAsia="zh-CN"/>
        </w:rPr>
        <w:t>中</w:t>
      </w:r>
      <w:r>
        <w:rPr>
          <w:rFonts w:hint="eastAsia"/>
          <w:color w:val="auto"/>
          <w:highlight w:val="none"/>
        </w:rPr>
        <w:t>，多家供应商提供的部分或所有核心产品品牌相同的，视为提供相同品牌产品。本采购项目核心产品为：</w:t>
      </w:r>
      <w:r>
        <w:rPr>
          <w:rFonts w:hint="eastAsia"/>
          <w:b/>
          <w:bCs/>
          <w:color w:val="auto"/>
          <w:highlight w:val="none"/>
        </w:rPr>
        <w:t>牛肉。</w:t>
      </w:r>
      <w:r>
        <w:rPr>
          <w:rFonts w:hint="eastAsia"/>
          <w:color w:val="auto"/>
          <w:highlight w:val="none"/>
        </w:rPr>
        <w:t>多家供应商提供的核心产品品牌相同的，按前款规定处理。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cs="宋体"/>
          <w:color w:val="auto"/>
          <w:highlight w:val="none"/>
          <w:lang w:val="en-US" w:eastAsia="zh-CN"/>
        </w:rPr>
        <w:t>5</w:t>
      </w:r>
      <w:r>
        <w:rPr>
          <w:rFonts w:hint="eastAsia" w:ascii="宋体" w:hAnsi="宋体" w:eastAsia="宋体" w:cs="宋体"/>
          <w:color w:val="auto"/>
          <w:highlight w:val="none"/>
        </w:rPr>
        <w:t>供应商实际控制人或者中高级管理人员，同时是采购代理机构工作人员，不得参与本项目政府采购活动。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cs="宋体"/>
          <w:color w:val="auto"/>
          <w:highlight w:val="none"/>
          <w:lang w:val="en-US" w:eastAsia="zh-CN"/>
        </w:rPr>
        <w:t>6</w:t>
      </w:r>
      <w:r>
        <w:rPr>
          <w:rFonts w:hint="eastAsia" w:ascii="宋体" w:hAnsi="宋体" w:eastAsia="宋体" w:cs="宋体"/>
          <w:color w:val="auto"/>
          <w:highlight w:val="none"/>
        </w:rPr>
        <w:t>同一母公司的两家以上的子公司只能组成联合体参加本项目同一合同项下的采购活动，不得以不同供应商身份同时参加本项目同一合同项下的采购活动。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cs="宋体"/>
          <w:color w:val="auto"/>
          <w:highlight w:val="none"/>
          <w:lang w:val="en-US" w:eastAsia="zh-CN"/>
        </w:rPr>
        <w:t>7</w:t>
      </w:r>
      <w:r>
        <w:rPr>
          <w:rFonts w:hint="eastAsia" w:ascii="宋体" w:hAnsi="宋体" w:eastAsia="宋体" w:cs="宋体"/>
          <w:color w:val="auto"/>
          <w:highlight w:val="none"/>
        </w:rPr>
        <w:t>供应商与采购代理机构存在关联关系，或者是采购代理机构的母公司或子公司，不得参加本项目政府采购活动。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cs="宋体"/>
          <w:color w:val="auto"/>
          <w:highlight w:val="none"/>
          <w:lang w:val="en-US" w:eastAsia="zh-CN"/>
        </w:rPr>
        <w:t>8</w:t>
      </w:r>
      <w:r>
        <w:rPr>
          <w:rFonts w:hint="eastAsia" w:ascii="宋体" w:hAnsi="宋体" w:eastAsia="宋体" w:cs="宋体"/>
          <w:color w:val="auto"/>
          <w:highlight w:val="none"/>
        </w:rPr>
        <w:t>回避。政府采购活动中，采购人员及相关人员与供应商有下列利害关系之一的，应当回避：</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2.6.联合体竞争性磋商（实质性要求）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b/>
          <w:bCs/>
          <w:color w:val="auto"/>
          <w:highlight w:val="none"/>
        </w:rPr>
        <w:t>不接受</w:t>
      </w:r>
      <w:r>
        <w:rPr>
          <w:rFonts w:hint="eastAsia" w:ascii="宋体" w:hAnsi="宋体" w:eastAsia="宋体" w:cs="宋体"/>
          <w:color w:val="auto"/>
          <w:highlight w:val="none"/>
        </w:rPr>
        <w:t>联合体参与采购活动。</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2.7.磋商保证金（实质性要求）</w:t>
      </w:r>
    </w:p>
    <w:p>
      <w:pPr>
        <w:bidi w:val="0"/>
        <w:rPr>
          <w:rFonts w:hint="eastAsia"/>
          <w:color w:val="auto"/>
          <w:highlight w:val="none"/>
        </w:rPr>
      </w:pPr>
      <w:r>
        <w:rPr>
          <w:rFonts w:hint="eastAsia"/>
          <w:color w:val="auto"/>
          <w:highlight w:val="none"/>
        </w:rPr>
        <w:t>本项目无磋商保证金。</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2.8.响应文件有效期（实质性要求）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2.9.知识产权（实质性要求）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2.9.2 除非磋商文件特别规定，采购人享有本项目实施过程中产生的知识成果及知识产权。</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2.9.4 如采用供应商所不拥有的知识产权，则在报价中必须包括合法获取该知识产权的相关费用。</w:t>
      </w:r>
    </w:p>
    <w:p>
      <w:pPr>
        <w:pStyle w:val="4"/>
        <w:bidi w:val="0"/>
        <w:jc w:val="center"/>
        <w:rPr>
          <w:rFonts w:hint="eastAsia" w:ascii="宋体" w:hAnsi="宋体" w:eastAsia="宋体" w:cs="宋体"/>
          <w:color w:val="auto"/>
          <w:highlight w:val="none"/>
        </w:rPr>
      </w:pPr>
      <w:bookmarkStart w:id="104" w:name="_Toc20200"/>
      <w:bookmarkStart w:id="105" w:name="_Toc11414"/>
      <w:r>
        <w:rPr>
          <w:rFonts w:hint="eastAsia" w:ascii="宋体" w:hAnsi="宋体" w:eastAsia="宋体" w:cs="宋体"/>
          <w:color w:val="auto"/>
          <w:highlight w:val="none"/>
        </w:rPr>
        <w:t>三、磋商文件</w:t>
      </w:r>
      <w:bookmarkEnd w:id="104"/>
      <w:bookmarkEnd w:id="105"/>
      <w:bookmarkStart w:id="106" w:name="_Toc183582210"/>
      <w:bookmarkStart w:id="107" w:name="_Toc183682347"/>
      <w:bookmarkStart w:id="108" w:name="_Toc217446039"/>
    </w:p>
    <w:p>
      <w:pPr>
        <w:pStyle w:val="5"/>
        <w:bidi w:val="0"/>
        <w:ind w:left="0" w:firstLine="0"/>
        <w:rPr>
          <w:rFonts w:hint="eastAsia" w:ascii="宋体" w:hAnsi="宋体" w:eastAsia="宋体" w:cs="宋体"/>
          <w:color w:val="auto"/>
          <w:highlight w:val="none"/>
        </w:rPr>
      </w:pPr>
      <w:bookmarkStart w:id="109" w:name="_Toc27328"/>
      <w:r>
        <w:rPr>
          <w:rFonts w:hint="eastAsia" w:ascii="宋体" w:hAnsi="宋体" w:eastAsia="宋体" w:cs="宋体"/>
          <w:color w:val="auto"/>
          <w:highlight w:val="none"/>
        </w:rPr>
        <w:t>2.10.磋商文件的构成</w:t>
      </w:r>
      <w:bookmarkEnd w:id="106"/>
      <w:bookmarkEnd w:id="107"/>
      <w:bookmarkEnd w:id="108"/>
      <w:r>
        <w:rPr>
          <w:rFonts w:hint="eastAsia" w:ascii="宋体" w:hAnsi="宋体" w:eastAsia="宋体" w:cs="宋体"/>
          <w:color w:val="auto"/>
          <w:highlight w:val="none"/>
        </w:rPr>
        <w:t>（实质性要求）</w:t>
      </w:r>
      <w:bookmarkEnd w:id="109"/>
    </w:p>
    <w:p>
      <w:pPr>
        <w:bidi w:val="0"/>
        <w:rPr>
          <w:rFonts w:hint="eastAsia" w:ascii="宋体" w:hAnsi="宋体" w:eastAsia="宋体" w:cs="宋体"/>
          <w:color w:val="auto"/>
          <w:highlight w:val="none"/>
        </w:rPr>
      </w:pPr>
      <w:r>
        <w:rPr>
          <w:rFonts w:hint="eastAsia" w:ascii="宋体" w:hAnsi="宋体" w:eastAsia="宋体" w:cs="宋体"/>
          <w:color w:val="auto"/>
          <w:highlight w:val="none"/>
        </w:rPr>
        <w:t>2.10.1 磋商文件是供应商准备响应文件和参加磋商的依据，同时也是磋商的重要依据。磋商文件用以阐明磋商项目所需的资质、技术、服务及报价等要求、磋商程序、有关规定和注意事项以及合同主要条款等。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110" w:name="_Toc183682348"/>
      <w:bookmarkStart w:id="111" w:name="_Toc183582211"/>
      <w:bookmarkStart w:id="112" w:name="_Toc217446040"/>
    </w:p>
    <w:p>
      <w:pPr>
        <w:pStyle w:val="5"/>
        <w:bidi w:val="0"/>
        <w:ind w:left="0" w:firstLine="0"/>
        <w:rPr>
          <w:rFonts w:hint="eastAsia" w:ascii="宋体" w:hAnsi="宋体" w:eastAsia="宋体" w:cs="宋体"/>
          <w:color w:val="auto"/>
          <w:highlight w:val="none"/>
        </w:rPr>
      </w:pPr>
      <w:bookmarkStart w:id="113" w:name="_Toc10032"/>
      <w:r>
        <w:rPr>
          <w:rFonts w:hint="eastAsia" w:ascii="宋体" w:hAnsi="宋体" w:eastAsia="宋体" w:cs="宋体"/>
          <w:color w:val="auto"/>
          <w:highlight w:val="none"/>
        </w:rPr>
        <w:t>2.11.磋商文件的澄清</w:t>
      </w:r>
      <w:bookmarkEnd w:id="110"/>
      <w:bookmarkEnd w:id="111"/>
      <w:r>
        <w:rPr>
          <w:rFonts w:hint="eastAsia" w:ascii="宋体" w:hAnsi="宋体" w:eastAsia="宋体" w:cs="宋体"/>
          <w:color w:val="auto"/>
          <w:highlight w:val="none"/>
        </w:rPr>
        <w:t>和修改</w:t>
      </w:r>
      <w:bookmarkEnd w:id="112"/>
      <w:bookmarkEnd w:id="113"/>
    </w:p>
    <w:p>
      <w:pPr>
        <w:bidi w:val="0"/>
        <w:rPr>
          <w:rFonts w:hint="eastAsia" w:ascii="宋体" w:hAnsi="宋体" w:eastAsia="宋体" w:cs="宋体"/>
          <w:color w:val="auto"/>
          <w:highlight w:val="none"/>
        </w:rPr>
      </w:pPr>
      <w:r>
        <w:rPr>
          <w:rFonts w:hint="eastAsia" w:ascii="宋体" w:hAnsi="宋体" w:eastAsia="宋体" w:cs="宋体"/>
          <w:color w:val="auto"/>
          <w:highlight w:val="none"/>
        </w:rPr>
        <w:t>2.11.1 在递交响应文件截止时间前，采购人、采购代理机构可以对磋商文件进行澄清或者修改。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2.11.2 采购人或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至少5日前；不足上述时间的，应当顺延递交响应文件的截止时间。</w:t>
      </w:r>
    </w:p>
    <w:p>
      <w:pPr>
        <w:pStyle w:val="5"/>
        <w:bidi w:val="0"/>
        <w:ind w:left="0" w:firstLine="0"/>
        <w:rPr>
          <w:rFonts w:hint="eastAsia" w:ascii="宋体" w:hAnsi="宋体" w:eastAsia="宋体" w:cs="宋体"/>
          <w:color w:val="auto"/>
          <w:highlight w:val="none"/>
        </w:rPr>
      </w:pPr>
      <w:bookmarkStart w:id="114" w:name="_Toc217446041"/>
      <w:bookmarkStart w:id="115" w:name="_Toc208848971"/>
      <w:bookmarkStart w:id="116" w:name="_Toc20357"/>
      <w:r>
        <w:rPr>
          <w:rFonts w:hint="eastAsia" w:ascii="宋体" w:hAnsi="宋体" w:eastAsia="宋体" w:cs="宋体"/>
          <w:color w:val="auto"/>
          <w:highlight w:val="none"/>
        </w:rPr>
        <w:t>2.12.答疑会和现场考察</w:t>
      </w:r>
      <w:bookmarkEnd w:id="114"/>
      <w:bookmarkEnd w:id="115"/>
      <w:bookmarkEnd w:id="116"/>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本项目不组织答疑会和现场考察。</w:t>
      </w:r>
    </w:p>
    <w:p>
      <w:pPr>
        <w:pStyle w:val="4"/>
        <w:bidi w:val="0"/>
        <w:jc w:val="center"/>
        <w:rPr>
          <w:rFonts w:hint="eastAsia" w:ascii="宋体" w:hAnsi="宋体" w:eastAsia="宋体" w:cs="宋体"/>
          <w:color w:val="auto"/>
          <w:highlight w:val="none"/>
        </w:rPr>
      </w:pPr>
      <w:bookmarkStart w:id="117" w:name="_Toc183582214"/>
      <w:bookmarkStart w:id="118" w:name="_Toc13891"/>
      <w:bookmarkStart w:id="119" w:name="_Toc22783"/>
      <w:bookmarkStart w:id="120" w:name="_Toc89075876"/>
      <w:bookmarkStart w:id="121" w:name="_Toc77400780"/>
      <w:bookmarkStart w:id="122" w:name="_Toc183682351"/>
      <w:bookmarkStart w:id="123" w:name="_Toc217446042"/>
      <w:r>
        <w:rPr>
          <w:rFonts w:hint="eastAsia" w:ascii="宋体" w:hAnsi="宋体" w:eastAsia="宋体" w:cs="宋体"/>
          <w:color w:val="auto"/>
          <w:highlight w:val="none"/>
        </w:rPr>
        <w:t>四、响应文件</w:t>
      </w:r>
      <w:bookmarkEnd w:id="117"/>
      <w:bookmarkEnd w:id="118"/>
      <w:bookmarkEnd w:id="119"/>
      <w:bookmarkEnd w:id="120"/>
      <w:bookmarkEnd w:id="121"/>
      <w:bookmarkEnd w:id="122"/>
      <w:bookmarkEnd w:id="123"/>
    </w:p>
    <w:p>
      <w:pPr>
        <w:pStyle w:val="5"/>
        <w:bidi w:val="0"/>
        <w:ind w:left="0" w:firstLine="0"/>
        <w:rPr>
          <w:rFonts w:hint="eastAsia" w:ascii="宋体" w:hAnsi="宋体" w:eastAsia="宋体" w:cs="宋体"/>
          <w:color w:val="auto"/>
          <w:highlight w:val="none"/>
        </w:rPr>
      </w:pPr>
      <w:bookmarkStart w:id="124" w:name="_Toc14531"/>
      <w:bookmarkStart w:id="125" w:name="_Toc183682352"/>
      <w:bookmarkStart w:id="126" w:name="_Toc217446043"/>
      <w:bookmarkStart w:id="127" w:name="_Toc183582215"/>
      <w:r>
        <w:rPr>
          <w:rFonts w:hint="eastAsia" w:ascii="宋体" w:hAnsi="宋体" w:eastAsia="宋体" w:cs="宋体"/>
          <w:color w:val="auto"/>
          <w:highlight w:val="none"/>
        </w:rPr>
        <w:t>2.13.响应文件的组成（实质性要求）</w:t>
      </w:r>
      <w:bookmarkEnd w:id="124"/>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供应商应按照磋商文件的规定和要求编制响应文件。</w:t>
      </w:r>
    </w:p>
    <w:p>
      <w:pPr>
        <w:pStyle w:val="5"/>
        <w:bidi w:val="0"/>
        <w:ind w:left="0" w:firstLine="0"/>
        <w:rPr>
          <w:rFonts w:hint="eastAsia" w:ascii="宋体" w:hAnsi="宋体" w:eastAsia="宋体" w:cs="宋体"/>
          <w:color w:val="auto"/>
          <w:highlight w:val="none"/>
        </w:rPr>
      </w:pPr>
      <w:bookmarkStart w:id="128" w:name="_Toc19270"/>
      <w:r>
        <w:rPr>
          <w:rFonts w:hint="eastAsia" w:ascii="宋体" w:hAnsi="宋体" w:eastAsia="宋体" w:cs="宋体"/>
          <w:color w:val="auto"/>
          <w:highlight w:val="none"/>
        </w:rPr>
        <w:t>2.14.响应文件的语言</w:t>
      </w:r>
      <w:bookmarkEnd w:id="125"/>
      <w:bookmarkEnd w:id="126"/>
      <w:bookmarkEnd w:id="127"/>
      <w:r>
        <w:rPr>
          <w:rFonts w:hint="eastAsia" w:ascii="宋体" w:hAnsi="宋体" w:eastAsia="宋体" w:cs="宋体"/>
          <w:color w:val="auto"/>
          <w:highlight w:val="none"/>
        </w:rPr>
        <w:t>（实质性要求）</w:t>
      </w:r>
      <w:bookmarkEnd w:id="128"/>
    </w:p>
    <w:p>
      <w:pPr>
        <w:bidi w:val="0"/>
        <w:rPr>
          <w:rFonts w:hint="eastAsia" w:ascii="宋体" w:hAnsi="宋体" w:eastAsia="宋体" w:cs="宋体"/>
          <w:color w:val="auto"/>
          <w:highlight w:val="none"/>
        </w:rPr>
      </w:pPr>
      <w:r>
        <w:rPr>
          <w:rFonts w:hint="eastAsia" w:ascii="宋体" w:hAnsi="宋体" w:eastAsia="宋体" w:cs="宋体"/>
          <w:color w:val="auto"/>
          <w:highlight w:val="none"/>
        </w:rPr>
        <w:t>2.14.1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为外籍人士的，法定代表人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的签字和护照除外。）</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2.14.2 翻译的中文资料与外文资料如果出现差异和矛盾，以中文为准。但不能故意错误翻译，否则，供应商的响应文件将作为无效处理。</w:t>
      </w:r>
      <w:bookmarkStart w:id="129" w:name="_Toc217446044"/>
      <w:bookmarkStart w:id="130" w:name="_Toc183682353"/>
      <w:bookmarkStart w:id="131" w:name="_Toc183582216"/>
    </w:p>
    <w:p>
      <w:pPr>
        <w:pStyle w:val="5"/>
        <w:bidi w:val="0"/>
        <w:ind w:left="0" w:firstLine="0"/>
        <w:rPr>
          <w:rFonts w:hint="eastAsia" w:ascii="宋体" w:hAnsi="宋体" w:eastAsia="宋体" w:cs="宋体"/>
          <w:color w:val="auto"/>
          <w:highlight w:val="none"/>
        </w:rPr>
      </w:pPr>
      <w:bookmarkStart w:id="132" w:name="_Toc19238"/>
      <w:r>
        <w:rPr>
          <w:rFonts w:hint="eastAsia" w:ascii="宋体" w:hAnsi="宋体" w:eastAsia="宋体" w:cs="宋体"/>
          <w:color w:val="auto"/>
          <w:highlight w:val="none"/>
        </w:rPr>
        <w:t>2.15计量单位</w:t>
      </w:r>
      <w:bookmarkEnd w:id="129"/>
      <w:bookmarkEnd w:id="130"/>
      <w:bookmarkEnd w:id="131"/>
      <w:r>
        <w:rPr>
          <w:rFonts w:hint="eastAsia" w:ascii="宋体" w:hAnsi="宋体" w:eastAsia="宋体" w:cs="宋体"/>
          <w:color w:val="auto"/>
          <w:highlight w:val="none"/>
        </w:rPr>
        <w:t>（实质性要求）</w:t>
      </w:r>
      <w:bookmarkEnd w:id="132"/>
    </w:p>
    <w:p>
      <w:pPr>
        <w:bidi w:val="0"/>
        <w:rPr>
          <w:rFonts w:hint="eastAsia" w:ascii="宋体" w:hAnsi="宋体" w:eastAsia="宋体" w:cs="宋体"/>
          <w:color w:val="auto"/>
          <w:highlight w:val="none"/>
        </w:rPr>
      </w:pPr>
      <w:r>
        <w:rPr>
          <w:rFonts w:hint="eastAsia" w:ascii="宋体" w:hAnsi="宋体" w:eastAsia="宋体" w:cs="宋体"/>
          <w:color w:val="auto"/>
          <w:highlight w:val="none"/>
        </w:rPr>
        <w:t>除磋商文件中另有规定外，本次采购项目所有合同项下的报价均采用国家法定的计量单位。</w:t>
      </w:r>
      <w:bookmarkStart w:id="133" w:name="_Toc217446045"/>
    </w:p>
    <w:p>
      <w:pPr>
        <w:pStyle w:val="5"/>
        <w:bidi w:val="0"/>
        <w:ind w:left="0" w:firstLine="0"/>
        <w:rPr>
          <w:rFonts w:hint="eastAsia" w:ascii="宋体" w:hAnsi="宋体" w:eastAsia="宋体" w:cs="宋体"/>
          <w:color w:val="auto"/>
          <w:highlight w:val="none"/>
        </w:rPr>
      </w:pPr>
      <w:bookmarkStart w:id="134" w:name="_Toc21756"/>
      <w:r>
        <w:rPr>
          <w:rFonts w:hint="eastAsia" w:ascii="宋体" w:hAnsi="宋体" w:eastAsia="宋体" w:cs="宋体"/>
          <w:color w:val="auto"/>
          <w:highlight w:val="none"/>
        </w:rPr>
        <w:t>2.16.报价货币（实质性要求）</w:t>
      </w:r>
      <w:bookmarkEnd w:id="134"/>
    </w:p>
    <w:p>
      <w:pPr>
        <w:bidi w:val="0"/>
        <w:rPr>
          <w:rFonts w:hint="eastAsia" w:ascii="宋体" w:hAnsi="宋体" w:eastAsia="宋体" w:cs="宋体"/>
          <w:color w:val="auto"/>
          <w:highlight w:val="none"/>
        </w:rPr>
      </w:pPr>
      <w:r>
        <w:rPr>
          <w:rFonts w:hint="eastAsia" w:ascii="宋体" w:hAnsi="宋体" w:eastAsia="宋体" w:cs="宋体"/>
          <w:color w:val="auto"/>
          <w:highlight w:val="none"/>
        </w:rPr>
        <w:t>本次磋商项目的报价货币为人民币，报价以磋商文件规定为准。</w:t>
      </w:r>
    </w:p>
    <w:bookmarkEnd w:id="133"/>
    <w:p>
      <w:pPr>
        <w:pStyle w:val="5"/>
        <w:bidi w:val="0"/>
        <w:ind w:left="0" w:firstLine="0"/>
        <w:rPr>
          <w:rFonts w:hint="eastAsia" w:ascii="宋体" w:hAnsi="宋体" w:eastAsia="宋体" w:cs="宋体"/>
          <w:color w:val="auto"/>
          <w:highlight w:val="none"/>
        </w:rPr>
      </w:pPr>
      <w:bookmarkStart w:id="135" w:name="_Toc19461"/>
      <w:r>
        <w:rPr>
          <w:rFonts w:hint="eastAsia" w:ascii="宋体" w:hAnsi="宋体" w:eastAsia="宋体" w:cs="宋体"/>
          <w:color w:val="auto"/>
          <w:highlight w:val="none"/>
        </w:rPr>
        <w:t>2.17.响应文件格式</w:t>
      </w:r>
      <w:bookmarkEnd w:id="135"/>
    </w:p>
    <w:p>
      <w:pPr>
        <w:bidi w:val="0"/>
        <w:rPr>
          <w:rFonts w:hint="eastAsia" w:ascii="宋体" w:hAnsi="宋体" w:eastAsia="宋体" w:cs="宋体"/>
          <w:color w:val="auto"/>
          <w:highlight w:val="none"/>
        </w:rPr>
      </w:pPr>
      <w:r>
        <w:rPr>
          <w:rFonts w:hint="eastAsia" w:ascii="宋体" w:hAnsi="宋体" w:eastAsia="宋体" w:cs="宋体"/>
          <w:color w:val="auto"/>
          <w:highlight w:val="none"/>
        </w:rPr>
        <w:t>2.17.1 供应商应执行磋商文件第七章的规定要求。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2.17.2 对于没有格式要求的磋商文件由供应商自行编写。</w:t>
      </w:r>
      <w:bookmarkStart w:id="136" w:name="_Toc183682361"/>
      <w:bookmarkStart w:id="137" w:name="_Toc183582224"/>
      <w:bookmarkStart w:id="138" w:name="_Toc217446051"/>
    </w:p>
    <w:p>
      <w:pPr>
        <w:pStyle w:val="5"/>
        <w:bidi w:val="0"/>
        <w:ind w:left="0" w:firstLine="0"/>
        <w:rPr>
          <w:rFonts w:hint="eastAsia" w:ascii="宋体" w:hAnsi="宋体" w:eastAsia="宋体" w:cs="宋体"/>
          <w:color w:val="auto"/>
          <w:highlight w:val="none"/>
        </w:rPr>
      </w:pPr>
      <w:bookmarkStart w:id="139" w:name="_Toc22142"/>
      <w:r>
        <w:rPr>
          <w:rFonts w:hint="eastAsia" w:ascii="宋体" w:hAnsi="宋体" w:eastAsia="宋体" w:cs="宋体"/>
          <w:color w:val="auto"/>
          <w:highlight w:val="none"/>
        </w:rPr>
        <w:t>2.18.响应文件的编制和签署</w:t>
      </w:r>
      <w:bookmarkEnd w:id="136"/>
      <w:bookmarkEnd w:id="137"/>
      <w:bookmarkEnd w:id="138"/>
      <w:bookmarkEnd w:id="139"/>
    </w:p>
    <w:p>
      <w:pPr>
        <w:bidi w:val="0"/>
        <w:rPr>
          <w:rFonts w:hint="eastAsia" w:ascii="宋体" w:hAnsi="宋体" w:eastAsia="宋体" w:cs="宋体"/>
          <w:color w:val="auto"/>
          <w:highlight w:val="none"/>
        </w:rPr>
      </w:pPr>
      <w:r>
        <w:rPr>
          <w:rFonts w:hint="eastAsia" w:ascii="宋体" w:hAnsi="宋体" w:eastAsia="宋体" w:cs="宋体"/>
          <w:b/>
          <w:bCs/>
          <w:color w:val="auto"/>
          <w:highlight w:val="none"/>
        </w:rPr>
        <w:t>1、资格性响应文件正本一份副本二份</w:t>
      </w:r>
      <w:r>
        <w:rPr>
          <w:rFonts w:hint="eastAsia" w:ascii="宋体" w:hAnsi="宋体" w:eastAsia="宋体" w:cs="宋体"/>
          <w:color w:val="auto"/>
          <w:highlight w:val="none"/>
        </w:rPr>
        <w:t>，并在其封面上清楚地标明</w:t>
      </w:r>
      <w:r>
        <w:rPr>
          <w:rFonts w:hint="eastAsia" w:ascii="宋体" w:hAnsi="宋体" w:eastAsia="宋体" w:cs="宋体"/>
          <w:b/>
          <w:bCs/>
          <w:color w:val="auto"/>
          <w:highlight w:val="none"/>
          <w:u w:val="single"/>
        </w:rPr>
        <w:t>资格性响应文件、项目名称、</w:t>
      </w:r>
      <w:r>
        <w:rPr>
          <w:rFonts w:hint="eastAsia" w:ascii="宋体" w:hAnsi="宋体" w:eastAsia="宋体" w:cs="宋体"/>
          <w:b/>
          <w:bCs/>
          <w:color w:val="auto"/>
          <w:highlight w:val="none"/>
          <w:u w:val="single"/>
          <w:lang w:eastAsia="zh-CN"/>
        </w:rPr>
        <w:t>项目编号</w:t>
      </w:r>
      <w:r>
        <w:rPr>
          <w:rFonts w:hint="eastAsia" w:ascii="宋体" w:hAnsi="宋体" w:eastAsia="宋体" w:cs="宋体"/>
          <w:b/>
          <w:bCs/>
          <w:color w:val="auto"/>
          <w:highlight w:val="none"/>
          <w:u w:val="single"/>
        </w:rPr>
        <w:t>、供应商名称以及“正本”或“副本”字样</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b/>
          <w:bCs/>
          <w:color w:val="auto"/>
          <w:highlight w:val="none"/>
        </w:rPr>
        <w:t>2、其他响应文件正本一份副本二份</w:t>
      </w:r>
      <w:r>
        <w:rPr>
          <w:rFonts w:hint="eastAsia" w:ascii="宋体" w:hAnsi="宋体" w:eastAsia="宋体" w:cs="宋体"/>
          <w:color w:val="auto"/>
          <w:highlight w:val="none"/>
        </w:rPr>
        <w:t>，并在其封面上清楚地标明</w:t>
      </w:r>
      <w:r>
        <w:rPr>
          <w:rFonts w:hint="eastAsia" w:ascii="宋体" w:hAnsi="宋体" w:eastAsia="宋体" w:cs="宋体"/>
          <w:b/>
          <w:bCs/>
          <w:color w:val="auto"/>
          <w:highlight w:val="none"/>
          <w:u w:val="single"/>
        </w:rPr>
        <w:t>其他响应文件、项目名称、</w:t>
      </w:r>
      <w:r>
        <w:rPr>
          <w:rFonts w:hint="eastAsia" w:ascii="宋体" w:hAnsi="宋体" w:eastAsia="宋体" w:cs="宋体"/>
          <w:b/>
          <w:bCs/>
          <w:color w:val="auto"/>
          <w:highlight w:val="none"/>
          <w:u w:val="single"/>
          <w:lang w:eastAsia="zh-CN"/>
        </w:rPr>
        <w:t>项目编号</w:t>
      </w:r>
      <w:r>
        <w:rPr>
          <w:rFonts w:hint="eastAsia" w:ascii="宋体" w:hAnsi="宋体" w:eastAsia="宋体" w:cs="宋体"/>
          <w:b/>
          <w:bCs/>
          <w:color w:val="auto"/>
          <w:highlight w:val="none"/>
          <w:u w:val="single"/>
        </w:rPr>
        <w:t>、供应商名称以及“正本”或“副本”字样</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b/>
          <w:bCs/>
          <w:color w:val="auto"/>
          <w:highlight w:val="none"/>
        </w:rPr>
        <w:t>3、电子文档一份，电子文档用U盘或光盘的形式提供</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供应商应当按照磋商文件的规定编制响应文件，对于没有格式要求的响应文件由供应商自行编写。响应文件应用不褪色的墨水书写或打印，并将所有响应文件的书面材料装订成册。响应文件副本可用正本的复印件，响应文件副本与正本有差异时以正本为准。</w:t>
      </w:r>
    </w:p>
    <w:p>
      <w:pPr>
        <w:bidi w:val="0"/>
        <w:rPr>
          <w:rFonts w:hint="eastAsia" w:ascii="宋体" w:hAnsi="宋体" w:eastAsia="宋体" w:cs="宋体"/>
          <w:b/>
          <w:bCs/>
          <w:color w:val="auto"/>
          <w:highlight w:val="none"/>
        </w:rPr>
      </w:pPr>
      <w:r>
        <w:rPr>
          <w:rFonts w:hint="eastAsia" w:ascii="宋体" w:hAnsi="宋体" w:eastAsia="宋体" w:cs="宋体"/>
          <w:color w:val="auto"/>
          <w:highlight w:val="none"/>
        </w:rPr>
        <w:t>5、响应文件应由供应商法定代表人（单位负责人）或授权代理人在响应文件要求的地方签字或加盖公章。</w:t>
      </w:r>
      <w:r>
        <w:rPr>
          <w:rFonts w:hint="eastAsia" w:ascii="宋体" w:hAnsi="宋体" w:eastAsia="宋体" w:cs="宋体"/>
          <w:b/>
          <w:bCs/>
          <w:color w:val="auto"/>
          <w:highlight w:val="none"/>
        </w:rPr>
        <w:t>[注：所有要求盖公章的地方都应加盖供应商（法定名称）章（鲜章），不得使用专用章（如经济合同章、磋商专用章等）或下属单位印章代替。]</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6、响应文件的打印和书写应清楚工整，任何行间插字、涂改或增删，必须由供应商的法定代表人（单位负责人）或其授权代理人签字。</w:t>
      </w:r>
    </w:p>
    <w:p>
      <w:pPr>
        <w:bidi w:val="0"/>
        <w:rPr>
          <w:rFonts w:hint="eastAsia" w:ascii="宋体" w:hAnsi="宋体" w:eastAsia="宋体" w:cs="宋体"/>
          <w:color w:val="auto"/>
          <w:highlight w:val="none"/>
        </w:rPr>
      </w:pPr>
      <w:r>
        <w:rPr>
          <w:rFonts w:hint="eastAsia" w:ascii="宋体" w:hAnsi="宋体" w:eastAsia="宋体" w:cs="宋体"/>
          <w:color w:val="auto"/>
          <w:highlight w:val="none"/>
        </w:rPr>
        <w:t>7、响应文件正本和副本需要逐页编码。</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8、响应文件正本和副本应当采用</w:t>
      </w:r>
      <w:r>
        <w:rPr>
          <w:rFonts w:hint="eastAsia" w:ascii="宋体" w:hAnsi="宋体" w:eastAsia="宋体" w:cs="宋体"/>
          <w:b/>
          <w:bCs/>
          <w:color w:val="auto"/>
          <w:highlight w:val="none"/>
        </w:rPr>
        <w:t>胶装</w:t>
      </w:r>
      <w:r>
        <w:rPr>
          <w:rFonts w:hint="eastAsia" w:ascii="宋体" w:hAnsi="宋体" w:eastAsia="宋体" w:cs="宋体"/>
          <w:color w:val="auto"/>
          <w:highlight w:val="none"/>
        </w:rPr>
        <w:t>方式装订成册。</w:t>
      </w:r>
    </w:p>
    <w:p>
      <w:pPr>
        <w:bidi w:val="0"/>
        <w:rPr>
          <w:rFonts w:hint="eastAsia" w:ascii="宋体" w:hAnsi="宋体" w:eastAsia="宋体" w:cs="宋体"/>
          <w:color w:val="auto"/>
          <w:highlight w:val="none"/>
        </w:rPr>
      </w:pPr>
      <w:r>
        <w:rPr>
          <w:rFonts w:hint="eastAsia" w:ascii="宋体" w:hAnsi="宋体" w:eastAsia="宋体" w:cs="宋体"/>
          <w:color w:val="auto"/>
          <w:highlight w:val="none"/>
        </w:rPr>
        <w:t>9、响应文件应根据磋商文件的要求制作，签署、盖章。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10、响应文件统一用A4幅面纸印制，除另有规定外。</w:t>
      </w:r>
    </w:p>
    <w:p>
      <w:pPr>
        <w:pStyle w:val="5"/>
        <w:bidi w:val="0"/>
        <w:rPr>
          <w:rFonts w:hint="eastAsia" w:ascii="宋体" w:hAnsi="宋体" w:eastAsia="宋体" w:cs="宋体"/>
          <w:color w:val="auto"/>
          <w:highlight w:val="none"/>
        </w:rPr>
      </w:pPr>
      <w:bookmarkStart w:id="140" w:name="_Toc8392"/>
      <w:bookmarkStart w:id="141" w:name="_Toc77400781"/>
      <w:bookmarkStart w:id="142" w:name="_Toc89075877"/>
      <w:bookmarkStart w:id="143" w:name="_Toc183682363"/>
      <w:bookmarkStart w:id="144" w:name="_Toc217446053"/>
      <w:bookmarkStart w:id="145" w:name="_Toc183582226"/>
      <w:r>
        <w:rPr>
          <w:rFonts w:hint="eastAsia" w:ascii="宋体" w:hAnsi="宋体" w:eastAsia="宋体" w:cs="宋体"/>
          <w:color w:val="auto"/>
          <w:highlight w:val="none"/>
        </w:rPr>
        <w:t>2.19.响应文件的密封和标注（不属于本项目磋商小组评审范畴，由采购代理机构在接收响应文件时及时处理）</w:t>
      </w:r>
      <w:bookmarkEnd w:id="140"/>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2.19.1</w:t>
      </w:r>
      <w:r>
        <w:rPr>
          <w:rFonts w:hint="eastAsia" w:ascii="宋体" w:hAnsi="宋体" w:eastAsia="宋体" w:cs="宋体"/>
          <w:b/>
          <w:bCs/>
          <w:color w:val="auto"/>
          <w:highlight w:val="none"/>
          <w:u w:val="single"/>
        </w:rPr>
        <w:t>响应文件可以单独密封包装，也可以所有响应文件密封包装在一个密封袋内</w:t>
      </w:r>
      <w:r>
        <w:rPr>
          <w:rFonts w:hint="eastAsia" w:ascii="宋体" w:hAnsi="宋体" w:eastAsia="宋体" w:cs="宋体"/>
          <w:b/>
          <w:bCs/>
          <w:color w:val="auto"/>
          <w:highlight w:val="none"/>
        </w:rPr>
        <w:t>。</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2.19.2</w:t>
      </w:r>
      <w:r>
        <w:rPr>
          <w:rFonts w:hint="eastAsia" w:ascii="宋体" w:hAnsi="宋体" w:eastAsia="宋体" w:cs="宋体"/>
          <w:b/>
          <w:bCs/>
          <w:color w:val="auto"/>
          <w:highlight w:val="none"/>
          <w:u w:val="single"/>
        </w:rPr>
        <w:t>响应文件密封袋的最外层应清楚地标明项目名称、</w:t>
      </w:r>
      <w:r>
        <w:rPr>
          <w:rFonts w:hint="eastAsia" w:ascii="宋体" w:hAnsi="宋体" w:eastAsia="宋体" w:cs="宋体"/>
          <w:b/>
          <w:bCs/>
          <w:color w:val="auto"/>
          <w:highlight w:val="none"/>
          <w:u w:val="single"/>
          <w:lang w:eastAsia="zh-CN"/>
        </w:rPr>
        <w:t>项目编号</w:t>
      </w:r>
      <w:r>
        <w:rPr>
          <w:rFonts w:hint="eastAsia" w:ascii="宋体" w:hAnsi="宋体" w:eastAsia="宋体" w:cs="宋体"/>
          <w:b/>
          <w:bCs/>
          <w:color w:val="auto"/>
          <w:highlight w:val="none"/>
          <w:u w:val="single"/>
        </w:rPr>
        <w:t>、供应商名称</w:t>
      </w:r>
      <w:r>
        <w:rPr>
          <w:rFonts w:hint="eastAsia" w:ascii="宋体" w:hAnsi="宋体" w:eastAsia="宋体" w:cs="宋体"/>
          <w:b/>
          <w:bCs/>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2.19.3 所有外层密封袋的封口处应粘贴牢固。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2.19.4 未按以上要求进行密封和标注的响应文件，采购代理机构将拒收或者在时间允许的范围内，要求修改完善后接收。</w:t>
      </w:r>
    </w:p>
    <w:p>
      <w:pPr>
        <w:pStyle w:val="5"/>
        <w:bidi w:val="0"/>
        <w:rPr>
          <w:rFonts w:hint="eastAsia" w:ascii="宋体" w:hAnsi="宋体" w:eastAsia="宋体" w:cs="宋体"/>
          <w:color w:val="auto"/>
          <w:highlight w:val="none"/>
        </w:rPr>
      </w:pPr>
      <w:bookmarkStart w:id="146" w:name="_Toc7032"/>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.20.响应文件的递交</w:t>
      </w:r>
      <w:bookmarkEnd w:id="146"/>
    </w:p>
    <w:p>
      <w:pPr>
        <w:bidi w:val="0"/>
        <w:rPr>
          <w:rFonts w:hint="eastAsia" w:ascii="宋体" w:hAnsi="宋体" w:eastAsia="宋体" w:cs="宋体"/>
          <w:color w:val="auto"/>
          <w:highlight w:val="none"/>
        </w:rPr>
      </w:pPr>
      <w:r>
        <w:rPr>
          <w:rFonts w:hint="eastAsia" w:ascii="宋体" w:hAnsi="宋体" w:eastAsia="宋体" w:cs="宋体"/>
          <w:color w:val="auto"/>
          <w:highlight w:val="none"/>
        </w:rPr>
        <w:t>2.20.1 资格性响应文件、其他响应文件、电子文档应于递交响应文件截止时间前送达指定地点，采购代理机构拒绝接收截止时间后送达的响应文件。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2.20.2 采购代理机构将向通过资格审查的供应商发出磋商邀请；告知未通过资格审查的供应商未通过的原因。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2.20.3 本次采购不接收邮寄的响应文件。</w:t>
      </w:r>
    </w:p>
    <w:bookmarkEnd w:id="141"/>
    <w:bookmarkEnd w:id="142"/>
    <w:bookmarkEnd w:id="143"/>
    <w:bookmarkEnd w:id="144"/>
    <w:bookmarkEnd w:id="145"/>
    <w:p>
      <w:pPr>
        <w:pStyle w:val="5"/>
        <w:bidi w:val="0"/>
        <w:ind w:left="0" w:firstLine="0"/>
        <w:rPr>
          <w:rFonts w:hint="eastAsia" w:ascii="宋体" w:hAnsi="宋体" w:eastAsia="宋体" w:cs="宋体"/>
          <w:color w:val="auto"/>
          <w:highlight w:val="none"/>
        </w:rPr>
      </w:pPr>
      <w:bookmarkStart w:id="147" w:name="_Toc6830"/>
      <w:bookmarkStart w:id="148" w:name="_Toc183582228"/>
      <w:bookmarkStart w:id="149" w:name="_Toc217446055"/>
      <w:bookmarkStart w:id="150" w:name="_Toc183682365"/>
      <w:r>
        <w:rPr>
          <w:rFonts w:hint="eastAsia" w:ascii="宋体" w:hAnsi="宋体" w:eastAsia="宋体" w:cs="宋体"/>
          <w:color w:val="auto"/>
          <w:highlight w:val="none"/>
        </w:rPr>
        <w:t>2.21.响应文件的修改和撤回（补充、修改响应文件的密封和标注按照本章“2.19.响应文件的密封和标注”规定处理）</w:t>
      </w:r>
      <w:bookmarkEnd w:id="147"/>
    </w:p>
    <w:p>
      <w:pPr>
        <w:bidi w:val="0"/>
        <w:rPr>
          <w:rFonts w:hint="eastAsia" w:ascii="宋体" w:hAnsi="宋体" w:eastAsia="宋体" w:cs="宋体"/>
          <w:color w:val="auto"/>
          <w:highlight w:val="none"/>
        </w:rPr>
      </w:pPr>
      <w:r>
        <w:rPr>
          <w:rFonts w:hint="eastAsia" w:ascii="宋体" w:hAnsi="宋体" w:eastAsia="宋体" w:cs="宋体"/>
          <w:color w:val="auto"/>
          <w:highlight w:val="none"/>
        </w:rPr>
        <w:t>2.21.1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2.21.2供应商对响应文件修改的书面材料或撤回的通知应该按规定进行编写、密封、标注和递送，并注明“修改响应文件”字样。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2.21.3供应商不得在递交截止时间起至响应文件有效期期满前撤销其响应文件。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2.21.4 响应文件中报价如果出现下列不一致的，可按以下原则进行修改：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（一）大写金额和小写金额不一致的，以大写金额为准，但大写金额文字存在错误的，应当先对大写金额的文字错误进行澄清、说明或者更正，再行修正。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（二）总价金额与按单价汇总金额不一致的，以单价金额计算结果为准，但单价或者单价汇总金额存在数字或者文字错误的，应当先对数字或者文字错误进行澄清、说明或者更正，再行修正。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（三）单价金额小数点或者百分比有明显错位的，以总价为准，修正单价。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2.21.5供应商对其提交的响应文件的真实性、合法性承担法律责任。</w:t>
      </w:r>
      <w:bookmarkEnd w:id="148"/>
      <w:bookmarkEnd w:id="149"/>
      <w:bookmarkEnd w:id="150"/>
    </w:p>
    <w:p>
      <w:pPr>
        <w:pStyle w:val="4"/>
        <w:numPr>
          <w:ilvl w:val="0"/>
          <w:numId w:val="2"/>
        </w:numPr>
        <w:bidi w:val="0"/>
        <w:jc w:val="center"/>
        <w:rPr>
          <w:rFonts w:hint="eastAsia" w:ascii="宋体" w:hAnsi="宋体" w:eastAsia="宋体" w:cs="宋体"/>
          <w:color w:val="auto"/>
          <w:highlight w:val="none"/>
        </w:rPr>
      </w:pPr>
      <w:bookmarkStart w:id="151" w:name="_Toc7019"/>
      <w:bookmarkStart w:id="152" w:name="_Toc17509"/>
      <w:r>
        <w:rPr>
          <w:rFonts w:hint="eastAsia" w:ascii="宋体" w:hAnsi="宋体" w:eastAsia="宋体" w:cs="宋体"/>
          <w:color w:val="auto"/>
          <w:highlight w:val="none"/>
        </w:rPr>
        <w:t>评审</w:t>
      </w:r>
      <w:bookmarkEnd w:id="151"/>
      <w:bookmarkEnd w:id="152"/>
    </w:p>
    <w:p>
      <w:pPr>
        <w:pStyle w:val="4"/>
        <w:bidi w:val="0"/>
        <w:rPr>
          <w:rFonts w:hint="eastAsia"/>
          <w:color w:val="auto"/>
          <w:highlight w:val="none"/>
        </w:rPr>
      </w:pPr>
      <w:bookmarkStart w:id="153" w:name="_Toc31109"/>
      <w:r>
        <w:rPr>
          <w:rFonts w:hint="eastAsia"/>
          <w:color w:val="auto"/>
          <w:highlight w:val="none"/>
        </w:rPr>
        <w:t>2.22.磋商小组的组建及其评审工作按照有关法律制度和本文件第八章的规定进行。</w:t>
      </w:r>
      <w:bookmarkEnd w:id="153"/>
    </w:p>
    <w:p>
      <w:pPr>
        <w:pStyle w:val="4"/>
        <w:bidi w:val="0"/>
        <w:jc w:val="center"/>
        <w:rPr>
          <w:rFonts w:hint="eastAsia" w:ascii="宋体" w:hAnsi="宋体" w:eastAsia="宋体" w:cs="宋体"/>
          <w:color w:val="auto"/>
          <w:highlight w:val="none"/>
        </w:rPr>
      </w:pPr>
      <w:bookmarkStart w:id="154" w:name="_Toc27640"/>
      <w:bookmarkStart w:id="155" w:name="_Toc18784"/>
      <w:r>
        <w:rPr>
          <w:rFonts w:hint="eastAsia" w:ascii="宋体" w:hAnsi="宋体" w:eastAsia="宋体" w:cs="宋体"/>
          <w:color w:val="auto"/>
          <w:highlight w:val="none"/>
        </w:rPr>
        <w:t>六、成交事项</w:t>
      </w:r>
      <w:bookmarkEnd w:id="154"/>
      <w:bookmarkEnd w:id="155"/>
    </w:p>
    <w:p>
      <w:pPr>
        <w:pStyle w:val="5"/>
        <w:bidi w:val="0"/>
        <w:ind w:left="0" w:firstLine="0"/>
        <w:rPr>
          <w:rFonts w:hint="eastAsia" w:ascii="宋体" w:hAnsi="宋体" w:eastAsia="宋体" w:cs="宋体"/>
          <w:color w:val="auto"/>
          <w:highlight w:val="none"/>
        </w:rPr>
      </w:pPr>
      <w:bookmarkStart w:id="156" w:name="_Toc9547"/>
      <w:r>
        <w:rPr>
          <w:rFonts w:hint="eastAsia" w:ascii="宋体" w:hAnsi="宋体" w:eastAsia="宋体" w:cs="宋体"/>
          <w:color w:val="auto"/>
          <w:highlight w:val="none"/>
        </w:rPr>
        <w:t>2.23.确定成交供应商</w:t>
      </w:r>
      <w:bookmarkEnd w:id="156"/>
    </w:p>
    <w:p>
      <w:pPr>
        <w:bidi w:val="0"/>
        <w:rPr>
          <w:rFonts w:hint="eastAsia" w:ascii="宋体" w:hAnsi="宋体" w:eastAsia="宋体" w:cs="宋体"/>
          <w:color w:val="auto"/>
          <w:highlight w:val="none"/>
        </w:rPr>
      </w:pPr>
      <w:r>
        <w:rPr>
          <w:rFonts w:hint="eastAsia" w:ascii="宋体" w:hAnsi="宋体" w:eastAsia="宋体" w:cs="宋体"/>
          <w:color w:val="auto"/>
          <w:highlight w:val="none"/>
        </w:rPr>
        <w:t>方式一：采购人将按磋商小组推荐的成交候选供应商顺序确定成交供应商。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方式二：采购人授权磋商小组根据综合评分排名直接确定成交供应商。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本项目采用方式一确定成交供应商。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2.23.1采购代理机构自评审结束后2个工作日内将磋商报告及有关资料送交采购人确定成交供应商。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2.23.2采购人收到磋商报告及有关资料后，将在5个工作日内按照磋商报告中推荐的成交候选供应商顺序确定成交供应商。成交候选供应商并列的，采购人自主采取随机抽签的方式选择成交供应商。采购人逾期未确定成交供应商且不提出异议的，视为确定磋商报告提出的排序第一的供应商为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2.23.3采购人确定成交供应商过程中，发现成交候选供应商有下列情形之一的，应当不予确定其为成交供应商：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（1）发现成交候选供应商存在禁止参加本项目采购活动的违法行为的；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（2）成交候选供应商因不可抗力，不能继续参加政府采购活动；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（3）成交候选供应商无偿赠与或者低于成本价竞争；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（4）成交候选供应商提供虚假材料；</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（5）成交候选供应商恶意串通。</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成交候选供应商有本条情形之一的，采购人可以确定后一位成交候选供应商为成交供应商，依次类推。无法确定成交供应商的，应当重新组织采购。</w:t>
      </w:r>
    </w:p>
    <w:p>
      <w:pPr>
        <w:pStyle w:val="5"/>
        <w:bidi w:val="0"/>
        <w:ind w:left="0" w:firstLine="0"/>
        <w:rPr>
          <w:rFonts w:hint="eastAsia" w:ascii="宋体" w:hAnsi="宋体" w:eastAsia="宋体" w:cs="宋体"/>
          <w:color w:val="auto"/>
          <w:highlight w:val="none"/>
        </w:rPr>
      </w:pPr>
      <w:bookmarkStart w:id="157" w:name="_Toc24034"/>
      <w:r>
        <w:rPr>
          <w:rFonts w:hint="eastAsia" w:ascii="宋体" w:hAnsi="宋体" w:eastAsia="宋体" w:cs="宋体"/>
          <w:color w:val="auto"/>
          <w:highlight w:val="none"/>
        </w:rPr>
        <w:t>2.24.成交结果</w:t>
      </w:r>
      <w:bookmarkEnd w:id="157"/>
    </w:p>
    <w:p>
      <w:pPr>
        <w:bidi w:val="0"/>
        <w:rPr>
          <w:rFonts w:hint="eastAsia" w:ascii="宋体" w:hAnsi="宋体" w:eastAsia="宋体" w:cs="宋体"/>
          <w:color w:val="auto"/>
          <w:highlight w:val="none"/>
        </w:rPr>
      </w:pPr>
      <w:r>
        <w:rPr>
          <w:rFonts w:hint="eastAsia" w:ascii="宋体" w:hAnsi="宋体" w:eastAsia="宋体" w:cs="宋体"/>
          <w:color w:val="auto"/>
          <w:highlight w:val="none"/>
        </w:rPr>
        <w:t>2.24.1采购人确定成交供应商后，将及时书面通知采购代理机构，发出成交通知书并发布成交结果公告。</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2.24.2成交供应商应当及时领取成交通知书。本项目需要交纳履约保证金的，成交供应商应当及时向采购人交纳。</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2.24.3成交通知书领取</w:t>
      </w:r>
    </w:p>
    <w:p>
      <w:pPr>
        <w:bidi w:val="0"/>
        <w:rPr>
          <w:rFonts w:hint="eastAsia" w:ascii="宋体" w:hAnsi="宋体" w:eastAsia="宋体" w:cs="宋体"/>
          <w:color w:val="auto"/>
          <w:highlight w:val="none"/>
        </w:rPr>
      </w:pPr>
      <w:r>
        <w:rPr>
          <w:rFonts w:hint="eastAsia" w:cs="宋体"/>
          <w:color w:val="auto"/>
          <w:highlight w:val="none"/>
          <w:lang w:eastAsia="zh-CN"/>
        </w:rPr>
        <w:t>成交</w:t>
      </w:r>
      <w:r>
        <w:rPr>
          <w:rFonts w:hint="eastAsia" w:ascii="宋体" w:hAnsi="宋体" w:eastAsia="宋体" w:cs="宋体"/>
          <w:color w:val="auto"/>
          <w:highlight w:val="none"/>
        </w:rPr>
        <w:t>公告在四川政府采购网上</w:t>
      </w:r>
      <w:r>
        <w:rPr>
          <w:rFonts w:hint="eastAsia" w:cs="宋体"/>
          <w:color w:val="auto"/>
          <w:highlight w:val="none"/>
          <w:lang w:eastAsia="zh-CN"/>
        </w:rPr>
        <w:t>发布</w:t>
      </w:r>
      <w:r>
        <w:rPr>
          <w:rFonts w:hint="eastAsia" w:ascii="宋体" w:hAnsi="宋体" w:eastAsia="宋体" w:cs="宋体"/>
          <w:color w:val="auto"/>
          <w:highlight w:val="none"/>
        </w:rPr>
        <w:t>后，请成交供应商凭公司介绍信（注明项目名称、</w:t>
      </w:r>
      <w:r>
        <w:rPr>
          <w:rFonts w:hint="eastAsia" w:ascii="宋体" w:hAnsi="宋体" w:eastAsia="宋体" w:cs="宋体"/>
          <w:color w:val="auto"/>
          <w:highlight w:val="none"/>
          <w:lang w:eastAsia="zh-CN"/>
        </w:rPr>
        <w:t>项目编号</w:t>
      </w:r>
      <w:r>
        <w:rPr>
          <w:rFonts w:hint="eastAsia" w:ascii="宋体" w:hAnsi="宋体" w:eastAsia="宋体" w:cs="宋体"/>
          <w:color w:val="auto"/>
          <w:highlight w:val="none"/>
        </w:rPr>
        <w:t>以及经办事项等，加盖公章）、经办人身份证（复印件并加盖公章）到四川天力招标有限责任公司领取成交通知书。</w:t>
      </w:r>
    </w:p>
    <w:p>
      <w:pPr>
        <w:bidi w:val="0"/>
        <w:rPr>
          <w:rFonts w:hint="eastAsia"/>
          <w:color w:val="auto"/>
          <w:highlight w:val="none"/>
        </w:rPr>
      </w:pPr>
      <w:r>
        <w:rPr>
          <w:rFonts w:hint="eastAsia"/>
          <w:color w:val="auto"/>
          <w:highlight w:val="none"/>
        </w:rPr>
        <w:t>联系人：</w:t>
      </w:r>
      <w:r>
        <w:rPr>
          <w:rFonts w:hint="eastAsia"/>
          <w:color w:val="auto"/>
          <w:highlight w:val="none"/>
          <w:lang w:val="zh-CN"/>
        </w:rPr>
        <w:t>王女士、胡女士</w:t>
      </w:r>
      <w:r>
        <w:rPr>
          <w:rFonts w:hint="eastAsia"/>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联系电话：028-87701706</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地址：成都市金牛区九里堤南路93号6楼</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2.24.4成交供应商不能及时领取成交通知书，采购人或者采购代理机应当通过邮寄、快递等方式将项目成交通知书送达成交供应商。</w:t>
      </w:r>
    </w:p>
    <w:p>
      <w:pPr>
        <w:pStyle w:val="5"/>
        <w:bidi w:val="0"/>
        <w:rPr>
          <w:rFonts w:hint="eastAsia" w:ascii="宋体" w:hAnsi="宋体" w:eastAsia="宋体" w:cs="宋体"/>
          <w:color w:val="auto"/>
          <w:highlight w:val="none"/>
        </w:rPr>
      </w:pPr>
      <w:bookmarkStart w:id="158" w:name="_Toc18301"/>
      <w:r>
        <w:rPr>
          <w:rFonts w:hint="eastAsia" w:ascii="宋体" w:hAnsi="宋体" w:eastAsia="宋体" w:cs="宋体"/>
          <w:color w:val="auto"/>
          <w:highlight w:val="none"/>
        </w:rPr>
        <w:t>2.25.成交通知书</w:t>
      </w:r>
      <w:bookmarkEnd w:id="158"/>
    </w:p>
    <w:p>
      <w:pPr>
        <w:bidi w:val="0"/>
        <w:rPr>
          <w:rFonts w:hint="eastAsia" w:ascii="宋体" w:hAnsi="宋体" w:eastAsia="宋体" w:cs="宋体"/>
          <w:color w:val="auto"/>
          <w:highlight w:val="none"/>
        </w:rPr>
      </w:pPr>
      <w:r>
        <w:rPr>
          <w:rFonts w:hint="eastAsia" w:ascii="宋体" w:hAnsi="宋体" w:eastAsia="宋体" w:cs="宋体"/>
          <w:color w:val="auto"/>
          <w:highlight w:val="none"/>
        </w:rPr>
        <w:t>2.25.1成交通知书为签订政府采购合同的依据之一，是合同的有效组成部分。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2.25.2成交通知书对采购人和成交供应商均具有法律效力。成交通知书发出后，采购人无正当理由改变成交结果，或者成交供应商无正当理由放弃成交的，将承担相应的法律责任。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2.25.3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4"/>
        <w:bidi w:val="0"/>
        <w:jc w:val="center"/>
        <w:rPr>
          <w:rFonts w:hint="eastAsia" w:ascii="宋体" w:hAnsi="宋体" w:eastAsia="宋体" w:cs="宋体"/>
          <w:color w:val="auto"/>
          <w:highlight w:val="none"/>
        </w:rPr>
      </w:pPr>
      <w:bookmarkStart w:id="159" w:name="_Toc30805"/>
      <w:bookmarkStart w:id="160" w:name="_Toc22828"/>
      <w:r>
        <w:rPr>
          <w:rFonts w:hint="eastAsia" w:ascii="宋体" w:hAnsi="宋体" w:eastAsia="宋体" w:cs="宋体"/>
          <w:color w:val="auto"/>
          <w:highlight w:val="none"/>
        </w:rPr>
        <w:t>七、合同事项</w:t>
      </w:r>
      <w:bookmarkEnd w:id="159"/>
      <w:bookmarkEnd w:id="160"/>
    </w:p>
    <w:p>
      <w:pPr>
        <w:pStyle w:val="5"/>
        <w:bidi w:val="0"/>
        <w:ind w:left="0" w:firstLine="0"/>
        <w:rPr>
          <w:rFonts w:hint="eastAsia" w:ascii="宋体" w:hAnsi="宋体" w:eastAsia="宋体" w:cs="宋体"/>
          <w:color w:val="auto"/>
          <w:highlight w:val="none"/>
        </w:rPr>
      </w:pPr>
      <w:bookmarkStart w:id="161" w:name="_Toc101250646"/>
      <w:bookmarkStart w:id="162" w:name="_Toc101174151"/>
      <w:bookmarkStart w:id="163" w:name="_Toc430773927"/>
      <w:bookmarkStart w:id="164" w:name="_Toc209847069"/>
      <w:bookmarkStart w:id="165" w:name="_Toc101338364"/>
      <w:bookmarkStart w:id="166" w:name="_Toc21196"/>
      <w:r>
        <w:rPr>
          <w:rFonts w:hint="eastAsia" w:ascii="宋体" w:hAnsi="宋体" w:eastAsia="宋体" w:cs="宋体"/>
          <w:color w:val="auto"/>
          <w:highlight w:val="none"/>
        </w:rPr>
        <w:t>2.26.签订合同</w:t>
      </w:r>
      <w:bookmarkEnd w:id="161"/>
      <w:bookmarkEnd w:id="162"/>
      <w:bookmarkEnd w:id="163"/>
      <w:bookmarkEnd w:id="164"/>
      <w:bookmarkEnd w:id="165"/>
      <w:bookmarkEnd w:id="166"/>
    </w:p>
    <w:p>
      <w:pPr>
        <w:bidi w:val="0"/>
        <w:rPr>
          <w:rFonts w:hint="eastAsia" w:ascii="宋体" w:hAnsi="宋体" w:eastAsia="宋体" w:cs="宋体"/>
          <w:color w:val="auto"/>
          <w:highlight w:val="none"/>
        </w:rPr>
      </w:pPr>
      <w:r>
        <w:rPr>
          <w:rFonts w:hint="eastAsia" w:ascii="宋体" w:hAnsi="宋体" w:eastAsia="宋体" w:cs="宋体"/>
          <w:color w:val="auto"/>
          <w:highlight w:val="none"/>
        </w:rPr>
        <w:t>2.26.1 成交供应商应在成交通知书发出之日起三十日内与采购人签订采购合同。由于成交供应商的原因逾期未与采购人签订采购合同的，将视为放弃成交，取消其成交资格并将按相关规定进行处理。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2.26.2 磋商文件、成交供应商的响应文件及双方确认的澄清文件等，均为有法律约束力的合同组成部分。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2.26.4 成交供应商因不可抗力原因不能履行采购合同或放弃成交的，采购人可以与排在成交供应商之后第一位的成交候选人签订采购合同，以此类推。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2.26.5竞争性磋商文件、成交供应商提交的响应文件、磋商中的最后报价、成交供应商承诺书、成交通知书等均称为有法律约束力的合同组成内容。</w:t>
      </w:r>
    </w:p>
    <w:p>
      <w:pPr>
        <w:pStyle w:val="5"/>
        <w:bidi w:val="0"/>
        <w:ind w:left="0" w:firstLine="0"/>
        <w:rPr>
          <w:rFonts w:hint="eastAsia" w:ascii="宋体" w:hAnsi="宋体" w:eastAsia="宋体" w:cs="宋体"/>
          <w:color w:val="auto"/>
          <w:highlight w:val="none"/>
        </w:rPr>
      </w:pPr>
      <w:bookmarkStart w:id="167" w:name="_Toc19283"/>
      <w:r>
        <w:rPr>
          <w:rFonts w:hint="eastAsia" w:ascii="宋体" w:hAnsi="宋体" w:eastAsia="宋体" w:cs="宋体"/>
          <w:color w:val="auto"/>
          <w:highlight w:val="none"/>
        </w:rPr>
        <w:t>2.27.合同分包（实质性要求）</w:t>
      </w:r>
      <w:bookmarkEnd w:id="167"/>
    </w:p>
    <w:p>
      <w:pPr>
        <w:bidi w:val="0"/>
        <w:rPr>
          <w:rFonts w:hint="eastAsia"/>
          <w:color w:val="auto"/>
          <w:highlight w:val="none"/>
          <w:lang w:eastAsia="zh-CN"/>
        </w:rPr>
      </w:pPr>
      <w:bookmarkStart w:id="168" w:name="_Toc7480"/>
      <w:r>
        <w:rPr>
          <w:rFonts w:hint="eastAsia"/>
          <w:color w:val="auto"/>
          <w:highlight w:val="none"/>
          <w:lang w:eastAsia="zh-CN"/>
        </w:rPr>
        <w:t>经采购人同意，成交供应商可以依法采取分包方式履行合同。这种要求应当在合同签订之前征得采购人同意，并且分包供应商的分包项目的品牌、规格型号，必须与成交的一致。</w:t>
      </w:r>
    </w:p>
    <w:p>
      <w:pPr>
        <w:bidi w:val="0"/>
        <w:rPr>
          <w:rFonts w:hint="eastAsia"/>
          <w:color w:val="auto"/>
          <w:highlight w:val="none"/>
          <w:lang w:eastAsia="zh-CN"/>
        </w:rPr>
      </w:pPr>
      <w:r>
        <w:rPr>
          <w:rFonts w:hint="eastAsia"/>
          <w:color w:val="auto"/>
          <w:highlight w:val="none"/>
          <w:lang w:eastAsia="zh-CN"/>
        </w:rPr>
        <w:t>分包履行合同的部分应当为采购项目非主体、非关键性工作，不属于成交供应商的主要义务。</w:t>
      </w:r>
    </w:p>
    <w:p>
      <w:pPr>
        <w:bidi w:val="0"/>
        <w:rPr>
          <w:rFonts w:hint="eastAsia"/>
          <w:color w:val="auto"/>
          <w:highlight w:val="none"/>
          <w:lang w:eastAsia="zh-CN"/>
        </w:rPr>
      </w:pPr>
      <w:r>
        <w:rPr>
          <w:rFonts w:hint="eastAsia"/>
          <w:color w:val="auto"/>
          <w:highlight w:val="none"/>
          <w:lang w:eastAsia="zh-CN"/>
        </w:rPr>
        <w:t>采购合同实行分包履行的，成交供应商就采购项目和分包项目向采购人负责，分包供应商就分包项目承担责任。</w:t>
      </w:r>
    </w:p>
    <w:p>
      <w:pPr>
        <w:bidi w:val="0"/>
        <w:rPr>
          <w:rFonts w:hint="eastAsia"/>
          <w:color w:val="auto"/>
          <w:highlight w:val="none"/>
          <w:lang w:eastAsia="zh-CN"/>
        </w:rPr>
      </w:pPr>
      <w:r>
        <w:rPr>
          <w:rFonts w:hint="eastAsia"/>
          <w:color w:val="auto"/>
          <w:highlight w:val="none"/>
          <w:lang w:eastAsia="zh-CN"/>
        </w:rPr>
        <w:t>依据</w:t>
      </w:r>
      <w:r>
        <w:rPr>
          <w:rFonts w:hint="eastAsia"/>
          <w:color w:val="auto"/>
          <w:highlight w:val="none"/>
        </w:rPr>
        <w:t>《政府采购促进中小企业发展管理办法》（财库〔2020〕46号）</w:t>
      </w:r>
      <w:r>
        <w:rPr>
          <w:rFonts w:hint="eastAsia"/>
          <w:color w:val="auto"/>
          <w:highlight w:val="none"/>
          <w:lang w:eastAsia="zh-CN"/>
        </w:rPr>
        <w:t>规定享受扶持政策获得政府采购合同的，小微企业不得将合同分包给大中型企业，中型企业不得将合同分包给大型企业。</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2.28.合同转包（实质性要求）</w:t>
      </w:r>
      <w:bookmarkEnd w:id="168"/>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成交供应商转包的，视同拒绝履行政府采购合同义务，将依法追究法律责任。</w:t>
      </w:r>
    </w:p>
    <w:p>
      <w:pPr>
        <w:pStyle w:val="5"/>
        <w:bidi w:val="0"/>
        <w:ind w:left="0" w:firstLine="0"/>
        <w:rPr>
          <w:rFonts w:hint="eastAsia" w:ascii="宋体" w:hAnsi="宋体" w:eastAsia="宋体" w:cs="宋体"/>
          <w:color w:val="auto"/>
          <w:highlight w:val="none"/>
        </w:rPr>
      </w:pPr>
      <w:bookmarkStart w:id="169" w:name="_Toc29194"/>
      <w:r>
        <w:rPr>
          <w:rFonts w:hint="eastAsia" w:ascii="宋体" w:hAnsi="宋体" w:eastAsia="宋体" w:cs="宋体"/>
          <w:color w:val="auto"/>
          <w:highlight w:val="none"/>
        </w:rPr>
        <w:t>2.29.补充合同</w:t>
      </w:r>
      <w:bookmarkEnd w:id="169"/>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bidi w:val="0"/>
        <w:rPr>
          <w:rFonts w:hint="eastAsia" w:ascii="宋体" w:hAnsi="宋体" w:eastAsia="宋体" w:cs="宋体"/>
          <w:color w:val="auto"/>
          <w:highlight w:val="none"/>
        </w:rPr>
      </w:pPr>
      <w:bookmarkStart w:id="170" w:name="_Toc23873"/>
      <w:r>
        <w:rPr>
          <w:rFonts w:hint="eastAsia" w:ascii="宋体" w:hAnsi="宋体" w:eastAsia="宋体" w:cs="宋体"/>
          <w:color w:val="auto"/>
          <w:highlight w:val="none"/>
        </w:rPr>
        <w:t>2.30.履约保证金</w:t>
      </w:r>
      <w:bookmarkEnd w:id="170"/>
      <w:r>
        <w:rPr>
          <w:rFonts w:hint="eastAsia"/>
          <w:color w:val="auto"/>
          <w:highlight w:val="none"/>
        </w:rPr>
        <w:t>（实质性要求）</w:t>
      </w:r>
    </w:p>
    <w:p>
      <w:pPr>
        <w:bidi w:val="0"/>
        <w:rPr>
          <w:rFonts w:hint="eastAsia"/>
          <w:color w:val="auto"/>
          <w:highlight w:val="none"/>
        </w:rPr>
      </w:pPr>
      <w:bookmarkStart w:id="171" w:name="_Toc17154"/>
      <w:r>
        <w:rPr>
          <w:rFonts w:hint="eastAsia"/>
          <w:color w:val="auto"/>
          <w:highlight w:val="none"/>
        </w:rPr>
        <w:t>2.3</w:t>
      </w:r>
      <w:r>
        <w:rPr>
          <w:rFonts w:hint="eastAsia"/>
          <w:color w:val="auto"/>
          <w:highlight w:val="none"/>
          <w:lang w:val="en-US" w:eastAsia="zh-CN"/>
        </w:rPr>
        <w:t>0</w:t>
      </w:r>
      <w:r>
        <w:rPr>
          <w:rFonts w:hint="eastAsia"/>
          <w:color w:val="auto"/>
          <w:highlight w:val="none"/>
        </w:rPr>
        <w:t>.1 成交供应商应在合同签订之前交纳竞争性磋商文件规定数额的履约保证金。</w:t>
      </w:r>
    </w:p>
    <w:p>
      <w:pPr>
        <w:bidi w:val="0"/>
        <w:rPr>
          <w:rFonts w:hint="eastAsia"/>
          <w:color w:val="auto"/>
          <w:highlight w:val="none"/>
        </w:rPr>
      </w:pPr>
      <w:r>
        <w:rPr>
          <w:rFonts w:hint="eastAsia"/>
          <w:color w:val="auto"/>
          <w:highlight w:val="none"/>
        </w:rPr>
        <w:t>2.3</w:t>
      </w:r>
      <w:r>
        <w:rPr>
          <w:rFonts w:hint="eastAsia"/>
          <w:color w:val="auto"/>
          <w:highlight w:val="none"/>
          <w:lang w:val="en-US" w:eastAsia="zh-CN"/>
        </w:rPr>
        <w:t>0</w:t>
      </w:r>
      <w:r>
        <w:rPr>
          <w:rFonts w:hint="eastAsia"/>
          <w:color w:val="auto"/>
          <w:highlight w:val="none"/>
        </w:rPr>
        <w:t>.2 如果成交供应商在规定的合同签订时间内，没有按照竞争性磋商文件的规定交纳履约保证金，且又无正当理由的，将视为放弃成交。</w:t>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2.31.合同公告</w:t>
      </w:r>
      <w:bookmarkEnd w:id="171"/>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bidi w:val="0"/>
        <w:ind w:left="0" w:firstLine="0"/>
        <w:rPr>
          <w:rFonts w:hint="eastAsia" w:ascii="宋体" w:hAnsi="宋体" w:eastAsia="宋体" w:cs="宋体"/>
          <w:color w:val="auto"/>
          <w:highlight w:val="none"/>
        </w:rPr>
      </w:pPr>
      <w:bookmarkStart w:id="172" w:name="_Toc11842"/>
      <w:r>
        <w:rPr>
          <w:rFonts w:hint="eastAsia" w:ascii="宋体" w:hAnsi="宋体" w:eastAsia="宋体" w:cs="宋体"/>
          <w:color w:val="auto"/>
          <w:highlight w:val="none"/>
        </w:rPr>
        <w:t>2.32.合同备案</w:t>
      </w:r>
      <w:bookmarkEnd w:id="172"/>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采购人应当将政府采购合同副本自签订（双方当事人均已签字盖章）之日起</w:t>
      </w:r>
      <w:r>
        <w:rPr>
          <w:rFonts w:hint="eastAsia" w:cs="宋体"/>
          <w:color w:val="auto"/>
          <w:highlight w:val="none"/>
          <w:lang w:val="en-US" w:eastAsia="zh-CN"/>
        </w:rPr>
        <w:t>7</w:t>
      </w:r>
      <w:r>
        <w:rPr>
          <w:rFonts w:hint="eastAsia" w:ascii="宋体" w:hAnsi="宋体" w:eastAsia="宋体" w:cs="宋体"/>
          <w:color w:val="auto"/>
          <w:highlight w:val="none"/>
        </w:rPr>
        <w:t>个工作日内通过四川政府采购网报同级财政部门备案。</w:t>
      </w:r>
    </w:p>
    <w:p>
      <w:pPr>
        <w:pStyle w:val="5"/>
        <w:bidi w:val="0"/>
        <w:ind w:left="0" w:firstLine="0"/>
        <w:rPr>
          <w:rFonts w:hint="eastAsia" w:ascii="宋体" w:hAnsi="宋体" w:eastAsia="宋体" w:cs="宋体"/>
          <w:color w:val="auto"/>
          <w:highlight w:val="none"/>
        </w:rPr>
      </w:pPr>
      <w:bookmarkStart w:id="173" w:name="_Toc7918"/>
      <w:r>
        <w:rPr>
          <w:rFonts w:hint="eastAsia" w:ascii="宋体" w:hAnsi="宋体" w:eastAsia="宋体" w:cs="宋体"/>
          <w:color w:val="auto"/>
          <w:highlight w:val="none"/>
        </w:rPr>
        <w:t>2.33.履行合同</w:t>
      </w:r>
      <w:bookmarkEnd w:id="173"/>
    </w:p>
    <w:p>
      <w:pPr>
        <w:bidi w:val="0"/>
        <w:rPr>
          <w:rFonts w:hint="eastAsia" w:ascii="宋体" w:hAnsi="宋体" w:eastAsia="宋体" w:cs="宋体"/>
          <w:color w:val="auto"/>
          <w:highlight w:val="none"/>
        </w:rPr>
      </w:pPr>
      <w:r>
        <w:rPr>
          <w:rFonts w:hint="eastAsia" w:ascii="宋体" w:hAnsi="宋体" w:eastAsia="宋体" w:cs="宋体"/>
          <w:color w:val="auto"/>
          <w:highlight w:val="none"/>
        </w:rPr>
        <w:t>2.33.1 成交供应商与采购人签订合同后，合同双方应严格执行合同条款，履行合同规定的义务，保证合同的顺利完成。</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2.33.2 在合同履行过程中，如发生合同纠纷，合同双方应按照《</w:t>
      </w:r>
      <w:r>
        <w:rPr>
          <w:rFonts w:hint="eastAsia" w:cs="宋体"/>
          <w:color w:val="auto"/>
          <w:highlight w:val="none"/>
          <w:lang w:val="en-US" w:eastAsia="zh-CN"/>
        </w:rPr>
        <w:t>中华人民共和国民法典</w:t>
      </w:r>
      <w:r>
        <w:rPr>
          <w:rFonts w:hint="eastAsia" w:ascii="宋体" w:hAnsi="宋体" w:eastAsia="宋体" w:cs="宋体"/>
          <w:color w:val="auto"/>
          <w:highlight w:val="none"/>
        </w:rPr>
        <w:t>》的有关规定进行处理。</w:t>
      </w:r>
    </w:p>
    <w:p>
      <w:pPr>
        <w:pStyle w:val="5"/>
        <w:bidi w:val="0"/>
        <w:ind w:left="0" w:firstLine="0"/>
        <w:rPr>
          <w:rFonts w:hint="eastAsia" w:ascii="宋体" w:hAnsi="宋体" w:eastAsia="宋体" w:cs="宋体"/>
          <w:color w:val="auto"/>
          <w:highlight w:val="none"/>
        </w:rPr>
      </w:pPr>
      <w:bookmarkStart w:id="174" w:name="_Toc24022"/>
      <w:r>
        <w:rPr>
          <w:rFonts w:hint="eastAsia" w:ascii="宋体" w:hAnsi="宋体" w:eastAsia="宋体" w:cs="宋体"/>
          <w:color w:val="auto"/>
          <w:highlight w:val="none"/>
        </w:rPr>
        <w:t>2.34.</w:t>
      </w:r>
      <w:r>
        <w:rPr>
          <w:rFonts w:hint="eastAsia" w:cs="宋体"/>
          <w:color w:val="auto"/>
          <w:highlight w:val="none"/>
          <w:lang w:eastAsia="zh-CN"/>
        </w:rPr>
        <w:t>履约</w:t>
      </w:r>
      <w:r>
        <w:rPr>
          <w:rFonts w:hint="eastAsia" w:ascii="宋体" w:hAnsi="宋体" w:eastAsia="宋体" w:cs="宋体"/>
          <w:color w:val="auto"/>
          <w:highlight w:val="none"/>
        </w:rPr>
        <w:t>验收</w:t>
      </w:r>
      <w:bookmarkEnd w:id="174"/>
    </w:p>
    <w:p>
      <w:pPr>
        <w:bidi w:val="0"/>
        <w:rPr>
          <w:rFonts w:hint="eastAsia"/>
          <w:color w:val="auto"/>
          <w:highlight w:val="none"/>
        </w:rPr>
      </w:pPr>
      <w:bookmarkStart w:id="175" w:name="_Toc13772"/>
      <w:r>
        <w:rPr>
          <w:rFonts w:hint="eastAsia"/>
          <w:color w:val="auto"/>
          <w:highlight w:val="none"/>
          <w:lang w:val="en-US" w:eastAsia="zh-CN"/>
        </w:rPr>
        <w:t>验收时间、期限、方式和标准等相关验收事项，采购人可按照政府采购相关法律法规以及《财政部关于进一步加强政府采购需求和履约验收管理的指导意见》（财库〔2016〕205号）和相关法律法规的要求进行验收，出具验收书，并将验收书交代理机构一份存档。</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2.35.资金支付</w:t>
      </w:r>
      <w:bookmarkEnd w:id="175"/>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采购人将按照政府采购合同规定，及时向成交供应商支付采购资金。本项目采购资金采取直接支付，支付程序为：</w:t>
      </w:r>
      <w:r>
        <w:rPr>
          <w:rFonts w:hint="eastAsia" w:ascii="宋体" w:hAnsi="宋体" w:eastAsia="宋体" w:cs="宋体"/>
          <w:b/>
          <w:bCs/>
          <w:color w:val="auto"/>
          <w:highlight w:val="none"/>
        </w:rPr>
        <w:t>详见磋商文件第五章</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对于满足政府采购合同约定支付条件的，采购人应当自收到发票后</w:t>
      </w:r>
      <w:r>
        <w:rPr>
          <w:rFonts w:hint="eastAsia" w:ascii="宋体" w:hAnsi="宋体" w:eastAsia="宋体" w:cs="宋体"/>
          <w:color w:val="auto"/>
          <w:highlight w:val="none"/>
          <w:lang w:val="en-US" w:eastAsia="zh-CN"/>
        </w:rPr>
        <w:t>30日内将资金支付到合同约定的供应商账户，不得以机构变动、人员更替、政策调整等为延迟付款，不得将采购文件和合同中未规定的义务作为向供应商付款的条件。采购人逾期支付采购资金的，</w:t>
      </w:r>
      <w:r>
        <w:rPr>
          <w:rFonts w:hint="eastAsia" w:ascii="宋体" w:hAnsi="宋体" w:eastAsia="宋体" w:cs="宋体"/>
          <w:color w:val="auto"/>
          <w:highlight w:val="none"/>
          <w:lang w:eastAsia="zh-CN"/>
        </w:rPr>
        <w:t>将</w:t>
      </w:r>
      <w:r>
        <w:rPr>
          <w:rFonts w:hint="eastAsia" w:ascii="宋体" w:hAnsi="宋体" w:eastAsia="宋体" w:cs="宋体"/>
          <w:color w:val="auto"/>
          <w:highlight w:val="none"/>
        </w:rPr>
        <w:t>按照有关规定</w:t>
      </w:r>
      <w:r>
        <w:rPr>
          <w:rFonts w:hint="eastAsia" w:ascii="宋体" w:hAnsi="宋体" w:eastAsia="宋体" w:cs="宋体"/>
          <w:color w:val="auto"/>
          <w:highlight w:val="none"/>
          <w:lang w:eastAsia="zh-CN"/>
        </w:rPr>
        <w:t>承担违约责任</w:t>
      </w:r>
      <w:r>
        <w:rPr>
          <w:rFonts w:hint="eastAsia" w:ascii="宋体" w:hAnsi="宋体" w:eastAsia="宋体" w:cs="宋体"/>
          <w:color w:val="auto"/>
          <w:highlight w:val="none"/>
        </w:rPr>
        <w:t>。</w:t>
      </w:r>
    </w:p>
    <w:p>
      <w:pPr>
        <w:pStyle w:val="4"/>
        <w:bidi w:val="0"/>
        <w:jc w:val="center"/>
        <w:rPr>
          <w:rFonts w:hint="eastAsia" w:ascii="宋体" w:hAnsi="宋体" w:eastAsia="宋体" w:cs="宋体"/>
          <w:color w:val="auto"/>
          <w:highlight w:val="none"/>
        </w:rPr>
      </w:pPr>
      <w:bookmarkStart w:id="176" w:name="_Toc14198"/>
      <w:bookmarkStart w:id="177" w:name="_Toc22925"/>
      <w:r>
        <w:rPr>
          <w:rFonts w:hint="eastAsia" w:ascii="宋体" w:hAnsi="宋体" w:eastAsia="宋体" w:cs="宋体"/>
          <w:color w:val="auto"/>
          <w:highlight w:val="none"/>
        </w:rPr>
        <w:t>八、磋商纪律要求</w:t>
      </w:r>
      <w:bookmarkEnd w:id="176"/>
      <w:bookmarkEnd w:id="177"/>
    </w:p>
    <w:p>
      <w:pPr>
        <w:pStyle w:val="5"/>
        <w:bidi w:val="0"/>
        <w:rPr>
          <w:rFonts w:hint="eastAsia" w:ascii="宋体" w:hAnsi="宋体" w:eastAsia="宋体" w:cs="宋体"/>
          <w:color w:val="auto"/>
          <w:highlight w:val="none"/>
        </w:rPr>
      </w:pPr>
      <w:bookmarkStart w:id="178" w:name="_Toc28237"/>
      <w:r>
        <w:rPr>
          <w:rFonts w:hint="eastAsia" w:ascii="宋体" w:hAnsi="宋体" w:eastAsia="宋体" w:cs="宋体"/>
          <w:color w:val="auto"/>
          <w:highlight w:val="none"/>
        </w:rPr>
        <w:t>2.36.供应商不得具有的情形</w:t>
      </w:r>
      <w:bookmarkEnd w:id="178"/>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供应商参加本项目磋商不得有下列情形：</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（3）与采购人、采购代理机构、或其他供应商恶意串通；</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（4）向采购人、采购代理机构、磋商小组成员行贿或者提供其他不正当利益；</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（5）在磋商过程中与采购人、采购代理机构进行协商；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（6）成交后无正当理由拒不与采购人签订政府采购合同；</w:t>
      </w:r>
    </w:p>
    <w:p>
      <w:pPr>
        <w:bidi w:val="0"/>
        <w:rPr>
          <w:rFonts w:hint="eastAsia" w:ascii="宋体" w:hAnsi="宋体" w:eastAsia="宋体" w:cs="宋体"/>
          <w:color w:val="auto"/>
          <w:highlight w:val="none"/>
        </w:rPr>
      </w:pPr>
      <w:r>
        <w:rPr>
          <w:rFonts w:hint="eastAsia" w:ascii="宋体" w:hAnsi="宋体" w:eastAsia="宋体" w:cs="宋体"/>
          <w:color w:val="auto"/>
          <w:highlight w:val="none"/>
        </w:rPr>
        <w:t>（7）未按照磋商文件确定的事项签订政府采购合同；</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（8）将政府采购合同转包或者违规分包；</w:t>
      </w:r>
    </w:p>
    <w:p>
      <w:pPr>
        <w:bidi w:val="0"/>
        <w:rPr>
          <w:rFonts w:hint="eastAsia" w:ascii="宋体" w:hAnsi="宋体" w:eastAsia="宋体" w:cs="宋体"/>
          <w:color w:val="auto"/>
          <w:highlight w:val="none"/>
        </w:rPr>
      </w:pPr>
      <w:r>
        <w:rPr>
          <w:rFonts w:hint="eastAsia" w:ascii="宋体" w:hAnsi="宋体" w:eastAsia="宋体" w:cs="宋体"/>
          <w:color w:val="auto"/>
          <w:highlight w:val="none"/>
        </w:rPr>
        <w:t>（9）提供假冒伪劣产品；</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（10）擅自变更、中止或者终止政府采购合同；</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供应商有上述情形的，按照规定追究法律责任，具备（1）-（10）条情形之一的，同时将取消被确认为成交供应商的资格或者认定成交无效。</w:t>
      </w:r>
    </w:p>
    <w:p>
      <w:pPr>
        <w:pStyle w:val="4"/>
        <w:bidi w:val="0"/>
        <w:jc w:val="center"/>
        <w:rPr>
          <w:rFonts w:hint="eastAsia" w:ascii="宋体" w:hAnsi="宋体" w:eastAsia="宋体" w:cs="宋体"/>
          <w:color w:val="auto"/>
          <w:highlight w:val="none"/>
        </w:rPr>
      </w:pPr>
      <w:r>
        <w:rPr>
          <w:rFonts w:hint="eastAsia" w:ascii="宋体" w:hAnsi="宋体" w:eastAsia="宋体" w:cs="宋体"/>
          <w:color w:val="auto"/>
          <w:highlight w:val="none"/>
        </w:rPr>
        <w:t>九、询问、质疑和投诉</w:t>
      </w:r>
    </w:p>
    <w:p>
      <w:pPr>
        <w:bidi w:val="0"/>
        <w:rPr>
          <w:rFonts w:hint="eastAsia" w:ascii="宋体" w:hAnsi="宋体" w:eastAsia="宋体" w:cs="宋体"/>
          <w:color w:val="auto"/>
          <w:highlight w:val="none"/>
        </w:rPr>
      </w:pPr>
      <w:bookmarkStart w:id="179" w:name="_Toc26416"/>
      <w:r>
        <w:rPr>
          <w:rFonts w:hint="eastAsia" w:ascii="宋体" w:hAnsi="宋体" w:eastAsia="宋体" w:cs="宋体"/>
          <w:color w:val="auto"/>
          <w:highlight w:val="none"/>
        </w:rPr>
        <w:t>2.37.</w:t>
      </w:r>
      <w:r>
        <w:rPr>
          <w:rFonts w:hint="eastAsia"/>
          <w:color w:val="auto"/>
          <w:highlight w:val="none"/>
        </w:rPr>
        <w:t>询问、质疑、投诉的接收和处理严格按照《中华人共和国政府采购法》、《中华人民共和国政府采购法实施条例》、《政府采购质疑和投诉办法》（94号令）</w:t>
      </w:r>
      <w:bookmarkEnd w:id="179"/>
      <w:r>
        <w:rPr>
          <w:rFonts w:hint="eastAsia"/>
          <w:color w:val="auto"/>
          <w:highlight w:val="none"/>
          <w:lang w:eastAsia="zh-CN"/>
        </w:rPr>
        <w:t>、</w:t>
      </w:r>
      <w:r>
        <w:rPr>
          <w:rFonts w:hint="eastAsia"/>
          <w:color w:val="auto"/>
          <w:highlight w:val="none"/>
        </w:rPr>
        <w:t>《财政部关于加强政府采购供应商投诉受理审查工作的通知》和《四川省政府采购供应商投诉处理工作规程》的规定办理（详细规定请在四川政府采购网政策法规模块查询）。</w:t>
      </w:r>
    </w:p>
    <w:p>
      <w:pPr>
        <w:pStyle w:val="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十、中小企业政府采购信用融资</w:t>
      </w:r>
    </w:p>
    <w:p>
      <w:pPr>
        <w:pStyle w:val="46"/>
        <w:rPr>
          <w:rFonts w:hint="eastAsia" w:ascii="宋体" w:hAnsi="宋体" w:eastAsia="宋体" w:cs="宋体"/>
          <w:color w:val="auto"/>
          <w:highlight w:val="none"/>
        </w:rPr>
      </w:pPr>
    </w:p>
    <w:p>
      <w:pPr>
        <w:bidi w:val="0"/>
        <w:rPr>
          <w:rFonts w:hint="eastAsia"/>
          <w:color w:val="auto"/>
          <w:highlight w:val="none"/>
          <w:lang w:val="en-US" w:eastAsia="zh-CN"/>
        </w:rPr>
      </w:pPr>
      <w:r>
        <w:rPr>
          <w:rFonts w:hint="eastAsia"/>
          <w:color w:val="auto"/>
          <w:highlight w:val="none"/>
          <w:lang w:val="en-US" w:eastAsia="zh-CN"/>
        </w:rPr>
        <w:t>2.38.</w:t>
      </w:r>
      <w:r>
        <w:rPr>
          <w:color w:val="auto"/>
          <w:highlight w:val="none"/>
        </w:rPr>
        <w:t>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r>
        <w:rPr>
          <w:rFonts w:hint="eastAsia"/>
          <w:color w:val="auto"/>
          <w:highlight w:val="none"/>
          <w:lang w:eastAsia="zh-CN"/>
        </w:rPr>
        <w:t>。</w:t>
      </w:r>
    </w:p>
    <w:p>
      <w:pPr>
        <w:bidi w:val="0"/>
        <w:rPr>
          <w:rFonts w:hint="eastAsia"/>
          <w:color w:val="auto"/>
          <w:highlight w:val="none"/>
        </w:rPr>
      </w:pPr>
      <w:r>
        <w:rPr>
          <w:rFonts w:hint="eastAsia"/>
          <w:color w:val="auto"/>
          <w:highlight w:val="none"/>
          <w:lang w:val="en-US" w:eastAsia="zh-CN"/>
        </w:rPr>
        <w:t>2.39.</w:t>
      </w:r>
      <w:r>
        <w:rPr>
          <w:color w:val="auto"/>
          <w:highlight w:val="none"/>
        </w:rPr>
        <w:t>根据《成都市财政局关于增补“蓉采贷”政策合作银行及做好相关工作的通知》（成财采发〔2020〕20号），参加本次采购活动的中小企业供应商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w:t>
      </w:r>
    </w:p>
    <w:p>
      <w:pPr>
        <w:pStyle w:val="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十一、其  他</w:t>
      </w:r>
    </w:p>
    <w:p>
      <w:pPr>
        <w:bidi w:val="0"/>
        <w:rPr>
          <w:rFonts w:hint="eastAsia" w:ascii="宋体" w:hAnsi="宋体" w:eastAsia="宋体" w:cs="宋体"/>
          <w:color w:val="auto"/>
          <w:highlight w:val="none"/>
        </w:rPr>
      </w:pPr>
      <w:bookmarkStart w:id="180" w:name="_Toc29068"/>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bookmarkEnd w:id="180"/>
      <w:bookmarkStart w:id="181" w:name="_Toc25627"/>
      <w:r>
        <w:rPr>
          <w:rFonts w:hint="eastAsia" w:ascii="宋体" w:hAnsi="宋体" w:eastAsia="宋体" w:cs="宋体"/>
          <w:color w:val="auto"/>
          <w:highlight w:val="none"/>
        </w:rPr>
        <w:t>律制度规定执行，本磋商文件不再做调整。</w:t>
      </w:r>
      <w:bookmarkEnd w:id="78"/>
      <w:bookmarkEnd w:id="79"/>
      <w:bookmarkEnd w:id="99"/>
      <w:bookmarkEnd w:id="100"/>
      <w:bookmarkEnd w:id="101"/>
      <w:bookmarkEnd w:id="102"/>
      <w:bookmarkEnd w:id="103"/>
      <w:bookmarkEnd w:id="181"/>
      <w:bookmarkStart w:id="182" w:name="_Toc30087"/>
      <w:bookmarkStart w:id="183" w:name="_Toc18645"/>
      <w:bookmarkStart w:id="184" w:name="_Toc19052"/>
      <w:bookmarkStart w:id="185" w:name="_Toc30484"/>
      <w:bookmarkStart w:id="186" w:name="_Toc17670"/>
      <w:bookmarkStart w:id="187" w:name="_Toc17784"/>
      <w:bookmarkStart w:id="188" w:name="_Toc21661"/>
      <w:bookmarkStart w:id="189" w:name="_Toc16949"/>
      <w:bookmarkStart w:id="190" w:name="_Toc9257"/>
      <w:bookmarkStart w:id="191" w:name="_Toc6069"/>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bidi w:val="0"/>
        <w:rPr>
          <w:rFonts w:hint="eastAsia"/>
          <w:color w:val="auto"/>
          <w:highlight w:val="none"/>
        </w:rPr>
      </w:pPr>
      <w:r>
        <w:rPr>
          <w:rFonts w:hint="eastAsia"/>
          <w:color w:val="auto"/>
          <w:highlight w:val="none"/>
        </w:rPr>
        <w:t>第三章 供应商资格条件要求</w:t>
      </w:r>
      <w:bookmarkEnd w:id="182"/>
      <w:bookmarkEnd w:id="183"/>
      <w:bookmarkEnd w:id="184"/>
      <w:bookmarkEnd w:id="185"/>
      <w:bookmarkEnd w:id="186"/>
      <w:bookmarkEnd w:id="187"/>
    </w:p>
    <w:p>
      <w:pPr>
        <w:pStyle w:val="4"/>
        <w:bidi w:val="0"/>
        <w:rPr>
          <w:color w:val="auto"/>
          <w:highlight w:val="none"/>
        </w:rPr>
      </w:pPr>
      <w:bookmarkStart w:id="192" w:name="_Toc8481"/>
      <w:bookmarkStart w:id="193" w:name="_Toc29597"/>
      <w:r>
        <w:rPr>
          <w:rFonts w:hint="eastAsia"/>
          <w:color w:val="auto"/>
          <w:highlight w:val="none"/>
        </w:rPr>
        <w:t>3.1供应商参加本次政府采购活动应具备的条件</w:t>
      </w:r>
    </w:p>
    <w:p>
      <w:pPr>
        <w:numPr>
          <w:ilvl w:val="0"/>
          <w:numId w:val="3"/>
        </w:numPr>
        <w:bidi w:val="0"/>
        <w:ind w:left="0" w:leftChars="0"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满足《中华人民共和国政府采购法》第二十二条规定；</w:t>
      </w:r>
    </w:p>
    <w:p>
      <w:pPr>
        <w:numPr>
          <w:ilvl w:val="0"/>
          <w:numId w:val="3"/>
        </w:numPr>
        <w:bidi w:val="0"/>
        <w:ind w:left="0" w:leftChars="0"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落实政府采购政策需满足的资格要求：</w:t>
      </w:r>
      <w:r>
        <w:rPr>
          <w:rFonts w:hint="eastAsia" w:ascii="宋体" w:hAnsi="宋体" w:eastAsia="宋体" w:cs="宋体"/>
          <w:b/>
          <w:bCs/>
          <w:color w:val="auto"/>
          <w:highlight w:val="none"/>
        </w:rPr>
        <w:t>本项目专门面向中小企业</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监狱企业、残疾人福利性单位视同小微企业</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采购</w:t>
      </w:r>
      <w:r>
        <w:rPr>
          <w:rFonts w:hint="eastAsia" w:ascii="宋体" w:hAnsi="宋体" w:eastAsia="宋体" w:cs="宋体"/>
          <w:b/>
          <w:bCs/>
          <w:color w:val="auto"/>
          <w:highlight w:val="none"/>
          <w:lang w:eastAsia="zh-CN"/>
        </w:rPr>
        <w:t>。</w:t>
      </w:r>
    </w:p>
    <w:p>
      <w:pPr>
        <w:numPr>
          <w:ilvl w:val="0"/>
          <w:numId w:val="3"/>
        </w:numPr>
        <w:bidi w:val="0"/>
        <w:ind w:left="0" w:leftChars="0"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本项目的特定资格要求：</w:t>
      </w:r>
      <w:r>
        <w:rPr>
          <w:rFonts w:hint="eastAsia" w:ascii="宋体" w:hAnsi="宋体" w:eastAsia="宋体" w:cs="宋体"/>
          <w:b w:val="0"/>
          <w:bCs w:val="0"/>
          <w:color w:val="auto"/>
          <w:highlight w:val="none"/>
          <w:lang w:val="en-US" w:eastAsia="zh-CN"/>
        </w:rPr>
        <w:t>无</w:t>
      </w:r>
      <w:r>
        <w:rPr>
          <w:rFonts w:hint="eastAsia" w:ascii="宋体" w:hAnsi="宋体" w:eastAsia="宋体" w:cs="宋体"/>
          <w:b w:val="0"/>
          <w:bCs w:val="0"/>
          <w:color w:val="auto"/>
          <w:highlight w:val="none"/>
        </w:rPr>
        <w:t>。</w:t>
      </w:r>
    </w:p>
    <w:p>
      <w:pPr>
        <w:pStyle w:val="4"/>
        <w:bidi w:val="0"/>
        <w:rPr>
          <w:rFonts w:hint="eastAsia"/>
          <w:color w:val="auto"/>
          <w:highlight w:val="none"/>
        </w:rPr>
      </w:pPr>
      <w:r>
        <w:rPr>
          <w:rFonts w:hint="eastAsia"/>
          <w:color w:val="auto"/>
          <w:highlight w:val="none"/>
          <w:lang w:val="en-US" w:eastAsia="zh-CN"/>
        </w:rPr>
        <w:t>3.2</w:t>
      </w:r>
      <w:r>
        <w:rPr>
          <w:rFonts w:hint="eastAsia"/>
          <w:color w:val="auto"/>
          <w:highlight w:val="none"/>
        </w:rPr>
        <w:t>其他类似效力要求</w:t>
      </w:r>
    </w:p>
    <w:p>
      <w:pPr>
        <w:numPr>
          <w:ilvl w:val="0"/>
          <w:numId w:val="4"/>
        </w:numPr>
        <w:bidi w:val="0"/>
        <w:ind w:left="0" w:leftChars="0" w:firstLine="40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本项目参加政府采购活动的供应商及其现任法定代表人/主要负责人在前三年内不得具有行贿犯罪记录；</w:t>
      </w:r>
    </w:p>
    <w:p>
      <w:pPr>
        <w:numPr>
          <w:ilvl w:val="0"/>
          <w:numId w:val="4"/>
        </w:numPr>
        <w:bidi w:val="0"/>
        <w:ind w:left="0" w:leftChars="0" w:firstLine="40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本项目不接受联合体参加磋商</w:t>
      </w:r>
      <w:r>
        <w:rPr>
          <w:rFonts w:hint="eastAsia" w:ascii="宋体" w:hAnsi="宋体" w:eastAsia="宋体" w:cs="宋体"/>
          <w:b w:val="0"/>
          <w:bCs w:val="0"/>
          <w:color w:val="auto"/>
          <w:highlight w:val="none"/>
          <w:lang w:eastAsia="zh-CN"/>
        </w:rPr>
        <w:t>；</w:t>
      </w:r>
    </w:p>
    <w:p>
      <w:pPr>
        <w:numPr>
          <w:ilvl w:val="0"/>
          <w:numId w:val="4"/>
        </w:numPr>
        <w:bidi w:val="0"/>
        <w:ind w:left="0" w:leftChars="0" w:firstLine="40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供应商依据采购公告获取了本项目竞争性磋商文件；</w:t>
      </w:r>
    </w:p>
    <w:p>
      <w:pPr>
        <w:numPr>
          <w:ilvl w:val="0"/>
          <w:numId w:val="4"/>
        </w:numPr>
        <w:bidi w:val="0"/>
        <w:ind w:left="0" w:leftChars="0" w:firstLine="40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参加本次采购活动的法定代表人（单位负责人）或授权参加本次采购活动的供应商代表证明材料。</w:t>
      </w:r>
    </w:p>
    <w:p>
      <w:pPr>
        <w:pStyle w:val="59"/>
        <w:tabs>
          <w:tab w:val="left" w:pos="1260"/>
        </w:tabs>
        <w:adjustRightInd w:val="0"/>
        <w:snapToGrid w:val="0"/>
        <w:ind w:firstLine="480"/>
        <w:rPr>
          <w:rFonts w:hint="eastAsia" w:ascii="宋体" w:hAnsi="宋体" w:eastAsia="宋体" w:cs="宋体"/>
          <w:color w:val="auto"/>
          <w:sz w:val="24"/>
          <w:highlight w:val="none"/>
        </w:rPr>
      </w:pPr>
    </w:p>
    <w:bookmarkEnd w:id="192"/>
    <w:bookmarkEnd w:id="193"/>
    <w:p>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b/>
          <w:bCs/>
          <w:color w:val="auto"/>
          <w:sz w:val="21"/>
          <w:szCs w:val="21"/>
          <w:highlight w:val="none"/>
        </w:rPr>
        <w:br w:type="page"/>
      </w:r>
      <w:bookmarkStart w:id="194" w:name="_Toc4461"/>
      <w:bookmarkStart w:id="195" w:name="_Toc18486"/>
    </w:p>
    <w:p>
      <w:pPr>
        <w:pStyle w:val="3"/>
        <w:bidi w:val="0"/>
        <w:rPr>
          <w:rFonts w:hint="eastAsia" w:ascii="宋体" w:hAnsi="宋体" w:eastAsia="宋体" w:cs="宋体"/>
          <w:color w:val="auto"/>
          <w:highlight w:val="none"/>
        </w:rPr>
      </w:pPr>
      <w:bookmarkStart w:id="196" w:name="_Toc19537"/>
      <w:bookmarkStart w:id="197" w:name="_Toc13528"/>
      <w:bookmarkStart w:id="198" w:name="_Toc9993"/>
      <w:bookmarkStart w:id="199" w:name="_Toc24154"/>
      <w:r>
        <w:rPr>
          <w:rFonts w:hint="eastAsia" w:ascii="宋体" w:hAnsi="宋体" w:eastAsia="宋体" w:cs="宋体"/>
          <w:color w:val="auto"/>
          <w:highlight w:val="none"/>
        </w:rPr>
        <w:t>第四章 供应商资格证明材料</w:t>
      </w:r>
      <w:bookmarkEnd w:id="194"/>
      <w:bookmarkEnd w:id="195"/>
      <w:bookmarkEnd w:id="196"/>
      <w:bookmarkEnd w:id="197"/>
      <w:bookmarkEnd w:id="198"/>
      <w:bookmarkEnd w:id="199"/>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具有独立承担民事责任的能力提供以下证明材料：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①企业法人：提交“统一社会信用代码的营业执照”；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②事业法人：提交“统一社会信用代码的事业单位法人证书”；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③其他组织：提交“相关主管部门颁发的准许执业证明文件或其他证明材料”。</w:t>
      </w:r>
    </w:p>
    <w:p>
      <w:pPr>
        <w:ind w:firstLine="480"/>
        <w:rPr>
          <w:color w:val="auto"/>
          <w:highlight w:val="none"/>
        </w:rPr>
      </w:pPr>
      <w:r>
        <w:rPr>
          <w:rFonts w:hint="eastAsia" w:ascii="宋体" w:hAnsi="宋体" w:eastAsia="宋体" w:cs="宋体"/>
          <w:color w:val="auto"/>
          <w:highlight w:val="none"/>
        </w:rPr>
        <w:t xml:space="preserve"> </w:t>
      </w:r>
      <w:r>
        <w:rPr>
          <w:rFonts w:hint="eastAsia"/>
          <w:color w:val="auto"/>
          <w:highlight w:val="none"/>
        </w:rPr>
        <w:t>④自然人：提交“身份证明材料”；</w:t>
      </w:r>
    </w:p>
    <w:p>
      <w:pPr>
        <w:ind w:firstLine="480"/>
        <w:rPr>
          <w:rFonts w:hint="eastAsia" w:ascii="宋体" w:hAnsi="宋体" w:eastAsia="宋体" w:cs="宋体"/>
          <w:color w:val="auto"/>
          <w:highlight w:val="none"/>
        </w:rPr>
      </w:pPr>
      <w:r>
        <w:rPr>
          <w:rFonts w:hint="eastAsia"/>
          <w:color w:val="auto"/>
          <w:highlight w:val="none"/>
        </w:rPr>
        <w:t xml:space="preserve"> （以上均提供复印件，其中①②③项应加盖公章。）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具有良好的商业信誉的证明材料（提供承诺函，格式详见磋商文件）；</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健全的财务会计制度的证明材料；｛注：①可提供2019或2020年度经审计的财务报告复印件（包含审计报告、审计报告中所涉及的财务报表和报表附注）；②也可提供2020或2021年供应商内部的财务报表复印件（至少包含资产负债表）；③也可提供响应文件递交截止日前一年内银行出具的有效资信证明；④供应商注册时间距响应文件递交截止日不足一年的，也可提供在工商备案的公司章程复印件；⑤复印件加盖公章。｝</w:t>
      </w:r>
    </w:p>
    <w:p>
      <w:pPr>
        <w:numPr>
          <w:ilvl w:val="0"/>
          <w:numId w:val="5"/>
        </w:numPr>
        <w:ind w:left="0" w:leftChars="0" w:firstLine="480" w:firstLineChars="200"/>
        <w:rPr>
          <w:rFonts w:hint="eastAsia" w:ascii="宋体" w:hAnsi="宋体" w:eastAsia="宋体" w:cs="宋体"/>
          <w:color w:val="auto"/>
          <w:highlight w:val="none"/>
        </w:rPr>
      </w:pPr>
      <w:r>
        <w:rPr>
          <w:rFonts w:hint="eastAsia" w:cs="宋体"/>
          <w:color w:val="auto"/>
          <w:highlight w:val="none"/>
          <w:lang w:eastAsia="zh-CN"/>
        </w:rPr>
        <w:t>具有履行合同所必需的设备和专业技术能力</w:t>
      </w:r>
      <w:r>
        <w:rPr>
          <w:rFonts w:hint="eastAsia" w:ascii="宋体" w:hAnsi="宋体" w:eastAsia="宋体" w:cs="宋体"/>
          <w:color w:val="auto"/>
          <w:highlight w:val="none"/>
        </w:rPr>
        <w:t>的证明材料（提供承诺函，格式详见磋商文件）；</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有依法缴纳税收和社会保障资金的良好记录的证明材料：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①缴纳税收：提供2021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②缴纳社会保障资金：提供2021年1月（含）以来任意时段（至少1个月）的缴纳社保的银行电子回单或社保部门出具的社保缴纳证明材料或有效票据复印件（复印件加盖公章）。</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参加政府采购活动前三年内在经营活动中没有重大违法记录的证明材料（提供承诺函，格式详见磋商文件）；</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法律、行政法规规定的其他条件的证明材料（提供承诺函，格式详见磋商文件）；</w:t>
      </w:r>
    </w:p>
    <w:p>
      <w:pPr>
        <w:numPr>
          <w:ilvl w:val="0"/>
          <w:numId w:val="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本项目专门面向中小企业（监狱企业、残疾人福利性单位视同小微企业）采购（</w:t>
      </w:r>
      <w:r>
        <w:rPr>
          <w:rFonts w:hint="eastAsia" w:ascii="宋体" w:hAnsi="宋体" w:eastAsia="宋体" w:cs="宋体"/>
          <w:color w:val="auto"/>
          <w:highlight w:val="none"/>
        </w:rPr>
        <w:t>提供中小企业声明函或监狱企业证明文件或残疾人福利性单位声明函</w:t>
      </w:r>
      <w:r>
        <w:rPr>
          <w:rFonts w:hint="eastAsia" w:ascii="宋体" w:hAnsi="宋体" w:eastAsia="宋体" w:cs="宋体"/>
          <w:color w:val="auto"/>
          <w:highlight w:val="none"/>
          <w:lang w:eastAsia="zh-CN"/>
        </w:rPr>
        <w:t>）。</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本项目参加政府采购活动的供应商及其现任法定代表人/主要负责人在前三年内不得具有行贿犯罪记录（提供供应商及其现任法定代表人/主要负责人在参加政府采购活动前三年内无行贿犯罪记录的承诺函原件）；</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供应商依据采购公告获取了本项目竞争性磋商文件（注：由采购代理机构提供供应商获取了磋商文件情况的相关证明材料，供应商不需要提供其他证明材料）；</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法定代表人（单位负责人）身份证明书原件及法定代表人（单位负责人）身份证复印件或护照复印件【①法定代表人（单位负责人）身份证明书原件；②法定代表人（单位负责人）身份证复印件（在有效期内, 身份证两面均应复印）或护照复印件（供应商的法定代表人（单位负责人）为外籍人士的，按此提供）；③满足磋商文件的要求。】；</w:t>
      </w:r>
    </w:p>
    <w:p>
      <w:pPr>
        <w:numPr>
          <w:ilvl w:val="0"/>
          <w:numId w:val="5"/>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法定代表人（单位负责人）授权书原件及授权代表身份证明材料复印件【①法定代表人授权书原件需加盖公章；②授权代表身份证复印件（在有效期内,身份证两面均应复印）；③满足磋商文件的要求；④如响应文件均由供应商法定代表人（单位负责人）签字的则可不提供。】；</w:t>
      </w:r>
    </w:p>
    <w:p>
      <w:pPr>
        <w:numPr>
          <w:ilvl w:val="0"/>
          <w:numId w:val="5"/>
        </w:numPr>
        <w:ind w:left="0" w:leftChars="0" w:firstLine="480" w:firstLineChars="200"/>
        <w:rPr>
          <w:color w:val="auto"/>
          <w:highlight w:val="none"/>
        </w:rPr>
      </w:pPr>
      <w:r>
        <w:rPr>
          <w:rFonts w:hint="eastAsia" w:ascii="宋体" w:hAnsi="宋体" w:eastAsia="宋体" w:cs="宋体"/>
          <w:color w:val="auto"/>
          <w:highlight w:val="none"/>
          <w:lang w:eastAsia="zh-CN"/>
        </w:rPr>
        <w:t>供应商未提供本项目整体设计、规范编制或者项目管理、监理、检测等服务的证明材料（提供承诺函，格式详见磋商文件）</w:t>
      </w:r>
      <w:r>
        <w:rPr>
          <w:rFonts w:hint="eastAsia" w:cs="宋体"/>
          <w:color w:val="auto"/>
          <w:highlight w:val="none"/>
          <w:lang w:eastAsia="zh-CN"/>
        </w:rPr>
        <w:t>。</w:t>
      </w:r>
    </w:p>
    <w:p>
      <w:pPr>
        <w:pStyle w:val="15"/>
        <w:ind w:left="0" w:leftChars="0" w:firstLine="0" w:firstLineChars="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val="en-US" w:eastAsia="zh-CN" w:bidi="ar-SA"/>
        </w:rPr>
        <w:t>（1）如有意愿参与本项目的潜在供应商，请按磋商文件要求提供相关承诺，严禁提供虚假承诺，如提供虚假承诺将报告监管部门严肃追究法律责任。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bidi="ar-SA"/>
        </w:rPr>
        <w:t>（2）除供应商自愿以外，不能要求供应商提供额外的证明材料。如果要求提供额外的证明材料，供应商有权不予提供，且不影响响应文件的有效性和完整性。</w:t>
      </w:r>
    </w:p>
    <w:p>
      <w:pPr>
        <w:rPr>
          <w:rFonts w:hint="eastAsia" w:ascii="宋体" w:hAnsi="宋体" w:eastAsia="宋体" w:cs="宋体"/>
          <w:color w:val="auto"/>
          <w:highlight w:val="none"/>
        </w:rPr>
      </w:pPr>
      <w:bookmarkStart w:id="200" w:name="_Toc17562"/>
      <w:bookmarkStart w:id="201" w:name="_Toc23977"/>
      <w:bookmarkStart w:id="202" w:name="_Toc29136"/>
      <w:bookmarkStart w:id="203" w:name="_Toc4933"/>
      <w:bookmarkStart w:id="204" w:name="_Toc25682"/>
      <w:r>
        <w:rPr>
          <w:rFonts w:hint="eastAsia" w:ascii="宋体" w:hAnsi="宋体" w:eastAsia="宋体" w:cs="宋体"/>
          <w:color w:val="auto"/>
          <w:highlight w:val="none"/>
        </w:rPr>
        <w:br w:type="page"/>
      </w:r>
    </w:p>
    <w:bookmarkEnd w:id="188"/>
    <w:bookmarkEnd w:id="189"/>
    <w:bookmarkEnd w:id="190"/>
    <w:bookmarkEnd w:id="191"/>
    <w:bookmarkEnd w:id="200"/>
    <w:bookmarkEnd w:id="201"/>
    <w:bookmarkEnd w:id="202"/>
    <w:bookmarkEnd w:id="203"/>
    <w:bookmarkEnd w:id="204"/>
    <w:p>
      <w:pPr>
        <w:pStyle w:val="3"/>
        <w:bidi w:val="0"/>
        <w:rPr>
          <w:rFonts w:hint="eastAsia"/>
          <w:color w:val="auto"/>
          <w:highlight w:val="none"/>
        </w:rPr>
      </w:pPr>
      <w:bookmarkStart w:id="205" w:name="_Toc11057"/>
      <w:bookmarkStart w:id="206" w:name="_Toc7520"/>
      <w:bookmarkStart w:id="207" w:name="_Toc6686"/>
      <w:bookmarkStart w:id="208" w:name="_Toc19854"/>
      <w:bookmarkStart w:id="209" w:name="_Toc14736"/>
      <w:bookmarkStart w:id="210" w:name="_Toc15022"/>
      <w:bookmarkStart w:id="211" w:name="_Toc17553"/>
      <w:r>
        <w:rPr>
          <w:rFonts w:hint="eastAsia"/>
          <w:color w:val="auto"/>
          <w:highlight w:val="none"/>
        </w:rPr>
        <w:t>第五章 采购项目技术服务、商务及其他要求</w:t>
      </w:r>
      <w:bookmarkEnd w:id="205"/>
    </w:p>
    <w:p>
      <w:pPr>
        <w:pStyle w:val="4"/>
        <w:bidi w:val="0"/>
        <w:rPr>
          <w:rFonts w:hint="default"/>
          <w:color w:val="auto"/>
          <w:highlight w:val="none"/>
        </w:rPr>
      </w:pPr>
      <w:r>
        <w:rPr>
          <w:rFonts w:hint="eastAsia"/>
          <w:color w:val="auto"/>
          <w:highlight w:val="none"/>
          <w:lang w:val="en-US" w:eastAsia="zh-CN"/>
        </w:rPr>
        <w:t>5</w:t>
      </w:r>
      <w:r>
        <w:rPr>
          <w:color w:val="auto"/>
          <w:highlight w:val="none"/>
        </w:rPr>
        <w:t>.1采购清单</w:t>
      </w:r>
    </w:p>
    <w:tbl>
      <w:tblPr>
        <w:tblStyle w:val="31"/>
        <w:tblW w:w="915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00"/>
        <w:gridCol w:w="1185"/>
        <w:gridCol w:w="24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采购内容</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质量标准</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配送时间</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配送地点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水果类</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详见本章</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详见本章</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每日早晨8:30以前</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成都动物园饲料室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鲜活肉类</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详见本章</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详见本章</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每日早晨8:30以前</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成都动物园饲料室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color w:val="auto"/>
                <w:highlight w:val="none"/>
              </w:rPr>
              <w:t>禽蛋类</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color w:val="auto"/>
                <w:highlight w:val="none"/>
              </w:rPr>
              <w:t>详见本章</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color w:val="auto"/>
                <w:highlight w:val="none"/>
              </w:rPr>
              <w:t>详见本章</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color w:val="auto"/>
                <w:highlight w:val="none"/>
              </w:rPr>
              <w:t>根据采购人通知</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color w:val="auto"/>
                <w:highlight w:val="none"/>
              </w:rPr>
              <w:t>成都动物园饲料室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颗粒饲料、杂粮类</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详见本章</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详见本章</w:t>
            </w:r>
          </w:p>
        </w:tc>
        <w:tc>
          <w:tcPr>
            <w:tcW w:w="2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根据采购人通知</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成都动物园饲料室并负责卸货到库房</w:t>
            </w:r>
          </w:p>
        </w:tc>
      </w:tr>
    </w:tbl>
    <w:p>
      <w:pPr>
        <w:pStyle w:val="4"/>
        <w:bidi w:val="0"/>
        <w:rPr>
          <w:rFonts w:hint="eastAsia"/>
          <w:color w:val="auto"/>
          <w:highlight w:val="none"/>
          <w:lang w:val="en-US" w:eastAsia="zh-CN"/>
        </w:rPr>
      </w:pPr>
      <w:r>
        <w:rPr>
          <w:rFonts w:hint="eastAsia"/>
          <w:color w:val="auto"/>
          <w:highlight w:val="none"/>
          <w:lang w:val="en-US" w:eastAsia="zh-CN"/>
        </w:rPr>
        <w:t>5.2技术、服务要求</w:t>
      </w:r>
    </w:p>
    <w:p>
      <w:pPr>
        <w:pStyle w:val="5"/>
        <w:bidi w:val="0"/>
        <w:rPr>
          <w:color w:val="auto"/>
          <w:highlight w:val="none"/>
        </w:rPr>
      </w:pPr>
      <w:r>
        <w:rPr>
          <w:rFonts w:hint="eastAsia"/>
          <w:color w:val="auto"/>
          <w:highlight w:val="none"/>
          <w:lang w:val="en-US" w:eastAsia="zh-CN"/>
        </w:rPr>
        <w:t>5</w:t>
      </w:r>
      <w:r>
        <w:rPr>
          <w:rFonts w:hint="eastAsia"/>
          <w:color w:val="auto"/>
          <w:highlight w:val="none"/>
        </w:rPr>
        <w:t>.2.1执行标准</w:t>
      </w:r>
    </w:p>
    <w:p>
      <w:pPr>
        <w:bidi w:val="0"/>
        <w:rPr>
          <w:rFonts w:hint="default"/>
          <w:color w:val="auto"/>
          <w:highlight w:val="none"/>
        </w:rPr>
      </w:pPr>
      <w:r>
        <w:rPr>
          <w:color w:val="auto"/>
          <w:highlight w:val="none"/>
        </w:rPr>
        <w:t>《中华人民共和国</w:t>
      </w:r>
      <w:r>
        <w:rPr>
          <w:rFonts w:hint="default"/>
          <w:color w:val="auto"/>
          <w:highlight w:val="none"/>
        </w:rPr>
        <w:t>食品安全法</w:t>
      </w:r>
      <w:r>
        <w:rPr>
          <w:color w:val="auto"/>
          <w:highlight w:val="none"/>
        </w:rPr>
        <w:t>》（2018年修订）</w:t>
      </w:r>
    </w:p>
    <w:p>
      <w:pPr>
        <w:bidi w:val="0"/>
        <w:rPr>
          <w:rFonts w:hint="default"/>
          <w:color w:val="auto"/>
          <w:highlight w:val="none"/>
        </w:rPr>
      </w:pPr>
      <w:r>
        <w:rPr>
          <w:color w:val="auto"/>
          <w:highlight w:val="none"/>
        </w:rPr>
        <w:t>《中华人民共和国动物防疫法》</w:t>
      </w:r>
      <w:r>
        <w:rPr>
          <w:rFonts w:hint="eastAsia"/>
          <w:color w:val="auto"/>
          <w:highlight w:val="none"/>
          <w:lang w:eastAsia="zh-CN"/>
        </w:rPr>
        <w:t>（</w:t>
      </w:r>
      <w:r>
        <w:rPr>
          <w:color w:val="auto"/>
          <w:highlight w:val="none"/>
        </w:rPr>
        <w:t>2021年修订）</w:t>
      </w:r>
    </w:p>
    <w:p>
      <w:pPr>
        <w:bidi w:val="0"/>
        <w:rPr>
          <w:rFonts w:hint="eastAsia" w:eastAsia="宋体"/>
          <w:color w:val="auto"/>
          <w:highlight w:val="none"/>
          <w:lang w:eastAsia="zh-CN"/>
        </w:rPr>
      </w:pPr>
      <w:r>
        <w:rPr>
          <w:rFonts w:hint="eastAsia"/>
          <w:color w:val="auto"/>
          <w:highlight w:val="none"/>
        </w:rPr>
        <w:t>《食品安全国家标准 食品中农药最大残留限量》</w:t>
      </w:r>
      <w:r>
        <w:rPr>
          <w:rFonts w:hint="eastAsia"/>
          <w:color w:val="auto"/>
          <w:highlight w:val="none"/>
          <w:lang w:eastAsia="zh-CN"/>
        </w:rPr>
        <w:t>（</w:t>
      </w:r>
      <w:r>
        <w:rPr>
          <w:rFonts w:hint="eastAsia"/>
          <w:color w:val="auto"/>
          <w:highlight w:val="none"/>
        </w:rPr>
        <w:t>GB 2763</w:t>
      </w:r>
      <w:r>
        <w:rPr>
          <w:color w:val="auto"/>
          <w:highlight w:val="none"/>
        </w:rPr>
        <w:t>-</w:t>
      </w:r>
      <w:r>
        <w:rPr>
          <w:rFonts w:hint="eastAsia"/>
          <w:color w:val="auto"/>
          <w:highlight w:val="none"/>
        </w:rPr>
        <w:t>2019</w:t>
      </w:r>
      <w:r>
        <w:rPr>
          <w:rFonts w:hint="eastAsia"/>
          <w:color w:val="auto"/>
          <w:highlight w:val="none"/>
          <w:lang w:eastAsia="zh-CN"/>
        </w:rPr>
        <w:t>）</w:t>
      </w:r>
    </w:p>
    <w:p>
      <w:pPr>
        <w:bidi w:val="0"/>
        <w:rPr>
          <w:rFonts w:hint="default"/>
          <w:color w:val="auto"/>
          <w:highlight w:val="none"/>
        </w:rPr>
      </w:pPr>
      <w:r>
        <w:rPr>
          <w:rFonts w:hint="eastAsia"/>
          <w:color w:val="auto"/>
          <w:highlight w:val="none"/>
          <w:lang w:eastAsia="zh-CN"/>
        </w:rPr>
        <w:t>《</w:t>
      </w:r>
      <w:r>
        <w:rPr>
          <w:rFonts w:hint="default"/>
          <w:color w:val="auto"/>
          <w:highlight w:val="none"/>
        </w:rPr>
        <w:t>食品冷链物流追溯管理要求</w:t>
      </w:r>
      <w:r>
        <w:rPr>
          <w:rFonts w:hint="eastAsia"/>
          <w:color w:val="auto"/>
          <w:highlight w:val="none"/>
          <w:lang w:eastAsia="zh-CN"/>
        </w:rPr>
        <w:t>》（</w:t>
      </w:r>
      <w:r>
        <w:rPr>
          <w:rFonts w:hint="default"/>
          <w:color w:val="auto"/>
          <w:highlight w:val="none"/>
        </w:rPr>
        <w:t>GB/T 28843-2012</w:t>
      </w:r>
      <w:r>
        <w:rPr>
          <w:color w:val="auto"/>
          <w:highlight w:val="none"/>
        </w:rPr>
        <w:t>）</w:t>
      </w:r>
    </w:p>
    <w:p>
      <w:pPr>
        <w:bidi w:val="0"/>
        <w:rPr>
          <w:rFonts w:hint="default"/>
          <w:color w:val="auto"/>
          <w:highlight w:val="none"/>
        </w:rPr>
      </w:pPr>
      <w:r>
        <w:rPr>
          <w:rFonts w:hint="eastAsia"/>
          <w:color w:val="auto"/>
          <w:highlight w:val="none"/>
          <w:lang w:eastAsia="zh-CN"/>
        </w:rPr>
        <w:t>《</w:t>
      </w:r>
      <w:r>
        <w:rPr>
          <w:rFonts w:hint="default"/>
          <w:color w:val="auto"/>
          <w:highlight w:val="none"/>
        </w:rPr>
        <w:t>主食冷链配送良好操作规范</w:t>
      </w:r>
      <w:r>
        <w:rPr>
          <w:rFonts w:hint="eastAsia"/>
          <w:color w:val="auto"/>
          <w:highlight w:val="none"/>
          <w:lang w:eastAsia="zh-CN"/>
        </w:rPr>
        <w:t>》（</w:t>
      </w:r>
      <w:r>
        <w:rPr>
          <w:rFonts w:hint="default"/>
          <w:color w:val="auto"/>
          <w:highlight w:val="none"/>
        </w:rPr>
        <w:t>SB/T 10678-2012</w:t>
      </w:r>
      <w:r>
        <w:rPr>
          <w:color w:val="auto"/>
          <w:highlight w:val="none"/>
        </w:rPr>
        <w:t>）</w:t>
      </w:r>
    </w:p>
    <w:p>
      <w:pPr>
        <w:bidi w:val="0"/>
        <w:rPr>
          <w:rFonts w:hint="default"/>
          <w:color w:val="auto"/>
          <w:highlight w:val="none"/>
        </w:rPr>
      </w:pPr>
      <w:r>
        <w:rPr>
          <w:color w:val="auto"/>
          <w:highlight w:val="none"/>
        </w:rPr>
        <w:t>现行国家相关标准、行业标准、规范</w:t>
      </w:r>
    </w:p>
    <w:p>
      <w:pPr>
        <w:pStyle w:val="5"/>
        <w:bidi w:val="0"/>
        <w:rPr>
          <w:rFonts w:hint="eastAsia"/>
          <w:color w:val="auto"/>
          <w:highlight w:val="none"/>
          <w:lang w:val="en-US" w:eastAsia="zh-CN"/>
        </w:rPr>
      </w:pPr>
      <w:r>
        <w:rPr>
          <w:rFonts w:hint="eastAsia"/>
          <w:color w:val="auto"/>
          <w:highlight w:val="none"/>
          <w:lang w:val="en-US" w:eastAsia="zh-CN"/>
        </w:rPr>
        <w:t>5.2.2质量标准及要求</w:t>
      </w:r>
    </w:p>
    <w:p>
      <w:pPr>
        <w:pStyle w:val="6"/>
        <w:bidi w:val="0"/>
        <w:rPr>
          <w:color w:val="auto"/>
          <w:highlight w:val="none"/>
        </w:rPr>
      </w:pPr>
      <w:r>
        <w:rPr>
          <w:rFonts w:hint="eastAsia"/>
          <w:color w:val="auto"/>
          <w:highlight w:val="none"/>
          <w:lang w:val="en-US" w:eastAsia="zh-CN"/>
        </w:rPr>
        <w:t>5.2.2.1</w:t>
      </w:r>
      <w:r>
        <w:rPr>
          <w:rFonts w:hint="eastAsia"/>
          <w:color w:val="auto"/>
          <w:highlight w:val="none"/>
        </w:rPr>
        <w:t>水果类</w:t>
      </w:r>
    </w:p>
    <w:p>
      <w:pPr>
        <w:bidi w:val="0"/>
        <w:rPr>
          <w:color w:val="auto"/>
          <w:highlight w:val="none"/>
        </w:rPr>
      </w:pPr>
      <w:r>
        <w:rPr>
          <w:rFonts w:hint="eastAsia"/>
          <w:color w:val="auto"/>
          <w:highlight w:val="none"/>
        </w:rPr>
        <w:t>（一）供应商根据采购人对水果质量和数量的要求每日早晨8:30以前将水果保质保量送达采购人饲料室，并在9:00前离开园区。</w:t>
      </w:r>
    </w:p>
    <w:p>
      <w:pPr>
        <w:bidi w:val="0"/>
        <w:rPr>
          <w:color w:val="auto"/>
          <w:highlight w:val="none"/>
        </w:rPr>
      </w:pPr>
      <w:r>
        <w:rPr>
          <w:rFonts w:hint="eastAsia"/>
          <w:color w:val="auto"/>
          <w:highlight w:val="none"/>
        </w:rPr>
        <w:t>（二）详细</w:t>
      </w:r>
      <w:r>
        <w:rPr>
          <w:rFonts w:hint="eastAsia"/>
          <w:color w:val="auto"/>
          <w:highlight w:val="none"/>
          <w:lang w:eastAsia="zh-CN"/>
        </w:rPr>
        <w:t>用量和</w:t>
      </w:r>
      <w:r>
        <w:rPr>
          <w:rFonts w:hint="eastAsia"/>
          <w:color w:val="auto"/>
          <w:highlight w:val="none"/>
        </w:rPr>
        <w:t>质量要求如下表：</w:t>
      </w:r>
    </w:p>
    <w:tbl>
      <w:tblPr>
        <w:tblStyle w:val="31"/>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40"/>
        <w:gridCol w:w="4200"/>
        <w:gridCol w:w="151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序号</w:t>
            </w: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b/>
                <w:bCs/>
                <w:color w:val="auto"/>
                <w:highlight w:val="none"/>
                <w:lang w:eastAsia="zh-CN"/>
              </w:rPr>
            </w:pPr>
            <w:r>
              <w:rPr>
                <w:rFonts w:hint="eastAsia"/>
                <w:b/>
                <w:bCs/>
                <w:color w:val="auto"/>
                <w:highlight w:val="none"/>
                <w:lang w:eastAsia="zh-CN"/>
              </w:rPr>
              <w:t>产品名称</w:t>
            </w:r>
          </w:p>
        </w:tc>
        <w:tc>
          <w:tcPr>
            <w:tcW w:w="42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质量要求</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lang w:eastAsia="zh-CN"/>
              </w:rPr>
              <w:t>用</w:t>
            </w:r>
            <w:r>
              <w:rPr>
                <w:rFonts w:hint="eastAsia"/>
                <w:b/>
                <w:bCs/>
                <w:color w:val="auto"/>
                <w:highlight w:val="none"/>
              </w:rPr>
              <w:t>量</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需求季节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苹果</w:t>
            </w:r>
          </w:p>
        </w:tc>
        <w:tc>
          <w:tcPr>
            <w:tcW w:w="4200"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rPr>
            </w:pPr>
            <w:r>
              <w:rPr>
                <w:rFonts w:hint="eastAsia"/>
                <w:color w:val="auto"/>
                <w:highlight w:val="none"/>
              </w:rPr>
              <w:t>大小：适中，均匀</w:t>
            </w:r>
            <w:r>
              <w:rPr>
                <w:rFonts w:hint="eastAsia"/>
                <w:color w:val="auto"/>
                <w:highlight w:val="none"/>
                <w:lang w:eastAsia="zh-CN"/>
              </w:rPr>
              <w:t>，</w:t>
            </w:r>
            <w:r>
              <w:rPr>
                <w:rFonts w:hint="eastAsia"/>
                <w:color w:val="auto"/>
                <w:highlight w:val="none"/>
              </w:rPr>
              <w:t>3-4个/斤</w:t>
            </w:r>
            <w:r>
              <w:rPr>
                <w:rFonts w:hint="eastAsia"/>
                <w:color w:val="auto"/>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color w:val="auto"/>
                <w:highlight w:val="none"/>
                <w:shd w:val="clear" w:color="auto" w:fill="FFFFFF"/>
              </w:rPr>
            </w:pPr>
            <w:r>
              <w:rPr>
                <w:rFonts w:hint="eastAsia"/>
                <w:color w:val="auto"/>
                <w:highlight w:val="none"/>
              </w:rPr>
              <w:t>外观：无蜡，干净，</w:t>
            </w:r>
            <w:r>
              <w:rPr>
                <w:rFonts w:hint="eastAsia"/>
                <w:color w:val="auto"/>
                <w:highlight w:val="none"/>
                <w:shd w:val="clear" w:color="auto" w:fill="FFFFFF"/>
              </w:rPr>
              <w:t>结实</w:t>
            </w:r>
            <w:r>
              <w:rPr>
                <w:rFonts w:hint="eastAsia"/>
                <w:color w:val="auto"/>
                <w:highlight w:val="none"/>
                <w:shd w:val="clear" w:color="auto" w:fill="FFFFFF"/>
                <w:lang w:eastAsia="zh-CN"/>
              </w:rPr>
              <w:t>，</w:t>
            </w:r>
            <w:r>
              <w:rPr>
                <w:rFonts w:hint="eastAsia"/>
                <w:color w:val="auto"/>
                <w:highlight w:val="none"/>
                <w:shd w:val="clear" w:color="auto" w:fill="FFFFFF"/>
              </w:rPr>
              <w:t>有光泽，无压伤、疤痕，不干皱</w:t>
            </w:r>
            <w:r>
              <w:rPr>
                <w:rFonts w:hint="eastAsia"/>
                <w:color w:val="auto"/>
                <w:highlight w:val="none"/>
                <w:shd w:val="clear" w:color="auto" w:fill="FFFFFF"/>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bidi="ar-SA"/>
              </w:rPr>
            </w:pPr>
            <w:r>
              <w:rPr>
                <w:rFonts w:hint="eastAsia"/>
                <w:color w:val="auto"/>
                <w:highlight w:val="none"/>
                <w:shd w:val="clear" w:color="auto" w:fill="FFFFFF"/>
              </w:rPr>
              <w:t>卫生：</w:t>
            </w:r>
            <w:r>
              <w:rPr>
                <w:rFonts w:hint="eastAsia"/>
                <w:color w:val="auto"/>
                <w:highlight w:val="none"/>
              </w:rPr>
              <w:t>无霉烂变质</w:t>
            </w:r>
            <w:r>
              <w:rPr>
                <w:rFonts w:hint="eastAsia"/>
                <w:color w:val="auto"/>
                <w:highlight w:val="none"/>
                <w:lang w:eastAsia="zh-CN"/>
              </w:rPr>
              <w:t>，</w:t>
            </w:r>
            <w:r>
              <w:rPr>
                <w:rFonts w:hint="eastAsia"/>
                <w:color w:val="auto"/>
                <w:highlight w:val="none"/>
              </w:rPr>
              <w:t>无有毒有害物污染</w:t>
            </w:r>
            <w:r>
              <w:rPr>
                <w:rFonts w:hint="eastAsia"/>
                <w:color w:val="auto"/>
                <w:highlight w:val="none"/>
                <w:lang w:eastAsia="zh-CN"/>
              </w:rPr>
              <w:t>，</w:t>
            </w:r>
            <w:r>
              <w:rPr>
                <w:rFonts w:hint="eastAsia"/>
                <w:color w:val="auto"/>
                <w:highlight w:val="none"/>
              </w:rPr>
              <w:t>农药残留量不得超过食品安全国家标准范围。</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36900kg/年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梨</w:t>
            </w:r>
          </w:p>
        </w:tc>
        <w:tc>
          <w:tcPr>
            <w:tcW w:w="420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rPr>
            </w:pPr>
            <w:r>
              <w:rPr>
                <w:rFonts w:hint="eastAsia"/>
                <w:color w:val="auto"/>
                <w:highlight w:val="none"/>
              </w:rPr>
              <w:t>大小: 适中</w:t>
            </w:r>
            <w:r>
              <w:rPr>
                <w:rFonts w:hint="eastAsia"/>
                <w:color w:val="auto"/>
                <w:highlight w:val="none"/>
                <w:lang w:eastAsia="zh-CN"/>
              </w:rPr>
              <w:t>，</w:t>
            </w:r>
            <w:r>
              <w:rPr>
                <w:rFonts w:hint="eastAsia"/>
                <w:color w:val="auto"/>
                <w:highlight w:val="none"/>
              </w:rPr>
              <w:t>均匀,3-5个/斤</w:t>
            </w:r>
            <w:r>
              <w:rPr>
                <w:rFonts w:hint="eastAsia"/>
                <w:color w:val="auto"/>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color w:val="auto"/>
                <w:highlight w:val="none"/>
                <w:shd w:val="clear" w:color="auto" w:fill="FFFFFF"/>
              </w:rPr>
            </w:pPr>
            <w:r>
              <w:rPr>
                <w:rFonts w:hint="eastAsia"/>
                <w:color w:val="auto"/>
                <w:highlight w:val="none"/>
              </w:rPr>
              <w:t>外观：无蜡、</w:t>
            </w:r>
            <w:r>
              <w:rPr>
                <w:rFonts w:hint="eastAsia"/>
                <w:color w:val="auto"/>
                <w:highlight w:val="none"/>
                <w:shd w:val="clear" w:color="auto" w:fill="FFFFFF"/>
              </w:rPr>
              <w:t>结实、多汁，不干皱，无压伤</w:t>
            </w:r>
            <w:r>
              <w:rPr>
                <w:rFonts w:hint="eastAsia"/>
                <w:color w:val="auto"/>
                <w:highlight w:val="none"/>
                <w:shd w:val="clear" w:color="auto" w:fill="FFFFFF"/>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val="en-US" w:eastAsia="zh-CN" w:bidi="ar-SA"/>
              </w:rPr>
            </w:pPr>
            <w:r>
              <w:rPr>
                <w:rFonts w:hint="eastAsia"/>
                <w:color w:val="auto"/>
                <w:highlight w:val="none"/>
                <w:shd w:val="clear" w:color="auto" w:fill="FFFFFF"/>
              </w:rPr>
              <w:t>卫生:</w:t>
            </w:r>
            <w:r>
              <w:rPr>
                <w:rFonts w:hint="eastAsia"/>
                <w:color w:val="auto"/>
                <w:highlight w:val="none"/>
              </w:rPr>
              <w:t>无霉烂变质</w:t>
            </w:r>
            <w:r>
              <w:rPr>
                <w:rFonts w:hint="eastAsia"/>
                <w:color w:val="auto"/>
                <w:highlight w:val="none"/>
                <w:lang w:eastAsia="zh-CN"/>
              </w:rPr>
              <w:t>，</w:t>
            </w:r>
            <w:r>
              <w:rPr>
                <w:rFonts w:hint="eastAsia"/>
                <w:color w:val="auto"/>
                <w:highlight w:val="none"/>
              </w:rPr>
              <w:t>无有毒有害物污染，农药残留量不得超过食品安全国家标准范围。</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4500kg/年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香蕉</w:t>
            </w:r>
          </w:p>
        </w:tc>
        <w:tc>
          <w:tcPr>
            <w:tcW w:w="4200" w:type="dxa"/>
            <w:vAlign w:val="center"/>
          </w:tcPr>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shd w:val="clear" w:color="auto" w:fill="FFFFFF"/>
              </w:rPr>
            </w:pPr>
            <w:r>
              <w:rPr>
                <w:rFonts w:hint="eastAsia"/>
                <w:color w:val="auto"/>
                <w:highlight w:val="none"/>
              </w:rPr>
              <w:t>大小：</w:t>
            </w:r>
            <w:r>
              <w:rPr>
                <w:rFonts w:hint="eastAsia"/>
                <w:color w:val="auto"/>
                <w:highlight w:val="none"/>
                <w:shd w:val="clear" w:color="auto" w:fill="FFFFFF"/>
              </w:rPr>
              <w:t>每板香蕉不少于5只，中间3只每只长15厘米以上。</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color w:val="auto"/>
                <w:highlight w:val="none"/>
              </w:rPr>
              <w:t>外观：</w:t>
            </w:r>
            <w:r>
              <w:rPr>
                <w:rFonts w:hint="eastAsia"/>
                <w:color w:val="auto"/>
                <w:highlight w:val="none"/>
                <w:shd w:val="clear" w:color="auto" w:fill="FFFFFF"/>
              </w:rPr>
              <w:t>果实象牙状，未成熟青绿色</w:t>
            </w:r>
            <w:r>
              <w:rPr>
                <w:rFonts w:hint="eastAsia"/>
                <w:color w:val="auto"/>
                <w:highlight w:val="none"/>
                <w:shd w:val="clear" w:color="auto" w:fill="FFFFFF"/>
                <w:lang w:eastAsia="zh-CN"/>
              </w:rPr>
              <w:t>，</w:t>
            </w:r>
            <w:r>
              <w:rPr>
                <w:rFonts w:hint="eastAsia"/>
                <w:color w:val="auto"/>
                <w:highlight w:val="none"/>
                <w:shd w:val="clear" w:color="auto" w:fill="FFFFFF"/>
              </w:rPr>
              <w:t>成熟后鲜黄色，软糯香甜。</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val="en-US" w:eastAsia="zh-CN" w:bidi="ar-SA"/>
              </w:rPr>
            </w:pPr>
            <w:r>
              <w:rPr>
                <w:rFonts w:hint="eastAsia"/>
                <w:color w:val="auto"/>
                <w:highlight w:val="none"/>
              </w:rPr>
              <w:t>卫生：无霉烂变质</w:t>
            </w:r>
            <w:r>
              <w:rPr>
                <w:rFonts w:hint="eastAsia"/>
                <w:color w:val="auto"/>
                <w:highlight w:val="none"/>
                <w:lang w:eastAsia="zh-CN"/>
              </w:rPr>
              <w:t>，</w:t>
            </w:r>
            <w:r>
              <w:rPr>
                <w:rFonts w:hint="eastAsia"/>
                <w:color w:val="auto"/>
                <w:highlight w:val="none"/>
              </w:rPr>
              <w:t>无有毒有害物污染，农药残留量不得超过食品安全国家标准范围。</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7180kg/年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柑橘类</w:t>
            </w:r>
          </w:p>
        </w:tc>
        <w:tc>
          <w:tcPr>
            <w:tcW w:w="4200" w:type="dxa"/>
            <w:vAlign w:val="center"/>
          </w:tcPr>
          <w:p>
            <w:pPr>
              <w:pStyle w:val="28"/>
              <w:keepNext w:val="0"/>
              <w:keepLines w:val="0"/>
              <w:pageBreakBefore w:val="0"/>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eastAsia="宋体"/>
                <w:color w:val="auto"/>
                <w:sz w:val="24"/>
                <w:szCs w:val="24"/>
                <w:highlight w:val="none"/>
                <w:lang w:eastAsia="zh-CN"/>
              </w:rPr>
            </w:pPr>
            <w:r>
              <w:rPr>
                <w:rFonts w:hint="eastAsia"/>
                <w:color w:val="auto"/>
                <w:sz w:val="24"/>
                <w:szCs w:val="24"/>
                <w:highlight w:val="none"/>
              </w:rPr>
              <w:t>大小：均匀，3-6个/斤</w:t>
            </w:r>
            <w:r>
              <w:rPr>
                <w:rFonts w:hint="eastAsia"/>
                <w:color w:val="auto"/>
                <w:sz w:val="24"/>
                <w:szCs w:val="24"/>
                <w:highlight w:val="none"/>
                <w:lang w:eastAsia="zh-CN"/>
              </w:rPr>
              <w:t>。</w:t>
            </w:r>
          </w:p>
          <w:p>
            <w:pPr>
              <w:pStyle w:val="28"/>
              <w:keepNext w:val="0"/>
              <w:keepLines w:val="0"/>
              <w:pageBreakBefore w:val="0"/>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eastAsia="宋体"/>
                <w:color w:val="auto"/>
                <w:sz w:val="24"/>
                <w:szCs w:val="24"/>
                <w:highlight w:val="none"/>
                <w:lang w:eastAsia="zh-CN"/>
              </w:rPr>
            </w:pPr>
            <w:r>
              <w:rPr>
                <w:rFonts w:hint="eastAsia"/>
                <w:color w:val="auto"/>
                <w:sz w:val="24"/>
                <w:szCs w:val="24"/>
                <w:highlight w:val="none"/>
              </w:rPr>
              <w:t>品种：随季节变化</w:t>
            </w:r>
            <w:r>
              <w:rPr>
                <w:rFonts w:hint="eastAsia"/>
                <w:color w:val="auto"/>
                <w:sz w:val="24"/>
                <w:szCs w:val="24"/>
                <w:highlight w:val="none"/>
                <w:lang w:eastAsia="zh-CN"/>
              </w:rPr>
              <w:t>提供</w:t>
            </w:r>
            <w:r>
              <w:rPr>
                <w:rFonts w:hint="eastAsia"/>
                <w:color w:val="auto"/>
                <w:sz w:val="24"/>
                <w:szCs w:val="24"/>
                <w:highlight w:val="none"/>
              </w:rPr>
              <w:t>当季品种</w:t>
            </w:r>
            <w:r>
              <w:rPr>
                <w:rFonts w:hint="eastAsia"/>
                <w:color w:val="auto"/>
                <w:sz w:val="24"/>
                <w:szCs w:val="24"/>
                <w:highlight w:val="none"/>
                <w:lang w:eastAsia="zh-CN"/>
              </w:rPr>
              <w:t>。</w:t>
            </w:r>
          </w:p>
          <w:p>
            <w:pPr>
              <w:pStyle w:val="28"/>
              <w:keepNext w:val="0"/>
              <w:keepLines w:val="0"/>
              <w:pageBreakBefore w:val="0"/>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eastAsia="宋体"/>
                <w:color w:val="auto"/>
                <w:sz w:val="24"/>
                <w:szCs w:val="24"/>
                <w:highlight w:val="none"/>
                <w:lang w:eastAsia="zh-CN"/>
              </w:rPr>
            </w:pPr>
            <w:r>
              <w:rPr>
                <w:rFonts w:hint="eastAsia"/>
                <w:color w:val="auto"/>
                <w:sz w:val="24"/>
                <w:szCs w:val="24"/>
                <w:highlight w:val="none"/>
              </w:rPr>
              <w:t>外观：果实结实、有弹性，果形完整、有色泽、无疤痕、不萎缩、变色、无挤伤、压伤、碰伤、裂伤等</w:t>
            </w:r>
            <w:r>
              <w:rPr>
                <w:rFonts w:hint="eastAsia"/>
                <w:color w:val="auto"/>
                <w:sz w:val="24"/>
                <w:szCs w:val="24"/>
                <w:highlight w:val="none"/>
                <w:lang w:eastAsia="zh-CN"/>
              </w:rPr>
              <w:t>。</w:t>
            </w:r>
          </w:p>
          <w:p>
            <w:pPr>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val="en-US" w:eastAsia="zh-CN" w:bidi="ar-SA"/>
              </w:rPr>
            </w:pPr>
            <w:r>
              <w:rPr>
                <w:rFonts w:hint="eastAsia"/>
                <w:color w:val="auto"/>
                <w:highlight w:val="none"/>
                <w:shd w:val="clear" w:color="auto" w:fill="FFFFFF"/>
              </w:rPr>
              <w:t>成熟度：适中，无过熟，未熟现象</w:t>
            </w:r>
            <w:r>
              <w:rPr>
                <w:rFonts w:hint="eastAsia"/>
                <w:color w:val="auto"/>
                <w:highlight w:val="none"/>
                <w:shd w:val="clear" w:color="auto" w:fill="FFFFFF"/>
                <w:lang w:eastAsia="zh-CN"/>
              </w:rPr>
              <w:t>。</w:t>
            </w:r>
          </w:p>
          <w:p>
            <w:pPr>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lang w:val="en-US" w:eastAsia="zh-CN" w:bidi="ar-SA"/>
              </w:rPr>
            </w:pPr>
            <w:r>
              <w:rPr>
                <w:rFonts w:hint="eastAsia"/>
                <w:color w:val="auto"/>
                <w:highlight w:val="none"/>
                <w:shd w:val="clear" w:color="auto" w:fill="FFFFFF"/>
              </w:rPr>
              <w:t>卫生</w:t>
            </w:r>
            <w:r>
              <w:rPr>
                <w:rFonts w:hint="eastAsia"/>
                <w:color w:val="auto"/>
                <w:highlight w:val="none"/>
                <w:shd w:val="clear" w:color="auto" w:fill="FFFFFF"/>
                <w:lang w:eastAsia="zh-CN"/>
              </w:rPr>
              <w:t>：</w:t>
            </w:r>
            <w:r>
              <w:rPr>
                <w:rFonts w:hint="eastAsia"/>
                <w:color w:val="auto"/>
                <w:highlight w:val="none"/>
                <w:shd w:val="clear" w:color="auto" w:fill="FFFFFF"/>
              </w:rPr>
              <w:t>无不良病虫害，表面，中间无虫卵遗留，无霉烂变质</w:t>
            </w:r>
            <w:r>
              <w:rPr>
                <w:rFonts w:hint="eastAsia"/>
                <w:color w:val="auto"/>
                <w:highlight w:val="none"/>
                <w:shd w:val="clear" w:color="auto" w:fill="FFFFFF"/>
                <w:lang w:eastAsia="zh-CN"/>
              </w:rPr>
              <w:t>，</w:t>
            </w:r>
            <w:r>
              <w:rPr>
                <w:rFonts w:hint="eastAsia"/>
                <w:color w:val="auto"/>
                <w:highlight w:val="none"/>
                <w:shd w:val="clear" w:color="auto" w:fill="FFFFFF"/>
              </w:rPr>
              <w:t>无有毒有害物污染，农药残留量不得超过食品安全国家标准范围。</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4260kg/年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甘蔗</w:t>
            </w:r>
          </w:p>
        </w:tc>
        <w:tc>
          <w:tcPr>
            <w:tcW w:w="4200" w:type="dxa"/>
            <w:vAlign w:val="center"/>
          </w:tcPr>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rPr>
            </w:pPr>
            <w:r>
              <w:rPr>
                <w:rFonts w:hint="eastAsia"/>
                <w:color w:val="auto"/>
                <w:highlight w:val="none"/>
              </w:rPr>
              <w:t>外观：新鲜多汁。</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rPr>
            </w:pPr>
            <w:r>
              <w:rPr>
                <w:rFonts w:hint="eastAsia"/>
                <w:color w:val="auto"/>
                <w:highlight w:val="none"/>
              </w:rPr>
              <w:t>卫生：无霉烂变质</w:t>
            </w:r>
            <w:r>
              <w:rPr>
                <w:rFonts w:hint="eastAsia"/>
                <w:color w:val="auto"/>
                <w:highlight w:val="none"/>
                <w:lang w:eastAsia="zh-CN"/>
              </w:rPr>
              <w:t>，</w:t>
            </w:r>
            <w:r>
              <w:rPr>
                <w:rFonts w:hint="eastAsia"/>
                <w:color w:val="auto"/>
                <w:highlight w:val="none"/>
              </w:rPr>
              <w:t>无虫蛀。</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color w:val="auto"/>
                <w:highlight w:val="none"/>
              </w:rPr>
              <w:t>11300kg/年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color w:val="auto"/>
                <w:highlight w:val="none"/>
              </w:rPr>
              <w:t>11</w:t>
            </w:r>
            <w:r>
              <w:rPr>
                <w:rFonts w:hint="eastAsia"/>
                <w:color w:val="auto"/>
                <w:highlight w:val="none"/>
                <w:lang w:eastAsia="zh-CN"/>
              </w:rPr>
              <w:t>月</w:t>
            </w:r>
            <w:r>
              <w:rPr>
                <w:rFonts w:hint="eastAsia"/>
                <w:color w:val="auto"/>
                <w:highlight w:val="none"/>
              </w:rPr>
              <w:t>中旬-次年4月中旬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color w:val="auto"/>
                <w:highlight w:val="none"/>
              </w:rPr>
              <w:t>西瓜</w:t>
            </w:r>
          </w:p>
        </w:tc>
        <w:tc>
          <w:tcPr>
            <w:tcW w:w="4200" w:type="dxa"/>
            <w:vMerge w:val="restart"/>
            <w:vAlign w:val="center"/>
          </w:tcPr>
          <w:p>
            <w:pPr>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hint="eastAsia"/>
                <w:color w:val="auto"/>
                <w:highlight w:val="none"/>
              </w:rPr>
            </w:pPr>
            <w:r>
              <w:rPr>
                <w:rFonts w:hint="eastAsia"/>
                <w:color w:val="auto"/>
                <w:highlight w:val="none"/>
              </w:rPr>
              <w:t>当季新鲜水果</w:t>
            </w:r>
            <w:r>
              <w:rPr>
                <w:rFonts w:hint="eastAsia"/>
                <w:color w:val="auto"/>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color w:val="auto"/>
                <w:highlight w:val="none"/>
              </w:rPr>
            </w:pPr>
            <w:r>
              <w:rPr>
                <w:color w:val="auto"/>
                <w:highlight w:val="none"/>
              </w:rPr>
              <w:t xml:space="preserve">大小：均匀，适中 </w:t>
            </w:r>
            <w:r>
              <w:rPr>
                <w:rFonts w:hint="eastAsia"/>
                <w:color w:val="auto"/>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color w:val="auto"/>
                <w:highlight w:val="none"/>
              </w:rPr>
            </w:pPr>
            <w:r>
              <w:rPr>
                <w:rFonts w:hint="eastAsia"/>
                <w:color w:val="auto"/>
                <w:highlight w:val="none"/>
              </w:rPr>
              <w:t>外观：无损伤，无明显压痕</w:t>
            </w:r>
            <w:r>
              <w:rPr>
                <w:rFonts w:hint="eastAsia"/>
                <w:color w:val="auto"/>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Cs w:val="24"/>
                <w:highlight w:val="none"/>
                <w:lang w:val="en-US" w:eastAsia="zh-CN" w:bidi="ar-SA"/>
              </w:rPr>
            </w:pPr>
            <w:r>
              <w:rPr>
                <w:rFonts w:hint="eastAsia"/>
                <w:color w:val="auto"/>
                <w:highlight w:val="none"/>
              </w:rPr>
              <w:t>卫生：无霉烂变质，无虫蛀</w:t>
            </w:r>
            <w:r>
              <w:rPr>
                <w:rFonts w:hint="eastAsia"/>
                <w:color w:val="auto"/>
                <w:highlight w:val="none"/>
                <w:lang w:eastAsia="zh-CN"/>
              </w:rPr>
              <w:t>，</w:t>
            </w:r>
            <w:r>
              <w:rPr>
                <w:rFonts w:hint="eastAsia"/>
                <w:color w:val="auto"/>
                <w:highlight w:val="none"/>
              </w:rPr>
              <w:t>无有毒有害物污染，农药残留量不得超过食品安全国家标准范围。</w:t>
            </w: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color w:val="auto"/>
                <w:highlight w:val="none"/>
              </w:rPr>
              <w:t>4600kg/年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olor w:val="auto"/>
                <w:szCs w:val="24"/>
                <w:highlight w:val="none"/>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柚子</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2016kg/年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10-12月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猕猴桃</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400kg/年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9-10月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无花果</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500kg/年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7-8月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榴莲</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6-7月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桃</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1000kg/年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5-8月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菠萝</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400kg/年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6-7月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芒果</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400kg/年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5-7月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葡萄</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1000kg/年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13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枇杷</w:t>
            </w:r>
          </w:p>
        </w:tc>
        <w:tc>
          <w:tcPr>
            <w:tcW w:w="420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600kg/年</w:t>
            </w:r>
          </w:p>
        </w:tc>
        <w:tc>
          <w:tcPr>
            <w:tcW w:w="12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5月</w:t>
            </w:r>
          </w:p>
        </w:tc>
      </w:tr>
    </w:tbl>
    <w:p>
      <w:pPr>
        <w:bidi w:val="0"/>
        <w:rPr>
          <w:b/>
          <w:bCs/>
          <w:color w:val="auto"/>
          <w:highlight w:val="none"/>
        </w:rPr>
      </w:pPr>
      <w:r>
        <w:rPr>
          <w:rFonts w:hint="eastAsia"/>
          <w:b/>
          <w:bCs/>
          <w:color w:val="auto"/>
          <w:highlight w:val="none"/>
        </w:rPr>
        <w:t>注：表中数量为暂定数量，仅作为投标报价使用，不作为合同结算依据，结算时按实际供货量调整。</w:t>
      </w:r>
    </w:p>
    <w:p>
      <w:pPr>
        <w:bidi w:val="0"/>
        <w:rPr>
          <w:color w:val="auto"/>
          <w:highlight w:val="none"/>
        </w:rPr>
      </w:pPr>
      <w:r>
        <w:rPr>
          <w:rFonts w:hint="eastAsia"/>
          <w:color w:val="auto"/>
          <w:highlight w:val="none"/>
        </w:rPr>
        <w:t>（三）供货时提供每批次货物的产品合格证，并提供农药残留的检测报告，(每</w:t>
      </w:r>
      <w:r>
        <w:rPr>
          <w:rFonts w:hint="eastAsia"/>
          <w:color w:val="auto"/>
          <w:highlight w:val="none"/>
          <w:lang w:eastAsia="zh-CN"/>
        </w:rPr>
        <w:t>半</w:t>
      </w:r>
      <w:r>
        <w:rPr>
          <w:rFonts w:hint="eastAsia"/>
          <w:color w:val="auto"/>
          <w:highlight w:val="none"/>
        </w:rPr>
        <w:t>年至少</w:t>
      </w:r>
      <w:r>
        <w:rPr>
          <w:rFonts w:hint="eastAsia"/>
          <w:color w:val="auto"/>
          <w:highlight w:val="none"/>
          <w:lang w:val="en-US" w:eastAsia="zh-CN"/>
        </w:rPr>
        <w:t>1</w:t>
      </w:r>
      <w:r>
        <w:rPr>
          <w:rFonts w:hint="eastAsia"/>
          <w:color w:val="auto"/>
          <w:highlight w:val="none"/>
        </w:rPr>
        <w:t>次)，采购人不定期进行抽测。</w:t>
      </w:r>
    </w:p>
    <w:p>
      <w:pPr>
        <w:bidi w:val="0"/>
        <w:rPr>
          <w:color w:val="auto"/>
          <w:highlight w:val="none"/>
        </w:rPr>
      </w:pPr>
      <w:r>
        <w:rPr>
          <w:rFonts w:hint="eastAsia"/>
          <w:color w:val="auto"/>
          <w:highlight w:val="none"/>
        </w:rPr>
        <w:t>（四）成交供应商应严格遵守</w:t>
      </w:r>
      <w:r>
        <w:rPr>
          <w:rFonts w:hint="eastAsia"/>
          <w:color w:val="auto"/>
          <w:highlight w:val="none"/>
          <w:lang w:eastAsia="zh-CN"/>
        </w:rPr>
        <w:t>《</w:t>
      </w:r>
      <w:r>
        <w:rPr>
          <w:color w:val="auto"/>
          <w:highlight w:val="none"/>
        </w:rPr>
        <w:t>中华人民共和国食品安全法</w:t>
      </w:r>
      <w:r>
        <w:rPr>
          <w:rFonts w:hint="eastAsia"/>
          <w:color w:val="auto"/>
          <w:highlight w:val="none"/>
          <w:lang w:eastAsia="zh-CN"/>
        </w:rPr>
        <w:t>》</w:t>
      </w:r>
      <w:r>
        <w:rPr>
          <w:rFonts w:hint="eastAsia"/>
          <w:color w:val="auto"/>
          <w:highlight w:val="none"/>
        </w:rPr>
        <w:t>等相关规定，一经发现供应以上食品出现以下任一情况，采购人有权将</w:t>
      </w:r>
      <w:r>
        <w:rPr>
          <w:rFonts w:hint="eastAsia"/>
          <w:color w:val="auto"/>
          <w:highlight w:val="none"/>
          <w:lang w:eastAsia="zh-CN"/>
        </w:rPr>
        <w:t>该批次</w:t>
      </w:r>
      <w:r>
        <w:rPr>
          <w:rFonts w:hint="eastAsia"/>
          <w:color w:val="auto"/>
          <w:highlight w:val="none"/>
        </w:rPr>
        <w:t>全部货物退回给</w:t>
      </w:r>
      <w:r>
        <w:rPr>
          <w:rFonts w:hint="eastAsia"/>
          <w:color w:val="auto"/>
          <w:highlight w:val="none"/>
          <w:lang w:eastAsia="zh-CN"/>
        </w:rPr>
        <w:t>成交供应商</w:t>
      </w:r>
      <w:r>
        <w:rPr>
          <w:rFonts w:hint="eastAsia"/>
          <w:color w:val="auto"/>
          <w:highlight w:val="none"/>
        </w:rPr>
        <w:t>，另将取消供货资格，没收</w:t>
      </w:r>
      <w:r>
        <w:rPr>
          <w:rFonts w:hint="eastAsia"/>
          <w:color w:val="auto"/>
          <w:highlight w:val="none"/>
          <w:lang w:eastAsia="zh-CN"/>
        </w:rPr>
        <w:t>成交供应商</w:t>
      </w:r>
      <w:r>
        <w:rPr>
          <w:rFonts w:hint="eastAsia"/>
          <w:color w:val="auto"/>
          <w:highlight w:val="none"/>
        </w:rPr>
        <w:t>全部履约保证金，</w:t>
      </w:r>
      <w:r>
        <w:rPr>
          <w:rFonts w:hint="eastAsia"/>
          <w:color w:val="auto"/>
          <w:highlight w:val="none"/>
          <w:lang w:eastAsia="zh-CN"/>
        </w:rPr>
        <w:t>成交供应商</w:t>
      </w:r>
      <w:r>
        <w:rPr>
          <w:rFonts w:hint="eastAsia"/>
          <w:color w:val="auto"/>
          <w:highlight w:val="none"/>
        </w:rPr>
        <w:t xml:space="preserve">承担由此造成的经济责任和法律责任。 </w:t>
      </w:r>
    </w:p>
    <w:p>
      <w:pPr>
        <w:numPr>
          <w:ilvl w:val="0"/>
          <w:numId w:val="13"/>
        </w:numPr>
        <w:bidi w:val="0"/>
        <w:rPr>
          <w:rFonts w:hint="eastAsia"/>
          <w:color w:val="auto"/>
          <w:highlight w:val="none"/>
        </w:rPr>
      </w:pPr>
      <w:r>
        <w:rPr>
          <w:rFonts w:hint="eastAsia"/>
          <w:color w:val="auto"/>
          <w:highlight w:val="none"/>
        </w:rPr>
        <w:t>腐败变质、霉变、生虫、污秽不洁、混有异物或者其他感官性状异常，对动物健康有害的；</w:t>
      </w:r>
    </w:p>
    <w:p>
      <w:pPr>
        <w:numPr>
          <w:ilvl w:val="0"/>
          <w:numId w:val="13"/>
        </w:numPr>
        <w:bidi w:val="0"/>
        <w:rPr>
          <w:rFonts w:hint="eastAsia"/>
          <w:color w:val="auto"/>
          <w:highlight w:val="none"/>
        </w:rPr>
      </w:pPr>
      <w:r>
        <w:rPr>
          <w:rFonts w:hint="eastAsia"/>
          <w:color w:val="auto"/>
          <w:highlight w:val="none"/>
        </w:rPr>
        <w:t>含有毒、有害物质或者被有害物质污染，对动物健康有害的；</w:t>
      </w:r>
    </w:p>
    <w:p>
      <w:pPr>
        <w:numPr>
          <w:ilvl w:val="0"/>
          <w:numId w:val="13"/>
        </w:numPr>
        <w:bidi w:val="0"/>
        <w:rPr>
          <w:color w:val="auto"/>
          <w:highlight w:val="none"/>
        </w:rPr>
      </w:pPr>
      <w:r>
        <w:rPr>
          <w:rFonts w:hint="eastAsia"/>
          <w:color w:val="auto"/>
          <w:highlight w:val="none"/>
        </w:rPr>
        <w:t xml:space="preserve">掺假、掺杂、伪造，影响营养、卫生的。 </w:t>
      </w:r>
    </w:p>
    <w:p>
      <w:pPr>
        <w:pStyle w:val="6"/>
        <w:bidi w:val="0"/>
        <w:rPr>
          <w:rFonts w:hint="eastAsia"/>
          <w:color w:val="auto"/>
          <w:highlight w:val="none"/>
          <w:lang w:val="en-US" w:eastAsia="zh-CN"/>
        </w:rPr>
      </w:pPr>
      <w:r>
        <w:rPr>
          <w:rFonts w:hint="eastAsia"/>
          <w:color w:val="auto"/>
          <w:highlight w:val="none"/>
          <w:lang w:val="en-US" w:eastAsia="zh-CN"/>
        </w:rPr>
        <w:t>5.2.2.2鲜活肉类</w:t>
      </w:r>
    </w:p>
    <w:p>
      <w:pPr>
        <w:bidi w:val="0"/>
        <w:rPr>
          <w:color w:val="auto"/>
          <w:highlight w:val="none"/>
        </w:rPr>
      </w:pPr>
      <w:r>
        <w:rPr>
          <w:rFonts w:hint="eastAsia"/>
          <w:color w:val="auto"/>
          <w:highlight w:val="none"/>
        </w:rPr>
        <w:t>（一）供应商每日早晨8:30以前将鲜活肉类送达采购人饲料室，并在9:00前离开园区。</w:t>
      </w:r>
    </w:p>
    <w:p>
      <w:pPr>
        <w:bidi w:val="0"/>
        <w:rPr>
          <w:color w:val="auto"/>
          <w:highlight w:val="none"/>
        </w:rPr>
      </w:pPr>
      <w:r>
        <w:rPr>
          <w:rFonts w:hint="eastAsia"/>
          <w:color w:val="auto"/>
          <w:highlight w:val="none"/>
        </w:rPr>
        <w:t>（二）鲜肉类及活鸡兔必须来自非疫区的健康动物，鲜肉类为当日屠宰的新鲜牛/猪/鸡/兔，供货时</w:t>
      </w:r>
      <w:r>
        <w:rPr>
          <w:color w:val="auto"/>
          <w:highlight w:val="none"/>
        </w:rPr>
        <w:t>出具</w:t>
      </w:r>
      <w:r>
        <w:rPr>
          <w:rFonts w:hint="eastAsia"/>
          <w:color w:val="auto"/>
          <w:highlight w:val="none"/>
        </w:rPr>
        <w:t>检疫证和运输证明</w:t>
      </w:r>
      <w:r>
        <w:rPr>
          <w:color w:val="auto"/>
          <w:highlight w:val="none"/>
        </w:rPr>
        <w:t>。</w:t>
      </w:r>
    </w:p>
    <w:p>
      <w:pPr>
        <w:bidi w:val="0"/>
        <w:rPr>
          <w:b/>
          <w:bCs/>
          <w:color w:val="auto"/>
          <w:highlight w:val="none"/>
        </w:rPr>
      </w:pPr>
      <w:r>
        <w:rPr>
          <w:rFonts w:hint="eastAsia"/>
          <w:b/>
          <w:bCs/>
          <w:color w:val="auto"/>
          <w:highlight w:val="none"/>
        </w:rPr>
        <w:t>（</w:t>
      </w:r>
      <w:r>
        <w:rPr>
          <w:rFonts w:hint="eastAsia"/>
          <w:b/>
          <w:bCs/>
          <w:color w:val="auto"/>
          <w:highlight w:val="none"/>
          <w:lang w:eastAsia="zh-CN"/>
        </w:rPr>
        <w:t>三</w:t>
      </w:r>
      <w:r>
        <w:rPr>
          <w:rFonts w:hint="eastAsia"/>
          <w:b/>
          <w:bCs/>
          <w:color w:val="auto"/>
          <w:highlight w:val="none"/>
        </w:rPr>
        <w:t>）质量标准及要求</w:t>
      </w:r>
    </w:p>
    <w:p>
      <w:pPr>
        <w:numPr>
          <w:ilvl w:val="0"/>
          <w:numId w:val="14"/>
        </w:numPr>
        <w:bidi w:val="0"/>
        <w:ind w:left="1145" w:leftChars="0" w:firstLineChars="0"/>
        <w:rPr>
          <w:b/>
          <w:bCs/>
          <w:color w:val="auto"/>
          <w:highlight w:val="none"/>
        </w:rPr>
      </w:pPr>
      <w:r>
        <w:rPr>
          <w:rFonts w:hint="eastAsia"/>
          <w:b/>
          <w:bCs/>
          <w:color w:val="auto"/>
          <w:highlight w:val="none"/>
        </w:rPr>
        <w:t>感官</w:t>
      </w:r>
    </w:p>
    <w:tbl>
      <w:tblPr>
        <w:tblStyle w:val="31"/>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856"/>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项目</w:t>
            </w:r>
          </w:p>
        </w:tc>
        <w:tc>
          <w:tcPr>
            <w:tcW w:w="38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描述</w:t>
            </w:r>
          </w:p>
        </w:tc>
        <w:tc>
          <w:tcPr>
            <w:tcW w:w="346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色泽</w:t>
            </w:r>
          </w:p>
        </w:tc>
        <w:tc>
          <w:tcPr>
            <w:tcW w:w="38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具有产品应有的色泽</w:t>
            </w:r>
          </w:p>
        </w:tc>
        <w:tc>
          <w:tcPr>
            <w:tcW w:w="346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r>
              <w:rPr>
                <w:rFonts w:hint="eastAsia"/>
                <w:color w:val="auto"/>
                <w:highlight w:val="none"/>
              </w:rPr>
              <w:t>取适量试样置于洁净的白色盘中，在自然光下观察色泽和状态，闻其气味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气味</w:t>
            </w:r>
          </w:p>
        </w:tc>
        <w:tc>
          <w:tcPr>
            <w:tcW w:w="38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具有产品应有的气味，无异味</w:t>
            </w:r>
          </w:p>
        </w:tc>
        <w:tc>
          <w:tcPr>
            <w:tcW w:w="346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状态</w:t>
            </w:r>
          </w:p>
        </w:tc>
        <w:tc>
          <w:tcPr>
            <w:tcW w:w="385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具有产品应有的状态，无正常视力可见外来异物</w:t>
            </w:r>
          </w:p>
        </w:tc>
        <w:tc>
          <w:tcPr>
            <w:tcW w:w="346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r>
    </w:tbl>
    <w:p>
      <w:pPr>
        <w:numPr>
          <w:ilvl w:val="0"/>
          <w:numId w:val="14"/>
        </w:numPr>
        <w:bidi w:val="0"/>
        <w:ind w:left="1145" w:leftChars="0" w:firstLineChars="0"/>
        <w:rPr>
          <w:rFonts w:hint="eastAsia"/>
          <w:b/>
          <w:bCs/>
          <w:color w:val="auto"/>
          <w:highlight w:val="none"/>
        </w:rPr>
      </w:pPr>
      <w:r>
        <w:rPr>
          <w:rFonts w:hint="eastAsia"/>
          <w:b/>
          <w:bCs/>
          <w:color w:val="auto"/>
          <w:highlight w:val="none"/>
        </w:rPr>
        <w:t>理化指标</w:t>
      </w:r>
    </w:p>
    <w:p>
      <w:pPr>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rPr>
        <w:t>按照《食品安全国家标准食品中污染物限量》</w:t>
      </w:r>
      <w:r>
        <w:rPr>
          <w:rFonts w:hint="eastAsia"/>
          <w:color w:val="auto"/>
          <w:highlight w:val="none"/>
          <w:lang w:eastAsia="zh-CN"/>
        </w:rPr>
        <w:t>（</w:t>
      </w:r>
      <w:r>
        <w:rPr>
          <w:color w:val="auto"/>
          <w:highlight w:val="none"/>
        </w:rPr>
        <w:t>GB 2762-2017</w:t>
      </w:r>
      <w:r>
        <w:rPr>
          <w:rFonts w:hint="eastAsia"/>
          <w:color w:val="auto"/>
          <w:highlight w:val="none"/>
          <w:lang w:eastAsia="zh-CN"/>
        </w:rPr>
        <w:t>）</w:t>
      </w:r>
      <w:r>
        <w:rPr>
          <w:rFonts w:hint="eastAsia"/>
          <w:color w:val="auto"/>
          <w:highlight w:val="none"/>
        </w:rPr>
        <w:t>、</w:t>
      </w:r>
      <w:r>
        <w:rPr>
          <w:color w:val="auto"/>
          <w:highlight w:val="none"/>
        </w:rPr>
        <w:t>《</w:t>
      </w:r>
      <w:r>
        <w:rPr>
          <w:rFonts w:hint="default"/>
          <w:color w:val="auto"/>
          <w:highlight w:val="none"/>
        </w:rPr>
        <w:t>食品安全国家标准 食品中污染物限量》行业标准第1号修改单</w:t>
      </w:r>
      <w:r>
        <w:rPr>
          <w:color w:val="auto"/>
          <w:highlight w:val="none"/>
        </w:rPr>
        <w:t>》</w:t>
      </w:r>
      <w:r>
        <w:rPr>
          <w:rFonts w:hint="eastAsia"/>
          <w:color w:val="auto"/>
          <w:highlight w:val="none"/>
          <w:lang w:eastAsia="zh-CN"/>
        </w:rPr>
        <w:t>（</w:t>
      </w:r>
      <w:r>
        <w:rPr>
          <w:color w:val="auto"/>
          <w:highlight w:val="none"/>
        </w:rPr>
        <w:t>GB 2762-2017/XG1-2021</w:t>
      </w:r>
      <w:r>
        <w:rPr>
          <w:rFonts w:hint="eastAsia"/>
          <w:color w:val="auto"/>
          <w:highlight w:val="none"/>
          <w:lang w:eastAsia="zh-CN"/>
        </w:rPr>
        <w:t>）</w:t>
      </w:r>
      <w:r>
        <w:rPr>
          <w:rFonts w:hint="eastAsia"/>
          <w:color w:val="auto"/>
          <w:highlight w:val="none"/>
        </w:rPr>
        <w:t>中的指标要求执行。</w:t>
      </w:r>
    </w:p>
    <w:p>
      <w:pPr>
        <w:numPr>
          <w:ilvl w:val="0"/>
          <w:numId w:val="14"/>
        </w:numPr>
        <w:bidi w:val="0"/>
        <w:ind w:left="1145" w:leftChars="0" w:firstLineChars="0"/>
        <w:rPr>
          <w:rFonts w:hint="eastAsia"/>
          <w:b/>
          <w:bCs/>
          <w:color w:val="auto"/>
          <w:highlight w:val="none"/>
        </w:rPr>
      </w:pPr>
      <w:r>
        <w:rPr>
          <w:rFonts w:hint="eastAsia"/>
          <w:b/>
          <w:bCs/>
          <w:color w:val="auto"/>
          <w:highlight w:val="none"/>
        </w:rPr>
        <w:t>农药残留</w:t>
      </w:r>
    </w:p>
    <w:p>
      <w:pPr>
        <w:bidi w:val="0"/>
        <w:rPr>
          <w:color w:val="auto"/>
          <w:highlight w:val="none"/>
        </w:rPr>
      </w:pPr>
      <w:r>
        <w:rPr>
          <w:rFonts w:hint="eastAsia"/>
          <w:color w:val="auto"/>
          <w:highlight w:val="none"/>
        </w:rPr>
        <w:t>按</w:t>
      </w:r>
      <w:r>
        <w:rPr>
          <w:rFonts w:hint="eastAsia"/>
          <w:color w:val="auto"/>
          <w:highlight w:val="none"/>
          <w:lang w:eastAsia="zh-CN"/>
        </w:rPr>
        <w:t>《食品安全国家标准 食品中农药最大残留限量》（GB 2763-2019）</w:t>
      </w:r>
      <w:r>
        <w:rPr>
          <w:rFonts w:hint="eastAsia"/>
          <w:color w:val="auto"/>
          <w:highlight w:val="none"/>
        </w:rPr>
        <w:t>执行。</w:t>
      </w:r>
    </w:p>
    <w:p>
      <w:pPr>
        <w:numPr>
          <w:ilvl w:val="0"/>
          <w:numId w:val="14"/>
        </w:numPr>
        <w:bidi w:val="0"/>
        <w:ind w:left="1145" w:leftChars="0" w:firstLineChars="0"/>
        <w:rPr>
          <w:rFonts w:hint="eastAsia"/>
          <w:b/>
          <w:bCs/>
          <w:color w:val="auto"/>
          <w:highlight w:val="none"/>
        </w:rPr>
      </w:pPr>
      <w:r>
        <w:rPr>
          <w:rFonts w:hint="eastAsia"/>
          <w:b/>
          <w:bCs/>
          <w:color w:val="auto"/>
          <w:highlight w:val="none"/>
        </w:rPr>
        <w:t>生产加工过程</w:t>
      </w:r>
    </w:p>
    <w:p>
      <w:pPr>
        <w:bidi w:val="0"/>
        <w:rPr>
          <w:rFonts w:hint="default"/>
          <w:color w:val="auto"/>
          <w:highlight w:val="none"/>
        </w:rPr>
      </w:pPr>
      <w:bookmarkStart w:id="212" w:name="_Toc22862"/>
      <w:bookmarkStart w:id="213" w:name="_Toc31798"/>
      <w:bookmarkStart w:id="214" w:name="_Toc8746"/>
      <w:bookmarkStart w:id="215" w:name="_Toc802"/>
      <w:r>
        <w:rPr>
          <w:color w:val="auto"/>
          <w:highlight w:val="none"/>
        </w:rPr>
        <w:t>饲用鲜（冻）畜、禽肉应来自政府指定的屠宰场的合格产品，</w:t>
      </w:r>
      <w:bookmarkEnd w:id="212"/>
      <w:bookmarkEnd w:id="213"/>
      <w:bookmarkEnd w:id="214"/>
      <w:bookmarkEnd w:id="215"/>
      <w:bookmarkStart w:id="216" w:name="_Toc28502"/>
      <w:bookmarkStart w:id="217" w:name="_Toc7002"/>
      <w:bookmarkStart w:id="218" w:name="_Toc22819"/>
      <w:bookmarkStart w:id="219" w:name="_Toc26267"/>
      <w:r>
        <w:rPr>
          <w:color w:val="auto"/>
          <w:highlight w:val="none"/>
        </w:rPr>
        <w:t>并按《</w:t>
      </w:r>
      <w:r>
        <w:rPr>
          <w:rFonts w:hint="default"/>
          <w:color w:val="auto"/>
          <w:highlight w:val="none"/>
        </w:rPr>
        <w:t>食品冷链物流追溯管理要求</w:t>
      </w:r>
      <w:r>
        <w:rPr>
          <w:color w:val="auto"/>
          <w:highlight w:val="none"/>
        </w:rPr>
        <w:t>》（</w:t>
      </w:r>
      <w:r>
        <w:rPr>
          <w:rFonts w:hint="default"/>
          <w:color w:val="auto"/>
          <w:highlight w:val="none"/>
        </w:rPr>
        <w:t xml:space="preserve"> GB/T 28843-2012</w:t>
      </w:r>
      <w:r>
        <w:rPr>
          <w:color w:val="auto"/>
          <w:highlight w:val="none"/>
        </w:rPr>
        <w:t>）和《</w:t>
      </w:r>
      <w:r>
        <w:rPr>
          <w:rFonts w:hint="default"/>
          <w:color w:val="auto"/>
          <w:highlight w:val="none"/>
        </w:rPr>
        <w:t>主食冷链配送良好操作规范</w:t>
      </w:r>
      <w:r>
        <w:rPr>
          <w:color w:val="auto"/>
          <w:highlight w:val="none"/>
        </w:rPr>
        <w:t>》</w:t>
      </w:r>
      <w:r>
        <w:rPr>
          <w:rFonts w:hint="default"/>
          <w:color w:val="auto"/>
          <w:highlight w:val="none"/>
        </w:rPr>
        <w:t xml:space="preserve"> </w:t>
      </w:r>
      <w:r>
        <w:rPr>
          <w:color w:val="auto"/>
          <w:highlight w:val="none"/>
        </w:rPr>
        <w:t>（</w:t>
      </w:r>
      <w:r>
        <w:rPr>
          <w:rFonts w:hint="default"/>
          <w:color w:val="auto"/>
          <w:highlight w:val="none"/>
        </w:rPr>
        <w:t>SB/T 10678-2012</w:t>
      </w:r>
      <w:r>
        <w:rPr>
          <w:color w:val="auto"/>
          <w:highlight w:val="none"/>
        </w:rPr>
        <w:t>）执行。</w:t>
      </w:r>
    </w:p>
    <w:p>
      <w:pPr>
        <w:bidi w:val="0"/>
        <w:rPr>
          <w:color w:val="auto"/>
          <w:highlight w:val="none"/>
        </w:rPr>
      </w:pPr>
      <w:r>
        <w:rPr>
          <w:rFonts w:hint="eastAsia"/>
          <w:color w:val="auto"/>
          <w:highlight w:val="none"/>
        </w:rPr>
        <w:t>饲用的活畜、禽应来自非疫区的健康动物，并经兽医检验，确认未携带病原。</w:t>
      </w:r>
      <w:bookmarkEnd w:id="216"/>
      <w:bookmarkEnd w:id="217"/>
      <w:bookmarkEnd w:id="218"/>
      <w:bookmarkEnd w:id="219"/>
    </w:p>
    <w:p>
      <w:pPr>
        <w:numPr>
          <w:ilvl w:val="0"/>
          <w:numId w:val="14"/>
        </w:numPr>
        <w:bidi w:val="0"/>
        <w:ind w:left="1145" w:leftChars="0" w:firstLineChars="0"/>
        <w:rPr>
          <w:rFonts w:hint="eastAsia"/>
          <w:b/>
          <w:bCs/>
          <w:color w:val="auto"/>
          <w:highlight w:val="none"/>
        </w:rPr>
      </w:pPr>
      <w:r>
        <w:rPr>
          <w:rFonts w:hint="eastAsia"/>
          <w:b/>
          <w:bCs/>
          <w:color w:val="auto"/>
          <w:highlight w:val="none"/>
        </w:rPr>
        <w:t>运输</w:t>
      </w:r>
    </w:p>
    <w:p>
      <w:pPr>
        <w:bidi w:val="0"/>
        <w:rPr>
          <w:rFonts w:hint="eastAsia" w:eastAsia="宋体"/>
          <w:b/>
          <w:bCs/>
          <w:color w:val="auto"/>
          <w:highlight w:val="none"/>
          <w:lang w:eastAsia="zh-CN"/>
        </w:rPr>
      </w:pPr>
      <w:r>
        <w:rPr>
          <w:rFonts w:hint="eastAsia"/>
          <w:color w:val="auto"/>
          <w:highlight w:val="none"/>
        </w:rPr>
        <w:t>根据采购人要求，提供肉类运输和暂时存储的保鲜设施。运输产品时避免日晒雨淋，不得与有毒、有害、有异味或影响产品质量的物品混装运输。</w:t>
      </w:r>
      <w:r>
        <w:rPr>
          <w:rFonts w:hint="eastAsia"/>
          <w:color w:val="auto"/>
          <w:highlight w:val="none"/>
          <w:lang w:eastAsia="zh-CN"/>
        </w:rPr>
        <w:t>运输车辆必须每日清洗、消毒。</w:t>
      </w:r>
    </w:p>
    <w:p>
      <w:pPr>
        <w:rPr>
          <w:rFonts w:hint="eastAsia"/>
          <w:b/>
          <w:bCs/>
          <w:color w:val="auto"/>
          <w:highlight w:val="none"/>
        </w:rPr>
      </w:pPr>
      <w:r>
        <w:rPr>
          <w:rFonts w:hint="eastAsia"/>
          <w:b/>
          <w:bCs/>
          <w:color w:val="auto"/>
          <w:highlight w:val="none"/>
          <w:lang w:val="en-US" w:eastAsia="zh-CN"/>
        </w:rPr>
        <w:t>6）</w:t>
      </w:r>
      <w:r>
        <w:rPr>
          <w:rFonts w:hint="eastAsia"/>
          <w:b/>
          <w:bCs/>
          <w:color w:val="auto"/>
          <w:highlight w:val="none"/>
        </w:rPr>
        <w:t>提供产品的卫生检测报告，理化指标，农药残留检测报告</w:t>
      </w:r>
      <w:r>
        <w:rPr>
          <w:rFonts w:hint="eastAsia"/>
          <w:b/>
          <w:bCs/>
          <w:color w:val="auto"/>
          <w:highlight w:val="none"/>
          <w:lang w:eastAsia="zh-CN"/>
        </w:rPr>
        <w:t>(每半年至少1次)</w:t>
      </w:r>
      <w:r>
        <w:rPr>
          <w:rFonts w:hint="eastAsia"/>
          <w:b/>
          <w:bCs/>
          <w:color w:val="auto"/>
          <w:highlight w:val="none"/>
        </w:rPr>
        <w:t>，采购人不定期进行抽检。</w:t>
      </w:r>
    </w:p>
    <w:p>
      <w:pPr>
        <w:bidi w:val="0"/>
        <w:rPr>
          <w:b/>
          <w:bCs/>
          <w:color w:val="auto"/>
          <w:highlight w:val="none"/>
        </w:rPr>
      </w:pPr>
      <w:r>
        <w:rPr>
          <w:rFonts w:hint="eastAsia"/>
          <w:b/>
          <w:bCs/>
          <w:color w:val="auto"/>
          <w:highlight w:val="none"/>
        </w:rPr>
        <w:t>（五）需求量</w:t>
      </w:r>
    </w:p>
    <w:tbl>
      <w:tblPr>
        <w:tblStyle w:val="3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916"/>
        <w:gridCol w:w="2559"/>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序号</w:t>
            </w: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lang w:eastAsia="zh-CN"/>
              </w:rPr>
              <w:t>产品名称</w:t>
            </w:r>
          </w:p>
        </w:tc>
        <w:tc>
          <w:tcPr>
            <w:tcW w:w="25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用量</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牛肉</w:t>
            </w:r>
          </w:p>
        </w:tc>
        <w:tc>
          <w:tcPr>
            <w:tcW w:w="25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13000kg/年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宋体"/>
                <w:color w:val="auto"/>
                <w:highlight w:val="none"/>
                <w:lang w:eastAsia="zh-CN"/>
              </w:rPr>
            </w:pPr>
            <w:r>
              <w:rPr>
                <w:rFonts w:hint="eastAsia"/>
                <w:color w:val="auto"/>
                <w:highlight w:val="none"/>
              </w:rPr>
              <w:t>精腿肉15%和85</w:t>
            </w:r>
            <w:r>
              <w:rPr>
                <w:rFonts w:hint="eastAsia"/>
                <w:color w:val="auto"/>
                <w:highlight w:val="none"/>
                <w:lang w:val="en-US" w:eastAsia="zh-CN"/>
              </w:rPr>
              <w:t>%</w:t>
            </w:r>
            <w:r>
              <w:rPr>
                <w:rFonts w:hint="eastAsia"/>
                <w:color w:val="auto"/>
                <w:highlight w:val="none"/>
              </w:rPr>
              <w:t>牛腩，不含成片的脂肪</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新鲜鸡</w:t>
            </w:r>
          </w:p>
        </w:tc>
        <w:tc>
          <w:tcPr>
            <w:tcW w:w="25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lang w:val="en-US" w:eastAsia="zh-CN"/>
              </w:rPr>
              <w:t>9</w:t>
            </w:r>
            <w:r>
              <w:rPr>
                <w:rFonts w:hint="eastAsia"/>
                <w:color w:val="auto"/>
                <w:highlight w:val="none"/>
              </w:rPr>
              <w:t>000</w:t>
            </w:r>
            <w:r>
              <w:rPr>
                <w:rFonts w:hint="eastAsia"/>
                <w:b w:val="0"/>
                <w:bCs w:val="0"/>
                <w:color w:val="auto"/>
                <w:highlight w:val="none"/>
              </w:rPr>
              <w:t>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宋体"/>
                <w:color w:val="auto"/>
                <w:highlight w:val="none"/>
                <w:lang w:eastAsia="zh-CN"/>
              </w:rPr>
            </w:pPr>
            <w:r>
              <w:rPr>
                <w:rFonts w:hint="eastAsia"/>
                <w:color w:val="auto"/>
                <w:highlight w:val="none"/>
              </w:rPr>
              <w:t>宰杀后去毛、</w:t>
            </w:r>
            <w:r>
              <w:rPr>
                <w:rFonts w:hint="eastAsia"/>
                <w:color w:val="auto"/>
                <w:highlight w:val="none"/>
                <w:lang w:eastAsia="zh-CN"/>
              </w:rPr>
              <w:t>去</w:t>
            </w:r>
            <w:r>
              <w:rPr>
                <w:rFonts w:hint="eastAsia"/>
                <w:color w:val="auto"/>
                <w:highlight w:val="none"/>
              </w:rPr>
              <w:t>油、</w:t>
            </w:r>
            <w:r>
              <w:rPr>
                <w:rFonts w:hint="eastAsia"/>
                <w:color w:val="auto"/>
                <w:highlight w:val="none"/>
                <w:lang w:eastAsia="zh-CN"/>
              </w:rPr>
              <w:t>去</w:t>
            </w:r>
            <w:r>
              <w:rPr>
                <w:rFonts w:hint="eastAsia"/>
                <w:color w:val="auto"/>
                <w:highlight w:val="none"/>
              </w:rPr>
              <w:t>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新鲜兔</w:t>
            </w:r>
          </w:p>
        </w:tc>
        <w:tc>
          <w:tcPr>
            <w:tcW w:w="2559" w:type="dxa"/>
            <w:vAlign w:val="center"/>
          </w:tcPr>
          <w:p>
            <w:pPr>
              <w:ind w:firstLine="0" w:firstLineChars="0"/>
              <w:jc w:val="center"/>
              <w:rPr>
                <w:color w:val="auto"/>
                <w:highlight w:val="none"/>
              </w:rPr>
            </w:pPr>
            <w:r>
              <w:rPr>
                <w:rFonts w:hint="eastAsia"/>
                <w:color w:val="auto"/>
                <w:highlight w:val="none"/>
              </w:rPr>
              <w:t>5500kg/年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lang w:eastAsia="zh-CN"/>
              </w:rPr>
              <w:t>宰杀后去毛皮、去肠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活鸡</w:t>
            </w:r>
          </w:p>
        </w:tc>
        <w:tc>
          <w:tcPr>
            <w:tcW w:w="2559" w:type="dxa"/>
            <w:vAlign w:val="center"/>
          </w:tcPr>
          <w:p>
            <w:pPr>
              <w:ind w:firstLine="0" w:firstLineChars="0"/>
              <w:jc w:val="center"/>
              <w:rPr>
                <w:rFonts w:ascii="宋体" w:hAnsi="宋体" w:eastAsia="宋体" w:cs="宋体"/>
                <w:color w:val="auto"/>
                <w:sz w:val="24"/>
                <w:szCs w:val="24"/>
                <w:highlight w:val="none"/>
                <w:lang w:val="en-US" w:eastAsia="zh-CN" w:bidi="ar-SA"/>
              </w:rPr>
            </w:pPr>
            <w:r>
              <w:rPr>
                <w:rFonts w:hint="eastAsia"/>
                <w:color w:val="auto"/>
                <w:highlight w:val="none"/>
              </w:rPr>
              <w:t>2200kg/年</w:t>
            </w:r>
          </w:p>
        </w:tc>
        <w:tc>
          <w:tcPr>
            <w:tcW w:w="2053" w:type="dxa"/>
            <w:vAlign w:val="center"/>
          </w:tcPr>
          <w:p>
            <w:pPr>
              <w:ind w:firstLine="0" w:firstLineChars="0"/>
              <w:jc w:val="both"/>
              <w:rPr>
                <w:rFonts w:ascii="宋体" w:hAnsi="宋体" w:eastAsia="宋体" w:cs="宋体"/>
                <w:color w:val="auto"/>
                <w:sz w:val="24"/>
                <w:szCs w:val="21"/>
                <w:highlight w:val="none"/>
                <w:lang w:val="en-US" w:eastAsia="zh-CN" w:bidi="ar-SA"/>
              </w:rPr>
            </w:pPr>
            <w:r>
              <w:rPr>
                <w:rFonts w:hint="eastAsia"/>
                <w:color w:val="auto"/>
                <w:szCs w:val="21"/>
                <w:highlight w:val="none"/>
              </w:rPr>
              <w:t>不低于2kg/只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活兔</w:t>
            </w:r>
          </w:p>
        </w:tc>
        <w:tc>
          <w:tcPr>
            <w:tcW w:w="2559" w:type="dxa"/>
            <w:vAlign w:val="center"/>
          </w:tcPr>
          <w:p>
            <w:pPr>
              <w:ind w:firstLine="0" w:firstLineChars="0"/>
              <w:jc w:val="center"/>
              <w:rPr>
                <w:rFonts w:ascii="宋体" w:hAnsi="宋体" w:eastAsia="宋体" w:cs="宋体"/>
                <w:color w:val="auto"/>
                <w:sz w:val="24"/>
                <w:szCs w:val="24"/>
                <w:highlight w:val="none"/>
                <w:lang w:val="en-US" w:eastAsia="zh-CN" w:bidi="ar-SA"/>
              </w:rPr>
            </w:pPr>
            <w:r>
              <w:rPr>
                <w:rFonts w:hint="eastAsia"/>
                <w:color w:val="auto"/>
                <w:highlight w:val="none"/>
              </w:rPr>
              <w:t>1000kg/年</w:t>
            </w:r>
          </w:p>
        </w:tc>
        <w:tc>
          <w:tcPr>
            <w:tcW w:w="2053" w:type="dxa"/>
            <w:vAlign w:val="center"/>
          </w:tcPr>
          <w:p>
            <w:pPr>
              <w:ind w:firstLine="0" w:firstLineChars="0"/>
              <w:jc w:val="both"/>
              <w:rPr>
                <w:rFonts w:ascii="宋体" w:hAnsi="宋体" w:eastAsia="宋体" w:cs="宋体"/>
                <w:color w:val="auto"/>
                <w:sz w:val="24"/>
                <w:szCs w:val="21"/>
                <w:highlight w:val="none"/>
                <w:lang w:val="en-US" w:eastAsia="zh-CN" w:bidi="ar-SA"/>
              </w:rPr>
            </w:pPr>
            <w:r>
              <w:rPr>
                <w:rFonts w:hint="eastAsia"/>
                <w:color w:val="auto"/>
                <w:szCs w:val="21"/>
                <w:highlight w:val="none"/>
              </w:rPr>
              <w:t>不低于2kg/只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鸡三角软骨</w:t>
            </w:r>
          </w:p>
        </w:tc>
        <w:tc>
          <w:tcPr>
            <w:tcW w:w="2559" w:type="dxa"/>
            <w:vAlign w:val="center"/>
          </w:tcPr>
          <w:p>
            <w:pPr>
              <w:ind w:firstLine="0" w:firstLineChars="0"/>
              <w:jc w:val="center"/>
              <w:rPr>
                <w:color w:val="auto"/>
                <w:highlight w:val="none"/>
              </w:rPr>
            </w:pPr>
            <w:r>
              <w:rPr>
                <w:rFonts w:hint="eastAsia"/>
                <w:color w:val="auto"/>
                <w:highlight w:val="none"/>
              </w:rPr>
              <w:t>100kg/年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仔兔</w:t>
            </w:r>
          </w:p>
        </w:tc>
        <w:tc>
          <w:tcPr>
            <w:tcW w:w="2559" w:type="dxa"/>
            <w:vAlign w:val="center"/>
          </w:tcPr>
          <w:p>
            <w:pPr>
              <w:ind w:firstLine="0" w:firstLineChars="0"/>
              <w:jc w:val="center"/>
              <w:rPr>
                <w:color w:val="auto"/>
                <w:highlight w:val="none"/>
              </w:rPr>
            </w:pPr>
            <w:r>
              <w:rPr>
                <w:rFonts w:hint="eastAsia"/>
                <w:color w:val="auto"/>
                <w:highlight w:val="none"/>
              </w:rPr>
              <w:t>1500kg/年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szCs w:val="21"/>
                <w:highlight w:val="none"/>
              </w:rPr>
              <w:t>3-4斤/只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牛/猪内脏（心、肝、肠等）</w:t>
            </w:r>
          </w:p>
        </w:tc>
        <w:tc>
          <w:tcPr>
            <w:tcW w:w="2559" w:type="dxa"/>
            <w:vAlign w:val="center"/>
          </w:tcPr>
          <w:p>
            <w:pPr>
              <w:ind w:firstLine="0" w:firstLineChars="0"/>
              <w:jc w:val="center"/>
              <w:rPr>
                <w:color w:val="auto"/>
                <w:highlight w:val="none"/>
              </w:rPr>
            </w:pPr>
            <w:r>
              <w:rPr>
                <w:rFonts w:hint="eastAsia"/>
                <w:color w:val="auto"/>
                <w:highlight w:val="none"/>
              </w:rPr>
              <w:t>100kg/年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pPr>
              <w:keepNext w:val="0"/>
              <w:keepLines w:val="0"/>
              <w:pageBreakBefore w:val="0"/>
              <w:widowControl w:val="0"/>
              <w:numPr>
                <w:ilvl w:val="0"/>
                <w:numId w:val="15"/>
              </w:numPr>
              <w:kinsoku/>
              <w:wordWrap/>
              <w:overflowPunct/>
              <w:topLinePunct w:val="0"/>
              <w:autoSpaceDE/>
              <w:autoSpaceDN/>
              <w:bidi w:val="0"/>
              <w:adjustRightInd/>
              <w:snapToGrid/>
              <w:ind w:left="0" w:leftChars="0" w:firstLine="0" w:firstLineChars="0"/>
              <w:jc w:val="center"/>
              <w:textAlignment w:val="auto"/>
              <w:rPr>
                <w:color w:val="auto"/>
                <w:highlight w:val="none"/>
              </w:rPr>
            </w:pPr>
          </w:p>
        </w:tc>
        <w:tc>
          <w:tcPr>
            <w:tcW w:w="29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color w:val="auto"/>
                <w:highlight w:val="none"/>
                <w:lang w:eastAsia="zh-CN"/>
              </w:rPr>
            </w:pPr>
            <w:r>
              <w:rPr>
                <w:rFonts w:hint="eastAsia"/>
                <w:color w:val="auto"/>
                <w:highlight w:val="none"/>
              </w:rPr>
              <w:t>新鲜瘦猪肉</w:t>
            </w:r>
          </w:p>
        </w:tc>
        <w:tc>
          <w:tcPr>
            <w:tcW w:w="2559" w:type="dxa"/>
            <w:vAlign w:val="center"/>
          </w:tcPr>
          <w:p>
            <w:pPr>
              <w:ind w:firstLine="0" w:firstLineChars="0"/>
              <w:jc w:val="center"/>
              <w:rPr>
                <w:color w:val="auto"/>
                <w:highlight w:val="none"/>
              </w:rPr>
            </w:pPr>
            <w:r>
              <w:rPr>
                <w:rFonts w:hint="eastAsia"/>
                <w:color w:val="auto"/>
                <w:highlight w:val="none"/>
              </w:rPr>
              <w:t>7440kg/年</w:t>
            </w:r>
          </w:p>
        </w:tc>
        <w:tc>
          <w:tcPr>
            <w:tcW w:w="205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腿肉/里脊，无脂肪</w:t>
            </w:r>
          </w:p>
        </w:tc>
      </w:tr>
    </w:tbl>
    <w:p>
      <w:pPr>
        <w:bidi w:val="0"/>
        <w:rPr>
          <w:b/>
          <w:bCs/>
          <w:color w:val="auto"/>
          <w:highlight w:val="none"/>
        </w:rPr>
      </w:pPr>
      <w:r>
        <w:rPr>
          <w:rFonts w:hint="eastAsia"/>
          <w:b/>
          <w:bCs/>
          <w:color w:val="auto"/>
          <w:highlight w:val="none"/>
          <w:lang w:val="en-US"/>
        </w:rPr>
        <w:t>注：表中数量为暂定数量，仅作为投标报价使用，不作为合同结算依据，结算时按实际供货量调整。</w:t>
      </w:r>
    </w:p>
    <w:p>
      <w:pPr>
        <w:numPr>
          <w:ilvl w:val="0"/>
          <w:numId w:val="16"/>
        </w:numPr>
        <w:bidi w:val="0"/>
        <w:rPr>
          <w:color w:val="auto"/>
          <w:highlight w:val="none"/>
        </w:rPr>
      </w:pPr>
      <w:r>
        <w:rPr>
          <w:rFonts w:hint="eastAsia"/>
          <w:color w:val="auto"/>
          <w:highlight w:val="none"/>
        </w:rPr>
        <w:t>成交供应商应严格遵守国家相关规定，一经发现供应以上食品出现以下任一情况，采购人有权将</w:t>
      </w:r>
      <w:r>
        <w:rPr>
          <w:rFonts w:hint="eastAsia"/>
          <w:color w:val="auto"/>
          <w:highlight w:val="none"/>
          <w:lang w:eastAsia="zh-CN"/>
        </w:rPr>
        <w:t>该批次</w:t>
      </w:r>
      <w:r>
        <w:rPr>
          <w:rFonts w:hint="eastAsia"/>
          <w:color w:val="auto"/>
          <w:highlight w:val="none"/>
        </w:rPr>
        <w:t>全部货物退回给</w:t>
      </w:r>
      <w:r>
        <w:rPr>
          <w:rFonts w:hint="eastAsia"/>
          <w:color w:val="auto"/>
          <w:highlight w:val="none"/>
          <w:lang w:eastAsia="zh-CN"/>
        </w:rPr>
        <w:t>成交供应商</w:t>
      </w:r>
      <w:r>
        <w:rPr>
          <w:rFonts w:hint="eastAsia"/>
          <w:color w:val="auto"/>
          <w:highlight w:val="none"/>
        </w:rPr>
        <w:t>，另将取消供货资格，没收</w:t>
      </w:r>
      <w:r>
        <w:rPr>
          <w:rFonts w:hint="eastAsia"/>
          <w:color w:val="auto"/>
          <w:highlight w:val="none"/>
          <w:lang w:eastAsia="zh-CN"/>
        </w:rPr>
        <w:t>成交供应商</w:t>
      </w:r>
      <w:r>
        <w:rPr>
          <w:rFonts w:hint="eastAsia"/>
          <w:color w:val="auto"/>
          <w:highlight w:val="none"/>
        </w:rPr>
        <w:t>全部履约保证金，</w:t>
      </w:r>
      <w:r>
        <w:rPr>
          <w:rFonts w:hint="eastAsia"/>
          <w:color w:val="auto"/>
          <w:highlight w:val="none"/>
          <w:lang w:eastAsia="zh-CN"/>
        </w:rPr>
        <w:t>成交供应商</w:t>
      </w:r>
      <w:r>
        <w:rPr>
          <w:rFonts w:hint="eastAsia"/>
          <w:color w:val="auto"/>
          <w:highlight w:val="none"/>
        </w:rPr>
        <w:t xml:space="preserve">承担由此造成的经济责任和法律责任。 </w:t>
      </w:r>
    </w:p>
    <w:p>
      <w:pPr>
        <w:numPr>
          <w:ilvl w:val="0"/>
          <w:numId w:val="17"/>
        </w:numPr>
        <w:bidi w:val="0"/>
        <w:rPr>
          <w:rFonts w:hint="eastAsia"/>
          <w:color w:val="auto"/>
          <w:highlight w:val="none"/>
        </w:rPr>
      </w:pPr>
      <w:r>
        <w:rPr>
          <w:rFonts w:hint="eastAsia"/>
          <w:color w:val="auto"/>
          <w:highlight w:val="none"/>
        </w:rPr>
        <w:t>腐败变质、油脂酸败、霉变、污秽不洁、混有异物或者其他感官性状异常，对动物健康有害的；</w:t>
      </w:r>
    </w:p>
    <w:p>
      <w:pPr>
        <w:numPr>
          <w:ilvl w:val="0"/>
          <w:numId w:val="17"/>
        </w:numPr>
        <w:bidi w:val="0"/>
        <w:rPr>
          <w:rFonts w:hint="eastAsia"/>
          <w:color w:val="auto"/>
          <w:highlight w:val="none"/>
        </w:rPr>
      </w:pPr>
      <w:r>
        <w:rPr>
          <w:rFonts w:hint="eastAsia"/>
          <w:color w:val="auto"/>
          <w:highlight w:val="none"/>
        </w:rPr>
        <w:t>含有毒、有害物质或者被有害物质污染，对动物健康有害的；</w:t>
      </w:r>
    </w:p>
    <w:p>
      <w:pPr>
        <w:numPr>
          <w:ilvl w:val="0"/>
          <w:numId w:val="17"/>
        </w:numPr>
        <w:bidi w:val="0"/>
        <w:rPr>
          <w:rFonts w:hint="eastAsia"/>
          <w:color w:val="auto"/>
          <w:highlight w:val="none"/>
        </w:rPr>
      </w:pPr>
      <w:r>
        <w:rPr>
          <w:rFonts w:hint="eastAsia"/>
          <w:color w:val="auto"/>
          <w:highlight w:val="none"/>
        </w:rPr>
        <w:t>含有致病性寄生虫、微生物或者微生物含量超过国家限定标准的；</w:t>
      </w:r>
    </w:p>
    <w:p>
      <w:pPr>
        <w:numPr>
          <w:ilvl w:val="0"/>
          <w:numId w:val="17"/>
        </w:numPr>
        <w:bidi w:val="0"/>
        <w:rPr>
          <w:rFonts w:hint="eastAsia"/>
          <w:color w:val="auto"/>
          <w:highlight w:val="none"/>
        </w:rPr>
      </w:pPr>
      <w:r>
        <w:rPr>
          <w:rFonts w:hint="eastAsia"/>
          <w:color w:val="auto"/>
          <w:highlight w:val="none"/>
        </w:rPr>
        <w:t>未经动物检疫部门检疫、检验或者检疫、检验不合格的肉类及其制品；</w:t>
      </w:r>
    </w:p>
    <w:p>
      <w:pPr>
        <w:numPr>
          <w:ilvl w:val="0"/>
          <w:numId w:val="17"/>
        </w:numPr>
        <w:bidi w:val="0"/>
        <w:rPr>
          <w:color w:val="auto"/>
          <w:highlight w:val="none"/>
        </w:rPr>
      </w:pPr>
      <w:r>
        <w:rPr>
          <w:rFonts w:hint="eastAsia"/>
          <w:color w:val="auto"/>
          <w:highlight w:val="none"/>
        </w:rPr>
        <w:t>病死、毒死或者死因不明的禽、畜、兽、水产动物等及其制品。</w:t>
      </w:r>
    </w:p>
    <w:p>
      <w:pPr>
        <w:pStyle w:val="6"/>
        <w:bidi w:val="0"/>
        <w:rPr>
          <w:rFonts w:hint="eastAsia"/>
          <w:color w:val="auto"/>
          <w:highlight w:val="none"/>
          <w:lang w:val="en-US" w:eastAsia="zh-CN"/>
        </w:rPr>
      </w:pPr>
      <w:r>
        <w:rPr>
          <w:rFonts w:hint="eastAsia"/>
          <w:color w:val="auto"/>
          <w:highlight w:val="none"/>
          <w:lang w:val="en-US" w:eastAsia="zh-CN"/>
        </w:rPr>
        <w:t>5.2.2.3禽蛋类</w:t>
      </w:r>
    </w:p>
    <w:p>
      <w:pPr>
        <w:numPr>
          <w:ilvl w:val="0"/>
          <w:numId w:val="18"/>
        </w:numPr>
        <w:bidi w:val="0"/>
        <w:ind w:left="-82" w:leftChars="0" w:firstLineChars="0"/>
        <w:rPr>
          <w:rFonts w:hint="eastAsia"/>
          <w:b/>
          <w:bCs/>
          <w:color w:val="auto"/>
          <w:highlight w:val="none"/>
        </w:rPr>
      </w:pPr>
      <w:r>
        <w:rPr>
          <w:rFonts w:hint="eastAsia"/>
          <w:b/>
          <w:bCs/>
          <w:color w:val="auto"/>
          <w:highlight w:val="none"/>
        </w:rPr>
        <w:t>送货上门</w:t>
      </w:r>
    </w:p>
    <w:p>
      <w:pPr>
        <w:bidi w:val="0"/>
        <w:rPr>
          <w:color w:val="auto"/>
          <w:highlight w:val="none"/>
        </w:rPr>
      </w:pPr>
      <w:r>
        <w:rPr>
          <w:rFonts w:hint="eastAsia"/>
          <w:color w:val="auto"/>
          <w:highlight w:val="none"/>
        </w:rPr>
        <w:t>根据采购人通知要求送达采购人饲料室。</w:t>
      </w:r>
    </w:p>
    <w:p>
      <w:pPr>
        <w:spacing w:line="480" w:lineRule="exact"/>
        <w:ind w:firstLine="480"/>
        <w:rPr>
          <w:rFonts w:hint="eastAsia"/>
          <w:color w:val="auto"/>
          <w:highlight w:val="none"/>
          <w:lang w:val="en-US" w:eastAsia="zh-CN"/>
        </w:rPr>
      </w:pPr>
      <w:r>
        <w:rPr>
          <w:rFonts w:hint="eastAsia"/>
          <w:b/>
          <w:bCs/>
          <w:color w:val="auto"/>
          <w:highlight w:val="none"/>
        </w:rPr>
        <w:t>（二）</w:t>
      </w:r>
      <w:r>
        <w:rPr>
          <w:rFonts w:hint="eastAsia" w:ascii="宋体" w:hAnsi="宋体" w:eastAsia="宋体" w:cs="宋体"/>
          <w:b/>
          <w:bCs/>
          <w:color w:val="auto"/>
          <w:highlight w:val="none"/>
          <w:lang w:eastAsia="zh-CN"/>
        </w:rPr>
        <w:t>用量和</w:t>
      </w:r>
      <w:r>
        <w:rPr>
          <w:rFonts w:hint="eastAsia" w:ascii="宋体" w:hAnsi="宋体" w:eastAsia="宋体" w:cs="宋体"/>
          <w:b/>
          <w:bCs/>
          <w:color w:val="auto"/>
          <w:highlight w:val="none"/>
        </w:rPr>
        <w:t>质量</w:t>
      </w:r>
      <w:r>
        <w:rPr>
          <w:rFonts w:hint="eastAsia"/>
          <w:b/>
          <w:bCs/>
          <w:color w:val="auto"/>
          <w:highlight w:val="none"/>
        </w:rPr>
        <w:t>要求</w:t>
      </w:r>
    </w:p>
    <w:tbl>
      <w:tblPr>
        <w:tblStyle w:val="31"/>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5"/>
        <w:gridCol w:w="3600"/>
        <w:gridCol w:w="13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产品名称</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质量要求</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用量</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val="0"/>
                <w:color w:val="auto"/>
                <w:highlight w:val="none"/>
                <w:lang w:val="en-US" w:eastAsia="zh-CN"/>
              </w:rPr>
            </w:pPr>
          </w:p>
        </w:tc>
        <w:tc>
          <w:tcPr>
            <w:tcW w:w="1245"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b w:val="0"/>
                <w:bCs w:val="0"/>
                <w:color w:val="auto"/>
                <w:highlight w:val="none"/>
              </w:rPr>
              <w:t>鸡蛋/鹌鹑蛋</w:t>
            </w:r>
          </w:p>
        </w:tc>
        <w:tc>
          <w:tcPr>
            <w:tcW w:w="3600" w:type="dxa"/>
            <w:tcBorders>
              <w:top w:val="single" w:color="auto" w:sz="4" w:space="0"/>
              <w:left w:val="nil"/>
              <w:bottom w:val="single" w:color="auto" w:sz="4" w:space="0"/>
              <w:right w:val="single" w:color="auto" w:sz="4" w:space="0"/>
            </w:tcBorders>
            <w:vAlign w:val="center"/>
          </w:tcPr>
          <w:p>
            <w:pPr>
              <w:numPr>
                <w:ilvl w:val="0"/>
                <w:numId w:val="20"/>
              </w:numPr>
              <w:ind w:firstLine="0" w:firstLineChars="0"/>
              <w:rPr>
                <w:color w:val="auto"/>
                <w:highlight w:val="none"/>
              </w:rPr>
            </w:pPr>
            <w:r>
              <w:rPr>
                <w:rFonts w:hint="eastAsia"/>
                <w:color w:val="auto"/>
                <w:highlight w:val="none"/>
              </w:rPr>
              <w:t>生产日期不超过 15天</w:t>
            </w:r>
          </w:p>
          <w:p>
            <w:pPr>
              <w:numPr>
                <w:ilvl w:val="0"/>
                <w:numId w:val="20"/>
              </w:numPr>
              <w:ind w:firstLine="0" w:firstLineChars="0"/>
              <w:rPr>
                <w:color w:val="auto"/>
                <w:highlight w:val="none"/>
              </w:rPr>
            </w:pPr>
            <w:r>
              <w:rPr>
                <w:rFonts w:hint="eastAsia"/>
                <w:color w:val="auto"/>
                <w:highlight w:val="none"/>
              </w:rPr>
              <w:t>色泽：灯光透视时整个蛋呈微红色;去壳后蛋黄呈橘黄色至橙色，蛋白澄清、透明，无其他异常颜色。</w:t>
            </w:r>
          </w:p>
          <w:p>
            <w:pPr>
              <w:numPr>
                <w:ilvl w:val="0"/>
                <w:numId w:val="20"/>
              </w:numPr>
              <w:ind w:firstLine="0" w:firstLineChars="0"/>
              <w:rPr>
                <w:color w:val="auto"/>
                <w:highlight w:val="none"/>
              </w:rPr>
            </w:pPr>
            <w:r>
              <w:rPr>
                <w:rFonts w:hint="eastAsia"/>
                <w:color w:val="auto"/>
                <w:highlight w:val="none"/>
              </w:rPr>
              <w:t>气味：蛋液具有固有的蛋腥味，无异味。</w:t>
            </w:r>
          </w:p>
          <w:p>
            <w:pPr>
              <w:numPr>
                <w:ilvl w:val="0"/>
                <w:numId w:val="20"/>
              </w:numPr>
              <w:ind w:left="0" w:leftChars="0" w:firstLine="0" w:firstLineChars="0"/>
              <w:rPr>
                <w:rFonts w:hint="eastAsia" w:ascii="宋体" w:hAnsi="宋体" w:eastAsia="宋体" w:cs="宋体"/>
                <w:color w:val="auto"/>
                <w:sz w:val="24"/>
                <w:szCs w:val="24"/>
                <w:highlight w:val="none"/>
                <w:lang w:val="en-US" w:eastAsia="zh-CN" w:bidi="ar-SA"/>
              </w:rPr>
            </w:pPr>
            <w:r>
              <w:rPr>
                <w:rFonts w:hint="eastAsia"/>
                <w:color w:val="auto"/>
                <w:highlight w:val="none"/>
              </w:rPr>
              <w:t>状态：蛋壳清洁完整，无裂纹，无霉斑，灯光透视时蛋内无黑点及异物;去壳后蛋黄凸起完整并带有韧性，蛋白稀稠分明，无正常视力可见外来异物。</w:t>
            </w:r>
          </w:p>
        </w:tc>
        <w:tc>
          <w:tcPr>
            <w:tcW w:w="1365" w:type="dxa"/>
            <w:tcBorders>
              <w:top w:val="single" w:color="auto" w:sz="4" w:space="0"/>
              <w:left w:val="nil"/>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鸡蛋6600kg/年</w:t>
            </w:r>
          </w:p>
          <w:p>
            <w:pPr>
              <w:ind w:firstLine="0" w:firstLineChars="0"/>
              <w:jc w:val="center"/>
              <w:rPr>
                <w:color w:val="auto"/>
                <w:highlight w:val="none"/>
              </w:rPr>
            </w:pPr>
            <w:r>
              <w:rPr>
                <w:rFonts w:hint="eastAsia"/>
                <w:color w:val="auto"/>
                <w:highlight w:val="none"/>
              </w:rPr>
              <w:t>鹌鹑蛋</w:t>
            </w:r>
          </w:p>
          <w:p>
            <w:pPr>
              <w:ind w:firstLine="0" w:firstLineChars="0"/>
              <w:jc w:val="center"/>
              <w:rPr>
                <w:rFonts w:hint="eastAsia" w:ascii="宋体" w:hAnsi="宋体" w:eastAsia="宋体" w:cs="宋体"/>
                <w:color w:val="auto"/>
                <w:sz w:val="24"/>
                <w:szCs w:val="24"/>
                <w:highlight w:val="none"/>
                <w:lang w:val="en-US" w:eastAsia="zh-CN" w:bidi="ar-SA"/>
              </w:rPr>
            </w:pPr>
            <w:r>
              <w:rPr>
                <w:rFonts w:hint="eastAsia"/>
                <w:color w:val="auto"/>
                <w:highlight w:val="none"/>
              </w:rPr>
              <w:t>300kg/年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p>
        </w:tc>
      </w:tr>
    </w:tbl>
    <w:p>
      <w:pPr>
        <w:pStyle w:val="6"/>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5.2.2.</w:t>
      </w:r>
      <w:r>
        <w:rPr>
          <w:rFonts w:hint="eastAsia"/>
          <w:color w:val="auto"/>
          <w:highlight w:val="none"/>
          <w:lang w:val="en-US" w:eastAsia="zh-CN"/>
        </w:rPr>
        <w:t>4</w:t>
      </w:r>
      <w:r>
        <w:rPr>
          <w:rFonts w:hint="eastAsia" w:ascii="宋体" w:hAnsi="宋体" w:eastAsia="宋体"/>
          <w:color w:val="auto"/>
          <w:highlight w:val="none"/>
          <w:lang w:val="en-US" w:eastAsia="zh-CN"/>
        </w:rPr>
        <w:t>颗粒饲料、杂粮类</w:t>
      </w:r>
    </w:p>
    <w:p>
      <w:pPr>
        <w:numPr>
          <w:ilvl w:val="0"/>
          <w:numId w:val="0"/>
        </w:numPr>
        <w:bidi w:val="0"/>
        <w:ind w:left="480" w:leftChars="0"/>
        <w:rPr>
          <w:rFonts w:hint="eastAsia"/>
          <w:b/>
          <w:bCs/>
          <w:color w:val="auto"/>
          <w:highlight w:val="none"/>
        </w:rPr>
      </w:pPr>
      <w:r>
        <w:rPr>
          <w:rFonts w:hint="eastAsia"/>
          <w:b/>
          <w:bCs/>
          <w:color w:val="auto"/>
          <w:highlight w:val="none"/>
          <w:lang w:eastAsia="zh-CN"/>
        </w:rPr>
        <w:t>（一）</w:t>
      </w:r>
      <w:r>
        <w:rPr>
          <w:rFonts w:hint="eastAsia"/>
          <w:b/>
          <w:bCs/>
          <w:color w:val="auto"/>
          <w:highlight w:val="none"/>
        </w:rPr>
        <w:t>送货上门</w:t>
      </w:r>
    </w:p>
    <w:p>
      <w:pPr>
        <w:bidi w:val="0"/>
        <w:rPr>
          <w:color w:val="auto"/>
          <w:highlight w:val="none"/>
        </w:rPr>
      </w:pPr>
      <w:r>
        <w:rPr>
          <w:rFonts w:hint="eastAsia"/>
          <w:color w:val="auto"/>
          <w:highlight w:val="none"/>
        </w:rPr>
        <w:t>根据采购人通知要求至少提前1天送达采购人饲料室，并卸货到颗粒饲料库房。</w:t>
      </w:r>
    </w:p>
    <w:p>
      <w:pPr>
        <w:spacing w:line="480" w:lineRule="exact"/>
        <w:ind w:firstLine="480"/>
        <w:rPr>
          <w:b/>
          <w:bCs/>
          <w:color w:val="auto"/>
          <w:highlight w:val="none"/>
        </w:rPr>
      </w:pPr>
      <w:r>
        <w:rPr>
          <w:rFonts w:hint="eastAsia"/>
          <w:b/>
          <w:bCs/>
          <w:color w:val="auto"/>
          <w:highlight w:val="none"/>
        </w:rPr>
        <w:t>（二）种类</w:t>
      </w:r>
    </w:p>
    <w:p>
      <w:pPr>
        <w:numPr>
          <w:ilvl w:val="0"/>
          <w:numId w:val="21"/>
        </w:numPr>
        <w:bidi w:val="0"/>
        <w:rPr>
          <w:color w:val="auto"/>
          <w:highlight w:val="none"/>
        </w:rPr>
      </w:pPr>
      <w:r>
        <w:rPr>
          <w:rFonts w:hint="eastAsia"/>
          <w:color w:val="auto"/>
          <w:highlight w:val="none"/>
        </w:rPr>
        <w:t>杂粮类：玉米籽、玉米粉、谷子、小麦粉、燕麦、豌豆、熟黄豆粉、黄豆、麦麸、苏麻、小米、大米等。</w:t>
      </w:r>
    </w:p>
    <w:p>
      <w:pPr>
        <w:numPr>
          <w:ilvl w:val="0"/>
          <w:numId w:val="21"/>
        </w:numPr>
        <w:bidi w:val="0"/>
        <w:rPr>
          <w:color w:val="auto"/>
          <w:highlight w:val="none"/>
        </w:rPr>
      </w:pPr>
      <w:r>
        <w:rPr>
          <w:rFonts w:hint="eastAsia"/>
          <w:color w:val="auto"/>
          <w:highlight w:val="none"/>
        </w:rPr>
        <w:t>颗粒</w:t>
      </w:r>
      <w:r>
        <w:rPr>
          <w:rFonts w:hint="eastAsia"/>
          <w:color w:val="auto"/>
          <w:highlight w:val="none"/>
          <w:lang w:eastAsia="zh-CN"/>
        </w:rPr>
        <w:t>饲料</w:t>
      </w:r>
      <w:r>
        <w:rPr>
          <w:rFonts w:hint="eastAsia"/>
          <w:color w:val="auto"/>
          <w:highlight w:val="none"/>
        </w:rPr>
        <w:t>类：草食动物颗粒饲料、鸟类颗粒饲料、鸟类膨化饲料、灵长类饼干、杂食动物饼干等。</w:t>
      </w:r>
    </w:p>
    <w:p>
      <w:pPr>
        <w:numPr>
          <w:ilvl w:val="0"/>
          <w:numId w:val="21"/>
        </w:numPr>
        <w:bidi w:val="0"/>
        <w:rPr>
          <w:rFonts w:hint="eastAsia"/>
          <w:color w:val="auto"/>
          <w:highlight w:val="none"/>
        </w:rPr>
      </w:pPr>
      <w:r>
        <w:rPr>
          <w:rFonts w:hint="eastAsia"/>
          <w:color w:val="auto"/>
          <w:highlight w:val="none"/>
        </w:rPr>
        <w:t>其它：碳酸钙、磷酸氢钙、食盐等</w:t>
      </w:r>
      <w:r>
        <w:rPr>
          <w:rFonts w:hint="eastAsia"/>
          <w:color w:val="auto"/>
          <w:highlight w:val="none"/>
          <w:lang w:eastAsia="zh-CN"/>
        </w:rPr>
        <w:t>。</w:t>
      </w:r>
    </w:p>
    <w:p>
      <w:pPr>
        <w:ind w:firstLine="482"/>
        <w:rPr>
          <w:b/>
          <w:bCs/>
          <w:color w:val="auto"/>
          <w:highlight w:val="none"/>
        </w:rPr>
      </w:pPr>
      <w:r>
        <w:rPr>
          <w:rFonts w:hint="eastAsia"/>
          <w:b/>
          <w:bCs/>
          <w:color w:val="auto"/>
          <w:highlight w:val="none"/>
        </w:rPr>
        <w:t>（三）</w:t>
      </w:r>
      <w:r>
        <w:rPr>
          <w:rFonts w:hint="eastAsia" w:ascii="宋体" w:hAnsi="宋体" w:eastAsia="宋体" w:cs="宋体"/>
          <w:b/>
          <w:bCs/>
          <w:color w:val="auto"/>
          <w:highlight w:val="none"/>
          <w:lang w:eastAsia="zh-CN"/>
        </w:rPr>
        <w:t>用量和</w:t>
      </w:r>
      <w:r>
        <w:rPr>
          <w:rFonts w:hint="eastAsia" w:ascii="宋体" w:hAnsi="宋体" w:eastAsia="宋体" w:cs="宋体"/>
          <w:b/>
          <w:bCs/>
          <w:color w:val="auto"/>
          <w:highlight w:val="none"/>
        </w:rPr>
        <w:t>质量</w:t>
      </w:r>
      <w:r>
        <w:rPr>
          <w:rFonts w:hint="eastAsia"/>
          <w:b/>
          <w:bCs/>
          <w:color w:val="auto"/>
          <w:highlight w:val="none"/>
        </w:rPr>
        <w:t>要求</w:t>
      </w:r>
    </w:p>
    <w:tbl>
      <w:tblPr>
        <w:tblStyle w:val="31"/>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5"/>
        <w:gridCol w:w="3600"/>
        <w:gridCol w:w="13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产品名称</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质量要求</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用量</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玉米籽</w:t>
            </w:r>
          </w:p>
        </w:tc>
        <w:tc>
          <w:tcPr>
            <w:tcW w:w="3600" w:type="dxa"/>
            <w:vMerge w:val="restart"/>
            <w:tcBorders>
              <w:top w:val="single" w:color="auto" w:sz="4" w:space="0"/>
              <w:left w:val="nil"/>
              <w:right w:val="single" w:color="auto" w:sz="4" w:space="0"/>
            </w:tcBorders>
            <w:vAlign w:val="center"/>
          </w:tcPr>
          <w:p>
            <w:pPr>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颗粒饱满，色正</w:t>
            </w:r>
            <w:r>
              <w:rPr>
                <w:rFonts w:hint="eastAsia" w:ascii="宋体" w:hAnsi="宋体" w:eastAsia="宋体" w:cs="宋体"/>
                <w:color w:val="auto"/>
                <w:highlight w:val="none"/>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水分含量低于14%</w:t>
            </w:r>
            <w:r>
              <w:rPr>
                <w:rFonts w:hint="eastAsia" w:ascii="宋体" w:hAnsi="宋体" w:eastAsia="宋体" w:cs="宋体"/>
                <w:color w:val="auto"/>
                <w:highlight w:val="none"/>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无发霉、变质、无发芽、无异味、无虫蛀</w:t>
            </w:r>
            <w:r>
              <w:rPr>
                <w:rFonts w:hint="eastAsia" w:ascii="宋体" w:hAnsi="宋体" w:eastAsia="宋体" w:cs="宋体"/>
                <w:color w:val="auto"/>
                <w:highlight w:val="none"/>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符合国家相关检测标准</w:t>
            </w:r>
            <w:r>
              <w:rPr>
                <w:rFonts w:hint="eastAsia" w:ascii="宋体" w:hAnsi="宋体" w:eastAsia="宋体" w:cs="宋体"/>
                <w:color w:val="auto"/>
                <w:highlight w:val="none"/>
                <w:lang w:eastAsia="zh-CN"/>
              </w:rPr>
              <w:t>。</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2100kg/年</w:t>
            </w:r>
          </w:p>
        </w:tc>
        <w:tc>
          <w:tcPr>
            <w:tcW w:w="975"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黄豆</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500kg/年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谷子</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460kg/年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大米</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300kg/年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豌豆</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60kg/年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小麦</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高粱籽</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小米</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苏麻</w:t>
            </w:r>
          </w:p>
        </w:tc>
        <w:tc>
          <w:tcPr>
            <w:tcW w:w="360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180kg/年</w:t>
            </w:r>
          </w:p>
        </w:tc>
        <w:tc>
          <w:tcPr>
            <w:tcW w:w="975"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玉米粉</w:t>
            </w:r>
          </w:p>
        </w:tc>
        <w:tc>
          <w:tcPr>
            <w:tcW w:w="3600" w:type="dxa"/>
            <w:vMerge w:val="restart"/>
            <w:tcBorders>
              <w:top w:val="single" w:color="auto" w:sz="4" w:space="0"/>
              <w:left w:val="nil"/>
              <w:right w:val="single" w:color="auto" w:sz="4" w:space="0"/>
            </w:tcBorders>
            <w:vAlign w:val="center"/>
          </w:tcPr>
          <w:p>
            <w:pPr>
              <w:pStyle w:val="46"/>
              <w:keepNext w:val="0"/>
              <w:keepLines w:val="0"/>
              <w:pageBreakBefore w:val="0"/>
              <w:widowControl w:val="0"/>
              <w:numPr>
                <w:ilvl w:val="0"/>
                <w:numId w:val="24"/>
              </w:numPr>
              <w:kinsoku/>
              <w:wordWrap/>
              <w:overflowPunct/>
              <w:topLinePunct w:val="0"/>
              <w:bidi w:val="0"/>
              <w:snapToGrid/>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水分含量低于14%</w:t>
            </w:r>
            <w:r>
              <w:rPr>
                <w:rFonts w:hint="eastAsia" w:ascii="宋体" w:hAnsi="宋体" w:eastAsia="宋体" w:cs="宋体"/>
                <w:color w:val="auto"/>
                <w:highlight w:val="none"/>
                <w:lang w:eastAsia="zh-CN"/>
              </w:rPr>
              <w:t>。</w:t>
            </w:r>
          </w:p>
          <w:p>
            <w:pPr>
              <w:keepNext w:val="0"/>
              <w:keepLines w:val="0"/>
              <w:pageBreakBefore w:val="0"/>
              <w:widowControl w:val="0"/>
              <w:numPr>
                <w:ilvl w:val="0"/>
                <w:numId w:val="24"/>
              </w:numPr>
              <w:kinsoku/>
              <w:wordWrap/>
              <w:overflowPunct/>
              <w:topLinePunct w:val="0"/>
              <w:bidi w:val="0"/>
              <w:snapToGrid/>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色正，无异味，不结块，</w:t>
            </w:r>
            <w:r>
              <w:rPr>
                <w:rFonts w:hint="eastAsia" w:ascii="宋体" w:hAnsi="宋体" w:eastAsia="宋体" w:cs="宋体"/>
                <w:color w:val="auto"/>
                <w:highlight w:val="none"/>
              </w:rPr>
              <w:t>无发霉、无变质，无虫</w:t>
            </w:r>
            <w:r>
              <w:rPr>
                <w:rFonts w:hint="eastAsia" w:ascii="宋体" w:hAnsi="宋体" w:eastAsia="宋体" w:cs="宋体"/>
                <w:color w:val="auto"/>
                <w:highlight w:val="none"/>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Cs w:val="22"/>
                <w:highlight w:val="none"/>
              </w:rPr>
              <w:t>符合国家相关检测标准</w:t>
            </w:r>
            <w:r>
              <w:rPr>
                <w:rFonts w:hint="eastAsia" w:ascii="宋体" w:hAnsi="宋体" w:eastAsia="宋体" w:cs="宋体"/>
                <w:color w:val="auto"/>
                <w:szCs w:val="22"/>
                <w:highlight w:val="none"/>
                <w:lang w:eastAsia="zh-CN"/>
              </w:rPr>
              <w:t>。</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3100kg/年</w:t>
            </w:r>
          </w:p>
        </w:tc>
        <w:tc>
          <w:tcPr>
            <w:tcW w:w="975"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熟黄豆粉</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lang w:eastAsia="zh-CN"/>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2200Kg/年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麦麸</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1800kg/年</w:t>
            </w:r>
          </w:p>
        </w:tc>
        <w:tc>
          <w:tcPr>
            <w:tcW w:w="97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小麦粉</w:t>
            </w:r>
          </w:p>
        </w:tc>
        <w:tc>
          <w:tcPr>
            <w:tcW w:w="360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sz w:val="24"/>
                <w:szCs w:val="24"/>
                <w:highlight w:val="none"/>
                <w:lang w:val="en-US" w:eastAsia="zh-CN" w:bidi="ar-SA"/>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400kg/年</w:t>
            </w:r>
          </w:p>
        </w:tc>
        <w:tc>
          <w:tcPr>
            <w:tcW w:w="975"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磷酸氢钙</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水分≤4.0%，钙≥23.0%,磷≥17.0%</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氟≤0.18%,砷≤5ppm,铅≤20ppm,镉≤1ppm</w:t>
            </w:r>
            <w:r>
              <w:rPr>
                <w:rFonts w:hint="eastAsia" w:ascii="宋体" w:hAnsi="宋体" w:eastAsia="宋体" w:cs="宋体"/>
                <w:color w:val="auto"/>
                <w:highlight w:val="none"/>
                <w:lang w:eastAsia="zh-CN"/>
              </w:rPr>
              <w:t>。</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颜色：淡灰黄色至白色，因原料或加工不同而异</w:t>
            </w:r>
            <w:r>
              <w:rPr>
                <w:rFonts w:hint="eastAsia" w:ascii="宋体" w:hAnsi="宋体" w:eastAsia="宋体" w:cs="宋体"/>
                <w:color w:val="auto"/>
                <w:highlight w:val="none"/>
                <w:lang w:eastAsia="zh-CN"/>
              </w:rPr>
              <w:t>。</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细度：粉末状，流动性良好，100%可通过60目标准筛，95%以上可通过100目标准筛</w:t>
            </w:r>
            <w:r>
              <w:rPr>
                <w:rFonts w:hint="eastAsia" w:ascii="宋体" w:hAnsi="宋体" w:eastAsia="宋体" w:cs="宋体"/>
                <w:color w:val="auto"/>
                <w:highlight w:val="none"/>
                <w:lang w:eastAsia="zh-CN"/>
              </w:rPr>
              <w:t>。</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100kg/年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碳酸钙</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6"/>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水分≤0.5%，钙≥37.0%;氟≤0.17%,砷≤5ppm,铅≤30ppm,镉≤1ppm,钡≤50ppm,镁≤0.05%</w:t>
            </w:r>
            <w:r>
              <w:rPr>
                <w:rFonts w:hint="eastAsia" w:ascii="宋体" w:hAnsi="宋体" w:eastAsia="宋体" w:cs="宋体"/>
                <w:color w:val="auto"/>
                <w:highlight w:val="none"/>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颜色：白色或灰白色</w:t>
            </w:r>
            <w:r>
              <w:rPr>
                <w:rFonts w:hint="eastAsia" w:ascii="宋体" w:hAnsi="宋体" w:eastAsia="宋体" w:cs="宋体"/>
                <w:color w:val="auto"/>
                <w:highlight w:val="none"/>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细度：粉末状，流动性良好，100%可通过60目标准筛，95%以上可通过100目标准筛</w:t>
            </w:r>
            <w:r>
              <w:rPr>
                <w:rFonts w:hint="eastAsia" w:ascii="宋体" w:hAnsi="宋体" w:eastAsia="宋体" w:cs="宋体"/>
                <w:color w:val="auto"/>
                <w:highlight w:val="none"/>
                <w:lang w:eastAsia="zh-CN"/>
              </w:rPr>
              <w:t>。</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100kg/年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食盐</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无碘盐</w:t>
            </w:r>
            <w:r>
              <w:rPr>
                <w:rFonts w:hint="eastAsia" w:ascii="宋体" w:hAnsi="宋体" w:eastAsia="宋体" w:cs="宋体"/>
                <w:color w:val="auto"/>
                <w:highlight w:val="none"/>
                <w:lang w:eastAsia="zh-CN"/>
              </w:rPr>
              <w:t>）</w:t>
            </w:r>
          </w:p>
        </w:tc>
        <w:tc>
          <w:tcPr>
            <w:tcW w:w="3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7"/>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遵照</w:t>
            </w:r>
            <w:r>
              <w:rPr>
                <w:rFonts w:hint="eastAsia" w:ascii="宋体" w:hAnsi="宋体" w:eastAsia="宋体" w:cs="宋体"/>
                <w:color w:val="auto"/>
                <w:highlight w:val="none"/>
                <w:lang w:eastAsia="zh-CN"/>
              </w:rPr>
              <w:t>国家</w:t>
            </w:r>
            <w:r>
              <w:rPr>
                <w:rFonts w:hint="eastAsia" w:ascii="宋体" w:hAnsi="宋体" w:eastAsia="宋体" w:cs="宋体"/>
                <w:color w:val="auto"/>
                <w:highlight w:val="none"/>
              </w:rPr>
              <w:t>食用盐</w:t>
            </w:r>
            <w:r>
              <w:rPr>
                <w:rFonts w:hint="eastAsia" w:ascii="宋体" w:hAnsi="宋体" w:eastAsia="宋体" w:cs="宋体"/>
                <w:color w:val="auto"/>
                <w:highlight w:val="none"/>
                <w:lang w:eastAsia="zh-CN"/>
              </w:rPr>
              <w:t>卫生</w:t>
            </w:r>
            <w:r>
              <w:rPr>
                <w:rFonts w:hint="eastAsia" w:ascii="宋体" w:hAnsi="宋体" w:eastAsia="宋体" w:cs="宋体"/>
                <w:color w:val="auto"/>
                <w:highlight w:val="none"/>
              </w:rPr>
              <w:t>标准</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110kg/年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草食动物颗粒饲料</w:t>
            </w:r>
          </w:p>
        </w:tc>
        <w:tc>
          <w:tcPr>
            <w:tcW w:w="3600" w:type="dxa"/>
            <w:vMerge w:val="restart"/>
            <w:tcBorders>
              <w:top w:val="single" w:color="auto" w:sz="4" w:space="0"/>
              <w:left w:val="nil"/>
              <w:right w:val="single" w:color="auto" w:sz="4" w:space="0"/>
            </w:tcBorders>
            <w:vAlign w:val="center"/>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按照采购人</w:t>
            </w:r>
            <w:r>
              <w:rPr>
                <w:rFonts w:hint="eastAsia" w:ascii="宋体" w:hAnsi="宋体" w:eastAsia="宋体" w:cs="宋体"/>
                <w:color w:val="auto"/>
                <w:highlight w:val="none"/>
                <w:lang w:eastAsia="zh-CN"/>
              </w:rPr>
              <w:t>提供的</w:t>
            </w:r>
            <w:r>
              <w:rPr>
                <w:rFonts w:hint="eastAsia" w:ascii="宋体" w:hAnsi="宋体" w:eastAsia="宋体" w:cs="宋体"/>
                <w:color w:val="auto"/>
                <w:highlight w:val="none"/>
              </w:rPr>
              <w:t>配方生产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成品</w:t>
            </w:r>
            <w:r>
              <w:rPr>
                <w:rFonts w:hint="eastAsia" w:ascii="宋体" w:hAnsi="宋体" w:eastAsia="宋体" w:cs="宋体"/>
                <w:color w:val="auto"/>
                <w:highlight w:val="none"/>
                <w:lang w:eastAsia="zh-CN"/>
              </w:rPr>
              <w:t>中</w:t>
            </w:r>
            <w:r>
              <w:rPr>
                <w:rFonts w:hint="eastAsia" w:ascii="宋体" w:hAnsi="宋体" w:eastAsia="宋体" w:cs="宋体"/>
                <w:color w:val="auto"/>
                <w:highlight w:val="none"/>
              </w:rPr>
              <w:t>各种营养成分含量达到采购人要求</w:t>
            </w:r>
            <w:r>
              <w:rPr>
                <w:rFonts w:hint="eastAsia" w:ascii="宋体" w:hAnsi="宋体" w:eastAsia="宋体" w:cs="宋体"/>
                <w:color w:val="auto"/>
                <w:highlight w:val="none"/>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饲料原料遵照杂粮标准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成品水分不高于</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成品无霉变，无结块</w:t>
            </w:r>
            <w:r>
              <w:rPr>
                <w:rFonts w:hint="eastAsia" w:ascii="宋体" w:hAnsi="宋体" w:eastAsia="宋体" w:cs="宋体"/>
                <w:color w:val="auto"/>
                <w:highlight w:val="none"/>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符合国家饲料卫生标准</w:t>
            </w:r>
            <w:r>
              <w:rPr>
                <w:rFonts w:hint="eastAsia" w:ascii="宋体" w:hAnsi="宋体" w:eastAsia="宋体" w:cs="宋体"/>
                <w:color w:val="auto"/>
                <w:highlight w:val="none"/>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lang w:val="en-US" w:eastAsia="zh-CN"/>
              </w:rPr>
              <w:t>包装要求：</w:t>
            </w:r>
            <w:r>
              <w:rPr>
                <w:rFonts w:hint="eastAsia" w:ascii="宋体" w:hAnsi="宋体" w:eastAsia="宋体" w:cs="宋体"/>
                <w:color w:val="auto"/>
                <w:highlight w:val="none"/>
                <w:shd w:val="clear"/>
              </w:rPr>
              <w:t>无毒材料的编织袋包装；包装袋双层封口，紧密；包装袋上注明产品名称</w:t>
            </w:r>
            <w:r>
              <w:rPr>
                <w:rFonts w:hint="eastAsia" w:ascii="宋体" w:hAnsi="宋体" w:eastAsia="宋体" w:cs="宋体"/>
                <w:color w:val="auto"/>
                <w:highlight w:val="none"/>
                <w:shd w:val="clear"/>
                <w:lang w:eastAsia="zh-CN"/>
              </w:rPr>
              <w:t>、</w:t>
            </w:r>
            <w:r>
              <w:rPr>
                <w:rFonts w:hint="eastAsia" w:ascii="宋体" w:hAnsi="宋体" w:eastAsia="宋体" w:cs="宋体"/>
                <w:color w:val="auto"/>
                <w:highlight w:val="none"/>
                <w:shd w:val="clear"/>
              </w:rPr>
              <w:t>生产日期、保质期（不超过3个月）。</w:t>
            </w:r>
            <w:r>
              <w:rPr>
                <w:rFonts w:hint="eastAsia"/>
                <w:color w:val="auto"/>
                <w:highlight w:val="none"/>
              </w:rPr>
              <w:t>5.送货要求：按照需求配送，大概10-15天送一次。</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cs="宋体"/>
                <w:color w:val="auto"/>
                <w:highlight w:val="none"/>
                <w:lang w:val="en-US" w:eastAsia="zh-CN"/>
              </w:rPr>
              <w:t>58</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最高限价8元/kg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长颈鹿颗粒饲料</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最高限价8元/kg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鹦鹉颗粒饲料（膨化）</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cs="宋体"/>
                <w:color w:val="auto"/>
                <w:highlight w:val="none"/>
                <w:lang w:val="en-US" w:eastAsia="zh-CN"/>
              </w:rPr>
              <w:t>7</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最高限价15元/kg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鸟类颗粒饲料</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cs="宋体"/>
                <w:color w:val="auto"/>
                <w:highlight w:val="none"/>
                <w:lang w:val="en-US" w:eastAsia="zh-CN"/>
              </w:rPr>
              <w:t>10</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cs="宋体"/>
                <w:color w:val="auto"/>
                <w:highlight w:val="none"/>
                <w:lang w:val="en-US" w:eastAsia="zh-CN"/>
              </w:rPr>
              <w:t>8</w:t>
            </w:r>
            <w:r>
              <w:rPr>
                <w:rFonts w:hint="eastAsia" w:ascii="宋体" w:hAnsi="宋体" w:eastAsia="宋体" w:cs="宋体"/>
                <w:color w:val="auto"/>
                <w:highlight w:val="none"/>
              </w:rPr>
              <w:t>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灵长类精饲料</w:t>
            </w:r>
          </w:p>
        </w:tc>
        <w:tc>
          <w:tcPr>
            <w:tcW w:w="360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val="en-US" w:eastAsia="zh-CN"/>
              </w:rPr>
              <w:t>8</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最高限价15元/kg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2"/>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杂食颗粒饲料</w:t>
            </w:r>
          </w:p>
        </w:tc>
        <w:tc>
          <w:tcPr>
            <w:tcW w:w="360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auto"/>
                <w:highlight w:val="none"/>
              </w:rPr>
            </w:pP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cs="宋体"/>
                <w:color w:val="auto"/>
                <w:highlight w:val="none"/>
                <w:lang w:val="en-US" w:eastAsia="zh-CN"/>
              </w:rPr>
              <w:t>1.8</w:t>
            </w:r>
            <w:r>
              <w:rPr>
                <w:rFonts w:hint="eastAsia" w:ascii="宋体" w:hAnsi="宋体" w:eastAsia="宋体" w:cs="宋体"/>
                <w:color w:val="auto"/>
                <w:highlight w:val="none"/>
              </w:rPr>
              <w:t>吨/年</w:t>
            </w:r>
          </w:p>
        </w:tc>
        <w:tc>
          <w:tcPr>
            <w:tcW w:w="9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cs="宋体"/>
                <w:color w:val="auto"/>
                <w:highlight w:val="none"/>
                <w:lang w:val="en-US" w:eastAsia="zh-CN"/>
              </w:rPr>
              <w:t>15</w:t>
            </w:r>
            <w:r>
              <w:rPr>
                <w:rFonts w:hint="eastAsia" w:ascii="宋体" w:hAnsi="宋体" w:eastAsia="宋体" w:cs="宋体"/>
                <w:color w:val="auto"/>
                <w:highlight w:val="none"/>
              </w:rPr>
              <w:t>元/kg</w:t>
            </w:r>
          </w:p>
        </w:tc>
      </w:tr>
    </w:tbl>
    <w:p>
      <w:pPr>
        <w:bidi w:val="0"/>
        <w:rPr>
          <w:b/>
          <w:bCs/>
          <w:color w:val="auto"/>
          <w:highlight w:val="none"/>
        </w:rPr>
      </w:pPr>
      <w:r>
        <w:rPr>
          <w:rFonts w:hint="eastAsia"/>
          <w:b/>
          <w:bCs/>
          <w:color w:val="auto"/>
          <w:highlight w:val="none"/>
        </w:rPr>
        <w:t>注：表中数量为暂定数量，仅作为投标报价使用，不作为合同结算依据</w:t>
      </w:r>
      <w:r>
        <w:rPr>
          <w:rFonts w:hint="eastAsia"/>
          <w:b/>
          <w:bCs/>
          <w:color w:val="auto"/>
          <w:highlight w:val="none"/>
          <w:lang w:eastAsia="zh-CN"/>
        </w:rPr>
        <w:t>，</w:t>
      </w:r>
      <w:r>
        <w:rPr>
          <w:rFonts w:hint="eastAsia"/>
          <w:b/>
          <w:bCs/>
          <w:color w:val="auto"/>
          <w:highlight w:val="none"/>
        </w:rPr>
        <w:t>结算时按实际供货量调整。</w:t>
      </w:r>
    </w:p>
    <w:p>
      <w:pPr>
        <w:bidi w:val="0"/>
        <w:rPr>
          <w:b/>
          <w:bCs/>
          <w:color w:val="auto"/>
          <w:highlight w:val="none"/>
        </w:rPr>
      </w:pPr>
      <w:r>
        <w:rPr>
          <w:rFonts w:hint="eastAsia"/>
          <w:b/>
          <w:bCs/>
          <w:color w:val="auto"/>
          <w:highlight w:val="none"/>
        </w:rPr>
        <w:t>★（四）</w:t>
      </w:r>
      <w:r>
        <w:rPr>
          <w:rFonts w:hint="eastAsia"/>
          <w:b/>
          <w:bCs/>
          <w:color w:val="auto"/>
          <w:highlight w:val="none"/>
          <w:lang w:eastAsia="zh-CN"/>
        </w:rPr>
        <w:t>供应商成交后</w:t>
      </w:r>
      <w:r>
        <w:rPr>
          <w:rFonts w:hint="eastAsia"/>
          <w:b/>
          <w:bCs/>
          <w:color w:val="auto"/>
          <w:highlight w:val="none"/>
        </w:rPr>
        <w:t>提供有效的颗粒/膨化饲料产品生产厂家的生产许可证。供货时提供每批次货物的产品合格证，</w:t>
      </w:r>
      <w:r>
        <w:rPr>
          <w:rFonts w:hint="eastAsia"/>
          <w:b/>
          <w:bCs/>
          <w:color w:val="auto"/>
          <w:highlight w:val="none"/>
          <w:lang w:eastAsia="zh-CN"/>
        </w:rPr>
        <w:t>成品中</w:t>
      </w:r>
      <w:r>
        <w:rPr>
          <w:rFonts w:hint="eastAsia"/>
          <w:b/>
          <w:bCs/>
          <w:color w:val="auto"/>
          <w:highlight w:val="none"/>
        </w:rPr>
        <w:t>主要营养指标含量的检测报告(每</w:t>
      </w:r>
      <w:r>
        <w:rPr>
          <w:rFonts w:hint="eastAsia"/>
          <w:b/>
          <w:bCs/>
          <w:color w:val="auto"/>
          <w:highlight w:val="none"/>
          <w:lang w:eastAsia="zh-CN"/>
        </w:rPr>
        <w:t>半</w:t>
      </w:r>
      <w:r>
        <w:rPr>
          <w:rFonts w:hint="eastAsia"/>
          <w:b/>
          <w:bCs/>
          <w:color w:val="auto"/>
          <w:highlight w:val="none"/>
        </w:rPr>
        <w:t>年至少</w:t>
      </w:r>
      <w:r>
        <w:rPr>
          <w:rFonts w:hint="eastAsia"/>
          <w:b/>
          <w:bCs/>
          <w:color w:val="auto"/>
          <w:highlight w:val="none"/>
          <w:lang w:val="en-US" w:eastAsia="zh-CN"/>
        </w:rPr>
        <w:t>1</w:t>
      </w:r>
      <w:r>
        <w:rPr>
          <w:rFonts w:hint="eastAsia"/>
          <w:b/>
          <w:bCs/>
          <w:color w:val="auto"/>
          <w:highlight w:val="none"/>
        </w:rPr>
        <w:t>次)，采购人不定期进行抽测。（提供承诺函）</w:t>
      </w:r>
    </w:p>
    <w:p>
      <w:pPr>
        <w:bidi w:val="0"/>
        <w:rPr>
          <w:color w:val="auto"/>
          <w:highlight w:val="none"/>
        </w:rPr>
      </w:pPr>
      <w:r>
        <w:rPr>
          <w:rFonts w:hint="eastAsia"/>
          <w:color w:val="auto"/>
          <w:highlight w:val="none"/>
        </w:rPr>
        <w:t>（</w:t>
      </w:r>
      <w:r>
        <w:rPr>
          <w:rFonts w:hint="eastAsia"/>
          <w:color w:val="auto"/>
          <w:highlight w:val="none"/>
          <w:lang w:eastAsia="zh-CN"/>
        </w:rPr>
        <w:t>五</w:t>
      </w:r>
      <w:r>
        <w:rPr>
          <w:rFonts w:hint="eastAsia"/>
          <w:color w:val="auto"/>
          <w:highlight w:val="none"/>
        </w:rPr>
        <w:t>）成交供应商应严格遵守国家相关规定，一经发现供应以上食品出现以下任一情况，采购人有权将</w:t>
      </w:r>
      <w:r>
        <w:rPr>
          <w:rFonts w:hint="eastAsia"/>
          <w:color w:val="auto"/>
          <w:highlight w:val="none"/>
          <w:lang w:eastAsia="zh-CN"/>
        </w:rPr>
        <w:t>该批次</w:t>
      </w:r>
      <w:r>
        <w:rPr>
          <w:rFonts w:hint="eastAsia"/>
          <w:color w:val="auto"/>
          <w:highlight w:val="none"/>
        </w:rPr>
        <w:t>全部货物退回给</w:t>
      </w:r>
      <w:r>
        <w:rPr>
          <w:rFonts w:hint="eastAsia"/>
          <w:color w:val="auto"/>
          <w:highlight w:val="none"/>
          <w:lang w:eastAsia="zh-CN"/>
        </w:rPr>
        <w:t>成交供应商</w:t>
      </w:r>
      <w:r>
        <w:rPr>
          <w:rFonts w:hint="eastAsia"/>
          <w:color w:val="auto"/>
          <w:highlight w:val="none"/>
        </w:rPr>
        <w:t>，另将取消供货资格，没收</w:t>
      </w:r>
      <w:r>
        <w:rPr>
          <w:rFonts w:hint="eastAsia"/>
          <w:color w:val="auto"/>
          <w:highlight w:val="none"/>
          <w:lang w:eastAsia="zh-CN"/>
        </w:rPr>
        <w:t>成交供应商</w:t>
      </w:r>
      <w:r>
        <w:rPr>
          <w:rFonts w:hint="eastAsia"/>
          <w:color w:val="auto"/>
          <w:highlight w:val="none"/>
        </w:rPr>
        <w:t>全部履约保证金，</w:t>
      </w:r>
      <w:r>
        <w:rPr>
          <w:rFonts w:hint="eastAsia"/>
          <w:color w:val="auto"/>
          <w:highlight w:val="none"/>
          <w:lang w:eastAsia="zh-CN"/>
        </w:rPr>
        <w:t>成交供应商</w:t>
      </w:r>
      <w:r>
        <w:rPr>
          <w:rFonts w:hint="eastAsia"/>
          <w:color w:val="auto"/>
          <w:highlight w:val="none"/>
        </w:rPr>
        <w:t>承担由此造成的经济责任和法律责任。</w:t>
      </w:r>
    </w:p>
    <w:p>
      <w:pPr>
        <w:numPr>
          <w:ilvl w:val="0"/>
          <w:numId w:val="29"/>
        </w:numPr>
        <w:bidi w:val="0"/>
        <w:rPr>
          <w:rFonts w:hint="eastAsia"/>
          <w:color w:val="auto"/>
          <w:highlight w:val="none"/>
        </w:rPr>
      </w:pPr>
      <w:r>
        <w:rPr>
          <w:rFonts w:hint="eastAsia"/>
          <w:color w:val="auto"/>
          <w:highlight w:val="none"/>
        </w:rPr>
        <w:t>原料掺假、掺杂、伪造，影响营养、卫生的；</w:t>
      </w:r>
    </w:p>
    <w:p>
      <w:pPr>
        <w:numPr>
          <w:ilvl w:val="0"/>
          <w:numId w:val="29"/>
        </w:numPr>
        <w:bidi w:val="0"/>
        <w:rPr>
          <w:color w:val="auto"/>
          <w:highlight w:val="none"/>
        </w:rPr>
      </w:pPr>
      <w:r>
        <w:rPr>
          <w:rFonts w:hint="eastAsia"/>
          <w:color w:val="auto"/>
          <w:highlight w:val="none"/>
        </w:rPr>
        <w:t>用非食品原料加工的，加入非食品用化学物质或者将非食品当作食品的；</w:t>
      </w:r>
    </w:p>
    <w:p>
      <w:pPr>
        <w:numPr>
          <w:ilvl w:val="0"/>
          <w:numId w:val="29"/>
        </w:numPr>
        <w:bidi w:val="0"/>
        <w:rPr>
          <w:color w:val="auto"/>
          <w:highlight w:val="none"/>
        </w:rPr>
      </w:pPr>
      <w:r>
        <w:rPr>
          <w:rFonts w:hint="eastAsia"/>
          <w:color w:val="auto"/>
          <w:highlight w:val="none"/>
        </w:rPr>
        <w:t>腐败变质、霉变、生虫、混有异物或者其他感官性状异常，对动物健康有害的</w:t>
      </w:r>
      <w:r>
        <w:rPr>
          <w:rFonts w:hint="eastAsia"/>
          <w:color w:val="auto"/>
          <w:highlight w:val="none"/>
          <w:lang w:eastAsia="zh-CN"/>
        </w:rPr>
        <w:t>。</w:t>
      </w:r>
    </w:p>
    <w:p>
      <w:pPr>
        <w:pStyle w:val="5"/>
        <w:bidi w:val="0"/>
        <w:rPr>
          <w:color w:val="auto"/>
          <w:highlight w:val="none"/>
        </w:rPr>
      </w:pPr>
      <w:r>
        <w:rPr>
          <w:rFonts w:hint="eastAsia"/>
          <w:color w:val="auto"/>
          <w:highlight w:val="none"/>
          <w:lang w:val="en-US" w:eastAsia="zh-CN"/>
        </w:rPr>
        <w:t>5</w:t>
      </w:r>
      <w:r>
        <w:rPr>
          <w:rFonts w:hint="eastAsia"/>
          <w:color w:val="auto"/>
          <w:highlight w:val="none"/>
        </w:rPr>
        <w:t>.2.</w:t>
      </w:r>
      <w:r>
        <w:rPr>
          <w:rFonts w:hint="eastAsia"/>
          <w:color w:val="auto"/>
          <w:highlight w:val="none"/>
          <w:lang w:val="en-US" w:eastAsia="zh-CN"/>
        </w:rPr>
        <w:t>3</w:t>
      </w:r>
      <w:r>
        <w:rPr>
          <w:rFonts w:hint="eastAsia"/>
          <w:color w:val="auto"/>
          <w:highlight w:val="none"/>
        </w:rPr>
        <w:t>其他要求</w:t>
      </w:r>
    </w:p>
    <w:p>
      <w:pPr>
        <w:numPr>
          <w:ilvl w:val="0"/>
          <w:numId w:val="30"/>
        </w:numPr>
        <w:bidi w:val="0"/>
        <w:ind w:left="0" w:leftChars="0" w:firstLine="480" w:firstLineChars="200"/>
        <w:rPr>
          <w:color w:val="auto"/>
          <w:highlight w:val="none"/>
        </w:rPr>
      </w:pPr>
      <w:r>
        <w:rPr>
          <w:rFonts w:hint="eastAsia"/>
          <w:color w:val="auto"/>
          <w:highlight w:val="none"/>
        </w:rPr>
        <w:t>供应商应具有针对本项目的实施方案。</w:t>
      </w:r>
    </w:p>
    <w:p>
      <w:pPr>
        <w:numPr>
          <w:ilvl w:val="0"/>
          <w:numId w:val="30"/>
        </w:numPr>
        <w:bidi w:val="0"/>
        <w:ind w:left="0" w:leftChars="0" w:firstLine="480" w:firstLineChars="200"/>
        <w:rPr>
          <w:color w:val="auto"/>
          <w:highlight w:val="none"/>
        </w:rPr>
      </w:pPr>
      <w:r>
        <w:rPr>
          <w:rFonts w:hint="eastAsia"/>
          <w:color w:val="auto"/>
          <w:highlight w:val="none"/>
        </w:rPr>
        <w:t>供应商应具有履约能力，有从事类似项目的业绩，为本项目配备了服务人员。</w:t>
      </w:r>
    </w:p>
    <w:p>
      <w:pPr>
        <w:numPr>
          <w:ilvl w:val="0"/>
          <w:numId w:val="30"/>
        </w:numPr>
        <w:bidi w:val="0"/>
        <w:ind w:left="0" w:leftChars="0" w:firstLine="480" w:firstLineChars="200"/>
        <w:rPr>
          <w:color w:val="auto"/>
          <w:highlight w:val="none"/>
        </w:rPr>
      </w:pPr>
      <w:r>
        <w:rPr>
          <w:rFonts w:hint="eastAsia"/>
          <w:color w:val="auto"/>
          <w:highlight w:val="none"/>
        </w:rPr>
        <w:t>供应商委派的项目负责人，在项目履约过程中不得随意更换，若确需更换，供应商应至少15日前向采购人申请，经采购人同意后方可更换。</w:t>
      </w:r>
    </w:p>
    <w:p>
      <w:pPr>
        <w:bidi w:val="0"/>
        <w:rPr>
          <w:color w:val="auto"/>
          <w:highlight w:val="none"/>
        </w:rPr>
      </w:pPr>
      <w:r>
        <w:rPr>
          <w:rFonts w:hint="eastAsia"/>
          <w:color w:val="auto"/>
          <w:highlight w:val="none"/>
        </w:rPr>
        <w:t>配送人员应具备有效的健康合格证明且无影响驾驶和配送的其他疾病，疫情发生时，按要求提供国家认可的检测证明</w:t>
      </w:r>
      <w:r>
        <w:rPr>
          <w:rFonts w:hint="eastAsia"/>
          <w:color w:val="auto"/>
          <w:highlight w:val="none"/>
          <w:lang w:eastAsia="zh-CN"/>
        </w:rPr>
        <w:t>。</w:t>
      </w:r>
      <w:r>
        <w:rPr>
          <w:rFonts w:hint="eastAsia"/>
          <w:color w:val="auto"/>
          <w:highlight w:val="none"/>
        </w:rPr>
        <w:t>品行端正、无犯罪、吸毒史，运输车辆必须有有效行驶证及驾驶人员有效的驾驶证</w:t>
      </w:r>
      <w:r>
        <w:rPr>
          <w:rFonts w:hint="eastAsia"/>
          <w:color w:val="auto"/>
          <w:highlight w:val="none"/>
          <w:lang w:eastAsia="zh-CN"/>
        </w:rPr>
        <w:t>。</w:t>
      </w:r>
    </w:p>
    <w:p>
      <w:pPr>
        <w:numPr>
          <w:ilvl w:val="0"/>
          <w:numId w:val="30"/>
        </w:numPr>
        <w:bidi w:val="0"/>
        <w:ind w:left="0" w:leftChars="0" w:firstLine="480" w:firstLineChars="200"/>
        <w:rPr>
          <w:rFonts w:hint="eastAsia"/>
          <w:color w:val="auto"/>
          <w:highlight w:val="none"/>
        </w:rPr>
      </w:pPr>
      <w:r>
        <w:rPr>
          <w:rFonts w:hint="eastAsia"/>
          <w:color w:val="auto"/>
          <w:highlight w:val="none"/>
        </w:rPr>
        <w:t>应急响应时间：如遇采购人临时采购需求，按采购人通知后的2小时内作出响应，24小时内将饲料送至采购人饲料室。</w:t>
      </w:r>
    </w:p>
    <w:p>
      <w:pPr>
        <w:bidi w:val="0"/>
        <w:rPr>
          <w:b/>
          <w:bCs/>
          <w:color w:val="auto"/>
          <w:highlight w:val="none"/>
        </w:rPr>
      </w:pPr>
      <w:r>
        <w:rPr>
          <w:rFonts w:hint="eastAsia"/>
          <w:b/>
          <w:bCs/>
          <w:color w:val="auto"/>
          <w:highlight w:val="none"/>
        </w:rPr>
        <w:t>★</w:t>
      </w:r>
      <w:r>
        <w:rPr>
          <w:rFonts w:hint="eastAsia"/>
          <w:b/>
          <w:bCs/>
          <w:color w:val="auto"/>
          <w:highlight w:val="none"/>
          <w:lang w:val="en-US" w:eastAsia="zh-CN"/>
        </w:rPr>
        <w:t>5.</w:t>
      </w:r>
      <w:r>
        <w:rPr>
          <w:rFonts w:hint="eastAsia"/>
          <w:b/>
          <w:bCs/>
          <w:color w:val="auto"/>
          <w:highlight w:val="none"/>
        </w:rPr>
        <w:t>供应商</w:t>
      </w:r>
      <w:r>
        <w:rPr>
          <w:rFonts w:hint="eastAsia"/>
          <w:b/>
          <w:bCs/>
          <w:color w:val="auto"/>
          <w:highlight w:val="none"/>
          <w:lang w:eastAsia="zh-CN"/>
        </w:rPr>
        <w:t>成交后</w:t>
      </w:r>
      <w:r>
        <w:rPr>
          <w:rFonts w:hint="eastAsia"/>
          <w:b/>
          <w:bCs/>
          <w:color w:val="auto"/>
          <w:highlight w:val="none"/>
        </w:rPr>
        <w:t>应配备冷链运输车1辆，配送车辆应符合相关卫生要求，做到每日清洗、消毒并提供消毒记录。（提供承诺函）</w:t>
      </w:r>
    </w:p>
    <w:p>
      <w:pPr>
        <w:bidi w:val="0"/>
        <w:rPr>
          <w:color w:val="auto"/>
          <w:highlight w:val="none"/>
        </w:rPr>
      </w:pPr>
      <w:r>
        <w:rPr>
          <w:rFonts w:hint="eastAsia"/>
          <w:b/>
          <w:bCs/>
          <w:color w:val="auto"/>
          <w:highlight w:val="none"/>
        </w:rPr>
        <w:t>★</w:t>
      </w:r>
      <w:r>
        <w:rPr>
          <w:rFonts w:hint="eastAsia"/>
          <w:b/>
          <w:bCs/>
          <w:color w:val="auto"/>
          <w:highlight w:val="none"/>
          <w:lang w:val="en-US" w:eastAsia="zh-CN"/>
        </w:rPr>
        <w:t>6.</w:t>
      </w:r>
      <w:r>
        <w:rPr>
          <w:rFonts w:hint="eastAsia"/>
          <w:b/>
          <w:bCs/>
          <w:color w:val="auto"/>
          <w:highlight w:val="none"/>
        </w:rPr>
        <w:t>因供应商原因导致的安全事故（包含但不限于产品安全事故、人身安全事故等），供应商自行承担由此导致的法律、经济等所有责任。（提供承诺函）</w:t>
      </w:r>
      <w:r>
        <w:rPr>
          <w:color w:val="auto"/>
          <w:highlight w:val="none"/>
        </w:rPr>
        <w:t xml:space="preserve"> </w:t>
      </w:r>
    </w:p>
    <w:p>
      <w:pPr>
        <w:pStyle w:val="4"/>
        <w:bidi w:val="0"/>
        <w:rPr>
          <w:color w:val="auto"/>
          <w:highlight w:val="none"/>
        </w:rPr>
      </w:pP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3</w:t>
      </w:r>
      <w:r>
        <w:rPr>
          <w:rFonts w:hint="eastAsia"/>
          <w:color w:val="auto"/>
          <w:highlight w:val="none"/>
        </w:rPr>
        <w:t>考核标准</w:t>
      </w:r>
    </w:p>
    <w:p>
      <w:pPr>
        <w:bidi w:val="0"/>
        <w:rPr>
          <w:color w:val="auto"/>
          <w:highlight w:val="none"/>
        </w:rPr>
      </w:pPr>
      <w:r>
        <w:rPr>
          <w:rFonts w:hint="eastAsia"/>
          <w:color w:val="auto"/>
          <w:highlight w:val="none"/>
        </w:rPr>
        <w:t>采购人定期和不定期对成交供应商提供的货物进行打分，月底计算平均分。考核得分90分以上（含90分）为优秀；考核得分80分-89分（含80分）的，按照不高于当月结算价格的2%酌情扣除；考核得分70分-79分（含70分）的，按照不低于当月结算价格的2%且不高于当月结算价格的5%酌情扣除；分值在70分以下的，直接视为不合格，采购人有权终止采购合同。</w:t>
      </w:r>
    </w:p>
    <w:p>
      <w:pPr>
        <w:bidi w:val="0"/>
        <w:rPr>
          <w:b/>
          <w:bCs/>
          <w:color w:val="auto"/>
          <w:highlight w:val="none"/>
        </w:rPr>
      </w:pPr>
      <w:r>
        <w:rPr>
          <w:rFonts w:hint="eastAsia"/>
          <w:b/>
          <w:bCs/>
          <w:color w:val="auto"/>
          <w:highlight w:val="none"/>
        </w:rPr>
        <w:t>考核标准表见下。</w:t>
      </w:r>
    </w:p>
    <w:p>
      <w:pPr>
        <w:bidi w:val="0"/>
        <w:jc w:val="center"/>
        <w:rPr>
          <w:rFonts w:hint="eastAsia"/>
          <w:b/>
          <w:bCs/>
          <w:color w:val="auto"/>
          <w:highlight w:val="none"/>
          <w:lang w:val="en-US" w:eastAsia="zh-CN"/>
        </w:rPr>
      </w:pPr>
      <w:r>
        <w:rPr>
          <w:rFonts w:hint="eastAsia"/>
          <w:b/>
          <w:bCs/>
          <w:color w:val="auto"/>
          <w:highlight w:val="none"/>
          <w:lang w:val="en-US" w:eastAsia="zh-CN"/>
        </w:rPr>
        <w:t>表1 水果类考核评分表</w:t>
      </w:r>
    </w:p>
    <w:tbl>
      <w:tblPr>
        <w:tblStyle w:val="31"/>
        <w:tblW w:w="0" w:type="auto"/>
        <w:tblInd w:w="109" w:type="dxa"/>
        <w:tblLayout w:type="autofit"/>
        <w:tblCellMar>
          <w:top w:w="0" w:type="dxa"/>
          <w:left w:w="108" w:type="dxa"/>
          <w:bottom w:w="0" w:type="dxa"/>
          <w:right w:w="108" w:type="dxa"/>
        </w:tblCellMar>
      </w:tblPr>
      <w:tblGrid>
        <w:gridCol w:w="1465"/>
        <w:gridCol w:w="5721"/>
        <w:gridCol w:w="1171"/>
      </w:tblGrid>
      <w:tr>
        <w:tblPrEx>
          <w:tblCellMar>
            <w:top w:w="0" w:type="dxa"/>
            <w:left w:w="108" w:type="dxa"/>
            <w:bottom w:w="0" w:type="dxa"/>
            <w:right w:w="108" w:type="dxa"/>
          </w:tblCellMar>
        </w:tblPrEx>
        <w:trPr>
          <w:trHeight w:val="699" w:hRule="atLeast"/>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水果</w:t>
            </w:r>
          </w:p>
        </w:tc>
        <w:tc>
          <w:tcPr>
            <w:tcW w:w="631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考核标准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得分</w:t>
            </w:r>
          </w:p>
        </w:tc>
      </w:tr>
      <w:tr>
        <w:tblPrEx>
          <w:tblCellMar>
            <w:top w:w="0" w:type="dxa"/>
            <w:left w:w="108" w:type="dxa"/>
            <w:bottom w:w="0" w:type="dxa"/>
            <w:right w:w="108" w:type="dxa"/>
          </w:tblCellMar>
        </w:tblPrEx>
        <w:trPr>
          <w:trHeight w:val="699" w:hRule="atLeast"/>
        </w:trPr>
        <w:tc>
          <w:tcPr>
            <w:tcW w:w="15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大小</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苹果大小适中</w:t>
            </w:r>
            <w:r>
              <w:rPr>
                <w:rFonts w:hint="eastAsia"/>
                <w:color w:val="auto"/>
                <w:highlight w:val="none"/>
                <w:lang w:eastAsia="zh-CN"/>
              </w:rPr>
              <w:t>、</w:t>
            </w:r>
            <w:r>
              <w:rPr>
                <w:rFonts w:hint="eastAsia"/>
                <w:color w:val="auto"/>
                <w:highlight w:val="none"/>
              </w:rPr>
              <w:t>均匀，</w:t>
            </w:r>
            <w:r>
              <w:rPr>
                <w:color w:val="auto"/>
                <w:highlight w:val="none"/>
              </w:rPr>
              <w:t>3</w:t>
            </w:r>
            <w:r>
              <w:rPr>
                <w:rFonts w:hint="eastAsia"/>
                <w:color w:val="auto"/>
                <w:highlight w:val="none"/>
              </w:rPr>
              <w:t>-</w:t>
            </w:r>
            <w:r>
              <w:rPr>
                <w:color w:val="auto"/>
                <w:highlight w:val="none"/>
              </w:rPr>
              <w:t>4</w:t>
            </w:r>
            <w:r>
              <w:rPr>
                <w:rFonts w:hint="eastAsia"/>
                <w:color w:val="auto"/>
                <w:highlight w:val="none"/>
              </w:rPr>
              <w:t>个</w:t>
            </w:r>
            <w:r>
              <w:rPr>
                <w:color w:val="auto"/>
                <w:highlight w:val="none"/>
              </w:rPr>
              <w:t>/</w:t>
            </w:r>
            <w:r>
              <w:rPr>
                <w:rFonts w:hint="eastAsia"/>
                <w:color w:val="auto"/>
                <w:highlight w:val="none"/>
              </w:rPr>
              <w:t>斤</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5分</w:t>
            </w:r>
          </w:p>
        </w:tc>
      </w:tr>
      <w:tr>
        <w:tblPrEx>
          <w:tblCellMar>
            <w:top w:w="0" w:type="dxa"/>
            <w:left w:w="108" w:type="dxa"/>
            <w:bottom w:w="0" w:type="dxa"/>
            <w:right w:w="108" w:type="dxa"/>
          </w:tblCellMar>
        </w:tblPrEx>
        <w:trPr>
          <w:trHeight w:val="699" w:hRule="atLeast"/>
        </w:trPr>
        <w:tc>
          <w:tcPr>
            <w:tcW w:w="15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梨大小适中</w:t>
            </w:r>
            <w:r>
              <w:rPr>
                <w:rFonts w:hint="eastAsia"/>
                <w:color w:val="auto"/>
                <w:highlight w:val="none"/>
                <w:lang w:eastAsia="zh-CN"/>
              </w:rPr>
              <w:t>、，</w:t>
            </w:r>
            <w:r>
              <w:rPr>
                <w:rFonts w:hint="eastAsia"/>
                <w:color w:val="auto"/>
                <w:highlight w:val="none"/>
              </w:rPr>
              <w:t>均匀,3-5个/斤</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color w:val="auto"/>
                <w:highlight w:val="none"/>
              </w:rPr>
              <w:t>5分</w:t>
            </w:r>
          </w:p>
        </w:tc>
      </w:tr>
      <w:tr>
        <w:tblPrEx>
          <w:tblCellMar>
            <w:top w:w="0" w:type="dxa"/>
            <w:left w:w="108" w:type="dxa"/>
            <w:bottom w:w="0" w:type="dxa"/>
            <w:right w:w="108" w:type="dxa"/>
          </w:tblCellMar>
        </w:tblPrEx>
        <w:trPr>
          <w:trHeight w:val="699" w:hRule="atLeast"/>
        </w:trPr>
        <w:tc>
          <w:tcPr>
            <w:tcW w:w="15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每板香蕉不少于</w:t>
            </w:r>
            <w:r>
              <w:rPr>
                <w:color w:val="auto"/>
                <w:highlight w:val="none"/>
              </w:rPr>
              <w:t>5</w:t>
            </w:r>
            <w:r>
              <w:rPr>
                <w:rFonts w:hint="eastAsia"/>
                <w:color w:val="auto"/>
                <w:highlight w:val="none"/>
              </w:rPr>
              <w:t>只，中间</w:t>
            </w:r>
            <w:r>
              <w:rPr>
                <w:color w:val="auto"/>
                <w:highlight w:val="none"/>
              </w:rPr>
              <w:t xml:space="preserve"> 3</w:t>
            </w:r>
            <w:r>
              <w:rPr>
                <w:rFonts w:hint="eastAsia"/>
                <w:color w:val="auto"/>
                <w:highlight w:val="none"/>
              </w:rPr>
              <w:t>只每只长</w:t>
            </w:r>
            <w:r>
              <w:rPr>
                <w:color w:val="auto"/>
                <w:highlight w:val="none"/>
              </w:rPr>
              <w:t>15</w:t>
            </w:r>
            <w:r>
              <w:rPr>
                <w:rFonts w:hint="eastAsia"/>
                <w:color w:val="auto"/>
                <w:highlight w:val="none"/>
              </w:rPr>
              <w:t>厘米以上，单只至少</w:t>
            </w:r>
            <w:r>
              <w:rPr>
                <w:color w:val="auto"/>
                <w:highlight w:val="none"/>
              </w:rPr>
              <w:t>80</w:t>
            </w:r>
            <w:r>
              <w:rPr>
                <w:rFonts w:hint="eastAsia"/>
                <w:color w:val="auto"/>
                <w:highlight w:val="none"/>
              </w:rPr>
              <w:t>克以上</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color w:val="auto"/>
                <w:highlight w:val="none"/>
              </w:rPr>
              <w:t>5分</w:t>
            </w:r>
          </w:p>
        </w:tc>
      </w:tr>
      <w:tr>
        <w:tblPrEx>
          <w:tblCellMar>
            <w:top w:w="0" w:type="dxa"/>
            <w:left w:w="108" w:type="dxa"/>
            <w:bottom w:w="0" w:type="dxa"/>
            <w:right w:w="108" w:type="dxa"/>
          </w:tblCellMar>
        </w:tblPrEx>
        <w:trPr>
          <w:trHeight w:val="579" w:hRule="atLeast"/>
        </w:trPr>
        <w:tc>
          <w:tcPr>
            <w:tcW w:w="15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sz w:val="24"/>
                <w:szCs w:val="24"/>
                <w:highlight w:val="none"/>
                <w:lang w:eastAsia="zh-CN"/>
              </w:rPr>
              <w:t>柑橘</w:t>
            </w:r>
            <w:r>
              <w:rPr>
                <w:rFonts w:hint="eastAsia"/>
                <w:color w:val="auto"/>
                <w:sz w:val="24"/>
                <w:szCs w:val="24"/>
                <w:highlight w:val="none"/>
              </w:rPr>
              <w:t>大小均匀，3-6个/斤</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color w:val="auto"/>
                <w:highlight w:val="none"/>
              </w:rPr>
              <w:t>5分</w:t>
            </w:r>
          </w:p>
        </w:tc>
      </w:tr>
      <w:tr>
        <w:tblPrEx>
          <w:tblCellMar>
            <w:top w:w="0" w:type="dxa"/>
            <w:left w:w="108" w:type="dxa"/>
            <w:bottom w:w="0" w:type="dxa"/>
            <w:right w:w="108" w:type="dxa"/>
          </w:tblCellMar>
        </w:tblPrEx>
        <w:trPr>
          <w:trHeight w:val="699" w:hRule="atLeast"/>
        </w:trPr>
        <w:tc>
          <w:tcPr>
            <w:tcW w:w="15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成熟度</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适中，无过熟，未熟现象</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699" w:hRule="atLeast"/>
        </w:trPr>
        <w:tc>
          <w:tcPr>
            <w:tcW w:w="15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外观</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果形完整，结实、无开裂、压伤</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617" w:hRule="atLeast"/>
        </w:trPr>
        <w:tc>
          <w:tcPr>
            <w:tcW w:w="15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卫生</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无霉烂变质，无污染</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677" w:hRule="atLeast"/>
        </w:trPr>
        <w:tc>
          <w:tcPr>
            <w:tcW w:w="15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配送时间</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color w:val="auto"/>
                <w:highlight w:val="none"/>
              </w:rPr>
            </w:pPr>
            <w:r>
              <w:rPr>
                <w:rFonts w:hint="eastAsia"/>
                <w:color w:val="auto"/>
                <w:highlight w:val="none"/>
              </w:rPr>
              <w:t>根据采购人通知按时送达</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532" w:hRule="atLeast"/>
        </w:trPr>
        <w:tc>
          <w:tcPr>
            <w:tcW w:w="15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r>
              <w:rPr>
                <w:rFonts w:hint="eastAsia"/>
                <w:b/>
                <w:bCs/>
                <w:color w:val="auto"/>
                <w:highlight w:val="none"/>
              </w:rPr>
              <w:t>合计</w:t>
            </w:r>
          </w:p>
        </w:tc>
        <w:tc>
          <w:tcPr>
            <w:tcW w:w="631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highlight w:val="none"/>
              </w:rPr>
            </w:pP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color w:val="auto"/>
                <w:highlight w:val="none"/>
                <w:lang w:val="en-US" w:eastAsia="zh-CN"/>
              </w:rPr>
            </w:pPr>
            <w:r>
              <w:rPr>
                <w:rFonts w:hint="eastAsia"/>
                <w:b/>
                <w:bCs/>
                <w:color w:val="auto"/>
                <w:highlight w:val="none"/>
                <w:lang w:val="en-US" w:eastAsia="zh-CN"/>
              </w:rPr>
              <w:t>100分</w:t>
            </w:r>
          </w:p>
        </w:tc>
      </w:tr>
    </w:tbl>
    <w:p>
      <w:pPr>
        <w:bidi w:val="0"/>
        <w:jc w:val="center"/>
        <w:rPr>
          <w:rFonts w:hint="eastAsia"/>
          <w:b/>
          <w:bCs/>
          <w:color w:val="auto"/>
          <w:highlight w:val="none"/>
        </w:rPr>
      </w:pPr>
      <w:r>
        <w:rPr>
          <w:rFonts w:hint="eastAsia"/>
          <w:b/>
          <w:bCs/>
          <w:color w:val="auto"/>
          <w:highlight w:val="none"/>
          <w:lang w:val="en-US" w:eastAsia="zh-CN"/>
        </w:rPr>
        <w:t xml:space="preserve">表2 </w:t>
      </w:r>
      <w:r>
        <w:rPr>
          <w:rFonts w:hint="eastAsia"/>
          <w:b/>
          <w:bCs/>
          <w:color w:val="auto"/>
          <w:highlight w:val="none"/>
          <w:lang w:eastAsia="zh-CN"/>
        </w:rPr>
        <w:t>鲜肉类</w:t>
      </w:r>
      <w:r>
        <w:rPr>
          <w:rFonts w:hint="eastAsia"/>
          <w:b/>
          <w:bCs/>
          <w:color w:val="auto"/>
          <w:highlight w:val="none"/>
          <w:lang w:val="en-US" w:eastAsia="zh-CN"/>
        </w:rPr>
        <w:t>考核评分表</w:t>
      </w:r>
    </w:p>
    <w:tbl>
      <w:tblPr>
        <w:tblStyle w:val="31"/>
        <w:tblW w:w="0" w:type="auto"/>
        <w:tblInd w:w="124" w:type="dxa"/>
        <w:tblLayout w:type="autofit"/>
        <w:tblCellMar>
          <w:top w:w="0" w:type="dxa"/>
          <w:left w:w="108" w:type="dxa"/>
          <w:bottom w:w="0" w:type="dxa"/>
          <w:right w:w="108" w:type="dxa"/>
        </w:tblCellMar>
      </w:tblPr>
      <w:tblGrid>
        <w:gridCol w:w="1437"/>
        <w:gridCol w:w="5731"/>
        <w:gridCol w:w="1174"/>
      </w:tblGrid>
      <w:tr>
        <w:tblPrEx>
          <w:tblCellMar>
            <w:top w:w="0" w:type="dxa"/>
            <w:left w:w="108" w:type="dxa"/>
            <w:bottom w:w="0" w:type="dxa"/>
            <w:right w:w="108" w:type="dxa"/>
          </w:tblCellMar>
        </w:tblPrEx>
        <w:trPr>
          <w:trHeight w:val="399" w:hRule="atLeast"/>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b/>
                <w:bCs/>
                <w:color w:val="auto"/>
                <w:highlight w:val="none"/>
                <w:lang w:eastAsia="zh-CN"/>
              </w:rPr>
            </w:pPr>
            <w:r>
              <w:rPr>
                <w:rFonts w:hint="eastAsia"/>
                <w:b/>
                <w:bCs/>
                <w:color w:val="auto"/>
                <w:highlight w:val="none"/>
                <w:lang w:eastAsia="zh-CN"/>
              </w:rPr>
              <w:t>鲜肉类</w:t>
            </w:r>
          </w:p>
        </w:tc>
        <w:tc>
          <w:tcPr>
            <w:tcW w:w="633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考核标准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得分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b w:val="0"/>
                <w:bCs w:val="0"/>
                <w:color w:val="auto"/>
                <w:highlight w:val="none"/>
              </w:rPr>
            </w:pPr>
            <w:r>
              <w:rPr>
                <w:rFonts w:hint="eastAsia"/>
                <w:color w:val="auto"/>
                <w:szCs w:val="21"/>
                <w:highlight w:val="none"/>
              </w:rPr>
              <w:t xml:space="preserve">色泽 </w:t>
            </w:r>
          </w:p>
        </w:tc>
        <w:tc>
          <w:tcPr>
            <w:tcW w:w="6335" w:type="dxa"/>
            <w:tcBorders>
              <w:top w:val="nil"/>
              <w:left w:val="nil"/>
              <w:bottom w:val="single" w:color="auto" w:sz="4" w:space="0"/>
              <w:right w:val="single" w:color="auto" w:sz="4" w:space="0"/>
            </w:tcBorders>
            <w:vAlign w:val="center"/>
          </w:tcPr>
          <w:p>
            <w:pPr>
              <w:ind w:firstLine="0" w:firstLineChars="0"/>
              <w:jc w:val="both"/>
              <w:rPr>
                <w:rFonts w:hint="eastAsia"/>
                <w:b w:val="0"/>
                <w:bCs w:val="0"/>
                <w:color w:val="auto"/>
                <w:highlight w:val="none"/>
              </w:rPr>
            </w:pPr>
            <w:r>
              <w:rPr>
                <w:rFonts w:hint="eastAsia"/>
                <w:color w:val="auto"/>
                <w:szCs w:val="21"/>
                <w:highlight w:val="none"/>
              </w:rPr>
              <w:t>产品应有的色泽</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b w:val="0"/>
                <w:bCs w:val="0"/>
                <w:color w:val="auto"/>
                <w:highlight w:val="none"/>
              </w:rPr>
            </w:pPr>
            <w:r>
              <w:rPr>
                <w:rFonts w:hint="eastAsia"/>
                <w:color w:val="auto"/>
                <w:szCs w:val="21"/>
                <w:highlight w:val="none"/>
              </w:rPr>
              <w:t>气味</w:t>
            </w:r>
          </w:p>
        </w:tc>
        <w:tc>
          <w:tcPr>
            <w:tcW w:w="6335" w:type="dxa"/>
            <w:tcBorders>
              <w:top w:val="nil"/>
              <w:left w:val="nil"/>
              <w:bottom w:val="single" w:color="auto" w:sz="4" w:space="0"/>
              <w:right w:val="single" w:color="auto" w:sz="4" w:space="0"/>
            </w:tcBorders>
            <w:vAlign w:val="center"/>
          </w:tcPr>
          <w:p>
            <w:pPr>
              <w:ind w:firstLine="0" w:firstLineChars="0"/>
              <w:jc w:val="both"/>
              <w:rPr>
                <w:rFonts w:hint="eastAsia"/>
                <w:b w:val="0"/>
                <w:bCs w:val="0"/>
                <w:color w:val="auto"/>
                <w:highlight w:val="none"/>
              </w:rPr>
            </w:pPr>
            <w:r>
              <w:rPr>
                <w:rFonts w:hint="eastAsia"/>
                <w:color w:val="auto"/>
                <w:szCs w:val="21"/>
                <w:highlight w:val="none"/>
              </w:rPr>
              <w:t xml:space="preserve">具有鲜肉正常的气味                </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15分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b w:val="0"/>
                <w:bCs w:val="0"/>
                <w:color w:val="auto"/>
                <w:highlight w:val="none"/>
              </w:rPr>
            </w:pPr>
            <w:r>
              <w:rPr>
                <w:rFonts w:hint="eastAsia"/>
                <w:color w:val="auto"/>
                <w:szCs w:val="21"/>
                <w:highlight w:val="none"/>
              </w:rPr>
              <w:t>状态</w:t>
            </w:r>
          </w:p>
        </w:tc>
        <w:tc>
          <w:tcPr>
            <w:tcW w:w="6335" w:type="dxa"/>
            <w:tcBorders>
              <w:top w:val="nil"/>
              <w:left w:val="nil"/>
              <w:bottom w:val="single" w:color="auto" w:sz="4" w:space="0"/>
              <w:right w:val="single" w:color="auto" w:sz="4" w:space="0"/>
            </w:tcBorders>
            <w:vAlign w:val="center"/>
          </w:tcPr>
          <w:p>
            <w:pPr>
              <w:ind w:firstLine="0" w:firstLineChars="0"/>
              <w:jc w:val="both"/>
              <w:rPr>
                <w:rFonts w:hint="eastAsia"/>
                <w:b w:val="0"/>
                <w:bCs w:val="0"/>
                <w:color w:val="auto"/>
                <w:highlight w:val="none"/>
              </w:rPr>
            </w:pPr>
            <w:r>
              <w:rPr>
                <w:rFonts w:hint="eastAsia"/>
                <w:color w:val="auto"/>
                <w:szCs w:val="21"/>
                <w:highlight w:val="none"/>
              </w:rPr>
              <w:t>具有产品应有状态，无正常视力可见外来异物</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15分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 xml:space="preserve">弹性 </w:t>
            </w:r>
          </w:p>
        </w:tc>
        <w:tc>
          <w:tcPr>
            <w:tcW w:w="63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 xml:space="preserve">指压后的凹陷可恢复    </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15分</w:t>
            </w:r>
          </w:p>
        </w:tc>
      </w:tr>
      <w:tr>
        <w:tblPrEx>
          <w:tblCellMar>
            <w:top w:w="0" w:type="dxa"/>
            <w:left w:w="108" w:type="dxa"/>
            <w:bottom w:w="0" w:type="dxa"/>
            <w:right w:w="108" w:type="dxa"/>
          </w:tblCellMar>
        </w:tblPrEx>
        <w:trPr>
          <w:trHeight w:val="648" w:hRule="atLeast"/>
        </w:trPr>
        <w:tc>
          <w:tcPr>
            <w:tcW w:w="15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肉眼可见异物</w:t>
            </w:r>
          </w:p>
        </w:tc>
        <w:tc>
          <w:tcPr>
            <w:tcW w:w="63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 xml:space="preserve">不得带伤斑、血淤、血污、碎骨、病变组织、淋巴结、脓包                     </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15分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 xml:space="preserve">检疫合格 </w:t>
            </w:r>
          </w:p>
        </w:tc>
        <w:tc>
          <w:tcPr>
            <w:tcW w:w="63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color w:val="auto"/>
                <w:szCs w:val="21"/>
                <w:highlight w:val="none"/>
              </w:rPr>
              <w:t>具有运输证和检验检疫证</w:t>
            </w:r>
            <w:r>
              <w:rPr>
                <w:rFonts w:hint="eastAsia"/>
                <w:b w:val="0"/>
                <w:bCs w:val="0"/>
                <w:color w:val="auto"/>
                <w:highlight w:val="none"/>
              </w:rPr>
              <w:t xml:space="preserve">                           </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10分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 xml:space="preserve">配送时间 </w:t>
            </w:r>
          </w:p>
        </w:tc>
        <w:tc>
          <w:tcPr>
            <w:tcW w:w="63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color w:val="auto"/>
                <w:highlight w:val="none"/>
              </w:rPr>
              <w:t>每日早晨8:30以前</w:t>
            </w:r>
            <w:r>
              <w:rPr>
                <w:rFonts w:hint="eastAsia"/>
                <w:b w:val="0"/>
                <w:bCs w:val="0"/>
                <w:color w:val="auto"/>
                <w:highlight w:val="none"/>
              </w:rPr>
              <w:t xml:space="preserve">送达采购人饲料室          </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10分</w:t>
            </w:r>
          </w:p>
        </w:tc>
      </w:tr>
      <w:tr>
        <w:tblPrEx>
          <w:tblCellMar>
            <w:top w:w="0" w:type="dxa"/>
            <w:left w:w="108" w:type="dxa"/>
            <w:bottom w:w="0" w:type="dxa"/>
            <w:right w:w="108" w:type="dxa"/>
          </w:tblCellMar>
        </w:tblPrEx>
        <w:trPr>
          <w:trHeight w:val="399" w:hRule="atLeast"/>
        </w:trPr>
        <w:tc>
          <w:tcPr>
            <w:tcW w:w="155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合计</w:t>
            </w:r>
          </w:p>
        </w:tc>
        <w:tc>
          <w:tcPr>
            <w:tcW w:w="633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p>
        </w:tc>
        <w:tc>
          <w:tcPr>
            <w:tcW w:w="124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lang w:val="en-US" w:eastAsia="zh-CN"/>
              </w:rPr>
              <w:t>100分</w:t>
            </w:r>
          </w:p>
        </w:tc>
      </w:tr>
    </w:tbl>
    <w:p>
      <w:pPr>
        <w:bidi w:val="0"/>
        <w:jc w:val="center"/>
        <w:rPr>
          <w:rFonts w:hint="eastAsia"/>
          <w:b/>
          <w:bCs/>
          <w:color w:val="auto"/>
          <w:highlight w:val="none"/>
        </w:rPr>
      </w:pPr>
      <w:r>
        <w:rPr>
          <w:rFonts w:hint="eastAsia"/>
          <w:b/>
          <w:bCs/>
          <w:color w:val="auto"/>
          <w:highlight w:val="none"/>
        </w:rPr>
        <w:t>表</w:t>
      </w:r>
      <w:r>
        <w:rPr>
          <w:rFonts w:hint="eastAsia"/>
          <w:b/>
          <w:bCs/>
          <w:color w:val="auto"/>
          <w:highlight w:val="none"/>
          <w:lang w:val="en-US" w:eastAsia="zh-CN"/>
        </w:rPr>
        <w:t>3</w:t>
      </w:r>
      <w:r>
        <w:rPr>
          <w:rFonts w:hint="eastAsia"/>
          <w:b/>
          <w:bCs/>
          <w:color w:val="auto"/>
          <w:highlight w:val="none"/>
        </w:rPr>
        <w:t>禽蛋类考核评分表</w:t>
      </w:r>
    </w:p>
    <w:tbl>
      <w:tblPr>
        <w:tblStyle w:val="31"/>
        <w:tblW w:w="4870" w:type="pct"/>
        <w:tblInd w:w="124" w:type="dxa"/>
        <w:tblLayout w:type="autofit"/>
        <w:tblCellMar>
          <w:top w:w="0" w:type="dxa"/>
          <w:left w:w="108" w:type="dxa"/>
          <w:bottom w:w="0" w:type="dxa"/>
          <w:right w:w="108" w:type="dxa"/>
        </w:tblCellMar>
      </w:tblPr>
      <w:tblGrid>
        <w:gridCol w:w="1415"/>
        <w:gridCol w:w="5709"/>
        <w:gridCol w:w="1122"/>
      </w:tblGrid>
      <w:tr>
        <w:tblPrEx>
          <w:tblCellMar>
            <w:top w:w="0" w:type="dxa"/>
            <w:left w:w="108" w:type="dxa"/>
            <w:bottom w:w="0" w:type="dxa"/>
            <w:right w:w="108" w:type="dxa"/>
          </w:tblCellMar>
        </w:tblPrEx>
        <w:trPr>
          <w:trHeight w:val="399" w:hRule="atLeast"/>
        </w:trPr>
        <w:tc>
          <w:tcPr>
            <w:tcW w:w="85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bCs/>
                <w:color w:val="auto"/>
                <w:highlight w:val="none"/>
              </w:rPr>
            </w:pPr>
            <w:r>
              <w:rPr>
                <w:rFonts w:hint="eastAsia" w:ascii="宋体" w:hAnsi="宋体" w:eastAsia="宋体" w:cs="宋体"/>
                <w:b/>
                <w:bCs/>
                <w:color w:val="auto"/>
                <w:highlight w:val="none"/>
              </w:rPr>
              <w:t>禽蛋类</w:t>
            </w:r>
          </w:p>
        </w:tc>
        <w:tc>
          <w:tcPr>
            <w:tcW w:w="3461" w:type="pct"/>
            <w:tcBorders>
              <w:top w:val="single" w:color="auto" w:sz="4" w:space="0"/>
              <w:left w:val="nil"/>
              <w:bottom w:val="single" w:color="auto" w:sz="4" w:space="0"/>
              <w:right w:val="single" w:color="auto" w:sz="4" w:space="0"/>
            </w:tcBorders>
            <w:vAlign w:val="center"/>
          </w:tcPr>
          <w:p>
            <w:pPr>
              <w:ind w:firstLine="0" w:firstLineChars="0"/>
              <w:jc w:val="center"/>
              <w:rPr>
                <w:b/>
                <w:bCs/>
                <w:color w:val="auto"/>
                <w:highlight w:val="none"/>
              </w:rPr>
            </w:pPr>
            <w:r>
              <w:rPr>
                <w:rFonts w:hint="eastAsia"/>
                <w:b/>
                <w:bCs/>
                <w:color w:val="auto"/>
                <w:highlight w:val="none"/>
              </w:rPr>
              <w:t>考核标准</w:t>
            </w:r>
          </w:p>
        </w:tc>
        <w:tc>
          <w:tcPr>
            <w:tcW w:w="680" w:type="pct"/>
            <w:tcBorders>
              <w:top w:val="single" w:color="auto" w:sz="4" w:space="0"/>
              <w:left w:val="nil"/>
              <w:bottom w:val="single" w:color="auto" w:sz="4" w:space="0"/>
              <w:right w:val="single" w:color="auto" w:sz="4" w:space="0"/>
            </w:tcBorders>
            <w:vAlign w:val="center"/>
          </w:tcPr>
          <w:p>
            <w:pPr>
              <w:ind w:firstLine="0" w:firstLineChars="0"/>
              <w:jc w:val="center"/>
              <w:rPr>
                <w:b/>
                <w:bCs/>
                <w:color w:val="auto"/>
                <w:highlight w:val="none"/>
              </w:rPr>
            </w:pPr>
            <w:r>
              <w:rPr>
                <w:rFonts w:hint="eastAsia"/>
                <w:b/>
                <w:bCs/>
                <w:color w:val="auto"/>
                <w:highlight w:val="none"/>
              </w:rPr>
              <w:t>得分</w:t>
            </w:r>
          </w:p>
        </w:tc>
      </w:tr>
      <w:tr>
        <w:tblPrEx>
          <w:tblCellMar>
            <w:top w:w="0" w:type="dxa"/>
            <w:left w:w="108" w:type="dxa"/>
            <w:bottom w:w="0" w:type="dxa"/>
            <w:right w:w="108" w:type="dxa"/>
          </w:tblCellMar>
        </w:tblPrEx>
        <w:trPr>
          <w:trHeight w:val="388"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生产日期</w:t>
            </w:r>
          </w:p>
        </w:tc>
        <w:tc>
          <w:tcPr>
            <w:tcW w:w="3461" w:type="pct"/>
            <w:tcBorders>
              <w:top w:val="nil"/>
              <w:left w:val="nil"/>
              <w:bottom w:val="nil"/>
              <w:right w:val="nil"/>
            </w:tcBorders>
            <w:vAlign w:val="center"/>
          </w:tcPr>
          <w:p>
            <w:pPr>
              <w:ind w:firstLine="0" w:firstLineChars="0"/>
              <w:jc w:val="both"/>
              <w:rPr>
                <w:color w:val="auto"/>
                <w:highlight w:val="none"/>
              </w:rPr>
            </w:pPr>
            <w:r>
              <w:rPr>
                <w:rFonts w:hint="eastAsia"/>
                <w:color w:val="auto"/>
                <w:highlight w:val="none"/>
              </w:rPr>
              <w:t>生产日期不超过 15天</w:t>
            </w:r>
          </w:p>
        </w:tc>
        <w:tc>
          <w:tcPr>
            <w:tcW w:w="680" w:type="pct"/>
            <w:tcBorders>
              <w:top w:val="nil"/>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399"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气味</w:t>
            </w:r>
          </w:p>
        </w:tc>
        <w:tc>
          <w:tcPr>
            <w:tcW w:w="3461" w:type="pct"/>
            <w:tcBorders>
              <w:top w:val="single" w:color="auto" w:sz="4" w:space="0"/>
              <w:left w:val="nil"/>
              <w:bottom w:val="single" w:color="auto" w:sz="4" w:space="0"/>
              <w:right w:val="single" w:color="auto" w:sz="4" w:space="0"/>
            </w:tcBorders>
            <w:vAlign w:val="center"/>
          </w:tcPr>
          <w:p>
            <w:pPr>
              <w:ind w:firstLine="0" w:firstLineChars="0"/>
              <w:jc w:val="both"/>
              <w:rPr>
                <w:color w:val="auto"/>
                <w:highlight w:val="none"/>
              </w:rPr>
            </w:pPr>
            <w:r>
              <w:rPr>
                <w:rFonts w:hint="eastAsia"/>
                <w:color w:val="auto"/>
                <w:highlight w:val="none"/>
              </w:rPr>
              <w:t>无异味</w:t>
            </w:r>
          </w:p>
        </w:tc>
        <w:tc>
          <w:tcPr>
            <w:tcW w:w="680" w:type="pct"/>
            <w:tcBorders>
              <w:top w:val="nil"/>
              <w:left w:val="nil"/>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399"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rFonts w:hint="eastAsia"/>
                <w:color w:val="auto"/>
                <w:highlight w:val="none"/>
              </w:rPr>
            </w:pPr>
            <w:r>
              <w:rPr>
                <w:rFonts w:hint="eastAsia"/>
                <w:color w:val="auto"/>
                <w:highlight w:val="none"/>
              </w:rPr>
              <w:t>色泽</w:t>
            </w:r>
          </w:p>
        </w:tc>
        <w:tc>
          <w:tcPr>
            <w:tcW w:w="3461" w:type="pct"/>
            <w:tcBorders>
              <w:top w:val="nil"/>
              <w:left w:val="nil"/>
              <w:bottom w:val="single" w:color="auto" w:sz="4" w:space="0"/>
              <w:right w:val="single" w:color="auto" w:sz="4" w:space="0"/>
            </w:tcBorders>
            <w:vAlign w:val="center"/>
          </w:tcPr>
          <w:p>
            <w:pPr>
              <w:ind w:firstLine="0" w:firstLineChars="0"/>
              <w:jc w:val="both"/>
              <w:rPr>
                <w:rFonts w:hint="eastAsia" w:eastAsia="宋体"/>
                <w:color w:val="auto"/>
                <w:highlight w:val="none"/>
                <w:lang w:eastAsia="zh-CN"/>
              </w:rPr>
            </w:pPr>
            <w:r>
              <w:rPr>
                <w:rFonts w:hint="eastAsia"/>
                <w:color w:val="auto"/>
                <w:highlight w:val="none"/>
              </w:rPr>
              <w:t>灯光透视时整个蛋呈微红色</w:t>
            </w:r>
          </w:p>
        </w:tc>
        <w:tc>
          <w:tcPr>
            <w:tcW w:w="680" w:type="pct"/>
            <w:tcBorders>
              <w:top w:val="nil"/>
              <w:left w:val="nil"/>
              <w:bottom w:val="single" w:color="auto" w:sz="4" w:space="0"/>
              <w:right w:val="single" w:color="auto" w:sz="4" w:space="0"/>
            </w:tcBorders>
            <w:vAlign w:val="center"/>
          </w:tcPr>
          <w:p>
            <w:pPr>
              <w:ind w:firstLine="0" w:firstLineChars="0"/>
              <w:jc w:val="center"/>
              <w:rPr>
                <w:rFonts w:hint="eastAsia"/>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399"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rFonts w:hint="eastAsia" w:eastAsia="宋体"/>
                <w:color w:val="auto"/>
                <w:highlight w:val="none"/>
                <w:lang w:eastAsia="zh-CN"/>
              </w:rPr>
            </w:pPr>
            <w:r>
              <w:rPr>
                <w:rFonts w:hint="eastAsia"/>
                <w:color w:val="auto"/>
                <w:highlight w:val="none"/>
                <w:lang w:eastAsia="zh-CN"/>
              </w:rPr>
              <w:t>状态</w:t>
            </w:r>
          </w:p>
        </w:tc>
        <w:tc>
          <w:tcPr>
            <w:tcW w:w="3461" w:type="pct"/>
            <w:tcBorders>
              <w:top w:val="nil"/>
              <w:left w:val="nil"/>
              <w:bottom w:val="single" w:color="auto" w:sz="4" w:space="0"/>
              <w:right w:val="single" w:color="auto" w:sz="4" w:space="0"/>
            </w:tcBorders>
            <w:vAlign w:val="center"/>
          </w:tcPr>
          <w:p>
            <w:pPr>
              <w:ind w:firstLine="0" w:firstLineChars="0"/>
              <w:jc w:val="both"/>
              <w:rPr>
                <w:color w:val="auto"/>
                <w:highlight w:val="none"/>
              </w:rPr>
            </w:pPr>
            <w:r>
              <w:rPr>
                <w:rFonts w:hint="eastAsia"/>
                <w:color w:val="auto"/>
                <w:highlight w:val="none"/>
              </w:rPr>
              <w:t>蛋壳清洁完整，无裂纹，无霉斑，灯光透视时蛋内无黑点及异物</w:t>
            </w:r>
          </w:p>
        </w:tc>
        <w:tc>
          <w:tcPr>
            <w:tcW w:w="680" w:type="pct"/>
            <w:tcBorders>
              <w:top w:val="nil"/>
              <w:left w:val="nil"/>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399"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配送时间</w:t>
            </w:r>
          </w:p>
        </w:tc>
        <w:tc>
          <w:tcPr>
            <w:tcW w:w="3461" w:type="pct"/>
            <w:tcBorders>
              <w:top w:val="single" w:color="auto" w:sz="4" w:space="0"/>
              <w:left w:val="nil"/>
              <w:bottom w:val="single" w:color="auto" w:sz="4" w:space="0"/>
              <w:right w:val="single" w:color="auto" w:sz="4" w:space="0"/>
            </w:tcBorders>
            <w:vAlign w:val="center"/>
          </w:tcPr>
          <w:p>
            <w:pPr>
              <w:ind w:firstLine="0" w:firstLineChars="0"/>
              <w:jc w:val="both"/>
              <w:rPr>
                <w:color w:val="auto"/>
                <w:highlight w:val="none"/>
              </w:rPr>
            </w:pPr>
            <w:r>
              <w:rPr>
                <w:rFonts w:hint="eastAsia"/>
                <w:color w:val="auto"/>
                <w:highlight w:val="none"/>
              </w:rPr>
              <w:t>根据采购人通知按时送达</w:t>
            </w:r>
          </w:p>
        </w:tc>
        <w:tc>
          <w:tcPr>
            <w:tcW w:w="680" w:type="pct"/>
            <w:tcBorders>
              <w:top w:val="nil"/>
              <w:left w:val="nil"/>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20分</w:t>
            </w:r>
          </w:p>
        </w:tc>
      </w:tr>
      <w:tr>
        <w:tblPrEx>
          <w:tblCellMar>
            <w:top w:w="0" w:type="dxa"/>
            <w:left w:w="108" w:type="dxa"/>
            <w:bottom w:w="0" w:type="dxa"/>
            <w:right w:w="108" w:type="dxa"/>
          </w:tblCellMar>
        </w:tblPrEx>
        <w:trPr>
          <w:trHeight w:val="399" w:hRule="atLeast"/>
        </w:trPr>
        <w:tc>
          <w:tcPr>
            <w:tcW w:w="858" w:type="pct"/>
            <w:tcBorders>
              <w:top w:val="nil"/>
              <w:left w:val="single" w:color="auto" w:sz="4" w:space="0"/>
              <w:bottom w:val="single" w:color="auto" w:sz="4" w:space="0"/>
              <w:right w:val="single" w:color="auto" w:sz="4" w:space="0"/>
            </w:tcBorders>
            <w:vAlign w:val="center"/>
          </w:tcPr>
          <w:p>
            <w:pPr>
              <w:ind w:firstLine="0" w:firstLineChars="0"/>
              <w:jc w:val="center"/>
              <w:rPr>
                <w:b/>
                <w:bCs/>
                <w:color w:val="auto"/>
                <w:highlight w:val="none"/>
              </w:rPr>
            </w:pPr>
            <w:r>
              <w:rPr>
                <w:rFonts w:hint="eastAsia"/>
                <w:b/>
                <w:bCs/>
                <w:color w:val="auto"/>
                <w:highlight w:val="none"/>
              </w:rPr>
              <w:t>合计</w:t>
            </w:r>
          </w:p>
        </w:tc>
        <w:tc>
          <w:tcPr>
            <w:tcW w:w="3461" w:type="pct"/>
            <w:tcBorders>
              <w:top w:val="nil"/>
              <w:left w:val="nil"/>
              <w:bottom w:val="single" w:color="auto" w:sz="4" w:space="0"/>
              <w:right w:val="single" w:color="auto" w:sz="4" w:space="0"/>
            </w:tcBorders>
            <w:vAlign w:val="center"/>
          </w:tcPr>
          <w:p>
            <w:pPr>
              <w:ind w:firstLine="0" w:firstLineChars="0"/>
              <w:jc w:val="center"/>
              <w:rPr>
                <w:b/>
                <w:bCs/>
                <w:color w:val="auto"/>
                <w:highlight w:val="none"/>
              </w:rPr>
            </w:pPr>
          </w:p>
        </w:tc>
        <w:tc>
          <w:tcPr>
            <w:tcW w:w="680" w:type="pct"/>
            <w:tcBorders>
              <w:top w:val="nil"/>
              <w:left w:val="nil"/>
              <w:bottom w:val="single" w:color="auto" w:sz="4" w:space="0"/>
              <w:right w:val="single" w:color="auto" w:sz="4" w:space="0"/>
            </w:tcBorders>
            <w:vAlign w:val="center"/>
          </w:tcPr>
          <w:p>
            <w:pPr>
              <w:ind w:firstLine="0" w:firstLineChars="0"/>
              <w:jc w:val="center"/>
              <w:rPr>
                <w:b/>
                <w:bCs/>
                <w:color w:val="auto"/>
                <w:highlight w:val="none"/>
              </w:rPr>
            </w:pPr>
            <w:r>
              <w:rPr>
                <w:rFonts w:hint="eastAsia"/>
                <w:b/>
                <w:bCs/>
                <w:color w:val="auto"/>
                <w:highlight w:val="none"/>
              </w:rPr>
              <w:t>100分</w:t>
            </w:r>
          </w:p>
        </w:tc>
      </w:tr>
    </w:tbl>
    <w:p>
      <w:pPr>
        <w:bidi w:val="0"/>
        <w:jc w:val="center"/>
        <w:rPr>
          <w:b/>
          <w:bCs/>
          <w:color w:val="auto"/>
          <w:highlight w:val="none"/>
        </w:rPr>
      </w:pPr>
      <w:r>
        <w:rPr>
          <w:rFonts w:hint="eastAsia"/>
          <w:b/>
          <w:bCs/>
          <w:color w:val="auto"/>
          <w:highlight w:val="none"/>
        </w:rPr>
        <w:t>表</w:t>
      </w:r>
      <w:r>
        <w:rPr>
          <w:rFonts w:hint="eastAsia"/>
          <w:b/>
          <w:bCs/>
          <w:color w:val="auto"/>
          <w:highlight w:val="none"/>
          <w:lang w:val="en-US" w:eastAsia="zh-CN"/>
        </w:rPr>
        <w:t>4</w:t>
      </w:r>
      <w:r>
        <w:rPr>
          <w:rFonts w:hint="eastAsia"/>
          <w:b/>
          <w:bCs/>
          <w:color w:val="auto"/>
          <w:highlight w:val="none"/>
        </w:rPr>
        <w:t xml:space="preserve"> 颗粒饲料</w:t>
      </w:r>
      <w:r>
        <w:rPr>
          <w:rFonts w:hint="eastAsia"/>
          <w:b/>
          <w:bCs/>
          <w:color w:val="auto"/>
          <w:highlight w:val="none"/>
          <w:lang w:eastAsia="zh-CN"/>
        </w:rPr>
        <w:t>、杂粮类</w:t>
      </w:r>
      <w:r>
        <w:rPr>
          <w:rFonts w:hint="eastAsia"/>
          <w:b/>
          <w:bCs/>
          <w:color w:val="auto"/>
          <w:highlight w:val="none"/>
        </w:rPr>
        <w:t>考核评分表</w:t>
      </w:r>
    </w:p>
    <w:tbl>
      <w:tblPr>
        <w:tblStyle w:val="31"/>
        <w:tblW w:w="4870" w:type="pct"/>
        <w:tblInd w:w="124" w:type="dxa"/>
        <w:tblLayout w:type="autofit"/>
        <w:tblCellMar>
          <w:top w:w="0" w:type="dxa"/>
          <w:left w:w="108" w:type="dxa"/>
          <w:bottom w:w="0" w:type="dxa"/>
          <w:right w:w="108" w:type="dxa"/>
        </w:tblCellMar>
      </w:tblPr>
      <w:tblGrid>
        <w:gridCol w:w="1416"/>
        <w:gridCol w:w="5708"/>
        <w:gridCol w:w="1122"/>
      </w:tblGrid>
      <w:tr>
        <w:tblPrEx>
          <w:tblCellMar>
            <w:top w:w="0" w:type="dxa"/>
            <w:left w:w="108" w:type="dxa"/>
            <w:bottom w:w="0" w:type="dxa"/>
            <w:right w:w="108" w:type="dxa"/>
          </w:tblCellMar>
        </w:tblPrEx>
        <w:trPr>
          <w:trHeight w:val="399" w:hRule="atLeast"/>
        </w:trPr>
        <w:tc>
          <w:tcPr>
            <w:tcW w:w="8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颗粒饲料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lang w:eastAsia="zh-CN"/>
              </w:rPr>
              <w:t>、杂粮类</w:t>
            </w:r>
          </w:p>
        </w:tc>
        <w:tc>
          <w:tcPr>
            <w:tcW w:w="34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考核标准</w:t>
            </w:r>
          </w:p>
        </w:tc>
        <w:tc>
          <w:tcPr>
            <w:tcW w:w="68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得分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色泽</w:t>
            </w:r>
          </w:p>
        </w:tc>
        <w:tc>
          <w:tcPr>
            <w:tcW w:w="3460"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正常</w:t>
            </w:r>
          </w:p>
        </w:tc>
        <w:tc>
          <w:tcPr>
            <w:tcW w:w="680"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气味</w:t>
            </w:r>
          </w:p>
        </w:tc>
        <w:tc>
          <w:tcPr>
            <w:tcW w:w="34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无异味</w:t>
            </w:r>
          </w:p>
        </w:tc>
        <w:tc>
          <w:tcPr>
            <w:tcW w:w="68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包装</w:t>
            </w:r>
          </w:p>
        </w:tc>
        <w:tc>
          <w:tcPr>
            <w:tcW w:w="346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包装完好</w:t>
            </w:r>
          </w:p>
        </w:tc>
        <w:tc>
          <w:tcPr>
            <w:tcW w:w="68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卫生</w:t>
            </w:r>
          </w:p>
        </w:tc>
        <w:tc>
          <w:tcPr>
            <w:tcW w:w="3460"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b w:val="0"/>
                <w:bCs w:val="0"/>
                <w:color w:val="auto"/>
                <w:highlight w:val="none"/>
              </w:rPr>
              <w:t>无霉烂变质</w:t>
            </w:r>
          </w:p>
        </w:tc>
        <w:tc>
          <w:tcPr>
            <w:tcW w:w="680"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配送时间</w:t>
            </w:r>
          </w:p>
        </w:tc>
        <w:tc>
          <w:tcPr>
            <w:tcW w:w="3460" w:type="pc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val="0"/>
                <w:bCs w:val="0"/>
                <w:color w:val="auto"/>
                <w:highlight w:val="none"/>
              </w:rPr>
            </w:pPr>
            <w:r>
              <w:rPr>
                <w:rFonts w:hint="eastAsia"/>
                <w:color w:val="auto"/>
                <w:highlight w:val="none"/>
              </w:rPr>
              <w:t>根据采购人通知按时送达</w:t>
            </w:r>
          </w:p>
        </w:tc>
        <w:tc>
          <w:tcPr>
            <w:tcW w:w="68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color w:val="auto"/>
                <w:highlight w:val="none"/>
              </w:rPr>
            </w:pPr>
            <w:r>
              <w:rPr>
                <w:rFonts w:hint="eastAsia"/>
                <w:b w:val="0"/>
                <w:bCs w:val="0"/>
                <w:color w:val="auto"/>
                <w:highlight w:val="none"/>
              </w:rPr>
              <w:t>20分</w:t>
            </w:r>
          </w:p>
        </w:tc>
      </w:tr>
      <w:tr>
        <w:tblPrEx>
          <w:tblCellMar>
            <w:top w:w="0" w:type="dxa"/>
            <w:left w:w="108" w:type="dxa"/>
            <w:bottom w:w="0" w:type="dxa"/>
            <w:right w:w="108" w:type="dxa"/>
          </w:tblCellMar>
        </w:tblPrEx>
        <w:trPr>
          <w:trHeight w:val="399" w:hRule="atLeast"/>
        </w:trPr>
        <w:tc>
          <w:tcPr>
            <w:tcW w:w="859"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rPr>
              <w:t>合计</w:t>
            </w:r>
          </w:p>
        </w:tc>
        <w:tc>
          <w:tcPr>
            <w:tcW w:w="346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p>
        </w:tc>
        <w:tc>
          <w:tcPr>
            <w:tcW w:w="680"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highlight w:val="none"/>
              </w:rPr>
            </w:pPr>
            <w:r>
              <w:rPr>
                <w:rFonts w:hint="eastAsia"/>
                <w:b/>
                <w:bCs/>
                <w:color w:val="auto"/>
                <w:highlight w:val="none"/>
                <w:lang w:val="en-US" w:eastAsia="zh-CN"/>
              </w:rPr>
              <w:t>100分</w:t>
            </w:r>
          </w:p>
        </w:tc>
      </w:tr>
    </w:tbl>
    <w:p>
      <w:pPr>
        <w:pStyle w:val="4"/>
        <w:bidi w:val="0"/>
        <w:rPr>
          <w:rFonts w:hint="eastAsia"/>
          <w:color w:val="auto"/>
          <w:highlight w:val="none"/>
          <w:lang w:val="en-US" w:eastAsia="zh-CN"/>
        </w:rPr>
      </w:pPr>
      <w:bookmarkStart w:id="220" w:name="_Toc277525295"/>
      <w:bookmarkStart w:id="221" w:name="_Toc175644042"/>
      <w:bookmarkStart w:id="222" w:name="_Toc177982176"/>
      <w:bookmarkStart w:id="223" w:name="_Toc277792985"/>
      <w:bookmarkStart w:id="224" w:name="_Toc174432553"/>
      <w:bookmarkStart w:id="225" w:name="_Toc334259635"/>
      <w:bookmarkStart w:id="226" w:name="_Toc279675906"/>
      <w:r>
        <w:rPr>
          <w:rFonts w:hint="eastAsia"/>
          <w:color w:val="auto"/>
          <w:highlight w:val="none"/>
          <w:lang w:val="en-US" w:eastAsia="zh-CN"/>
        </w:rPr>
        <w:t>5.4商务要求</w:t>
      </w:r>
    </w:p>
    <w:bookmarkEnd w:id="220"/>
    <w:bookmarkEnd w:id="221"/>
    <w:bookmarkEnd w:id="222"/>
    <w:bookmarkEnd w:id="223"/>
    <w:bookmarkEnd w:id="224"/>
    <w:bookmarkEnd w:id="225"/>
    <w:bookmarkEnd w:id="226"/>
    <w:p>
      <w:pPr>
        <w:pStyle w:val="5"/>
        <w:bidi w:val="0"/>
        <w:rPr>
          <w:rFonts w:hint="eastAsia"/>
          <w:color w:val="auto"/>
          <w:highlight w:val="none"/>
        </w:rPr>
      </w:pPr>
      <w:r>
        <w:rPr>
          <w:rFonts w:hint="eastAsia"/>
          <w:color w:val="auto"/>
          <w:highlight w:val="none"/>
          <w:lang w:val="en-US" w:eastAsia="zh-CN"/>
        </w:rPr>
        <w:t>5.4.1</w:t>
      </w:r>
      <w:r>
        <w:rPr>
          <w:rFonts w:hint="eastAsia"/>
          <w:color w:val="auto"/>
          <w:highlight w:val="none"/>
        </w:rPr>
        <w:t>交货时间</w:t>
      </w:r>
    </w:p>
    <w:p>
      <w:pPr>
        <w:bidi w:val="0"/>
        <w:rPr>
          <w:color w:val="auto"/>
          <w:highlight w:val="none"/>
        </w:rPr>
      </w:pPr>
      <w:r>
        <w:rPr>
          <w:rFonts w:hint="eastAsia"/>
          <w:color w:val="auto"/>
          <w:highlight w:val="none"/>
        </w:rPr>
        <w:t>本次采购按批交货，供货时间由采购人根据实际情况向供应商提出，具体交货时间根据采购人的要求交货。</w:t>
      </w:r>
    </w:p>
    <w:p>
      <w:pPr>
        <w:pStyle w:val="5"/>
        <w:bidi w:val="0"/>
        <w:rPr>
          <w:rFonts w:hint="eastAsia"/>
          <w:color w:val="auto"/>
          <w:highlight w:val="none"/>
        </w:rPr>
      </w:pPr>
      <w:r>
        <w:rPr>
          <w:rFonts w:hint="eastAsia"/>
          <w:color w:val="auto"/>
          <w:highlight w:val="none"/>
          <w:lang w:val="en-US" w:eastAsia="zh-CN"/>
        </w:rPr>
        <w:t>5.4.2</w:t>
      </w:r>
      <w:r>
        <w:rPr>
          <w:rFonts w:hint="eastAsia"/>
          <w:color w:val="auto"/>
          <w:highlight w:val="none"/>
        </w:rPr>
        <w:t>交货方式</w:t>
      </w:r>
    </w:p>
    <w:p>
      <w:pPr>
        <w:bidi w:val="0"/>
        <w:rPr>
          <w:color w:val="auto"/>
          <w:highlight w:val="none"/>
        </w:rPr>
      </w:pPr>
      <w:r>
        <w:rPr>
          <w:rFonts w:hint="eastAsia"/>
          <w:color w:val="auto"/>
          <w:highlight w:val="none"/>
        </w:rPr>
        <w:t>合同期限内，按采购人要求按时送货上门。</w:t>
      </w:r>
    </w:p>
    <w:p>
      <w:pPr>
        <w:pStyle w:val="5"/>
        <w:bidi w:val="0"/>
        <w:rPr>
          <w:rFonts w:hint="eastAsia"/>
          <w:color w:val="auto"/>
          <w:highlight w:val="none"/>
          <w:lang w:val="en-US"/>
        </w:rPr>
      </w:pPr>
      <w:r>
        <w:rPr>
          <w:rFonts w:hint="eastAsia"/>
          <w:color w:val="auto"/>
          <w:highlight w:val="none"/>
          <w:lang w:val="en-US" w:eastAsia="zh-CN"/>
        </w:rPr>
        <w:t>5.4.3</w:t>
      </w:r>
      <w:r>
        <w:rPr>
          <w:rFonts w:hint="eastAsia"/>
          <w:color w:val="auto"/>
          <w:highlight w:val="none"/>
          <w:lang w:val="en-US"/>
        </w:rPr>
        <w:t>交货地点</w:t>
      </w:r>
    </w:p>
    <w:p>
      <w:pPr>
        <w:bidi w:val="0"/>
        <w:rPr>
          <w:rFonts w:hint="eastAsia"/>
          <w:color w:val="auto"/>
          <w:highlight w:val="none"/>
          <w:lang w:val="en-US"/>
        </w:rPr>
      </w:pPr>
      <w:r>
        <w:rPr>
          <w:rFonts w:hint="eastAsia"/>
          <w:color w:val="auto"/>
          <w:highlight w:val="none"/>
        </w:rPr>
        <w:t>成都动物园饲料室。</w:t>
      </w:r>
    </w:p>
    <w:p>
      <w:pPr>
        <w:pStyle w:val="5"/>
        <w:bidi w:val="0"/>
        <w:rPr>
          <w:rFonts w:hint="eastAsia"/>
          <w:color w:val="auto"/>
          <w:highlight w:val="none"/>
        </w:rPr>
      </w:pPr>
      <w:r>
        <w:rPr>
          <w:rFonts w:hint="eastAsia"/>
          <w:color w:val="auto"/>
          <w:highlight w:val="none"/>
          <w:lang w:val="en-US" w:eastAsia="zh-CN"/>
        </w:rPr>
        <w:t>5.4.4</w:t>
      </w:r>
      <w:r>
        <w:rPr>
          <w:rFonts w:hint="eastAsia"/>
          <w:color w:val="auto"/>
          <w:highlight w:val="none"/>
        </w:rPr>
        <w:t>供货期限</w:t>
      </w:r>
    </w:p>
    <w:p>
      <w:pPr>
        <w:bidi w:val="0"/>
        <w:rPr>
          <w:color w:val="auto"/>
          <w:highlight w:val="none"/>
        </w:rPr>
      </w:pPr>
      <w:r>
        <w:rPr>
          <w:rFonts w:hint="eastAsia"/>
          <w:color w:val="auto"/>
          <w:highlight w:val="none"/>
        </w:rPr>
        <w:t>合同签订之日起</w:t>
      </w:r>
      <w:r>
        <w:rPr>
          <w:rFonts w:hint="eastAsia"/>
          <w:color w:val="auto"/>
          <w:highlight w:val="none"/>
          <w:lang w:val="en-US" w:eastAsia="zh-CN"/>
        </w:rPr>
        <w:t>1</w:t>
      </w:r>
      <w:r>
        <w:rPr>
          <w:rFonts w:hint="eastAsia"/>
          <w:color w:val="auto"/>
          <w:highlight w:val="none"/>
        </w:rPr>
        <w:t>年。</w:t>
      </w:r>
    </w:p>
    <w:p>
      <w:pPr>
        <w:pStyle w:val="5"/>
        <w:bidi w:val="0"/>
        <w:rPr>
          <w:rFonts w:hint="eastAsia"/>
          <w:color w:val="auto"/>
          <w:highlight w:val="none"/>
        </w:rPr>
      </w:pPr>
      <w:r>
        <w:rPr>
          <w:rFonts w:hint="eastAsia"/>
          <w:color w:val="auto"/>
          <w:highlight w:val="none"/>
          <w:lang w:val="en-US" w:eastAsia="zh-CN"/>
        </w:rPr>
        <w:t>5.4.5</w:t>
      </w:r>
      <w:r>
        <w:rPr>
          <w:rFonts w:hint="eastAsia"/>
          <w:color w:val="auto"/>
          <w:highlight w:val="none"/>
        </w:rPr>
        <w:t>付款方式</w:t>
      </w:r>
    </w:p>
    <w:p>
      <w:pPr>
        <w:bidi w:val="0"/>
        <w:rPr>
          <w:color w:val="auto"/>
          <w:highlight w:val="none"/>
        </w:rPr>
      </w:pPr>
      <w:r>
        <w:rPr>
          <w:rFonts w:hint="eastAsia"/>
          <w:color w:val="auto"/>
          <w:highlight w:val="none"/>
        </w:rPr>
        <w:t>根据实际配送的货物种类、数量每月月底（按采购人当月通知的日期）进行结算和支付。</w:t>
      </w:r>
    </w:p>
    <w:p>
      <w:pPr>
        <w:pStyle w:val="5"/>
        <w:bidi w:val="0"/>
        <w:rPr>
          <w:color w:val="auto"/>
          <w:highlight w:val="none"/>
        </w:rPr>
      </w:pPr>
      <w:r>
        <w:rPr>
          <w:rFonts w:hint="eastAsia"/>
          <w:color w:val="auto"/>
          <w:highlight w:val="none"/>
          <w:lang w:val="en-US" w:eastAsia="zh-CN"/>
        </w:rPr>
        <w:t>5.4.6</w:t>
      </w:r>
      <w:r>
        <w:rPr>
          <w:rFonts w:hint="eastAsia"/>
          <w:color w:val="auto"/>
          <w:highlight w:val="none"/>
        </w:rPr>
        <w:t>履约保证金</w:t>
      </w:r>
    </w:p>
    <w:p>
      <w:pPr>
        <w:numPr>
          <w:ilvl w:val="0"/>
          <w:numId w:val="31"/>
        </w:numPr>
        <w:bidi w:val="0"/>
        <w:rPr>
          <w:color w:val="auto"/>
          <w:highlight w:val="none"/>
        </w:rPr>
      </w:pPr>
      <w:r>
        <w:rPr>
          <w:rFonts w:hint="eastAsia"/>
          <w:color w:val="auto"/>
          <w:highlight w:val="none"/>
        </w:rPr>
        <w:t>成交供应商与采购人签订合同前应缴纳</w:t>
      </w:r>
      <w:r>
        <w:rPr>
          <w:rFonts w:hint="eastAsia"/>
          <w:color w:val="auto"/>
          <w:highlight w:val="none"/>
          <w:lang w:val="zh-CN"/>
        </w:rPr>
        <w:t>成交金额</w:t>
      </w:r>
      <w:r>
        <w:rPr>
          <w:rFonts w:hint="eastAsia"/>
          <w:color w:val="auto"/>
          <w:highlight w:val="none"/>
          <w:u w:val="single"/>
          <w:lang w:val="en-US" w:eastAsia="zh-CN"/>
        </w:rPr>
        <w:t xml:space="preserve"> </w:t>
      </w:r>
      <w:r>
        <w:rPr>
          <w:rFonts w:hint="eastAsia"/>
          <w:b/>
          <w:bCs/>
          <w:color w:val="auto"/>
          <w:highlight w:val="none"/>
          <w:u w:val="single"/>
        </w:rPr>
        <w:t>5%</w:t>
      </w:r>
      <w:r>
        <w:rPr>
          <w:rFonts w:hint="eastAsia"/>
          <w:b/>
          <w:bCs/>
          <w:color w:val="auto"/>
          <w:highlight w:val="none"/>
          <w:u w:val="single"/>
          <w:lang w:val="en-US" w:eastAsia="zh-CN"/>
        </w:rPr>
        <w:t xml:space="preserve"> </w:t>
      </w:r>
      <w:r>
        <w:rPr>
          <w:rFonts w:hint="eastAsia" w:ascii="宋体" w:hAnsi="宋体" w:eastAsia="宋体" w:cs="宋体"/>
          <w:color w:val="auto"/>
          <w:highlight w:val="none"/>
          <w:lang w:eastAsia="zh-CN"/>
        </w:rPr>
        <w:t>的</w:t>
      </w:r>
      <w:r>
        <w:rPr>
          <w:rFonts w:hint="eastAsia"/>
          <w:color w:val="auto"/>
          <w:highlight w:val="none"/>
        </w:rPr>
        <w:t>履约保证金，成交供应商应以银行电汇或转账支票或履约保函的方式向采购人交纳规定金额的履约保证金。履约保证金的退还按照合同的约定进行。</w:t>
      </w:r>
    </w:p>
    <w:p>
      <w:pPr>
        <w:numPr>
          <w:ilvl w:val="0"/>
          <w:numId w:val="31"/>
        </w:numPr>
        <w:bidi w:val="0"/>
        <w:rPr>
          <w:color w:val="auto"/>
          <w:highlight w:val="none"/>
        </w:rPr>
      </w:pPr>
      <w:r>
        <w:rPr>
          <w:rFonts w:hint="eastAsia"/>
          <w:color w:val="auto"/>
          <w:highlight w:val="none"/>
        </w:rPr>
        <w:t>如果成交供应商在规定的合同签订时间内，没有按照磋商文件的规定交纳履约保证金，且又无正当理由的，将视为放弃成交。</w:t>
      </w:r>
    </w:p>
    <w:p>
      <w:pPr>
        <w:pStyle w:val="5"/>
        <w:bidi w:val="0"/>
        <w:rPr>
          <w:color w:val="auto"/>
          <w:highlight w:val="none"/>
        </w:rPr>
      </w:pPr>
      <w:r>
        <w:rPr>
          <w:rFonts w:hint="eastAsia"/>
          <w:color w:val="auto"/>
          <w:highlight w:val="none"/>
          <w:lang w:val="en-US" w:eastAsia="zh-CN"/>
        </w:rPr>
        <w:t>5.4.7</w:t>
      </w:r>
      <w:r>
        <w:rPr>
          <w:rFonts w:hint="eastAsia"/>
          <w:color w:val="auto"/>
          <w:highlight w:val="none"/>
        </w:rPr>
        <w:t>验收</w:t>
      </w:r>
    </w:p>
    <w:p>
      <w:pPr>
        <w:bidi w:val="0"/>
        <w:rPr>
          <w:rFonts w:hint="eastAsia"/>
          <w:color w:val="auto"/>
          <w:highlight w:val="none"/>
        </w:rPr>
      </w:pPr>
      <w:r>
        <w:rPr>
          <w:rFonts w:hint="eastAsia"/>
          <w:color w:val="auto"/>
          <w:highlight w:val="none"/>
        </w:rPr>
        <w:t>符合</w:t>
      </w:r>
      <w:r>
        <w:rPr>
          <w:rFonts w:hint="eastAsia"/>
          <w:color w:val="auto"/>
          <w:highlight w:val="none"/>
          <w:lang w:eastAsia="zh-CN"/>
        </w:rPr>
        <w:t>国家食品安全规范</w:t>
      </w:r>
      <w:r>
        <w:rPr>
          <w:rFonts w:hint="eastAsia"/>
          <w:color w:val="auto"/>
          <w:highlight w:val="none"/>
        </w:rPr>
        <w:t>相关要求，按照交货时间、品种、数量，由采购人组织验收。采购人有权拒收质量不合格的产品。</w:t>
      </w:r>
    </w:p>
    <w:p>
      <w:pPr>
        <w:bidi w:val="0"/>
        <w:rPr>
          <w:rFonts w:hint="eastAsia"/>
          <w:color w:val="auto"/>
          <w:highlight w:val="none"/>
        </w:rPr>
      </w:pPr>
      <w:r>
        <w:rPr>
          <w:rFonts w:hint="eastAsia"/>
          <w:color w:val="auto"/>
          <w:highlight w:val="none"/>
          <w:lang w:val="en-US" w:eastAsia="zh-CN"/>
        </w:rPr>
        <w:t>验收时间、期限、方式和标准等相关验收事项，采购人可按照政府采购相关法律法规以及《财政部关于进一步加强政府采购需求和履约验收管理的指导意见》（财库〔2016〕205号）和相关法律法规的要求进行验收，出具验收书，并将验收书交代理机构一份存档。</w:t>
      </w:r>
    </w:p>
    <w:p>
      <w:pPr>
        <w:pStyle w:val="4"/>
        <w:bidi w:val="0"/>
        <w:rPr>
          <w:rFonts w:hint="eastAsia"/>
          <w:color w:val="auto"/>
          <w:highlight w:val="none"/>
        </w:rPr>
      </w:pP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5</w:t>
      </w:r>
      <w:r>
        <w:rPr>
          <w:rFonts w:hint="eastAsia"/>
          <w:color w:val="auto"/>
          <w:highlight w:val="none"/>
        </w:rPr>
        <w:t>报价要求</w:t>
      </w:r>
    </w:p>
    <w:p>
      <w:pPr>
        <w:bidi w:val="0"/>
        <w:rPr>
          <w:rFonts w:hint="eastAsia"/>
          <w:b/>
          <w:bCs/>
          <w:color w:val="auto"/>
          <w:highlight w:val="none"/>
          <w:lang w:val="zh-CN"/>
        </w:rPr>
      </w:pPr>
      <w:r>
        <w:rPr>
          <w:rFonts w:hint="eastAsia"/>
          <w:b/>
          <w:bCs/>
          <w:color w:val="auto"/>
          <w:highlight w:val="none"/>
          <w:lang w:val="en-US" w:eastAsia="zh-CN"/>
        </w:rPr>
        <w:t>★最高限价：本项目最高限价为</w:t>
      </w:r>
      <w:r>
        <w:rPr>
          <w:rFonts w:hint="eastAsia"/>
          <w:b/>
          <w:bCs/>
          <w:color w:val="auto"/>
          <w:highlight w:val="none"/>
          <w:u w:val="single"/>
          <w:lang w:val="en-US" w:eastAsia="zh-CN"/>
        </w:rPr>
        <w:t>345万元</w:t>
      </w:r>
      <w:r>
        <w:rPr>
          <w:rFonts w:hint="eastAsia"/>
          <w:b/>
          <w:bCs/>
          <w:color w:val="auto"/>
          <w:highlight w:val="none"/>
          <w:lang w:val="en-US" w:eastAsia="zh-CN"/>
        </w:rPr>
        <w:t>。</w:t>
      </w:r>
      <w:r>
        <w:rPr>
          <w:rFonts w:hint="eastAsia"/>
          <w:b/>
          <w:bCs/>
          <w:color w:val="auto"/>
          <w:highlight w:val="none"/>
          <w:lang w:val="zh-CN"/>
        </w:rPr>
        <w:t>单价最高限价详见第五章。</w:t>
      </w:r>
      <w:r>
        <w:rPr>
          <w:rFonts w:hint="eastAsia"/>
          <w:b/>
          <w:bCs/>
          <w:color w:val="auto"/>
          <w:highlight w:val="none"/>
          <w:lang w:val="en-US" w:eastAsia="zh-CN"/>
        </w:rPr>
        <w:t>供应商总报价高于</w:t>
      </w:r>
      <w:r>
        <w:rPr>
          <w:rFonts w:hint="eastAsia"/>
          <w:b/>
          <w:bCs/>
          <w:color w:val="auto"/>
          <w:highlight w:val="none"/>
          <w:lang w:val="zh-CN" w:eastAsia="zh-CN"/>
        </w:rPr>
        <w:t>最高限价</w:t>
      </w:r>
      <w:r>
        <w:rPr>
          <w:rFonts w:hint="eastAsia"/>
          <w:b/>
          <w:bCs/>
          <w:color w:val="auto"/>
          <w:highlight w:val="none"/>
          <w:lang w:val="en-US" w:eastAsia="zh-CN"/>
        </w:rPr>
        <w:t>或单价报价高于单价最高限价</w:t>
      </w:r>
      <w:r>
        <w:rPr>
          <w:rFonts w:hint="eastAsia"/>
          <w:b/>
          <w:bCs/>
          <w:color w:val="auto"/>
          <w:highlight w:val="none"/>
          <w:lang w:val="zh-CN" w:eastAsia="zh-CN"/>
        </w:rPr>
        <w:t>的</w:t>
      </w:r>
      <w:r>
        <w:rPr>
          <w:rFonts w:hint="eastAsia"/>
          <w:b/>
          <w:bCs/>
          <w:color w:val="auto"/>
          <w:highlight w:val="none"/>
          <w:lang w:val="en-US" w:eastAsia="zh-CN"/>
        </w:rPr>
        <w:t>，则其响应文件按</w:t>
      </w:r>
      <w:r>
        <w:rPr>
          <w:rFonts w:hint="eastAsia"/>
          <w:b/>
          <w:bCs/>
          <w:color w:val="auto"/>
          <w:highlight w:val="none"/>
          <w:lang w:val="zh-CN" w:eastAsia="zh-CN"/>
        </w:rPr>
        <w:t>无效</w:t>
      </w:r>
      <w:r>
        <w:rPr>
          <w:rFonts w:hint="eastAsia"/>
          <w:b/>
          <w:bCs/>
          <w:color w:val="auto"/>
          <w:highlight w:val="none"/>
          <w:lang w:val="en-US" w:eastAsia="zh-CN"/>
        </w:rPr>
        <w:t>响应</w:t>
      </w:r>
      <w:r>
        <w:rPr>
          <w:rFonts w:hint="eastAsia"/>
          <w:b/>
          <w:bCs/>
          <w:color w:val="auto"/>
          <w:highlight w:val="none"/>
          <w:lang w:val="zh-CN" w:eastAsia="zh-CN"/>
        </w:rPr>
        <w:t>文件处理</w:t>
      </w:r>
      <w:r>
        <w:rPr>
          <w:rFonts w:hint="eastAsia"/>
          <w:b/>
          <w:bCs/>
          <w:color w:val="auto"/>
          <w:highlight w:val="none"/>
          <w:lang w:val="en-US" w:eastAsia="zh-CN"/>
        </w:rPr>
        <w:t>。</w:t>
      </w:r>
    </w:p>
    <w:p>
      <w:pPr>
        <w:bidi w:val="0"/>
        <w:rPr>
          <w:color w:val="auto"/>
          <w:highlight w:val="none"/>
        </w:rPr>
      </w:pPr>
      <w:r>
        <w:rPr>
          <w:rFonts w:hint="eastAsia"/>
          <w:b/>
          <w:bCs/>
          <w:color w:val="auto"/>
          <w:highlight w:val="none"/>
          <w:lang w:val="en-US" w:eastAsia="zh-CN"/>
        </w:rPr>
        <w:t>供应商报价应包含完成本项目所需的一切费用。</w:t>
      </w:r>
      <w:r>
        <w:rPr>
          <w:rFonts w:hint="eastAsia"/>
          <w:color w:val="auto"/>
          <w:highlight w:val="none"/>
        </w:rPr>
        <w:t>供应商报价应包含材料、包装、运输、装卸、损耗、采管费、税金、利润、保险等费用。</w:t>
      </w:r>
    </w:p>
    <w:p>
      <w:pPr>
        <w:spacing w:line="420" w:lineRule="exact"/>
        <w:ind w:firstLine="480"/>
        <w:rPr>
          <w:rFonts w:hint="eastAsia"/>
          <w:b/>
          <w:bCs/>
          <w:color w:val="auto"/>
          <w:highlight w:val="none"/>
          <w:lang w:val="en-US" w:eastAsia="zh-CN"/>
        </w:rPr>
      </w:pPr>
      <w:r>
        <w:rPr>
          <w:rFonts w:hint="eastAsia"/>
          <w:color w:val="auto"/>
          <w:szCs w:val="28"/>
          <w:highlight w:val="none"/>
        </w:rPr>
        <w:t>供应商应充分考虑在合同履行中，相应产品可能出现的市场价格变化。</w:t>
      </w:r>
      <w:r>
        <w:rPr>
          <w:rFonts w:hint="eastAsia"/>
          <w:color w:val="auto"/>
          <w:szCs w:val="28"/>
          <w:highlight w:val="none"/>
          <w:lang w:eastAsia="zh-CN"/>
        </w:rPr>
        <w:t>供应商所报单价</w:t>
      </w:r>
      <w:r>
        <w:rPr>
          <w:rFonts w:hint="eastAsia"/>
          <w:color w:val="auto"/>
          <w:szCs w:val="28"/>
          <w:highlight w:val="none"/>
        </w:rPr>
        <w:t>在合同履行中固定不变。</w:t>
      </w:r>
    </w:p>
    <w:p>
      <w:pPr>
        <w:pStyle w:val="4"/>
        <w:bidi w:val="0"/>
        <w:rPr>
          <w:rFonts w:hint="eastAsia"/>
          <w:color w:val="auto"/>
          <w:highlight w:val="none"/>
        </w:rPr>
      </w:pP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6</w:t>
      </w:r>
      <w:r>
        <w:rPr>
          <w:rFonts w:hint="eastAsia"/>
          <w:color w:val="auto"/>
          <w:highlight w:val="none"/>
        </w:rPr>
        <w:t>满足采购需求、质量和服务相等的采购项目实质性要求</w:t>
      </w:r>
    </w:p>
    <w:p>
      <w:pPr>
        <w:numPr>
          <w:ilvl w:val="0"/>
          <w:numId w:val="32"/>
        </w:numPr>
        <w:bidi w:val="0"/>
        <w:rPr>
          <w:rFonts w:hint="eastAsia"/>
          <w:b/>
          <w:bCs/>
          <w:color w:val="auto"/>
          <w:highlight w:val="none"/>
        </w:rPr>
      </w:pPr>
      <w:r>
        <w:rPr>
          <w:rFonts w:hint="eastAsia"/>
          <w:b/>
          <w:bCs/>
          <w:color w:val="auto"/>
          <w:highlight w:val="none"/>
        </w:rPr>
        <w:t>带★的要求为满足采购需求、质量和服务相等的采购项目实质性要求，不允许有负偏离</w:t>
      </w:r>
      <w:r>
        <w:rPr>
          <w:rFonts w:hint="eastAsia"/>
          <w:b/>
          <w:bCs/>
          <w:color w:val="auto"/>
          <w:highlight w:val="none"/>
          <w:lang w:eastAsia="zh-CN"/>
        </w:rPr>
        <w:t>，</w:t>
      </w:r>
      <w:r>
        <w:rPr>
          <w:rFonts w:hint="eastAsia"/>
          <w:b/>
          <w:bCs/>
          <w:color w:val="auto"/>
          <w:highlight w:val="none"/>
        </w:rPr>
        <w:t>否则作无效</w:t>
      </w:r>
      <w:r>
        <w:rPr>
          <w:rFonts w:hint="eastAsia"/>
          <w:b/>
          <w:bCs/>
          <w:color w:val="auto"/>
          <w:highlight w:val="none"/>
          <w:lang w:val="en-US" w:eastAsia="zh-CN"/>
        </w:rPr>
        <w:t>响应文件</w:t>
      </w:r>
      <w:r>
        <w:rPr>
          <w:rFonts w:hint="eastAsia"/>
          <w:b/>
          <w:bCs/>
          <w:color w:val="auto"/>
          <w:highlight w:val="none"/>
        </w:rPr>
        <w:t>处理。</w:t>
      </w:r>
    </w:p>
    <w:p>
      <w:pPr>
        <w:numPr>
          <w:ilvl w:val="0"/>
          <w:numId w:val="32"/>
        </w:numPr>
        <w:bidi w:val="0"/>
        <w:rPr>
          <w:rFonts w:hint="eastAsia" w:ascii="宋体" w:hAnsi="宋体" w:eastAsia="宋体" w:cs="宋体"/>
          <w:b/>
          <w:color w:val="auto"/>
          <w:szCs w:val="30"/>
          <w:highlight w:val="none"/>
        </w:rPr>
      </w:pPr>
      <w:r>
        <w:rPr>
          <w:rFonts w:hint="eastAsia"/>
          <w:b/>
          <w:bCs/>
          <w:color w:val="auto"/>
          <w:highlight w:val="none"/>
        </w:rPr>
        <w:t>供应商响应文件中所提供的资料必须是真实准确的，若发现存在提供虚假材料谋取</w:t>
      </w:r>
      <w:r>
        <w:rPr>
          <w:rFonts w:hint="eastAsia"/>
          <w:b/>
          <w:bCs/>
          <w:color w:val="auto"/>
          <w:highlight w:val="none"/>
          <w:lang w:eastAsia="zh-CN"/>
        </w:rPr>
        <w:t>成交</w:t>
      </w:r>
      <w:r>
        <w:rPr>
          <w:rFonts w:hint="eastAsia"/>
          <w:b/>
          <w:bCs/>
          <w:color w:val="auto"/>
          <w:highlight w:val="none"/>
        </w:rPr>
        <w:t>的，</w:t>
      </w:r>
      <w:r>
        <w:rPr>
          <w:rFonts w:hint="eastAsia"/>
          <w:b/>
          <w:bCs/>
          <w:color w:val="auto"/>
          <w:highlight w:val="none"/>
          <w:lang w:eastAsia="zh-CN"/>
        </w:rPr>
        <w:t>成交</w:t>
      </w:r>
      <w:r>
        <w:rPr>
          <w:rFonts w:hint="eastAsia"/>
          <w:b/>
          <w:bCs/>
          <w:color w:val="auto"/>
          <w:highlight w:val="none"/>
        </w:rPr>
        <w:t>无效，并处以采购金额5‰以上10‰以下的罚款，列入不良行为记录名单，在一至三年内禁止参加政府采购活动，有违法所得的，并没收违法所得，情节严重的，由工商行政管理机关吊销营业执照；构成犯罪的，依法追究刑事责任。</w:t>
      </w:r>
      <w:r>
        <w:rPr>
          <w:rFonts w:hint="eastAsia" w:ascii="宋体" w:hAnsi="宋体" w:eastAsia="宋体" w:cs="宋体"/>
          <w:b/>
          <w:color w:val="auto"/>
          <w:szCs w:val="30"/>
          <w:highlight w:val="none"/>
        </w:rPr>
        <w:br w:type="page"/>
      </w:r>
    </w:p>
    <w:p>
      <w:pPr>
        <w:pStyle w:val="3"/>
        <w:bidi w:val="0"/>
        <w:rPr>
          <w:rFonts w:hint="eastAsia" w:ascii="宋体" w:hAnsi="宋体" w:eastAsia="宋体" w:cs="宋体"/>
          <w:color w:val="auto"/>
          <w:highlight w:val="none"/>
        </w:rPr>
      </w:pPr>
      <w:bookmarkStart w:id="227" w:name="_Toc12269"/>
      <w:bookmarkStart w:id="228" w:name="_Toc19040"/>
      <w:bookmarkStart w:id="229" w:name="_Toc2281"/>
      <w:bookmarkStart w:id="230" w:name="_Toc12076"/>
      <w:bookmarkStart w:id="231" w:name="_Toc11697"/>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磋商内容、磋商过程中可实质性变动的内容</w:t>
      </w:r>
      <w:bookmarkEnd w:id="227"/>
      <w:bookmarkEnd w:id="228"/>
      <w:bookmarkEnd w:id="229"/>
      <w:bookmarkEnd w:id="230"/>
      <w:bookmarkEnd w:id="231"/>
    </w:p>
    <w:p>
      <w:pPr>
        <w:pStyle w:val="46"/>
        <w:autoSpaceDE/>
        <w:autoSpaceDN/>
        <w:snapToGrid w:val="0"/>
        <w:spacing w:line="360" w:lineRule="auto"/>
        <w:jc w:val="both"/>
        <w:rPr>
          <w:rFonts w:hint="eastAsia" w:ascii="宋体" w:hAnsi="宋体" w:eastAsia="宋体" w:cs="宋体"/>
          <w:b/>
          <w:color w:val="auto"/>
          <w:sz w:val="30"/>
          <w:szCs w:val="30"/>
          <w:highlight w:val="none"/>
        </w:rPr>
      </w:pPr>
    </w:p>
    <w:p>
      <w:pPr>
        <w:pStyle w:val="46"/>
        <w:autoSpaceDE/>
        <w:autoSpaceDN/>
        <w:snapToGrid w:val="0"/>
        <w:spacing w:line="360" w:lineRule="auto"/>
        <w:jc w:val="both"/>
        <w:rPr>
          <w:rFonts w:hint="eastAsia" w:ascii="宋体" w:hAnsi="宋体" w:eastAsia="宋体" w:cs="宋体"/>
          <w:b/>
          <w:color w:val="auto"/>
          <w:sz w:val="30"/>
          <w:szCs w:val="30"/>
          <w:highlight w:val="none"/>
        </w:rPr>
      </w:pP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由磋商小组根据磋商情况实质性变动磋商文件的第五章技术、服务要求和第九章合同草案条款，但不得变动磋商文件中的其他内容。磋商实质性变动的内容，须经采购人代表书面确认。对磋商文件作出的实质性变动是磋商文件的有效组成部分，磋商小组应当及时以书面形式同时通知所有参加磋商的供应商。</w:t>
      </w:r>
    </w:p>
    <w:p>
      <w:pPr>
        <w:pStyle w:val="46"/>
        <w:autoSpaceDE/>
        <w:autoSpaceDN/>
        <w:snapToGrid w:val="0"/>
        <w:spacing w:line="360" w:lineRule="auto"/>
        <w:jc w:val="both"/>
        <w:rPr>
          <w:rFonts w:hint="eastAsia" w:ascii="宋体" w:hAnsi="宋体" w:eastAsia="宋体" w:cs="宋体"/>
          <w:b/>
          <w:color w:val="auto"/>
          <w:sz w:val="30"/>
          <w:szCs w:val="30"/>
          <w:highlight w:val="none"/>
        </w:rPr>
      </w:pPr>
    </w:p>
    <w:p>
      <w:pPr>
        <w:pStyle w:val="46"/>
        <w:autoSpaceDE/>
        <w:autoSpaceDN/>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3"/>
        <w:bidi w:val="0"/>
        <w:rPr>
          <w:rFonts w:hint="eastAsia" w:ascii="宋体" w:hAnsi="宋体" w:eastAsia="宋体" w:cs="宋体"/>
          <w:color w:val="auto"/>
          <w:highlight w:val="none"/>
        </w:rPr>
      </w:pPr>
      <w:bookmarkStart w:id="232" w:name="_Toc21625"/>
      <w:bookmarkStart w:id="233" w:name="_Toc31610"/>
      <w:bookmarkStart w:id="234" w:name="_Toc2608"/>
      <w:bookmarkStart w:id="235" w:name="_Toc15963"/>
      <w:r>
        <w:rPr>
          <w:rFonts w:hint="eastAsia" w:ascii="宋体" w:hAnsi="宋体" w:eastAsia="宋体" w:cs="宋体"/>
          <w:color w:val="auto"/>
          <w:highlight w:val="none"/>
        </w:rPr>
        <w:t>第七章 响应文件格式</w:t>
      </w:r>
      <w:bookmarkEnd w:id="206"/>
      <w:bookmarkEnd w:id="207"/>
      <w:bookmarkEnd w:id="208"/>
      <w:bookmarkEnd w:id="209"/>
      <w:bookmarkEnd w:id="210"/>
      <w:bookmarkEnd w:id="211"/>
      <w:bookmarkEnd w:id="232"/>
      <w:bookmarkEnd w:id="233"/>
      <w:bookmarkEnd w:id="234"/>
      <w:bookmarkEnd w:id="235"/>
    </w:p>
    <w:p>
      <w:pPr>
        <w:bidi w:val="0"/>
        <w:rPr>
          <w:rFonts w:hint="eastAsia" w:ascii="宋体" w:hAnsi="宋体" w:eastAsia="宋体" w:cs="宋体"/>
          <w:color w:val="auto"/>
          <w:highlight w:val="none"/>
        </w:rPr>
      </w:pPr>
      <w:bookmarkStart w:id="236" w:name="_Toc182629023"/>
      <w:bookmarkStart w:id="237" w:name="_Toc294688711"/>
      <w:bookmarkStart w:id="238" w:name="_Toc237145395"/>
      <w:bookmarkStart w:id="239" w:name="_Toc229802674"/>
      <w:bookmarkStart w:id="240" w:name="_Toc265494342"/>
      <w:bookmarkStart w:id="241" w:name="_Toc287367101"/>
      <w:bookmarkStart w:id="242" w:name="_Toc240367172"/>
      <w:bookmarkStart w:id="243" w:name="_Toc515"/>
      <w:bookmarkStart w:id="244" w:name="_Toc239849853"/>
      <w:bookmarkStart w:id="245" w:name="_Toc211218954"/>
      <w:bookmarkStart w:id="246" w:name="_Toc239846734"/>
      <w:bookmarkStart w:id="247" w:name="_Toc314574804"/>
      <w:bookmarkStart w:id="248" w:name="_Toc9850"/>
      <w:bookmarkStart w:id="249" w:name="_Toc11573"/>
      <w:bookmarkStart w:id="250" w:name="_Toc13840"/>
      <w:bookmarkStart w:id="251" w:name="_Toc294701519"/>
      <w:bookmarkStart w:id="252" w:name="_Toc295978802"/>
      <w:bookmarkStart w:id="253" w:name="_Toc316462354"/>
      <w:bookmarkStart w:id="254" w:name="_Toc240865266"/>
      <w:bookmarkStart w:id="255" w:name="_Toc7103"/>
      <w:bookmarkStart w:id="256" w:name="_Toc18893"/>
      <w:bookmarkStart w:id="257" w:name="_Toc182759327"/>
      <w:bookmarkStart w:id="258" w:name="_Toc231030275"/>
      <w:r>
        <w:rPr>
          <w:rFonts w:hint="eastAsia" w:ascii="宋体" w:hAnsi="宋体" w:eastAsia="宋体" w:cs="宋体"/>
          <w:color w:val="auto"/>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二、本章所制响应文件格式有关表格中的备注栏，由供应商根据自身响应情况作解释性说明，不作为必填项。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三、本章所制响应文件格式中需要填写的相关内容事项，可能会与本采购项目无关，在不改变响应文件原义、不影响本项目采购需求的情况下，供应商可以不予填写，但应当注明。</w:t>
      </w:r>
    </w:p>
    <w:p>
      <w:pPr>
        <w:adjustRightInd w:val="0"/>
        <w:snapToGrid w:val="0"/>
        <w:spacing w:line="360" w:lineRule="auto"/>
        <w:ind w:left="-425"/>
        <w:jc w:val="left"/>
        <w:rPr>
          <w:rFonts w:hint="eastAsia" w:ascii="宋体" w:hAnsi="宋体" w:eastAsia="宋体" w:cs="宋体"/>
          <w:b/>
          <w:bCs/>
          <w:color w:val="auto"/>
          <w:sz w:val="24"/>
          <w:szCs w:val="24"/>
          <w:highlight w:val="none"/>
        </w:rPr>
      </w:pPr>
    </w:p>
    <w:p>
      <w:pPr>
        <w:adjustRightInd w:val="0"/>
        <w:snapToGrid w:val="0"/>
        <w:spacing w:line="360" w:lineRule="auto"/>
        <w:ind w:left="-425"/>
        <w:jc w:val="left"/>
        <w:rPr>
          <w:rFonts w:hint="eastAsia" w:ascii="宋体" w:hAnsi="宋体" w:eastAsia="宋体" w:cs="宋体"/>
          <w:b/>
          <w:bCs/>
          <w:color w:val="auto"/>
          <w:sz w:val="24"/>
          <w:szCs w:val="24"/>
          <w:highlight w:val="none"/>
        </w:rPr>
      </w:pPr>
    </w:p>
    <w:p>
      <w:pPr>
        <w:adjustRightInd w:val="0"/>
        <w:snapToGrid w:val="0"/>
        <w:spacing w:line="360" w:lineRule="auto"/>
        <w:ind w:left="-425"/>
        <w:jc w:val="left"/>
        <w:rPr>
          <w:rFonts w:hint="eastAsia" w:ascii="宋体" w:hAnsi="宋体" w:eastAsia="宋体" w:cs="宋体"/>
          <w:b/>
          <w:bCs/>
          <w:color w:val="auto"/>
          <w:sz w:val="24"/>
          <w:szCs w:val="24"/>
          <w:highlight w:val="none"/>
        </w:rPr>
      </w:pPr>
    </w:p>
    <w:p>
      <w:pPr>
        <w:adjustRightInd w:val="0"/>
        <w:snapToGrid w:val="0"/>
        <w:spacing w:line="360" w:lineRule="auto"/>
        <w:ind w:left="-425"/>
        <w:jc w:val="left"/>
        <w:rPr>
          <w:rFonts w:hint="eastAsia" w:ascii="宋体" w:hAnsi="宋体" w:eastAsia="宋体" w:cs="宋体"/>
          <w:b/>
          <w:bCs/>
          <w:color w:val="auto"/>
          <w:sz w:val="24"/>
          <w:szCs w:val="24"/>
          <w:highlight w:val="none"/>
        </w:rPr>
      </w:pPr>
    </w:p>
    <w:p>
      <w:pPr>
        <w:adjustRightInd w:val="0"/>
        <w:snapToGrid w:val="0"/>
        <w:spacing w:line="360" w:lineRule="auto"/>
        <w:ind w:left="-425"/>
        <w:jc w:val="left"/>
        <w:rPr>
          <w:rFonts w:hint="eastAsia" w:ascii="宋体" w:hAnsi="宋体" w:eastAsia="宋体" w:cs="宋体"/>
          <w:b/>
          <w:bCs/>
          <w:color w:val="auto"/>
          <w:sz w:val="24"/>
          <w:szCs w:val="24"/>
          <w:highlight w:val="none"/>
        </w:rPr>
      </w:pPr>
    </w:p>
    <w:p>
      <w:pPr>
        <w:adjustRightInd w:val="0"/>
        <w:snapToGrid w:val="0"/>
        <w:spacing w:line="360" w:lineRule="auto"/>
        <w:ind w:left="0" w:leftChars="0" w:firstLine="0" w:firstLineChars="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Start w:id="259" w:name="_Toc26353"/>
      <w:bookmarkStart w:id="260" w:name="_Toc4131"/>
      <w:bookmarkStart w:id="261" w:name="_Toc263753605"/>
      <w:bookmarkStart w:id="262" w:name="_Toc220299393"/>
      <w:bookmarkStart w:id="263" w:name="_Toc217446083"/>
      <w:bookmarkStart w:id="264" w:name="_Toc263768870"/>
      <w:bookmarkStart w:id="265" w:name="_Toc27201"/>
      <w:bookmarkStart w:id="266" w:name="_Toc302997926"/>
      <w:r>
        <w:rPr>
          <w:rStyle w:val="48"/>
          <w:rFonts w:hint="eastAsia" w:ascii="宋体" w:hAnsi="宋体" w:eastAsia="宋体" w:cs="宋体"/>
          <w:color w:val="auto"/>
          <w:highlight w:val="none"/>
          <w:lang w:val="en-US" w:eastAsia="zh-CN"/>
        </w:rPr>
        <w:t>7</w:t>
      </w:r>
      <w:r>
        <w:rPr>
          <w:rStyle w:val="48"/>
          <w:rFonts w:hint="eastAsia" w:ascii="宋体" w:hAnsi="宋体" w:eastAsia="宋体" w:cs="宋体"/>
          <w:color w:val="auto"/>
          <w:highlight w:val="none"/>
        </w:rPr>
        <w:t>.1资格性响应文件格式</w:t>
      </w:r>
      <w:bookmarkEnd w:id="259"/>
      <w:bookmarkEnd w:id="260"/>
    </w:p>
    <w:p>
      <w:pPr>
        <w:pStyle w:val="5"/>
        <w:bidi w:val="0"/>
        <w:rPr>
          <w:rFonts w:hint="eastAsia" w:ascii="宋体" w:hAnsi="宋体" w:eastAsia="宋体" w:cs="宋体"/>
          <w:color w:val="auto"/>
          <w:highlight w:val="none"/>
        </w:rPr>
      </w:pPr>
      <w:bookmarkStart w:id="267" w:name="_Toc19948"/>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.1.1资格性响应文件封面格式</w:t>
      </w:r>
      <w:bookmarkEnd w:id="267"/>
    </w:p>
    <w:tbl>
      <w:tblPr>
        <w:tblStyle w:val="3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9480" w:type="dxa"/>
          </w:tcPr>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 xml:space="preserve">                  </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jc w:val="center"/>
              <w:rPr>
                <w:rFonts w:hint="eastAsia" w:ascii="宋体" w:hAnsi="宋体" w:eastAsia="宋体" w:cs="宋体"/>
                <w:color w:val="auto"/>
                <w:sz w:val="24"/>
                <w:szCs w:val="24"/>
                <w:highlight w:val="none"/>
              </w:rPr>
            </w:pP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资格性响应文件</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pPr>
              <w:adjustRightInd w:val="0"/>
              <w:snapToGrid w:val="0"/>
              <w:spacing w:line="360" w:lineRule="auto"/>
              <w:jc w:val="center"/>
              <w:rPr>
                <w:rFonts w:hint="eastAsia" w:ascii="宋体" w:hAnsi="宋体" w:eastAsia="宋体" w:cs="宋体"/>
                <w:color w:val="auto"/>
                <w:sz w:val="24"/>
                <w:szCs w:val="24"/>
                <w:highlight w:val="none"/>
              </w:rPr>
            </w:pP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r>
    </w:tbl>
    <w:p>
      <w:pPr>
        <w:adjustRightInd w:val="0"/>
        <w:snapToGrid w:val="0"/>
        <w:spacing w:line="360" w:lineRule="auto"/>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温馨提示：</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一、资格性响应文件正本一份、副本二份；</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二、资格性响应文件应于截止时间前送达指定地点；</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三、供应商提供的资格证明材料如发证机关有年检要求的则应通过年检且年检章要清楚，如有有效期的则应提供在有效期内的证明材料。</w:t>
      </w:r>
    </w:p>
    <w:p>
      <w:pPr>
        <w:pStyle w:val="46"/>
        <w:autoSpaceDE/>
        <w:autoSpaceDN/>
        <w:snapToGrid w:val="0"/>
        <w:spacing w:line="360" w:lineRule="auto"/>
        <w:rPr>
          <w:rFonts w:hint="eastAsia" w:ascii="宋体" w:hAnsi="宋体" w:eastAsia="宋体" w:cs="宋体"/>
          <w:b/>
          <w:color w:val="auto"/>
          <w:sz w:val="21"/>
          <w:szCs w:val="21"/>
          <w:highlight w:val="none"/>
        </w:rPr>
      </w:pPr>
    </w:p>
    <w:p>
      <w:pPr>
        <w:pStyle w:val="46"/>
        <w:autoSpaceDE/>
        <w:autoSpaceDN/>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jc w:val="left"/>
        <w:rPr>
          <w:rFonts w:hint="eastAsia" w:ascii="宋体" w:hAnsi="宋体" w:eastAsia="宋体" w:cs="宋体"/>
          <w:color w:val="auto"/>
          <w:sz w:val="24"/>
          <w:szCs w:val="24"/>
          <w:highlight w:val="none"/>
        </w:rPr>
      </w:pPr>
    </w:p>
    <w:p>
      <w:pPr>
        <w:adjustRightInd w:val="0"/>
        <w:snapToGrid w:val="0"/>
        <w:spacing w:line="360" w:lineRule="auto"/>
        <w:ind w:firstLine="600" w:firstLineChars="250"/>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8"/>
          <w:szCs w:val="28"/>
          <w:highlight w:val="none"/>
        </w:rPr>
        <w:sectPr>
          <w:footerReference r:id="rId7" w:type="first"/>
          <w:footerReference r:id="rId6" w:type="default"/>
          <w:pgSz w:w="11850" w:h="16783"/>
          <w:pgMar w:top="1440" w:right="1800" w:bottom="1440" w:left="1800" w:header="851" w:footer="992" w:gutter="0"/>
          <w:pgNumType w:fmt="decimal" w:start="1"/>
          <w:cols w:space="720" w:num="1"/>
          <w:docGrid w:type="lines" w:linePitch="312" w:charSpace="0"/>
        </w:sectPr>
      </w:pPr>
    </w:p>
    <w:p>
      <w:pPr>
        <w:pStyle w:val="5"/>
        <w:bidi w:val="0"/>
        <w:ind w:left="0" w:firstLine="0"/>
        <w:rPr>
          <w:rFonts w:hint="eastAsia" w:ascii="宋体" w:hAnsi="宋体" w:eastAsia="宋体" w:cs="宋体"/>
          <w:color w:val="auto"/>
          <w:highlight w:val="none"/>
          <w:lang w:val="en-US" w:eastAsia="zh-CN"/>
        </w:rPr>
      </w:pPr>
      <w:bookmarkStart w:id="268" w:name="_Toc9275"/>
      <w:r>
        <w:rPr>
          <w:rFonts w:hint="eastAsia" w:ascii="宋体" w:hAnsi="宋体" w:eastAsia="宋体" w:cs="宋体"/>
          <w:color w:val="auto"/>
          <w:highlight w:val="none"/>
          <w:lang w:val="en-US" w:eastAsia="zh-CN"/>
        </w:rPr>
        <w:t>7.1.2法定代表人/单位负责人身份证明书</w:t>
      </w:r>
      <w:bookmarkEnd w:id="268"/>
    </w:p>
    <w:p>
      <w:pPr>
        <w:tabs>
          <w:tab w:val="left" w:pos="6300"/>
        </w:tabs>
        <w:adjustRightInd w:val="0"/>
        <w:snapToGrid w:val="0"/>
        <w:spacing w:line="360" w:lineRule="auto"/>
        <w:ind w:firstLine="573"/>
        <w:rPr>
          <w:rFonts w:hint="eastAsia" w:ascii="宋体" w:hAnsi="宋体" w:eastAsia="宋体" w:cs="宋体"/>
          <w:color w:val="auto"/>
          <w:sz w:val="24"/>
          <w:szCs w:val="24"/>
          <w:highlight w:val="none"/>
          <w:u w:val="single"/>
          <w:lang w:val="zh-CN"/>
        </w:rPr>
      </w:pP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57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（法定代表人</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zh-CN"/>
        </w:rPr>
        <w:t xml:space="preserve">单位负责人姓名）         </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u w:val="single"/>
          <w:lang w:val="zh-CN"/>
        </w:rPr>
        <w:t xml:space="preserve">          （供应商名称）  </w:t>
      </w:r>
      <w:r>
        <w:rPr>
          <w:rFonts w:hint="eastAsia" w:ascii="宋体" w:hAnsi="宋体" w:eastAsia="宋体" w:cs="宋体"/>
          <w:color w:val="auto"/>
          <w:sz w:val="24"/>
          <w:szCs w:val="24"/>
          <w:highlight w:val="none"/>
          <w:lang w:val="zh-CN"/>
        </w:rPr>
        <w:t>处任</w:t>
      </w:r>
      <w:r>
        <w:rPr>
          <w:rFonts w:hint="eastAsia" w:ascii="宋体" w:hAnsi="宋体" w:eastAsia="宋体" w:cs="宋体"/>
          <w:color w:val="auto"/>
          <w:sz w:val="24"/>
          <w:szCs w:val="24"/>
          <w:highlight w:val="none"/>
          <w:u w:val="single"/>
          <w:lang w:val="zh-CN"/>
        </w:rPr>
        <w:t xml:space="preserve">         （职务名称）       </w:t>
      </w:r>
      <w:r>
        <w:rPr>
          <w:rFonts w:hint="eastAsia" w:ascii="宋体" w:hAnsi="宋体" w:eastAsia="宋体" w:cs="宋体"/>
          <w:color w:val="auto"/>
          <w:sz w:val="24"/>
          <w:szCs w:val="24"/>
          <w:highlight w:val="none"/>
          <w:lang w:val="zh-CN"/>
        </w:rPr>
        <w:t>职务，是</w:t>
      </w:r>
      <w:r>
        <w:rPr>
          <w:rFonts w:hint="eastAsia" w:ascii="宋体" w:hAnsi="宋体" w:eastAsia="宋体" w:cs="宋体"/>
          <w:color w:val="auto"/>
          <w:sz w:val="24"/>
          <w:szCs w:val="24"/>
          <w:highlight w:val="none"/>
          <w:u w:val="single"/>
          <w:lang w:val="zh-CN"/>
        </w:rPr>
        <w:t xml:space="preserve">      （供应商名称）    </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w:t>
      </w: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ind w:firstLine="573"/>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ind w:firstLine="573"/>
        <w:rPr>
          <w:rFonts w:hint="eastAsia" w:ascii="宋体" w:hAnsi="宋体" w:eastAsia="宋体" w:cs="宋体"/>
          <w:color w:val="auto"/>
          <w:sz w:val="24"/>
          <w:szCs w:val="24"/>
          <w:highlight w:val="none"/>
          <w:lang w:val="zh-CN"/>
        </w:rPr>
      </w:pPr>
      <w:bookmarkStart w:id="269" w:name="_Toc263768866"/>
      <w:r>
        <w:rPr>
          <w:rFonts w:hint="eastAsia" w:ascii="宋体" w:hAnsi="宋体" w:eastAsia="宋体" w:cs="宋体"/>
          <w:color w:val="auto"/>
          <w:sz w:val="24"/>
          <w:szCs w:val="24"/>
          <w:highlight w:val="none"/>
          <w:lang w:val="zh-CN"/>
        </w:rPr>
        <w:t>特此证明。</w:t>
      </w:r>
      <w:bookmarkEnd w:id="269"/>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tabs>
          <w:tab w:val="left" w:pos="6300"/>
        </w:tabs>
        <w:adjustRightInd w:val="0"/>
        <w:snapToGrid w:val="0"/>
        <w:spacing w:line="360" w:lineRule="auto"/>
        <w:rPr>
          <w:rFonts w:hint="eastAsia" w:ascii="宋体" w:hAnsi="宋体" w:eastAsia="宋体" w:cs="宋体"/>
          <w:b/>
          <w:color w:val="auto"/>
          <w:sz w:val="24"/>
          <w:szCs w:val="24"/>
          <w:highlight w:val="none"/>
          <w:u w:val="single"/>
          <w:lang w:val="zh-CN"/>
        </w:rPr>
      </w:pPr>
    </w:p>
    <w:p>
      <w:pPr>
        <w:pStyle w:val="9"/>
        <w:adjustRightInd w:val="0"/>
        <w:snapToGrid w:val="0"/>
        <w:spacing w:after="0" w:line="360" w:lineRule="auto"/>
        <w:ind w:firstLine="484" w:firstLineChars="202"/>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val="zh-CN"/>
        </w:rPr>
        <w:t>1、供应商为法人单位时提供“法定代表人</w:t>
      </w:r>
      <w:r>
        <w:rPr>
          <w:rFonts w:hint="eastAsia" w:ascii="宋体" w:hAnsi="宋体" w:eastAsia="宋体" w:cs="宋体"/>
          <w:b/>
          <w:bCs/>
          <w:color w:val="auto"/>
          <w:sz w:val="21"/>
          <w:szCs w:val="21"/>
          <w:highlight w:val="none"/>
          <w:lang w:val="zh-CN" w:eastAsia="zh-CN"/>
        </w:rPr>
        <w:t>身份证明</w:t>
      </w:r>
      <w:r>
        <w:rPr>
          <w:rFonts w:hint="eastAsia" w:ascii="宋体" w:hAnsi="宋体" w:eastAsia="宋体" w:cs="宋体"/>
          <w:b/>
          <w:bCs/>
          <w:color w:val="auto"/>
          <w:sz w:val="21"/>
          <w:szCs w:val="21"/>
          <w:highlight w:val="none"/>
          <w:lang w:val="zh-CN"/>
        </w:rPr>
        <w:t>书”，供应商为其他组织时提供“单位负责人身份证明书”。</w:t>
      </w: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rPr>
        <w:t>应附法定代表人/单位负责人身份证复印件</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rPr>
        <w:t>身份证两面均应复印）或护照复印件</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rPr>
        <w:t>供应商的法定代表人/单位负责人为外籍人士的，则提供护照复印件）时才能生效。</w:t>
      </w: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5"/>
        <w:keepNext w:val="0"/>
        <w:keepLines w:val="0"/>
        <w:numPr>
          <w:ilvl w:val="0"/>
          <w:numId w:val="0"/>
        </w:numPr>
        <w:adjustRightInd w:val="0"/>
        <w:snapToGrid w:val="0"/>
        <w:jc w:val="left"/>
        <w:rPr>
          <w:rFonts w:hint="eastAsia" w:ascii="宋体" w:hAnsi="宋体" w:eastAsia="宋体" w:cs="宋体"/>
          <w:b w:val="0"/>
          <w:bCs w:val="0"/>
          <w:color w:val="auto"/>
          <w:sz w:val="24"/>
          <w:szCs w:val="24"/>
          <w:highlight w:val="none"/>
          <w:u w:val="single"/>
        </w:rPr>
      </w:pPr>
      <w:bookmarkStart w:id="270" w:name="_Toc263768867"/>
      <w:bookmarkStart w:id="271" w:name="_Toc214858829"/>
      <w:bookmarkStart w:id="272" w:name="_Toc12100"/>
      <w:bookmarkStart w:id="273" w:name="_Toc181520573"/>
      <w:bookmarkStart w:id="274" w:name="_Toc302997919"/>
      <w:bookmarkStart w:id="275" w:name="_Toc233512320"/>
      <w:bookmarkStart w:id="276" w:name="_Toc263753602"/>
      <w:bookmarkStart w:id="277" w:name="_Toc256175396"/>
      <w:r>
        <w:rPr>
          <w:rFonts w:hint="eastAsia" w:ascii="宋体" w:hAnsi="宋体" w:eastAsia="宋体" w:cs="宋体"/>
          <w:color w:val="auto"/>
          <w:sz w:val="24"/>
          <w:szCs w:val="24"/>
          <w:highlight w:val="none"/>
        </w:rPr>
        <w:br w:type="page"/>
      </w:r>
      <w:bookmarkStart w:id="278" w:name="_Toc2564"/>
      <w:r>
        <w:rPr>
          <w:rFonts w:hint="eastAsia" w:ascii="宋体" w:hAnsi="宋体" w:eastAsia="宋体" w:cs="宋体"/>
          <w:color w:val="auto"/>
          <w:highlight w:val="none"/>
          <w:lang w:val="en-US" w:eastAsia="zh-CN"/>
        </w:rPr>
        <w:t>7.1.</w:t>
      </w:r>
      <w:bookmarkEnd w:id="270"/>
      <w:bookmarkEnd w:id="271"/>
      <w:bookmarkEnd w:id="272"/>
      <w:bookmarkEnd w:id="273"/>
      <w:bookmarkEnd w:id="274"/>
      <w:bookmarkEnd w:id="275"/>
      <w:bookmarkEnd w:id="276"/>
      <w:bookmarkEnd w:id="277"/>
      <w:r>
        <w:rPr>
          <w:rFonts w:hint="eastAsia" w:ascii="宋体" w:hAnsi="宋体" w:eastAsia="宋体" w:cs="宋体"/>
          <w:color w:val="auto"/>
          <w:highlight w:val="none"/>
          <w:lang w:val="en-US" w:eastAsia="zh-CN"/>
        </w:rPr>
        <w:t>3法定代表人/单位负责人授权书</w:t>
      </w:r>
      <w:bookmarkEnd w:id="278"/>
    </w:p>
    <w:p>
      <w:pPr>
        <w:bidi w:val="0"/>
        <w:ind w:left="0" w:leftChars="0" w:firstLine="0" w:firstLineChars="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四川天力招标有限责任公司</w:t>
      </w:r>
      <w:r>
        <w:rPr>
          <w:rFonts w:hint="eastAsia" w:ascii="宋体" w:hAnsi="宋体" w:eastAsia="宋体" w:cs="宋体"/>
          <w:b/>
          <w:bCs/>
          <w:color w:val="auto"/>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highlight w:val="none"/>
        </w:rPr>
        <w:t>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（被授权人姓名、职务）为我方参加</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）磋商采购活动的合法代表，以我方名义全权处理该项目有关磋商、报价、签订合同以及执行合同等一切事宜。授权代理人无转让委托权。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本授权书有效期自签署之日起至本项目</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规定的磋商有效期结束止。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adjustRightInd w:val="0"/>
        <w:snapToGrid w:val="0"/>
        <w:spacing w:line="360" w:lineRule="auto"/>
        <w:rPr>
          <w:rFonts w:hint="eastAsia" w:ascii="宋体" w:hAnsi="宋体" w:eastAsia="宋体" w:cs="宋体"/>
          <w:b/>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说明：</w:t>
      </w: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供应商为法人单位时提供“法定代表人授权书”，供应商为其他组织时提供“单位负责人授权书”。</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上述证明文件在</w:t>
      </w:r>
      <w:r>
        <w:rPr>
          <w:rFonts w:hint="eastAsia" w:ascii="宋体" w:hAnsi="宋体" w:eastAsia="宋体" w:cs="宋体"/>
          <w:b/>
          <w:bCs/>
          <w:color w:val="auto"/>
          <w:sz w:val="21"/>
          <w:szCs w:val="21"/>
          <w:highlight w:val="none"/>
          <w:lang w:val="en-US" w:eastAsia="zh-CN"/>
        </w:rPr>
        <w:t>资格性响应</w:t>
      </w:r>
      <w:r>
        <w:rPr>
          <w:rFonts w:hint="eastAsia" w:ascii="宋体" w:hAnsi="宋体" w:eastAsia="宋体" w:cs="宋体"/>
          <w:b/>
          <w:bCs/>
          <w:color w:val="auto"/>
          <w:sz w:val="21"/>
          <w:szCs w:val="21"/>
          <w:highlight w:val="none"/>
          <w:lang w:val="zh-CN"/>
        </w:rPr>
        <w:t>文件中</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sz w:val="21"/>
          <w:szCs w:val="21"/>
          <w:highlight w:val="none"/>
          <w:lang w:val="zh-CN"/>
        </w:rPr>
        <w:t>附授权代表身份证复印件（身份证两面均应复印）</w:t>
      </w:r>
      <w:r>
        <w:rPr>
          <w:rFonts w:hint="eastAsia" w:ascii="宋体" w:hAnsi="宋体" w:eastAsia="宋体" w:cs="宋体"/>
          <w:b/>
          <w:bCs/>
          <w:color w:val="auto"/>
          <w:sz w:val="21"/>
          <w:szCs w:val="21"/>
          <w:highlight w:val="none"/>
        </w:rPr>
        <w:t>。</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3.响应</w:t>
      </w:r>
      <w:r>
        <w:rPr>
          <w:rFonts w:hint="eastAsia" w:ascii="宋体" w:hAnsi="宋体" w:eastAsia="宋体" w:cs="宋体"/>
          <w:b/>
          <w:bCs/>
          <w:color w:val="auto"/>
          <w:sz w:val="21"/>
          <w:szCs w:val="21"/>
          <w:highlight w:val="none"/>
        </w:rPr>
        <w:t>文件均由</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eastAsia="zh-CN"/>
        </w:rPr>
        <w:t>法定代表人（单位负责人）</w:t>
      </w:r>
      <w:r>
        <w:rPr>
          <w:rFonts w:hint="eastAsia" w:ascii="宋体" w:hAnsi="宋体" w:eastAsia="宋体" w:cs="宋体"/>
          <w:b/>
          <w:bCs/>
          <w:color w:val="auto"/>
          <w:sz w:val="21"/>
          <w:szCs w:val="21"/>
          <w:highlight w:val="none"/>
        </w:rPr>
        <w:t>签字的,</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eastAsia="zh-CN"/>
        </w:rPr>
        <w:t>文件中可不提供该附件的内容。</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两家以上的供应商不得在同一合同项下的采购项目中，委托同一个自然人、同一家庭的人员、同一单位的人员作为其授权代表，否则，其响应文件作为无效处理。</w:t>
      </w:r>
    </w:p>
    <w:p>
      <w:pP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br w:type="page"/>
      </w:r>
    </w:p>
    <w:p>
      <w:pPr>
        <w:pStyle w:val="5"/>
        <w:bidi w:val="0"/>
        <w:rPr>
          <w:rFonts w:hint="eastAsia" w:ascii="宋体" w:hAnsi="宋体" w:eastAsia="宋体" w:cs="宋体"/>
          <w:color w:val="auto"/>
          <w:highlight w:val="none"/>
          <w:lang w:val="en-US" w:eastAsia="zh-CN"/>
        </w:rPr>
      </w:pPr>
      <w:bookmarkStart w:id="279" w:name="_Toc7067"/>
      <w:r>
        <w:rPr>
          <w:rFonts w:hint="eastAsia" w:ascii="宋体" w:hAnsi="宋体" w:eastAsia="宋体" w:cs="宋体"/>
          <w:color w:val="auto"/>
          <w:highlight w:val="none"/>
          <w:lang w:val="en-US" w:eastAsia="zh-CN"/>
        </w:rPr>
        <w:t>7.1.</w:t>
      </w:r>
      <w:r>
        <w:rPr>
          <w:rFonts w:hint="eastAsia" w:cs="宋体"/>
          <w:color w:val="auto"/>
          <w:highlight w:val="none"/>
          <w:lang w:val="en-US" w:eastAsia="zh-CN"/>
        </w:rPr>
        <w:t>4</w:t>
      </w:r>
      <w:r>
        <w:rPr>
          <w:rFonts w:hint="eastAsia" w:ascii="宋体" w:hAnsi="宋体" w:eastAsia="宋体" w:cs="宋体"/>
          <w:color w:val="auto"/>
          <w:highlight w:val="none"/>
          <w:lang w:val="en-US" w:eastAsia="zh-CN"/>
        </w:rPr>
        <w:t>承诺函</w:t>
      </w:r>
    </w:p>
    <w:p>
      <w:pPr>
        <w:bidi w:val="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致：四川天力招标有限责任公司</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我单位作为本次采购项目的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文件要求，现郑重承诺如下：</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具备《中华人民共和国政府采购法》第二十二条第一款规定的条件：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（一）具有独立承担民事责任的能力；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（二）具有良好的商业信誉和健全的财务会计制度；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具有履行合同所必需的设备和专业技术能力</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（四）有依法缴纳税收和社会保障资金的良好记录；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（五）参加政府采购活动前三年内，在经营活动中没有重大违法记录；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（六）法律、行政法规规定的其他条件。</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及</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现任</w:t>
      </w: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主要负责人在参加政府采购活动前三年内</w:t>
      </w:r>
      <w:r>
        <w:rPr>
          <w:rFonts w:hint="eastAsia" w:ascii="宋体" w:hAnsi="宋体" w:eastAsia="宋体" w:cs="宋体"/>
          <w:color w:val="auto"/>
          <w:highlight w:val="none"/>
        </w:rPr>
        <w:t>无行贿犯罪记录</w:t>
      </w:r>
      <w:r>
        <w:rPr>
          <w:rFonts w:hint="eastAsia" w:ascii="宋体" w:hAnsi="宋体" w:eastAsia="宋体" w:cs="宋体"/>
          <w:color w:val="auto"/>
          <w:highlight w:val="none"/>
          <w:lang w:eastAsia="zh-CN"/>
        </w:rPr>
        <w:t>。</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lang w:eastAsia="zh-CN"/>
        </w:rPr>
        <w:t>承诺未提供本项目整体设计、规范编制或者项目管理、监理、检测等服务。</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本单位对上述承诺的内容事项真实性负责。如经查实上述承诺的内容事项存在虚假，我单位愿意接受以提供虚假材料谋取成交追究法律责任。</w:t>
      </w:r>
    </w:p>
    <w:p>
      <w:pPr>
        <w:rPr>
          <w:rFonts w:hint="eastAsia" w:ascii="宋体" w:hAnsi="宋体" w:eastAsia="宋体" w:cs="宋体"/>
          <w:color w:val="auto"/>
          <w:sz w:val="24"/>
          <w:highlight w:val="none"/>
        </w:rPr>
      </w:pPr>
    </w:p>
    <w:p>
      <w:pPr>
        <w:pStyle w:val="46"/>
        <w:rPr>
          <w:rFonts w:hint="eastAsia" w:ascii="宋体" w:hAnsi="宋体" w:eastAsia="宋体" w:cs="宋体"/>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bidi w:val="0"/>
        <w:rPr>
          <w:rFonts w:hint="eastAsia"/>
          <w:color w:val="auto"/>
          <w:highlight w:val="none"/>
          <w:lang w:val="en-US" w:eastAsia="zh-CN"/>
        </w:rPr>
      </w:pPr>
      <w:r>
        <w:rPr>
          <w:rFonts w:hint="eastAsia"/>
          <w:color w:val="auto"/>
          <w:highlight w:val="none"/>
          <w:lang w:val="en-US" w:eastAsia="zh-CN"/>
        </w:rPr>
        <w:t>日  期：</w:t>
      </w:r>
      <w:r>
        <w:rPr>
          <w:rFonts w:hint="eastAsia"/>
          <w:color w:val="auto"/>
          <w:highlight w:val="none"/>
          <w:u w:val="single"/>
          <w:lang w:val="en-US" w:eastAsia="zh-CN"/>
        </w:rPr>
        <w:t xml:space="preserve">      </w:t>
      </w:r>
      <w:r>
        <w:rPr>
          <w:rFonts w:hint="eastAsia"/>
          <w:color w:val="auto"/>
          <w:highlight w:val="none"/>
          <w:lang w:val="en-US" w:eastAsia="zh-CN"/>
        </w:rPr>
        <w:t>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cs="宋体"/>
          <w:color w:val="auto"/>
          <w:highlight w:val="none"/>
          <w:lang w:val="en-US" w:eastAsia="zh-CN"/>
        </w:rPr>
        <w:t>1</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中小企业声明函</w:t>
      </w:r>
    </w:p>
    <w:p>
      <w:pPr>
        <w:ind w:firstLine="480"/>
        <w:rPr>
          <w:rFonts w:hint="eastAsia" w:asciiTheme="minorEastAsia" w:hAnsiTheme="minorEastAsia" w:eastAsiaTheme="minorEastAsia" w:cstheme="minorEastAsia"/>
          <w:color w:val="auto"/>
          <w:highlight w:val="none"/>
        </w:rPr>
      </w:pPr>
      <w:bookmarkStart w:id="280" w:name="_Toc14290"/>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本公司郑重声明，根据《政府采购促进中小企业发展管理办法》（财库〔2020〕46 号）的规定，本公司参加 </w:t>
      </w:r>
      <w:r>
        <w:rPr>
          <w:rFonts w:hint="eastAsia" w:asciiTheme="minorEastAsia" w:hAnsiTheme="minorEastAsia" w:eastAsiaTheme="minorEastAsia" w:cstheme="minorEastAsia"/>
          <w:color w:val="auto"/>
          <w:highlight w:val="none"/>
          <w:u w:val="single"/>
        </w:rPr>
        <w:t xml:space="preserve">（单位名称）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（项目名称） </w:t>
      </w:r>
      <w:r>
        <w:rPr>
          <w:rFonts w:hint="eastAsia" w:asciiTheme="minorEastAsia" w:hAnsiTheme="minorEastAsia" w:eastAsiaTheme="minorEastAsia" w:cstheme="minorEastAsia"/>
          <w:color w:val="auto"/>
          <w:highlight w:val="none"/>
        </w:rPr>
        <w:t>采购活动，</w:t>
      </w:r>
      <w:r>
        <w:rPr>
          <w:rFonts w:hint="eastAsia" w:asciiTheme="minorEastAsia" w:hAnsiTheme="minorEastAsia" w:eastAsiaTheme="minorEastAsia" w:cstheme="minorEastAsia"/>
          <w:color w:val="auto"/>
          <w:highlight w:val="none"/>
          <w:lang w:eastAsia="zh-CN"/>
        </w:rPr>
        <w:t>提供的货物</w:t>
      </w:r>
      <w:r>
        <w:rPr>
          <w:rFonts w:hint="eastAsia" w:asciiTheme="minorEastAsia" w:hAnsiTheme="minorEastAsia" w:eastAsiaTheme="minorEastAsia" w:cstheme="minorEastAsia"/>
          <w:color w:val="auto"/>
          <w:highlight w:val="none"/>
        </w:rPr>
        <w:t>全部由符合政策要求的中小企业</w:t>
      </w:r>
      <w:r>
        <w:rPr>
          <w:rFonts w:hint="eastAsia" w:asciiTheme="minorEastAsia" w:hAnsiTheme="minorEastAsia" w:eastAsiaTheme="minorEastAsia" w:cstheme="minorEastAsia"/>
          <w:color w:val="auto"/>
          <w:highlight w:val="none"/>
          <w:lang w:eastAsia="zh-CN"/>
        </w:rPr>
        <w:t>制造</w:t>
      </w:r>
      <w:r>
        <w:rPr>
          <w:rFonts w:hint="eastAsia" w:asciiTheme="minorEastAsia" w:hAnsiTheme="minorEastAsia" w:eastAsiaTheme="minorEastAsia" w:cstheme="minorEastAsia"/>
          <w:color w:val="auto"/>
          <w:highlight w:val="none"/>
        </w:rPr>
        <w:t>。相关企业</w:t>
      </w:r>
      <w:r>
        <w:rPr>
          <w:rFonts w:hint="eastAsia" w:asciiTheme="minorEastAsia" w:hAnsiTheme="minorEastAsia" w:eastAsiaTheme="minorEastAsia" w:cstheme="minorEastAsia"/>
          <w:color w:val="auto"/>
          <w:highlight w:val="none"/>
          <w:u w:val="none"/>
        </w:rPr>
        <w:t>的具体情况如下：</w:t>
      </w:r>
      <w:r>
        <w:rPr>
          <w:rFonts w:hint="eastAsia" w:asciiTheme="minorEastAsia" w:hAnsiTheme="minorEastAsia" w:eastAsiaTheme="minorEastAsia" w:cstheme="minorEastAsia"/>
          <w:color w:val="auto"/>
          <w:highlight w:val="none"/>
          <w:u w:val="single"/>
        </w:rPr>
        <w:br w:type="textWrapping"/>
      </w:r>
      <w:r>
        <w:rPr>
          <w:rFonts w:hint="eastAsia" w:asciiTheme="minorEastAsia" w:hAnsiTheme="minorEastAsia" w:eastAsiaTheme="minorEastAsia" w:cstheme="minorEastAsia"/>
          <w:color w:val="auto"/>
          <w:highlight w:val="none"/>
          <w:u w:val="none"/>
        </w:rPr>
        <w:t>　　</w:t>
      </w:r>
      <w:bookmarkStart w:id="281" w:name="_Toc387147344"/>
      <w:bookmarkStart w:id="282" w:name="_Toc413748654"/>
      <w:bookmarkStart w:id="283" w:name="_Toc387658050"/>
      <w:bookmarkStart w:id="284" w:name="_Toc419811733"/>
      <w:bookmarkStart w:id="285" w:name="_Toc417911732"/>
      <w:r>
        <w:rPr>
          <w:rFonts w:hint="eastAsia" w:asciiTheme="minorEastAsia" w:hAnsiTheme="minorEastAsia" w:eastAsiaTheme="minorEastAsia" w:cstheme="minorEastAsia"/>
          <w:color w:val="auto"/>
          <w:highlight w:val="none"/>
          <w:u w:val="none"/>
        </w:rPr>
        <w:t>1.</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lang w:val="en-US" w:eastAsia="zh-CN"/>
        </w:rPr>
        <w:t>标的名称</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（采购文件中明确的所属行业）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制造商为</w:t>
      </w:r>
      <w:r>
        <w:rPr>
          <w:rFonts w:hint="eastAsia" w:asciiTheme="minorEastAsia" w:hAnsiTheme="minorEastAsia" w:eastAsiaTheme="minorEastAsia" w:cstheme="minorEastAsia"/>
          <w:color w:val="auto"/>
          <w:highlight w:val="none"/>
          <w:u w:val="single"/>
          <w:lang w:eastAsia="zh-CN"/>
        </w:rPr>
        <w:t>（企业名称）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none"/>
          <w:lang w:val="en-US" w:eastAsia="zh-CN"/>
        </w:rPr>
        <w:t>2.</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lang w:val="en-US" w:eastAsia="zh-CN"/>
        </w:rPr>
        <w:t>标的名称</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（采购文件中明确的所属行业）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制造商为</w:t>
      </w:r>
      <w:r>
        <w:rPr>
          <w:rFonts w:hint="eastAsia" w:asciiTheme="minorEastAsia" w:hAnsiTheme="minorEastAsia" w:eastAsiaTheme="minorEastAsia" w:cstheme="minorEastAsia"/>
          <w:color w:val="auto"/>
          <w:highlight w:val="none"/>
          <w:u w:val="single"/>
          <w:lang w:eastAsia="zh-CN"/>
        </w:rPr>
        <w:t>（企业名称）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color w:val="auto"/>
          <w:highlight w:val="none"/>
        </w:rPr>
      </w:pP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50"/>
        <w:rPr>
          <w:color w:val="auto"/>
          <w:highlight w:val="none"/>
        </w:rPr>
      </w:pPr>
    </w:p>
    <w:p>
      <w:pPr>
        <w:adjustRightInd w:val="0"/>
        <w:snapToGrid w:val="0"/>
        <w:ind w:firstLine="480"/>
        <w:rPr>
          <w:color w:val="auto"/>
          <w:highlight w:val="none"/>
        </w:rPr>
      </w:pPr>
      <w:r>
        <w:rPr>
          <w:rFonts w:hint="eastAsia" w:asciiTheme="minorEastAsia" w:hAnsiTheme="minorEastAsia" w:eastAsiaTheme="minorEastAsia" w:cstheme="minorEastAsia"/>
          <w:color w:val="auto"/>
          <w:highlight w:val="none"/>
        </w:rPr>
        <w:t xml:space="preserve">                                </w:t>
      </w:r>
      <w:r>
        <w:rPr>
          <w:rFonts w:hint="eastAsia"/>
          <w:color w:val="auto"/>
          <w:highlight w:val="none"/>
        </w:rPr>
        <w:t xml:space="preserve"> 企业名称（盖章）：</w:t>
      </w:r>
      <w:r>
        <w:rPr>
          <w:rFonts w:hint="eastAsia"/>
          <w:color w:val="auto"/>
          <w:highlight w:val="none"/>
          <w:u w:val="single"/>
        </w:rPr>
        <w:t xml:space="preserve">                </w:t>
      </w:r>
    </w:p>
    <w:p>
      <w:pPr>
        <w:adjustRightInd w:val="0"/>
        <w:snapToGrid w:val="0"/>
        <w:ind w:firstLine="480"/>
        <w:rPr>
          <w:color w:val="auto"/>
          <w:spacing w:val="6"/>
          <w:highlight w:val="none"/>
          <w:u w:val="singl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
        <w:ind w:left="0" w:leftChars="0" w:firstLine="0" w:firstLineChars="0"/>
        <w:rPr>
          <w:color w:val="auto"/>
          <w:highlight w:val="none"/>
        </w:rPr>
      </w:pPr>
    </w:p>
    <w:bookmarkEnd w:id="281"/>
    <w:bookmarkEnd w:id="282"/>
    <w:bookmarkEnd w:id="283"/>
    <w:bookmarkEnd w:id="284"/>
    <w:bookmarkEnd w:id="285"/>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4"/>
          <w:szCs w:val="24"/>
          <w:highlight w:val="none"/>
        </w:rPr>
      </w:pPr>
    </w:p>
    <w:p>
      <w:pPr>
        <w:ind w:left="0" w:leftChars="0" w:firstLine="0" w:firstLineChars="0"/>
        <w:rPr>
          <w:rFonts w:ascii="宋体" w:hAnsi="宋体" w:eastAsia="宋体" w:cs="宋体"/>
          <w:color w:val="auto"/>
          <w:sz w:val="22"/>
          <w:szCs w:val="22"/>
          <w:highlight w:val="none"/>
        </w:rPr>
      </w:pPr>
    </w:p>
    <w:p>
      <w:pPr>
        <w:bidi w:val="0"/>
        <w:rPr>
          <w:rFonts w:hint="eastAsia" w:ascii="宋体" w:hAnsi="宋体" w:eastAsia="宋体" w:cs="宋体"/>
          <w:color w:val="auto"/>
          <w:highlight w:val="none"/>
          <w:lang w:val="en-US" w:eastAsia="zh-CN"/>
        </w:rPr>
      </w:pPr>
      <w:r>
        <w:rPr>
          <w:color w:val="auto"/>
          <w:highlight w:val="none"/>
        </w:rPr>
        <w:t>从业人员、营业收入、资产总额填报上一年度数据，无上一年度数据的新成立企业可不填</w:t>
      </w:r>
      <w:r>
        <w:rPr>
          <w:rFonts w:hint="eastAsia"/>
          <w:color w:val="auto"/>
          <w:highlight w:val="none"/>
          <w:lang w:eastAsia="zh-CN"/>
        </w:rPr>
        <w:t>报。</w:t>
      </w:r>
      <w:r>
        <w:rPr>
          <w:rFonts w:hint="eastAsia" w:ascii="宋体" w:hAnsi="宋体" w:eastAsia="宋体" w:cs="宋体"/>
          <w:color w:val="auto"/>
          <w:highlight w:val="none"/>
          <w:lang w:val="en-US" w:eastAsia="zh-CN"/>
        </w:rPr>
        <w:br w:type="page"/>
      </w:r>
    </w:p>
    <w:p>
      <w:pPr>
        <w:pStyle w:val="5"/>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cs="宋体"/>
          <w:color w:val="auto"/>
          <w:highlight w:val="none"/>
          <w:lang w:val="en-US" w:eastAsia="zh-CN"/>
        </w:rPr>
        <w:t>1</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监狱企业证明文件</w:t>
      </w:r>
      <w:bookmarkEnd w:id="280"/>
    </w:p>
    <w:p>
      <w:pPr>
        <w:pStyle w:val="46"/>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pStyle w:val="46"/>
        <w:autoSpaceDE/>
        <w:autoSpaceDN/>
        <w:snapToGrid w:val="0"/>
        <w:spacing w:line="360" w:lineRule="auto"/>
        <w:rPr>
          <w:rFonts w:hint="eastAsia" w:ascii="宋体" w:hAnsi="宋体" w:eastAsia="宋体" w:cs="宋体"/>
          <w:b/>
          <w:color w:val="auto"/>
          <w:szCs w:val="24"/>
          <w:highlight w:val="none"/>
        </w:rPr>
      </w:pPr>
    </w:p>
    <w:p>
      <w:pPr>
        <w:pStyle w:val="46"/>
        <w:autoSpaceDE/>
        <w:autoSpaceDN/>
        <w:snapToGrid w:val="0"/>
        <w:spacing w:line="360" w:lineRule="auto"/>
        <w:rPr>
          <w:rFonts w:hint="eastAsia" w:ascii="宋体" w:hAnsi="宋体" w:eastAsia="宋体" w:cs="宋体"/>
          <w:b/>
          <w:color w:val="auto"/>
          <w:szCs w:val="24"/>
          <w:highlight w:val="none"/>
        </w:rPr>
      </w:pPr>
    </w:p>
    <w:p>
      <w:pPr>
        <w:pStyle w:val="46"/>
        <w:autoSpaceDE/>
        <w:autoSpaceDN/>
        <w:snapToGrid w:val="0"/>
        <w:spacing w:line="360" w:lineRule="auto"/>
        <w:rPr>
          <w:rFonts w:hint="eastAsia" w:ascii="宋体" w:hAnsi="宋体" w:eastAsia="宋体" w:cs="宋体"/>
          <w:b/>
          <w:color w:val="auto"/>
          <w:szCs w:val="24"/>
          <w:highlight w:val="none"/>
        </w:rPr>
      </w:pPr>
    </w:p>
    <w:p>
      <w:pPr>
        <w:pStyle w:val="46"/>
        <w:autoSpaceDE/>
        <w:autoSpaceDN/>
        <w:snapToGrid w:val="0"/>
        <w:spacing w:line="360" w:lineRule="auto"/>
        <w:rPr>
          <w:rFonts w:hint="eastAsia" w:ascii="宋体" w:hAnsi="宋体" w:eastAsia="宋体" w:cs="宋体"/>
          <w:b/>
          <w:color w:val="auto"/>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注：1、监狱企业</w:t>
      </w:r>
      <w:r>
        <w:rPr>
          <w:rFonts w:hint="eastAsia" w:ascii="宋体" w:hAnsi="宋体" w:eastAsia="宋体" w:cs="宋体"/>
          <w:b/>
          <w:bCs/>
          <w:color w:val="auto"/>
          <w:sz w:val="21"/>
          <w:szCs w:val="21"/>
          <w:highlight w:val="none"/>
          <w:lang w:val="zh-CN"/>
        </w:rPr>
        <w:t>应当提供由省级以上监狱管理局、戒毒管理局（含新疆生产建设兵团）出具的属于监狱企业的证明文件复印件，复印件加盖公章。</w:t>
      </w:r>
    </w:p>
    <w:p>
      <w:pPr>
        <w:bidi w:val="0"/>
        <w:ind w:firstLine="562"/>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、供应商如提供虚假的监狱企业证明文件，则采购人有权取消参加磋商、成交候选或成交资格，有权终止合同，并报政府采购监管部门。</w:t>
      </w:r>
    </w:p>
    <w:p>
      <w:pPr>
        <w:rPr>
          <w:rFonts w:hint="eastAsia" w:ascii="宋体" w:hAnsi="宋体" w:eastAsia="宋体" w:cs="宋体"/>
          <w:b/>
          <w:color w:val="auto"/>
          <w:sz w:val="24"/>
          <w:szCs w:val="24"/>
          <w:highlight w:val="none"/>
          <w:lang w:val="en-US" w:eastAsia="zh-CN"/>
        </w:rPr>
      </w:pPr>
      <w:bookmarkStart w:id="286" w:name="_Toc8823"/>
      <w:r>
        <w:rPr>
          <w:rFonts w:hint="eastAsia" w:ascii="宋体" w:hAnsi="宋体" w:eastAsia="宋体" w:cs="宋体"/>
          <w:b/>
          <w:color w:val="auto"/>
          <w:sz w:val="24"/>
          <w:szCs w:val="24"/>
          <w:highlight w:val="none"/>
          <w:lang w:val="en-US" w:eastAsia="zh-CN"/>
        </w:rPr>
        <w:br w:type="page"/>
      </w:r>
    </w:p>
    <w:p>
      <w:pPr>
        <w:pStyle w:val="5"/>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cs="宋体"/>
          <w:color w:val="auto"/>
          <w:highlight w:val="none"/>
          <w:lang w:val="en-US" w:eastAsia="zh-CN"/>
        </w:rPr>
        <w:t>1</w:t>
      </w:r>
      <w:r>
        <w:rPr>
          <w:rFonts w:hint="eastAsia" w:ascii="宋体" w:hAnsi="宋体" w:eastAsia="宋体" w:cs="宋体"/>
          <w:color w:val="auto"/>
          <w:highlight w:val="none"/>
        </w:rPr>
        <w:t>.</w:t>
      </w:r>
      <w:r>
        <w:rPr>
          <w:rFonts w:hint="eastAsia" w:cs="宋体"/>
          <w:color w:val="auto"/>
          <w:highlight w:val="none"/>
          <w:lang w:val="en-US" w:eastAsia="zh-CN"/>
        </w:rPr>
        <w:t>7</w:t>
      </w:r>
      <w:r>
        <w:rPr>
          <w:rFonts w:hint="eastAsia" w:ascii="宋体" w:hAnsi="宋体" w:eastAsia="宋体" w:cs="宋体"/>
          <w:color w:val="auto"/>
          <w:highlight w:val="none"/>
        </w:rPr>
        <w:t>残疾人福利性单位声明函</w:t>
      </w:r>
      <w:bookmarkEnd w:id="286"/>
    </w:p>
    <w:p>
      <w:pPr>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项目采购活动提供本单位制造的货物（由本单位承担工程/提供服务），或者提供其他残疾人福利性单位制造的货物（不包括使用非残疾人福利性单位注册商标的货物）。</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adjustRightInd w:val="0"/>
        <w:snapToGrid w:val="0"/>
        <w:spacing w:line="360" w:lineRule="auto"/>
        <w:ind w:firstLine="504" w:firstLineChars="200"/>
        <w:rPr>
          <w:rFonts w:hint="eastAsia" w:ascii="宋体" w:hAnsi="宋体" w:eastAsia="宋体" w:cs="宋体"/>
          <w:color w:val="auto"/>
          <w:spacing w:val="6"/>
          <w:sz w:val="24"/>
          <w:szCs w:val="24"/>
          <w:highlight w:val="none"/>
        </w:rPr>
      </w:pPr>
    </w:p>
    <w:p>
      <w:pPr>
        <w:pStyle w:val="46"/>
        <w:autoSpaceDE/>
        <w:autoSpaceDN/>
        <w:snapToGrid w:val="0"/>
        <w:spacing w:line="360" w:lineRule="auto"/>
        <w:rPr>
          <w:rFonts w:hint="eastAsia" w:ascii="宋体" w:hAnsi="宋体" w:eastAsia="宋体" w:cs="宋体"/>
          <w:color w:val="auto"/>
          <w:spacing w:val="6"/>
          <w:szCs w:val="24"/>
          <w:highlight w:val="none"/>
        </w:rPr>
      </w:pPr>
    </w:p>
    <w:p>
      <w:pPr>
        <w:pStyle w:val="46"/>
        <w:autoSpaceDE/>
        <w:autoSpaceDN/>
        <w:snapToGrid w:val="0"/>
        <w:spacing w:line="360" w:lineRule="auto"/>
        <w:rPr>
          <w:rFonts w:hint="eastAsia" w:ascii="宋体" w:hAnsi="宋体" w:eastAsia="宋体" w:cs="宋体"/>
          <w:color w:val="auto"/>
          <w:spacing w:val="6"/>
          <w:szCs w:val="24"/>
          <w:highlight w:val="none"/>
        </w:rPr>
      </w:pPr>
    </w:p>
    <w:p>
      <w:pPr>
        <w:pStyle w:val="46"/>
        <w:autoSpaceDE/>
        <w:autoSpaceDN/>
        <w:snapToGrid w:val="0"/>
        <w:spacing w:line="360" w:lineRule="auto"/>
        <w:rPr>
          <w:rFonts w:hint="eastAsia" w:ascii="宋体" w:hAnsi="宋体" w:eastAsia="宋体" w:cs="宋体"/>
          <w:color w:val="auto"/>
          <w:spacing w:val="6"/>
          <w:szCs w:val="24"/>
          <w:highlight w:val="none"/>
        </w:rPr>
      </w:pPr>
    </w:p>
    <w:p>
      <w:pPr>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单位名称（盖章）：</w:t>
      </w:r>
      <w:r>
        <w:rPr>
          <w:rFonts w:hint="eastAsia" w:ascii="宋体" w:hAnsi="宋体" w:eastAsia="宋体" w:cs="宋体"/>
          <w:color w:val="auto"/>
          <w:spacing w:val="6"/>
          <w:sz w:val="24"/>
          <w:szCs w:val="24"/>
          <w:highlight w:val="none"/>
          <w:u w:val="single"/>
        </w:rPr>
        <w:t xml:space="preserve">               </w:t>
      </w:r>
    </w:p>
    <w:p>
      <w:pPr>
        <w:tabs>
          <w:tab w:val="left" w:pos="4860"/>
        </w:tabs>
        <w:adjustRightInd w:val="0"/>
        <w:snapToGrid w:val="0"/>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line="360" w:lineRule="auto"/>
        <w:rPr>
          <w:rFonts w:hint="eastAsia" w:ascii="宋体" w:hAnsi="宋体" w:eastAsia="宋体" w:cs="宋体"/>
          <w:b/>
          <w:color w:val="auto"/>
          <w:sz w:val="24"/>
          <w:szCs w:val="24"/>
          <w:highlight w:val="none"/>
        </w:rPr>
      </w:pPr>
    </w:p>
    <w:p>
      <w:pPr>
        <w:pStyle w:val="46"/>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color w:val="auto"/>
          <w:sz w:val="24"/>
          <w:szCs w:val="24"/>
          <w:highlight w:val="none"/>
        </w:rPr>
      </w:pP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注：供应商如提供虚假残疾人福利性单位声明函的，则采购人有权取消参加磋商、成交候选或成交资格，有权终止合同，并报政府采购监管部门。</w:t>
      </w:r>
    </w:p>
    <w:p>
      <w:pPr>
        <w:bidi w:val="0"/>
        <w:rPr>
          <w:rFonts w:hint="eastAsia"/>
          <w:color w:val="auto"/>
          <w:highlight w:val="none"/>
          <w:lang w:val="en-US" w:eastAsia="zh-CN"/>
        </w:rPr>
      </w:pPr>
    </w:p>
    <w:bookmarkEnd w:id="279"/>
    <w:p>
      <w:pPr>
        <w:rPr>
          <w:rFonts w:hint="eastAsia" w:ascii="宋体" w:hAnsi="宋体" w:eastAsia="宋体" w:cs="宋体"/>
          <w:color w:val="auto"/>
          <w:highlight w:val="none"/>
          <w:lang w:val="en-US" w:eastAsia="zh-CN"/>
        </w:rPr>
      </w:pPr>
      <w:bookmarkStart w:id="287" w:name="_Toc24916"/>
      <w:r>
        <w:rPr>
          <w:rFonts w:hint="eastAsia" w:ascii="宋体" w:hAnsi="宋体" w:eastAsia="宋体" w:cs="宋体"/>
          <w:color w:val="auto"/>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.1.</w:t>
      </w:r>
      <w:bookmarkEnd w:id="287"/>
      <w:r>
        <w:rPr>
          <w:rFonts w:hint="eastAsia"/>
          <w:color w:val="auto"/>
          <w:highlight w:val="none"/>
          <w:lang w:val="en-US" w:eastAsia="zh-CN"/>
        </w:rPr>
        <w:t>8供应商</w:t>
      </w:r>
      <w:r>
        <w:rPr>
          <w:rFonts w:hint="eastAsia"/>
          <w:color w:val="auto"/>
          <w:highlight w:val="none"/>
        </w:rPr>
        <w:t>应当提供的资格、资质性及其他具有类似效力要求的相关证明材料</w:t>
      </w: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注：复印件加盖公章。</w:t>
      </w: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p>
    <w:p>
      <w:pPr>
        <w:pStyle w:val="4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bidi w:val="0"/>
        <w:rPr>
          <w:rFonts w:hint="eastAsia" w:ascii="宋体" w:hAnsi="宋体" w:eastAsia="宋体" w:cs="宋体"/>
          <w:color w:val="auto"/>
          <w:highlight w:val="none"/>
          <w:lang w:val="en-US" w:eastAsia="zh-CN"/>
        </w:rPr>
      </w:pPr>
      <w:bookmarkStart w:id="288" w:name="_Toc4762"/>
      <w:bookmarkStart w:id="289" w:name="_Toc448403805"/>
      <w:bookmarkStart w:id="290" w:name="_Toc17346"/>
      <w:bookmarkStart w:id="291" w:name="_Toc1534"/>
      <w:bookmarkStart w:id="292" w:name="_Toc30717"/>
      <w:bookmarkStart w:id="293" w:name="_Toc461622400"/>
      <w:bookmarkStart w:id="294" w:name="_Toc12993"/>
      <w:r>
        <w:rPr>
          <w:rFonts w:hint="eastAsia" w:ascii="宋体" w:hAnsi="宋体" w:eastAsia="宋体" w:cs="宋体"/>
          <w:color w:val="auto"/>
          <w:highlight w:val="none"/>
          <w:lang w:val="en-US" w:eastAsia="zh-CN"/>
        </w:rPr>
        <w:t>7.2其他响应文件格式</w:t>
      </w:r>
      <w:bookmarkEnd w:id="288"/>
      <w:bookmarkEnd w:id="289"/>
      <w:bookmarkEnd w:id="290"/>
      <w:bookmarkEnd w:id="291"/>
      <w:bookmarkEnd w:id="292"/>
      <w:bookmarkEnd w:id="293"/>
      <w:bookmarkEnd w:id="294"/>
    </w:p>
    <w:p>
      <w:pPr>
        <w:pStyle w:val="5"/>
        <w:bidi w:val="0"/>
        <w:rPr>
          <w:rFonts w:hint="eastAsia" w:ascii="宋体" w:hAnsi="宋体" w:eastAsia="宋体" w:cs="宋体"/>
          <w:color w:val="auto"/>
          <w:highlight w:val="none"/>
        </w:rPr>
      </w:pPr>
      <w:bookmarkStart w:id="295" w:name="_Toc1261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.2.1其他响应文件封面格式</w:t>
      </w:r>
      <w:bookmarkEnd w:id="295"/>
    </w:p>
    <w:tbl>
      <w:tblPr>
        <w:tblStyle w:val="31"/>
        <w:tblW w:w="91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9120" w:type="dxa"/>
          </w:tcPr>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p>
            <w:pPr>
              <w:pStyle w:val="46"/>
              <w:rPr>
                <w:rFonts w:hint="eastAsia" w:ascii="宋体" w:hAnsi="宋体" w:eastAsia="宋体" w:cs="宋体"/>
                <w:color w:val="auto"/>
                <w:szCs w:val="24"/>
                <w:highlight w:val="none"/>
              </w:rPr>
            </w:pPr>
          </w:p>
          <w:p>
            <w:pPr>
              <w:pStyle w:val="46"/>
              <w:rPr>
                <w:rFonts w:hint="eastAsia" w:ascii="宋体" w:hAnsi="宋体" w:eastAsia="宋体" w:cs="宋体"/>
                <w:color w:val="auto"/>
                <w:szCs w:val="24"/>
                <w:highlight w:val="none"/>
              </w:rPr>
            </w:pP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其他响应文件</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pPr>
              <w:pStyle w:val="46"/>
              <w:rPr>
                <w:rFonts w:hint="eastAsia" w:ascii="宋体" w:hAnsi="宋体" w:eastAsia="宋体" w:cs="宋体"/>
                <w:color w:val="auto"/>
                <w:highlight w:val="none"/>
              </w:rPr>
            </w:pPr>
          </w:p>
          <w:p>
            <w:pPr>
              <w:adjustRightInd w:val="0"/>
              <w:snapToGrid w:val="0"/>
              <w:spacing w:line="360" w:lineRule="auto"/>
              <w:ind w:left="1541" w:hanging="1540" w:hangingChars="6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r>
    </w:tbl>
    <w:p>
      <w:pPr>
        <w:adjustRightInd w:val="0"/>
        <w:snapToGrid w:val="0"/>
        <w:spacing w:line="360" w:lineRule="auto"/>
        <w:rPr>
          <w:rFonts w:hint="eastAsia" w:ascii="宋体" w:hAnsi="宋体" w:eastAsia="宋体" w:cs="宋体"/>
          <w:b/>
          <w:color w:val="auto"/>
          <w:sz w:val="24"/>
          <w:szCs w:val="24"/>
          <w:highlight w:val="none"/>
        </w:rPr>
      </w:pP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温馨提示：</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一、其他响应文件正本一份、副本二份；</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二、其他响应文件应于截止时间前送指定地点；</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三、签字、盖章应符合磋商文件要求。</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7.2.2</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函</w:t>
      </w:r>
    </w:p>
    <w:p>
      <w:pPr>
        <w:bidi w:val="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四川天力招标有限责任公司：</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1.我方全面研究了“</w:t>
      </w:r>
      <w:r>
        <w:rPr>
          <w:rFonts w:hint="eastAsia" w:ascii="宋体" w:hAnsi="宋体" w:eastAsia="宋体" w:cs="宋体"/>
          <w:b/>
          <w:bCs/>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（项目名称）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竞争性</w:t>
      </w:r>
      <w:r>
        <w:rPr>
          <w:rFonts w:hint="eastAsia" w:ascii="宋体" w:hAnsi="宋体" w:eastAsia="宋体" w:cs="宋体"/>
          <w:color w:val="auto"/>
          <w:sz w:val="24"/>
          <w:highlight w:val="none"/>
        </w:rPr>
        <w:t>磋商文件（</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），决定参加贵单位组织的本项目磋商采购。</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olor w:val="auto"/>
          <w:highlight w:val="none"/>
        </w:rPr>
      </w:pPr>
      <w:r>
        <w:rPr>
          <w:rFonts w:hint="eastAsia" w:ascii="宋体" w:hAnsi="宋体" w:eastAsia="宋体" w:cs="宋体"/>
          <w:color w:val="auto"/>
          <w:sz w:val="24"/>
          <w:highlight w:val="none"/>
        </w:rPr>
        <w:t>2.我方自愿按照磋商文件规定的各项要求向采购人提供所需</w:t>
      </w:r>
      <w:r>
        <w:rPr>
          <w:rFonts w:hint="default" w:cs="宋体"/>
          <w:color w:val="auto"/>
          <w:sz w:val="24"/>
          <w:highlight w:val="none"/>
          <w:lang w:eastAsia="zh-CN"/>
        </w:rPr>
        <w:t>货物</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总报价</w:t>
      </w:r>
      <w:r>
        <w:rPr>
          <w:rFonts w:hint="eastAsia"/>
          <w:b/>
          <w:bCs/>
          <w:color w:val="auto"/>
          <w:highlight w:val="none"/>
        </w:rPr>
        <w:t>为人民币</w:t>
      </w:r>
      <w:r>
        <w:rPr>
          <w:rFonts w:hint="eastAsia"/>
          <w:b/>
          <w:bCs/>
          <w:color w:val="auto"/>
          <w:highlight w:val="none"/>
          <w:u w:val="single"/>
        </w:rPr>
        <w:t xml:space="preserve">          </w:t>
      </w:r>
      <w:r>
        <w:rPr>
          <w:rFonts w:hint="eastAsia"/>
          <w:b/>
          <w:bCs/>
          <w:color w:val="auto"/>
          <w:highlight w:val="none"/>
        </w:rPr>
        <w:t>元，（大写:</w:t>
      </w:r>
      <w:r>
        <w:rPr>
          <w:rFonts w:hint="eastAsia"/>
          <w:b/>
          <w:bCs/>
          <w:color w:val="auto"/>
          <w:highlight w:val="none"/>
          <w:u w:val="single"/>
        </w:rPr>
        <w:t xml:space="preserve">            </w:t>
      </w:r>
      <w:r>
        <w:rPr>
          <w:rFonts w:hint="eastAsia"/>
          <w:b/>
          <w:bCs/>
          <w:color w:val="auto"/>
          <w:highlight w:val="none"/>
        </w:rPr>
        <w:t>）</w:t>
      </w:r>
      <w:r>
        <w:rPr>
          <w:rFonts w:hint="eastAsia"/>
          <w:color w:val="auto"/>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3.一旦我方成交，我方将严格履行政府采购合同规定的责任和义务。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4.我方为本项目提交的响应文件正本1份，副本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、电子文档</w:t>
      </w:r>
      <w:r>
        <w:rPr>
          <w:rFonts w:hint="eastAsia" w:ascii="宋体" w:hAnsi="宋体" w:eastAsia="宋体" w:cs="宋体"/>
          <w:color w:val="auto"/>
          <w:sz w:val="24"/>
          <w:highlight w:val="none"/>
          <w:lang w:val="en-US" w:eastAsia="zh-CN"/>
        </w:rPr>
        <w:t>1份</w:t>
      </w:r>
      <w:r>
        <w:rPr>
          <w:rFonts w:hint="eastAsia" w:ascii="宋体" w:hAnsi="宋体" w:eastAsia="宋体" w:cs="宋体"/>
          <w:color w:val="auto"/>
          <w:sz w:val="24"/>
          <w:highlight w:val="none"/>
        </w:rPr>
        <w:t>，用于磋商报价。</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5</w:t>
      </w:r>
      <w:r>
        <w:rPr>
          <w:rFonts w:hint="eastAsia" w:ascii="宋体" w:hAnsi="宋体" w:eastAsia="宋体" w:cs="宋体"/>
          <w:color w:val="auto"/>
          <w:sz w:val="24"/>
          <w:highlight w:val="none"/>
        </w:rPr>
        <w:t>.我方愿意提供贵单位可能另外要求的，与磋商报价有关的文件资料，并保证我方已提供和将要提供的文件资料是真实、准确的。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cs="宋体"/>
          <w:color w:val="auto"/>
          <w:sz w:val="24"/>
          <w:highlight w:val="none"/>
          <w:lang w:val="en-US" w:eastAsia="zh-CN"/>
        </w:rPr>
        <w:t>6</w:t>
      </w:r>
      <w:r>
        <w:rPr>
          <w:rFonts w:hint="eastAsia" w:ascii="宋体" w:hAnsi="宋体" w:eastAsia="宋体" w:cs="宋体"/>
          <w:color w:val="auto"/>
          <w:sz w:val="24"/>
          <w:highlight w:val="none"/>
        </w:rPr>
        <w:t>.本次磋商，我方递交的响应文件有效期为磋商文件规定起算之日起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w:t>
      </w:r>
    </w:p>
    <w:p>
      <w:pPr>
        <w:pStyle w:val="46"/>
        <w:rPr>
          <w:rFonts w:hint="eastAsia" w:ascii="宋体" w:hAnsi="宋体" w:eastAsia="宋体" w:cs="宋体"/>
          <w:color w:val="auto"/>
          <w:sz w:val="24"/>
          <w:highlight w:val="none"/>
        </w:rPr>
      </w:pPr>
    </w:p>
    <w:p>
      <w:pPr>
        <w:pStyle w:val="46"/>
        <w:rPr>
          <w:rFonts w:hint="eastAsia" w:ascii="宋体" w:hAnsi="宋体" w:eastAsia="宋体" w:cs="宋体"/>
          <w:color w:val="auto"/>
          <w:sz w:val="24"/>
          <w:highlight w:val="none"/>
        </w:rPr>
      </w:pPr>
    </w:p>
    <w:p>
      <w:pPr>
        <w:pStyle w:val="46"/>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highlight w:val="none"/>
        </w:rPr>
        <w:t>或授权代表（签字或盖章）：</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报价一览表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color w:val="auto"/>
          <w:sz w:val="28"/>
          <w:szCs w:val="28"/>
          <w:highlight w:val="none"/>
          <w:lang w:val="en-US"/>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63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88" w:type="dxa"/>
            <w:vAlign w:val="center"/>
          </w:tcPr>
          <w:p>
            <w:pPr>
              <w:spacing w:line="400" w:lineRule="exact"/>
              <w:ind w:firstLine="0" w:firstLineChars="0"/>
              <w:jc w:val="center"/>
              <w:rPr>
                <w:rFonts w:hint="eastAsia" w:ascii="宋体" w:hAnsi="宋体" w:eastAsia="宋体" w:cs="宋体"/>
                <w:color w:val="auto"/>
                <w:highlight w:val="none"/>
              </w:rPr>
            </w:pPr>
            <w:r>
              <w:rPr>
                <w:rFonts w:hint="eastAsia" w:asciiTheme="minorEastAsia" w:hAnsiTheme="minorEastAsia" w:eastAsiaTheme="minorEastAsia" w:cstheme="minorEastAsia"/>
                <w:b/>
                <w:color w:val="auto"/>
                <w:highlight w:val="none"/>
              </w:rPr>
              <w:t>序号</w:t>
            </w:r>
          </w:p>
        </w:tc>
        <w:tc>
          <w:tcPr>
            <w:tcW w:w="4631" w:type="dxa"/>
            <w:vAlign w:val="center"/>
          </w:tcPr>
          <w:p>
            <w:pPr>
              <w:spacing w:line="400" w:lineRule="exact"/>
              <w:ind w:firstLine="0" w:firstLineChars="0"/>
              <w:jc w:val="center"/>
              <w:rPr>
                <w:rFonts w:hint="eastAsia" w:ascii="宋体" w:hAnsi="宋体" w:eastAsia="宋体" w:cs="宋体"/>
                <w:color w:val="auto"/>
                <w:highlight w:val="none"/>
              </w:rPr>
            </w:pPr>
            <w:r>
              <w:rPr>
                <w:rFonts w:hint="eastAsia" w:asciiTheme="minorEastAsia" w:hAnsiTheme="minorEastAsia" w:eastAsiaTheme="minorEastAsia" w:cstheme="minorEastAsia"/>
                <w:b/>
                <w:color w:val="auto"/>
                <w:highlight w:val="none"/>
              </w:rPr>
              <w:t>项目名称</w:t>
            </w:r>
          </w:p>
        </w:tc>
        <w:tc>
          <w:tcPr>
            <w:tcW w:w="3661" w:type="dxa"/>
            <w:vAlign w:val="center"/>
          </w:tcPr>
          <w:p>
            <w:pPr>
              <w:pStyle w:val="46"/>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88" w:type="dxa"/>
            <w:vAlign w:val="center"/>
          </w:tcPr>
          <w:p>
            <w:pPr>
              <w:pStyle w:val="46"/>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p>
        </w:tc>
        <w:tc>
          <w:tcPr>
            <w:tcW w:w="4631" w:type="dxa"/>
            <w:vAlign w:val="center"/>
          </w:tcPr>
          <w:p>
            <w:pPr>
              <w:pStyle w:val="46"/>
              <w:jc w:val="center"/>
              <w:rPr>
                <w:rFonts w:hint="eastAsia" w:ascii="宋体" w:hAnsi="宋体" w:eastAsia="宋体" w:cs="宋体"/>
                <w:b w:val="0"/>
                <w:bCs w:val="0"/>
                <w:color w:val="auto"/>
                <w:highlight w:val="none"/>
              </w:rPr>
            </w:pPr>
          </w:p>
        </w:tc>
        <w:tc>
          <w:tcPr>
            <w:tcW w:w="3661" w:type="dxa"/>
            <w:vAlign w:val="center"/>
          </w:tcPr>
          <w:p>
            <w:pPr>
              <w:pStyle w:val="46"/>
              <w:jc w:val="center"/>
              <w:rPr>
                <w:rFonts w:hint="eastAsia" w:ascii="宋体" w:hAnsi="宋体" w:eastAsia="宋体" w:cs="宋体"/>
                <w:color w:val="auto"/>
                <w:highlight w:val="none"/>
              </w:rPr>
            </w:pPr>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919" w:type="dxa"/>
            <w:gridSpan w:val="2"/>
            <w:vAlign w:val="center"/>
          </w:tcPr>
          <w:p>
            <w:pPr>
              <w:pStyle w:val="46"/>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c>
          <w:tcPr>
            <w:tcW w:w="3661" w:type="dxa"/>
            <w:vAlign w:val="center"/>
          </w:tcPr>
          <w:p>
            <w:pPr>
              <w:pStyle w:val="46"/>
              <w:ind w:firstLine="964" w:firstLineChars="400"/>
              <w:jc w:val="both"/>
              <w:rPr>
                <w:rFonts w:hint="eastAsia" w:ascii="宋体" w:hAnsi="宋体" w:eastAsia="宋体" w:cs="宋体"/>
                <w:color w:val="auto"/>
                <w:highlight w:val="none"/>
              </w:rPr>
            </w:pPr>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w:t>
            </w:r>
          </w:p>
        </w:tc>
      </w:tr>
    </w:tbl>
    <w:p>
      <w:pPr>
        <w:bidi w:val="0"/>
        <w:ind w:left="0" w:leftChars="0" w:firstLine="0" w:firstLineChars="0"/>
        <w:rPr>
          <w:rFonts w:hint="eastAsia" w:ascii="宋体" w:hAnsi="宋体" w:eastAsia="宋体" w:cs="宋体"/>
          <w:b w:val="0"/>
          <w:bCs w:val="0"/>
          <w:color w:val="auto"/>
          <w:sz w:val="21"/>
          <w:szCs w:val="21"/>
          <w:highlight w:val="none"/>
        </w:rPr>
      </w:pPr>
    </w:p>
    <w:p>
      <w:pPr>
        <w:bidi w:val="0"/>
        <w:ind w:firstLine="56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 1.报价应与“</w:t>
      </w:r>
      <w:r>
        <w:rPr>
          <w:rFonts w:hint="eastAsia" w:ascii="宋体" w:hAnsi="宋体" w:eastAsia="宋体" w:cs="宋体"/>
          <w:b w:val="0"/>
          <w:bCs w:val="0"/>
          <w:color w:val="auto"/>
          <w:sz w:val="21"/>
          <w:szCs w:val="21"/>
          <w:highlight w:val="none"/>
          <w:lang w:eastAsia="zh-CN"/>
        </w:rPr>
        <w:t>报价</w:t>
      </w:r>
      <w:r>
        <w:rPr>
          <w:rFonts w:hint="eastAsia" w:ascii="宋体" w:hAnsi="宋体" w:eastAsia="宋体" w:cs="宋体"/>
          <w:b w:val="0"/>
          <w:bCs w:val="0"/>
          <w:color w:val="auto"/>
          <w:sz w:val="21"/>
          <w:szCs w:val="21"/>
          <w:highlight w:val="none"/>
        </w:rPr>
        <w:t>函”中“总报价”一致。</w:t>
      </w:r>
    </w:p>
    <w:p>
      <w:pPr>
        <w:bidi w:val="0"/>
        <w:ind w:firstLine="840" w:firstLineChars="4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所有报价均用人民币表示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报价保留小数点后两位。</w:t>
      </w:r>
    </w:p>
    <w:p>
      <w:pPr>
        <w:pStyle w:val="2"/>
        <w:ind w:left="0" w:leftChars="0" w:firstLine="0" w:firstLineChars="0"/>
        <w:rPr>
          <w:rFonts w:hint="eastAsia" w:ascii="宋体" w:hAnsi="宋体" w:eastAsia="宋体" w:cs="宋体"/>
          <w:color w:val="auto"/>
          <w:highlight w:val="none"/>
        </w:rPr>
      </w:pPr>
    </w:p>
    <w:p>
      <w:pPr>
        <w:pStyle w:val="46"/>
        <w:rPr>
          <w:rFonts w:hint="eastAsia" w:ascii="宋体" w:hAnsi="宋体" w:eastAsia="宋体" w:cs="宋体"/>
          <w:color w:val="auto"/>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bidi w:val="0"/>
        <w:rPr>
          <w:rFonts w:hint="eastAsia"/>
          <w:color w:val="auto"/>
          <w:highlight w:val="none"/>
        </w:rPr>
      </w:pPr>
      <w:r>
        <w:rPr>
          <w:rFonts w:hint="eastAsia"/>
          <w:color w:val="auto"/>
          <w:highlight w:val="none"/>
        </w:rPr>
        <w:t>7.2.</w:t>
      </w:r>
      <w:r>
        <w:rPr>
          <w:rFonts w:hint="eastAsia"/>
          <w:color w:val="auto"/>
          <w:highlight w:val="none"/>
          <w:lang w:val="en-US" w:eastAsia="zh-CN"/>
        </w:rPr>
        <w:t>4</w:t>
      </w:r>
      <w:r>
        <w:rPr>
          <w:rFonts w:hint="eastAsia"/>
          <w:color w:val="auto"/>
          <w:highlight w:val="none"/>
        </w:rPr>
        <w:t>报价明细表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79"/>
        <w:gridCol w:w="1250"/>
        <w:gridCol w:w="1162"/>
        <w:gridCol w:w="1063"/>
        <w:gridCol w:w="1120"/>
        <w:gridCol w:w="1009"/>
        <w:gridCol w:w="101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4"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9"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1250"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162"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063"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20"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9"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018"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942" w:type="dxa"/>
            <w:vAlign w:val="center"/>
          </w:tcPr>
          <w:p>
            <w:pPr>
              <w:spacing w:line="360" w:lineRule="atLeast"/>
              <w:ind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苹果</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梨</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379" w:type="dxa"/>
            <w:vAlign w:val="center"/>
          </w:tcPr>
          <w:p>
            <w:pPr>
              <w:widowControl w:val="0"/>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250"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6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63" w:type="dxa"/>
            <w:vAlign w:val="center"/>
          </w:tcPr>
          <w:p>
            <w:pPr>
              <w:widowControl w:val="0"/>
              <w:adjustRightInd w:val="0"/>
              <w:snapToGrid w:val="0"/>
              <w:spacing w:line="360" w:lineRule="auto"/>
              <w:ind w:left="0" w:leftChars="0"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20" w:type="dxa"/>
            <w:vAlign w:val="center"/>
          </w:tcPr>
          <w:p>
            <w:pPr>
              <w:widowControl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09"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18"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94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牛肉</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color w:val="auto"/>
                <w:highlight w:val="none"/>
              </w:rPr>
              <w:t>新鲜鸡</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379" w:type="dxa"/>
            <w:vAlign w:val="center"/>
          </w:tcPr>
          <w:p>
            <w:pPr>
              <w:widowControl w:val="0"/>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250"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6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63" w:type="dxa"/>
            <w:vAlign w:val="center"/>
          </w:tcPr>
          <w:p>
            <w:pPr>
              <w:widowControl w:val="0"/>
              <w:adjustRightInd w:val="0"/>
              <w:snapToGrid w:val="0"/>
              <w:spacing w:line="360" w:lineRule="auto"/>
              <w:ind w:left="0" w:leftChars="0"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20" w:type="dxa"/>
            <w:vAlign w:val="center"/>
          </w:tcPr>
          <w:p>
            <w:pPr>
              <w:widowControl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09"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18"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94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鸡蛋</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鹌鹑蛋</w:t>
            </w:r>
          </w:p>
        </w:tc>
        <w:tc>
          <w:tcPr>
            <w:tcW w:w="12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0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9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13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玉米籽</w:t>
            </w:r>
          </w:p>
        </w:tc>
        <w:tc>
          <w:tcPr>
            <w:tcW w:w="1250"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116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1063" w:type="dxa"/>
            <w:vAlign w:val="center"/>
          </w:tcPr>
          <w:p>
            <w:pPr>
              <w:widowControl w:val="0"/>
              <w:adjustRightInd w:val="0"/>
              <w:snapToGrid w:val="0"/>
              <w:spacing w:line="360" w:lineRule="auto"/>
              <w:ind w:left="0" w:leftChars="0" w:firstLine="240" w:firstLineChars="100"/>
              <w:jc w:val="both"/>
              <w:rPr>
                <w:rFonts w:hint="eastAsia" w:ascii="宋体" w:hAnsi="宋体" w:eastAsia="宋体" w:cs="宋体"/>
                <w:color w:val="auto"/>
                <w:sz w:val="24"/>
                <w:szCs w:val="24"/>
                <w:highlight w:val="none"/>
              </w:rPr>
            </w:pPr>
          </w:p>
        </w:tc>
        <w:tc>
          <w:tcPr>
            <w:tcW w:w="1120" w:type="dxa"/>
            <w:vAlign w:val="center"/>
          </w:tcPr>
          <w:p>
            <w:pPr>
              <w:widowControl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p>
        </w:tc>
        <w:tc>
          <w:tcPr>
            <w:tcW w:w="1009"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1018"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c>
          <w:tcPr>
            <w:tcW w:w="94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379" w:type="dxa"/>
            <w:vAlign w:val="center"/>
          </w:tcPr>
          <w:p>
            <w:pPr>
              <w:widowControl w:val="0"/>
              <w:adjustRightInd w:val="0"/>
              <w:snapToGrid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250"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6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63" w:type="dxa"/>
            <w:vAlign w:val="center"/>
          </w:tcPr>
          <w:p>
            <w:pPr>
              <w:widowControl w:val="0"/>
              <w:adjustRightInd w:val="0"/>
              <w:snapToGrid w:val="0"/>
              <w:spacing w:line="360" w:lineRule="auto"/>
              <w:ind w:left="0" w:leftChars="0"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120" w:type="dxa"/>
            <w:vAlign w:val="center"/>
          </w:tcPr>
          <w:p>
            <w:pPr>
              <w:widowControl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09"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1018"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942" w:type="dxa"/>
            <w:vAlign w:val="center"/>
          </w:tcPr>
          <w:p>
            <w:pPr>
              <w:widowControl w:val="0"/>
              <w:adjustRightInd w:val="0"/>
              <w:snapToGrid w:val="0"/>
              <w:spacing w:line="360" w:lineRule="auto"/>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777" w:type="dxa"/>
            <w:gridSpan w:val="9"/>
            <w:vAlign w:val="center"/>
          </w:tcPr>
          <w:p>
            <w:pPr>
              <w:widowControl w:val="0"/>
              <w:adjustRightInd w:val="0"/>
              <w:snapToGrid w:val="0"/>
              <w:spacing w:line="360" w:lineRule="auto"/>
              <w:ind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报价合计（元）：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lang w:val="en-US" w:eastAsia="zh-CN"/>
              </w:rPr>
              <w:t xml:space="preserve">                     </w:t>
            </w:r>
          </w:p>
        </w:tc>
      </w:tr>
    </w:tbl>
    <w:p>
      <w:pPr>
        <w:widowControl w:val="0"/>
        <w:adjustRightInd w:val="0"/>
        <w:snapToGrid w:val="0"/>
        <w:spacing w:line="360" w:lineRule="auto"/>
        <w:ind w:firstLine="480"/>
        <w:rPr>
          <w:rFonts w:asciiTheme="minorHAnsi" w:hAnsiTheme="minorHAnsi" w:eastAsiaTheme="minorEastAsia" w:cstheme="minorEastAsia"/>
          <w:color w:val="auto"/>
          <w:highlight w:val="none"/>
        </w:rPr>
      </w:pPr>
    </w:p>
    <w:p>
      <w:pPr>
        <w:bidi w:val="0"/>
        <w:ind w:firstLine="56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 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w:t>
      </w:r>
      <w:r>
        <w:rPr>
          <w:rFonts w:hint="eastAsia" w:ascii="宋体" w:hAnsi="宋体" w:eastAsia="宋体" w:cs="宋体"/>
          <w:b w:val="0"/>
          <w:bCs w:val="0"/>
          <w:color w:val="auto"/>
          <w:sz w:val="21"/>
          <w:szCs w:val="21"/>
          <w:highlight w:val="none"/>
          <w:lang w:eastAsia="zh-CN"/>
        </w:rPr>
        <w:t>详细报出</w:t>
      </w:r>
      <w:r>
        <w:rPr>
          <w:rFonts w:hint="eastAsia" w:cs="宋体"/>
          <w:b w:val="0"/>
          <w:bCs w:val="0"/>
          <w:color w:val="auto"/>
          <w:sz w:val="21"/>
          <w:szCs w:val="21"/>
          <w:highlight w:val="none"/>
          <w:lang w:val="en-US" w:eastAsia="zh-CN"/>
        </w:rPr>
        <w:t>采购清单中所有货物</w:t>
      </w:r>
      <w:r>
        <w:rPr>
          <w:rFonts w:hint="eastAsia" w:ascii="宋体" w:hAnsi="宋体" w:eastAsia="宋体" w:cs="宋体"/>
          <w:b w:val="0"/>
          <w:bCs w:val="0"/>
          <w:color w:val="auto"/>
          <w:sz w:val="21"/>
          <w:szCs w:val="21"/>
          <w:highlight w:val="none"/>
          <w:lang w:eastAsia="zh-CN"/>
        </w:rPr>
        <w:t>的报价。</w:t>
      </w:r>
    </w:p>
    <w:p>
      <w:pPr>
        <w:bidi w:val="0"/>
        <w:ind w:firstLine="840" w:firstLineChars="4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2.“报价明细表”各分项报价合计应当与“报价一览表”报价合计相等。</w:t>
      </w:r>
    </w:p>
    <w:p>
      <w:pPr>
        <w:bidi w:val="0"/>
        <w:ind w:left="0" w:leftChars="0" w:firstLine="840" w:firstLineChars="40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所有报价均用人民币表示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报价保留小数点后两位。</w:t>
      </w:r>
    </w:p>
    <w:p>
      <w:pPr>
        <w:rPr>
          <w:rFonts w:hint="eastAsia" w:ascii="宋体" w:hAnsi="宋体" w:eastAsia="宋体" w:cs="宋体"/>
          <w:color w:val="auto"/>
          <w:highlight w:val="none"/>
          <w:lang w:val="en-US" w:eastAsia="zh-CN"/>
        </w:rPr>
      </w:pPr>
      <w:bookmarkStart w:id="296" w:name="_Toc17055"/>
      <w:r>
        <w:rPr>
          <w:rFonts w:hint="eastAsia" w:ascii="宋体" w:hAnsi="宋体" w:eastAsia="宋体" w:cs="宋体"/>
          <w:color w:val="auto"/>
          <w:highlight w:val="none"/>
          <w:lang w:val="en-US" w:eastAsia="zh-CN"/>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cs="宋体"/>
          <w:color w:val="auto"/>
          <w:highlight w:val="none"/>
          <w:lang w:val="en-US" w:eastAsia="zh-CN"/>
        </w:rPr>
        <w:t>5</w:t>
      </w:r>
      <w:r>
        <w:rPr>
          <w:rFonts w:hint="eastAsia" w:ascii="宋体" w:hAnsi="宋体" w:eastAsia="宋体" w:cs="宋体"/>
          <w:color w:val="auto"/>
          <w:highlight w:val="none"/>
        </w:rPr>
        <w:t>供应商基本情况表</w:t>
      </w:r>
      <w:bookmarkEnd w:id="296"/>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Cs/>
          <w:color w:val="auto"/>
          <w:kern w:val="2"/>
          <w:sz w:val="24"/>
          <w:szCs w:val="24"/>
          <w:highlight w:val="none"/>
          <w:lang w:val="en-US"/>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6"/>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5"/>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08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3600" w:type="dxa"/>
            <w:gridSpan w:val="5"/>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网址</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单位负责人</w:t>
            </w:r>
          </w:p>
        </w:tc>
        <w:tc>
          <w:tcPr>
            <w:tcW w:w="1260" w:type="dxa"/>
            <w:gridSpan w:val="2"/>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5040" w:type="dxa"/>
            <w:gridSpan w:val="8"/>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企业资质</w:t>
            </w:r>
          </w:p>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等级</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restart"/>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技工</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bl>
    <w:p>
      <w:pPr>
        <w:adjustRightInd w:val="0"/>
        <w:snapToGrid w:val="0"/>
        <w:spacing w:line="360" w:lineRule="auto"/>
        <w:jc w:val="left"/>
        <w:rPr>
          <w:rFonts w:hint="eastAsia" w:ascii="宋体" w:hAnsi="宋体" w:eastAsia="宋体" w:cs="宋体"/>
          <w:bCs/>
          <w:color w:val="auto"/>
          <w:sz w:val="24"/>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Start w:id="297" w:name="_Toc5477"/>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w:t>
      </w:r>
      <w:r>
        <w:rPr>
          <w:rFonts w:hint="eastAsia" w:cs="宋体"/>
          <w:color w:val="auto"/>
          <w:highlight w:val="none"/>
          <w:lang w:val="en-US" w:eastAsia="zh-CN"/>
        </w:rPr>
        <w:t>6</w:t>
      </w:r>
      <w:r>
        <w:rPr>
          <w:rFonts w:hint="eastAsia" w:ascii="宋体" w:hAnsi="宋体" w:eastAsia="宋体" w:cs="宋体"/>
          <w:color w:val="auto"/>
          <w:highlight w:val="none"/>
          <w:lang w:val="en-US" w:eastAsia="zh-CN"/>
        </w:rPr>
        <w:t>承诺函</w:t>
      </w:r>
    </w:p>
    <w:p>
      <w:pPr>
        <w:bidi w:val="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四川天力招标有限责任公司</w:t>
      </w:r>
      <w:r>
        <w:rPr>
          <w:rFonts w:hint="eastAsia" w:ascii="宋体" w:hAnsi="宋体" w:eastAsia="宋体" w:cs="宋体"/>
          <w:b/>
          <w:bCs/>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我公司作为本次采购项目的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要求，现郑重承诺如下：</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完全接受和满足本项目磋商文件中规定的实质性要求（如</w:t>
      </w:r>
      <w:r>
        <w:rPr>
          <w:rFonts w:hint="eastAsia" w:ascii="宋体" w:hAnsi="宋体" w:eastAsia="宋体" w:cs="宋体"/>
          <w:color w:val="auto"/>
          <w:highlight w:val="none"/>
          <w:lang w:eastAsia="zh-CN"/>
        </w:rPr>
        <w:t>合格的供应商、</w:t>
      </w:r>
      <w:r>
        <w:rPr>
          <w:rFonts w:hint="eastAsia" w:ascii="宋体" w:hAnsi="宋体" w:eastAsia="宋体" w:cs="宋体"/>
          <w:color w:val="auto"/>
          <w:highlight w:val="none"/>
        </w:rPr>
        <w:t>充分、公平竞争保障措施</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响应文件有效期、</w:t>
      </w:r>
      <w:r>
        <w:rPr>
          <w:rFonts w:hint="eastAsia" w:ascii="宋体" w:hAnsi="宋体" w:eastAsia="宋体" w:cs="宋体"/>
          <w:color w:val="auto"/>
          <w:highlight w:val="none"/>
        </w:rPr>
        <w:t>知识产权、</w:t>
      </w:r>
      <w:r>
        <w:rPr>
          <w:rFonts w:hint="eastAsia" w:ascii="宋体" w:hAnsi="宋体" w:eastAsia="宋体" w:cs="宋体"/>
          <w:color w:val="auto"/>
          <w:highlight w:val="none"/>
          <w:lang w:eastAsia="zh-CN"/>
        </w:rPr>
        <w:t>磋商文件的构成、响应文件的组成、响应文件的语言、</w:t>
      </w:r>
      <w:r>
        <w:rPr>
          <w:rFonts w:hint="eastAsia" w:ascii="宋体" w:hAnsi="宋体" w:eastAsia="宋体" w:cs="宋体"/>
          <w:color w:val="auto"/>
          <w:highlight w:val="none"/>
        </w:rPr>
        <w:t>计量单位、</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货币、合同分包、合同转包</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等实质性要求），如对磋商文件有异议，已经在递交响应文件截止时间届满前依法进行维权救济，不存在对磋商文件有异议的同时又参加磋商以求侥幸成交或者为实现其他非法目的的行为。</w:t>
      </w:r>
    </w:p>
    <w:p>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二、与</w:t>
      </w:r>
      <w:r>
        <w:rPr>
          <w:rFonts w:hint="eastAsia" w:ascii="宋体" w:hAnsi="宋体" w:eastAsia="宋体" w:cs="宋体"/>
          <w:b/>
          <w:bCs/>
          <w:color w:val="auto"/>
          <w:highlight w:val="none"/>
          <w:lang w:val="en-US" w:eastAsia="zh-CN"/>
        </w:rPr>
        <w:t>我</w:t>
      </w:r>
      <w:r>
        <w:rPr>
          <w:rFonts w:hint="eastAsia" w:ascii="宋体" w:hAnsi="宋体" w:eastAsia="宋体" w:cs="宋体"/>
          <w:b/>
          <w:bCs/>
          <w:color w:val="auto"/>
          <w:highlight w:val="none"/>
        </w:rPr>
        <w:t>单位负责人为同一人或者存在直接控股、管理关系的</w:t>
      </w:r>
      <w:r>
        <w:rPr>
          <w:rFonts w:hint="eastAsia" w:ascii="宋体" w:hAnsi="宋体" w:eastAsia="宋体" w:cs="宋体"/>
          <w:b/>
          <w:bCs/>
          <w:color w:val="auto"/>
          <w:highlight w:val="none"/>
          <w:lang w:val="en-US" w:eastAsia="zh-CN"/>
        </w:rPr>
        <w:t>相关</w:t>
      </w:r>
      <w:r>
        <w:rPr>
          <w:rFonts w:hint="eastAsia" w:ascii="宋体" w:hAnsi="宋体" w:eastAsia="宋体" w:cs="宋体"/>
          <w:b/>
          <w:bCs/>
          <w:color w:val="auto"/>
          <w:highlight w:val="none"/>
        </w:rPr>
        <w:t>供应商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u w:val="single"/>
        </w:rPr>
        <w:t>（说明：填写“无”或“（一）供应商名称</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rPr>
        <w:t>；（二）供应商名称</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单位负责人为同一人或者存在直接控股、管理关系的不同供应商不得参加同一合同项下的政府采购活动。</w:t>
      </w:r>
      <w:r>
        <w:rPr>
          <w:rFonts w:hint="eastAsia" w:ascii="宋体" w:hAnsi="宋体" w:eastAsia="宋体" w:cs="宋体"/>
          <w:b/>
          <w:bCs/>
          <w:color w:val="auto"/>
          <w:highlight w:val="none"/>
          <w:lang w:eastAsia="zh-CN"/>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、在参加本次采购活动中，不存在和其他供应商在同一合同项下的采购项目中，同时委托同一个自然人、同一家庭的人员、同一单位的人员作为代理人的行为。</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单位保证在本项目中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采购项目实施过程中采用自有或者第三方知识成果的，使用该知识成果后，我单位承诺提供开发接口和开发手册等技术文档，并提供无限期支持，采购人享有使用权（含采购人委托第三方在该项目后续开发的使用权）。如我单位在采购项目实施过程中采用非自有的知识产权，则在报价中已包括合法获取该知识产权的相关费用。</w:t>
      </w:r>
    </w:p>
    <w:p>
      <w:pPr>
        <w:bidi w:val="0"/>
        <w:rPr>
          <w:rFonts w:hint="eastAsia" w:ascii="宋体" w:hAnsi="宋体" w:eastAsia="宋体" w:cs="宋体"/>
          <w:color w:val="auto"/>
          <w:highlight w:val="none"/>
        </w:rPr>
      </w:pPr>
      <w:r>
        <w:rPr>
          <w:rFonts w:hint="eastAsia" w:cs="宋体"/>
          <w:color w:val="auto"/>
          <w:highlight w:val="none"/>
          <w:lang w:val="en-US" w:eastAsia="zh-CN"/>
        </w:rPr>
        <w:t>五</w:t>
      </w:r>
      <w:r>
        <w:rPr>
          <w:rFonts w:hint="eastAsia" w:ascii="宋体" w:hAnsi="宋体" w:eastAsia="宋体" w:cs="宋体"/>
          <w:color w:val="auto"/>
          <w:highlight w:val="none"/>
        </w:rPr>
        <w:t>、响应文件中提供的任何资料和技术、服务、商务等响应承诺情况都是真实的、有效的、合法的。</w:t>
      </w:r>
    </w:p>
    <w:p>
      <w:pPr>
        <w:bidi w:val="0"/>
        <w:rPr>
          <w:rFonts w:hint="eastAsia" w:ascii="宋体" w:hAnsi="宋体" w:eastAsia="宋体" w:cs="宋体"/>
          <w:b/>
          <w:bCs/>
          <w:color w:val="auto"/>
          <w:highlight w:val="none"/>
        </w:rPr>
      </w:pPr>
      <w:r>
        <w:rPr>
          <w:rFonts w:hint="eastAsia" w:cs="宋体"/>
          <w:b/>
          <w:bCs/>
          <w:color w:val="auto"/>
          <w:highlight w:val="none"/>
          <w:lang w:val="en-US" w:eastAsia="zh-CN"/>
        </w:rPr>
        <w:t>六、</w:t>
      </w:r>
      <w:r>
        <w:rPr>
          <w:rFonts w:hint="eastAsia" w:ascii="宋体" w:hAnsi="宋体" w:eastAsia="宋体" w:cs="宋体"/>
          <w:b/>
          <w:bCs/>
          <w:color w:val="auto"/>
          <w:highlight w:val="none"/>
          <w:lang w:val="en-US" w:eastAsia="zh-CN"/>
        </w:rPr>
        <w:t>如果我方成交，成交后同意按磋商文件要求支付本项目代理服务费。</w:t>
      </w:r>
    </w:p>
    <w:p>
      <w:pPr>
        <w:pStyle w:val="2"/>
        <w:rPr>
          <w:rFonts w:hint="eastAsia" w:ascii="宋体" w:hAnsi="宋体" w:eastAsia="宋体" w:cs="宋体"/>
          <w:color w:val="auto"/>
          <w:highlight w:val="none"/>
          <w:lang w:eastAsia="zh-CN"/>
        </w:rPr>
      </w:pPr>
    </w:p>
    <w:p>
      <w:pPr>
        <w:pStyle w:val="46"/>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本公司对上述承诺的内容事项真实性负责。如经查实上述承诺的内容事项存在虚假，我公司愿意接受以提供虚假材料谋取成交的法律责任。</w:t>
      </w:r>
    </w:p>
    <w:p>
      <w:pPr>
        <w:pStyle w:val="46"/>
        <w:rPr>
          <w:rFonts w:hint="eastAsia" w:ascii="宋体" w:hAnsi="宋体" w:eastAsia="宋体" w:cs="宋体"/>
          <w:color w:val="auto"/>
          <w:highlight w:val="none"/>
        </w:rPr>
      </w:pPr>
    </w:p>
    <w:p>
      <w:pPr>
        <w:pStyle w:val="46"/>
        <w:keepNext w:val="0"/>
        <w:keepLines w:val="0"/>
        <w:pageBreakBefore w:val="0"/>
        <w:widowControl w:val="0"/>
        <w:kinsoku/>
        <w:wordWrap/>
        <w:overflowPunct/>
        <w:topLinePunct w:val="0"/>
        <w:bidi w:val="0"/>
        <w:adjustRightInd w:val="0"/>
        <w:spacing w:line="500" w:lineRule="exac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w:t>
      </w:r>
      <w:r>
        <w:rPr>
          <w:rFonts w:hint="eastAsia" w:ascii="宋体" w:hAnsi="宋体" w:eastAsia="宋体" w:cs="宋体"/>
          <w:bCs/>
          <w:color w:val="auto"/>
          <w:sz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7</w:t>
      </w:r>
      <w:r>
        <w:rPr>
          <w:rFonts w:hint="eastAsia"/>
          <w:color w:val="auto"/>
          <w:highlight w:val="none"/>
        </w:rPr>
        <w:t>技术、服务</w:t>
      </w:r>
      <w:r>
        <w:rPr>
          <w:rFonts w:hint="eastAsia"/>
          <w:color w:val="auto"/>
          <w:highlight w:val="none"/>
          <w:lang w:eastAsia="zh-CN"/>
        </w:rPr>
        <w:t>要求</w:t>
      </w:r>
      <w:r>
        <w:rPr>
          <w:rFonts w:hint="eastAsia"/>
          <w:color w:val="auto"/>
          <w:highlight w:val="none"/>
        </w:rPr>
        <w:t>应答表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pStyle w:val="20"/>
        <w:pBdr>
          <w:bottom w:val="none" w:color="auto" w:sz="0" w:space="0"/>
        </w:pBdr>
        <w:tabs>
          <w:tab w:val="clear" w:pos="4153"/>
          <w:tab w:val="clear" w:pos="8306"/>
        </w:tabs>
        <w:snapToGrid/>
        <w:ind w:left="0" w:leftChars="0" w:firstLine="0" w:firstLineChars="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1"/>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385"/>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10" w:type="dxa"/>
            <w:vAlign w:val="center"/>
          </w:tcPr>
          <w:p>
            <w:pPr>
              <w:keepNext w:val="0"/>
              <w:keepLines w:val="0"/>
              <w:widowControl/>
              <w:suppressLineNumbers w:val="0"/>
              <w:spacing w:before="0" w:beforeAutospacing="0" w:after="0" w:afterAutospacing="0" w:line="360" w:lineRule="atLeast"/>
              <w:ind w:left="0" w:leftChars="0" w:right="0"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385" w:type="dxa"/>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highlight w:val="none"/>
              </w:rPr>
              <w:t>要求</w:t>
            </w:r>
          </w:p>
        </w:tc>
        <w:tc>
          <w:tcPr>
            <w:tcW w:w="3985" w:type="dxa"/>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bl>
    <w:p>
      <w:pPr>
        <w:ind w:firstLine="482" w:firstLineChars="200"/>
        <w:rPr>
          <w:rFonts w:hint="eastAsia" w:ascii="宋体" w:hAnsi="宋体" w:eastAsia="宋体" w:cs="宋体"/>
          <w:b/>
          <w:color w:val="auto"/>
          <w:sz w:val="24"/>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应当</w:t>
      </w:r>
      <w:r>
        <w:rPr>
          <w:rFonts w:hint="eastAsia" w:ascii="宋体" w:hAnsi="宋体" w:eastAsia="宋体" w:cs="宋体"/>
          <w:color w:val="auto"/>
          <w:sz w:val="21"/>
          <w:szCs w:val="21"/>
          <w:highlight w:val="none"/>
        </w:rPr>
        <w:t>把</w:t>
      </w:r>
      <w:r>
        <w:rPr>
          <w:rFonts w:hint="eastAsia" w:ascii="宋体" w:hAnsi="宋体" w:eastAsia="宋体" w:cs="宋体"/>
          <w:color w:val="auto"/>
          <w:sz w:val="21"/>
          <w:szCs w:val="21"/>
          <w:highlight w:val="none"/>
          <w:lang w:eastAsia="zh-CN"/>
        </w:rPr>
        <w:t>磋商文件</w:t>
      </w:r>
      <w:r>
        <w:rPr>
          <w:rFonts w:hint="eastAsia" w:ascii="宋体" w:hAnsi="宋体" w:eastAsia="宋体" w:cs="宋体"/>
          <w:b/>
          <w:bCs/>
          <w:color w:val="auto"/>
          <w:sz w:val="21"/>
          <w:szCs w:val="21"/>
          <w:highlight w:val="none"/>
          <w:lang w:eastAsia="zh-CN"/>
        </w:rPr>
        <w:t>第五章</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5.</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技术、服务要求</w:t>
      </w:r>
      <w:r>
        <w:rPr>
          <w:rFonts w:hint="eastAsia" w:ascii="宋体" w:hAnsi="宋体" w:eastAsia="宋体" w:cs="宋体"/>
          <w:color w:val="auto"/>
          <w:sz w:val="21"/>
          <w:szCs w:val="21"/>
          <w:highlight w:val="none"/>
          <w:lang w:val="en-US" w:eastAsia="zh-CN"/>
        </w:rPr>
        <w:t>的内容全部进行响应</w:t>
      </w:r>
      <w:r>
        <w:rPr>
          <w:rFonts w:hint="eastAsia" w:ascii="宋体" w:hAnsi="宋体" w:eastAsia="宋体" w:cs="宋体"/>
          <w:color w:val="auto"/>
          <w:sz w:val="21"/>
          <w:szCs w:val="21"/>
          <w:highlight w:val="none"/>
        </w:rPr>
        <w:t>。</w:t>
      </w:r>
    </w:p>
    <w:p>
      <w:pPr>
        <w:bidi w:val="0"/>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供应商必须据实填写，不得虚假响应，虚假响应的，其响应文件无效并按规定追究其相关责任。</w:t>
      </w:r>
    </w:p>
    <w:p>
      <w:pPr>
        <w:adjustRightInd w:val="0"/>
        <w:snapToGrid w:val="0"/>
        <w:spacing w:line="360" w:lineRule="auto"/>
        <w:ind w:firstLine="480" w:firstLineChars="200"/>
        <w:jc w:val="left"/>
        <w:rPr>
          <w:rFonts w:hint="eastAsia" w:ascii="宋体" w:hAnsi="宋体" w:eastAsia="宋体" w:cs="宋体"/>
          <w:color w:val="auto"/>
          <w:sz w:val="24"/>
          <w:highlight w:val="none"/>
        </w:rPr>
      </w:pPr>
    </w:p>
    <w:p>
      <w:pPr>
        <w:pStyle w:val="46"/>
        <w:rPr>
          <w:rFonts w:hint="eastAsia" w:ascii="宋体" w:hAnsi="宋体" w:eastAsia="宋体" w:cs="宋体"/>
          <w:color w:val="auto"/>
          <w:sz w:val="24"/>
          <w:highlight w:val="none"/>
        </w:rPr>
      </w:pPr>
    </w:p>
    <w:p>
      <w:pPr>
        <w:pStyle w:val="46"/>
        <w:rPr>
          <w:rFonts w:hint="eastAsia" w:ascii="宋体" w:hAnsi="宋体" w:eastAsia="宋体" w:cs="宋体"/>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pStyle w:val="5"/>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cs="宋体"/>
          <w:color w:val="auto"/>
          <w:highlight w:val="none"/>
          <w:lang w:val="en-US" w:eastAsia="zh-CN"/>
        </w:rPr>
        <w:t>8</w:t>
      </w:r>
      <w:r>
        <w:rPr>
          <w:rFonts w:hint="eastAsia" w:ascii="宋体" w:hAnsi="宋体" w:eastAsia="宋体" w:cs="宋体"/>
          <w:color w:val="auto"/>
          <w:highlight w:val="none"/>
        </w:rPr>
        <w:t>商务</w:t>
      </w:r>
      <w:r>
        <w:rPr>
          <w:rFonts w:hint="eastAsia" w:ascii="宋体" w:hAnsi="宋体" w:eastAsia="宋体" w:cs="宋体"/>
          <w:color w:val="auto"/>
          <w:highlight w:val="none"/>
          <w:lang w:eastAsia="zh-CN"/>
        </w:rPr>
        <w:t>要求应答表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pPr>
        <w:pStyle w:val="20"/>
        <w:pBdr>
          <w:bottom w:val="none" w:color="auto" w:sz="0" w:space="0"/>
        </w:pBdr>
        <w:tabs>
          <w:tab w:val="clear" w:pos="4153"/>
          <w:tab w:val="clear" w:pos="8306"/>
        </w:tabs>
        <w:snapToGrid/>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tbl>
      <w:tblPr>
        <w:tblStyle w:val="3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406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0"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065"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highlight w:val="none"/>
              </w:rPr>
              <w:t>要求</w:t>
            </w:r>
          </w:p>
        </w:tc>
        <w:tc>
          <w:tcPr>
            <w:tcW w:w="4065"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bl>
    <w:p>
      <w:pPr>
        <w:ind w:firstLine="482" w:firstLineChars="200"/>
        <w:rPr>
          <w:rFonts w:hint="eastAsia" w:ascii="宋体" w:hAnsi="宋体" w:eastAsia="宋体" w:cs="宋体"/>
          <w:b/>
          <w:color w:val="auto"/>
          <w:sz w:val="24"/>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必须把</w:t>
      </w:r>
      <w:r>
        <w:rPr>
          <w:rFonts w:hint="eastAsia" w:ascii="宋体" w:hAnsi="宋体" w:eastAsia="宋体" w:cs="宋体"/>
          <w:color w:val="auto"/>
          <w:sz w:val="21"/>
          <w:szCs w:val="21"/>
          <w:highlight w:val="none"/>
          <w:lang w:eastAsia="zh-CN"/>
        </w:rPr>
        <w:t>磋商文件</w:t>
      </w:r>
      <w:r>
        <w:rPr>
          <w:rFonts w:hint="eastAsia" w:ascii="宋体" w:hAnsi="宋体" w:eastAsia="宋体" w:cs="宋体"/>
          <w:b/>
          <w:bCs/>
          <w:color w:val="auto"/>
          <w:sz w:val="21"/>
          <w:szCs w:val="21"/>
          <w:highlight w:val="none"/>
          <w:lang w:eastAsia="zh-CN"/>
        </w:rPr>
        <w:t>第五章</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5.</w:t>
      </w: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商务要求</w:t>
      </w:r>
      <w:r>
        <w:rPr>
          <w:rFonts w:hint="eastAsia" w:ascii="宋体" w:hAnsi="宋体" w:eastAsia="宋体" w:cs="宋体"/>
          <w:color w:val="auto"/>
          <w:sz w:val="21"/>
          <w:szCs w:val="21"/>
          <w:highlight w:val="none"/>
        </w:rPr>
        <w:t>列入此表。</w:t>
      </w:r>
    </w:p>
    <w:p>
      <w:pPr>
        <w:bidi w:val="0"/>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供应商必须据实填写，不得虚假响应，虚假响应的，其响应文件无效并按规定追究其相关责任。</w:t>
      </w:r>
    </w:p>
    <w:p>
      <w:pPr>
        <w:adjustRightInd w:val="0"/>
        <w:snapToGrid w:val="0"/>
        <w:spacing w:line="360" w:lineRule="auto"/>
        <w:ind w:firstLine="482" w:firstLineChars="200"/>
        <w:rPr>
          <w:rFonts w:hint="eastAsia" w:ascii="宋体" w:hAnsi="宋体" w:eastAsia="宋体" w:cs="宋体"/>
          <w:b/>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p>
    <w:p>
      <w:pPr>
        <w:pStyle w:val="46"/>
        <w:rPr>
          <w:rFonts w:hint="eastAsia" w:ascii="宋体" w:hAnsi="宋体" w:eastAsia="宋体" w:cs="宋体"/>
          <w:color w:val="auto"/>
          <w:highlight w:val="none"/>
        </w:rPr>
      </w:pPr>
    </w:p>
    <w:bookmarkEnd w:id="297"/>
    <w:p>
      <w:pPr>
        <w:adjustRightInd w:val="0"/>
        <w:snapToGrid w:val="0"/>
        <w:spacing w:line="360" w:lineRule="auto"/>
        <w:ind w:firstLine="480" w:firstLineChars="200"/>
        <w:jc w:val="left"/>
        <w:rPr>
          <w:rFonts w:hint="eastAsia" w:ascii="宋体" w:hAnsi="宋体" w:eastAsia="宋体" w:cs="宋体"/>
          <w:color w:val="auto"/>
          <w:sz w:val="24"/>
          <w:highlight w:val="none"/>
        </w:rPr>
      </w:pPr>
      <w:bookmarkStart w:id="298" w:name="_Toc27483"/>
      <w:bookmarkStart w:id="299" w:name="_Toc8691"/>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7.2.</w:t>
      </w:r>
      <w:r>
        <w:rPr>
          <w:rFonts w:hint="eastAsia" w:cs="宋体"/>
          <w:color w:val="auto"/>
          <w:highlight w:val="none"/>
          <w:lang w:val="en-US" w:eastAsia="zh-CN"/>
        </w:rPr>
        <w:t>9</w:t>
      </w:r>
      <w:r>
        <w:rPr>
          <w:rFonts w:hint="eastAsia" w:ascii="宋体" w:hAnsi="宋体" w:eastAsia="宋体" w:cs="宋体"/>
          <w:color w:val="auto"/>
          <w:highlight w:val="none"/>
        </w:rPr>
        <w:t>拟派本项目团队人员配置表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jc w:val="left"/>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
        <w:gridCol w:w="924"/>
        <w:gridCol w:w="931"/>
        <w:gridCol w:w="1151"/>
        <w:gridCol w:w="1287"/>
        <w:gridCol w:w="1150"/>
        <w:gridCol w:w="10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7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24"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31"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51"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4545" w:type="dxa"/>
            <w:gridSpan w:val="4"/>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150"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37"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71"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bl>
    <w:p>
      <w:pPr>
        <w:pStyle w:val="46"/>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注：表格不够供应商可自行增加。</w:t>
      </w:r>
    </w:p>
    <w:p>
      <w:pPr>
        <w:pStyle w:val="46"/>
        <w:autoSpaceDE/>
        <w:autoSpaceDN/>
        <w:snapToGrid w:val="0"/>
        <w:spacing w:line="360" w:lineRule="auto"/>
        <w:rPr>
          <w:rFonts w:hint="eastAsia" w:ascii="宋体" w:hAnsi="宋体" w:eastAsia="宋体" w:cs="宋体"/>
          <w:color w:val="auto"/>
          <w:highlight w:val="none"/>
        </w:rPr>
      </w:pPr>
    </w:p>
    <w:p>
      <w:pPr>
        <w:pStyle w:val="46"/>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tabs>
          <w:tab w:val="left" w:pos="567"/>
        </w:tabs>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jc w:val="center"/>
        <w:rPr>
          <w:rFonts w:hint="eastAsia" w:ascii="宋体" w:hAnsi="宋体" w:eastAsia="宋体" w:cs="宋体"/>
          <w:b/>
          <w:color w:val="auto"/>
          <w:sz w:val="24"/>
          <w:szCs w:val="24"/>
          <w:highlight w:val="none"/>
        </w:rPr>
      </w:pPr>
    </w:p>
    <w:p>
      <w:pPr>
        <w:pStyle w:val="5"/>
        <w:bidi w:val="0"/>
        <w:rPr>
          <w:rFonts w:hint="eastAsia" w:ascii="宋体" w:hAnsi="宋体" w:eastAsia="宋体" w:cs="宋体"/>
          <w:color w:val="auto"/>
          <w:highlight w:val="none"/>
        </w:rPr>
      </w:pPr>
      <w:bookmarkStart w:id="300" w:name="_Toc31246"/>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cs="宋体"/>
          <w:color w:val="auto"/>
          <w:highlight w:val="none"/>
          <w:lang w:val="en-US" w:eastAsia="zh-CN"/>
        </w:rPr>
        <w:t>10</w:t>
      </w:r>
      <w:r>
        <w:rPr>
          <w:rFonts w:hint="eastAsia" w:ascii="宋体" w:hAnsi="宋体" w:eastAsia="宋体" w:cs="宋体"/>
          <w:color w:val="auto"/>
          <w:highlight w:val="none"/>
        </w:rPr>
        <w:t>供应商类似项目业绩一览表</w:t>
      </w:r>
      <w:bookmarkEnd w:id="298"/>
      <w:bookmarkEnd w:id="299"/>
      <w:bookmarkEnd w:id="300"/>
    </w:p>
    <w:tbl>
      <w:tblPr>
        <w:tblStyle w:val="31"/>
        <w:tblW w:w="8722" w:type="dxa"/>
        <w:jc w:val="center"/>
        <w:tblLayout w:type="fixed"/>
        <w:tblCellMar>
          <w:top w:w="0" w:type="dxa"/>
          <w:left w:w="0" w:type="dxa"/>
          <w:bottom w:w="0" w:type="dxa"/>
          <w:right w:w="0" w:type="dxa"/>
        </w:tblCellMar>
      </w:tblPr>
      <w:tblGrid>
        <w:gridCol w:w="862"/>
        <w:gridCol w:w="1544"/>
        <w:gridCol w:w="1701"/>
        <w:gridCol w:w="1559"/>
        <w:gridCol w:w="1748"/>
        <w:gridCol w:w="1308"/>
      </w:tblGrid>
      <w:tr>
        <w:tblPrEx>
          <w:tblCellMar>
            <w:top w:w="0" w:type="dxa"/>
            <w:left w:w="0" w:type="dxa"/>
            <w:bottom w:w="0" w:type="dxa"/>
            <w:right w:w="0" w:type="dxa"/>
          </w:tblCellMar>
        </w:tblPrEx>
        <w:trPr>
          <w:cantSplit/>
          <w:trHeight w:val="600"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年份</w:t>
            </w: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用户名称</w:t>
            </w: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项目名称</w:t>
            </w: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合同签订时间</w:t>
            </w: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合同金额（元）</w:t>
            </w: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备注</w:t>
            </w: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nil"/>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bl>
    <w:p>
      <w:pPr>
        <w:adjustRightInd w:val="0"/>
        <w:snapToGrid w:val="0"/>
        <w:spacing w:line="360" w:lineRule="auto"/>
        <w:ind w:left="0" w:leftChars="0" w:firstLine="0" w:firstLineChars="0"/>
        <w:jc w:val="left"/>
        <w:rPr>
          <w:rFonts w:hint="eastAsia" w:ascii="宋体" w:hAnsi="宋体" w:eastAsia="宋体" w:cs="宋体"/>
          <w:b/>
          <w:bCs/>
          <w:color w:val="auto"/>
          <w:sz w:val="21"/>
          <w:szCs w:val="21"/>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注：1、以上业绩（仅限于供应商自己实施的）需提供相关证明材料。</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2、表格不够供应商可自行增加。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46"/>
        <w:rPr>
          <w:rFonts w:hint="eastAsia" w:ascii="宋体" w:hAnsi="宋体" w:eastAsia="宋体" w:cs="宋体"/>
          <w:color w:val="auto"/>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highlight w:val="none"/>
          <w:lang w:val="en-US" w:eastAsia="zh-CN"/>
        </w:rPr>
      </w:pPr>
      <w:bookmarkStart w:id="301" w:name="_Toc7504"/>
      <w:r>
        <w:rPr>
          <w:rFonts w:hint="eastAsia" w:ascii="宋体" w:hAnsi="宋体" w:eastAsia="宋体" w:cs="宋体"/>
          <w:color w:val="auto"/>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7.2.</w:t>
      </w:r>
      <w:bookmarkEnd w:id="301"/>
      <w:bookmarkStart w:id="302" w:name="_Toc21449"/>
      <w:r>
        <w:rPr>
          <w:rFonts w:hint="eastAsia"/>
          <w:color w:val="auto"/>
          <w:highlight w:val="none"/>
          <w:lang w:val="en-US" w:eastAsia="zh-CN"/>
        </w:rPr>
        <w:t>11实施方案</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注：此部分格式自拟。</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Start w:id="303" w:name="_Toc3446"/>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cs="宋体"/>
          <w:color w:val="auto"/>
          <w:highlight w:val="none"/>
          <w:lang w:val="en-US" w:eastAsia="zh-CN"/>
        </w:rPr>
        <w:t>2</w:t>
      </w:r>
      <w:r>
        <w:rPr>
          <w:rFonts w:hint="eastAsia" w:ascii="宋体" w:hAnsi="宋体" w:eastAsia="宋体" w:cs="宋体"/>
          <w:color w:val="auto"/>
          <w:highlight w:val="none"/>
        </w:rPr>
        <w:t>其他资料</w:t>
      </w:r>
    </w:p>
    <w:p>
      <w:pPr>
        <w:adjustRightInd w:val="0"/>
        <w:snapToGrid w:val="0"/>
        <w:spacing w:line="360" w:lineRule="auto"/>
        <w:rPr>
          <w:rFonts w:hint="eastAsia" w:ascii="宋体" w:hAnsi="宋体" w:eastAsia="宋体" w:cs="宋体"/>
          <w:b/>
          <w:bCs/>
          <w:color w:val="auto"/>
          <w:sz w:val="28"/>
          <w:szCs w:val="28"/>
          <w:highlight w:val="none"/>
        </w:rPr>
      </w:pPr>
    </w:p>
    <w:p>
      <w:pPr>
        <w:adjustRightInd w:val="0"/>
        <w:snapToGrid w:val="0"/>
        <w:spacing w:line="360" w:lineRule="auto"/>
        <w:rPr>
          <w:rFonts w:hint="eastAsia" w:ascii="宋体" w:hAnsi="宋体" w:eastAsia="宋体" w:cs="宋体"/>
          <w:b/>
          <w:color w:val="auto"/>
          <w:sz w:val="24"/>
          <w:szCs w:val="24"/>
          <w:highlight w:val="none"/>
        </w:rPr>
      </w:pPr>
    </w:p>
    <w:p>
      <w:pPr>
        <w:pStyle w:val="46"/>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pStyle w:val="46"/>
        <w:autoSpaceDE/>
        <w:autoSpaceDN/>
        <w:snapToGrid w:val="0"/>
        <w:spacing w:line="360" w:lineRule="auto"/>
        <w:rPr>
          <w:rFonts w:hint="eastAsia" w:ascii="宋体" w:hAnsi="宋体" w:eastAsia="宋体" w:cs="宋体"/>
          <w:color w:val="auto"/>
          <w:szCs w:val="24"/>
          <w:highlight w:val="none"/>
        </w:rPr>
      </w:pPr>
    </w:p>
    <w:p>
      <w:pPr>
        <w:pStyle w:val="46"/>
        <w:autoSpaceDE/>
        <w:autoSpaceDN/>
        <w:snapToGrid w:val="0"/>
        <w:spacing w:line="360" w:lineRule="auto"/>
        <w:rPr>
          <w:rFonts w:hint="eastAsia" w:ascii="宋体" w:hAnsi="宋体" w:eastAsia="宋体" w:cs="宋体"/>
          <w:color w:val="auto"/>
          <w:szCs w:val="24"/>
          <w:highlight w:val="none"/>
        </w:rPr>
      </w:pPr>
    </w:p>
    <w:p>
      <w:pPr>
        <w:bidi w:val="0"/>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注：复印件加盖公章。</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bidi w:val="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磋商报价表（第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次)</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1"/>
        <w:tblW w:w="902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次）</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7363" w:type="dxa"/>
            <w:vAlign w:val="center"/>
          </w:tcPr>
          <w:p>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adjustRightInd w:val="0"/>
              <w:snapToGrid w:val="0"/>
              <w:spacing w:line="360" w:lineRule="auto"/>
              <w:rPr>
                <w:rFonts w:hint="eastAsia" w:ascii="宋体" w:hAnsi="宋体" w:eastAsia="宋体" w:cs="宋体"/>
                <w:color w:val="auto"/>
                <w:sz w:val="24"/>
                <w:szCs w:val="24"/>
                <w:highlight w:val="none"/>
              </w:rPr>
            </w:pPr>
          </w:p>
          <w:p>
            <w:pPr>
              <w:pStyle w:val="46"/>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   后</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磋商报价</w:t>
            </w:r>
          </w:p>
        </w:tc>
        <w:tc>
          <w:tcPr>
            <w:tcW w:w="7363" w:type="dxa"/>
            <w:vAlign w:val="center"/>
          </w:tcPr>
          <w:p>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adjustRightInd w:val="0"/>
              <w:snapToGrid w:val="0"/>
              <w:spacing w:line="360" w:lineRule="auto"/>
              <w:rPr>
                <w:rFonts w:hint="eastAsia" w:ascii="宋体" w:hAnsi="宋体" w:eastAsia="宋体" w:cs="宋体"/>
                <w:color w:val="auto"/>
                <w:sz w:val="24"/>
                <w:szCs w:val="24"/>
                <w:highlight w:val="none"/>
              </w:rPr>
            </w:pPr>
          </w:p>
          <w:p>
            <w:pPr>
              <w:pStyle w:val="46"/>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   注</w:t>
            </w:r>
          </w:p>
        </w:tc>
        <w:tc>
          <w:tcPr>
            <w:tcW w:w="7363" w:type="dxa"/>
            <w:vAlign w:val="center"/>
          </w:tcPr>
          <w:p>
            <w:pPr>
              <w:adjustRightInd w:val="0"/>
              <w:snapToGrid w:val="0"/>
              <w:spacing w:line="360" w:lineRule="auto"/>
              <w:rPr>
                <w:rFonts w:hint="eastAsia" w:ascii="宋体" w:hAnsi="宋体" w:eastAsia="宋体" w:cs="宋体"/>
                <w:color w:val="auto"/>
                <w:sz w:val="24"/>
                <w:szCs w:val="24"/>
                <w:highlight w:val="none"/>
              </w:rPr>
            </w:pPr>
          </w:p>
        </w:tc>
      </w:tr>
    </w:tbl>
    <w:p>
      <w:pPr>
        <w:pStyle w:val="46"/>
        <w:autoSpaceDE/>
        <w:autoSpaceDN/>
        <w:snapToGrid w:val="0"/>
        <w:spacing w:line="360" w:lineRule="auto"/>
        <w:jc w:val="both"/>
        <w:rPr>
          <w:rFonts w:hint="eastAsia" w:ascii="宋体" w:hAnsi="宋体" w:eastAsia="宋体" w:cs="宋体"/>
          <w:color w:val="auto"/>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pStyle w:val="5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Style w:val="5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bidi w:val="0"/>
        <w:rPr>
          <w:rFonts w:hint="eastAsia" w:ascii="宋体" w:hAnsi="宋体" w:eastAsia="宋体" w:cs="宋体"/>
          <w:b/>
          <w:bCs/>
          <w:color w:val="auto"/>
          <w:sz w:val="21"/>
          <w:szCs w:val="21"/>
          <w:highlight w:val="none"/>
        </w:rPr>
      </w:pP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供应商可不在响应文件中填写</w:t>
      </w:r>
      <w:r>
        <w:rPr>
          <w:rFonts w:hint="eastAsia" w:ascii="宋体" w:hAnsi="宋体" w:eastAsia="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。此表由供应商</w:t>
      </w:r>
      <w:r>
        <w:rPr>
          <w:rFonts w:hint="eastAsia" w:ascii="宋体" w:hAnsi="宋体" w:eastAsia="宋体" w:cs="宋体"/>
          <w:b/>
          <w:bCs/>
          <w:color w:val="auto"/>
          <w:sz w:val="21"/>
          <w:szCs w:val="21"/>
          <w:highlight w:val="none"/>
          <w:lang w:eastAsia="zh-CN"/>
        </w:rPr>
        <w:t>签字确认或</w:t>
      </w:r>
      <w:r>
        <w:rPr>
          <w:rFonts w:hint="eastAsia" w:ascii="宋体" w:hAnsi="宋体" w:eastAsia="宋体" w:cs="宋体"/>
          <w:b/>
          <w:bCs/>
          <w:color w:val="auto"/>
          <w:sz w:val="21"/>
          <w:szCs w:val="21"/>
          <w:highlight w:val="none"/>
        </w:rPr>
        <w:t>盖上鲜章后到磋商现场经磋商后再填写，经供应商法定代表人或</w:t>
      </w:r>
      <w:r>
        <w:rPr>
          <w:rFonts w:hint="eastAsia" w:ascii="宋体" w:hAnsi="宋体" w:eastAsia="宋体" w:cs="宋体"/>
          <w:b/>
          <w:bCs/>
          <w:color w:val="auto"/>
          <w:sz w:val="21"/>
          <w:szCs w:val="21"/>
          <w:highlight w:val="none"/>
          <w:lang w:eastAsia="zh-CN"/>
        </w:rPr>
        <w:t>授权代表</w:t>
      </w:r>
      <w:r>
        <w:rPr>
          <w:rFonts w:hint="eastAsia" w:ascii="宋体" w:hAnsi="宋体" w:eastAsia="宋体" w:cs="宋体"/>
          <w:b/>
          <w:bCs/>
          <w:color w:val="auto"/>
          <w:sz w:val="21"/>
          <w:szCs w:val="21"/>
          <w:highlight w:val="none"/>
        </w:rPr>
        <w:t>签字后密封递交给</w:t>
      </w:r>
      <w:r>
        <w:rPr>
          <w:rFonts w:hint="eastAsia" w:ascii="宋体" w:hAnsi="宋体" w:eastAsia="宋体" w:cs="宋体"/>
          <w:b/>
          <w:bCs/>
          <w:color w:val="auto"/>
          <w:sz w:val="21"/>
          <w:szCs w:val="21"/>
          <w:highlight w:val="none"/>
          <w:lang w:eastAsia="zh-CN"/>
        </w:rPr>
        <w:t>采购代理机构</w:t>
      </w:r>
      <w:r>
        <w:rPr>
          <w:rFonts w:hint="eastAsia" w:ascii="宋体" w:hAnsi="宋体" w:eastAsia="宋体" w:cs="宋体"/>
          <w:b/>
          <w:bCs/>
          <w:color w:val="auto"/>
          <w:sz w:val="21"/>
          <w:szCs w:val="21"/>
          <w:highlight w:val="none"/>
        </w:rPr>
        <w:t>工作人员，由其收集齐后集中递交</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小组。</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所有报价均用人民币表示,供应商报价应包含完成本项目所需的一切费用。</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报价保留小数点后两位。</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.为方便报价，供应商应携带多份签字确认或加盖鲜章的报价表现场填写。</w:t>
      </w:r>
    </w:p>
    <w:p>
      <w:pPr>
        <w:pStyle w:val="46"/>
        <w:autoSpaceDE/>
        <w:autoSpaceDN/>
        <w:snapToGrid w:val="0"/>
        <w:spacing w:line="360" w:lineRule="auto"/>
        <w:ind w:firstLine="480" w:firstLineChars="200"/>
        <w:jc w:val="both"/>
        <w:rPr>
          <w:rFonts w:hint="eastAsia" w:ascii="宋体" w:hAnsi="宋体" w:eastAsia="宋体" w:cs="宋体"/>
          <w:bCs/>
          <w:color w:val="auto"/>
          <w:sz w:val="24"/>
          <w:highlight w:val="none"/>
        </w:rPr>
      </w:pPr>
    </w:p>
    <w:p>
      <w:pPr>
        <w:bidi w:val="0"/>
        <w:ind w:firstLine="562"/>
        <w:rPr>
          <w:rFonts w:hint="eastAsia" w:ascii="宋体" w:hAnsi="宋体" w:eastAsia="宋体" w:cs="宋体"/>
          <w:b/>
          <w:bCs/>
          <w:color w:val="auto"/>
          <w:sz w:val="21"/>
          <w:szCs w:val="21"/>
          <w:highlight w:val="none"/>
        </w:rPr>
      </w:pPr>
    </w:p>
    <w:p>
      <w:pPr>
        <w:adjustRightInd w:val="0"/>
        <w:snapToGrid w:val="0"/>
        <w:spacing w:line="360" w:lineRule="auto"/>
        <w:rPr>
          <w:rFonts w:hint="eastAsia" w:ascii="宋体" w:hAnsi="宋体" w:eastAsia="宋体" w:cs="宋体"/>
          <w:color w:val="auto"/>
          <w:sz w:val="24"/>
          <w:szCs w:val="24"/>
          <w:highlight w:val="none"/>
        </w:rPr>
      </w:pPr>
    </w:p>
    <w:bookmarkEnd w:id="7"/>
    <w:bookmarkEnd w:id="8"/>
    <w:bookmarkEnd w:id="9"/>
    <w:bookmarkEnd w:id="10"/>
    <w:bookmarkEnd w:id="261"/>
    <w:bookmarkEnd w:id="262"/>
    <w:bookmarkEnd w:id="263"/>
    <w:bookmarkEnd w:id="264"/>
    <w:bookmarkEnd w:id="265"/>
    <w:bookmarkEnd w:id="266"/>
    <w:bookmarkEnd w:id="302"/>
    <w:bookmarkEnd w:id="303"/>
    <w:p>
      <w:pPr>
        <w:pStyle w:val="3"/>
        <w:bidi w:val="0"/>
        <w:rPr>
          <w:rFonts w:hint="eastAsia" w:ascii="宋体" w:hAnsi="宋体" w:eastAsia="宋体" w:cs="宋体"/>
          <w:color w:val="auto"/>
          <w:highlight w:val="none"/>
        </w:rPr>
      </w:pPr>
      <w:bookmarkStart w:id="304" w:name="_Toc20946"/>
      <w:bookmarkStart w:id="305" w:name="_Toc30399"/>
      <w:bookmarkStart w:id="306" w:name="_Toc19124"/>
      <w:bookmarkStart w:id="307" w:name="_Toc12332"/>
      <w:bookmarkStart w:id="308" w:name="_Toc2513"/>
      <w:bookmarkStart w:id="309" w:name="_Toc13821"/>
      <w:bookmarkStart w:id="310" w:name="_Toc28498"/>
      <w:bookmarkStart w:id="311" w:name="_Toc6078"/>
      <w:bookmarkStart w:id="312" w:name="_Toc14566"/>
      <w:bookmarkStart w:id="313" w:name="_Toc31563"/>
      <w:r>
        <w:rPr>
          <w:rFonts w:hint="eastAsia" w:ascii="宋体" w:hAnsi="宋体" w:eastAsia="宋体" w:cs="宋体"/>
          <w:color w:val="auto"/>
          <w:highlight w:val="none"/>
        </w:rPr>
        <w:t>第八章 评审方法</w:t>
      </w:r>
      <w:bookmarkEnd w:id="304"/>
      <w:bookmarkEnd w:id="305"/>
      <w:bookmarkEnd w:id="306"/>
      <w:bookmarkEnd w:id="307"/>
      <w:bookmarkEnd w:id="308"/>
      <w:bookmarkEnd w:id="309"/>
      <w:bookmarkEnd w:id="310"/>
      <w:bookmarkStart w:id="314" w:name="_Toc101338358"/>
      <w:bookmarkStart w:id="315" w:name="_Toc101174146"/>
      <w:bookmarkStart w:id="316" w:name="_Toc209847065"/>
      <w:bookmarkStart w:id="317" w:name="_Toc101250640"/>
      <w:bookmarkStart w:id="318" w:name="_Toc430773924"/>
    </w:p>
    <w:p>
      <w:pPr>
        <w:pStyle w:val="4"/>
        <w:bidi w:val="0"/>
        <w:rPr>
          <w:rFonts w:hint="eastAsia" w:ascii="宋体" w:hAnsi="宋体" w:eastAsia="宋体" w:cs="宋体"/>
          <w:color w:val="auto"/>
          <w:highlight w:val="none"/>
        </w:rPr>
      </w:pPr>
      <w:bookmarkStart w:id="319" w:name="_Toc20459"/>
      <w:bookmarkStart w:id="320" w:name="_Toc26037"/>
      <w:r>
        <w:rPr>
          <w:rFonts w:hint="eastAsia" w:ascii="宋体" w:hAnsi="宋体" w:eastAsia="宋体" w:cs="宋体"/>
          <w:color w:val="auto"/>
          <w:highlight w:val="none"/>
        </w:rPr>
        <w:t>8.1.总则</w:t>
      </w:r>
      <w:bookmarkEnd w:id="319"/>
      <w:bookmarkEnd w:id="320"/>
    </w:p>
    <w:p>
      <w:pPr>
        <w:bidi w:val="0"/>
        <w:rPr>
          <w:rFonts w:hint="eastAsia" w:ascii="宋体" w:hAnsi="宋体" w:eastAsia="宋体" w:cs="宋体"/>
          <w:color w:val="auto"/>
          <w:highlight w:val="none"/>
        </w:rPr>
      </w:pPr>
      <w:r>
        <w:rPr>
          <w:rFonts w:hint="eastAsia" w:ascii="宋体" w:hAnsi="宋体" w:eastAsia="宋体" w:cs="宋体"/>
          <w:color w:val="auto"/>
          <w:highlight w:val="none"/>
        </w:rPr>
        <w:t>8.1.1 根据《中华人民共和国政府采购法》、《中华人民共和国政府采购法实施条例》、《政府采购竞争性磋商采购方式管理暂行办法》等法律制度，结合本采购项目特点制定本磋商方法。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8.1.2 磋商工作由采购代理机构负责组织，具体磋商由采购代理机构依法组建的磋商小组负责。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8.1.3 磋商工作应遵循公平、公正、科学及择优的原则，并以相同的磋商程序和标准对待所有的供应商。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8.1.4 磋商小组按照磋商文件规定的磋商程序、评分方法和标准进行评审，并独立履行下列职责：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（一）熟悉和理解磋商文件，确定磋商文件内容是否违反国家有关强制性规定或者磋商文件存在歧义、重大缺陷，根据需要书面要求采购人、采购代理机构对磋商文件作出解释；</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（二）审查供应商响应文件是否满足磋商文件要求，并作出公正评价；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（三）根据需要要求供应商对响应文件中含义不明确、同类问题表述不一致或者有明显文字和计算错误的内容等作出必要的澄清、说明或者更正；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（四）推荐成交供应商，或者受采购人委托确定成交供应商；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（五）起草评审报告并进行签署；</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（六）向采购人/采购代理机构、财政部门或者其他监督部门报告非法干预评审工作的行为；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（七）法律、法规和规章规定的其他职责。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8.1.5 （实质性要求）磋商过程独立、保密。供应商非法干预磋商过程的，其响应文件作无效处理。</w:t>
      </w:r>
    </w:p>
    <w:p>
      <w:pPr>
        <w:pStyle w:val="4"/>
        <w:bidi w:val="0"/>
        <w:rPr>
          <w:rFonts w:hint="eastAsia" w:ascii="宋体" w:hAnsi="宋体" w:eastAsia="宋体" w:cs="宋体"/>
          <w:bCs/>
          <w:color w:val="auto"/>
          <w:highlight w:val="none"/>
        </w:rPr>
      </w:pPr>
      <w:bookmarkStart w:id="321" w:name="_Toc2888"/>
      <w:bookmarkStart w:id="322" w:name="_Toc30472"/>
      <w:r>
        <w:rPr>
          <w:rFonts w:hint="eastAsia" w:ascii="宋体" w:hAnsi="宋体" w:eastAsia="宋体" w:cs="宋体"/>
          <w:color w:val="auto"/>
          <w:highlight w:val="none"/>
        </w:rPr>
        <w:t>8.2.磋商程序</w:t>
      </w:r>
      <w:bookmarkEnd w:id="321"/>
      <w:bookmarkEnd w:id="322"/>
      <w:bookmarkStart w:id="323" w:name="_Toc2531"/>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8.2.1审查磋商文件和停止评审</w:t>
      </w:r>
      <w:bookmarkEnd w:id="323"/>
    </w:p>
    <w:p>
      <w:pPr>
        <w:bidi w:val="0"/>
        <w:rPr>
          <w:rFonts w:hint="eastAsia" w:ascii="宋体" w:hAnsi="宋体" w:eastAsia="宋体" w:cs="宋体"/>
          <w:color w:val="auto"/>
          <w:highlight w:val="none"/>
        </w:rPr>
      </w:pPr>
      <w:r>
        <w:rPr>
          <w:rFonts w:hint="eastAsia" w:ascii="宋体" w:hAnsi="宋体" w:eastAsia="宋体" w:cs="宋体"/>
          <w:color w:val="auto"/>
          <w:highlight w:val="none"/>
        </w:rPr>
        <w:t>8.2.1.1 磋商小组正式评审前，应当对磋商文件进行熟悉和理解，内容主要包括磋商文件中供应商资格条件要求、采购项目技术、服务和商务要求、磋商办法和标准、政府采购政策要求以及政府采购合同主要条款等。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8.2.1.2 本磋商文件有下列情形之一的，磋商小组应当停止评审：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（1）磋商文件的规定存在歧义、重大缺陷的；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（2）磋商文件明显以不合理条件对供应商实行差别待遇或者歧视待遇的；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（3）采购项目属于国家规定的优先、强制采购范围，但是磋商文件未依法体现优先、强制采购相关规定的；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（4）采购项目属于政府采购促进中小企业发展的范围，但是磋商文件未依法体现促进中小企业发展相关规定的；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（5）磋商文件将供应商的资格条件列为评分因素的；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（6）磋商文件有违反国家其他有关强制性规定的情形。</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8.2.1.3 出现本条8.2.1.2规定应当停止评审情形的，磋商小组应当向采购人书面说明情况。除本条规定的情形外，磋商小组不得以任何方式和理由停止评审。</w:t>
      </w:r>
    </w:p>
    <w:p>
      <w:pPr>
        <w:pStyle w:val="5"/>
        <w:bidi w:val="0"/>
        <w:rPr>
          <w:rFonts w:hint="eastAsia" w:ascii="宋体" w:hAnsi="宋体" w:eastAsia="宋体" w:cs="宋体"/>
          <w:color w:val="auto"/>
          <w:highlight w:val="none"/>
        </w:rPr>
      </w:pPr>
      <w:bookmarkStart w:id="324" w:name="_Toc12016"/>
      <w:r>
        <w:rPr>
          <w:rFonts w:hint="eastAsia" w:ascii="宋体" w:hAnsi="宋体" w:eastAsia="宋体" w:cs="宋体"/>
          <w:color w:val="auto"/>
          <w:highlight w:val="none"/>
        </w:rPr>
        <w:t>8.2.2资格性审查</w:t>
      </w:r>
      <w:bookmarkEnd w:id="324"/>
    </w:p>
    <w:p>
      <w:pPr>
        <w:bidi w:val="0"/>
        <w:rPr>
          <w:rFonts w:hint="eastAsia" w:ascii="宋体" w:hAnsi="宋体" w:eastAsia="宋体" w:cs="宋体"/>
          <w:color w:val="auto"/>
          <w:highlight w:val="none"/>
        </w:rPr>
      </w:pPr>
      <w:r>
        <w:rPr>
          <w:rFonts w:hint="eastAsia" w:ascii="宋体" w:hAnsi="宋体" w:eastAsia="宋体" w:cs="宋体"/>
          <w:color w:val="auto"/>
          <w:highlight w:val="none"/>
        </w:rPr>
        <w:t>8.2.2.1本项目需要磋商小组进行资格性审查。</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磋商小组应依据法律法规和磋商文件的规定，对响应文件是否按照规定要求提供资格性证明材料、是否属于禁止参加磋商的供应商等进行审查，以确定供应商是否具备磋商资格。</w:t>
      </w:r>
    </w:p>
    <w:p>
      <w:pPr>
        <w:bidi w:val="0"/>
        <w:rPr>
          <w:rFonts w:hint="eastAsia" w:ascii="宋体" w:hAnsi="宋体" w:eastAsia="宋体" w:cs="宋体"/>
          <w:color w:val="auto"/>
          <w:highlight w:val="none"/>
        </w:rPr>
      </w:pPr>
      <w:r>
        <w:rPr>
          <w:rFonts w:hint="eastAsia" w:ascii="宋体" w:hAnsi="宋体" w:eastAsia="宋体" w:cs="宋体"/>
          <w:b/>
          <w:bCs/>
          <w:color w:val="auto"/>
          <w:highlight w:val="none"/>
        </w:rPr>
        <w:t>供应商资格审查的标准</w:t>
      </w:r>
      <w:r>
        <w:rPr>
          <w:rFonts w:hint="eastAsia" w:ascii="宋体" w:hAnsi="宋体" w:eastAsia="宋体" w:cs="宋体"/>
          <w:color w:val="auto"/>
          <w:highlight w:val="none"/>
        </w:rPr>
        <w:t>：</w:t>
      </w:r>
    </w:p>
    <w:tbl>
      <w:tblPr>
        <w:tblStyle w:val="31"/>
        <w:tblW w:w="901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935"/>
        <w:gridCol w:w="5771"/>
        <w:gridCol w:w="64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35"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5771" w:type="dxa"/>
            <w:vAlign w:val="center"/>
          </w:tcPr>
          <w:p>
            <w:pPr>
              <w:adjustRightInd w:val="0"/>
              <w:snapToGrid w:val="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合格条件</w:t>
            </w:r>
          </w:p>
        </w:tc>
        <w:tc>
          <w:tcPr>
            <w:tcW w:w="649" w:type="dxa"/>
            <w:vAlign w:val="center"/>
          </w:tcPr>
          <w:p>
            <w:pPr>
              <w:adjustRightInd w:val="0"/>
              <w:snapToGrid w:val="0"/>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5771" w:type="dxa"/>
            <w:vAlign w:val="center"/>
          </w:tcPr>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①企业法人：提交“统一社会信用代码的营业执照”；</w:t>
            </w:r>
          </w:p>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②事业法人：提交“统一社会信用代码的事业单位法人证书”；</w:t>
            </w:r>
          </w:p>
          <w:p>
            <w:pPr>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③其他组织：提交“相关主管部门颁发的准许执业证明文件或其他证明材料”</w:t>
            </w:r>
            <w:r>
              <w:rPr>
                <w:rFonts w:hint="eastAsia" w:cs="宋体"/>
                <w:color w:val="auto"/>
                <w:sz w:val="21"/>
                <w:szCs w:val="21"/>
                <w:highlight w:val="none"/>
                <w:lang w:eastAsia="zh-CN"/>
              </w:rPr>
              <w:t>；</w:t>
            </w:r>
          </w:p>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④自然人：提交“身份证明材料”；</w:t>
            </w:r>
          </w:p>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（以上均提供复印件，其中①②③项应加盖公章。）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w:t>
            </w:r>
          </w:p>
        </w:tc>
        <w:tc>
          <w:tcPr>
            <w:tcW w:w="5771" w:type="dxa"/>
            <w:vAlign w:val="center"/>
          </w:tcPr>
          <w:p>
            <w:pPr>
              <w:pStyle w:val="89"/>
              <w:tabs>
                <w:tab w:val="left" w:pos="709"/>
                <w:tab w:val="left" w:pos="993"/>
              </w:tabs>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具有健全的财务会计制度</w:t>
            </w:r>
          </w:p>
        </w:tc>
        <w:tc>
          <w:tcPr>
            <w:tcW w:w="5771" w:type="dxa"/>
            <w:vAlign w:val="center"/>
          </w:tcPr>
          <w:p>
            <w:pPr>
              <w:pStyle w:val="89"/>
              <w:tabs>
                <w:tab w:val="left" w:pos="709"/>
                <w:tab w:val="left" w:pos="993"/>
              </w:tabs>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可提供2019或2020年度经审计的财务报告复印件（包含审计报告、审计报告中所涉及的财务报表和报表附注）；②也可提供2020或2021年供应商内部的财务报表复印件（至少包含资产负债表）；③也可提供响应文件递交截止日前一年内银行出具的有效资信证明；④供应商注册时间距响应文件递交截止日不足一年的，也可提供在工商备案的公司章程复印件；⑤复印件加盖公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具有履行合同所必需的设备和专业技术能力</w:t>
            </w:r>
          </w:p>
        </w:tc>
        <w:tc>
          <w:tcPr>
            <w:tcW w:w="5771" w:type="dxa"/>
            <w:vAlign w:val="center"/>
          </w:tcPr>
          <w:p>
            <w:pPr>
              <w:pStyle w:val="59"/>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tc>
        <w:tc>
          <w:tcPr>
            <w:tcW w:w="5771" w:type="dxa"/>
            <w:vAlign w:val="center"/>
          </w:tcPr>
          <w:p>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缴纳税收：提供2021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pStyle w:val="59"/>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②缴纳社会保障资金：提供2021年1月（含）以来任意时段（至少1个月）的缴纳社保的银行电子回单或社保部门出具的社保缴纳证明材料或有效票据复印件（复印件加盖公章）。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771" w:type="dxa"/>
            <w:vAlign w:val="center"/>
          </w:tcPr>
          <w:p>
            <w:pPr>
              <w:pStyle w:val="59"/>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tc>
        <w:tc>
          <w:tcPr>
            <w:tcW w:w="5771" w:type="dxa"/>
            <w:vAlign w:val="center"/>
          </w:tcPr>
          <w:p>
            <w:pPr>
              <w:pStyle w:val="59"/>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649"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本项目专门面向中小企业（监狱企业、残疾人福利性单位视同小微企业）采购</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提供中小企业声明函或监狱企业证明文件或残疾人福利性单位声明函</w:t>
            </w:r>
          </w:p>
        </w:tc>
        <w:tc>
          <w:tcPr>
            <w:tcW w:w="649"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无行贿犯罪记录</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提供供应商及其现任法定代表人/主要负责人在参加政府采购活动前三年内无行贿犯罪记录的承诺函原件</w:t>
            </w:r>
          </w:p>
        </w:tc>
        <w:tc>
          <w:tcPr>
            <w:tcW w:w="649" w:type="dxa"/>
            <w:vAlign w:val="center"/>
          </w:tcPr>
          <w:p>
            <w:pPr>
              <w:adjustRightInd w:val="0"/>
              <w:snapToGrid w:val="0"/>
              <w:ind w:firstLine="449" w:firstLineChars="214"/>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供应商依据采购公告获取了本项目竞争性磋商文件</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由采购代理机构提供供应商获取了磋商文件情况的相关证明材料，供应商不需要提供其他证明材料</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提供法定代表人（单位负责人）身份证明书原件及法定代表人（单位负责人）身份证复印件或护照复印件</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①法定代表人（单位负责人）身份证明书原件；②法定代表人（单位负责人）身份证复印件（在有效期内, 身份证两面均应复印）或护照复印件（供应商的法定代表人（单位负责人）为外籍人士的，按此提供）；③满足磋商文件的要求。</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提供法定代表人（单位负责人）授权书原件及授权代表身份证明材料复印件</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①法定代表人授权书原件需加盖公章；②授权代表身份证复印件（在有效期内,身份证两面均应复印）；③满足磋商文件的要求；④如响应文件均由供应商法定代表人（单位负责人）签字的则可不提供。</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numPr>
                <w:ilvl w:val="0"/>
                <w:numId w:val="33"/>
              </w:numPr>
              <w:adjustRightInd w:val="0"/>
              <w:snapToGrid w:val="0"/>
              <w:ind w:left="0" w:leftChars="0" w:firstLine="0" w:firstLineChars="0"/>
              <w:jc w:val="center"/>
              <w:rPr>
                <w:rFonts w:hint="eastAsia" w:ascii="宋体" w:hAnsi="宋体" w:eastAsia="宋体" w:cs="宋体"/>
                <w:color w:val="auto"/>
                <w:sz w:val="21"/>
                <w:szCs w:val="21"/>
                <w:highlight w:val="none"/>
              </w:rPr>
            </w:pPr>
          </w:p>
        </w:tc>
        <w:tc>
          <w:tcPr>
            <w:tcW w:w="1935"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供应商未提供本项目整体设计、规范编制或者项目管理、监理、检测等服务</w:t>
            </w:r>
          </w:p>
        </w:tc>
        <w:tc>
          <w:tcPr>
            <w:tcW w:w="5771" w:type="dxa"/>
            <w:vAlign w:val="center"/>
          </w:tcPr>
          <w:p>
            <w:pPr>
              <w:adjustRightInd w:val="0"/>
              <w:snapToGrid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提供承诺函，格式详见磋商文件第七章</w:t>
            </w:r>
          </w:p>
        </w:tc>
        <w:tc>
          <w:tcPr>
            <w:tcW w:w="649" w:type="dxa"/>
            <w:vAlign w:val="center"/>
          </w:tcPr>
          <w:p>
            <w:pPr>
              <w:adjustRightInd w:val="0"/>
              <w:snapToGrid w:val="0"/>
              <w:ind w:firstLine="420"/>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gridSpan w:val="4"/>
            <w:vAlign w:val="center"/>
          </w:tcPr>
          <w:p>
            <w:pPr>
              <w:adjustRightInd w:val="0"/>
              <w:snapToGrid w:val="0"/>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说明：结论填写“合格”或“不合格”，结论均为“合格”才能允许参加磋商，如结论中有一项为“不合格”，则淘汰该供应商并不允许其参加磋商。</w:t>
            </w:r>
          </w:p>
        </w:tc>
      </w:tr>
    </w:tbl>
    <w:p>
      <w:pPr>
        <w:bidi w:val="0"/>
        <w:rPr>
          <w:rFonts w:hint="eastAsia"/>
          <w:color w:val="auto"/>
          <w:highlight w:val="none"/>
        </w:rPr>
      </w:pPr>
      <w:r>
        <w:rPr>
          <w:rFonts w:hint="eastAsia"/>
          <w:color w:val="auto"/>
          <w:highlight w:val="none"/>
        </w:rPr>
        <w:t>8.2.2.2资格性审查结束后，磋商小组应当出具资格性审查报告，没有通过资格审查的供应商，磋商小组应当在资格审查报告中说明原因。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8.2.2.3采购代理机构宣布未通过资格性审查的供应商名单时，应当告知供应商未通过审查的原因。</w:t>
      </w:r>
    </w:p>
    <w:p>
      <w:pPr>
        <w:pStyle w:val="5"/>
        <w:bidi w:val="0"/>
        <w:rPr>
          <w:rFonts w:hint="eastAsia" w:ascii="宋体" w:hAnsi="宋体" w:eastAsia="宋体" w:cs="宋体"/>
          <w:color w:val="auto"/>
          <w:highlight w:val="none"/>
        </w:rPr>
      </w:pPr>
      <w:bookmarkStart w:id="325" w:name="_Toc1114"/>
      <w:r>
        <w:rPr>
          <w:rFonts w:hint="eastAsia" w:ascii="宋体" w:hAnsi="宋体" w:eastAsia="宋体" w:cs="宋体"/>
          <w:color w:val="auto"/>
          <w:highlight w:val="none"/>
        </w:rPr>
        <w:t>8.2.3 通过资格性审查的供应商不足3家的，终止本次采购活动，并发布终止采购活动公告。</w:t>
      </w:r>
      <w:bookmarkEnd w:id="325"/>
    </w:p>
    <w:p>
      <w:pPr>
        <w:bidi w:val="0"/>
        <w:rPr>
          <w:rFonts w:hint="eastAsia" w:ascii="宋体" w:hAnsi="宋体" w:eastAsia="宋体" w:cs="宋体"/>
          <w:color w:val="auto"/>
          <w:highlight w:val="none"/>
        </w:rPr>
      </w:pPr>
      <w:r>
        <w:rPr>
          <w:rFonts w:hint="eastAsia" w:ascii="宋体" w:hAnsi="宋体" w:eastAsia="宋体" w:cs="宋体"/>
          <w:color w:val="auto"/>
          <w:highlight w:val="none"/>
        </w:rPr>
        <w:t>8.2.3.1磋商小组应依据磋商文件规定的实质性要求，对符合资格的响应文件进行有效性、完整性和响应程度审查，以确定参加磋商的供应商名单。</w:t>
      </w:r>
    </w:p>
    <w:p>
      <w:pPr>
        <w:pStyle w:val="5"/>
        <w:bidi w:val="0"/>
        <w:rPr>
          <w:rFonts w:hint="eastAsia" w:ascii="宋体" w:hAnsi="宋体" w:eastAsia="宋体" w:cs="宋体"/>
          <w:color w:val="auto"/>
          <w:highlight w:val="none"/>
        </w:rPr>
      </w:pPr>
      <w:bookmarkStart w:id="326" w:name="_Toc222"/>
      <w:r>
        <w:rPr>
          <w:rFonts w:hint="eastAsia" w:ascii="宋体" w:hAnsi="宋体" w:eastAsia="宋体" w:cs="宋体"/>
          <w:color w:val="auto"/>
          <w:highlight w:val="none"/>
        </w:rPr>
        <w:t>8.2.4磋商</w:t>
      </w:r>
      <w:bookmarkEnd w:id="326"/>
    </w:p>
    <w:p>
      <w:pPr>
        <w:bidi w:val="0"/>
        <w:rPr>
          <w:rFonts w:hint="eastAsia" w:ascii="宋体" w:hAnsi="宋体" w:eastAsia="宋体" w:cs="宋体"/>
          <w:color w:val="auto"/>
          <w:highlight w:val="none"/>
        </w:rPr>
      </w:pPr>
      <w:r>
        <w:rPr>
          <w:rFonts w:hint="eastAsia" w:ascii="宋体" w:hAnsi="宋体" w:eastAsia="宋体" w:cs="宋体"/>
          <w:color w:val="auto"/>
          <w:highlight w:val="none"/>
        </w:rPr>
        <w:t>8.2.4.1磋商小组所有成员集中与单一供应商分别进行一轮或多轮磋商，并给予所有参加磋商的供应商平等的磋商机会。磋商顺序以现场抽签的方式确定。磋商过程中，磋商小组可以根据磋商情况调整磋商轮次。</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特别提示：</w:t>
      </w:r>
      <w:r>
        <w:rPr>
          <w:rFonts w:hint="eastAsia" w:ascii="宋体" w:hAnsi="宋体" w:eastAsia="宋体" w:cs="宋体"/>
          <w:b/>
          <w:bCs/>
          <w:color w:val="auto"/>
          <w:highlight w:val="none"/>
          <w:u w:val="single"/>
        </w:rPr>
        <w:t>参加磋商的供应商法定代表人（单位负责人）（法定代表人</w:t>
      </w:r>
      <w:r>
        <w:rPr>
          <w:rFonts w:hint="eastAsia" w:ascii="宋体" w:hAnsi="宋体" w:eastAsia="宋体" w:cs="宋体"/>
          <w:b/>
          <w:bCs/>
          <w:color w:val="auto"/>
          <w:highlight w:val="none"/>
          <w:u w:val="single"/>
          <w:lang w:val="en-US" w:eastAsia="zh-CN"/>
        </w:rPr>
        <w:t>/</w:t>
      </w:r>
      <w:r>
        <w:rPr>
          <w:rFonts w:hint="eastAsia" w:ascii="宋体" w:hAnsi="宋体" w:eastAsia="宋体" w:cs="宋体"/>
          <w:b/>
          <w:bCs/>
          <w:color w:val="auto"/>
          <w:highlight w:val="none"/>
          <w:u w:val="single"/>
        </w:rPr>
        <w:t>单位负责人亲自参与磋商的）或其授权代表应持本人有效身份证明原件进入评标室与磋商小组进行磋商</w:t>
      </w:r>
      <w:r>
        <w:rPr>
          <w:rFonts w:hint="eastAsia" w:ascii="宋体" w:hAnsi="宋体" w:eastAsia="宋体" w:cs="宋体"/>
          <w:b/>
          <w:bCs/>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8.2.4.2每轮磋商开始前，磋商小组应根据磋商文件的规定，并结合各供应商的响应文件拟定磋商内容。磋商内容为项目技术、服务及合同条款等内容。其中第五章中加★号的条款为采购项目的最低要求（实质性要求），为非磋商可以降低标准的内容。</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8.2.4.3在磋商过程中，磋商小组可以根据磋商文件和磋商情况实质性变动磋商文件中的第五章技术、服务要求和第九章合同草案条款，但不得变动磋商文件中的其他内容。实质性变动的内容，须经采购人代表书面确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8.2.4.4对磋商文件作出的实质性变动是磋商文件的有效组成部分，磋商小组应当及时以书面形式同时通知所有参加磋商的供应商。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8.2.4.5磋商过程中，磋商文件变动的，供应商应当按照磋商文件的变动情况和磋商小组的要求重新提交响应文件，并由其法定代表人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或授权代表签字或者加盖公章。由授权代表签字的，应当附法定代表人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授权书。供应商为自然人的，应当由本人签字并附身份证明。（注：要求供应商重新提交的响应文件，不必按照首次提交的响应文件内容格式提交，只需供应商就变动的内容提交相应的响应文件）。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8.2.4.6磋商过程中，磋商的任何一方不得透露与磋商有关的其他供应商的技术资料、价格和其他信息。</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8.2.4.7磋商过程中，磋商小组发现或者知晓供应商存在违法、违纪行为的，磋商小组应当将该供应商响应文件作无效处理，不允许其提交最后报价。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8.2.4.8磋商小组淘汰供应商的，应当书面通知该供应商，并说明理由。</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8.2.4.9已提交响应文件的供应商，在提交最后报价之前，可以根据磋商情况退出磋商。供应商退出磋商的，应向磋商小组提供退出磋商的书面申明。</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8.2.4.10磋商完成后，</w:t>
      </w:r>
      <w:r>
        <w:rPr>
          <w:rFonts w:hint="eastAsia" w:ascii="宋体" w:hAnsi="宋体" w:eastAsia="宋体" w:cs="宋体"/>
          <w:b/>
          <w:bCs/>
          <w:color w:val="auto"/>
          <w:highlight w:val="none"/>
          <w:u w:val="single"/>
        </w:rPr>
        <w:t>磋商小组应出具磋商情况记录表，参与磋商的供应商应对记录确认后签字</w:t>
      </w:r>
      <w:r>
        <w:rPr>
          <w:rFonts w:hint="eastAsia" w:ascii="宋体" w:hAnsi="宋体" w:eastAsia="宋体" w:cs="宋体"/>
          <w:color w:val="auto"/>
          <w:highlight w:val="none"/>
        </w:rPr>
        <w:t>。磋商情况记录表需包含磋商内容、磋商意见、实质性变动内容等。</w:t>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8.2.5最后报价</w:t>
      </w:r>
    </w:p>
    <w:p>
      <w:pPr>
        <w:pageBreakBefore w:val="0"/>
        <w:kinsoku/>
        <w:wordWrap/>
        <w:overflowPunct/>
        <w:topLinePunct w:val="0"/>
        <w:bidi w:val="0"/>
        <w:spacing w:line="360" w:lineRule="auto"/>
        <w:rPr>
          <w:rFonts w:hint="eastAsia" w:ascii="宋体" w:hAnsi="宋体" w:eastAsia="宋体" w:cs="宋体"/>
          <w:b/>
          <w:bCs/>
          <w:color w:val="auto"/>
          <w:highlight w:val="none"/>
          <w:u w:val="single"/>
        </w:rPr>
      </w:pPr>
      <w:r>
        <w:rPr>
          <w:rFonts w:hint="eastAsia" w:ascii="宋体" w:hAnsi="宋体" w:eastAsia="宋体" w:cs="宋体"/>
          <w:color w:val="auto"/>
          <w:highlight w:val="none"/>
          <w:lang w:val="en-US" w:eastAsia="zh-CN"/>
        </w:rPr>
        <w:t>8.2.5.1</w:t>
      </w:r>
      <w:r>
        <w:rPr>
          <w:rFonts w:hint="eastAsia" w:ascii="宋体" w:hAnsi="宋体" w:eastAsia="宋体" w:cs="宋体"/>
          <w:color w:val="auto"/>
          <w:highlight w:val="none"/>
        </w:rPr>
        <w:t>磋商文件能够详细列明采购标的的技术、服务要求的，磋商结束后，磋商小组应当要求所有实质性响应的供应商在规定时间内提交最后报</w:t>
      </w:r>
      <w:r>
        <w:rPr>
          <w:rFonts w:hint="eastAsia" w:ascii="宋体" w:hAnsi="宋体" w:eastAsia="宋体" w:cs="宋体"/>
          <w:color w:val="auto"/>
          <w:highlight w:val="none"/>
          <w:u w:val="none"/>
        </w:rPr>
        <w:t>价，</w:t>
      </w:r>
      <w:r>
        <w:rPr>
          <w:rFonts w:hint="eastAsia" w:ascii="宋体" w:hAnsi="宋体" w:eastAsia="宋体" w:cs="宋体"/>
          <w:b/>
          <w:bCs/>
          <w:color w:val="auto"/>
          <w:highlight w:val="none"/>
          <w:u w:val="none"/>
        </w:rPr>
        <w:t>提交最后报价的供应商不得少于</w:t>
      </w:r>
      <w:r>
        <w:rPr>
          <w:rFonts w:hint="eastAsia" w:ascii="宋体" w:hAnsi="宋体" w:eastAsia="宋体" w:cs="宋体"/>
          <w:b/>
          <w:bCs/>
          <w:color w:val="auto"/>
          <w:highlight w:val="none"/>
          <w:u w:val="none"/>
          <w:lang w:val="en-US" w:eastAsia="zh-CN"/>
        </w:rPr>
        <w:t>3</w:t>
      </w:r>
      <w:r>
        <w:rPr>
          <w:rFonts w:hint="eastAsia" w:ascii="宋体" w:hAnsi="宋体" w:eastAsia="宋体" w:cs="宋体"/>
          <w:b/>
          <w:bCs/>
          <w:color w:val="auto"/>
          <w:highlight w:val="none"/>
          <w:u w:val="none"/>
        </w:rPr>
        <w:t>家。</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磋商结束后，磋商小组应当要求所有实质性响应的供应商在规定时间内提交最后报价。两轮（若有）以上报价的，供</w:t>
      </w:r>
      <w:r>
        <w:rPr>
          <w:rFonts w:hint="eastAsia" w:ascii="宋体" w:hAnsi="宋体" w:eastAsia="宋体" w:cs="宋体"/>
          <w:b/>
          <w:bCs/>
          <w:color w:val="auto"/>
          <w:highlight w:val="none"/>
        </w:rPr>
        <w:t>应商在未提高响应文件中承诺的产品及其服务质量的情况下，其最后报价不得高于对该项目之前的报价</w:t>
      </w:r>
      <w:r>
        <w:rPr>
          <w:rFonts w:hint="eastAsia" w:ascii="宋体" w:hAnsi="宋体" w:eastAsia="宋体" w:cs="宋体"/>
          <w:color w:val="auto"/>
          <w:highlight w:val="none"/>
        </w:rPr>
        <w:t>，否则，磋商小组应当对其响应文件按无效处理，不允许进入综合评分，并书面告知供应商，说明理由。</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供应商最后报价应当由法定代表人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或其授权代表签字确认或加盖公章，并密封递交采购代理机构工作人员，由其收集齐后集中递交磋商小组。最后报价是供应商响应文件的有效组成部分。</w:t>
      </w:r>
    </w:p>
    <w:p>
      <w:pPr>
        <w:pStyle w:val="4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textAlignment w:val="auto"/>
        <w:rPr>
          <w:rFonts w:hint="eastAsia" w:ascii="宋体" w:hAnsi="宋体" w:eastAsia="宋体" w:cs="宋体"/>
          <w:color w:val="auto"/>
          <w:highlight w:val="none"/>
        </w:rPr>
      </w:pPr>
      <w:r>
        <w:rPr>
          <w:rFonts w:hint="eastAsia" w:ascii="宋体" w:hAnsi="宋体" w:eastAsia="宋体" w:cs="宋体"/>
          <w:color w:val="auto"/>
          <w:highlight w:val="none"/>
        </w:rPr>
        <w:t>8.2.5.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
        <w:bidi w:val="0"/>
        <w:rPr>
          <w:rFonts w:hint="eastAsia" w:ascii="宋体" w:hAnsi="宋体" w:eastAsia="宋体" w:cs="宋体"/>
          <w:color w:val="auto"/>
          <w:highlight w:val="none"/>
        </w:rPr>
      </w:pPr>
      <w:bookmarkStart w:id="327" w:name="_Toc30140"/>
      <w:r>
        <w:rPr>
          <w:rFonts w:hint="eastAsia" w:ascii="宋体" w:hAnsi="宋体" w:eastAsia="宋体" w:cs="宋体"/>
          <w:color w:val="auto"/>
          <w:highlight w:val="none"/>
        </w:rPr>
        <w:t>8.2.6比较与评价</w:t>
      </w:r>
      <w:bookmarkEnd w:id="327"/>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由磋商小组采用综合评分法对提交最后报价的供应商的响应文件和最后报价进行综合评分，具体要求详见本章综合评分部分。</w:t>
      </w:r>
    </w:p>
    <w:p>
      <w:pPr>
        <w:pStyle w:val="5"/>
        <w:bidi w:val="0"/>
        <w:rPr>
          <w:rFonts w:hint="eastAsia" w:ascii="宋体" w:hAnsi="宋体" w:eastAsia="宋体" w:cs="宋体"/>
          <w:color w:val="auto"/>
          <w:highlight w:val="none"/>
        </w:rPr>
      </w:pPr>
      <w:bookmarkStart w:id="328" w:name="_Toc16399"/>
      <w:r>
        <w:rPr>
          <w:rFonts w:hint="eastAsia" w:ascii="宋体" w:hAnsi="宋体" w:eastAsia="宋体" w:cs="宋体"/>
          <w:color w:val="auto"/>
          <w:highlight w:val="none"/>
        </w:rPr>
        <w:t>8.2.7推荐成交候选供应商</w:t>
      </w:r>
      <w:bookmarkEnd w:id="32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磋商小组应当根据综合评分情况，</w:t>
      </w:r>
      <w:r>
        <w:rPr>
          <w:rFonts w:hint="eastAsia" w:ascii="宋体" w:hAnsi="宋体" w:eastAsia="宋体" w:cs="宋体"/>
          <w:b/>
          <w:bCs/>
          <w:color w:val="auto"/>
          <w:highlight w:val="none"/>
        </w:rPr>
        <w:t>按照评审得分由高到低顺序推荐</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家以上成交候选供应商</w:t>
      </w:r>
      <w:r>
        <w:rPr>
          <w:rFonts w:hint="eastAsia" w:ascii="宋体" w:hAnsi="宋体" w:eastAsia="宋体" w:cs="宋体"/>
          <w:color w:val="auto"/>
          <w:highlight w:val="none"/>
        </w:rPr>
        <w:t>，并编写磋商报告。评审得分相同的，按照最后报价由低到高的顺序推荐。不发达地区或少数民族地区的供应商排列顺序在非不发达地区或少数民族地区的供应商之前；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pStyle w:val="5"/>
        <w:bidi w:val="0"/>
        <w:rPr>
          <w:rFonts w:hint="eastAsia" w:ascii="宋体" w:hAnsi="宋体" w:eastAsia="宋体" w:cs="宋体"/>
          <w:color w:val="auto"/>
          <w:highlight w:val="none"/>
        </w:rPr>
      </w:pPr>
      <w:bookmarkStart w:id="329" w:name="_Toc4024"/>
      <w:r>
        <w:rPr>
          <w:rFonts w:hint="eastAsia" w:ascii="宋体" w:hAnsi="宋体" w:eastAsia="宋体" w:cs="宋体"/>
          <w:color w:val="auto"/>
          <w:highlight w:val="none"/>
        </w:rPr>
        <w:t>8.2.8磋商小组复核</w:t>
      </w:r>
      <w:bookmarkEnd w:id="329"/>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磋商小组评分汇总结束后，磋商小组应当进行评审复核，对拟推荐为成交候选供应商的、报价最低的、供应商资格审查未通过的、供应商响应文件作无效处理的重点复核。</w:t>
      </w: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8.2.9采购组织单位现场复核评审结果</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（1）资格性审查认定错误的；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（2）分值汇总计算错误的；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（3）分项评分超出评分标准范围的；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（4）客观评分不一致的；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（5）经磋商小组一致认定评分畸高、畸低的。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采购代理机构复核过程中，磋商小组成员不得离开评审现场。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8.2.9.2有下列情形之一的，不得现场修改评审结果：</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（1）磋商小组已经出具磋商报告并且离开评审现场的；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（2）采购代理机构现场复核时，复核工作人员数量不足的；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（3）采购代理机构现场复核时，没有采购监督人员现场监督的；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（4）采购代理机构现场复核内容超出规定范围的；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（5）采购代理机构未提供书面建议的。</w:t>
      </w:r>
    </w:p>
    <w:p>
      <w:pPr>
        <w:bidi w:val="0"/>
        <w:rPr>
          <w:rFonts w:hint="eastAsia" w:ascii="宋体" w:hAnsi="宋体" w:eastAsia="宋体" w:cs="宋体"/>
          <w:color w:val="auto"/>
          <w:highlight w:val="none"/>
        </w:rPr>
      </w:pPr>
      <w:bookmarkStart w:id="330" w:name="_Toc11398"/>
      <w:r>
        <w:rPr>
          <w:rStyle w:val="47"/>
          <w:rFonts w:hint="eastAsia" w:ascii="宋体" w:hAnsi="宋体" w:eastAsia="宋体" w:cs="宋体"/>
          <w:color w:val="auto"/>
          <w:highlight w:val="none"/>
        </w:rPr>
        <w:t>8.2.10编写磋商报告。</w:t>
      </w:r>
      <w:r>
        <w:rPr>
          <w:rFonts w:hint="eastAsia" w:ascii="宋体" w:hAnsi="宋体" w:eastAsia="宋体" w:cs="宋体"/>
          <w:color w:val="auto"/>
          <w:highlight w:val="none"/>
        </w:rPr>
        <w:t>磋商小组推荐成交候选供应商后，应向采购代理机构出具磋商报告。磋商报告应当包括以下主要内容：</w:t>
      </w:r>
      <w:bookmarkEnd w:id="330"/>
    </w:p>
    <w:p>
      <w:pPr>
        <w:bidi w:val="0"/>
        <w:rPr>
          <w:rFonts w:hint="eastAsia" w:ascii="宋体" w:hAnsi="宋体" w:eastAsia="宋体" w:cs="宋体"/>
          <w:color w:val="auto"/>
          <w:highlight w:val="none"/>
        </w:rPr>
      </w:pPr>
      <w:r>
        <w:rPr>
          <w:rFonts w:hint="eastAsia" w:ascii="宋体" w:hAnsi="宋体" w:eastAsia="宋体" w:cs="宋体"/>
          <w:color w:val="auto"/>
          <w:highlight w:val="none"/>
        </w:rPr>
        <w:t>（1）邀请供应商参加采购活动的具体方式和相关情况；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（2）响应文件开启日期和地点；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（3）获取磋商文件的供应商名单和磋商小组成员名单；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（4）评审情况记录和说明，包括对供应商的资格审查情况、供应商响应文件审查情况、磋商情况、报价情况等；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（5）提出的成交候选供应商的排序名单及理由。</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bidi w:val="0"/>
        <w:rPr>
          <w:rFonts w:hint="eastAsia" w:ascii="宋体" w:hAnsi="宋体" w:eastAsia="宋体" w:cs="宋体"/>
          <w:color w:val="auto"/>
          <w:highlight w:val="none"/>
        </w:rPr>
      </w:pPr>
      <w:bookmarkStart w:id="331" w:name="_Toc11183"/>
      <w:r>
        <w:rPr>
          <w:rFonts w:hint="eastAsia" w:ascii="宋体" w:hAnsi="宋体" w:eastAsia="宋体" w:cs="宋体"/>
          <w:color w:val="auto"/>
          <w:highlight w:val="none"/>
        </w:rPr>
        <w:t>8.2.11磋商异议处理规则</w:t>
      </w:r>
      <w:bookmarkEnd w:id="331"/>
    </w:p>
    <w:p>
      <w:pPr>
        <w:bidi w:val="0"/>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
        <w:bidi w:val="0"/>
        <w:rPr>
          <w:rFonts w:hint="eastAsia" w:ascii="宋体" w:hAnsi="宋体" w:eastAsia="宋体" w:cs="宋体"/>
          <w:color w:val="auto"/>
          <w:highlight w:val="none"/>
        </w:rPr>
      </w:pPr>
      <w:bookmarkStart w:id="332" w:name="_Toc682"/>
      <w:r>
        <w:rPr>
          <w:rFonts w:hint="eastAsia" w:ascii="宋体" w:hAnsi="宋体" w:eastAsia="宋体" w:cs="宋体"/>
          <w:color w:val="auto"/>
          <w:highlight w:val="none"/>
        </w:rPr>
        <w:t>8.2.12供应商澄清、说明</w:t>
      </w:r>
      <w:bookmarkEnd w:id="332"/>
      <w:r>
        <w:rPr>
          <w:rFonts w:hint="eastAsia" w:ascii="宋体" w:hAnsi="宋体" w:eastAsia="宋体" w:cs="宋体"/>
          <w:color w:val="auto"/>
          <w:highlight w:val="none"/>
        </w:rPr>
        <w:t>或者更正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小组在对响应文件的有效性、完整性和响应程度进行审查时，对供应商响应文件中含义不明确、同类问题表述不一致或者有明显文字和计算错误的内容，可以书面形式（须由磋商小组全体成员签字）要求供应商作出必要的书面澄清、说明或者更正，并给予供应商必要的反馈时间，</w:t>
      </w:r>
      <w:r>
        <w:rPr>
          <w:rFonts w:hint="eastAsia" w:ascii="宋体" w:hAnsi="宋体" w:eastAsia="宋体" w:cs="宋体"/>
          <w:b/>
          <w:bCs/>
          <w:color w:val="auto"/>
          <w:highlight w:val="none"/>
        </w:rPr>
        <w:t>反馈时间为90分钟</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供应商应当书面澄清、说明或者更正，并由法定代表人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或授权代表签字确认或者加盖公章，否则无效。澄清、说明或者更正不影响响应文件的效力，有效的澄清、说明或者更正材料，是响应文件的组成部分。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磋商小组要求供应商澄清、说明或者更正，不得超出响应文件的范围，不得以此让供应商实质改变响应文件的内容，不得影响供应商公平竞争。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在采购中，按财政部规定应当在评审时不予承认的响应文件内容事项、响应文件中已经明确的内容事项和响应文件未提供的材料，不得澄清、说明或者更正。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磋商小组应当积极履行澄清、说明或者更正的职责，不得滥用权力。供应商的响应文件可以要求澄清、说明或者更正的，不得未经澄清、说明或者更正而直接作无效处理。</w:t>
      </w:r>
    </w:p>
    <w:p>
      <w:pPr>
        <w:pStyle w:val="5"/>
        <w:bidi w:val="0"/>
        <w:rPr>
          <w:rFonts w:hint="eastAsia" w:ascii="宋体" w:hAnsi="宋体" w:eastAsia="宋体" w:cs="宋体"/>
          <w:color w:val="auto"/>
          <w:highlight w:val="none"/>
        </w:rPr>
      </w:pPr>
      <w:bookmarkStart w:id="333" w:name="_Toc16583"/>
      <w:r>
        <w:rPr>
          <w:rFonts w:hint="eastAsia" w:ascii="宋体" w:hAnsi="宋体" w:eastAsia="宋体" w:cs="宋体"/>
          <w:color w:val="auto"/>
          <w:highlight w:val="none"/>
        </w:rPr>
        <w:t>8.2.13终止磋商采购活动</w:t>
      </w:r>
      <w:bookmarkEnd w:id="333"/>
    </w:p>
    <w:p>
      <w:pPr>
        <w:bidi w:val="0"/>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（3）在采购过程中符合要求的供应商或者报价未超过采购预算的供应商不足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家的。</w:t>
      </w:r>
    </w:p>
    <w:p>
      <w:pPr>
        <w:pStyle w:val="4"/>
        <w:bidi w:val="0"/>
        <w:rPr>
          <w:rFonts w:hint="eastAsia"/>
          <w:color w:val="auto"/>
          <w:highlight w:val="none"/>
        </w:rPr>
      </w:pPr>
      <w:bookmarkStart w:id="334" w:name="_Toc15345"/>
      <w:bookmarkStart w:id="335" w:name="_Toc23497"/>
      <w:r>
        <w:rPr>
          <w:rFonts w:hint="eastAsia"/>
          <w:color w:val="auto"/>
          <w:highlight w:val="none"/>
        </w:rPr>
        <w:t>8.3.综合评分</w:t>
      </w:r>
      <w:bookmarkEnd w:id="334"/>
      <w:bookmarkEnd w:id="335"/>
    </w:p>
    <w:p>
      <w:pPr>
        <w:bidi w:val="0"/>
        <w:rPr>
          <w:rFonts w:hint="eastAsia" w:ascii="宋体" w:hAnsi="宋体" w:eastAsia="宋体" w:cs="宋体"/>
          <w:color w:val="auto"/>
          <w:highlight w:val="none"/>
        </w:rPr>
      </w:pPr>
      <w:r>
        <w:rPr>
          <w:rFonts w:hint="eastAsia" w:ascii="宋体" w:hAnsi="宋体" w:eastAsia="宋体" w:cs="宋体"/>
          <w:color w:val="auto"/>
          <w:highlight w:val="none"/>
        </w:rPr>
        <w:t>8.3.1本次综合评分的因素是：</w:t>
      </w:r>
      <w:r>
        <w:rPr>
          <w:rFonts w:hint="eastAsia" w:ascii="宋体" w:hAnsi="宋体" w:eastAsia="宋体" w:cs="宋体"/>
          <w:b/>
          <w:bCs/>
          <w:color w:val="auto"/>
          <w:highlight w:val="none"/>
        </w:rPr>
        <w:t>详见综合评分明细表</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8.3.2 本次评审采用综合评分法，评审时，磋商小组各成员应当独立对每个有效响应的文件进行评价、打分，然后汇总每个供应商每项评分因素的得分。磋商小组成员应当根据自身专业情况对每个有效磋商供应商的响应文件进行独立评分，加权汇总每项评分因素的得分，得出每个有效磋商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磋商文件中没有规定的评审标准不得作为评审的依据。</w:t>
      </w:r>
    </w:p>
    <w:p>
      <w:pPr>
        <w:pStyle w:val="5"/>
        <w:bidi w:val="0"/>
        <w:rPr>
          <w:rFonts w:hint="eastAsia" w:ascii="宋体" w:hAnsi="宋体" w:eastAsia="宋体" w:cs="宋体"/>
          <w:color w:val="auto"/>
          <w:highlight w:val="none"/>
        </w:rPr>
      </w:pPr>
      <w:bookmarkStart w:id="336" w:name="_Toc28129"/>
      <w:bookmarkStart w:id="350" w:name="_GoBack"/>
      <w:bookmarkEnd w:id="350"/>
      <w:r>
        <w:rPr>
          <w:rFonts w:hint="eastAsia" w:ascii="宋体" w:hAnsi="宋体" w:eastAsia="宋体" w:cs="宋体"/>
          <w:color w:val="auto"/>
          <w:highlight w:val="none"/>
        </w:rPr>
        <w:t>8.3.3综合评分明细表</w:t>
      </w:r>
      <w:bookmarkEnd w:id="336"/>
    </w:p>
    <w:p>
      <w:pPr>
        <w:bidi w:val="0"/>
        <w:rPr>
          <w:rFonts w:hint="eastAsia" w:ascii="宋体" w:hAnsi="宋体" w:eastAsia="宋体" w:cs="宋体"/>
          <w:color w:val="auto"/>
          <w:highlight w:val="none"/>
        </w:rPr>
      </w:pPr>
      <w:r>
        <w:rPr>
          <w:rFonts w:hint="eastAsia" w:ascii="宋体" w:hAnsi="宋体" w:eastAsia="宋体" w:cs="宋体"/>
          <w:color w:val="auto"/>
          <w:highlight w:val="none"/>
        </w:rPr>
        <w:t>8.3.3.1综合评分明细表的制定以科学合理、降低评委会自由裁量权为原则。</w:t>
      </w:r>
    </w:p>
    <w:p>
      <w:pPr>
        <w:bidi w:val="0"/>
        <w:rPr>
          <w:rFonts w:hint="eastAsia" w:ascii="宋体" w:hAnsi="宋体" w:eastAsia="宋体" w:cs="宋体"/>
          <w:color w:val="auto"/>
          <w:highlight w:val="none"/>
        </w:rPr>
      </w:pPr>
      <w:bookmarkStart w:id="337" w:name="_Toc25077"/>
      <w:r>
        <w:rPr>
          <w:rFonts w:hint="eastAsia" w:ascii="宋体" w:hAnsi="宋体" w:eastAsia="宋体" w:cs="宋体"/>
          <w:color w:val="auto"/>
          <w:highlight w:val="none"/>
        </w:rPr>
        <w:t>8.3.3.2</w:t>
      </w:r>
      <w:r>
        <w:rPr>
          <w:rFonts w:hint="eastAsia" w:ascii="宋体" w:hAnsi="宋体" w:eastAsia="宋体" w:cs="宋体"/>
          <w:b/>
          <w:bCs/>
          <w:color w:val="auto"/>
          <w:highlight w:val="none"/>
        </w:rPr>
        <w:t>综合评分明细表</w:t>
      </w:r>
      <w:bookmarkEnd w:id="337"/>
    </w:p>
    <w:tbl>
      <w:tblPr>
        <w:tblStyle w:val="31"/>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39"/>
        <w:gridCol w:w="746"/>
        <w:gridCol w:w="631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ind w:firstLine="0" w:firstLineChars="0"/>
              <w:jc w:val="center"/>
              <w:rPr>
                <w:b/>
                <w:bCs/>
                <w:color w:val="auto"/>
                <w:sz w:val="21"/>
                <w:szCs w:val="21"/>
                <w:highlight w:val="none"/>
              </w:rPr>
            </w:pPr>
            <w:r>
              <w:rPr>
                <w:rFonts w:hint="eastAsia"/>
                <w:b/>
                <w:bCs/>
                <w:color w:val="auto"/>
                <w:sz w:val="21"/>
                <w:szCs w:val="21"/>
                <w:highlight w:val="none"/>
              </w:rPr>
              <w:t>评委</w:t>
            </w:r>
          </w:p>
          <w:p>
            <w:pPr>
              <w:ind w:firstLine="0" w:firstLineChars="0"/>
              <w:jc w:val="center"/>
              <w:rPr>
                <w:b/>
                <w:bCs/>
                <w:color w:val="auto"/>
                <w:sz w:val="21"/>
                <w:szCs w:val="21"/>
                <w:highlight w:val="none"/>
              </w:rPr>
            </w:pPr>
            <w:r>
              <w:rPr>
                <w:rFonts w:hint="eastAsia"/>
                <w:b/>
                <w:bCs/>
                <w:color w:val="auto"/>
                <w:sz w:val="21"/>
                <w:szCs w:val="21"/>
                <w:highlight w:val="none"/>
              </w:rPr>
              <w:t>类别</w:t>
            </w:r>
          </w:p>
        </w:tc>
        <w:tc>
          <w:tcPr>
            <w:tcW w:w="1285" w:type="dxa"/>
            <w:gridSpan w:val="2"/>
            <w:vAlign w:val="center"/>
          </w:tcPr>
          <w:p>
            <w:pPr>
              <w:ind w:firstLine="0" w:firstLineChars="0"/>
              <w:jc w:val="center"/>
              <w:rPr>
                <w:b/>
                <w:bCs/>
                <w:color w:val="auto"/>
                <w:sz w:val="21"/>
                <w:szCs w:val="21"/>
                <w:highlight w:val="none"/>
              </w:rPr>
            </w:pPr>
            <w:r>
              <w:rPr>
                <w:rFonts w:hint="eastAsia"/>
                <w:b/>
                <w:bCs/>
                <w:color w:val="auto"/>
                <w:sz w:val="21"/>
                <w:szCs w:val="21"/>
                <w:highlight w:val="none"/>
              </w:rPr>
              <w:t>评分因素</w:t>
            </w:r>
          </w:p>
          <w:p>
            <w:pPr>
              <w:ind w:firstLine="0" w:firstLineChars="0"/>
              <w:jc w:val="center"/>
              <w:rPr>
                <w:b/>
                <w:bCs/>
                <w:color w:val="auto"/>
                <w:sz w:val="21"/>
                <w:szCs w:val="21"/>
                <w:highlight w:val="none"/>
              </w:rPr>
            </w:pPr>
            <w:r>
              <w:rPr>
                <w:rFonts w:hint="eastAsia"/>
                <w:b/>
                <w:bCs/>
                <w:color w:val="auto"/>
                <w:sz w:val="21"/>
                <w:szCs w:val="21"/>
                <w:highlight w:val="none"/>
              </w:rPr>
              <w:t>及权重</w:t>
            </w:r>
          </w:p>
        </w:tc>
        <w:tc>
          <w:tcPr>
            <w:tcW w:w="6319" w:type="dxa"/>
            <w:vAlign w:val="center"/>
          </w:tcPr>
          <w:p>
            <w:pPr>
              <w:ind w:firstLine="0" w:firstLineChars="0"/>
              <w:jc w:val="center"/>
              <w:rPr>
                <w:b/>
                <w:bCs/>
                <w:color w:val="auto"/>
                <w:sz w:val="21"/>
                <w:szCs w:val="21"/>
                <w:highlight w:val="none"/>
              </w:rPr>
            </w:pPr>
            <w:r>
              <w:rPr>
                <w:rFonts w:hint="eastAsia"/>
                <w:b/>
                <w:bCs/>
                <w:color w:val="auto"/>
                <w:sz w:val="21"/>
                <w:szCs w:val="21"/>
                <w:highlight w:val="none"/>
              </w:rPr>
              <w:t>评分标准</w:t>
            </w:r>
          </w:p>
        </w:tc>
        <w:tc>
          <w:tcPr>
            <w:tcW w:w="736" w:type="dxa"/>
            <w:vAlign w:val="center"/>
          </w:tcPr>
          <w:p>
            <w:pPr>
              <w:ind w:firstLine="0" w:firstLineChars="0"/>
              <w:jc w:val="center"/>
              <w:rPr>
                <w:b/>
                <w:bCs/>
                <w:color w:val="auto"/>
                <w:sz w:val="21"/>
                <w:szCs w:val="21"/>
                <w:highlight w:val="none"/>
              </w:rPr>
            </w:pPr>
            <w:r>
              <w:rPr>
                <w:rFonts w:hint="eastAsia"/>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rPr>
              <w:t>评审委员会成员</w:t>
            </w:r>
          </w:p>
        </w:tc>
        <w:tc>
          <w:tcPr>
            <w:tcW w:w="1285" w:type="dxa"/>
            <w:gridSpan w:val="2"/>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rPr>
              <w:t>报价评审</w:t>
            </w:r>
          </w:p>
          <w:p>
            <w:pPr>
              <w:ind w:firstLine="0" w:firstLineChars="0"/>
              <w:jc w:val="center"/>
              <w:rPr>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0%</w:t>
            </w:r>
          </w:p>
        </w:tc>
        <w:tc>
          <w:tcPr>
            <w:tcW w:w="6319" w:type="dxa"/>
            <w:shd w:val="clear" w:color="auto" w:fill="FFFFFF"/>
            <w:vAlign w:val="center"/>
          </w:tcPr>
          <w:p>
            <w:pPr>
              <w:adjustRightInd w:val="0"/>
              <w:snapToGrid w:val="0"/>
              <w:ind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满足竞争性磋商文件要求且最后报价最低的供应商的价格为磋商基准价，其价格分为满分。其他供应商的价格分统一按照下列公式计算：</w:t>
            </w:r>
          </w:p>
          <w:p>
            <w:pPr>
              <w:ind w:firstLine="0" w:firstLineChars="0"/>
              <w:jc w:val="center"/>
              <w:rPr>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磋商报价得分=（磋商基准价/最后磋商报价）×</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0%×100。</w:t>
            </w:r>
          </w:p>
        </w:tc>
        <w:tc>
          <w:tcPr>
            <w:tcW w:w="736" w:type="dxa"/>
            <w:vAlign w:val="center"/>
          </w:tcPr>
          <w:p>
            <w:pPr>
              <w:ind w:firstLine="0" w:firstLineChars="0"/>
              <w:jc w:val="center"/>
              <w:rPr>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rPr>
              <w:t>技术类评委</w:t>
            </w:r>
          </w:p>
        </w:tc>
        <w:tc>
          <w:tcPr>
            <w:tcW w:w="539" w:type="dxa"/>
            <w:vMerge w:val="restart"/>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rPr>
              <w:t>实施方案</w:t>
            </w:r>
            <w:r>
              <w:rPr>
                <w:rFonts w:hint="eastAsia"/>
                <w:color w:val="auto"/>
                <w:sz w:val="21"/>
                <w:szCs w:val="21"/>
                <w:highlight w:val="none"/>
                <w:lang w:val="en-US" w:eastAsia="zh-CN"/>
              </w:rPr>
              <w:t>55</w:t>
            </w:r>
            <w:r>
              <w:rPr>
                <w:rFonts w:hint="eastAsia"/>
                <w:color w:val="auto"/>
                <w:sz w:val="21"/>
                <w:szCs w:val="21"/>
                <w:highlight w:val="none"/>
              </w:rPr>
              <w:t>%</w:t>
            </w:r>
          </w:p>
        </w:tc>
        <w:tc>
          <w:tcPr>
            <w:tcW w:w="746" w:type="dxa"/>
            <w:shd w:val="clear" w:color="auto" w:fill="auto"/>
            <w:vAlign w:val="center"/>
          </w:tcPr>
          <w:p>
            <w:pPr>
              <w:adjustRightInd w:val="0"/>
              <w:snapToGrid w:val="0"/>
              <w:ind w:firstLine="0" w:firstLineChars="0"/>
              <w:jc w:val="center"/>
              <w:rPr>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CN"/>
              </w:rPr>
              <w:t>项目实施方案</w:t>
            </w:r>
            <w:r>
              <w:rPr>
                <w:rFonts w:hint="eastAsia" w:asciiTheme="minorEastAsia" w:hAnsiTheme="minorEastAsia" w:eastAsiaTheme="minorEastAsia" w:cstheme="minorEastAsia"/>
                <w:color w:val="auto"/>
                <w:kern w:val="2"/>
                <w:sz w:val="21"/>
                <w:szCs w:val="21"/>
                <w:highlight w:val="none"/>
                <w:lang w:val="en-US" w:eastAsia="zh-CN"/>
              </w:rPr>
              <w:t>24</w:t>
            </w:r>
            <w:r>
              <w:rPr>
                <w:rFonts w:hint="eastAsia" w:asciiTheme="minorEastAsia" w:hAnsiTheme="minorEastAsia" w:eastAsiaTheme="minorEastAsia" w:cstheme="minorEastAsia"/>
                <w:color w:val="auto"/>
                <w:kern w:val="2"/>
                <w:sz w:val="21"/>
                <w:szCs w:val="21"/>
                <w:highlight w:val="none"/>
                <w:lang w:val="zh-CN"/>
              </w:rPr>
              <w:t>%</w:t>
            </w:r>
          </w:p>
        </w:tc>
        <w:tc>
          <w:tcPr>
            <w:tcW w:w="6319" w:type="dxa"/>
            <w:shd w:val="clear" w:color="auto" w:fill="FFFFFF"/>
            <w:vAlign w:val="center"/>
          </w:tcPr>
          <w:p>
            <w:pPr>
              <w:widowControl/>
              <w:adjustRightInd w:val="0"/>
              <w:snapToGrid w:val="0"/>
              <w:ind w:firstLine="210" w:firstLineChars="100"/>
              <w:rPr>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根据供应商提供的</w:t>
            </w:r>
            <w:r>
              <w:rPr>
                <w:rFonts w:hint="eastAsia" w:asciiTheme="minorEastAsia" w:hAnsiTheme="minorEastAsia" w:eastAsiaTheme="minorEastAsia" w:cstheme="minorEastAsia"/>
                <w:color w:val="auto"/>
                <w:kern w:val="2"/>
                <w:sz w:val="21"/>
                <w:szCs w:val="21"/>
                <w:highlight w:val="none"/>
                <w:lang w:val="zh-CN"/>
              </w:rPr>
              <w:t>项目实施</w:t>
            </w:r>
            <w:r>
              <w:rPr>
                <w:rFonts w:hint="eastAsia" w:asciiTheme="minorEastAsia" w:hAnsiTheme="minorEastAsia" w:eastAsiaTheme="minorEastAsia" w:cstheme="minorEastAsia"/>
                <w:color w:val="auto"/>
                <w:sz w:val="21"/>
                <w:szCs w:val="21"/>
                <w:highlight w:val="none"/>
                <w:lang w:val="zh-CN"/>
              </w:rPr>
              <w:t>方案进行评审，方案内容至少包含：</w:t>
            </w:r>
            <w:r>
              <w:rPr>
                <w:rFonts w:hint="eastAsia" w:asciiTheme="minorEastAsia" w:hAnsiTheme="minorEastAsia" w:eastAsiaTheme="minorEastAsia" w:cstheme="minorEastAsia"/>
                <w:color w:val="auto"/>
                <w:kern w:val="2"/>
                <w:sz w:val="21"/>
                <w:szCs w:val="21"/>
                <w:highlight w:val="none"/>
                <w:lang w:val="zh-CN"/>
              </w:rPr>
              <w:t>1.</w:t>
            </w:r>
            <w:r>
              <w:rPr>
                <w:rFonts w:hint="eastAsia" w:asciiTheme="minorEastAsia" w:hAnsiTheme="minorEastAsia" w:eastAsiaTheme="minorEastAsia" w:cstheme="minorEastAsia"/>
                <w:color w:val="auto"/>
                <w:sz w:val="21"/>
                <w:szCs w:val="21"/>
                <w:highlight w:val="none"/>
                <w:lang w:val="zh-CN"/>
              </w:rPr>
              <w:t>货物配送</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val="zh-CN"/>
              </w:rPr>
              <w:t>配送时间</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kern w:val="2"/>
                <w:sz w:val="21"/>
                <w:szCs w:val="21"/>
                <w:highlight w:val="none"/>
              </w:rPr>
              <w:t>组织构架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kern w:val="2"/>
                <w:sz w:val="21"/>
                <w:szCs w:val="21"/>
                <w:highlight w:val="none"/>
              </w:rPr>
              <w:t>服务体系；5.退货或换货；6.货源保障</w:t>
            </w:r>
            <w:r>
              <w:rPr>
                <w:rFonts w:hint="eastAsia" w:asciiTheme="minorEastAsia" w:hAnsiTheme="minorEastAsia" w:eastAsiaTheme="minorEastAsia" w:cstheme="minorEastAsia"/>
                <w:color w:val="auto"/>
                <w:kern w:val="2"/>
                <w:sz w:val="21"/>
                <w:szCs w:val="21"/>
                <w:highlight w:val="none"/>
                <w:lang w:val="zh-CN"/>
              </w:rPr>
              <w:t>。项目实施</w:t>
            </w:r>
            <w:r>
              <w:rPr>
                <w:rFonts w:hint="eastAsia" w:asciiTheme="minorEastAsia" w:hAnsiTheme="minorEastAsia" w:eastAsiaTheme="minorEastAsia" w:cstheme="minorEastAsia"/>
                <w:color w:val="auto"/>
                <w:sz w:val="21"/>
                <w:szCs w:val="21"/>
                <w:highlight w:val="none"/>
                <w:lang w:val="zh-CN"/>
              </w:rPr>
              <w:t>方案完全涵盖以上内容，阐述详细且全面具体可行的得</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zh-CN"/>
              </w:rPr>
              <w:t>分，</w:t>
            </w:r>
            <w:r>
              <w:rPr>
                <w:rFonts w:hint="eastAsia"/>
                <w:color w:val="auto"/>
                <w:sz w:val="21"/>
                <w:szCs w:val="21"/>
                <w:highlight w:val="none"/>
              </w:rPr>
              <w:t>每缺一项扣</w:t>
            </w:r>
            <w:r>
              <w:rPr>
                <w:rFonts w:hint="eastAsia"/>
                <w:color w:val="auto"/>
                <w:sz w:val="21"/>
                <w:szCs w:val="21"/>
                <w:highlight w:val="none"/>
                <w:lang w:val="en-US" w:eastAsia="zh-CN"/>
              </w:rPr>
              <w:t>4</w:t>
            </w:r>
            <w:r>
              <w:rPr>
                <w:rFonts w:hint="eastAsia"/>
                <w:color w:val="auto"/>
                <w:sz w:val="21"/>
                <w:szCs w:val="21"/>
                <w:highlight w:val="none"/>
              </w:rPr>
              <w:t>分,每有一</w:t>
            </w:r>
            <w:r>
              <w:rPr>
                <w:rFonts w:hint="eastAsia"/>
                <w:color w:val="auto"/>
                <w:sz w:val="21"/>
                <w:szCs w:val="21"/>
                <w:highlight w:val="none"/>
                <w:lang w:eastAsia="zh-CN"/>
              </w:rPr>
              <w:t>处</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不具有针对性、</w:t>
            </w:r>
            <w:r>
              <w:rPr>
                <w:rFonts w:hint="eastAsia"/>
                <w:color w:val="auto"/>
                <w:sz w:val="21"/>
                <w:szCs w:val="21"/>
                <w:highlight w:val="none"/>
              </w:rPr>
              <w:t>不完善的扣</w:t>
            </w:r>
            <w:r>
              <w:rPr>
                <w:rFonts w:hint="eastAsia"/>
                <w:color w:val="auto"/>
                <w:sz w:val="21"/>
                <w:szCs w:val="21"/>
                <w:highlight w:val="none"/>
                <w:lang w:val="en-US" w:eastAsia="zh-CN"/>
              </w:rPr>
              <w:t>2</w:t>
            </w:r>
            <w:r>
              <w:rPr>
                <w:rFonts w:hint="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，直至扣完为止。</w:t>
            </w:r>
          </w:p>
        </w:tc>
        <w:tc>
          <w:tcPr>
            <w:tcW w:w="736" w:type="dxa"/>
            <w:vAlign w:val="center"/>
          </w:tcPr>
          <w:p>
            <w:pPr>
              <w:adjustRightInd w:val="0"/>
              <w:snapToGrid w:val="0"/>
              <w:ind w:firstLine="0" w:firstLineChars="0"/>
              <w:jc w:val="center"/>
              <w:rPr>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24</w:t>
            </w:r>
            <w:r>
              <w:rPr>
                <w:rFonts w:hint="eastAsia" w:asciiTheme="minorEastAsia" w:hAnsiTheme="minorEastAsia" w:eastAsiaTheme="minorEastAsia" w:cstheme="minorEastAsia"/>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shd w:val="clear" w:color="auto" w:fill="auto"/>
            <w:vAlign w:val="center"/>
          </w:tcPr>
          <w:p>
            <w:pPr>
              <w:ind w:firstLine="0" w:firstLineChars="0"/>
              <w:jc w:val="center"/>
              <w:rPr>
                <w:color w:val="auto"/>
                <w:sz w:val="21"/>
                <w:szCs w:val="21"/>
                <w:highlight w:val="none"/>
              </w:rPr>
            </w:pPr>
          </w:p>
        </w:tc>
        <w:tc>
          <w:tcPr>
            <w:tcW w:w="539" w:type="dxa"/>
            <w:vMerge w:val="continue"/>
            <w:shd w:val="clear" w:color="auto" w:fill="auto"/>
            <w:vAlign w:val="center"/>
          </w:tcPr>
          <w:p>
            <w:pPr>
              <w:ind w:firstLine="0" w:firstLineChars="0"/>
              <w:jc w:val="center"/>
              <w:rPr>
                <w:color w:val="auto"/>
                <w:sz w:val="21"/>
                <w:szCs w:val="21"/>
                <w:highlight w:val="none"/>
              </w:rPr>
            </w:pPr>
          </w:p>
        </w:tc>
        <w:tc>
          <w:tcPr>
            <w:tcW w:w="746" w:type="dxa"/>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lang w:val="zh-CN"/>
              </w:rPr>
              <w:t>质量保</w:t>
            </w:r>
            <w:r>
              <w:rPr>
                <w:rFonts w:hint="eastAsia"/>
                <w:color w:val="auto"/>
                <w:sz w:val="21"/>
                <w:szCs w:val="21"/>
                <w:highlight w:val="none"/>
              </w:rPr>
              <w:t>障</w:t>
            </w:r>
            <w:r>
              <w:rPr>
                <w:rFonts w:hint="eastAsia"/>
                <w:color w:val="auto"/>
                <w:sz w:val="21"/>
                <w:szCs w:val="21"/>
                <w:highlight w:val="none"/>
                <w:lang w:val="zh-CN"/>
              </w:rPr>
              <w:t>措施</w:t>
            </w: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lang w:val="zh-CN"/>
              </w:rPr>
              <w:t>%</w:t>
            </w:r>
          </w:p>
        </w:tc>
        <w:tc>
          <w:tcPr>
            <w:tcW w:w="6319" w:type="dxa"/>
            <w:shd w:val="clear" w:color="auto" w:fill="FFFFFF"/>
            <w:vAlign w:val="center"/>
          </w:tcPr>
          <w:p>
            <w:pPr>
              <w:ind w:firstLine="210" w:firstLineChars="100"/>
              <w:jc w:val="both"/>
              <w:rPr>
                <w:color w:val="auto"/>
                <w:sz w:val="21"/>
                <w:szCs w:val="21"/>
                <w:highlight w:val="none"/>
                <w:lang w:val="zh-CN"/>
              </w:rPr>
            </w:pPr>
            <w:r>
              <w:rPr>
                <w:rFonts w:hint="eastAsia"/>
                <w:color w:val="auto"/>
                <w:sz w:val="21"/>
                <w:szCs w:val="21"/>
                <w:highlight w:val="none"/>
                <w:lang w:val="zh-CN"/>
              </w:rPr>
              <w:t>根据供应商提供的质量保</w:t>
            </w:r>
            <w:r>
              <w:rPr>
                <w:rFonts w:hint="eastAsia"/>
                <w:color w:val="auto"/>
                <w:sz w:val="21"/>
                <w:szCs w:val="21"/>
                <w:highlight w:val="none"/>
              </w:rPr>
              <w:t>障</w:t>
            </w:r>
            <w:r>
              <w:rPr>
                <w:rFonts w:hint="eastAsia"/>
                <w:color w:val="auto"/>
                <w:sz w:val="21"/>
                <w:szCs w:val="21"/>
                <w:highlight w:val="none"/>
                <w:lang w:val="zh-CN"/>
              </w:rPr>
              <w:t>措施进行评审，内容至少包含：1.质量管理体系（包括所配送所有产品从采购、保存、检测、配送等程序）；2.质量安全召回管理制度；3</w:t>
            </w:r>
            <w:r>
              <w:rPr>
                <w:rFonts w:hint="eastAsia"/>
                <w:color w:val="auto"/>
                <w:sz w:val="21"/>
                <w:szCs w:val="21"/>
                <w:highlight w:val="none"/>
              </w:rPr>
              <w:t>.</w:t>
            </w:r>
            <w:r>
              <w:rPr>
                <w:rFonts w:hint="eastAsia"/>
                <w:color w:val="auto"/>
                <w:sz w:val="21"/>
                <w:szCs w:val="21"/>
                <w:highlight w:val="none"/>
                <w:lang w:val="zh-CN"/>
              </w:rPr>
              <w:t>食品安全管理责任追究制度。质量保证措施完全涵盖以上内容且全面具体可行的得</w:t>
            </w:r>
            <w:r>
              <w:rPr>
                <w:rFonts w:hint="eastAsia"/>
                <w:color w:val="auto"/>
                <w:sz w:val="21"/>
                <w:szCs w:val="21"/>
                <w:highlight w:val="none"/>
                <w:lang w:val="en-US" w:eastAsia="zh-CN"/>
              </w:rPr>
              <w:t>15</w:t>
            </w:r>
            <w:r>
              <w:rPr>
                <w:rFonts w:hint="eastAsia"/>
                <w:color w:val="auto"/>
                <w:sz w:val="21"/>
                <w:szCs w:val="21"/>
                <w:highlight w:val="none"/>
                <w:lang w:val="zh-CN"/>
              </w:rPr>
              <w:t>分，</w:t>
            </w:r>
            <w:r>
              <w:rPr>
                <w:rFonts w:hint="eastAsia"/>
                <w:color w:val="auto"/>
                <w:sz w:val="21"/>
                <w:szCs w:val="21"/>
                <w:highlight w:val="none"/>
              </w:rPr>
              <w:t>每缺一项扣</w:t>
            </w:r>
            <w:r>
              <w:rPr>
                <w:rFonts w:hint="eastAsia"/>
                <w:color w:val="auto"/>
                <w:sz w:val="21"/>
                <w:szCs w:val="21"/>
                <w:highlight w:val="none"/>
                <w:lang w:val="en-US" w:eastAsia="zh-CN"/>
              </w:rPr>
              <w:t>5</w:t>
            </w:r>
            <w:r>
              <w:rPr>
                <w:rFonts w:hint="eastAsia"/>
                <w:color w:val="auto"/>
                <w:sz w:val="21"/>
                <w:szCs w:val="21"/>
                <w:highlight w:val="none"/>
              </w:rPr>
              <w:t>分,每有一</w:t>
            </w:r>
            <w:r>
              <w:rPr>
                <w:rFonts w:hint="eastAsia"/>
                <w:color w:val="auto"/>
                <w:sz w:val="21"/>
                <w:szCs w:val="21"/>
                <w:highlight w:val="none"/>
                <w:lang w:eastAsia="zh-CN"/>
              </w:rPr>
              <w:t>处</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不具有针对性、</w:t>
            </w:r>
            <w:r>
              <w:rPr>
                <w:rFonts w:hint="eastAsia"/>
                <w:color w:val="auto"/>
                <w:sz w:val="21"/>
                <w:szCs w:val="21"/>
                <w:highlight w:val="none"/>
              </w:rPr>
              <w:t>不完善的扣2</w:t>
            </w:r>
            <w:r>
              <w:rPr>
                <w:rFonts w:hint="eastAsia"/>
                <w:color w:val="auto"/>
                <w:sz w:val="21"/>
                <w:szCs w:val="21"/>
                <w:highlight w:val="none"/>
                <w:lang w:val="en-US" w:eastAsia="zh-CN"/>
              </w:rPr>
              <w:t>.5</w:t>
            </w:r>
            <w:r>
              <w:rPr>
                <w:rFonts w:hint="eastAsia"/>
                <w:color w:val="auto"/>
                <w:sz w:val="21"/>
                <w:szCs w:val="21"/>
                <w:highlight w:val="none"/>
              </w:rPr>
              <w:t>分</w:t>
            </w:r>
            <w:r>
              <w:rPr>
                <w:rFonts w:hint="eastAsia"/>
                <w:color w:val="auto"/>
                <w:sz w:val="21"/>
                <w:szCs w:val="21"/>
                <w:highlight w:val="none"/>
                <w:lang w:val="zh-CN"/>
              </w:rPr>
              <w:t>，直至扣完为止。</w:t>
            </w:r>
          </w:p>
        </w:tc>
        <w:tc>
          <w:tcPr>
            <w:tcW w:w="736" w:type="dxa"/>
            <w:vAlign w:val="center"/>
          </w:tcPr>
          <w:p>
            <w:pPr>
              <w:ind w:firstLine="0" w:firstLineChars="0"/>
              <w:jc w:val="center"/>
              <w:rPr>
                <w:color w:val="auto"/>
                <w:sz w:val="21"/>
                <w:szCs w:val="21"/>
                <w:highlight w:val="none"/>
              </w:rPr>
            </w:pPr>
            <w:r>
              <w:rPr>
                <w:rFonts w:hint="eastAsia"/>
                <w:color w:val="auto"/>
                <w:sz w:val="21"/>
                <w:szCs w:val="21"/>
                <w:highlight w:val="none"/>
                <w:lang w:val="en-US" w:eastAsia="zh-CN"/>
              </w:rPr>
              <w:t>15</w:t>
            </w:r>
            <w:r>
              <w:rPr>
                <w:rFonts w:hint="eastAsia"/>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shd w:val="clear" w:color="auto" w:fill="auto"/>
            <w:vAlign w:val="center"/>
          </w:tcPr>
          <w:p>
            <w:pPr>
              <w:ind w:firstLine="0" w:firstLineChars="0"/>
              <w:jc w:val="center"/>
              <w:rPr>
                <w:color w:val="auto"/>
                <w:sz w:val="21"/>
                <w:szCs w:val="21"/>
                <w:highlight w:val="none"/>
              </w:rPr>
            </w:pPr>
          </w:p>
        </w:tc>
        <w:tc>
          <w:tcPr>
            <w:tcW w:w="539" w:type="dxa"/>
            <w:vMerge w:val="continue"/>
            <w:shd w:val="clear" w:color="auto" w:fill="auto"/>
            <w:vAlign w:val="center"/>
          </w:tcPr>
          <w:p>
            <w:pPr>
              <w:ind w:firstLine="0" w:firstLineChars="0"/>
              <w:jc w:val="center"/>
              <w:rPr>
                <w:color w:val="auto"/>
                <w:sz w:val="21"/>
                <w:szCs w:val="21"/>
                <w:highlight w:val="none"/>
              </w:rPr>
            </w:pPr>
          </w:p>
        </w:tc>
        <w:tc>
          <w:tcPr>
            <w:tcW w:w="746" w:type="dxa"/>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lang w:val="zh-CN"/>
              </w:rPr>
              <w:t>应急处理措施</w:t>
            </w:r>
            <w:r>
              <w:rPr>
                <w:rFonts w:hint="eastAsia"/>
                <w:color w:val="auto"/>
                <w:sz w:val="21"/>
                <w:szCs w:val="21"/>
                <w:highlight w:val="none"/>
              </w:rPr>
              <w:t>8%</w:t>
            </w:r>
          </w:p>
        </w:tc>
        <w:tc>
          <w:tcPr>
            <w:tcW w:w="6319" w:type="dxa"/>
            <w:shd w:val="clear" w:color="auto" w:fill="FFFFFF"/>
            <w:vAlign w:val="center"/>
          </w:tcPr>
          <w:p>
            <w:pPr>
              <w:ind w:firstLine="210" w:firstLineChars="100"/>
              <w:jc w:val="both"/>
              <w:rPr>
                <w:color w:val="auto"/>
                <w:sz w:val="21"/>
                <w:szCs w:val="21"/>
                <w:highlight w:val="none"/>
              </w:rPr>
            </w:pPr>
            <w:r>
              <w:rPr>
                <w:rFonts w:hint="eastAsia"/>
                <w:color w:val="auto"/>
                <w:sz w:val="21"/>
                <w:szCs w:val="21"/>
                <w:highlight w:val="none"/>
                <w:lang w:val="zh-CN"/>
              </w:rPr>
              <w:t>根据供应商提供的应急处理措施进行评审，内容至少包含：</w:t>
            </w:r>
            <w:r>
              <w:rPr>
                <w:rFonts w:hint="eastAsia"/>
                <w:color w:val="auto"/>
                <w:sz w:val="21"/>
                <w:szCs w:val="21"/>
                <w:highlight w:val="none"/>
              </w:rPr>
              <w:t>1.突发事件的处理[针对食品中毒等食品安全防控事件、重大病虫害、自然灾害、</w:t>
            </w:r>
            <w:r>
              <w:rPr>
                <w:rFonts w:hint="eastAsia" w:asciiTheme="minorEastAsia" w:hAnsiTheme="minorEastAsia" w:eastAsiaTheme="minorEastAsia" w:cstheme="minorEastAsia"/>
                <w:color w:val="auto"/>
                <w:sz w:val="21"/>
                <w:szCs w:val="21"/>
                <w:highlight w:val="none"/>
              </w:rPr>
              <w:t>突发性公共卫生事件（如疫情防控等）</w:t>
            </w:r>
            <w:r>
              <w:rPr>
                <w:rFonts w:hint="eastAsia"/>
                <w:color w:val="auto"/>
                <w:sz w:val="21"/>
                <w:szCs w:val="21"/>
                <w:highlight w:val="none"/>
              </w:rPr>
              <w:t>等]；2.临时退换、补货；3.季节性商品应急措施；4.物流运输应急措施。应急处理措施完全涵盖以上内容，且全面具体可行、针对性强的得8分，每缺一项扣2分,每有一</w:t>
            </w:r>
            <w:r>
              <w:rPr>
                <w:rFonts w:hint="eastAsia"/>
                <w:color w:val="auto"/>
                <w:sz w:val="21"/>
                <w:szCs w:val="21"/>
                <w:highlight w:val="none"/>
                <w:lang w:eastAsia="zh-CN"/>
              </w:rPr>
              <w:t>处</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不具有针对性、</w:t>
            </w:r>
            <w:r>
              <w:rPr>
                <w:rFonts w:hint="eastAsia"/>
                <w:color w:val="auto"/>
                <w:sz w:val="21"/>
                <w:szCs w:val="21"/>
                <w:highlight w:val="none"/>
              </w:rPr>
              <w:t>不完善的扣1分</w:t>
            </w:r>
            <w:r>
              <w:rPr>
                <w:rFonts w:hint="eastAsia"/>
                <w:color w:val="auto"/>
                <w:sz w:val="21"/>
                <w:szCs w:val="21"/>
                <w:highlight w:val="none"/>
                <w:lang w:val="zh-CN"/>
              </w:rPr>
              <w:t>，直至扣完为止。</w:t>
            </w:r>
          </w:p>
        </w:tc>
        <w:tc>
          <w:tcPr>
            <w:tcW w:w="736" w:type="dxa"/>
            <w:vAlign w:val="center"/>
          </w:tcPr>
          <w:p>
            <w:pPr>
              <w:ind w:firstLine="0" w:firstLineChars="0"/>
              <w:jc w:val="center"/>
              <w:rPr>
                <w:color w:val="auto"/>
                <w:sz w:val="21"/>
                <w:szCs w:val="21"/>
                <w:highlight w:val="none"/>
              </w:rPr>
            </w:pPr>
            <w:r>
              <w:rPr>
                <w:rFonts w:hint="eastAsia"/>
                <w:color w:val="auto"/>
                <w:sz w:val="21"/>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shd w:val="clear" w:color="auto" w:fill="auto"/>
            <w:vAlign w:val="center"/>
          </w:tcPr>
          <w:p>
            <w:pPr>
              <w:ind w:firstLine="0" w:firstLineChars="0"/>
              <w:jc w:val="center"/>
              <w:rPr>
                <w:color w:val="auto"/>
                <w:sz w:val="21"/>
                <w:szCs w:val="21"/>
                <w:highlight w:val="none"/>
              </w:rPr>
            </w:pPr>
          </w:p>
        </w:tc>
        <w:tc>
          <w:tcPr>
            <w:tcW w:w="539" w:type="dxa"/>
            <w:vMerge w:val="continue"/>
            <w:shd w:val="clear" w:color="auto" w:fill="auto"/>
            <w:vAlign w:val="center"/>
          </w:tcPr>
          <w:p>
            <w:pPr>
              <w:ind w:firstLine="0" w:firstLineChars="0"/>
              <w:jc w:val="center"/>
              <w:rPr>
                <w:color w:val="auto"/>
                <w:sz w:val="21"/>
                <w:szCs w:val="21"/>
                <w:highlight w:val="none"/>
              </w:rPr>
            </w:pPr>
          </w:p>
        </w:tc>
        <w:tc>
          <w:tcPr>
            <w:tcW w:w="746" w:type="dxa"/>
            <w:shd w:val="clear" w:color="auto" w:fill="auto"/>
            <w:vAlign w:val="center"/>
          </w:tcPr>
          <w:p>
            <w:pPr>
              <w:ind w:firstLine="0" w:firstLineChars="0"/>
              <w:jc w:val="center"/>
              <w:rPr>
                <w:color w:val="auto"/>
                <w:sz w:val="21"/>
                <w:szCs w:val="21"/>
                <w:highlight w:val="none"/>
                <w:lang w:val="zh-CN"/>
              </w:rPr>
            </w:pPr>
            <w:r>
              <w:rPr>
                <w:rFonts w:hint="eastAsia"/>
                <w:color w:val="auto"/>
                <w:sz w:val="21"/>
                <w:szCs w:val="21"/>
                <w:highlight w:val="none"/>
              </w:rPr>
              <w:t>售后服务方案及承诺</w:t>
            </w:r>
            <w:r>
              <w:rPr>
                <w:rFonts w:hint="eastAsia"/>
                <w:color w:val="auto"/>
                <w:sz w:val="21"/>
                <w:szCs w:val="21"/>
                <w:highlight w:val="none"/>
                <w:lang w:val="en-US" w:eastAsia="zh-CN"/>
              </w:rPr>
              <w:t>8</w:t>
            </w:r>
            <w:r>
              <w:rPr>
                <w:rFonts w:hint="eastAsia"/>
                <w:color w:val="auto"/>
                <w:sz w:val="21"/>
                <w:szCs w:val="21"/>
                <w:highlight w:val="none"/>
              </w:rPr>
              <w:t>%</w:t>
            </w:r>
          </w:p>
        </w:tc>
        <w:tc>
          <w:tcPr>
            <w:tcW w:w="6319" w:type="dxa"/>
            <w:shd w:val="clear" w:color="auto" w:fill="FFFFFF"/>
            <w:vAlign w:val="center"/>
          </w:tcPr>
          <w:p>
            <w:pPr>
              <w:ind w:firstLine="210" w:firstLineChars="100"/>
              <w:jc w:val="both"/>
              <w:rPr>
                <w:color w:val="auto"/>
                <w:sz w:val="21"/>
                <w:szCs w:val="21"/>
                <w:highlight w:val="none"/>
                <w:lang w:val="zh-CN"/>
              </w:rPr>
            </w:pPr>
            <w:r>
              <w:rPr>
                <w:rFonts w:hint="eastAsia"/>
                <w:color w:val="auto"/>
                <w:sz w:val="21"/>
                <w:szCs w:val="21"/>
                <w:highlight w:val="none"/>
              </w:rPr>
              <w:t>根据供应商提供的售后服务方案及承诺进行</w:t>
            </w:r>
            <w:r>
              <w:rPr>
                <w:rFonts w:hint="eastAsia"/>
                <w:color w:val="auto"/>
                <w:sz w:val="21"/>
                <w:szCs w:val="21"/>
                <w:highlight w:val="none"/>
                <w:lang w:val="zh-CN"/>
              </w:rPr>
              <w:t>评审，内容至少包含：</w:t>
            </w:r>
            <w:r>
              <w:rPr>
                <w:rFonts w:hint="eastAsia"/>
                <w:color w:val="auto"/>
                <w:sz w:val="21"/>
                <w:szCs w:val="21"/>
                <w:highlight w:val="none"/>
              </w:rPr>
              <w:t>1.售后服务承诺（包括客户回访、服务的反馈、服务提升等方面）</w:t>
            </w:r>
            <w:r>
              <w:rPr>
                <w:rFonts w:hint="eastAsia"/>
                <w:color w:val="auto"/>
                <w:sz w:val="21"/>
                <w:szCs w:val="21"/>
                <w:highlight w:val="none"/>
                <w:lang w:val="zh-CN"/>
              </w:rPr>
              <w:t>；</w:t>
            </w:r>
            <w:r>
              <w:rPr>
                <w:rFonts w:hint="eastAsia"/>
                <w:color w:val="auto"/>
                <w:sz w:val="21"/>
                <w:szCs w:val="21"/>
                <w:highlight w:val="none"/>
              </w:rPr>
              <w:t>2.</w:t>
            </w:r>
            <w:r>
              <w:rPr>
                <w:rFonts w:hint="eastAsia"/>
                <w:color w:val="auto"/>
                <w:sz w:val="21"/>
                <w:szCs w:val="21"/>
                <w:highlight w:val="none"/>
                <w:lang w:val="zh-CN"/>
              </w:rPr>
              <w:t>售后服务体系；</w:t>
            </w:r>
            <w:r>
              <w:rPr>
                <w:rFonts w:hint="eastAsia"/>
                <w:color w:val="auto"/>
                <w:sz w:val="21"/>
                <w:szCs w:val="21"/>
                <w:highlight w:val="none"/>
              </w:rPr>
              <w:t>3.售后服务人员；4.售后保障</w:t>
            </w:r>
            <w:r>
              <w:rPr>
                <w:rFonts w:hint="eastAsia"/>
                <w:color w:val="auto"/>
                <w:sz w:val="21"/>
                <w:szCs w:val="21"/>
                <w:highlight w:val="none"/>
                <w:lang w:val="zh-CN"/>
              </w:rPr>
              <w:t>服务措施。售后服务方案完全涵盖以上内容，阐述详细且全面具体可行的得</w:t>
            </w:r>
            <w:r>
              <w:rPr>
                <w:rFonts w:hint="eastAsia"/>
                <w:color w:val="auto"/>
                <w:sz w:val="21"/>
                <w:szCs w:val="21"/>
                <w:highlight w:val="none"/>
                <w:lang w:val="en-US" w:eastAsia="zh-CN"/>
              </w:rPr>
              <w:t>8</w:t>
            </w:r>
            <w:r>
              <w:rPr>
                <w:rFonts w:hint="eastAsia"/>
                <w:color w:val="auto"/>
                <w:sz w:val="21"/>
                <w:szCs w:val="21"/>
                <w:highlight w:val="none"/>
                <w:lang w:val="zh-CN"/>
              </w:rPr>
              <w:t>分，每缺一项扣</w:t>
            </w:r>
            <w:r>
              <w:rPr>
                <w:rFonts w:hint="eastAsia"/>
                <w:color w:val="auto"/>
                <w:sz w:val="21"/>
                <w:szCs w:val="21"/>
                <w:highlight w:val="none"/>
                <w:lang w:val="en-US" w:eastAsia="zh-CN"/>
              </w:rPr>
              <w:t>2</w:t>
            </w:r>
            <w:r>
              <w:rPr>
                <w:rFonts w:hint="eastAsia"/>
                <w:color w:val="auto"/>
                <w:sz w:val="21"/>
                <w:szCs w:val="21"/>
                <w:highlight w:val="none"/>
                <w:lang w:val="zh-CN"/>
              </w:rPr>
              <w:t>分,</w:t>
            </w:r>
            <w:r>
              <w:rPr>
                <w:rFonts w:hint="eastAsia"/>
                <w:color w:val="auto"/>
                <w:sz w:val="21"/>
                <w:szCs w:val="21"/>
                <w:highlight w:val="none"/>
              </w:rPr>
              <w:t>每有一</w:t>
            </w:r>
            <w:r>
              <w:rPr>
                <w:rFonts w:hint="eastAsia"/>
                <w:color w:val="auto"/>
                <w:sz w:val="21"/>
                <w:szCs w:val="21"/>
                <w:highlight w:val="none"/>
                <w:lang w:eastAsia="zh-CN"/>
              </w:rPr>
              <w:t>处</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不具有针对性、</w:t>
            </w:r>
            <w:r>
              <w:rPr>
                <w:rFonts w:hint="eastAsia"/>
                <w:color w:val="auto"/>
                <w:sz w:val="21"/>
                <w:szCs w:val="21"/>
                <w:highlight w:val="none"/>
              </w:rPr>
              <w:t>不完善的扣1分</w:t>
            </w:r>
            <w:r>
              <w:rPr>
                <w:rFonts w:hint="eastAsia"/>
                <w:color w:val="auto"/>
                <w:sz w:val="21"/>
                <w:szCs w:val="21"/>
                <w:highlight w:val="none"/>
                <w:lang w:val="zh-CN"/>
              </w:rPr>
              <w:t>，直至扣完为止。</w:t>
            </w:r>
          </w:p>
        </w:tc>
        <w:tc>
          <w:tcPr>
            <w:tcW w:w="736" w:type="dxa"/>
            <w:vAlign w:val="center"/>
          </w:tcPr>
          <w:p>
            <w:pPr>
              <w:ind w:firstLine="0" w:firstLineChars="0"/>
              <w:jc w:val="center"/>
              <w:rPr>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left w:val="single" w:color="auto" w:sz="4" w:space="0"/>
            </w:tcBorders>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rPr>
              <w:t>评审委员会成员</w:t>
            </w:r>
          </w:p>
        </w:tc>
        <w:tc>
          <w:tcPr>
            <w:tcW w:w="1285" w:type="dxa"/>
            <w:gridSpan w:val="2"/>
            <w:shd w:val="clear" w:color="auto" w:fill="auto"/>
            <w:vAlign w:val="center"/>
          </w:tcPr>
          <w:p>
            <w:pPr>
              <w:ind w:firstLine="0" w:firstLineChars="0"/>
              <w:jc w:val="center"/>
              <w:rPr>
                <w:color w:val="auto"/>
                <w:sz w:val="21"/>
                <w:szCs w:val="21"/>
                <w:highlight w:val="none"/>
              </w:rPr>
            </w:pPr>
            <w:r>
              <w:rPr>
                <w:rFonts w:hint="eastAsia"/>
                <w:color w:val="auto"/>
                <w:sz w:val="21"/>
                <w:szCs w:val="21"/>
                <w:highlight w:val="none"/>
                <w:lang w:val="zh-CN"/>
              </w:rPr>
              <w:t>业绩</w:t>
            </w:r>
            <w:r>
              <w:rPr>
                <w:rFonts w:hint="eastAsia"/>
                <w:color w:val="auto"/>
                <w:sz w:val="21"/>
                <w:szCs w:val="21"/>
                <w:highlight w:val="none"/>
                <w:lang w:val="en-US" w:eastAsia="zh-CN"/>
              </w:rPr>
              <w:t>9</w:t>
            </w:r>
            <w:r>
              <w:rPr>
                <w:rFonts w:hint="eastAsia"/>
                <w:color w:val="auto"/>
                <w:sz w:val="21"/>
                <w:szCs w:val="21"/>
                <w:highlight w:val="none"/>
                <w:lang w:val="zh-CN"/>
              </w:rPr>
              <w:t>%</w:t>
            </w:r>
          </w:p>
        </w:tc>
        <w:tc>
          <w:tcPr>
            <w:tcW w:w="6319" w:type="dxa"/>
            <w:tcBorders>
              <w:bottom w:val="single" w:color="auto" w:sz="4" w:space="0"/>
            </w:tcBorders>
            <w:shd w:val="clear" w:color="auto" w:fill="FFFFFF"/>
            <w:vAlign w:val="center"/>
          </w:tcPr>
          <w:p>
            <w:pPr>
              <w:ind w:firstLine="210" w:firstLineChars="100"/>
              <w:jc w:val="both"/>
              <w:rPr>
                <w:color w:val="auto"/>
                <w:sz w:val="21"/>
                <w:szCs w:val="21"/>
                <w:highlight w:val="none"/>
                <w:lang w:val="zh-CN"/>
              </w:rPr>
            </w:pPr>
            <w:r>
              <w:rPr>
                <w:rFonts w:hint="eastAsia"/>
                <w:color w:val="auto"/>
                <w:sz w:val="21"/>
                <w:szCs w:val="21"/>
                <w:highlight w:val="none"/>
                <w:lang w:val="zh-CN"/>
              </w:rPr>
              <w:t>供应商自201</w:t>
            </w:r>
            <w:r>
              <w:rPr>
                <w:rFonts w:hint="eastAsia"/>
                <w:color w:val="auto"/>
                <w:sz w:val="21"/>
                <w:szCs w:val="21"/>
                <w:highlight w:val="none"/>
              </w:rPr>
              <w:t>8</w:t>
            </w:r>
            <w:r>
              <w:rPr>
                <w:rFonts w:hint="eastAsia"/>
                <w:color w:val="auto"/>
                <w:sz w:val="21"/>
                <w:szCs w:val="21"/>
                <w:highlight w:val="none"/>
                <w:lang w:val="zh-CN"/>
              </w:rPr>
              <w:t>年1月1日以来（含1日）具有类似项目业绩的，每有1个得</w:t>
            </w:r>
            <w:r>
              <w:rPr>
                <w:rFonts w:hint="eastAsia"/>
                <w:color w:val="auto"/>
                <w:sz w:val="21"/>
                <w:szCs w:val="21"/>
                <w:highlight w:val="none"/>
              </w:rPr>
              <w:t>3</w:t>
            </w:r>
            <w:r>
              <w:rPr>
                <w:rFonts w:hint="eastAsia"/>
                <w:color w:val="auto"/>
                <w:sz w:val="21"/>
                <w:szCs w:val="21"/>
                <w:highlight w:val="none"/>
                <w:lang w:val="zh-CN"/>
              </w:rPr>
              <w:t>分，最多得</w:t>
            </w:r>
            <w:r>
              <w:rPr>
                <w:rFonts w:hint="eastAsia"/>
                <w:color w:val="auto"/>
                <w:sz w:val="21"/>
                <w:szCs w:val="21"/>
                <w:highlight w:val="none"/>
                <w:lang w:val="en-US" w:eastAsia="zh-CN"/>
              </w:rPr>
              <w:t>9</w:t>
            </w:r>
            <w:r>
              <w:rPr>
                <w:rFonts w:hint="eastAsia"/>
                <w:color w:val="auto"/>
                <w:sz w:val="21"/>
                <w:szCs w:val="21"/>
                <w:highlight w:val="none"/>
                <w:lang w:val="zh-CN"/>
              </w:rPr>
              <w:t>分。</w:t>
            </w:r>
          </w:p>
          <w:p>
            <w:pPr>
              <w:ind w:firstLine="211" w:firstLineChars="100"/>
              <w:jc w:val="both"/>
              <w:rPr>
                <w:color w:val="auto"/>
                <w:sz w:val="21"/>
                <w:szCs w:val="21"/>
                <w:highlight w:val="none"/>
                <w:lang w:val="zh-CN"/>
              </w:rPr>
            </w:pPr>
            <w:r>
              <w:rPr>
                <w:rFonts w:hint="eastAsia"/>
                <w:b/>
                <w:bCs/>
                <w:color w:val="auto"/>
                <w:sz w:val="21"/>
                <w:szCs w:val="21"/>
                <w:highlight w:val="none"/>
                <w:lang w:val="zh-CN"/>
              </w:rPr>
              <w:t>注：</w:t>
            </w:r>
            <w:r>
              <w:rPr>
                <w:rFonts w:hint="eastAsia"/>
                <w:b/>
                <w:bCs/>
                <w:color w:val="auto"/>
                <w:sz w:val="21"/>
                <w:szCs w:val="21"/>
                <w:highlight w:val="none"/>
              </w:rPr>
              <w:t>1.类似业绩时间以合同签订时间为准，</w:t>
            </w:r>
            <w:r>
              <w:rPr>
                <w:rFonts w:hint="eastAsia"/>
                <w:b/>
                <w:bCs/>
                <w:color w:val="auto"/>
                <w:sz w:val="21"/>
                <w:szCs w:val="21"/>
                <w:highlight w:val="none"/>
                <w:lang w:val="zh-CN"/>
              </w:rPr>
              <w:t>提供合同复印件</w:t>
            </w:r>
            <w:r>
              <w:rPr>
                <w:rFonts w:hint="eastAsia"/>
                <w:b/>
                <w:bCs/>
                <w:color w:val="auto"/>
                <w:sz w:val="21"/>
                <w:szCs w:val="21"/>
                <w:highlight w:val="none"/>
              </w:rPr>
              <w:t>，</w:t>
            </w:r>
            <w:r>
              <w:rPr>
                <w:rFonts w:hint="eastAsia"/>
                <w:b/>
                <w:bCs/>
                <w:color w:val="auto"/>
                <w:sz w:val="21"/>
                <w:szCs w:val="21"/>
                <w:highlight w:val="none"/>
                <w:lang w:val="zh-CN"/>
              </w:rPr>
              <w:t>加盖公章，</w:t>
            </w:r>
            <w:r>
              <w:rPr>
                <w:rFonts w:hint="eastAsia"/>
                <w:b/>
                <w:bCs/>
                <w:color w:val="auto"/>
                <w:sz w:val="21"/>
                <w:szCs w:val="21"/>
                <w:highlight w:val="none"/>
              </w:rPr>
              <w:t>未提供不得分</w:t>
            </w:r>
            <w:r>
              <w:rPr>
                <w:rFonts w:hint="eastAsia"/>
                <w:b/>
                <w:bCs/>
                <w:color w:val="auto"/>
                <w:sz w:val="21"/>
                <w:szCs w:val="21"/>
                <w:highlight w:val="none"/>
                <w:lang w:val="zh-CN"/>
              </w:rPr>
              <w:t>；</w:t>
            </w:r>
            <w:r>
              <w:rPr>
                <w:rFonts w:hint="eastAsia"/>
                <w:b/>
                <w:bCs/>
                <w:color w:val="auto"/>
                <w:sz w:val="21"/>
                <w:szCs w:val="21"/>
                <w:highlight w:val="none"/>
              </w:rPr>
              <w:t>2.同一项目合同不重复计分。</w:t>
            </w:r>
          </w:p>
        </w:tc>
        <w:tc>
          <w:tcPr>
            <w:tcW w:w="736" w:type="dxa"/>
            <w:tcBorders>
              <w:bottom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left w:val="single" w:color="auto" w:sz="4" w:space="0"/>
            </w:tcBorders>
            <w:vAlign w:val="center"/>
          </w:tcPr>
          <w:p>
            <w:pPr>
              <w:ind w:firstLine="0" w:firstLineChars="0"/>
              <w:jc w:val="center"/>
              <w:rPr>
                <w:color w:val="auto"/>
                <w:sz w:val="21"/>
                <w:szCs w:val="21"/>
                <w:highlight w:val="none"/>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人员配置4%</w:t>
            </w:r>
          </w:p>
        </w:tc>
        <w:tc>
          <w:tcPr>
            <w:tcW w:w="6319" w:type="dxa"/>
            <w:tcBorders>
              <w:top w:val="single" w:color="auto" w:sz="4" w:space="0"/>
              <w:left w:val="single" w:color="auto" w:sz="4" w:space="0"/>
              <w:bottom w:val="single" w:color="auto" w:sz="4" w:space="0"/>
              <w:right w:val="single" w:color="auto" w:sz="4" w:space="0"/>
            </w:tcBorders>
            <w:vAlign w:val="center"/>
          </w:tcPr>
          <w:p>
            <w:pPr>
              <w:ind w:firstLine="210" w:firstLineChars="100"/>
              <w:jc w:val="both"/>
              <w:rPr>
                <w:color w:val="auto"/>
                <w:sz w:val="21"/>
                <w:szCs w:val="21"/>
                <w:highlight w:val="none"/>
              </w:rPr>
            </w:pPr>
            <w:r>
              <w:rPr>
                <w:rFonts w:hint="eastAsia"/>
                <w:color w:val="auto"/>
                <w:sz w:val="21"/>
                <w:szCs w:val="21"/>
                <w:highlight w:val="none"/>
              </w:rPr>
              <w:t>供应商拟为本项目配备1名项目负责人的，得2分，配备1名配送服务人员的，得2分。本项最高得4分。</w:t>
            </w:r>
          </w:p>
          <w:p>
            <w:pPr>
              <w:ind w:firstLine="211" w:firstLineChars="100"/>
              <w:jc w:val="both"/>
              <w:rPr>
                <w:color w:val="auto"/>
                <w:sz w:val="21"/>
                <w:szCs w:val="21"/>
                <w:highlight w:val="none"/>
              </w:rPr>
            </w:pPr>
            <w:r>
              <w:rPr>
                <w:rFonts w:hint="eastAsia"/>
                <w:b/>
                <w:bCs/>
                <w:color w:val="auto"/>
                <w:sz w:val="21"/>
                <w:szCs w:val="21"/>
                <w:highlight w:val="none"/>
              </w:rPr>
              <w:t>注：1.项目负责人应提供身份证复印件、联系方式，复印件加盖公章2.配送服务人员应提供有效的身份证、健康证明和有效期内驾驶证复印件，并加盖公章；3.未提供或证明材料不齐全的不得分。</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left w:val="single" w:color="auto" w:sz="4" w:space="0"/>
            </w:tcBorders>
            <w:vAlign w:val="center"/>
          </w:tcPr>
          <w:p>
            <w:pPr>
              <w:ind w:firstLine="0" w:firstLineChars="0"/>
              <w:jc w:val="center"/>
              <w:rPr>
                <w:color w:val="auto"/>
                <w:sz w:val="21"/>
                <w:szCs w:val="21"/>
                <w:highlight w:val="none"/>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节能、环境标志、无线局域网产品1%</w:t>
            </w:r>
          </w:p>
        </w:tc>
        <w:tc>
          <w:tcPr>
            <w:tcW w:w="6319" w:type="dxa"/>
            <w:tcBorders>
              <w:top w:val="single" w:color="auto" w:sz="4" w:space="0"/>
              <w:left w:val="single" w:color="auto" w:sz="4" w:space="0"/>
              <w:bottom w:val="single" w:color="auto" w:sz="4" w:space="0"/>
              <w:right w:val="single" w:color="auto" w:sz="4" w:space="0"/>
            </w:tcBorders>
            <w:vAlign w:val="center"/>
          </w:tcPr>
          <w:p>
            <w:pPr>
              <w:ind w:firstLine="210" w:firstLineChars="100"/>
              <w:jc w:val="both"/>
              <w:rPr>
                <w:color w:val="auto"/>
                <w:sz w:val="21"/>
                <w:szCs w:val="21"/>
                <w:highlight w:val="none"/>
              </w:rPr>
            </w:pPr>
            <w:r>
              <w:rPr>
                <w:rFonts w:hint="eastAsia"/>
                <w:color w:val="auto"/>
                <w:sz w:val="21"/>
                <w:szCs w:val="21"/>
                <w:highlight w:val="none"/>
              </w:rPr>
              <w:t>供应商所供产品中属于政府采购优先采购范围的，则每有一项为节能产品或者环境标志产品或者无线局域网产品的得0.2分，非节能、环境标志产品的、无线局域网产品的不得分。本项最多得1分。</w:t>
            </w:r>
          </w:p>
          <w:p>
            <w:pPr>
              <w:ind w:firstLine="211" w:firstLineChars="100"/>
              <w:jc w:val="both"/>
              <w:rPr>
                <w:b/>
                <w:bCs/>
                <w:color w:val="auto"/>
                <w:sz w:val="21"/>
                <w:szCs w:val="21"/>
                <w:highlight w:val="none"/>
              </w:rPr>
            </w:pPr>
            <w:r>
              <w:rPr>
                <w:rFonts w:hint="eastAsia"/>
                <w:b/>
                <w:bCs/>
                <w:color w:val="auto"/>
                <w:sz w:val="21"/>
                <w:szCs w:val="21"/>
                <w:highlight w:val="none"/>
              </w:rPr>
              <w:t>注：1.节能产品优先采购范围以中国政府采购网公布的《节能产品政府采购品目清单》为准。环境标志产品优先采购范围以中国政府采购网公布的《环境标志产品政府采购品目清单》为准。无线局域网产品优先采购范围以中国政府采购网公布的《无线局域网认证产品政府采购清单》为准。</w:t>
            </w:r>
          </w:p>
          <w:p>
            <w:pPr>
              <w:ind w:firstLine="211" w:firstLineChars="100"/>
              <w:jc w:val="both"/>
              <w:rPr>
                <w:b/>
                <w:bCs/>
                <w:color w:val="auto"/>
                <w:sz w:val="21"/>
                <w:szCs w:val="21"/>
                <w:highlight w:val="none"/>
              </w:rPr>
            </w:pPr>
            <w:r>
              <w:rPr>
                <w:rFonts w:hint="eastAsia"/>
                <w:b/>
                <w:bCs/>
                <w:color w:val="auto"/>
                <w:sz w:val="21"/>
                <w:szCs w:val="21"/>
                <w:highlight w:val="none"/>
              </w:rPr>
              <w:t>2.所供产品属于优先采购范围内的节能产品的，供应商在响应文件中提供国家确定的认证机构出具的、处于有效期之内的节能产品认证证书复印件，加盖供应商公章。</w:t>
            </w:r>
          </w:p>
          <w:p>
            <w:pPr>
              <w:ind w:firstLine="211" w:firstLineChars="100"/>
              <w:jc w:val="both"/>
              <w:rPr>
                <w:b/>
                <w:bCs/>
                <w:color w:val="auto"/>
                <w:sz w:val="21"/>
                <w:szCs w:val="21"/>
                <w:highlight w:val="none"/>
              </w:rPr>
            </w:pPr>
            <w:r>
              <w:rPr>
                <w:rFonts w:hint="eastAsia"/>
                <w:b/>
                <w:bCs/>
                <w:color w:val="auto"/>
                <w:sz w:val="21"/>
                <w:szCs w:val="21"/>
                <w:highlight w:val="none"/>
              </w:rPr>
              <w:t>3.所供产品属于优先采购范围内的环境标志产品的，供应商在响应文件中提供国家确定的认证机构出具的、处于有效期之内的环境标志产品认证证书复印件，加盖供应商公章。</w:t>
            </w:r>
          </w:p>
          <w:p>
            <w:pPr>
              <w:ind w:firstLine="211" w:firstLineChars="100"/>
              <w:jc w:val="both"/>
              <w:rPr>
                <w:b/>
                <w:bCs/>
                <w:color w:val="auto"/>
                <w:sz w:val="21"/>
                <w:szCs w:val="21"/>
                <w:highlight w:val="none"/>
              </w:rPr>
            </w:pPr>
            <w:r>
              <w:rPr>
                <w:rFonts w:hint="eastAsia"/>
                <w:b/>
                <w:bCs/>
                <w:color w:val="auto"/>
                <w:sz w:val="21"/>
                <w:szCs w:val="21"/>
                <w:highlight w:val="none"/>
              </w:rPr>
              <w:t>4.所供产品属于优先采购范围内的无线局域网产品的，供应商在响应文件中提供所供产品所在政府采购清单页复印件（或截图），加盖供应商公章。</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left w:val="single" w:color="auto" w:sz="4" w:space="0"/>
            </w:tcBorders>
            <w:vAlign w:val="center"/>
          </w:tcPr>
          <w:p>
            <w:pPr>
              <w:ind w:firstLine="0" w:firstLineChars="0"/>
              <w:jc w:val="center"/>
              <w:rPr>
                <w:color w:val="auto"/>
                <w:sz w:val="21"/>
                <w:szCs w:val="21"/>
                <w:highlight w:val="none"/>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lang w:val="zh-CN"/>
              </w:rPr>
            </w:pPr>
            <w:r>
              <w:rPr>
                <w:rFonts w:hint="eastAsia"/>
                <w:color w:val="auto"/>
                <w:sz w:val="21"/>
                <w:szCs w:val="21"/>
                <w:highlight w:val="none"/>
              </w:rPr>
              <w:t>响应文件</w:t>
            </w:r>
            <w:r>
              <w:rPr>
                <w:rFonts w:hint="eastAsia"/>
                <w:color w:val="auto"/>
                <w:sz w:val="21"/>
                <w:szCs w:val="21"/>
                <w:highlight w:val="none"/>
                <w:lang w:val="zh-CN"/>
              </w:rPr>
              <w:t>的规范性</w:t>
            </w:r>
            <w:r>
              <w:rPr>
                <w:rFonts w:hint="eastAsia"/>
                <w:color w:val="auto"/>
                <w:sz w:val="21"/>
                <w:szCs w:val="21"/>
                <w:highlight w:val="none"/>
              </w:rPr>
              <w:t>1%</w:t>
            </w:r>
          </w:p>
        </w:tc>
        <w:tc>
          <w:tcPr>
            <w:tcW w:w="6319" w:type="dxa"/>
            <w:tcBorders>
              <w:top w:val="single" w:color="auto" w:sz="4" w:space="0"/>
              <w:left w:val="single" w:color="auto" w:sz="4" w:space="0"/>
              <w:bottom w:val="single" w:color="auto" w:sz="4" w:space="0"/>
              <w:right w:val="single" w:color="auto" w:sz="4" w:space="0"/>
            </w:tcBorders>
            <w:vAlign w:val="center"/>
          </w:tcPr>
          <w:p>
            <w:pPr>
              <w:ind w:firstLine="210" w:firstLineChars="100"/>
              <w:jc w:val="both"/>
              <w:rPr>
                <w:color w:val="auto"/>
                <w:sz w:val="21"/>
                <w:szCs w:val="21"/>
                <w:highlight w:val="none"/>
                <w:lang w:val="zh-CN"/>
              </w:rPr>
            </w:pPr>
            <w:r>
              <w:rPr>
                <w:rFonts w:hint="eastAsia"/>
                <w:color w:val="auto"/>
                <w:sz w:val="21"/>
                <w:szCs w:val="21"/>
                <w:highlight w:val="none"/>
                <w:lang w:val="zh-CN"/>
              </w:rPr>
              <w:t>响应文件制作规范，没有细微偏差情形的得</w:t>
            </w:r>
            <w:r>
              <w:rPr>
                <w:rFonts w:hint="eastAsia"/>
                <w:color w:val="auto"/>
                <w:sz w:val="21"/>
                <w:szCs w:val="21"/>
                <w:highlight w:val="none"/>
              </w:rPr>
              <w:t>1</w:t>
            </w:r>
            <w:r>
              <w:rPr>
                <w:rFonts w:hint="eastAsia"/>
                <w:color w:val="auto"/>
                <w:sz w:val="21"/>
                <w:szCs w:val="21"/>
                <w:highlight w:val="none"/>
                <w:lang w:val="zh-CN"/>
              </w:rPr>
              <w:t>分；有一项细微偏差扣</w:t>
            </w:r>
            <w:r>
              <w:rPr>
                <w:rFonts w:hint="eastAsia"/>
                <w:color w:val="auto"/>
                <w:sz w:val="21"/>
                <w:szCs w:val="21"/>
                <w:highlight w:val="none"/>
              </w:rPr>
              <w:t>0.5</w:t>
            </w:r>
            <w:r>
              <w:rPr>
                <w:rFonts w:hint="eastAsia"/>
                <w:color w:val="auto"/>
                <w:sz w:val="21"/>
                <w:szCs w:val="21"/>
                <w:highlight w:val="none"/>
                <w:lang w:val="zh-CN"/>
              </w:rPr>
              <w:t>分，直至该项分值扣完为止。</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1分</w:t>
            </w:r>
          </w:p>
        </w:tc>
      </w:tr>
    </w:tbl>
    <w:p>
      <w:pPr>
        <w:bidi w:val="0"/>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注：1、评分的取值按四舍五入法，保留小数点后两位。</w:t>
      </w:r>
    </w:p>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2、评分标准中要求提供复印件的证明材料须清晰可辨。</w:t>
      </w:r>
    </w:p>
    <w:bookmarkEnd w:id="314"/>
    <w:bookmarkEnd w:id="315"/>
    <w:bookmarkEnd w:id="316"/>
    <w:bookmarkEnd w:id="317"/>
    <w:p>
      <w:pPr>
        <w:pStyle w:val="4"/>
        <w:bidi w:val="0"/>
        <w:rPr>
          <w:rFonts w:hint="eastAsia" w:ascii="宋体" w:hAnsi="宋体" w:eastAsia="宋体" w:cs="宋体"/>
          <w:color w:val="auto"/>
          <w:highlight w:val="none"/>
        </w:rPr>
      </w:pPr>
      <w:bookmarkStart w:id="338" w:name="_Toc9285"/>
      <w:bookmarkStart w:id="339" w:name="_Toc19331"/>
      <w:r>
        <w:rPr>
          <w:rFonts w:hint="eastAsia" w:ascii="宋体" w:hAnsi="宋体" w:eastAsia="宋体" w:cs="宋体"/>
          <w:color w:val="auto"/>
          <w:highlight w:val="none"/>
        </w:rPr>
        <w:t>8.4.磋商纪律及注意事项</w:t>
      </w:r>
      <w:bookmarkEnd w:id="338"/>
      <w:bookmarkEnd w:id="339"/>
    </w:p>
    <w:p>
      <w:pPr>
        <w:bidi w:val="0"/>
        <w:rPr>
          <w:rFonts w:hint="eastAsia" w:ascii="宋体" w:hAnsi="宋体" w:eastAsia="宋体" w:cs="宋体"/>
          <w:color w:val="auto"/>
          <w:highlight w:val="none"/>
        </w:rPr>
      </w:pPr>
      <w:r>
        <w:rPr>
          <w:rFonts w:hint="eastAsia" w:ascii="宋体" w:hAnsi="宋体" w:eastAsia="宋体" w:cs="宋体"/>
          <w:color w:val="auto"/>
          <w:highlight w:val="none"/>
        </w:rPr>
        <w:t>8.4.1磋商小组内部讨论的情况和意见必须保密，任何人不得以任何形式透露给供应商或与供应商有关的单位或个人。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8.4.2在磋商过程中，供应商不得以任何形式对磋商小组成员进行旨在影响磋商结果的私下接触，否则将取消其参与磋商的资格。</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8.4.3对各供应商的商业秘密，磋商小组成员应予以保密，不得泄露给其他供应商。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8.4.4 磋商小组独立评判，推荐成交候选人，并写出书面报告。</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8.4.5 磋商小组可根据需要对供应商进行实地考察。</w:t>
      </w:r>
    </w:p>
    <w:p>
      <w:pPr>
        <w:pStyle w:val="4"/>
        <w:bidi w:val="0"/>
        <w:rPr>
          <w:rFonts w:hint="eastAsia" w:ascii="宋体" w:hAnsi="宋体" w:eastAsia="宋体" w:cs="宋体"/>
          <w:color w:val="auto"/>
          <w:highlight w:val="none"/>
        </w:rPr>
      </w:pPr>
      <w:bookmarkStart w:id="340" w:name="_Toc25545"/>
      <w:bookmarkStart w:id="341" w:name="_Toc21290"/>
      <w:r>
        <w:rPr>
          <w:rFonts w:hint="eastAsia" w:ascii="宋体" w:hAnsi="宋体" w:eastAsia="宋体" w:cs="宋体"/>
          <w:color w:val="auto"/>
          <w:highlight w:val="none"/>
        </w:rPr>
        <w:t>8.5.</w:t>
      </w:r>
      <w:bookmarkEnd w:id="318"/>
      <w:r>
        <w:rPr>
          <w:rFonts w:hint="eastAsia" w:ascii="宋体" w:hAnsi="宋体" w:eastAsia="宋体" w:cs="宋体"/>
          <w:color w:val="auto"/>
          <w:highlight w:val="none"/>
        </w:rPr>
        <w:t>磋商小组在政府采购活动中承担以下义务：</w:t>
      </w:r>
      <w:bookmarkEnd w:id="340"/>
      <w:bookmarkEnd w:id="341"/>
    </w:p>
    <w:p>
      <w:pPr>
        <w:bidi w:val="0"/>
        <w:rPr>
          <w:rFonts w:hint="eastAsia" w:ascii="宋体" w:hAnsi="宋体" w:eastAsia="宋体" w:cs="宋体"/>
          <w:color w:val="auto"/>
          <w:highlight w:val="none"/>
        </w:rPr>
      </w:pPr>
      <w:r>
        <w:rPr>
          <w:rFonts w:hint="eastAsia" w:ascii="宋体" w:hAnsi="宋体" w:eastAsia="宋体" w:cs="宋体"/>
          <w:color w:val="auto"/>
          <w:highlight w:val="none"/>
        </w:rPr>
        <w:t>（一）遵守评审工作纪律；</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（二）按照客观、公正、审慎的原则，根据磋商文件规定的评审程序、评审方法和评审标准进行独立评审；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（三）不得泄露评审文件、评审情况和在评审过程中获悉的商业秘密；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（四）及时向财政部门报告评审过程中发现的采购人、采购代理机构向评审专家做倾向性、误导性的解释或者说明，以及供应商行贿、提供虚假材料或者串通等违法行为；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（五）发现磋商文件内容违反国家有关强制性规定或者磋商文件存在歧义、重大缺陷导致评审工作无法进行时，停止评审并向采购人或者采购代理机构书面说明情况；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（六）及时向财政、监察等部门举报在评审过程中受到非法干预的情况；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（七）配合答复处理供应商的询问、质疑和投诉等事项；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（八）法律、法规和规章规定的其他义务。</w:t>
      </w:r>
    </w:p>
    <w:p>
      <w:pPr>
        <w:pStyle w:val="4"/>
        <w:bidi w:val="0"/>
        <w:rPr>
          <w:rFonts w:hint="eastAsia" w:ascii="宋体" w:hAnsi="宋体" w:eastAsia="宋体" w:cs="宋体"/>
          <w:color w:val="auto"/>
          <w:highlight w:val="none"/>
        </w:rPr>
      </w:pPr>
      <w:bookmarkStart w:id="342" w:name="_Toc8902"/>
      <w:bookmarkStart w:id="343" w:name="_Toc28204"/>
      <w:r>
        <w:rPr>
          <w:rFonts w:hint="eastAsia" w:ascii="宋体" w:hAnsi="宋体" w:eastAsia="宋体" w:cs="宋体"/>
          <w:color w:val="auto"/>
          <w:highlight w:val="none"/>
        </w:rPr>
        <w:t>8.6.评审专家在政府采购活动中应当遵守以下工作纪律：</w:t>
      </w:r>
      <w:bookmarkEnd w:id="342"/>
      <w:bookmarkEnd w:id="343"/>
    </w:p>
    <w:p>
      <w:pPr>
        <w:bidi w:val="0"/>
        <w:rPr>
          <w:rFonts w:hint="eastAsia" w:ascii="宋体" w:hAnsi="宋体" w:eastAsia="宋体" w:cs="宋体"/>
          <w:color w:val="auto"/>
          <w:highlight w:val="none"/>
        </w:rPr>
      </w:pPr>
      <w:r>
        <w:rPr>
          <w:rFonts w:hint="eastAsia" w:ascii="宋体" w:hAnsi="宋体" w:eastAsia="宋体" w:cs="宋体"/>
          <w:color w:val="auto"/>
          <w:highlight w:val="none"/>
        </w:rPr>
        <w:t>（一）不得参加与自己有《中华人民共和国政府采购法实施条例》第九条规定的利害关系的政府采购项目的评审活动。发现参加了与自己有利害关系的评审活动，须主动提出回避，退出评审；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（二）评审前，应当将通讯工具或者相关电子设备交由采购代理机构统一保管；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（三）评审过程中，不得与外界联系，因发生不可预见情况，确实需要与外界联系的，应当在监督人员监督之下办理；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（五）在评审过程中和评审结束后，不得记录、复制或带走任何评审资料，不得向外界透露评审内容；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（六）评审现场服从采购代理机构工作人员的管理，接受现场监督人员的合法监督；</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（七）遵守有关廉洁自律规定，不得私下接触供应商，不得收受供应商及有关业务单位和个人的财物或好处，不得接受采购代理机构的请托。</w:t>
      </w:r>
    </w:p>
    <w:p>
      <w:pPr>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344" w:name="_Toc19058"/>
      <w:bookmarkStart w:id="345" w:name="_Toc21472"/>
      <w:r>
        <w:rPr>
          <w:rStyle w:val="49"/>
          <w:rFonts w:hint="eastAsia" w:ascii="宋体" w:hAnsi="宋体" w:eastAsia="宋体" w:cs="宋体"/>
          <w:color w:val="auto"/>
          <w:highlight w:val="none"/>
          <w:lang w:val="en-US" w:eastAsia="zh-CN"/>
        </w:rPr>
        <w:t xml:space="preserve"> </w:t>
      </w:r>
      <w:bookmarkStart w:id="346" w:name="_Toc25368"/>
      <w:bookmarkStart w:id="347" w:name="_Toc25198"/>
      <w:bookmarkStart w:id="348" w:name="_Toc22521"/>
      <w:bookmarkStart w:id="349" w:name="_Toc26643"/>
      <w:r>
        <w:rPr>
          <w:rStyle w:val="49"/>
          <w:rFonts w:hint="eastAsia" w:ascii="宋体" w:hAnsi="宋体" w:eastAsia="宋体" w:cs="宋体"/>
          <w:color w:val="auto"/>
          <w:highlight w:val="none"/>
        </w:rPr>
        <w:t xml:space="preserve">第九章 </w:t>
      </w:r>
      <w:bookmarkEnd w:id="311"/>
      <w:bookmarkEnd w:id="312"/>
      <w:bookmarkEnd w:id="313"/>
      <w:bookmarkEnd w:id="344"/>
      <w:bookmarkEnd w:id="345"/>
      <w:r>
        <w:rPr>
          <w:rStyle w:val="49"/>
          <w:rFonts w:hint="eastAsia" w:ascii="宋体" w:hAnsi="宋体" w:eastAsia="宋体" w:cs="宋体"/>
          <w:color w:val="auto"/>
          <w:highlight w:val="none"/>
        </w:rPr>
        <w:t>政府采购合同（草案）</w:t>
      </w:r>
      <w:bookmarkEnd w:id="346"/>
      <w:bookmarkEnd w:id="347"/>
      <w:bookmarkEnd w:id="348"/>
      <w:bookmarkEnd w:id="349"/>
    </w:p>
    <w:p>
      <w:pPr>
        <w:bidi w:val="0"/>
        <w:rPr>
          <w:rFonts w:hint="eastAsia" w:ascii="宋体" w:hAnsi="宋体" w:eastAsia="宋体" w:cs="宋体"/>
          <w:b/>
          <w:bCs/>
          <w:color w:val="auto"/>
          <w:highlight w:val="none"/>
        </w:rPr>
      </w:pP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合同草案条款（仅供参考。特别提醒：采购合同的签订不得偏离竞争性磋商文件要约及响应文件承诺的实质性内容）</w:t>
      </w:r>
    </w:p>
    <w:p>
      <w:pPr>
        <w:adjustRightInd w:val="0"/>
        <w:snapToGrid w:val="0"/>
        <w:spacing w:line="360" w:lineRule="auto"/>
        <w:ind w:firstLine="480" w:firstLineChars="200"/>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签订地点：</w:t>
      </w:r>
      <w:r>
        <w:rPr>
          <w:rFonts w:hint="eastAsia" w:cs="宋体"/>
          <w:b/>
          <w:bCs/>
          <w:color w:val="auto"/>
          <w:highlight w:val="none"/>
          <w:lang w:eastAsia="zh-CN"/>
        </w:rPr>
        <w:t>成都动物园（成都市野生动物研究所）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r>
        <w:rPr>
          <w:rFonts w:hint="eastAsia" w:cs="宋体"/>
          <w:color w:val="auto"/>
          <w:highlight w:val="none"/>
          <w:lang w:val="en-US" w:eastAsia="zh-CN"/>
        </w:rPr>
        <w:t xml:space="preserve">    </w:t>
      </w:r>
      <w:r>
        <w:rPr>
          <w:rFonts w:hint="eastAsia" w:ascii="宋体" w:hAnsi="宋体" w:eastAsia="宋体" w:cs="宋体"/>
          <w:color w:val="auto"/>
          <w:highlight w:val="none"/>
        </w:rPr>
        <w:t>年  月  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rPr>
        <w:t>采购人（甲方）：</w:t>
      </w:r>
      <w:r>
        <w:rPr>
          <w:rFonts w:hint="eastAsia" w:cs="宋体"/>
          <w:b/>
          <w:bCs/>
          <w:color w:val="auto"/>
          <w:highlight w:val="none"/>
          <w:u w:val="single"/>
          <w:lang w:eastAsia="zh-CN"/>
        </w:rPr>
        <w:t>成都动物园（成都市野生动物研究所）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（乙方）：</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lang w:val="en-US"/>
        </w:rPr>
      </w:pPr>
    </w:p>
    <w:p>
      <w:pPr>
        <w:bidi w:val="0"/>
        <w:rPr>
          <w:rFonts w:hint="eastAsia" w:cs="宋体"/>
          <w:color w:val="auto"/>
          <w:highlight w:val="none"/>
          <w:lang w:val="en-US" w:eastAsia="zh-CN"/>
        </w:rPr>
      </w:pPr>
      <w:r>
        <w:rPr>
          <w:rFonts w:hint="eastAsia" w:ascii="宋体" w:hAnsi="宋体" w:eastAsia="宋体" w:cs="宋体"/>
          <w:color w:val="auto"/>
          <w:highlight w:val="none"/>
          <w:lang w:val="en-US"/>
        </w:rPr>
        <w:t>依据《</w:t>
      </w:r>
      <w:r>
        <w:rPr>
          <w:rFonts w:hint="eastAsia" w:cs="宋体"/>
          <w:color w:val="auto"/>
          <w:highlight w:val="none"/>
          <w:lang w:val="en-US" w:eastAsia="zh-CN"/>
        </w:rPr>
        <w:t>中华人民共和国民法典</w:t>
      </w:r>
      <w:r>
        <w:rPr>
          <w:rFonts w:hint="eastAsia" w:ascii="宋体" w:hAnsi="宋体" w:eastAsia="宋体" w:cs="宋体"/>
          <w:color w:val="auto"/>
          <w:highlight w:val="none"/>
          <w:lang w:val="en-US"/>
        </w:rPr>
        <w:t>》、《中华人民共和国政府采购法》与项目行业有关的法律法规，以及</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rPr>
        <w:t>项目（</w:t>
      </w:r>
      <w:r>
        <w:rPr>
          <w:rFonts w:hint="eastAsia" w:ascii="宋体" w:hAnsi="宋体" w:eastAsia="宋体" w:cs="宋体"/>
          <w:b/>
          <w:bCs/>
          <w:color w:val="auto"/>
          <w:highlight w:val="none"/>
          <w:lang w:val="en-US" w:eastAsia="zh-CN"/>
        </w:rPr>
        <w:t>项目编号</w:t>
      </w:r>
      <w:r>
        <w:rPr>
          <w:rFonts w:hint="eastAsia" w:ascii="宋体" w:hAnsi="宋体" w:eastAsia="宋体" w:cs="宋体"/>
          <w:b/>
          <w:bCs/>
          <w:color w:val="auto"/>
          <w:highlight w:val="none"/>
          <w:lang w:val="en-US"/>
        </w:rPr>
        <w:t>：</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lang w:val="en-US"/>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hint="eastAsia" w:cs="宋体"/>
          <w:color w:val="auto"/>
          <w:highlight w:val="none"/>
          <w:lang w:val="en-US" w:eastAsia="zh-CN"/>
        </w:rPr>
        <w:t xml:space="preserve">        </w:t>
      </w:r>
    </w:p>
    <w:p>
      <w:pPr>
        <w:bidi w:val="0"/>
        <w:rPr>
          <w:rFonts w:hint="eastAsia" w:cs="宋体"/>
          <w:color w:val="auto"/>
          <w:highlight w:val="none"/>
          <w:lang w:val="en-US" w:eastAsia="zh-CN"/>
        </w:rPr>
      </w:pPr>
    </w:p>
    <w:p>
      <w:pPr>
        <w:numPr>
          <w:ilvl w:val="0"/>
          <w:numId w:val="34"/>
        </w:numPr>
        <w:bidi w:val="0"/>
        <w:jc w:val="center"/>
        <w:rPr>
          <w:rFonts w:hint="default" w:ascii="宋体" w:hAnsi="宋体" w:eastAsia="宋体" w:cs="宋体"/>
          <w:b/>
          <w:bCs/>
          <w:color w:val="auto"/>
          <w:highlight w:val="none"/>
        </w:rPr>
      </w:pPr>
      <w:r>
        <w:rPr>
          <w:rFonts w:hint="eastAsia" w:ascii="宋体" w:hAnsi="宋体" w:eastAsia="宋体" w:cs="宋体"/>
          <w:b/>
          <w:bCs/>
          <w:color w:val="auto"/>
          <w:highlight w:val="none"/>
        </w:rPr>
        <w:t>采购清单</w:t>
      </w:r>
    </w:p>
    <w:tbl>
      <w:tblPr>
        <w:tblStyle w:val="3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5"/>
        <w:gridCol w:w="1088"/>
        <w:gridCol w:w="825"/>
        <w:gridCol w:w="1028"/>
        <w:gridCol w:w="1370"/>
        <w:gridCol w:w="1479"/>
        <w:gridCol w:w="1065"/>
        <w:gridCol w:w="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eastAsia="zh-CN"/>
              </w:rPr>
            </w:pPr>
            <w:r>
              <w:rPr>
                <w:rFonts w:hint="eastAsia"/>
                <w:color w:val="auto"/>
                <w:highlight w:val="none"/>
                <w:lang w:eastAsia="zh-CN"/>
              </w:rPr>
              <w:t>产品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lang w:eastAsia="zh-CN"/>
              </w:rPr>
            </w:pPr>
            <w:r>
              <w:rPr>
                <w:rFonts w:hint="eastAsia"/>
                <w:color w:val="auto"/>
                <w:highlight w:val="none"/>
                <w:lang w:eastAsia="zh-CN"/>
              </w:rPr>
              <w:t>名称</w:t>
            </w:r>
          </w:p>
        </w:tc>
        <w:tc>
          <w:tcPr>
            <w:tcW w:w="108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规格</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型号</w:t>
            </w:r>
          </w:p>
        </w:tc>
        <w:tc>
          <w:tcPr>
            <w:tcW w:w="8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单位</w:t>
            </w:r>
          </w:p>
        </w:tc>
        <w:tc>
          <w:tcPr>
            <w:tcW w:w="10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数量</w:t>
            </w:r>
          </w:p>
        </w:tc>
        <w:tc>
          <w:tcPr>
            <w:tcW w:w="13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单价（元）</w:t>
            </w:r>
          </w:p>
        </w:tc>
        <w:tc>
          <w:tcPr>
            <w:tcW w:w="147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总价（元）</w:t>
            </w:r>
          </w:p>
        </w:tc>
        <w:tc>
          <w:tcPr>
            <w:tcW w:w="10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交货期</w:t>
            </w:r>
          </w:p>
        </w:tc>
        <w:tc>
          <w:tcPr>
            <w:tcW w:w="89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8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3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47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8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tc>
      </w:tr>
    </w:tbl>
    <w:p>
      <w:pPr>
        <w:numPr>
          <w:ilvl w:val="0"/>
          <w:numId w:val="34"/>
        </w:num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合同总价</w:t>
      </w:r>
    </w:p>
    <w:p>
      <w:pPr>
        <w:bidi w:val="0"/>
        <w:rPr>
          <w:color w:val="auto"/>
          <w:highlight w:val="none"/>
        </w:rPr>
      </w:pPr>
      <w:r>
        <w:rPr>
          <w:rFonts w:hint="eastAsia"/>
          <w:color w:val="auto"/>
          <w:highlight w:val="none"/>
        </w:rPr>
        <w:t>合同总价为人民币大写：</w:t>
      </w:r>
      <w:r>
        <w:rPr>
          <w:rFonts w:hint="eastAsia"/>
          <w:color w:val="auto"/>
          <w:highlight w:val="none"/>
          <w:u w:val="single"/>
        </w:rPr>
        <w:t xml:space="preserve">      </w:t>
      </w:r>
      <w:r>
        <w:rPr>
          <w:rFonts w:hint="eastAsia"/>
          <w:color w:val="auto"/>
          <w:highlight w:val="none"/>
        </w:rPr>
        <w:t>元，即RMB￥</w:t>
      </w:r>
      <w:r>
        <w:rPr>
          <w:rFonts w:hint="eastAsia"/>
          <w:color w:val="auto"/>
          <w:highlight w:val="none"/>
          <w:u w:val="single"/>
        </w:rPr>
        <w:t xml:space="preserve">    </w:t>
      </w:r>
      <w:r>
        <w:rPr>
          <w:rFonts w:hint="eastAsia"/>
          <w:color w:val="auto"/>
          <w:highlight w:val="none"/>
        </w:rPr>
        <w:t xml:space="preserve"> 元；该合同总价已包括材料、包装、运输、装卸、损耗、采管费、税金、利润、保险等验收合格交付使用之前及保修期限内等所有其他有关各项的含税费用。本合同金额为暂定总额，采购数量根据甲方实际需求调整，按实结算。</w:t>
      </w:r>
    </w:p>
    <w:p>
      <w:pPr>
        <w:numPr>
          <w:ilvl w:val="0"/>
          <w:numId w:val="34"/>
        </w:num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质量要求</w:t>
      </w:r>
    </w:p>
    <w:p>
      <w:pPr>
        <w:bidi w:val="0"/>
        <w:rPr>
          <w:color w:val="auto"/>
          <w:highlight w:val="none"/>
        </w:rPr>
      </w:pPr>
      <w:r>
        <w:rPr>
          <w:rFonts w:hint="eastAsia"/>
          <w:color w:val="auto"/>
          <w:highlight w:val="none"/>
        </w:rPr>
        <w:t>1.乙方须提供全新的货物，表面无划伤、无碰撞痕迹，且权属清楚，不得侵害他人的知识产权。</w:t>
      </w:r>
    </w:p>
    <w:p>
      <w:pPr>
        <w:bidi w:val="0"/>
        <w:rPr>
          <w:color w:val="auto"/>
          <w:highlight w:val="none"/>
        </w:rPr>
      </w:pPr>
      <w:r>
        <w:rPr>
          <w:rFonts w:hint="eastAsia"/>
          <w:color w:val="auto"/>
          <w:highlight w:val="none"/>
        </w:rPr>
        <w:t>2.货物必须符合或优于国家（行业）标准，以及本项目磋商文件的质量要求和技术指标。</w:t>
      </w:r>
    </w:p>
    <w:p>
      <w:pPr>
        <w:bidi w:val="0"/>
        <w:rPr>
          <w:color w:val="auto"/>
          <w:highlight w:val="none"/>
        </w:rPr>
      </w:pPr>
      <w:r>
        <w:rPr>
          <w:rFonts w:hint="eastAsia"/>
          <w:color w:val="auto"/>
          <w:highlight w:val="none"/>
        </w:rPr>
        <w:t>3.货物制造质量出现问题，乙方应负责包换、包退，费用由乙方负担，甲方有权到乙方生产场地检查货物质量和生产进度。</w:t>
      </w:r>
    </w:p>
    <w:p>
      <w:pPr>
        <w:bidi w:val="0"/>
        <w:rPr>
          <w:color w:val="auto"/>
          <w:highlight w:val="none"/>
        </w:rPr>
      </w:pPr>
      <w:r>
        <w:rPr>
          <w:rFonts w:hint="eastAsia"/>
          <w:color w:val="auto"/>
          <w:highlight w:val="none"/>
        </w:rPr>
        <w:t>4.乙方应保证货源充足，且提供的货物是合格产品，并完全符合磋商文件规定的质量、规格和性能的要求。货物验收后，在质量保证期内，乙方应对由于工艺、材料等缺陷所发生的任何不足或故障负责，所需费用由供应商承担。</w:t>
      </w:r>
    </w:p>
    <w:p>
      <w:pPr>
        <w:bidi w:val="0"/>
        <w:rPr>
          <w:color w:val="auto"/>
          <w:highlight w:val="none"/>
        </w:rPr>
      </w:pPr>
      <w:r>
        <w:rPr>
          <w:rFonts w:hint="eastAsia"/>
          <w:color w:val="auto"/>
          <w:highlight w:val="none"/>
        </w:rPr>
        <w:t>5.乙方提供的货物应</w:t>
      </w:r>
      <w:r>
        <w:rPr>
          <w:color w:val="auto"/>
          <w:highlight w:val="none"/>
        </w:rPr>
        <w:t>符合现行国家</w:t>
      </w:r>
      <w:r>
        <w:rPr>
          <w:rFonts w:hint="eastAsia"/>
          <w:color w:val="auto"/>
          <w:highlight w:val="none"/>
        </w:rPr>
        <w:t>相关标准、行业标准、地方标准或者其他标准、规范。</w:t>
      </w:r>
    </w:p>
    <w:p>
      <w:pPr>
        <w:numPr>
          <w:ilvl w:val="0"/>
          <w:numId w:val="34"/>
        </w:num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交货及验收</w:t>
      </w:r>
    </w:p>
    <w:p>
      <w:pPr>
        <w:bidi w:val="0"/>
        <w:rPr>
          <w:color w:val="auto"/>
          <w:highlight w:val="none"/>
        </w:rPr>
      </w:pPr>
      <w:r>
        <w:rPr>
          <w:rFonts w:hint="eastAsia"/>
          <w:color w:val="auto"/>
          <w:highlight w:val="none"/>
        </w:rPr>
        <w:t>1.交货：</w:t>
      </w:r>
    </w:p>
    <w:p>
      <w:pPr>
        <w:bidi w:val="0"/>
        <w:rPr>
          <w:color w:val="auto"/>
          <w:highlight w:val="none"/>
        </w:rPr>
      </w:pPr>
      <w:r>
        <w:rPr>
          <w:rFonts w:hint="eastAsia"/>
          <w:color w:val="auto"/>
          <w:highlight w:val="none"/>
        </w:rPr>
        <w:t>（1）交货时间：xxxx</w:t>
      </w:r>
    </w:p>
    <w:p>
      <w:pPr>
        <w:bidi w:val="0"/>
        <w:rPr>
          <w:color w:val="auto"/>
          <w:highlight w:val="none"/>
          <w:lang w:val="en-US"/>
        </w:rPr>
      </w:pPr>
      <w:r>
        <w:rPr>
          <w:rFonts w:hint="eastAsia"/>
          <w:color w:val="auto"/>
          <w:highlight w:val="none"/>
        </w:rPr>
        <w:t>（</w:t>
      </w:r>
      <w:r>
        <w:rPr>
          <w:rFonts w:hint="eastAsia"/>
          <w:color w:val="auto"/>
          <w:highlight w:val="none"/>
          <w:lang w:val="en-US"/>
        </w:rPr>
        <w:t>2</w:t>
      </w:r>
      <w:r>
        <w:rPr>
          <w:rFonts w:hint="eastAsia"/>
          <w:color w:val="auto"/>
          <w:highlight w:val="none"/>
        </w:rPr>
        <w:t>）交货方式：</w:t>
      </w:r>
      <w:r>
        <w:rPr>
          <w:rFonts w:hint="eastAsia"/>
          <w:color w:val="auto"/>
          <w:highlight w:val="none"/>
          <w:lang w:val="en-US"/>
        </w:rPr>
        <w:t>xxxx</w:t>
      </w:r>
    </w:p>
    <w:p>
      <w:pPr>
        <w:bidi w:val="0"/>
        <w:rPr>
          <w:color w:val="auto"/>
          <w:highlight w:val="none"/>
        </w:rPr>
      </w:pPr>
      <w:r>
        <w:rPr>
          <w:rFonts w:hint="eastAsia"/>
          <w:color w:val="auto"/>
          <w:highlight w:val="none"/>
        </w:rPr>
        <w:t>（3）交货地点：xxxx</w:t>
      </w:r>
    </w:p>
    <w:p>
      <w:pPr>
        <w:bidi w:val="0"/>
        <w:rPr>
          <w:color w:val="auto"/>
          <w:highlight w:val="none"/>
          <w:lang w:val="en-US"/>
        </w:rPr>
      </w:pPr>
      <w:r>
        <w:rPr>
          <w:rFonts w:hint="eastAsia"/>
          <w:color w:val="auto"/>
          <w:highlight w:val="none"/>
          <w:lang w:val="en-US"/>
        </w:rPr>
        <w:t>（4）供货期限：xxxx</w:t>
      </w:r>
    </w:p>
    <w:p>
      <w:pPr>
        <w:bidi w:val="0"/>
        <w:rPr>
          <w:color w:val="auto"/>
          <w:highlight w:val="none"/>
        </w:rPr>
      </w:pPr>
      <w:r>
        <w:rPr>
          <w:rFonts w:hint="eastAsia"/>
          <w:color w:val="auto"/>
          <w:highlight w:val="none"/>
        </w:rPr>
        <w:t>2.验收：</w:t>
      </w:r>
    </w:p>
    <w:p>
      <w:pPr>
        <w:bidi w:val="0"/>
        <w:rPr>
          <w:rFonts w:hint="eastAsia"/>
          <w:color w:val="auto"/>
          <w:highlight w:val="none"/>
        </w:rPr>
      </w:pPr>
      <w:r>
        <w:rPr>
          <w:rFonts w:hint="eastAsia"/>
          <w:color w:val="auto"/>
          <w:highlight w:val="none"/>
        </w:rPr>
        <w:t>符合</w:t>
      </w:r>
      <w:r>
        <w:rPr>
          <w:rFonts w:hint="eastAsia"/>
          <w:color w:val="auto"/>
          <w:highlight w:val="none"/>
          <w:lang w:eastAsia="zh-CN"/>
        </w:rPr>
        <w:t>国家食品安全规范</w:t>
      </w:r>
      <w:r>
        <w:rPr>
          <w:rFonts w:hint="eastAsia"/>
          <w:color w:val="auto"/>
          <w:highlight w:val="none"/>
        </w:rPr>
        <w:t>相关要求，按照交货时间、品种、数量，由采购人组织验收。采购人有权拒收质量不合格的产品。</w:t>
      </w:r>
    </w:p>
    <w:p>
      <w:pPr>
        <w:bidi w:val="0"/>
        <w:rPr>
          <w:rFonts w:hint="eastAsia"/>
          <w:color w:val="auto"/>
          <w:highlight w:val="none"/>
        </w:rPr>
      </w:pPr>
      <w:r>
        <w:rPr>
          <w:rFonts w:hint="eastAsia"/>
          <w:color w:val="auto"/>
          <w:highlight w:val="none"/>
          <w:lang w:val="en-US" w:eastAsia="zh-CN"/>
        </w:rPr>
        <w:t>验收时间、期限、方式和标准等相关验收事项，采购人可按照政府采购相关法律法规以及《财政部关于进一步加强政府采购需求和履约验收管理的指导意见》（财库〔2016〕205号）和相关法律法规的要求进行验收，出具验收书，并将验收书交代理机构一份存档。</w:t>
      </w:r>
    </w:p>
    <w:p>
      <w:pPr>
        <w:numPr>
          <w:ilvl w:val="0"/>
          <w:numId w:val="34"/>
        </w:numPr>
        <w:bidi w:val="0"/>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付款方式</w:t>
      </w:r>
    </w:p>
    <w:p>
      <w:pPr>
        <w:bidi w:val="0"/>
        <w:rPr>
          <w:color w:val="auto"/>
          <w:highlight w:val="none"/>
        </w:rPr>
      </w:pPr>
      <w:r>
        <w:rPr>
          <w:rFonts w:hint="eastAsia"/>
          <w:color w:val="auto"/>
          <w:highlight w:val="none"/>
        </w:rPr>
        <w:t>根据实际配送的货物种类、数量每月月底（按采购人当月通知的日期）进行结算和支付。</w:t>
      </w:r>
    </w:p>
    <w:p>
      <w:pPr>
        <w:numPr>
          <w:ilvl w:val="0"/>
          <w:numId w:val="34"/>
        </w:numPr>
        <w:bidi w:val="0"/>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履约保证金金额、缴纳时间及收退规则</w:t>
      </w:r>
    </w:p>
    <w:p>
      <w:pPr>
        <w:bidi w:val="0"/>
        <w:rPr>
          <w:color w:val="auto"/>
          <w:highlight w:val="none"/>
        </w:rPr>
      </w:pPr>
      <w:r>
        <w:rPr>
          <w:rFonts w:hint="eastAsia"/>
          <w:color w:val="auto"/>
          <w:highlight w:val="none"/>
        </w:rPr>
        <w:t>乙方按成交金额的</w:t>
      </w:r>
      <w:r>
        <w:rPr>
          <w:rFonts w:hint="eastAsia"/>
          <w:b/>
          <w:bCs/>
          <w:color w:val="auto"/>
          <w:highlight w:val="none"/>
          <w:u w:val="single"/>
        </w:rPr>
        <w:t xml:space="preserve"> 5% </w:t>
      </w:r>
      <w:r>
        <w:rPr>
          <w:rFonts w:hint="eastAsia"/>
          <w:color w:val="auto"/>
          <w:highlight w:val="none"/>
        </w:rPr>
        <w:t>向甲方缴纳履约保证金，即人民币</w:t>
      </w:r>
      <w:r>
        <w:rPr>
          <w:rFonts w:hint="eastAsia"/>
          <w:color w:val="auto"/>
          <w:highlight w:val="none"/>
          <w:u w:val="single"/>
        </w:rPr>
        <w:t xml:space="preserve">      </w:t>
      </w:r>
      <w:r>
        <w:rPr>
          <w:rFonts w:hint="eastAsia"/>
          <w:color w:val="auto"/>
          <w:highlight w:val="none"/>
        </w:rPr>
        <w:t>元（大写：</w:t>
      </w:r>
      <w:r>
        <w:rPr>
          <w:rFonts w:hint="eastAsia"/>
          <w:color w:val="auto"/>
          <w:highlight w:val="none"/>
          <w:u w:val="single"/>
        </w:rPr>
        <w:t xml:space="preserve">      </w:t>
      </w:r>
      <w:r>
        <w:rPr>
          <w:rFonts w:hint="eastAsia"/>
          <w:color w:val="auto"/>
          <w:highlight w:val="none"/>
        </w:rPr>
        <w:t>）；乙方不得超过自己履约能力接受该项任务，该工作严禁转包或违法分包。自项目验收合格之日起</w:t>
      </w:r>
      <w:r>
        <w:rPr>
          <w:rFonts w:hint="eastAsia"/>
          <w:color w:val="auto"/>
          <w:highlight w:val="none"/>
          <w:u w:val="single"/>
        </w:rPr>
        <w:t xml:space="preserve"> 15 </w:t>
      </w:r>
      <w:r>
        <w:rPr>
          <w:rFonts w:hint="eastAsia"/>
          <w:color w:val="auto"/>
          <w:highlight w:val="none"/>
        </w:rPr>
        <w:t>个工作日内退还履约保证金。</w:t>
      </w:r>
    </w:p>
    <w:p>
      <w:pPr>
        <w:numPr>
          <w:ilvl w:val="0"/>
          <w:numId w:val="34"/>
        </w:numPr>
        <w:bidi w:val="0"/>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违约责任</w:t>
      </w:r>
    </w:p>
    <w:p>
      <w:pPr>
        <w:bidi w:val="0"/>
        <w:rPr>
          <w:color w:val="auto"/>
          <w:highlight w:val="none"/>
        </w:rPr>
      </w:pPr>
      <w:r>
        <w:rPr>
          <w:rFonts w:hint="eastAsia"/>
          <w:color w:val="auto"/>
          <w:highlight w:val="none"/>
        </w:rPr>
        <w:t>1.甲方违约责任</w:t>
      </w:r>
    </w:p>
    <w:p>
      <w:pPr>
        <w:bidi w:val="0"/>
        <w:rPr>
          <w:color w:val="auto"/>
          <w:highlight w:val="none"/>
        </w:rPr>
      </w:pPr>
      <w:r>
        <w:rPr>
          <w:rFonts w:hint="eastAsia"/>
          <w:color w:val="auto"/>
          <w:highlight w:val="none"/>
        </w:rPr>
        <w:t>（1）甲方无正当理由拒收货物的，甲方应偿付合同总价百分之XXX的违约金；</w:t>
      </w:r>
    </w:p>
    <w:p>
      <w:pPr>
        <w:bidi w:val="0"/>
        <w:rPr>
          <w:color w:val="auto"/>
          <w:highlight w:val="none"/>
        </w:rPr>
      </w:pPr>
      <w:r>
        <w:rPr>
          <w:rFonts w:hint="eastAsia"/>
          <w:color w:val="auto"/>
          <w:highlight w:val="none"/>
        </w:rPr>
        <w:t>（2）甲方逾期支付货款的，除应及时付足货款外，应向乙方偿付欠款总额万分之XXX/天的违约金；逾期付款超过XXX天的，乙方有权终止合同；</w:t>
      </w:r>
    </w:p>
    <w:p>
      <w:pPr>
        <w:bidi w:val="0"/>
        <w:rPr>
          <w:color w:val="auto"/>
          <w:highlight w:val="none"/>
        </w:rPr>
      </w:pPr>
      <w:r>
        <w:rPr>
          <w:rFonts w:hint="eastAsia"/>
          <w:color w:val="auto"/>
          <w:highlight w:val="none"/>
        </w:rPr>
        <w:t>（3） 甲方偿付的违约金不足以弥补乙方损失的，还应按乙方损失尚未弥补的部分，支付赔偿金给乙方。</w:t>
      </w:r>
    </w:p>
    <w:p>
      <w:pPr>
        <w:bidi w:val="0"/>
        <w:rPr>
          <w:color w:val="auto"/>
          <w:highlight w:val="none"/>
        </w:rPr>
      </w:pPr>
      <w:r>
        <w:rPr>
          <w:rFonts w:hint="eastAsia"/>
          <w:color w:val="auto"/>
          <w:highlight w:val="none"/>
        </w:rPr>
        <w:t>2.乙方违约责任</w:t>
      </w:r>
    </w:p>
    <w:p>
      <w:pPr>
        <w:bidi w:val="0"/>
        <w:rPr>
          <w:color w:val="auto"/>
          <w:highlight w:val="none"/>
        </w:rPr>
      </w:pPr>
      <w:r>
        <w:rPr>
          <w:rFonts w:hint="eastAsia"/>
          <w:color w:val="auto"/>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bidi w:val="0"/>
        <w:rPr>
          <w:color w:val="auto"/>
          <w:highlight w:val="none"/>
        </w:rPr>
      </w:pPr>
      <w:r>
        <w:rPr>
          <w:rFonts w:hint="eastAsia"/>
          <w:color w:val="auto"/>
          <w:highlight w:val="none"/>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bidi w:val="0"/>
        <w:rPr>
          <w:color w:val="auto"/>
          <w:highlight w:val="none"/>
        </w:rPr>
      </w:pPr>
      <w:r>
        <w:rPr>
          <w:rFonts w:hint="eastAsia"/>
          <w:color w:val="auto"/>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bidi w:val="0"/>
        <w:rPr>
          <w:color w:val="auto"/>
          <w:highlight w:val="none"/>
        </w:rPr>
      </w:pPr>
      <w:r>
        <w:rPr>
          <w:rFonts w:hint="eastAsia"/>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bidi w:val="0"/>
        <w:rPr>
          <w:color w:val="auto"/>
          <w:highlight w:val="none"/>
        </w:rPr>
      </w:pPr>
      <w:r>
        <w:rPr>
          <w:rFonts w:hint="eastAsia"/>
          <w:color w:val="auto"/>
          <w:highlight w:val="none"/>
        </w:rPr>
        <w:t>（5）乙方偿付的违约金不足以弥补甲方损失的，还应按甲方损失尚未弥补的部分，支付赔偿金给甲方。</w:t>
      </w:r>
    </w:p>
    <w:p>
      <w:pPr>
        <w:numPr>
          <w:ilvl w:val="0"/>
          <w:numId w:val="34"/>
        </w:numPr>
        <w:bidi w:val="0"/>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争议解决办法</w:t>
      </w:r>
    </w:p>
    <w:p>
      <w:pPr>
        <w:bidi w:val="0"/>
        <w:rPr>
          <w:color w:val="auto"/>
          <w:highlight w:val="none"/>
        </w:rPr>
      </w:pPr>
      <w:r>
        <w:rPr>
          <w:rFonts w:hint="eastAsia"/>
          <w:color w:val="auto"/>
          <w:highlight w:val="none"/>
        </w:rPr>
        <w:t>1.因货物的质量问题发生争议，由质量技术监督部门或其指定的质量鉴定机构进行质量鉴定。货物符合标准的，鉴定费由甲方承担；货物不符合质量标准的，鉴定费由乙方承担。</w:t>
      </w:r>
    </w:p>
    <w:p>
      <w:pPr>
        <w:bidi w:val="0"/>
        <w:rPr>
          <w:color w:val="auto"/>
          <w:highlight w:val="none"/>
        </w:rPr>
      </w:pPr>
      <w:r>
        <w:rPr>
          <w:rFonts w:hint="eastAsia"/>
          <w:color w:val="auto"/>
          <w:highlight w:val="none"/>
        </w:rPr>
        <w:t>2.合同履行期间,若双方发生争议，可协商或由有关部门调解解决，协商或调解不成的，由当事人依法维护其合法权益。</w:t>
      </w:r>
    </w:p>
    <w:p>
      <w:pPr>
        <w:numPr>
          <w:ilvl w:val="0"/>
          <w:numId w:val="34"/>
        </w:numPr>
        <w:bidi w:val="0"/>
        <w:jc w:val="center"/>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其他</w:t>
      </w:r>
    </w:p>
    <w:p>
      <w:pPr>
        <w:bidi w:val="0"/>
        <w:rPr>
          <w:color w:val="auto"/>
          <w:highlight w:val="none"/>
        </w:rPr>
      </w:pPr>
      <w:r>
        <w:rPr>
          <w:rFonts w:hint="eastAsia"/>
          <w:color w:val="auto"/>
          <w:highlight w:val="none"/>
        </w:rPr>
        <w:t>1、合同经双方法定代表人或授权委托代理人签字并加盖单位公章后生效。</w:t>
      </w:r>
    </w:p>
    <w:p>
      <w:pPr>
        <w:bidi w:val="0"/>
        <w:rPr>
          <w:color w:val="auto"/>
          <w:highlight w:val="none"/>
        </w:rPr>
      </w:pPr>
      <w:r>
        <w:rPr>
          <w:rFonts w:hint="eastAsia"/>
          <w:color w:val="auto"/>
          <w:highlight w:val="none"/>
        </w:rPr>
        <w:t>2、合同执行中涉及采购资金和采购内容修改或补充的，须经政府采购监管部门审批，并签书面补充协议报政府采购监督管理部门备案，方可作为主合同不可分割的一部分。</w:t>
      </w:r>
    </w:p>
    <w:p>
      <w:pPr>
        <w:bidi w:val="0"/>
        <w:rPr>
          <w:color w:val="auto"/>
          <w:highlight w:val="none"/>
        </w:rPr>
      </w:pPr>
      <w:r>
        <w:rPr>
          <w:rFonts w:hint="eastAsia"/>
          <w:color w:val="auto"/>
          <w:highlight w:val="none"/>
        </w:rPr>
        <w:t>3、本合同一式 柒 份，自双方签章之日起起效。甲方</w:t>
      </w:r>
      <w:r>
        <w:rPr>
          <w:rFonts w:hint="eastAsia"/>
          <w:color w:val="auto"/>
          <w:highlight w:val="none"/>
          <w:u w:val="single"/>
        </w:rPr>
        <w:t xml:space="preserve"> 肆 </w:t>
      </w:r>
      <w:r>
        <w:rPr>
          <w:rFonts w:hint="eastAsia"/>
          <w:color w:val="auto"/>
          <w:highlight w:val="none"/>
        </w:rPr>
        <w:t>份，乙方</w:t>
      </w:r>
      <w:r>
        <w:rPr>
          <w:rFonts w:hint="eastAsia"/>
          <w:color w:val="auto"/>
          <w:highlight w:val="none"/>
          <w:u w:val="single"/>
        </w:rPr>
        <w:t xml:space="preserve"> 壹  </w:t>
      </w:r>
      <w:r>
        <w:rPr>
          <w:rFonts w:hint="eastAsia"/>
          <w:color w:val="auto"/>
          <w:highlight w:val="none"/>
        </w:rPr>
        <w:t>份，政府采购管理部门、采购代理机构各</w:t>
      </w:r>
      <w:r>
        <w:rPr>
          <w:rFonts w:hint="eastAsia"/>
          <w:color w:val="auto"/>
          <w:highlight w:val="none"/>
          <w:u w:val="single"/>
        </w:rPr>
        <w:t xml:space="preserve"> 壹  </w:t>
      </w:r>
      <w:r>
        <w:rPr>
          <w:rFonts w:hint="eastAsia"/>
          <w:color w:val="auto"/>
          <w:highlight w:val="none"/>
        </w:rPr>
        <w:t>份，具有同等法律效力。</w:t>
      </w:r>
    </w:p>
    <w:p>
      <w:pPr>
        <w:bidi w:val="0"/>
        <w:rPr>
          <w:rFonts w:hint="eastAsia"/>
          <w:color w:val="auto"/>
          <w:highlight w:val="none"/>
        </w:rPr>
      </w:pPr>
    </w:p>
    <w:p>
      <w:pPr>
        <w:pStyle w:val="2"/>
        <w:rPr>
          <w:rFonts w:hint="eastAsia"/>
          <w:color w:val="auto"/>
          <w:highlight w:val="none"/>
        </w:rPr>
      </w:pPr>
    </w:p>
    <w:p>
      <w:pPr>
        <w:rPr>
          <w:rFonts w:hint="eastAsia"/>
          <w:color w:val="auto"/>
          <w:highlight w:val="none"/>
        </w:rPr>
      </w:pPr>
    </w:p>
    <w:p>
      <w:pPr>
        <w:bidi w:val="0"/>
        <w:rPr>
          <w:color w:val="auto"/>
          <w:highlight w:val="none"/>
        </w:rPr>
      </w:pPr>
      <w:r>
        <w:rPr>
          <w:rFonts w:hint="eastAsia"/>
          <w:color w:val="auto"/>
          <w:highlight w:val="none"/>
        </w:rPr>
        <w:t>甲方（公章）：　　　　　　　    乙方（公章）：</w:t>
      </w:r>
    </w:p>
    <w:p>
      <w:pPr>
        <w:bidi w:val="0"/>
        <w:rPr>
          <w:color w:val="auto"/>
          <w:highlight w:val="none"/>
        </w:rPr>
      </w:pPr>
      <w:r>
        <w:rPr>
          <w:rFonts w:hint="eastAsia"/>
          <w:color w:val="auto"/>
          <w:highlight w:val="none"/>
        </w:rPr>
        <w:t>法定（授权）代表人：            法定（授权）代表人：</w:t>
      </w:r>
    </w:p>
    <w:p>
      <w:pPr>
        <w:bidi w:val="0"/>
        <w:rPr>
          <w:color w:val="auto"/>
          <w:highlight w:val="none"/>
        </w:rPr>
      </w:pPr>
      <w:r>
        <w:rPr>
          <w:rFonts w:hint="eastAsia"/>
          <w:color w:val="auto"/>
          <w:highlight w:val="none"/>
        </w:rPr>
        <w:t>分管领导：                      分管领导：</w:t>
      </w:r>
    </w:p>
    <w:p>
      <w:pPr>
        <w:bidi w:val="0"/>
        <w:rPr>
          <w:color w:val="auto"/>
          <w:highlight w:val="none"/>
        </w:rPr>
      </w:pPr>
      <w:r>
        <w:rPr>
          <w:rFonts w:hint="eastAsia"/>
          <w:color w:val="auto"/>
          <w:highlight w:val="none"/>
        </w:rPr>
        <w:t>部门负责人：                    部门负责人：</w:t>
      </w:r>
    </w:p>
    <w:p>
      <w:pPr>
        <w:bidi w:val="0"/>
        <w:rPr>
          <w:color w:val="auto"/>
          <w:highlight w:val="none"/>
        </w:rPr>
      </w:pPr>
      <w:r>
        <w:rPr>
          <w:rFonts w:hint="eastAsia"/>
          <w:color w:val="auto"/>
          <w:highlight w:val="none"/>
        </w:rPr>
        <w:t>经办人：                        经办人：</w:t>
      </w:r>
    </w:p>
    <w:p>
      <w:pPr>
        <w:bidi w:val="0"/>
        <w:rPr>
          <w:color w:val="auto"/>
          <w:highlight w:val="none"/>
        </w:rPr>
      </w:pPr>
      <w:r>
        <w:rPr>
          <w:rFonts w:hint="eastAsia"/>
          <w:color w:val="auto"/>
          <w:highlight w:val="none"/>
        </w:rPr>
        <w:t xml:space="preserve">地    址：                      地    址： </w:t>
      </w:r>
    </w:p>
    <w:p>
      <w:pPr>
        <w:bidi w:val="0"/>
        <w:rPr>
          <w:color w:val="auto"/>
          <w:highlight w:val="none"/>
        </w:rPr>
      </w:pPr>
      <w:r>
        <w:rPr>
          <w:rFonts w:hint="eastAsia"/>
          <w:color w:val="auto"/>
          <w:highlight w:val="none"/>
        </w:rPr>
        <w:t>开户银行：                      开户银行：</w:t>
      </w:r>
    </w:p>
    <w:p>
      <w:pPr>
        <w:bidi w:val="0"/>
        <w:rPr>
          <w:color w:val="auto"/>
          <w:highlight w:val="none"/>
        </w:rPr>
      </w:pPr>
      <w:r>
        <w:rPr>
          <w:rFonts w:hint="eastAsia"/>
          <w:color w:val="auto"/>
          <w:highlight w:val="none"/>
        </w:rPr>
        <w:t>账    号：                      账    号：</w:t>
      </w:r>
    </w:p>
    <w:p>
      <w:pPr>
        <w:bidi w:val="0"/>
        <w:rPr>
          <w:color w:val="auto"/>
          <w:highlight w:val="none"/>
        </w:rPr>
      </w:pPr>
      <w:r>
        <w:rPr>
          <w:rFonts w:hint="eastAsia"/>
          <w:color w:val="auto"/>
          <w:highlight w:val="none"/>
        </w:rPr>
        <w:t>电    话：                      电    话：</w:t>
      </w:r>
    </w:p>
    <w:p>
      <w:pPr>
        <w:bidi w:val="0"/>
        <w:rPr>
          <w:color w:val="auto"/>
          <w:highlight w:val="none"/>
        </w:rPr>
      </w:pPr>
      <w:r>
        <w:rPr>
          <w:rFonts w:hint="eastAsia"/>
          <w:color w:val="auto"/>
          <w:highlight w:val="none"/>
        </w:rPr>
        <w:t>传    真：                      传    真：</w:t>
      </w:r>
    </w:p>
    <w:p>
      <w:pPr>
        <w:bidi w:val="0"/>
        <w:rPr>
          <w:color w:val="auto"/>
          <w:highlight w:val="none"/>
        </w:rPr>
      </w:pPr>
      <w:r>
        <w:rPr>
          <w:rFonts w:hint="eastAsia"/>
          <w:color w:val="auto"/>
          <w:highlight w:val="none"/>
        </w:rPr>
        <w:t xml:space="preserve">签约日期：XX年XX月XX日 </w:t>
      </w:r>
      <w:r>
        <w:rPr>
          <w:rFonts w:hint="eastAsia"/>
          <w:color w:val="auto"/>
          <w:highlight w:val="none"/>
        </w:rPr>
        <w:tab/>
      </w:r>
      <w:r>
        <w:rPr>
          <w:rFonts w:hint="eastAsia"/>
          <w:color w:val="auto"/>
          <w:highlight w:val="none"/>
        </w:rPr>
        <w:tab/>
      </w:r>
      <w:r>
        <w:rPr>
          <w:rFonts w:hint="eastAsia"/>
          <w:color w:val="auto"/>
          <w:highlight w:val="none"/>
        </w:rPr>
        <w:t xml:space="preserve">      签约日期：XX年XX月XX日</w:t>
      </w:r>
    </w:p>
    <w:p>
      <w:pPr>
        <w:bidi w:val="0"/>
        <w:rPr>
          <w:rFonts w:hint="eastAsia"/>
          <w:b/>
          <w:bCs/>
          <w:color w:val="auto"/>
          <w:highlight w:val="none"/>
        </w:rPr>
      </w:pPr>
    </w:p>
    <w:p>
      <w:pPr>
        <w:bidi w:val="0"/>
        <w:rPr>
          <w:rFonts w:hint="eastAsia"/>
          <w:b/>
          <w:bCs/>
          <w:color w:val="auto"/>
          <w:highlight w:val="none"/>
        </w:rPr>
      </w:pPr>
      <w:r>
        <w:rPr>
          <w:rFonts w:hint="eastAsia"/>
          <w:b/>
          <w:bCs/>
          <w:color w:val="auto"/>
          <w:highlight w:val="none"/>
        </w:rPr>
        <w:t>注：具体合同内容以</w:t>
      </w:r>
      <w:r>
        <w:rPr>
          <w:rFonts w:hint="eastAsia"/>
          <w:b/>
          <w:bCs/>
          <w:color w:val="auto"/>
          <w:highlight w:val="none"/>
          <w:lang w:eastAsia="zh-CN"/>
        </w:rPr>
        <w:t>成交</w:t>
      </w:r>
      <w:r>
        <w:rPr>
          <w:rFonts w:hint="eastAsia"/>
          <w:b/>
          <w:bCs/>
          <w:color w:val="auto"/>
          <w:highlight w:val="none"/>
        </w:rPr>
        <w:t>后双方约定内容为准，双方签字盖章后有效。</w:t>
      </w:r>
    </w:p>
    <w:sectPr>
      <w:footerReference r:id="rId8" w:type="default"/>
      <w:pgSz w:w="11850" w:h="16783"/>
      <w:pgMar w:top="1440" w:right="1531" w:bottom="1440" w:left="1531" w:header="851" w:footer="992" w:gutter="0"/>
      <w:pgNumType w:fmt="decimal"/>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A45F"/>
    <w:multiLevelType w:val="singleLevel"/>
    <w:tmpl w:val="90FBA45F"/>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A7CF25F5"/>
    <w:multiLevelType w:val="singleLevel"/>
    <w:tmpl w:val="A7CF25F5"/>
    <w:lvl w:ilvl="0" w:tentative="0">
      <w:start w:val="1"/>
      <w:numFmt w:val="decimal"/>
      <w:suff w:val="nothing"/>
      <w:lvlText w:val="%1．"/>
      <w:lvlJc w:val="left"/>
      <w:pPr>
        <w:ind w:left="0" w:firstLine="400"/>
      </w:pPr>
      <w:rPr>
        <w:rFonts w:hint="default"/>
      </w:rPr>
    </w:lvl>
  </w:abstractNum>
  <w:abstractNum w:abstractNumId="2">
    <w:nsid w:val="B715E2ED"/>
    <w:multiLevelType w:val="singleLevel"/>
    <w:tmpl w:val="B715E2ED"/>
    <w:lvl w:ilvl="0" w:tentative="0">
      <w:start w:val="1"/>
      <w:numFmt w:val="decimal"/>
      <w:suff w:val="nothing"/>
      <w:lvlText w:val="%1．"/>
      <w:lvlJc w:val="left"/>
      <w:pPr>
        <w:ind w:left="0" w:firstLine="400"/>
      </w:pPr>
      <w:rPr>
        <w:rFonts w:hint="default"/>
      </w:rPr>
    </w:lvl>
  </w:abstractNum>
  <w:abstractNum w:abstractNumId="3">
    <w:nsid w:val="B9D0CD3D"/>
    <w:multiLevelType w:val="singleLevel"/>
    <w:tmpl w:val="B9D0CD3D"/>
    <w:lvl w:ilvl="0" w:tentative="0">
      <w:start w:val="1"/>
      <w:numFmt w:val="decimal"/>
      <w:suff w:val="nothing"/>
      <w:lvlText w:val="%1．"/>
      <w:lvlJc w:val="left"/>
      <w:pPr>
        <w:ind w:left="0" w:firstLine="400"/>
      </w:pPr>
      <w:rPr>
        <w:rFonts w:hint="default"/>
      </w:rPr>
    </w:lvl>
  </w:abstractNum>
  <w:abstractNum w:abstractNumId="4">
    <w:nsid w:val="C1FFA3DA"/>
    <w:multiLevelType w:val="singleLevel"/>
    <w:tmpl w:val="C1FFA3DA"/>
    <w:lvl w:ilvl="0" w:tentative="0">
      <w:start w:val="1"/>
      <w:numFmt w:val="decimal"/>
      <w:suff w:val="nothing"/>
      <w:lvlText w:val="%1．"/>
      <w:lvlJc w:val="left"/>
      <w:pPr>
        <w:ind w:left="0" w:firstLine="400"/>
      </w:pPr>
      <w:rPr>
        <w:rFonts w:hint="default"/>
      </w:rPr>
    </w:lvl>
  </w:abstractNum>
  <w:abstractNum w:abstractNumId="5">
    <w:nsid w:val="C32B9BFA"/>
    <w:multiLevelType w:val="singleLevel"/>
    <w:tmpl w:val="C32B9BFA"/>
    <w:lvl w:ilvl="0" w:tentative="0">
      <w:start w:val="1"/>
      <w:numFmt w:val="decimal"/>
      <w:suff w:val="nothing"/>
      <w:lvlText w:val="%1．"/>
      <w:lvlJc w:val="left"/>
      <w:pPr>
        <w:ind w:left="0" w:firstLine="400"/>
      </w:pPr>
      <w:rPr>
        <w:rFonts w:hint="default"/>
      </w:rPr>
    </w:lvl>
  </w:abstractNum>
  <w:abstractNum w:abstractNumId="6">
    <w:nsid w:val="C94909D3"/>
    <w:multiLevelType w:val="singleLevel"/>
    <w:tmpl w:val="C94909D3"/>
    <w:lvl w:ilvl="0" w:tentative="0">
      <w:start w:val="1"/>
      <w:numFmt w:val="decimal"/>
      <w:lvlText w:val="%1)"/>
      <w:lvlJc w:val="left"/>
      <w:pPr>
        <w:ind w:left="1145" w:hanging="425"/>
      </w:pPr>
      <w:rPr>
        <w:rFonts w:hint="default"/>
      </w:rPr>
    </w:lvl>
  </w:abstractNum>
  <w:abstractNum w:abstractNumId="7">
    <w:nsid w:val="CC452742"/>
    <w:multiLevelType w:val="singleLevel"/>
    <w:tmpl w:val="CC452742"/>
    <w:lvl w:ilvl="0" w:tentative="0">
      <w:start w:val="1"/>
      <w:numFmt w:val="decimal"/>
      <w:suff w:val="nothing"/>
      <w:lvlText w:val="%1．"/>
      <w:lvlJc w:val="left"/>
      <w:pPr>
        <w:ind w:left="0" w:firstLine="400"/>
      </w:pPr>
      <w:rPr>
        <w:rFonts w:hint="default"/>
      </w:rPr>
    </w:lvl>
  </w:abstractNum>
  <w:abstractNum w:abstractNumId="8">
    <w:nsid w:val="D014B589"/>
    <w:multiLevelType w:val="singleLevel"/>
    <w:tmpl w:val="D014B589"/>
    <w:lvl w:ilvl="0" w:tentative="0">
      <w:start w:val="6"/>
      <w:numFmt w:val="chineseCounting"/>
      <w:suff w:val="nothing"/>
      <w:lvlText w:val="（%1）"/>
      <w:lvlJc w:val="left"/>
      <w:rPr>
        <w:rFonts w:hint="eastAsia"/>
      </w:rPr>
    </w:lvl>
  </w:abstractNum>
  <w:abstractNum w:abstractNumId="9">
    <w:nsid w:val="D14FBE38"/>
    <w:multiLevelType w:val="singleLevel"/>
    <w:tmpl w:val="D14FBE38"/>
    <w:lvl w:ilvl="0" w:tentative="0">
      <w:start w:val="1"/>
      <w:numFmt w:val="chineseCounting"/>
      <w:suff w:val="nothing"/>
      <w:lvlText w:val="%1、"/>
      <w:lvlJc w:val="left"/>
      <w:rPr>
        <w:rFonts w:hint="eastAsia"/>
      </w:rPr>
    </w:lvl>
  </w:abstractNum>
  <w:abstractNum w:abstractNumId="10">
    <w:nsid w:val="D8530102"/>
    <w:multiLevelType w:val="singleLevel"/>
    <w:tmpl w:val="D8530102"/>
    <w:lvl w:ilvl="0" w:tentative="0">
      <w:start w:val="1"/>
      <w:numFmt w:val="decimal"/>
      <w:lvlText w:val="%1)"/>
      <w:lvlJc w:val="left"/>
      <w:pPr>
        <w:ind w:left="425" w:hanging="425"/>
      </w:pPr>
      <w:rPr>
        <w:rFonts w:hint="default"/>
      </w:rPr>
    </w:lvl>
  </w:abstractNum>
  <w:abstractNum w:abstractNumId="11">
    <w:nsid w:val="DC8A62CD"/>
    <w:multiLevelType w:val="singleLevel"/>
    <w:tmpl w:val="DC8A62CD"/>
    <w:lvl w:ilvl="0" w:tentative="0">
      <w:start w:val="1"/>
      <w:numFmt w:val="decimal"/>
      <w:suff w:val="nothing"/>
      <w:lvlText w:val="%1．"/>
      <w:lvlJc w:val="left"/>
      <w:pPr>
        <w:ind w:left="0" w:firstLine="400"/>
      </w:pPr>
      <w:rPr>
        <w:rFonts w:hint="default"/>
      </w:rPr>
    </w:lvl>
  </w:abstractNum>
  <w:abstractNum w:abstractNumId="12">
    <w:nsid w:val="EF6E894E"/>
    <w:multiLevelType w:val="singleLevel"/>
    <w:tmpl w:val="EF6E894E"/>
    <w:lvl w:ilvl="0" w:tentative="0">
      <w:start w:val="1"/>
      <w:numFmt w:val="decimal"/>
      <w:suff w:val="nothing"/>
      <w:lvlText w:val="%1．"/>
      <w:lvlJc w:val="left"/>
      <w:pPr>
        <w:ind w:left="0" w:firstLine="400"/>
      </w:pPr>
      <w:rPr>
        <w:rFonts w:hint="default"/>
      </w:rPr>
    </w:lvl>
  </w:abstractNum>
  <w:abstractNum w:abstractNumId="13">
    <w:nsid w:val="EFD762D0"/>
    <w:multiLevelType w:val="singleLevel"/>
    <w:tmpl w:val="EFD762D0"/>
    <w:lvl w:ilvl="0" w:tentative="0">
      <w:start w:val="1"/>
      <w:numFmt w:val="decimal"/>
      <w:lvlText w:val="%1)"/>
      <w:lvlJc w:val="left"/>
      <w:pPr>
        <w:ind w:left="425" w:hanging="425"/>
      </w:pPr>
      <w:rPr>
        <w:rFonts w:hint="default"/>
      </w:rPr>
    </w:lvl>
  </w:abstractNum>
  <w:abstractNum w:abstractNumId="14">
    <w:nsid w:val="FE0F9FC4"/>
    <w:multiLevelType w:val="singleLevel"/>
    <w:tmpl w:val="FE0F9FC4"/>
    <w:lvl w:ilvl="0" w:tentative="0">
      <w:start w:val="1"/>
      <w:numFmt w:val="decimal"/>
      <w:suff w:val="nothing"/>
      <w:lvlText w:val="%1"/>
      <w:lvlJc w:val="left"/>
      <w:pPr>
        <w:tabs>
          <w:tab w:val="left" w:pos="0"/>
        </w:tabs>
      </w:pPr>
      <w:rPr>
        <w:rFonts w:hint="default" w:ascii="宋体" w:hAnsi="宋体" w:eastAsia="宋体" w:cs="宋体"/>
      </w:rPr>
    </w:lvl>
  </w:abstractNum>
  <w:abstractNum w:abstractNumId="15">
    <w:nsid w:val="FF860B74"/>
    <w:multiLevelType w:val="singleLevel"/>
    <w:tmpl w:val="FF860B74"/>
    <w:lvl w:ilvl="0" w:tentative="0">
      <w:start w:val="1"/>
      <w:numFmt w:val="decimal"/>
      <w:suff w:val="nothing"/>
      <w:lvlText w:val="%1．"/>
      <w:lvlJc w:val="left"/>
      <w:pPr>
        <w:ind w:left="0" w:firstLine="400"/>
      </w:pPr>
      <w:rPr>
        <w:rFonts w:hint="default"/>
      </w:rPr>
    </w:lvl>
  </w:abstractNum>
  <w:abstractNum w:abstractNumId="16">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7">
    <w:nsid w:val="00000010"/>
    <w:multiLevelType w:val="singleLevel"/>
    <w:tmpl w:val="00000010"/>
    <w:lvl w:ilvl="0" w:tentative="0">
      <w:start w:val="1"/>
      <w:numFmt w:val="decimal"/>
      <w:suff w:val="nothing"/>
      <w:lvlText w:val="%1．"/>
      <w:lvlJc w:val="left"/>
      <w:pPr>
        <w:ind w:left="0" w:firstLine="400"/>
      </w:pPr>
      <w:rPr>
        <w:rFonts w:hint="default"/>
      </w:rPr>
    </w:lvl>
  </w:abstractNum>
  <w:abstractNum w:abstractNumId="18">
    <w:nsid w:val="1067CA00"/>
    <w:multiLevelType w:val="singleLevel"/>
    <w:tmpl w:val="1067CA00"/>
    <w:lvl w:ilvl="0" w:tentative="0">
      <w:start w:val="1"/>
      <w:numFmt w:val="decimal"/>
      <w:suff w:val="nothing"/>
      <w:lvlText w:val="%1．"/>
      <w:lvlJc w:val="left"/>
      <w:pPr>
        <w:ind w:left="0" w:firstLine="400"/>
      </w:pPr>
      <w:rPr>
        <w:rFonts w:hint="default"/>
      </w:rPr>
    </w:lvl>
  </w:abstractNum>
  <w:abstractNum w:abstractNumId="19">
    <w:nsid w:val="1608A33F"/>
    <w:multiLevelType w:val="singleLevel"/>
    <w:tmpl w:val="1608A33F"/>
    <w:lvl w:ilvl="0" w:tentative="0">
      <w:start w:val="1"/>
      <w:numFmt w:val="decimal"/>
      <w:suff w:val="nothing"/>
      <w:lvlText w:val="%1"/>
      <w:lvlJc w:val="left"/>
      <w:pPr>
        <w:tabs>
          <w:tab w:val="left" w:pos="0"/>
        </w:tabs>
      </w:pPr>
      <w:rPr>
        <w:rFonts w:hint="default" w:ascii="宋体" w:hAnsi="宋体" w:eastAsia="宋体" w:cs="宋体"/>
      </w:rPr>
    </w:lvl>
  </w:abstractNum>
  <w:abstractNum w:abstractNumId="20">
    <w:nsid w:val="1ADD58A8"/>
    <w:multiLevelType w:val="singleLevel"/>
    <w:tmpl w:val="1ADD58A8"/>
    <w:lvl w:ilvl="0" w:tentative="0">
      <w:start w:val="1"/>
      <w:numFmt w:val="chineseCounting"/>
      <w:suff w:val="nothing"/>
      <w:lvlText w:val="（%1）"/>
      <w:lvlJc w:val="left"/>
      <w:pPr>
        <w:ind w:left="-82"/>
      </w:pPr>
      <w:rPr>
        <w:rFonts w:hint="eastAsia"/>
      </w:rPr>
    </w:lvl>
  </w:abstractNum>
  <w:abstractNum w:abstractNumId="21">
    <w:nsid w:val="28F27293"/>
    <w:multiLevelType w:val="singleLevel"/>
    <w:tmpl w:val="28F27293"/>
    <w:lvl w:ilvl="0" w:tentative="0">
      <w:start w:val="1"/>
      <w:numFmt w:val="decimal"/>
      <w:suff w:val="nothing"/>
      <w:lvlText w:val="%1．"/>
      <w:lvlJc w:val="left"/>
      <w:pPr>
        <w:ind w:left="0" w:firstLine="400"/>
      </w:pPr>
      <w:rPr>
        <w:rFonts w:hint="default"/>
      </w:rPr>
    </w:lvl>
  </w:abstractNum>
  <w:abstractNum w:abstractNumId="22">
    <w:nsid w:val="2C28158B"/>
    <w:multiLevelType w:val="singleLevel"/>
    <w:tmpl w:val="2C28158B"/>
    <w:lvl w:ilvl="0" w:tentative="0">
      <w:start w:val="1"/>
      <w:numFmt w:val="decimal"/>
      <w:lvlText w:val="%1)"/>
      <w:lvlJc w:val="left"/>
      <w:pPr>
        <w:ind w:left="425" w:hanging="425"/>
      </w:pPr>
      <w:rPr>
        <w:rFonts w:hint="default"/>
      </w:rPr>
    </w:lvl>
  </w:abstractNum>
  <w:abstractNum w:abstractNumId="23">
    <w:nsid w:val="2E1178C2"/>
    <w:multiLevelType w:val="singleLevel"/>
    <w:tmpl w:val="2E1178C2"/>
    <w:lvl w:ilvl="0" w:tentative="0">
      <w:start w:val="1"/>
      <w:numFmt w:val="decimal"/>
      <w:suff w:val="nothing"/>
      <w:lvlText w:val="%1"/>
      <w:lvlJc w:val="left"/>
      <w:pPr>
        <w:tabs>
          <w:tab w:val="left" w:pos="0"/>
        </w:tabs>
      </w:pPr>
      <w:rPr>
        <w:rFonts w:hint="default" w:ascii="宋体" w:hAnsi="宋体" w:eastAsia="宋体" w:cs="宋体"/>
      </w:rPr>
    </w:lvl>
  </w:abstractNum>
  <w:abstractNum w:abstractNumId="24">
    <w:nsid w:val="308A4E22"/>
    <w:multiLevelType w:val="singleLevel"/>
    <w:tmpl w:val="308A4E22"/>
    <w:lvl w:ilvl="0" w:tentative="0">
      <w:start w:val="1"/>
      <w:numFmt w:val="decimal"/>
      <w:suff w:val="nothing"/>
      <w:lvlText w:val="%1"/>
      <w:lvlJc w:val="left"/>
      <w:pPr>
        <w:tabs>
          <w:tab w:val="left" w:pos="0"/>
        </w:tabs>
      </w:pPr>
      <w:rPr>
        <w:rFonts w:hint="default" w:ascii="宋体" w:hAnsi="宋体" w:eastAsia="宋体" w:cs="宋体"/>
      </w:rPr>
    </w:lvl>
  </w:abstractNum>
  <w:abstractNum w:abstractNumId="25">
    <w:nsid w:val="312A597C"/>
    <w:multiLevelType w:val="singleLevel"/>
    <w:tmpl w:val="312A597C"/>
    <w:lvl w:ilvl="0" w:tentative="0">
      <w:start w:val="1"/>
      <w:numFmt w:val="decimal"/>
      <w:suff w:val="nothing"/>
      <w:lvlText w:val="%1"/>
      <w:lvlJc w:val="left"/>
      <w:pPr>
        <w:tabs>
          <w:tab w:val="left" w:pos="0"/>
        </w:tabs>
      </w:pPr>
      <w:rPr>
        <w:rFonts w:hint="default" w:ascii="宋体" w:hAnsi="宋体" w:eastAsia="宋体" w:cs="宋体"/>
      </w:rPr>
    </w:lvl>
  </w:abstractNum>
  <w:abstractNum w:abstractNumId="26">
    <w:nsid w:val="4125EDE8"/>
    <w:multiLevelType w:val="singleLevel"/>
    <w:tmpl w:val="4125EDE8"/>
    <w:lvl w:ilvl="0" w:tentative="0">
      <w:start w:val="1"/>
      <w:numFmt w:val="decimal"/>
      <w:suff w:val="nothing"/>
      <w:lvlText w:val="%1．"/>
      <w:lvlJc w:val="left"/>
      <w:pPr>
        <w:ind w:left="0" w:firstLine="400"/>
      </w:pPr>
      <w:rPr>
        <w:rFonts w:hint="default"/>
      </w:rPr>
    </w:lvl>
  </w:abstractNum>
  <w:abstractNum w:abstractNumId="27">
    <w:nsid w:val="5012851B"/>
    <w:multiLevelType w:val="singleLevel"/>
    <w:tmpl w:val="5012851B"/>
    <w:lvl w:ilvl="0" w:tentative="0">
      <w:start w:val="1"/>
      <w:numFmt w:val="decimal"/>
      <w:suff w:val="nothing"/>
      <w:lvlText w:val="%1．"/>
      <w:lvlJc w:val="left"/>
      <w:pPr>
        <w:ind w:left="0" w:firstLine="400"/>
      </w:pPr>
      <w:rPr>
        <w:rFonts w:hint="default"/>
      </w:rPr>
    </w:lvl>
  </w:abstractNum>
  <w:abstractNum w:abstractNumId="28">
    <w:nsid w:val="5A4DE600"/>
    <w:multiLevelType w:val="singleLevel"/>
    <w:tmpl w:val="5A4DE600"/>
    <w:lvl w:ilvl="0" w:tentative="0">
      <w:start w:val="5"/>
      <w:numFmt w:val="chineseCounting"/>
      <w:suff w:val="nothing"/>
      <w:lvlText w:val="%1、"/>
      <w:lvlJc w:val="left"/>
    </w:lvl>
  </w:abstractNum>
  <w:abstractNum w:abstractNumId="29">
    <w:nsid w:val="67F6E5DA"/>
    <w:multiLevelType w:val="singleLevel"/>
    <w:tmpl w:val="67F6E5DA"/>
    <w:lvl w:ilvl="0" w:tentative="0">
      <w:start w:val="1"/>
      <w:numFmt w:val="decimal"/>
      <w:suff w:val="nothing"/>
      <w:lvlText w:val="%1．"/>
      <w:lvlJc w:val="left"/>
      <w:pPr>
        <w:ind w:left="0" w:firstLine="400"/>
      </w:pPr>
      <w:rPr>
        <w:rFonts w:hint="default"/>
      </w:rPr>
    </w:lvl>
  </w:abstractNum>
  <w:abstractNum w:abstractNumId="30">
    <w:nsid w:val="691A4D5A"/>
    <w:multiLevelType w:val="singleLevel"/>
    <w:tmpl w:val="691A4D5A"/>
    <w:lvl w:ilvl="0" w:tentative="0">
      <w:start w:val="1"/>
      <w:numFmt w:val="decimal"/>
      <w:suff w:val="nothing"/>
      <w:lvlText w:val="%1．"/>
      <w:lvlJc w:val="left"/>
      <w:pPr>
        <w:ind w:left="0" w:firstLine="400"/>
      </w:pPr>
      <w:rPr>
        <w:rFonts w:hint="default"/>
      </w:rPr>
    </w:lvl>
  </w:abstractNum>
  <w:abstractNum w:abstractNumId="31">
    <w:nsid w:val="69462F6A"/>
    <w:multiLevelType w:val="singleLevel"/>
    <w:tmpl w:val="69462F6A"/>
    <w:lvl w:ilvl="0" w:tentative="0">
      <w:start w:val="1"/>
      <w:numFmt w:val="decimal"/>
      <w:suff w:val="nothing"/>
      <w:lvlText w:val="%1．"/>
      <w:lvlJc w:val="left"/>
      <w:pPr>
        <w:ind w:left="0" w:firstLine="400"/>
      </w:pPr>
      <w:rPr>
        <w:rFonts w:hint="default"/>
      </w:rPr>
    </w:lvl>
  </w:abstractNum>
  <w:abstractNum w:abstractNumId="32">
    <w:nsid w:val="6E53B356"/>
    <w:multiLevelType w:val="singleLevel"/>
    <w:tmpl w:val="6E53B356"/>
    <w:lvl w:ilvl="0" w:tentative="0">
      <w:start w:val="1"/>
      <w:numFmt w:val="decimal"/>
      <w:suff w:val="nothing"/>
      <w:lvlText w:val="%1．"/>
      <w:lvlJc w:val="left"/>
      <w:pPr>
        <w:ind w:left="0" w:firstLine="400"/>
      </w:pPr>
      <w:rPr>
        <w:rFonts w:hint="default"/>
      </w:rPr>
    </w:lvl>
  </w:abstractNum>
  <w:abstractNum w:abstractNumId="33">
    <w:nsid w:val="79B79324"/>
    <w:multiLevelType w:val="singleLevel"/>
    <w:tmpl w:val="79B79324"/>
    <w:lvl w:ilvl="0" w:tentative="0">
      <w:start w:val="1"/>
      <w:numFmt w:val="decimal"/>
      <w:lvlText w:val="%1)"/>
      <w:lvlJc w:val="left"/>
      <w:pPr>
        <w:ind w:left="425" w:hanging="425"/>
      </w:pPr>
      <w:rPr>
        <w:rFonts w:hint="default"/>
      </w:rPr>
    </w:lvl>
  </w:abstractNum>
  <w:num w:numId="1">
    <w:abstractNumId w:val="19"/>
  </w:num>
  <w:num w:numId="2">
    <w:abstractNumId w:val="28"/>
  </w:num>
  <w:num w:numId="3">
    <w:abstractNumId w:val="17"/>
  </w:num>
  <w:num w:numId="4">
    <w:abstractNumId w:val="16"/>
  </w:num>
  <w:num w:numId="5">
    <w:abstractNumId w:val="4"/>
  </w:num>
  <w:num w:numId="6">
    <w:abstractNumId w:val="0"/>
  </w:num>
  <w:num w:numId="7">
    <w:abstractNumId w:val="11"/>
  </w:num>
  <w:num w:numId="8">
    <w:abstractNumId w:val="27"/>
  </w:num>
  <w:num w:numId="9">
    <w:abstractNumId w:val="15"/>
  </w:num>
  <w:num w:numId="10">
    <w:abstractNumId w:val="18"/>
  </w:num>
  <w:num w:numId="11">
    <w:abstractNumId w:val="5"/>
  </w:num>
  <w:num w:numId="12">
    <w:abstractNumId w:val="7"/>
  </w:num>
  <w:num w:numId="13">
    <w:abstractNumId w:val="13"/>
  </w:num>
  <w:num w:numId="14">
    <w:abstractNumId w:val="6"/>
  </w:num>
  <w:num w:numId="15">
    <w:abstractNumId w:val="24"/>
  </w:num>
  <w:num w:numId="16">
    <w:abstractNumId w:val="8"/>
  </w:num>
  <w:num w:numId="17">
    <w:abstractNumId w:val="22"/>
  </w:num>
  <w:num w:numId="18">
    <w:abstractNumId w:val="20"/>
  </w:num>
  <w:num w:numId="19">
    <w:abstractNumId w:val="25"/>
  </w:num>
  <w:num w:numId="20">
    <w:abstractNumId w:val="1"/>
  </w:num>
  <w:num w:numId="21">
    <w:abstractNumId w:val="33"/>
  </w:num>
  <w:num w:numId="22">
    <w:abstractNumId w:val="23"/>
  </w:num>
  <w:num w:numId="23">
    <w:abstractNumId w:val="31"/>
  </w:num>
  <w:num w:numId="24">
    <w:abstractNumId w:val="32"/>
  </w:num>
  <w:num w:numId="25">
    <w:abstractNumId w:val="3"/>
  </w:num>
  <w:num w:numId="26">
    <w:abstractNumId w:val="29"/>
  </w:num>
  <w:num w:numId="27">
    <w:abstractNumId w:val="26"/>
  </w:num>
  <w:num w:numId="28">
    <w:abstractNumId w:val="21"/>
  </w:num>
  <w:num w:numId="29">
    <w:abstractNumId w:val="10"/>
  </w:num>
  <w:num w:numId="30">
    <w:abstractNumId w:val="30"/>
  </w:num>
  <w:num w:numId="31">
    <w:abstractNumId w:val="12"/>
  </w:num>
  <w:num w:numId="32">
    <w:abstractNumId w:val="2"/>
  </w:num>
  <w:num w:numId="33">
    <w:abstractNumId w:val="1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A2CE9"/>
    <w:rsid w:val="0000006E"/>
    <w:rsid w:val="0000210F"/>
    <w:rsid w:val="00011D0A"/>
    <w:rsid w:val="0001254E"/>
    <w:rsid w:val="000155F3"/>
    <w:rsid w:val="00015822"/>
    <w:rsid w:val="000325B9"/>
    <w:rsid w:val="00047669"/>
    <w:rsid w:val="0005202B"/>
    <w:rsid w:val="000543AB"/>
    <w:rsid w:val="00054624"/>
    <w:rsid w:val="00054F18"/>
    <w:rsid w:val="0005614C"/>
    <w:rsid w:val="000629C6"/>
    <w:rsid w:val="0008365C"/>
    <w:rsid w:val="00093E43"/>
    <w:rsid w:val="000A0AC0"/>
    <w:rsid w:val="000A315C"/>
    <w:rsid w:val="000A3C77"/>
    <w:rsid w:val="000B655B"/>
    <w:rsid w:val="000C1B63"/>
    <w:rsid w:val="000D3BC0"/>
    <w:rsid w:val="000D7447"/>
    <w:rsid w:val="000F2964"/>
    <w:rsid w:val="001014FB"/>
    <w:rsid w:val="00102C12"/>
    <w:rsid w:val="00107231"/>
    <w:rsid w:val="00111ED5"/>
    <w:rsid w:val="00116B29"/>
    <w:rsid w:val="001248B0"/>
    <w:rsid w:val="00154B5C"/>
    <w:rsid w:val="001707C7"/>
    <w:rsid w:val="0017383A"/>
    <w:rsid w:val="00180A62"/>
    <w:rsid w:val="00194BA8"/>
    <w:rsid w:val="001A5409"/>
    <w:rsid w:val="001B484C"/>
    <w:rsid w:val="001C0DC0"/>
    <w:rsid w:val="001C2321"/>
    <w:rsid w:val="001C2F35"/>
    <w:rsid w:val="001E7363"/>
    <w:rsid w:val="001F42A2"/>
    <w:rsid w:val="0020192E"/>
    <w:rsid w:val="00205602"/>
    <w:rsid w:val="0021295C"/>
    <w:rsid w:val="002336E2"/>
    <w:rsid w:val="00243B0A"/>
    <w:rsid w:val="00243C71"/>
    <w:rsid w:val="0025134C"/>
    <w:rsid w:val="0025628E"/>
    <w:rsid w:val="00261056"/>
    <w:rsid w:val="002622DB"/>
    <w:rsid w:val="0026255C"/>
    <w:rsid w:val="0027081F"/>
    <w:rsid w:val="00274299"/>
    <w:rsid w:val="002755A1"/>
    <w:rsid w:val="0028659A"/>
    <w:rsid w:val="00291571"/>
    <w:rsid w:val="002975DB"/>
    <w:rsid w:val="002A59AE"/>
    <w:rsid w:val="002A66E6"/>
    <w:rsid w:val="002A7535"/>
    <w:rsid w:val="002B4DBF"/>
    <w:rsid w:val="002D0274"/>
    <w:rsid w:val="002F03A6"/>
    <w:rsid w:val="00304116"/>
    <w:rsid w:val="003128B5"/>
    <w:rsid w:val="0032666E"/>
    <w:rsid w:val="00336734"/>
    <w:rsid w:val="003720C3"/>
    <w:rsid w:val="0038164E"/>
    <w:rsid w:val="003854D5"/>
    <w:rsid w:val="00385CBD"/>
    <w:rsid w:val="003934D9"/>
    <w:rsid w:val="00395D3F"/>
    <w:rsid w:val="003B236D"/>
    <w:rsid w:val="003D3906"/>
    <w:rsid w:val="003E5111"/>
    <w:rsid w:val="00417261"/>
    <w:rsid w:val="00420206"/>
    <w:rsid w:val="004226DB"/>
    <w:rsid w:val="00425DFD"/>
    <w:rsid w:val="004475C5"/>
    <w:rsid w:val="004A6476"/>
    <w:rsid w:val="004B3EE2"/>
    <w:rsid w:val="004B5610"/>
    <w:rsid w:val="004C2A49"/>
    <w:rsid w:val="004F42E9"/>
    <w:rsid w:val="00515AE7"/>
    <w:rsid w:val="00541665"/>
    <w:rsid w:val="0054372B"/>
    <w:rsid w:val="0055249C"/>
    <w:rsid w:val="005636F8"/>
    <w:rsid w:val="00565F37"/>
    <w:rsid w:val="00572347"/>
    <w:rsid w:val="005747F6"/>
    <w:rsid w:val="005769B0"/>
    <w:rsid w:val="00581548"/>
    <w:rsid w:val="005819D0"/>
    <w:rsid w:val="00585A76"/>
    <w:rsid w:val="00586467"/>
    <w:rsid w:val="00586B4B"/>
    <w:rsid w:val="0059022E"/>
    <w:rsid w:val="0059082C"/>
    <w:rsid w:val="0059411D"/>
    <w:rsid w:val="005A045B"/>
    <w:rsid w:val="005A520A"/>
    <w:rsid w:val="005A5228"/>
    <w:rsid w:val="005A72AE"/>
    <w:rsid w:val="005C01E3"/>
    <w:rsid w:val="005C1DC3"/>
    <w:rsid w:val="005C3EFC"/>
    <w:rsid w:val="00624D27"/>
    <w:rsid w:val="0063045E"/>
    <w:rsid w:val="00633C1C"/>
    <w:rsid w:val="0065285D"/>
    <w:rsid w:val="00652FB4"/>
    <w:rsid w:val="00672B3D"/>
    <w:rsid w:val="00676B05"/>
    <w:rsid w:val="0068444F"/>
    <w:rsid w:val="00685167"/>
    <w:rsid w:val="006851B3"/>
    <w:rsid w:val="00692802"/>
    <w:rsid w:val="00697110"/>
    <w:rsid w:val="006979AE"/>
    <w:rsid w:val="006B4011"/>
    <w:rsid w:val="006C469E"/>
    <w:rsid w:val="006D3B91"/>
    <w:rsid w:val="006F49AA"/>
    <w:rsid w:val="006F5FB3"/>
    <w:rsid w:val="006F7E2B"/>
    <w:rsid w:val="00717DA2"/>
    <w:rsid w:val="00772540"/>
    <w:rsid w:val="00782835"/>
    <w:rsid w:val="0079128C"/>
    <w:rsid w:val="00795358"/>
    <w:rsid w:val="007A41FC"/>
    <w:rsid w:val="007A58EC"/>
    <w:rsid w:val="007A6686"/>
    <w:rsid w:val="007B01B0"/>
    <w:rsid w:val="007B3AC8"/>
    <w:rsid w:val="007B5950"/>
    <w:rsid w:val="007D6BCA"/>
    <w:rsid w:val="007F1284"/>
    <w:rsid w:val="0080789B"/>
    <w:rsid w:val="00810587"/>
    <w:rsid w:val="00831C23"/>
    <w:rsid w:val="00842808"/>
    <w:rsid w:val="0084780E"/>
    <w:rsid w:val="00863FC6"/>
    <w:rsid w:val="00874268"/>
    <w:rsid w:val="008751AB"/>
    <w:rsid w:val="0088540F"/>
    <w:rsid w:val="0088552C"/>
    <w:rsid w:val="008A00E5"/>
    <w:rsid w:val="008D3650"/>
    <w:rsid w:val="008D4C21"/>
    <w:rsid w:val="008E487C"/>
    <w:rsid w:val="0090411F"/>
    <w:rsid w:val="00907D2A"/>
    <w:rsid w:val="0091318D"/>
    <w:rsid w:val="00961BC8"/>
    <w:rsid w:val="00977C9D"/>
    <w:rsid w:val="009A66C4"/>
    <w:rsid w:val="009B1A21"/>
    <w:rsid w:val="009C63FA"/>
    <w:rsid w:val="009D07DE"/>
    <w:rsid w:val="009D7103"/>
    <w:rsid w:val="009F680F"/>
    <w:rsid w:val="00A15998"/>
    <w:rsid w:val="00A33087"/>
    <w:rsid w:val="00A36759"/>
    <w:rsid w:val="00A636B8"/>
    <w:rsid w:val="00A71E9F"/>
    <w:rsid w:val="00A9014D"/>
    <w:rsid w:val="00A93717"/>
    <w:rsid w:val="00A9696A"/>
    <w:rsid w:val="00AB48DA"/>
    <w:rsid w:val="00AB7F39"/>
    <w:rsid w:val="00AD28F4"/>
    <w:rsid w:val="00AE5405"/>
    <w:rsid w:val="00AF603C"/>
    <w:rsid w:val="00AF7DA9"/>
    <w:rsid w:val="00B044B7"/>
    <w:rsid w:val="00B06253"/>
    <w:rsid w:val="00B263D9"/>
    <w:rsid w:val="00B34166"/>
    <w:rsid w:val="00B73683"/>
    <w:rsid w:val="00B87D46"/>
    <w:rsid w:val="00BB231C"/>
    <w:rsid w:val="00BB2437"/>
    <w:rsid w:val="00BB2B83"/>
    <w:rsid w:val="00BB3207"/>
    <w:rsid w:val="00BB4134"/>
    <w:rsid w:val="00BB661B"/>
    <w:rsid w:val="00BC4867"/>
    <w:rsid w:val="00BD43D6"/>
    <w:rsid w:val="00BE20B8"/>
    <w:rsid w:val="00BE307A"/>
    <w:rsid w:val="00BF176F"/>
    <w:rsid w:val="00C03DD8"/>
    <w:rsid w:val="00C04962"/>
    <w:rsid w:val="00C16333"/>
    <w:rsid w:val="00C22BA4"/>
    <w:rsid w:val="00C277BD"/>
    <w:rsid w:val="00C53517"/>
    <w:rsid w:val="00C536A4"/>
    <w:rsid w:val="00C56170"/>
    <w:rsid w:val="00C720A5"/>
    <w:rsid w:val="00C8544B"/>
    <w:rsid w:val="00C85AE8"/>
    <w:rsid w:val="00C93945"/>
    <w:rsid w:val="00CC606D"/>
    <w:rsid w:val="00CC7C21"/>
    <w:rsid w:val="00CE24D3"/>
    <w:rsid w:val="00CE2F2D"/>
    <w:rsid w:val="00CE33DD"/>
    <w:rsid w:val="00CE5522"/>
    <w:rsid w:val="00D11EF5"/>
    <w:rsid w:val="00D2133B"/>
    <w:rsid w:val="00D401EB"/>
    <w:rsid w:val="00D41FF8"/>
    <w:rsid w:val="00D44645"/>
    <w:rsid w:val="00D53386"/>
    <w:rsid w:val="00D662B9"/>
    <w:rsid w:val="00D73325"/>
    <w:rsid w:val="00D73E60"/>
    <w:rsid w:val="00DB1994"/>
    <w:rsid w:val="00DB2BC9"/>
    <w:rsid w:val="00DC60AB"/>
    <w:rsid w:val="00DD38BF"/>
    <w:rsid w:val="00DE12FB"/>
    <w:rsid w:val="00DE211D"/>
    <w:rsid w:val="00DE215B"/>
    <w:rsid w:val="00E31B2F"/>
    <w:rsid w:val="00E5480A"/>
    <w:rsid w:val="00E55060"/>
    <w:rsid w:val="00E55C9A"/>
    <w:rsid w:val="00E57AC0"/>
    <w:rsid w:val="00E61D91"/>
    <w:rsid w:val="00E7330F"/>
    <w:rsid w:val="00E818F5"/>
    <w:rsid w:val="00E84459"/>
    <w:rsid w:val="00E96DE1"/>
    <w:rsid w:val="00EB2160"/>
    <w:rsid w:val="00EC6A08"/>
    <w:rsid w:val="00ED6080"/>
    <w:rsid w:val="00EF6765"/>
    <w:rsid w:val="00EF780E"/>
    <w:rsid w:val="00F11B97"/>
    <w:rsid w:val="00F121E7"/>
    <w:rsid w:val="00F12DAB"/>
    <w:rsid w:val="00F17F07"/>
    <w:rsid w:val="00F229FE"/>
    <w:rsid w:val="00F267FB"/>
    <w:rsid w:val="00F34FC4"/>
    <w:rsid w:val="00F449F3"/>
    <w:rsid w:val="00F709D0"/>
    <w:rsid w:val="00F77425"/>
    <w:rsid w:val="00F95995"/>
    <w:rsid w:val="00FB5097"/>
    <w:rsid w:val="00FB6B80"/>
    <w:rsid w:val="00FB7956"/>
    <w:rsid w:val="00FC0E99"/>
    <w:rsid w:val="00FC45FB"/>
    <w:rsid w:val="00FD711F"/>
    <w:rsid w:val="00FF1BDE"/>
    <w:rsid w:val="00FF3D0E"/>
    <w:rsid w:val="01102835"/>
    <w:rsid w:val="01170BEA"/>
    <w:rsid w:val="012023DB"/>
    <w:rsid w:val="0122434C"/>
    <w:rsid w:val="01265003"/>
    <w:rsid w:val="012C050F"/>
    <w:rsid w:val="013556BF"/>
    <w:rsid w:val="01397A0A"/>
    <w:rsid w:val="013B42F6"/>
    <w:rsid w:val="013D0429"/>
    <w:rsid w:val="01497AE8"/>
    <w:rsid w:val="014B5A7C"/>
    <w:rsid w:val="016069B3"/>
    <w:rsid w:val="01695C4E"/>
    <w:rsid w:val="016B33FF"/>
    <w:rsid w:val="017627A5"/>
    <w:rsid w:val="0178649B"/>
    <w:rsid w:val="017A3F55"/>
    <w:rsid w:val="017E7A9B"/>
    <w:rsid w:val="0180517C"/>
    <w:rsid w:val="01890502"/>
    <w:rsid w:val="018C4C5A"/>
    <w:rsid w:val="01983E31"/>
    <w:rsid w:val="019A3DC9"/>
    <w:rsid w:val="019E3E5A"/>
    <w:rsid w:val="019F0E71"/>
    <w:rsid w:val="01B51009"/>
    <w:rsid w:val="01B52845"/>
    <w:rsid w:val="01B546E8"/>
    <w:rsid w:val="01B96A51"/>
    <w:rsid w:val="01BD71B8"/>
    <w:rsid w:val="01C054D3"/>
    <w:rsid w:val="01C1351A"/>
    <w:rsid w:val="01CD6F41"/>
    <w:rsid w:val="01D2575C"/>
    <w:rsid w:val="01DD2C8D"/>
    <w:rsid w:val="01DF26EB"/>
    <w:rsid w:val="01DF438A"/>
    <w:rsid w:val="01E32D67"/>
    <w:rsid w:val="01F0244D"/>
    <w:rsid w:val="01F710E0"/>
    <w:rsid w:val="0201055E"/>
    <w:rsid w:val="02011DC0"/>
    <w:rsid w:val="02026340"/>
    <w:rsid w:val="020A4A63"/>
    <w:rsid w:val="020E7329"/>
    <w:rsid w:val="020F174C"/>
    <w:rsid w:val="021761ED"/>
    <w:rsid w:val="02182A2A"/>
    <w:rsid w:val="0218627A"/>
    <w:rsid w:val="021B38AC"/>
    <w:rsid w:val="021B4A7D"/>
    <w:rsid w:val="021B6292"/>
    <w:rsid w:val="021B68C3"/>
    <w:rsid w:val="021D198B"/>
    <w:rsid w:val="021E6237"/>
    <w:rsid w:val="02224CB2"/>
    <w:rsid w:val="02270291"/>
    <w:rsid w:val="022E4C37"/>
    <w:rsid w:val="022F4988"/>
    <w:rsid w:val="02300B57"/>
    <w:rsid w:val="02343A8F"/>
    <w:rsid w:val="023B1A2E"/>
    <w:rsid w:val="023E5C2E"/>
    <w:rsid w:val="0244080F"/>
    <w:rsid w:val="0245082C"/>
    <w:rsid w:val="0249771E"/>
    <w:rsid w:val="024C4E01"/>
    <w:rsid w:val="025723DB"/>
    <w:rsid w:val="025D0548"/>
    <w:rsid w:val="025F7794"/>
    <w:rsid w:val="026131E2"/>
    <w:rsid w:val="026334D0"/>
    <w:rsid w:val="026358E9"/>
    <w:rsid w:val="02654001"/>
    <w:rsid w:val="026673B7"/>
    <w:rsid w:val="02670C9B"/>
    <w:rsid w:val="026753B3"/>
    <w:rsid w:val="02695786"/>
    <w:rsid w:val="026B7CE4"/>
    <w:rsid w:val="02774DC8"/>
    <w:rsid w:val="02854D3A"/>
    <w:rsid w:val="0286725A"/>
    <w:rsid w:val="02880B83"/>
    <w:rsid w:val="028927D5"/>
    <w:rsid w:val="028D60EC"/>
    <w:rsid w:val="02902DE5"/>
    <w:rsid w:val="0291312B"/>
    <w:rsid w:val="0291692F"/>
    <w:rsid w:val="029210CB"/>
    <w:rsid w:val="02921A1B"/>
    <w:rsid w:val="0296758C"/>
    <w:rsid w:val="02972AF8"/>
    <w:rsid w:val="029E2987"/>
    <w:rsid w:val="02A1344E"/>
    <w:rsid w:val="02AB7306"/>
    <w:rsid w:val="02AF5A06"/>
    <w:rsid w:val="02B105C7"/>
    <w:rsid w:val="02B1324A"/>
    <w:rsid w:val="02B76444"/>
    <w:rsid w:val="02C74323"/>
    <w:rsid w:val="02C93D3B"/>
    <w:rsid w:val="02CE2992"/>
    <w:rsid w:val="02D15269"/>
    <w:rsid w:val="02DD4E67"/>
    <w:rsid w:val="02E06F8E"/>
    <w:rsid w:val="02E466AF"/>
    <w:rsid w:val="02E53223"/>
    <w:rsid w:val="02EC065D"/>
    <w:rsid w:val="02ED127C"/>
    <w:rsid w:val="02F373B4"/>
    <w:rsid w:val="02F43B09"/>
    <w:rsid w:val="02F52B39"/>
    <w:rsid w:val="02FA5105"/>
    <w:rsid w:val="02FA6CE3"/>
    <w:rsid w:val="02FB409D"/>
    <w:rsid w:val="02FC29C3"/>
    <w:rsid w:val="02FE06EE"/>
    <w:rsid w:val="030544B7"/>
    <w:rsid w:val="030565A3"/>
    <w:rsid w:val="030C7174"/>
    <w:rsid w:val="030E7EC3"/>
    <w:rsid w:val="03115082"/>
    <w:rsid w:val="0316187D"/>
    <w:rsid w:val="031702A5"/>
    <w:rsid w:val="0318118C"/>
    <w:rsid w:val="03183D2B"/>
    <w:rsid w:val="031D2CC3"/>
    <w:rsid w:val="031E3095"/>
    <w:rsid w:val="032A79FC"/>
    <w:rsid w:val="032B6AD7"/>
    <w:rsid w:val="033120F8"/>
    <w:rsid w:val="03413D05"/>
    <w:rsid w:val="03486E3C"/>
    <w:rsid w:val="034C53D5"/>
    <w:rsid w:val="034F079F"/>
    <w:rsid w:val="03517729"/>
    <w:rsid w:val="035B054E"/>
    <w:rsid w:val="035C7CCC"/>
    <w:rsid w:val="035E70CF"/>
    <w:rsid w:val="03621591"/>
    <w:rsid w:val="03644DF7"/>
    <w:rsid w:val="03661637"/>
    <w:rsid w:val="0369269C"/>
    <w:rsid w:val="03701CA9"/>
    <w:rsid w:val="03717E40"/>
    <w:rsid w:val="03741BC3"/>
    <w:rsid w:val="037452F5"/>
    <w:rsid w:val="037F5807"/>
    <w:rsid w:val="03871596"/>
    <w:rsid w:val="038859DC"/>
    <w:rsid w:val="03885C07"/>
    <w:rsid w:val="03887414"/>
    <w:rsid w:val="0390626C"/>
    <w:rsid w:val="03AA64B1"/>
    <w:rsid w:val="03AC3381"/>
    <w:rsid w:val="03AD20EB"/>
    <w:rsid w:val="03AE5685"/>
    <w:rsid w:val="03AF5868"/>
    <w:rsid w:val="03B12F92"/>
    <w:rsid w:val="03B616BF"/>
    <w:rsid w:val="03B85D63"/>
    <w:rsid w:val="03BB199C"/>
    <w:rsid w:val="03C07292"/>
    <w:rsid w:val="03C27F9F"/>
    <w:rsid w:val="03C30B8E"/>
    <w:rsid w:val="03CF424E"/>
    <w:rsid w:val="03D259BE"/>
    <w:rsid w:val="03D54BEF"/>
    <w:rsid w:val="03DA0EA9"/>
    <w:rsid w:val="03DF010B"/>
    <w:rsid w:val="03EC7A52"/>
    <w:rsid w:val="03EF293E"/>
    <w:rsid w:val="03F93D15"/>
    <w:rsid w:val="03FB24E7"/>
    <w:rsid w:val="04001D7A"/>
    <w:rsid w:val="040601FD"/>
    <w:rsid w:val="04095C04"/>
    <w:rsid w:val="040B2EE0"/>
    <w:rsid w:val="040E05AF"/>
    <w:rsid w:val="040E2105"/>
    <w:rsid w:val="0410669D"/>
    <w:rsid w:val="041E4D79"/>
    <w:rsid w:val="041E61D2"/>
    <w:rsid w:val="04217BD8"/>
    <w:rsid w:val="042204D3"/>
    <w:rsid w:val="04222ECF"/>
    <w:rsid w:val="04235522"/>
    <w:rsid w:val="04274D1E"/>
    <w:rsid w:val="042939D2"/>
    <w:rsid w:val="042A7EF1"/>
    <w:rsid w:val="042B6172"/>
    <w:rsid w:val="042E7CAC"/>
    <w:rsid w:val="04381140"/>
    <w:rsid w:val="0439114F"/>
    <w:rsid w:val="043D4DEC"/>
    <w:rsid w:val="043F46D2"/>
    <w:rsid w:val="044A783A"/>
    <w:rsid w:val="045322C2"/>
    <w:rsid w:val="0455722B"/>
    <w:rsid w:val="045801C8"/>
    <w:rsid w:val="04592077"/>
    <w:rsid w:val="04607294"/>
    <w:rsid w:val="046D1725"/>
    <w:rsid w:val="046F1CDA"/>
    <w:rsid w:val="04787EE6"/>
    <w:rsid w:val="04835D53"/>
    <w:rsid w:val="048933C5"/>
    <w:rsid w:val="049351BC"/>
    <w:rsid w:val="04943259"/>
    <w:rsid w:val="04946AAB"/>
    <w:rsid w:val="04960A58"/>
    <w:rsid w:val="049619F4"/>
    <w:rsid w:val="0496473D"/>
    <w:rsid w:val="049A2931"/>
    <w:rsid w:val="04A00BE9"/>
    <w:rsid w:val="04A05DAE"/>
    <w:rsid w:val="04A964CD"/>
    <w:rsid w:val="04AA5174"/>
    <w:rsid w:val="04AC5764"/>
    <w:rsid w:val="04AD106A"/>
    <w:rsid w:val="04B37CA6"/>
    <w:rsid w:val="04B6125A"/>
    <w:rsid w:val="04B71D9A"/>
    <w:rsid w:val="04C5497C"/>
    <w:rsid w:val="04C92C77"/>
    <w:rsid w:val="04CA67CC"/>
    <w:rsid w:val="04D17269"/>
    <w:rsid w:val="04DE6402"/>
    <w:rsid w:val="04E02BDF"/>
    <w:rsid w:val="04EC4420"/>
    <w:rsid w:val="04ED12C7"/>
    <w:rsid w:val="04ED6301"/>
    <w:rsid w:val="04F041B1"/>
    <w:rsid w:val="04F31104"/>
    <w:rsid w:val="04F51767"/>
    <w:rsid w:val="04F60CBE"/>
    <w:rsid w:val="04FC717A"/>
    <w:rsid w:val="04FF65CC"/>
    <w:rsid w:val="05096E10"/>
    <w:rsid w:val="051066A8"/>
    <w:rsid w:val="05132C73"/>
    <w:rsid w:val="051568F8"/>
    <w:rsid w:val="05186A99"/>
    <w:rsid w:val="051F7C32"/>
    <w:rsid w:val="05222DFF"/>
    <w:rsid w:val="05225371"/>
    <w:rsid w:val="05236C98"/>
    <w:rsid w:val="05253589"/>
    <w:rsid w:val="052D5ABE"/>
    <w:rsid w:val="053A2585"/>
    <w:rsid w:val="053D622D"/>
    <w:rsid w:val="053E0DC9"/>
    <w:rsid w:val="054401B0"/>
    <w:rsid w:val="054476F5"/>
    <w:rsid w:val="054669CF"/>
    <w:rsid w:val="054B0E92"/>
    <w:rsid w:val="054E684E"/>
    <w:rsid w:val="054F5FEB"/>
    <w:rsid w:val="055139D7"/>
    <w:rsid w:val="05532841"/>
    <w:rsid w:val="05535F16"/>
    <w:rsid w:val="05543763"/>
    <w:rsid w:val="05546C1B"/>
    <w:rsid w:val="05567281"/>
    <w:rsid w:val="055F697E"/>
    <w:rsid w:val="0569742E"/>
    <w:rsid w:val="056B24ED"/>
    <w:rsid w:val="056F5A35"/>
    <w:rsid w:val="05710AEF"/>
    <w:rsid w:val="05751CB6"/>
    <w:rsid w:val="057A48B1"/>
    <w:rsid w:val="057D29B4"/>
    <w:rsid w:val="057D766A"/>
    <w:rsid w:val="057F5131"/>
    <w:rsid w:val="05944D61"/>
    <w:rsid w:val="059A62C6"/>
    <w:rsid w:val="059F726E"/>
    <w:rsid w:val="05A02E35"/>
    <w:rsid w:val="05A22BFF"/>
    <w:rsid w:val="05AD3DDF"/>
    <w:rsid w:val="05B00CF7"/>
    <w:rsid w:val="05B45BB6"/>
    <w:rsid w:val="05BB061E"/>
    <w:rsid w:val="05BC080E"/>
    <w:rsid w:val="05C0606E"/>
    <w:rsid w:val="05C244B4"/>
    <w:rsid w:val="05CB3833"/>
    <w:rsid w:val="05CE0969"/>
    <w:rsid w:val="05D131DC"/>
    <w:rsid w:val="05D2226E"/>
    <w:rsid w:val="05D33715"/>
    <w:rsid w:val="05D967DC"/>
    <w:rsid w:val="05E036A6"/>
    <w:rsid w:val="05E249F5"/>
    <w:rsid w:val="05E971AF"/>
    <w:rsid w:val="05EA722E"/>
    <w:rsid w:val="05EB0D73"/>
    <w:rsid w:val="05EB1D91"/>
    <w:rsid w:val="05EC1CC1"/>
    <w:rsid w:val="05F4195F"/>
    <w:rsid w:val="05F72270"/>
    <w:rsid w:val="05FB42AA"/>
    <w:rsid w:val="060260EE"/>
    <w:rsid w:val="06055241"/>
    <w:rsid w:val="06066DE6"/>
    <w:rsid w:val="060A48BB"/>
    <w:rsid w:val="060C5A2D"/>
    <w:rsid w:val="06112D83"/>
    <w:rsid w:val="061F727B"/>
    <w:rsid w:val="062213C8"/>
    <w:rsid w:val="062F36E5"/>
    <w:rsid w:val="063053CA"/>
    <w:rsid w:val="06336AFC"/>
    <w:rsid w:val="063E0875"/>
    <w:rsid w:val="064166F8"/>
    <w:rsid w:val="064A0510"/>
    <w:rsid w:val="06500737"/>
    <w:rsid w:val="06574B86"/>
    <w:rsid w:val="06575643"/>
    <w:rsid w:val="066356A9"/>
    <w:rsid w:val="066867AD"/>
    <w:rsid w:val="066B3928"/>
    <w:rsid w:val="066D13A4"/>
    <w:rsid w:val="06741417"/>
    <w:rsid w:val="067E4BF0"/>
    <w:rsid w:val="068B34A2"/>
    <w:rsid w:val="068B3FAA"/>
    <w:rsid w:val="068E28F4"/>
    <w:rsid w:val="0690009F"/>
    <w:rsid w:val="06912205"/>
    <w:rsid w:val="06941969"/>
    <w:rsid w:val="069846A7"/>
    <w:rsid w:val="06A269D4"/>
    <w:rsid w:val="06A562C1"/>
    <w:rsid w:val="06B80DA3"/>
    <w:rsid w:val="06B96AE4"/>
    <w:rsid w:val="06BB542F"/>
    <w:rsid w:val="06C465A1"/>
    <w:rsid w:val="06C55DBD"/>
    <w:rsid w:val="06CA06EC"/>
    <w:rsid w:val="06CA2394"/>
    <w:rsid w:val="06D02BA9"/>
    <w:rsid w:val="06D256D2"/>
    <w:rsid w:val="06D552FA"/>
    <w:rsid w:val="06DC2BAA"/>
    <w:rsid w:val="06DE323D"/>
    <w:rsid w:val="06E33940"/>
    <w:rsid w:val="06E3644C"/>
    <w:rsid w:val="06E55754"/>
    <w:rsid w:val="06E678F8"/>
    <w:rsid w:val="06E809F0"/>
    <w:rsid w:val="06E823E9"/>
    <w:rsid w:val="06E906B3"/>
    <w:rsid w:val="06E92098"/>
    <w:rsid w:val="06EA4EC1"/>
    <w:rsid w:val="06EE2274"/>
    <w:rsid w:val="06F02531"/>
    <w:rsid w:val="06F351F1"/>
    <w:rsid w:val="06F6463D"/>
    <w:rsid w:val="07040769"/>
    <w:rsid w:val="0709777F"/>
    <w:rsid w:val="070B337C"/>
    <w:rsid w:val="070E2813"/>
    <w:rsid w:val="070E6A5E"/>
    <w:rsid w:val="0717514F"/>
    <w:rsid w:val="071940C5"/>
    <w:rsid w:val="071A7411"/>
    <w:rsid w:val="071D557C"/>
    <w:rsid w:val="0721165E"/>
    <w:rsid w:val="07242ED7"/>
    <w:rsid w:val="0725095B"/>
    <w:rsid w:val="072F5747"/>
    <w:rsid w:val="073E1788"/>
    <w:rsid w:val="0740093D"/>
    <w:rsid w:val="07494475"/>
    <w:rsid w:val="074E694E"/>
    <w:rsid w:val="075235B9"/>
    <w:rsid w:val="07536527"/>
    <w:rsid w:val="075A0C7E"/>
    <w:rsid w:val="07602EC5"/>
    <w:rsid w:val="076232B1"/>
    <w:rsid w:val="07627335"/>
    <w:rsid w:val="076A2847"/>
    <w:rsid w:val="076A3E25"/>
    <w:rsid w:val="07722C0F"/>
    <w:rsid w:val="077A03E1"/>
    <w:rsid w:val="07822465"/>
    <w:rsid w:val="07875C92"/>
    <w:rsid w:val="078A131A"/>
    <w:rsid w:val="0795763A"/>
    <w:rsid w:val="079636B7"/>
    <w:rsid w:val="079A31C7"/>
    <w:rsid w:val="079C53CA"/>
    <w:rsid w:val="07A43C1F"/>
    <w:rsid w:val="07AC5E20"/>
    <w:rsid w:val="07AD5003"/>
    <w:rsid w:val="07AD7FEE"/>
    <w:rsid w:val="07AF5F4F"/>
    <w:rsid w:val="07B11CC5"/>
    <w:rsid w:val="07B754F1"/>
    <w:rsid w:val="07BA408A"/>
    <w:rsid w:val="07BD379C"/>
    <w:rsid w:val="07BE4FA9"/>
    <w:rsid w:val="07C0642B"/>
    <w:rsid w:val="07C337BD"/>
    <w:rsid w:val="07CA5ABD"/>
    <w:rsid w:val="07CE7EB4"/>
    <w:rsid w:val="07CF3B21"/>
    <w:rsid w:val="07D13770"/>
    <w:rsid w:val="07D5250F"/>
    <w:rsid w:val="07D673A3"/>
    <w:rsid w:val="07D745D6"/>
    <w:rsid w:val="07DC3D37"/>
    <w:rsid w:val="07DE2839"/>
    <w:rsid w:val="07DF2DB0"/>
    <w:rsid w:val="07E417B0"/>
    <w:rsid w:val="07E578E1"/>
    <w:rsid w:val="07E829EE"/>
    <w:rsid w:val="07ED6A39"/>
    <w:rsid w:val="07F3258D"/>
    <w:rsid w:val="07F46DC8"/>
    <w:rsid w:val="08012FAF"/>
    <w:rsid w:val="08035004"/>
    <w:rsid w:val="08060809"/>
    <w:rsid w:val="080D2376"/>
    <w:rsid w:val="080E6950"/>
    <w:rsid w:val="08102BD3"/>
    <w:rsid w:val="081935B8"/>
    <w:rsid w:val="081D656E"/>
    <w:rsid w:val="082139FB"/>
    <w:rsid w:val="08217FB9"/>
    <w:rsid w:val="08231B53"/>
    <w:rsid w:val="082419E6"/>
    <w:rsid w:val="08294C09"/>
    <w:rsid w:val="082E5766"/>
    <w:rsid w:val="082F55C0"/>
    <w:rsid w:val="08314498"/>
    <w:rsid w:val="083B0C5C"/>
    <w:rsid w:val="083E350D"/>
    <w:rsid w:val="0846415B"/>
    <w:rsid w:val="08472A2D"/>
    <w:rsid w:val="084813BE"/>
    <w:rsid w:val="08536532"/>
    <w:rsid w:val="08583B7A"/>
    <w:rsid w:val="08625CA9"/>
    <w:rsid w:val="08653138"/>
    <w:rsid w:val="08666A81"/>
    <w:rsid w:val="08703804"/>
    <w:rsid w:val="087543A7"/>
    <w:rsid w:val="087569B5"/>
    <w:rsid w:val="087813C1"/>
    <w:rsid w:val="08797D88"/>
    <w:rsid w:val="08851D38"/>
    <w:rsid w:val="08896B5F"/>
    <w:rsid w:val="088C02FC"/>
    <w:rsid w:val="08921FCF"/>
    <w:rsid w:val="089639D9"/>
    <w:rsid w:val="08A23FEA"/>
    <w:rsid w:val="08AD1471"/>
    <w:rsid w:val="08AF2208"/>
    <w:rsid w:val="08B13CBF"/>
    <w:rsid w:val="08B41100"/>
    <w:rsid w:val="08C313D3"/>
    <w:rsid w:val="08C349D4"/>
    <w:rsid w:val="08CC5737"/>
    <w:rsid w:val="08D30303"/>
    <w:rsid w:val="08D96DD8"/>
    <w:rsid w:val="08E260B9"/>
    <w:rsid w:val="08E31F8C"/>
    <w:rsid w:val="08E51963"/>
    <w:rsid w:val="08EF2354"/>
    <w:rsid w:val="08EF60A9"/>
    <w:rsid w:val="08F30652"/>
    <w:rsid w:val="08F77136"/>
    <w:rsid w:val="08F84EA1"/>
    <w:rsid w:val="08FB7284"/>
    <w:rsid w:val="08FF3F01"/>
    <w:rsid w:val="08FF4277"/>
    <w:rsid w:val="09004BA5"/>
    <w:rsid w:val="090160CD"/>
    <w:rsid w:val="09035B81"/>
    <w:rsid w:val="09082C7A"/>
    <w:rsid w:val="09086531"/>
    <w:rsid w:val="090A0B21"/>
    <w:rsid w:val="090C6332"/>
    <w:rsid w:val="09161768"/>
    <w:rsid w:val="091962B9"/>
    <w:rsid w:val="09291C3F"/>
    <w:rsid w:val="092946EA"/>
    <w:rsid w:val="09344A54"/>
    <w:rsid w:val="093C7D5B"/>
    <w:rsid w:val="094B04A1"/>
    <w:rsid w:val="094E6365"/>
    <w:rsid w:val="09510151"/>
    <w:rsid w:val="09584CC1"/>
    <w:rsid w:val="095F3CA3"/>
    <w:rsid w:val="095F6DC5"/>
    <w:rsid w:val="096013DE"/>
    <w:rsid w:val="0966043C"/>
    <w:rsid w:val="09683F59"/>
    <w:rsid w:val="096E19C2"/>
    <w:rsid w:val="096F7ABC"/>
    <w:rsid w:val="097114E1"/>
    <w:rsid w:val="0977122D"/>
    <w:rsid w:val="097A7459"/>
    <w:rsid w:val="098045B9"/>
    <w:rsid w:val="098045E6"/>
    <w:rsid w:val="09871195"/>
    <w:rsid w:val="098805A1"/>
    <w:rsid w:val="09911DE3"/>
    <w:rsid w:val="0991297D"/>
    <w:rsid w:val="099317FE"/>
    <w:rsid w:val="099346AB"/>
    <w:rsid w:val="09966DBC"/>
    <w:rsid w:val="099A1CEC"/>
    <w:rsid w:val="099A4248"/>
    <w:rsid w:val="09A459C3"/>
    <w:rsid w:val="09A47054"/>
    <w:rsid w:val="09A51C98"/>
    <w:rsid w:val="09AF7AFC"/>
    <w:rsid w:val="09B413B9"/>
    <w:rsid w:val="09B71201"/>
    <w:rsid w:val="09B836E9"/>
    <w:rsid w:val="09B9251A"/>
    <w:rsid w:val="09BA5505"/>
    <w:rsid w:val="09BB312D"/>
    <w:rsid w:val="09BC3BB1"/>
    <w:rsid w:val="09BE1EAA"/>
    <w:rsid w:val="09BF615D"/>
    <w:rsid w:val="09C1189F"/>
    <w:rsid w:val="09CD6FF9"/>
    <w:rsid w:val="09CF4D0D"/>
    <w:rsid w:val="09D10DC8"/>
    <w:rsid w:val="09D157F2"/>
    <w:rsid w:val="09D7041F"/>
    <w:rsid w:val="09E437B7"/>
    <w:rsid w:val="09E4750F"/>
    <w:rsid w:val="09EB3F49"/>
    <w:rsid w:val="09EB5274"/>
    <w:rsid w:val="09F06A39"/>
    <w:rsid w:val="09F66F68"/>
    <w:rsid w:val="09F9312A"/>
    <w:rsid w:val="09F95C68"/>
    <w:rsid w:val="09FA08DF"/>
    <w:rsid w:val="09FB6DDB"/>
    <w:rsid w:val="0A052870"/>
    <w:rsid w:val="0A097C36"/>
    <w:rsid w:val="0A0A29E6"/>
    <w:rsid w:val="0A0C24A6"/>
    <w:rsid w:val="0A0F2553"/>
    <w:rsid w:val="0A111209"/>
    <w:rsid w:val="0A1752D3"/>
    <w:rsid w:val="0A180179"/>
    <w:rsid w:val="0A1927C0"/>
    <w:rsid w:val="0A1C4018"/>
    <w:rsid w:val="0A28027C"/>
    <w:rsid w:val="0A357558"/>
    <w:rsid w:val="0A363EAA"/>
    <w:rsid w:val="0A382DC2"/>
    <w:rsid w:val="0A411E48"/>
    <w:rsid w:val="0A4338A2"/>
    <w:rsid w:val="0A446163"/>
    <w:rsid w:val="0A4872AD"/>
    <w:rsid w:val="0A4A4BB0"/>
    <w:rsid w:val="0A4C572E"/>
    <w:rsid w:val="0A56083B"/>
    <w:rsid w:val="0A560CC0"/>
    <w:rsid w:val="0A564AA1"/>
    <w:rsid w:val="0A5D1875"/>
    <w:rsid w:val="0A5D4F73"/>
    <w:rsid w:val="0A665D32"/>
    <w:rsid w:val="0A680508"/>
    <w:rsid w:val="0A680A35"/>
    <w:rsid w:val="0A696680"/>
    <w:rsid w:val="0A6C4AC3"/>
    <w:rsid w:val="0A6E6FC5"/>
    <w:rsid w:val="0A707C7F"/>
    <w:rsid w:val="0A717B32"/>
    <w:rsid w:val="0A72564D"/>
    <w:rsid w:val="0A7505A5"/>
    <w:rsid w:val="0A7846E8"/>
    <w:rsid w:val="0A793D75"/>
    <w:rsid w:val="0A7B1A63"/>
    <w:rsid w:val="0A7D5CEC"/>
    <w:rsid w:val="0A7D666A"/>
    <w:rsid w:val="0A82405D"/>
    <w:rsid w:val="0A8712E9"/>
    <w:rsid w:val="0A8959E6"/>
    <w:rsid w:val="0A905EC4"/>
    <w:rsid w:val="0A91049E"/>
    <w:rsid w:val="0A951267"/>
    <w:rsid w:val="0A9877B5"/>
    <w:rsid w:val="0A9A7E7E"/>
    <w:rsid w:val="0AA23D85"/>
    <w:rsid w:val="0AA47440"/>
    <w:rsid w:val="0AA53BAF"/>
    <w:rsid w:val="0AB02E7B"/>
    <w:rsid w:val="0AC02942"/>
    <w:rsid w:val="0AC24CA5"/>
    <w:rsid w:val="0AC70989"/>
    <w:rsid w:val="0AC80E2F"/>
    <w:rsid w:val="0ACF44F3"/>
    <w:rsid w:val="0AD802EF"/>
    <w:rsid w:val="0AD9249B"/>
    <w:rsid w:val="0ADD743D"/>
    <w:rsid w:val="0AE61854"/>
    <w:rsid w:val="0AE85B9D"/>
    <w:rsid w:val="0AEE4123"/>
    <w:rsid w:val="0AF60515"/>
    <w:rsid w:val="0AF66C72"/>
    <w:rsid w:val="0AF77F9B"/>
    <w:rsid w:val="0AF833C0"/>
    <w:rsid w:val="0AF92D2B"/>
    <w:rsid w:val="0B05288F"/>
    <w:rsid w:val="0B08723A"/>
    <w:rsid w:val="0B0F0A4A"/>
    <w:rsid w:val="0B0F3B50"/>
    <w:rsid w:val="0B110F93"/>
    <w:rsid w:val="0B135625"/>
    <w:rsid w:val="0B282710"/>
    <w:rsid w:val="0B291E51"/>
    <w:rsid w:val="0B2C3A41"/>
    <w:rsid w:val="0B2F6ADE"/>
    <w:rsid w:val="0B3656AD"/>
    <w:rsid w:val="0B374AE7"/>
    <w:rsid w:val="0B414CEC"/>
    <w:rsid w:val="0B4218CD"/>
    <w:rsid w:val="0B460A8A"/>
    <w:rsid w:val="0B4746DB"/>
    <w:rsid w:val="0B4D4A52"/>
    <w:rsid w:val="0B501B4B"/>
    <w:rsid w:val="0B541F50"/>
    <w:rsid w:val="0B5507F2"/>
    <w:rsid w:val="0B5662DD"/>
    <w:rsid w:val="0B5920D6"/>
    <w:rsid w:val="0B6216F7"/>
    <w:rsid w:val="0B6A65EF"/>
    <w:rsid w:val="0B6C7869"/>
    <w:rsid w:val="0B6E2FAC"/>
    <w:rsid w:val="0B6F3672"/>
    <w:rsid w:val="0B73632A"/>
    <w:rsid w:val="0B755892"/>
    <w:rsid w:val="0B7B10F7"/>
    <w:rsid w:val="0B830010"/>
    <w:rsid w:val="0B861965"/>
    <w:rsid w:val="0B8631C4"/>
    <w:rsid w:val="0B866D59"/>
    <w:rsid w:val="0B9772A5"/>
    <w:rsid w:val="0B9A1AD3"/>
    <w:rsid w:val="0B9D6F59"/>
    <w:rsid w:val="0BA07225"/>
    <w:rsid w:val="0BA16FA6"/>
    <w:rsid w:val="0BA562D3"/>
    <w:rsid w:val="0BA82DD0"/>
    <w:rsid w:val="0BA971CA"/>
    <w:rsid w:val="0BAB001B"/>
    <w:rsid w:val="0BAC09A5"/>
    <w:rsid w:val="0BAE346A"/>
    <w:rsid w:val="0BAF1C62"/>
    <w:rsid w:val="0BAF3C4A"/>
    <w:rsid w:val="0BB3502C"/>
    <w:rsid w:val="0BB869B2"/>
    <w:rsid w:val="0BBD4854"/>
    <w:rsid w:val="0BC171CE"/>
    <w:rsid w:val="0BC44644"/>
    <w:rsid w:val="0BC57DC6"/>
    <w:rsid w:val="0BC65541"/>
    <w:rsid w:val="0BC7504A"/>
    <w:rsid w:val="0BC84653"/>
    <w:rsid w:val="0BCC4A8E"/>
    <w:rsid w:val="0BD14DB5"/>
    <w:rsid w:val="0BE50737"/>
    <w:rsid w:val="0BE77E07"/>
    <w:rsid w:val="0BE814C1"/>
    <w:rsid w:val="0BE87010"/>
    <w:rsid w:val="0BE969BE"/>
    <w:rsid w:val="0BE97139"/>
    <w:rsid w:val="0BEA13BA"/>
    <w:rsid w:val="0BF3692C"/>
    <w:rsid w:val="0BF60B7D"/>
    <w:rsid w:val="0BF761EA"/>
    <w:rsid w:val="0BFA4996"/>
    <w:rsid w:val="0BFB3B0E"/>
    <w:rsid w:val="0BFB7870"/>
    <w:rsid w:val="0BFD0758"/>
    <w:rsid w:val="0C0A7D5A"/>
    <w:rsid w:val="0C0B5578"/>
    <w:rsid w:val="0C0C2568"/>
    <w:rsid w:val="0C0E01E1"/>
    <w:rsid w:val="0C0E4D8E"/>
    <w:rsid w:val="0C106836"/>
    <w:rsid w:val="0C23121F"/>
    <w:rsid w:val="0C253BA2"/>
    <w:rsid w:val="0C257C89"/>
    <w:rsid w:val="0C262BA5"/>
    <w:rsid w:val="0C295F57"/>
    <w:rsid w:val="0C3111B4"/>
    <w:rsid w:val="0C333D38"/>
    <w:rsid w:val="0C36649E"/>
    <w:rsid w:val="0C39575C"/>
    <w:rsid w:val="0C436FCB"/>
    <w:rsid w:val="0C455DF3"/>
    <w:rsid w:val="0C4B5C06"/>
    <w:rsid w:val="0C6B21BB"/>
    <w:rsid w:val="0C6D7058"/>
    <w:rsid w:val="0C6F0D81"/>
    <w:rsid w:val="0C745F12"/>
    <w:rsid w:val="0C763F7E"/>
    <w:rsid w:val="0C795FC4"/>
    <w:rsid w:val="0C7F5A81"/>
    <w:rsid w:val="0C8103FD"/>
    <w:rsid w:val="0C881852"/>
    <w:rsid w:val="0C8C62B3"/>
    <w:rsid w:val="0C910B37"/>
    <w:rsid w:val="0C9A531F"/>
    <w:rsid w:val="0C9D6275"/>
    <w:rsid w:val="0CA47AA4"/>
    <w:rsid w:val="0CA74712"/>
    <w:rsid w:val="0CAD0EF7"/>
    <w:rsid w:val="0CAF3A6A"/>
    <w:rsid w:val="0CAF74C8"/>
    <w:rsid w:val="0CB35CDE"/>
    <w:rsid w:val="0CB845C0"/>
    <w:rsid w:val="0CBA2878"/>
    <w:rsid w:val="0CBD29A7"/>
    <w:rsid w:val="0CBE44BE"/>
    <w:rsid w:val="0CBF0336"/>
    <w:rsid w:val="0CC0789F"/>
    <w:rsid w:val="0CC40B01"/>
    <w:rsid w:val="0CCB6389"/>
    <w:rsid w:val="0CCC3359"/>
    <w:rsid w:val="0CCE0E38"/>
    <w:rsid w:val="0CCF66A8"/>
    <w:rsid w:val="0CD05DFC"/>
    <w:rsid w:val="0CD634AD"/>
    <w:rsid w:val="0CD66B40"/>
    <w:rsid w:val="0CD743C6"/>
    <w:rsid w:val="0CD91B46"/>
    <w:rsid w:val="0CDF6460"/>
    <w:rsid w:val="0CE70D32"/>
    <w:rsid w:val="0CE8211C"/>
    <w:rsid w:val="0CEB498B"/>
    <w:rsid w:val="0CEC7970"/>
    <w:rsid w:val="0CEE1902"/>
    <w:rsid w:val="0CF3294D"/>
    <w:rsid w:val="0CF95A9C"/>
    <w:rsid w:val="0CF96700"/>
    <w:rsid w:val="0CFA5357"/>
    <w:rsid w:val="0D01197D"/>
    <w:rsid w:val="0D06035E"/>
    <w:rsid w:val="0D076D36"/>
    <w:rsid w:val="0D085747"/>
    <w:rsid w:val="0D16420D"/>
    <w:rsid w:val="0D165864"/>
    <w:rsid w:val="0D1A3940"/>
    <w:rsid w:val="0D1A66A8"/>
    <w:rsid w:val="0D1E52BE"/>
    <w:rsid w:val="0D1F17C2"/>
    <w:rsid w:val="0D220568"/>
    <w:rsid w:val="0D234B7D"/>
    <w:rsid w:val="0D275785"/>
    <w:rsid w:val="0D2813E0"/>
    <w:rsid w:val="0D2B2C68"/>
    <w:rsid w:val="0D2F388D"/>
    <w:rsid w:val="0D3010D0"/>
    <w:rsid w:val="0D3345C2"/>
    <w:rsid w:val="0D353BFD"/>
    <w:rsid w:val="0D3579FA"/>
    <w:rsid w:val="0D3E3812"/>
    <w:rsid w:val="0D424DDD"/>
    <w:rsid w:val="0D444927"/>
    <w:rsid w:val="0D4A12AA"/>
    <w:rsid w:val="0D514997"/>
    <w:rsid w:val="0D542F16"/>
    <w:rsid w:val="0D544D56"/>
    <w:rsid w:val="0D550E1D"/>
    <w:rsid w:val="0D5815DB"/>
    <w:rsid w:val="0D5D2365"/>
    <w:rsid w:val="0D6410BD"/>
    <w:rsid w:val="0D6A15EA"/>
    <w:rsid w:val="0D765E91"/>
    <w:rsid w:val="0D8A439A"/>
    <w:rsid w:val="0D9741E3"/>
    <w:rsid w:val="0D9918D9"/>
    <w:rsid w:val="0D9D58C6"/>
    <w:rsid w:val="0DA1625B"/>
    <w:rsid w:val="0DA77AC6"/>
    <w:rsid w:val="0DAD4E45"/>
    <w:rsid w:val="0DB10B86"/>
    <w:rsid w:val="0DB44311"/>
    <w:rsid w:val="0DB72BF0"/>
    <w:rsid w:val="0DBF6C26"/>
    <w:rsid w:val="0DCA1296"/>
    <w:rsid w:val="0DCE494B"/>
    <w:rsid w:val="0DD2795E"/>
    <w:rsid w:val="0DD327B9"/>
    <w:rsid w:val="0DD637A4"/>
    <w:rsid w:val="0DD711D3"/>
    <w:rsid w:val="0DDB793D"/>
    <w:rsid w:val="0DE449B8"/>
    <w:rsid w:val="0DE57348"/>
    <w:rsid w:val="0DE578A7"/>
    <w:rsid w:val="0DE83CB3"/>
    <w:rsid w:val="0DE92889"/>
    <w:rsid w:val="0DEC7AD8"/>
    <w:rsid w:val="0DF15363"/>
    <w:rsid w:val="0DF64A81"/>
    <w:rsid w:val="0DF64BCE"/>
    <w:rsid w:val="0DFE559B"/>
    <w:rsid w:val="0DFF26C9"/>
    <w:rsid w:val="0E010820"/>
    <w:rsid w:val="0E075539"/>
    <w:rsid w:val="0E0C631E"/>
    <w:rsid w:val="0E125972"/>
    <w:rsid w:val="0E130DF5"/>
    <w:rsid w:val="0E131F2C"/>
    <w:rsid w:val="0E167584"/>
    <w:rsid w:val="0E195BD8"/>
    <w:rsid w:val="0E1F7C13"/>
    <w:rsid w:val="0E2209B7"/>
    <w:rsid w:val="0E2911EA"/>
    <w:rsid w:val="0E2B23AA"/>
    <w:rsid w:val="0E350BA8"/>
    <w:rsid w:val="0E3604BE"/>
    <w:rsid w:val="0E382401"/>
    <w:rsid w:val="0E406EC8"/>
    <w:rsid w:val="0E41764F"/>
    <w:rsid w:val="0E4C04A0"/>
    <w:rsid w:val="0E4C562D"/>
    <w:rsid w:val="0E5463A3"/>
    <w:rsid w:val="0E582C75"/>
    <w:rsid w:val="0E5B0474"/>
    <w:rsid w:val="0E5F45CE"/>
    <w:rsid w:val="0E622C08"/>
    <w:rsid w:val="0E6A478F"/>
    <w:rsid w:val="0E70411F"/>
    <w:rsid w:val="0E737A05"/>
    <w:rsid w:val="0E745742"/>
    <w:rsid w:val="0E746643"/>
    <w:rsid w:val="0E771B22"/>
    <w:rsid w:val="0E7E20E2"/>
    <w:rsid w:val="0E7F7E76"/>
    <w:rsid w:val="0E806792"/>
    <w:rsid w:val="0E823016"/>
    <w:rsid w:val="0E8E3EFE"/>
    <w:rsid w:val="0E933A2E"/>
    <w:rsid w:val="0E933FF0"/>
    <w:rsid w:val="0E955030"/>
    <w:rsid w:val="0E9D7E7E"/>
    <w:rsid w:val="0EA46947"/>
    <w:rsid w:val="0EAC719C"/>
    <w:rsid w:val="0EAD613D"/>
    <w:rsid w:val="0EB2721D"/>
    <w:rsid w:val="0EB77C33"/>
    <w:rsid w:val="0EB9082B"/>
    <w:rsid w:val="0EB963C3"/>
    <w:rsid w:val="0EB965FB"/>
    <w:rsid w:val="0EC25246"/>
    <w:rsid w:val="0EC33309"/>
    <w:rsid w:val="0EC94384"/>
    <w:rsid w:val="0ECC760C"/>
    <w:rsid w:val="0ECC761B"/>
    <w:rsid w:val="0ECF57F8"/>
    <w:rsid w:val="0ED3617E"/>
    <w:rsid w:val="0ED56375"/>
    <w:rsid w:val="0EDF48A5"/>
    <w:rsid w:val="0EE211FE"/>
    <w:rsid w:val="0EE2542E"/>
    <w:rsid w:val="0EE60C94"/>
    <w:rsid w:val="0EE6108B"/>
    <w:rsid w:val="0EEA237A"/>
    <w:rsid w:val="0EF41390"/>
    <w:rsid w:val="0EF855AC"/>
    <w:rsid w:val="0EFD041C"/>
    <w:rsid w:val="0EFE18DC"/>
    <w:rsid w:val="0EFE253C"/>
    <w:rsid w:val="0F065551"/>
    <w:rsid w:val="0F093E1D"/>
    <w:rsid w:val="0F0F7AAB"/>
    <w:rsid w:val="0F13211D"/>
    <w:rsid w:val="0F1676E5"/>
    <w:rsid w:val="0F1877E0"/>
    <w:rsid w:val="0F1C0A69"/>
    <w:rsid w:val="0F1D091D"/>
    <w:rsid w:val="0F1E3485"/>
    <w:rsid w:val="0F211D15"/>
    <w:rsid w:val="0F3827DF"/>
    <w:rsid w:val="0F383859"/>
    <w:rsid w:val="0F392524"/>
    <w:rsid w:val="0F3B7989"/>
    <w:rsid w:val="0F3D65D3"/>
    <w:rsid w:val="0F403CEE"/>
    <w:rsid w:val="0F4229CD"/>
    <w:rsid w:val="0F4A7D7E"/>
    <w:rsid w:val="0F570C6E"/>
    <w:rsid w:val="0F5C1C8A"/>
    <w:rsid w:val="0F5E6273"/>
    <w:rsid w:val="0F5F2A67"/>
    <w:rsid w:val="0F605A0C"/>
    <w:rsid w:val="0F612F5E"/>
    <w:rsid w:val="0F643BB5"/>
    <w:rsid w:val="0F692791"/>
    <w:rsid w:val="0F6957F5"/>
    <w:rsid w:val="0F6C425A"/>
    <w:rsid w:val="0F6D0D7F"/>
    <w:rsid w:val="0F714FE8"/>
    <w:rsid w:val="0F7F6102"/>
    <w:rsid w:val="0F834222"/>
    <w:rsid w:val="0F8B4885"/>
    <w:rsid w:val="0F9059AC"/>
    <w:rsid w:val="0F90729D"/>
    <w:rsid w:val="0F92683B"/>
    <w:rsid w:val="0F992A0F"/>
    <w:rsid w:val="0F9A4B84"/>
    <w:rsid w:val="0FA14797"/>
    <w:rsid w:val="0FA80700"/>
    <w:rsid w:val="0FA927DF"/>
    <w:rsid w:val="0FAD48B3"/>
    <w:rsid w:val="0FAE2A49"/>
    <w:rsid w:val="0FAF48B4"/>
    <w:rsid w:val="0FB511A1"/>
    <w:rsid w:val="0FB516AE"/>
    <w:rsid w:val="0FB74F66"/>
    <w:rsid w:val="0FB83C88"/>
    <w:rsid w:val="0FCC2772"/>
    <w:rsid w:val="0FCD5A52"/>
    <w:rsid w:val="0FD03B67"/>
    <w:rsid w:val="0FD11768"/>
    <w:rsid w:val="0FD16A53"/>
    <w:rsid w:val="0FD21A7E"/>
    <w:rsid w:val="0FD96CFB"/>
    <w:rsid w:val="0FDB749A"/>
    <w:rsid w:val="0FE12286"/>
    <w:rsid w:val="0FEF06E6"/>
    <w:rsid w:val="0FF009C4"/>
    <w:rsid w:val="0FF62C43"/>
    <w:rsid w:val="0FF93E9B"/>
    <w:rsid w:val="0FF96486"/>
    <w:rsid w:val="0FFB07B4"/>
    <w:rsid w:val="0FFE43F8"/>
    <w:rsid w:val="10010073"/>
    <w:rsid w:val="100474FF"/>
    <w:rsid w:val="100F59BA"/>
    <w:rsid w:val="10130C4C"/>
    <w:rsid w:val="10154E03"/>
    <w:rsid w:val="101F6525"/>
    <w:rsid w:val="10224A1D"/>
    <w:rsid w:val="103268BF"/>
    <w:rsid w:val="10374FF5"/>
    <w:rsid w:val="10425171"/>
    <w:rsid w:val="104310CB"/>
    <w:rsid w:val="10435294"/>
    <w:rsid w:val="10442E8E"/>
    <w:rsid w:val="104B0B44"/>
    <w:rsid w:val="104B79F4"/>
    <w:rsid w:val="104D310F"/>
    <w:rsid w:val="10505321"/>
    <w:rsid w:val="10510FCD"/>
    <w:rsid w:val="10525938"/>
    <w:rsid w:val="10532D59"/>
    <w:rsid w:val="10542D31"/>
    <w:rsid w:val="105656F9"/>
    <w:rsid w:val="1058677D"/>
    <w:rsid w:val="10601D89"/>
    <w:rsid w:val="1060242F"/>
    <w:rsid w:val="10613DB2"/>
    <w:rsid w:val="10677DAF"/>
    <w:rsid w:val="10677DE1"/>
    <w:rsid w:val="106B35E3"/>
    <w:rsid w:val="107F59F9"/>
    <w:rsid w:val="108125B4"/>
    <w:rsid w:val="10834751"/>
    <w:rsid w:val="10844342"/>
    <w:rsid w:val="1089563D"/>
    <w:rsid w:val="108F0CAD"/>
    <w:rsid w:val="10900F14"/>
    <w:rsid w:val="10906C35"/>
    <w:rsid w:val="10983270"/>
    <w:rsid w:val="10991C1D"/>
    <w:rsid w:val="10A02B01"/>
    <w:rsid w:val="10A072B8"/>
    <w:rsid w:val="10A07C4E"/>
    <w:rsid w:val="10A12318"/>
    <w:rsid w:val="10B05318"/>
    <w:rsid w:val="10B12281"/>
    <w:rsid w:val="10B305F8"/>
    <w:rsid w:val="10B629D7"/>
    <w:rsid w:val="10BB4E69"/>
    <w:rsid w:val="10BD6AA5"/>
    <w:rsid w:val="10C0050B"/>
    <w:rsid w:val="10C365E8"/>
    <w:rsid w:val="10CD31F2"/>
    <w:rsid w:val="10CE5557"/>
    <w:rsid w:val="10CF4746"/>
    <w:rsid w:val="10D7085E"/>
    <w:rsid w:val="10D76488"/>
    <w:rsid w:val="10E17124"/>
    <w:rsid w:val="10E20EE8"/>
    <w:rsid w:val="10E73807"/>
    <w:rsid w:val="10EE342F"/>
    <w:rsid w:val="10F114AC"/>
    <w:rsid w:val="10F15AF5"/>
    <w:rsid w:val="10F44EC6"/>
    <w:rsid w:val="10F81424"/>
    <w:rsid w:val="10F841C4"/>
    <w:rsid w:val="10F9264F"/>
    <w:rsid w:val="10FA0016"/>
    <w:rsid w:val="10FE7C9E"/>
    <w:rsid w:val="110208E5"/>
    <w:rsid w:val="1106496E"/>
    <w:rsid w:val="11074476"/>
    <w:rsid w:val="111259FC"/>
    <w:rsid w:val="11181E5F"/>
    <w:rsid w:val="111C6BC0"/>
    <w:rsid w:val="111F786D"/>
    <w:rsid w:val="112414F5"/>
    <w:rsid w:val="11283E3F"/>
    <w:rsid w:val="11283F55"/>
    <w:rsid w:val="112E512C"/>
    <w:rsid w:val="113008FA"/>
    <w:rsid w:val="113248D6"/>
    <w:rsid w:val="113B22FA"/>
    <w:rsid w:val="1145570C"/>
    <w:rsid w:val="114F1A39"/>
    <w:rsid w:val="114F4B75"/>
    <w:rsid w:val="115262D5"/>
    <w:rsid w:val="11567DB4"/>
    <w:rsid w:val="115832CE"/>
    <w:rsid w:val="115B66DE"/>
    <w:rsid w:val="115F4F0F"/>
    <w:rsid w:val="11676716"/>
    <w:rsid w:val="1169506F"/>
    <w:rsid w:val="116B6A3D"/>
    <w:rsid w:val="116D1992"/>
    <w:rsid w:val="11705C4D"/>
    <w:rsid w:val="11737AAF"/>
    <w:rsid w:val="117479CB"/>
    <w:rsid w:val="11756FFB"/>
    <w:rsid w:val="117866C6"/>
    <w:rsid w:val="117A26DF"/>
    <w:rsid w:val="118044A3"/>
    <w:rsid w:val="11821F66"/>
    <w:rsid w:val="118528EE"/>
    <w:rsid w:val="11881D65"/>
    <w:rsid w:val="118C3244"/>
    <w:rsid w:val="118D3608"/>
    <w:rsid w:val="11911F77"/>
    <w:rsid w:val="11963584"/>
    <w:rsid w:val="119C48F4"/>
    <w:rsid w:val="119E2BF5"/>
    <w:rsid w:val="119E2CF6"/>
    <w:rsid w:val="119F615F"/>
    <w:rsid w:val="11A163F7"/>
    <w:rsid w:val="11A82748"/>
    <w:rsid w:val="11AA4221"/>
    <w:rsid w:val="11AE396E"/>
    <w:rsid w:val="11AF2B43"/>
    <w:rsid w:val="11B274DB"/>
    <w:rsid w:val="11B52C0B"/>
    <w:rsid w:val="11B85101"/>
    <w:rsid w:val="11B93FC3"/>
    <w:rsid w:val="11BE0FB7"/>
    <w:rsid w:val="11C03BDE"/>
    <w:rsid w:val="11C476DA"/>
    <w:rsid w:val="11C5477F"/>
    <w:rsid w:val="11C8200E"/>
    <w:rsid w:val="11CB0545"/>
    <w:rsid w:val="11CB202E"/>
    <w:rsid w:val="11CE752E"/>
    <w:rsid w:val="11CF55E9"/>
    <w:rsid w:val="11D05D69"/>
    <w:rsid w:val="11D10E7F"/>
    <w:rsid w:val="11D23753"/>
    <w:rsid w:val="11D53ED1"/>
    <w:rsid w:val="11D90E31"/>
    <w:rsid w:val="11DA6535"/>
    <w:rsid w:val="11DB5CF0"/>
    <w:rsid w:val="11DF3CC5"/>
    <w:rsid w:val="11E0718F"/>
    <w:rsid w:val="11E23A62"/>
    <w:rsid w:val="11E640E4"/>
    <w:rsid w:val="11E845E0"/>
    <w:rsid w:val="11EE0052"/>
    <w:rsid w:val="11F04C58"/>
    <w:rsid w:val="11F33130"/>
    <w:rsid w:val="11F446CE"/>
    <w:rsid w:val="11FD3992"/>
    <w:rsid w:val="12065320"/>
    <w:rsid w:val="12083D2C"/>
    <w:rsid w:val="120A5A5E"/>
    <w:rsid w:val="120E5451"/>
    <w:rsid w:val="121746E3"/>
    <w:rsid w:val="12180F0A"/>
    <w:rsid w:val="12213097"/>
    <w:rsid w:val="12245649"/>
    <w:rsid w:val="122A0722"/>
    <w:rsid w:val="122E67DD"/>
    <w:rsid w:val="12323EDA"/>
    <w:rsid w:val="12335322"/>
    <w:rsid w:val="12353862"/>
    <w:rsid w:val="123A36B3"/>
    <w:rsid w:val="124273A9"/>
    <w:rsid w:val="124F24AC"/>
    <w:rsid w:val="124F49F1"/>
    <w:rsid w:val="12531FFC"/>
    <w:rsid w:val="12541A42"/>
    <w:rsid w:val="125634FC"/>
    <w:rsid w:val="12601501"/>
    <w:rsid w:val="12603B40"/>
    <w:rsid w:val="12611531"/>
    <w:rsid w:val="126565FA"/>
    <w:rsid w:val="12695DEF"/>
    <w:rsid w:val="126F0B26"/>
    <w:rsid w:val="127410AC"/>
    <w:rsid w:val="1275656B"/>
    <w:rsid w:val="128A64BE"/>
    <w:rsid w:val="128B77E9"/>
    <w:rsid w:val="128E3A12"/>
    <w:rsid w:val="129237DB"/>
    <w:rsid w:val="12946104"/>
    <w:rsid w:val="129B026C"/>
    <w:rsid w:val="129E4987"/>
    <w:rsid w:val="129F280E"/>
    <w:rsid w:val="129F2A09"/>
    <w:rsid w:val="12A265A4"/>
    <w:rsid w:val="12AA1993"/>
    <w:rsid w:val="12AE0E13"/>
    <w:rsid w:val="12AF003A"/>
    <w:rsid w:val="12B24BDE"/>
    <w:rsid w:val="12B57D3F"/>
    <w:rsid w:val="12C47EEB"/>
    <w:rsid w:val="12C63FF4"/>
    <w:rsid w:val="12CA42A4"/>
    <w:rsid w:val="12CA77E6"/>
    <w:rsid w:val="12D03E30"/>
    <w:rsid w:val="12D550A4"/>
    <w:rsid w:val="12D60AFA"/>
    <w:rsid w:val="12DC376F"/>
    <w:rsid w:val="12DE03BB"/>
    <w:rsid w:val="12E005E1"/>
    <w:rsid w:val="12E43241"/>
    <w:rsid w:val="12E93760"/>
    <w:rsid w:val="12EC2931"/>
    <w:rsid w:val="12F24710"/>
    <w:rsid w:val="12F55F41"/>
    <w:rsid w:val="12F728C7"/>
    <w:rsid w:val="12F879CF"/>
    <w:rsid w:val="130515B0"/>
    <w:rsid w:val="13053706"/>
    <w:rsid w:val="130760BD"/>
    <w:rsid w:val="13085A7D"/>
    <w:rsid w:val="130A0EF9"/>
    <w:rsid w:val="130F0451"/>
    <w:rsid w:val="131478F2"/>
    <w:rsid w:val="13152072"/>
    <w:rsid w:val="13186F3F"/>
    <w:rsid w:val="131A6496"/>
    <w:rsid w:val="131E5DC4"/>
    <w:rsid w:val="1320347B"/>
    <w:rsid w:val="13250D49"/>
    <w:rsid w:val="1328032C"/>
    <w:rsid w:val="13283C9A"/>
    <w:rsid w:val="132C024F"/>
    <w:rsid w:val="13347C61"/>
    <w:rsid w:val="13381ACE"/>
    <w:rsid w:val="13382D28"/>
    <w:rsid w:val="133A7FEC"/>
    <w:rsid w:val="133E1D21"/>
    <w:rsid w:val="134121C7"/>
    <w:rsid w:val="134668E9"/>
    <w:rsid w:val="134D6416"/>
    <w:rsid w:val="135246BE"/>
    <w:rsid w:val="13570699"/>
    <w:rsid w:val="13604BE3"/>
    <w:rsid w:val="13623E00"/>
    <w:rsid w:val="13633A05"/>
    <w:rsid w:val="13695EA5"/>
    <w:rsid w:val="13731207"/>
    <w:rsid w:val="13785A58"/>
    <w:rsid w:val="137C4948"/>
    <w:rsid w:val="137D0B0E"/>
    <w:rsid w:val="13800464"/>
    <w:rsid w:val="13846D11"/>
    <w:rsid w:val="138634FC"/>
    <w:rsid w:val="138708FD"/>
    <w:rsid w:val="13870D39"/>
    <w:rsid w:val="13880E95"/>
    <w:rsid w:val="138933D2"/>
    <w:rsid w:val="138B29EC"/>
    <w:rsid w:val="13946357"/>
    <w:rsid w:val="139A537B"/>
    <w:rsid w:val="139B15BC"/>
    <w:rsid w:val="139D26FC"/>
    <w:rsid w:val="139E7954"/>
    <w:rsid w:val="139F5A38"/>
    <w:rsid w:val="139F7432"/>
    <w:rsid w:val="13A93D81"/>
    <w:rsid w:val="13AC7333"/>
    <w:rsid w:val="13B25289"/>
    <w:rsid w:val="13B56306"/>
    <w:rsid w:val="13B75D54"/>
    <w:rsid w:val="13BD3944"/>
    <w:rsid w:val="13C45D56"/>
    <w:rsid w:val="13CF19BA"/>
    <w:rsid w:val="13D27DD5"/>
    <w:rsid w:val="13DE5592"/>
    <w:rsid w:val="13DF75B5"/>
    <w:rsid w:val="13E36D2F"/>
    <w:rsid w:val="13E371B2"/>
    <w:rsid w:val="13E67BE5"/>
    <w:rsid w:val="13EA2A78"/>
    <w:rsid w:val="13EF3C90"/>
    <w:rsid w:val="13F24753"/>
    <w:rsid w:val="13F53914"/>
    <w:rsid w:val="13FB0C15"/>
    <w:rsid w:val="13FC6FD5"/>
    <w:rsid w:val="14027B32"/>
    <w:rsid w:val="14027FA8"/>
    <w:rsid w:val="140A1BBD"/>
    <w:rsid w:val="14120B2C"/>
    <w:rsid w:val="14135B0F"/>
    <w:rsid w:val="141878C3"/>
    <w:rsid w:val="141C2B2B"/>
    <w:rsid w:val="141F0EAA"/>
    <w:rsid w:val="14295E55"/>
    <w:rsid w:val="14314EC0"/>
    <w:rsid w:val="14360D02"/>
    <w:rsid w:val="1440228F"/>
    <w:rsid w:val="144473EE"/>
    <w:rsid w:val="14491261"/>
    <w:rsid w:val="14536524"/>
    <w:rsid w:val="14592A56"/>
    <w:rsid w:val="14596486"/>
    <w:rsid w:val="145A67B9"/>
    <w:rsid w:val="145E65C1"/>
    <w:rsid w:val="14605B11"/>
    <w:rsid w:val="14660ED1"/>
    <w:rsid w:val="146D0317"/>
    <w:rsid w:val="148B49EB"/>
    <w:rsid w:val="14987BD0"/>
    <w:rsid w:val="149E4874"/>
    <w:rsid w:val="14A046ED"/>
    <w:rsid w:val="14A05990"/>
    <w:rsid w:val="14A56195"/>
    <w:rsid w:val="14A64E59"/>
    <w:rsid w:val="14AC65CE"/>
    <w:rsid w:val="14AE4837"/>
    <w:rsid w:val="14AE4968"/>
    <w:rsid w:val="14B20E32"/>
    <w:rsid w:val="14B648E4"/>
    <w:rsid w:val="14BA2D75"/>
    <w:rsid w:val="14BD763A"/>
    <w:rsid w:val="14C07959"/>
    <w:rsid w:val="14C43826"/>
    <w:rsid w:val="14CB304B"/>
    <w:rsid w:val="14D07018"/>
    <w:rsid w:val="14D2520F"/>
    <w:rsid w:val="14D31EA8"/>
    <w:rsid w:val="14DB0C53"/>
    <w:rsid w:val="14DB2F8E"/>
    <w:rsid w:val="14DD50BE"/>
    <w:rsid w:val="14EB69F5"/>
    <w:rsid w:val="14ED7BAE"/>
    <w:rsid w:val="14F333F8"/>
    <w:rsid w:val="14F47F25"/>
    <w:rsid w:val="14FE0080"/>
    <w:rsid w:val="15085854"/>
    <w:rsid w:val="150C5D59"/>
    <w:rsid w:val="151A36C3"/>
    <w:rsid w:val="151E19B3"/>
    <w:rsid w:val="15204044"/>
    <w:rsid w:val="15250141"/>
    <w:rsid w:val="152862EC"/>
    <w:rsid w:val="152A6194"/>
    <w:rsid w:val="15361D66"/>
    <w:rsid w:val="153B0805"/>
    <w:rsid w:val="153F4525"/>
    <w:rsid w:val="154D0D05"/>
    <w:rsid w:val="154D4BC6"/>
    <w:rsid w:val="154D6CC8"/>
    <w:rsid w:val="15502C80"/>
    <w:rsid w:val="155A1840"/>
    <w:rsid w:val="155A284B"/>
    <w:rsid w:val="155B2276"/>
    <w:rsid w:val="155C4954"/>
    <w:rsid w:val="155D19F2"/>
    <w:rsid w:val="15611643"/>
    <w:rsid w:val="15666F42"/>
    <w:rsid w:val="156709D7"/>
    <w:rsid w:val="156A0112"/>
    <w:rsid w:val="156A7B38"/>
    <w:rsid w:val="156D77C5"/>
    <w:rsid w:val="157C1B07"/>
    <w:rsid w:val="15800FC6"/>
    <w:rsid w:val="15826AC1"/>
    <w:rsid w:val="158A266A"/>
    <w:rsid w:val="158F270C"/>
    <w:rsid w:val="15906C4B"/>
    <w:rsid w:val="159101B3"/>
    <w:rsid w:val="159224F7"/>
    <w:rsid w:val="15950A73"/>
    <w:rsid w:val="159E708A"/>
    <w:rsid w:val="15A226DC"/>
    <w:rsid w:val="15A543FE"/>
    <w:rsid w:val="15A6724E"/>
    <w:rsid w:val="15A76DDA"/>
    <w:rsid w:val="15A853E3"/>
    <w:rsid w:val="15AB6598"/>
    <w:rsid w:val="15AE705F"/>
    <w:rsid w:val="15B322E3"/>
    <w:rsid w:val="15B77AEC"/>
    <w:rsid w:val="15BD72C9"/>
    <w:rsid w:val="15BF6F3F"/>
    <w:rsid w:val="15C43A40"/>
    <w:rsid w:val="15C51B98"/>
    <w:rsid w:val="15C92C5C"/>
    <w:rsid w:val="15CC7032"/>
    <w:rsid w:val="15CD07E9"/>
    <w:rsid w:val="15D358AB"/>
    <w:rsid w:val="15D80736"/>
    <w:rsid w:val="15DA1B48"/>
    <w:rsid w:val="15DA68EB"/>
    <w:rsid w:val="15DF1FE1"/>
    <w:rsid w:val="15DF6DC8"/>
    <w:rsid w:val="15E264D0"/>
    <w:rsid w:val="15E65171"/>
    <w:rsid w:val="15ED54A7"/>
    <w:rsid w:val="15F100D7"/>
    <w:rsid w:val="15F34789"/>
    <w:rsid w:val="15F64363"/>
    <w:rsid w:val="15F66373"/>
    <w:rsid w:val="15FF2C48"/>
    <w:rsid w:val="16007E67"/>
    <w:rsid w:val="16083085"/>
    <w:rsid w:val="16096B6B"/>
    <w:rsid w:val="161547DC"/>
    <w:rsid w:val="16171771"/>
    <w:rsid w:val="16192C0F"/>
    <w:rsid w:val="1619377F"/>
    <w:rsid w:val="1620572C"/>
    <w:rsid w:val="16207439"/>
    <w:rsid w:val="162A788B"/>
    <w:rsid w:val="1635143B"/>
    <w:rsid w:val="16371C00"/>
    <w:rsid w:val="163F48FA"/>
    <w:rsid w:val="16485BC5"/>
    <w:rsid w:val="164C7906"/>
    <w:rsid w:val="16617BF4"/>
    <w:rsid w:val="166D77B8"/>
    <w:rsid w:val="16771653"/>
    <w:rsid w:val="16796FEE"/>
    <w:rsid w:val="16812D45"/>
    <w:rsid w:val="168360B7"/>
    <w:rsid w:val="168A364E"/>
    <w:rsid w:val="16912419"/>
    <w:rsid w:val="16996A48"/>
    <w:rsid w:val="169B4A4A"/>
    <w:rsid w:val="16A250C9"/>
    <w:rsid w:val="16AA1D1A"/>
    <w:rsid w:val="16AB0EC1"/>
    <w:rsid w:val="16B64703"/>
    <w:rsid w:val="16BB124F"/>
    <w:rsid w:val="16C01894"/>
    <w:rsid w:val="16C077F3"/>
    <w:rsid w:val="16C57A9F"/>
    <w:rsid w:val="16C94F6F"/>
    <w:rsid w:val="16CC179F"/>
    <w:rsid w:val="16CE3E2F"/>
    <w:rsid w:val="16D009DD"/>
    <w:rsid w:val="16D30F93"/>
    <w:rsid w:val="16D42C70"/>
    <w:rsid w:val="16DA6E92"/>
    <w:rsid w:val="16E12E2A"/>
    <w:rsid w:val="16E418DA"/>
    <w:rsid w:val="16EA3AE2"/>
    <w:rsid w:val="16F24406"/>
    <w:rsid w:val="16F62820"/>
    <w:rsid w:val="16F71F47"/>
    <w:rsid w:val="17032B72"/>
    <w:rsid w:val="17045A72"/>
    <w:rsid w:val="17076F9D"/>
    <w:rsid w:val="17081DED"/>
    <w:rsid w:val="17096DA7"/>
    <w:rsid w:val="1709757F"/>
    <w:rsid w:val="171163E0"/>
    <w:rsid w:val="17152159"/>
    <w:rsid w:val="171D0E89"/>
    <w:rsid w:val="171D3D03"/>
    <w:rsid w:val="17203130"/>
    <w:rsid w:val="17256D2E"/>
    <w:rsid w:val="172D31B1"/>
    <w:rsid w:val="1730003B"/>
    <w:rsid w:val="17315E71"/>
    <w:rsid w:val="17377B26"/>
    <w:rsid w:val="173C427D"/>
    <w:rsid w:val="174002B1"/>
    <w:rsid w:val="17400BE8"/>
    <w:rsid w:val="17487782"/>
    <w:rsid w:val="17526012"/>
    <w:rsid w:val="17555369"/>
    <w:rsid w:val="17564256"/>
    <w:rsid w:val="175E1F46"/>
    <w:rsid w:val="176137DF"/>
    <w:rsid w:val="17646235"/>
    <w:rsid w:val="176500FE"/>
    <w:rsid w:val="176A4B9D"/>
    <w:rsid w:val="176E1E17"/>
    <w:rsid w:val="176E6651"/>
    <w:rsid w:val="177126E3"/>
    <w:rsid w:val="177A700F"/>
    <w:rsid w:val="1782562B"/>
    <w:rsid w:val="178672AB"/>
    <w:rsid w:val="178E4B66"/>
    <w:rsid w:val="178F610A"/>
    <w:rsid w:val="17902737"/>
    <w:rsid w:val="179328FE"/>
    <w:rsid w:val="179E14CC"/>
    <w:rsid w:val="17A1286F"/>
    <w:rsid w:val="17A15666"/>
    <w:rsid w:val="17A27EF8"/>
    <w:rsid w:val="17AA2262"/>
    <w:rsid w:val="17AC2A8C"/>
    <w:rsid w:val="17B35B82"/>
    <w:rsid w:val="17B86079"/>
    <w:rsid w:val="17B90B9A"/>
    <w:rsid w:val="17BC2396"/>
    <w:rsid w:val="17BE7588"/>
    <w:rsid w:val="17BE790A"/>
    <w:rsid w:val="17C36B12"/>
    <w:rsid w:val="17CD3FFF"/>
    <w:rsid w:val="17CF7FF2"/>
    <w:rsid w:val="17D855E0"/>
    <w:rsid w:val="17D867E5"/>
    <w:rsid w:val="17D966A2"/>
    <w:rsid w:val="17DB1DBB"/>
    <w:rsid w:val="17E13428"/>
    <w:rsid w:val="17E2388F"/>
    <w:rsid w:val="17E40AFD"/>
    <w:rsid w:val="17E52018"/>
    <w:rsid w:val="17E77197"/>
    <w:rsid w:val="17EA4FA8"/>
    <w:rsid w:val="17ED05A2"/>
    <w:rsid w:val="17F35855"/>
    <w:rsid w:val="17FB3D95"/>
    <w:rsid w:val="17FB7E60"/>
    <w:rsid w:val="17FD2DC5"/>
    <w:rsid w:val="18042375"/>
    <w:rsid w:val="180465DC"/>
    <w:rsid w:val="180902EF"/>
    <w:rsid w:val="180F251F"/>
    <w:rsid w:val="18117E68"/>
    <w:rsid w:val="181C3FDD"/>
    <w:rsid w:val="18277705"/>
    <w:rsid w:val="182910C4"/>
    <w:rsid w:val="182A646E"/>
    <w:rsid w:val="18312811"/>
    <w:rsid w:val="18372642"/>
    <w:rsid w:val="18382FB2"/>
    <w:rsid w:val="18387D6D"/>
    <w:rsid w:val="183B40F2"/>
    <w:rsid w:val="183E0A82"/>
    <w:rsid w:val="183F0A01"/>
    <w:rsid w:val="1847650D"/>
    <w:rsid w:val="184B4153"/>
    <w:rsid w:val="185054CA"/>
    <w:rsid w:val="185B0379"/>
    <w:rsid w:val="185B4389"/>
    <w:rsid w:val="185E4D79"/>
    <w:rsid w:val="185F2190"/>
    <w:rsid w:val="18625515"/>
    <w:rsid w:val="18692A28"/>
    <w:rsid w:val="18726C0E"/>
    <w:rsid w:val="18733A7C"/>
    <w:rsid w:val="18743B51"/>
    <w:rsid w:val="18754C0E"/>
    <w:rsid w:val="187775D9"/>
    <w:rsid w:val="18794161"/>
    <w:rsid w:val="187975BD"/>
    <w:rsid w:val="187A5BC6"/>
    <w:rsid w:val="187B63E6"/>
    <w:rsid w:val="187D4C10"/>
    <w:rsid w:val="1882350E"/>
    <w:rsid w:val="188954AB"/>
    <w:rsid w:val="188E0F1D"/>
    <w:rsid w:val="189230B9"/>
    <w:rsid w:val="18924D66"/>
    <w:rsid w:val="18933186"/>
    <w:rsid w:val="18985AA1"/>
    <w:rsid w:val="189A6378"/>
    <w:rsid w:val="18A7548B"/>
    <w:rsid w:val="18AF2959"/>
    <w:rsid w:val="18B00F24"/>
    <w:rsid w:val="18B10822"/>
    <w:rsid w:val="18B4094A"/>
    <w:rsid w:val="18B657F1"/>
    <w:rsid w:val="18C119AD"/>
    <w:rsid w:val="18C24D25"/>
    <w:rsid w:val="18C40529"/>
    <w:rsid w:val="18C633FA"/>
    <w:rsid w:val="18C7156A"/>
    <w:rsid w:val="18C82BCA"/>
    <w:rsid w:val="18C943D8"/>
    <w:rsid w:val="18C97589"/>
    <w:rsid w:val="18D72AE3"/>
    <w:rsid w:val="18DC5EA8"/>
    <w:rsid w:val="18E54EF9"/>
    <w:rsid w:val="18E66DA3"/>
    <w:rsid w:val="18F00A2A"/>
    <w:rsid w:val="18FB2E13"/>
    <w:rsid w:val="18FD4DE7"/>
    <w:rsid w:val="1902494D"/>
    <w:rsid w:val="19043A33"/>
    <w:rsid w:val="190537CC"/>
    <w:rsid w:val="190913B5"/>
    <w:rsid w:val="190B6EB5"/>
    <w:rsid w:val="190F4352"/>
    <w:rsid w:val="1914011A"/>
    <w:rsid w:val="19157AE4"/>
    <w:rsid w:val="19191963"/>
    <w:rsid w:val="191D6F44"/>
    <w:rsid w:val="191E0CA5"/>
    <w:rsid w:val="19217F9D"/>
    <w:rsid w:val="19230013"/>
    <w:rsid w:val="192A31F1"/>
    <w:rsid w:val="192A768F"/>
    <w:rsid w:val="192C4CB8"/>
    <w:rsid w:val="193524B4"/>
    <w:rsid w:val="19363A0E"/>
    <w:rsid w:val="193A2F09"/>
    <w:rsid w:val="193C058C"/>
    <w:rsid w:val="19414480"/>
    <w:rsid w:val="194634E3"/>
    <w:rsid w:val="194A07F9"/>
    <w:rsid w:val="194A39CB"/>
    <w:rsid w:val="19504EF4"/>
    <w:rsid w:val="195262CD"/>
    <w:rsid w:val="195440D2"/>
    <w:rsid w:val="1958521D"/>
    <w:rsid w:val="19637753"/>
    <w:rsid w:val="19693553"/>
    <w:rsid w:val="196C3194"/>
    <w:rsid w:val="19701A5E"/>
    <w:rsid w:val="19710B3A"/>
    <w:rsid w:val="19756512"/>
    <w:rsid w:val="1976659F"/>
    <w:rsid w:val="1977419C"/>
    <w:rsid w:val="19791FD8"/>
    <w:rsid w:val="19806C8E"/>
    <w:rsid w:val="19821CCD"/>
    <w:rsid w:val="19855899"/>
    <w:rsid w:val="19886A3B"/>
    <w:rsid w:val="198C2314"/>
    <w:rsid w:val="198F7DBF"/>
    <w:rsid w:val="199818E0"/>
    <w:rsid w:val="1999604F"/>
    <w:rsid w:val="199D6D10"/>
    <w:rsid w:val="19A775F2"/>
    <w:rsid w:val="19A9759D"/>
    <w:rsid w:val="19AC0D56"/>
    <w:rsid w:val="19B17638"/>
    <w:rsid w:val="19B73747"/>
    <w:rsid w:val="19B849DD"/>
    <w:rsid w:val="19B84F8F"/>
    <w:rsid w:val="19BB6E8F"/>
    <w:rsid w:val="19BC4815"/>
    <w:rsid w:val="19C21B7B"/>
    <w:rsid w:val="19C60126"/>
    <w:rsid w:val="19C84802"/>
    <w:rsid w:val="19C87429"/>
    <w:rsid w:val="19CC4922"/>
    <w:rsid w:val="19D139F1"/>
    <w:rsid w:val="19D15BD1"/>
    <w:rsid w:val="19D461B2"/>
    <w:rsid w:val="19D503D0"/>
    <w:rsid w:val="19D5724A"/>
    <w:rsid w:val="19D82D48"/>
    <w:rsid w:val="19D97586"/>
    <w:rsid w:val="19DE081C"/>
    <w:rsid w:val="19E14003"/>
    <w:rsid w:val="19E61819"/>
    <w:rsid w:val="19EB4D71"/>
    <w:rsid w:val="19ED18E7"/>
    <w:rsid w:val="19F101F2"/>
    <w:rsid w:val="19F2092E"/>
    <w:rsid w:val="19F525FC"/>
    <w:rsid w:val="19F61813"/>
    <w:rsid w:val="19F875C4"/>
    <w:rsid w:val="1A034DF4"/>
    <w:rsid w:val="1A040287"/>
    <w:rsid w:val="1A051610"/>
    <w:rsid w:val="1A08743B"/>
    <w:rsid w:val="1A095AF3"/>
    <w:rsid w:val="1A0A1E6D"/>
    <w:rsid w:val="1A0C595D"/>
    <w:rsid w:val="1A0D6C81"/>
    <w:rsid w:val="1A1A5FD3"/>
    <w:rsid w:val="1A1E4929"/>
    <w:rsid w:val="1A202936"/>
    <w:rsid w:val="1A2C14DD"/>
    <w:rsid w:val="1A334D23"/>
    <w:rsid w:val="1A374365"/>
    <w:rsid w:val="1A3C49EA"/>
    <w:rsid w:val="1A401F31"/>
    <w:rsid w:val="1A4B3D20"/>
    <w:rsid w:val="1A4D07E8"/>
    <w:rsid w:val="1A5238A7"/>
    <w:rsid w:val="1A530A88"/>
    <w:rsid w:val="1A56053A"/>
    <w:rsid w:val="1A5B3412"/>
    <w:rsid w:val="1A622730"/>
    <w:rsid w:val="1A6832DB"/>
    <w:rsid w:val="1A6C7C38"/>
    <w:rsid w:val="1A6D1072"/>
    <w:rsid w:val="1A7008BB"/>
    <w:rsid w:val="1A726917"/>
    <w:rsid w:val="1A75425D"/>
    <w:rsid w:val="1A771E6F"/>
    <w:rsid w:val="1A787D1E"/>
    <w:rsid w:val="1A7E16DC"/>
    <w:rsid w:val="1A820A69"/>
    <w:rsid w:val="1A8371E3"/>
    <w:rsid w:val="1A844B79"/>
    <w:rsid w:val="1A861D99"/>
    <w:rsid w:val="1A8C2442"/>
    <w:rsid w:val="1A915A67"/>
    <w:rsid w:val="1A9214ED"/>
    <w:rsid w:val="1A935D41"/>
    <w:rsid w:val="1A945B8D"/>
    <w:rsid w:val="1A9B5DD7"/>
    <w:rsid w:val="1AA3303E"/>
    <w:rsid w:val="1AA64ED8"/>
    <w:rsid w:val="1AA65D47"/>
    <w:rsid w:val="1AA97BCF"/>
    <w:rsid w:val="1AAA44B7"/>
    <w:rsid w:val="1AAC7607"/>
    <w:rsid w:val="1AB25915"/>
    <w:rsid w:val="1AB95FB3"/>
    <w:rsid w:val="1AC250EE"/>
    <w:rsid w:val="1AC36BB5"/>
    <w:rsid w:val="1AC91466"/>
    <w:rsid w:val="1ACC7BED"/>
    <w:rsid w:val="1ACE14C7"/>
    <w:rsid w:val="1AD573C3"/>
    <w:rsid w:val="1ADC50BF"/>
    <w:rsid w:val="1ADD2096"/>
    <w:rsid w:val="1ADE711F"/>
    <w:rsid w:val="1AE242EA"/>
    <w:rsid w:val="1AEB0EBA"/>
    <w:rsid w:val="1AEC51D1"/>
    <w:rsid w:val="1AF11B82"/>
    <w:rsid w:val="1AF47F10"/>
    <w:rsid w:val="1AFD6675"/>
    <w:rsid w:val="1B011DA3"/>
    <w:rsid w:val="1B072671"/>
    <w:rsid w:val="1B097429"/>
    <w:rsid w:val="1B0A4355"/>
    <w:rsid w:val="1B1D2248"/>
    <w:rsid w:val="1B210ABA"/>
    <w:rsid w:val="1B211F9C"/>
    <w:rsid w:val="1B262CB3"/>
    <w:rsid w:val="1B2659FB"/>
    <w:rsid w:val="1B296C7E"/>
    <w:rsid w:val="1B2B6167"/>
    <w:rsid w:val="1B2C202D"/>
    <w:rsid w:val="1B323281"/>
    <w:rsid w:val="1B326245"/>
    <w:rsid w:val="1B340708"/>
    <w:rsid w:val="1B3841F0"/>
    <w:rsid w:val="1B3C5930"/>
    <w:rsid w:val="1B3D3BAE"/>
    <w:rsid w:val="1B44387A"/>
    <w:rsid w:val="1B4A1DD0"/>
    <w:rsid w:val="1B57374B"/>
    <w:rsid w:val="1B587952"/>
    <w:rsid w:val="1B5C34EA"/>
    <w:rsid w:val="1B644FA8"/>
    <w:rsid w:val="1B747F48"/>
    <w:rsid w:val="1B755ED1"/>
    <w:rsid w:val="1B797FA7"/>
    <w:rsid w:val="1B7B5118"/>
    <w:rsid w:val="1B801A87"/>
    <w:rsid w:val="1B821AEB"/>
    <w:rsid w:val="1B85221B"/>
    <w:rsid w:val="1B8C33B2"/>
    <w:rsid w:val="1B8E6A6B"/>
    <w:rsid w:val="1B901C4C"/>
    <w:rsid w:val="1B90322B"/>
    <w:rsid w:val="1B950A67"/>
    <w:rsid w:val="1B961C0A"/>
    <w:rsid w:val="1B973EAE"/>
    <w:rsid w:val="1B9B03F7"/>
    <w:rsid w:val="1B9C2F0C"/>
    <w:rsid w:val="1B9C4B1F"/>
    <w:rsid w:val="1B9C5B94"/>
    <w:rsid w:val="1BA37D36"/>
    <w:rsid w:val="1BAB629B"/>
    <w:rsid w:val="1BB32E64"/>
    <w:rsid w:val="1BB34D3D"/>
    <w:rsid w:val="1BB37078"/>
    <w:rsid w:val="1BB968A4"/>
    <w:rsid w:val="1BBD0F97"/>
    <w:rsid w:val="1BBD2AAF"/>
    <w:rsid w:val="1BBD3F81"/>
    <w:rsid w:val="1BC267DA"/>
    <w:rsid w:val="1BC8749C"/>
    <w:rsid w:val="1BCB1F47"/>
    <w:rsid w:val="1BCB2F7A"/>
    <w:rsid w:val="1BCB528E"/>
    <w:rsid w:val="1BCE291E"/>
    <w:rsid w:val="1BD81AA1"/>
    <w:rsid w:val="1BDE1A25"/>
    <w:rsid w:val="1BE12E08"/>
    <w:rsid w:val="1BE24578"/>
    <w:rsid w:val="1BE378B5"/>
    <w:rsid w:val="1BE40326"/>
    <w:rsid w:val="1BE77758"/>
    <w:rsid w:val="1BE97625"/>
    <w:rsid w:val="1BEE6E55"/>
    <w:rsid w:val="1BF23BAF"/>
    <w:rsid w:val="1BF33CCE"/>
    <w:rsid w:val="1BF3744D"/>
    <w:rsid w:val="1BF64A32"/>
    <w:rsid w:val="1BF76990"/>
    <w:rsid w:val="1BF960BC"/>
    <w:rsid w:val="1BFB0B44"/>
    <w:rsid w:val="1BFC2B1A"/>
    <w:rsid w:val="1BFC7169"/>
    <w:rsid w:val="1BFE3ACD"/>
    <w:rsid w:val="1BFF50AD"/>
    <w:rsid w:val="1C030F8F"/>
    <w:rsid w:val="1C0344D8"/>
    <w:rsid w:val="1C05012F"/>
    <w:rsid w:val="1C0A66CA"/>
    <w:rsid w:val="1C0C775E"/>
    <w:rsid w:val="1C161310"/>
    <w:rsid w:val="1C164351"/>
    <w:rsid w:val="1C1F4F91"/>
    <w:rsid w:val="1C24217E"/>
    <w:rsid w:val="1C255ED0"/>
    <w:rsid w:val="1C2A1EDF"/>
    <w:rsid w:val="1C2B77DC"/>
    <w:rsid w:val="1C2D58D7"/>
    <w:rsid w:val="1C2D5CF7"/>
    <w:rsid w:val="1C3620F2"/>
    <w:rsid w:val="1C3E3326"/>
    <w:rsid w:val="1C3E4FD7"/>
    <w:rsid w:val="1C405410"/>
    <w:rsid w:val="1C42604E"/>
    <w:rsid w:val="1C454168"/>
    <w:rsid w:val="1C461D04"/>
    <w:rsid w:val="1C4868C8"/>
    <w:rsid w:val="1C4A5768"/>
    <w:rsid w:val="1C4D4656"/>
    <w:rsid w:val="1C5142F3"/>
    <w:rsid w:val="1C5B3D60"/>
    <w:rsid w:val="1C657EEA"/>
    <w:rsid w:val="1C6C44FD"/>
    <w:rsid w:val="1C6D228C"/>
    <w:rsid w:val="1C6E6195"/>
    <w:rsid w:val="1C6F0819"/>
    <w:rsid w:val="1C70146F"/>
    <w:rsid w:val="1C753F6A"/>
    <w:rsid w:val="1C7565DF"/>
    <w:rsid w:val="1C7B6A3B"/>
    <w:rsid w:val="1C7F4922"/>
    <w:rsid w:val="1C8414C7"/>
    <w:rsid w:val="1C897022"/>
    <w:rsid w:val="1C8C2277"/>
    <w:rsid w:val="1C9F2051"/>
    <w:rsid w:val="1CA7351E"/>
    <w:rsid w:val="1CB21FCC"/>
    <w:rsid w:val="1CB363CB"/>
    <w:rsid w:val="1CB702E6"/>
    <w:rsid w:val="1CC12608"/>
    <w:rsid w:val="1CC13CA2"/>
    <w:rsid w:val="1CC15F17"/>
    <w:rsid w:val="1CC45971"/>
    <w:rsid w:val="1CC55DDC"/>
    <w:rsid w:val="1CC66578"/>
    <w:rsid w:val="1CD26772"/>
    <w:rsid w:val="1CD4619C"/>
    <w:rsid w:val="1CD82172"/>
    <w:rsid w:val="1CE46619"/>
    <w:rsid w:val="1CEB4499"/>
    <w:rsid w:val="1D001385"/>
    <w:rsid w:val="1D05327C"/>
    <w:rsid w:val="1D0F54C9"/>
    <w:rsid w:val="1D100F92"/>
    <w:rsid w:val="1D14526C"/>
    <w:rsid w:val="1D1F6108"/>
    <w:rsid w:val="1D207EA1"/>
    <w:rsid w:val="1D2309AC"/>
    <w:rsid w:val="1D27013A"/>
    <w:rsid w:val="1D296846"/>
    <w:rsid w:val="1D2F4018"/>
    <w:rsid w:val="1D3217AC"/>
    <w:rsid w:val="1D350232"/>
    <w:rsid w:val="1D3D04EB"/>
    <w:rsid w:val="1D3E4BD4"/>
    <w:rsid w:val="1D46016D"/>
    <w:rsid w:val="1D4C3844"/>
    <w:rsid w:val="1D4E6F1D"/>
    <w:rsid w:val="1D4F7596"/>
    <w:rsid w:val="1D5155BC"/>
    <w:rsid w:val="1D6257F1"/>
    <w:rsid w:val="1D6442C8"/>
    <w:rsid w:val="1D6D3463"/>
    <w:rsid w:val="1D755A61"/>
    <w:rsid w:val="1D784264"/>
    <w:rsid w:val="1D8729C8"/>
    <w:rsid w:val="1D890E99"/>
    <w:rsid w:val="1D8B33B1"/>
    <w:rsid w:val="1D8C289D"/>
    <w:rsid w:val="1D8D34E6"/>
    <w:rsid w:val="1D8F1141"/>
    <w:rsid w:val="1D9305D6"/>
    <w:rsid w:val="1D930E89"/>
    <w:rsid w:val="1D952C94"/>
    <w:rsid w:val="1D995211"/>
    <w:rsid w:val="1D9A08B4"/>
    <w:rsid w:val="1D9A2B0C"/>
    <w:rsid w:val="1DAC2AB0"/>
    <w:rsid w:val="1DAE5496"/>
    <w:rsid w:val="1DB43368"/>
    <w:rsid w:val="1DB8459D"/>
    <w:rsid w:val="1DBA259E"/>
    <w:rsid w:val="1DBE5C58"/>
    <w:rsid w:val="1DBE7F5B"/>
    <w:rsid w:val="1DC12F65"/>
    <w:rsid w:val="1DC1599C"/>
    <w:rsid w:val="1DC341F8"/>
    <w:rsid w:val="1DC44E86"/>
    <w:rsid w:val="1DD36A09"/>
    <w:rsid w:val="1DD84C54"/>
    <w:rsid w:val="1DD91463"/>
    <w:rsid w:val="1DDF61B8"/>
    <w:rsid w:val="1DEA5F9D"/>
    <w:rsid w:val="1DF2482B"/>
    <w:rsid w:val="1DF3199E"/>
    <w:rsid w:val="1DF5257B"/>
    <w:rsid w:val="1DF73CBF"/>
    <w:rsid w:val="1DFA1388"/>
    <w:rsid w:val="1DFB194B"/>
    <w:rsid w:val="1DFB5485"/>
    <w:rsid w:val="1E0230F4"/>
    <w:rsid w:val="1E087ACA"/>
    <w:rsid w:val="1E1106A2"/>
    <w:rsid w:val="1E113281"/>
    <w:rsid w:val="1E120262"/>
    <w:rsid w:val="1E2775B3"/>
    <w:rsid w:val="1E315D76"/>
    <w:rsid w:val="1E321558"/>
    <w:rsid w:val="1E346F43"/>
    <w:rsid w:val="1E351C4D"/>
    <w:rsid w:val="1E3650CC"/>
    <w:rsid w:val="1E3B2495"/>
    <w:rsid w:val="1E3F6935"/>
    <w:rsid w:val="1E435D2B"/>
    <w:rsid w:val="1E457BAF"/>
    <w:rsid w:val="1E4622A1"/>
    <w:rsid w:val="1E4663AC"/>
    <w:rsid w:val="1E466D2B"/>
    <w:rsid w:val="1E476751"/>
    <w:rsid w:val="1E4A30AD"/>
    <w:rsid w:val="1E4F1800"/>
    <w:rsid w:val="1E500564"/>
    <w:rsid w:val="1E5077F4"/>
    <w:rsid w:val="1E52533C"/>
    <w:rsid w:val="1E5440B0"/>
    <w:rsid w:val="1E56739E"/>
    <w:rsid w:val="1E577425"/>
    <w:rsid w:val="1E5A4633"/>
    <w:rsid w:val="1E5A7789"/>
    <w:rsid w:val="1E5F7448"/>
    <w:rsid w:val="1E605EE7"/>
    <w:rsid w:val="1E612D43"/>
    <w:rsid w:val="1E682F35"/>
    <w:rsid w:val="1E693D37"/>
    <w:rsid w:val="1E706E4E"/>
    <w:rsid w:val="1E761974"/>
    <w:rsid w:val="1E7E212A"/>
    <w:rsid w:val="1E801958"/>
    <w:rsid w:val="1E867E38"/>
    <w:rsid w:val="1E880902"/>
    <w:rsid w:val="1E894458"/>
    <w:rsid w:val="1E8A5A37"/>
    <w:rsid w:val="1E8C7051"/>
    <w:rsid w:val="1E8C762D"/>
    <w:rsid w:val="1E8F3496"/>
    <w:rsid w:val="1E904AD6"/>
    <w:rsid w:val="1E9C23E3"/>
    <w:rsid w:val="1E9C75CE"/>
    <w:rsid w:val="1EA475EE"/>
    <w:rsid w:val="1EA63C79"/>
    <w:rsid w:val="1EA66674"/>
    <w:rsid w:val="1EAA3238"/>
    <w:rsid w:val="1EAC05E2"/>
    <w:rsid w:val="1EAD24DE"/>
    <w:rsid w:val="1EB021C7"/>
    <w:rsid w:val="1EB04538"/>
    <w:rsid w:val="1EB57543"/>
    <w:rsid w:val="1EB81EEE"/>
    <w:rsid w:val="1EBB1935"/>
    <w:rsid w:val="1EBD3CC0"/>
    <w:rsid w:val="1EC316DA"/>
    <w:rsid w:val="1ECB0AFA"/>
    <w:rsid w:val="1ECD4769"/>
    <w:rsid w:val="1ECE07E5"/>
    <w:rsid w:val="1ECE7BB0"/>
    <w:rsid w:val="1ED41AED"/>
    <w:rsid w:val="1ED5476F"/>
    <w:rsid w:val="1ED5526D"/>
    <w:rsid w:val="1EDA065E"/>
    <w:rsid w:val="1EE05AD4"/>
    <w:rsid w:val="1EE12974"/>
    <w:rsid w:val="1EE40E5D"/>
    <w:rsid w:val="1EE86931"/>
    <w:rsid w:val="1EE95331"/>
    <w:rsid w:val="1EEC239D"/>
    <w:rsid w:val="1EF220A4"/>
    <w:rsid w:val="1EF83289"/>
    <w:rsid w:val="1EFC1E0D"/>
    <w:rsid w:val="1EFC5BC5"/>
    <w:rsid w:val="1EFE5704"/>
    <w:rsid w:val="1F053067"/>
    <w:rsid w:val="1F0839DF"/>
    <w:rsid w:val="1F0950B4"/>
    <w:rsid w:val="1F096921"/>
    <w:rsid w:val="1F0C1E65"/>
    <w:rsid w:val="1F1705C3"/>
    <w:rsid w:val="1F18489E"/>
    <w:rsid w:val="1F1B43A4"/>
    <w:rsid w:val="1F224F00"/>
    <w:rsid w:val="1F2557AE"/>
    <w:rsid w:val="1F2635FE"/>
    <w:rsid w:val="1F265631"/>
    <w:rsid w:val="1F2A6028"/>
    <w:rsid w:val="1F2F4955"/>
    <w:rsid w:val="1F332EF1"/>
    <w:rsid w:val="1F354E31"/>
    <w:rsid w:val="1F357A0E"/>
    <w:rsid w:val="1F407121"/>
    <w:rsid w:val="1F481327"/>
    <w:rsid w:val="1F4A7DDC"/>
    <w:rsid w:val="1F4B4791"/>
    <w:rsid w:val="1F4C1EF0"/>
    <w:rsid w:val="1F4C60F7"/>
    <w:rsid w:val="1F4E6C84"/>
    <w:rsid w:val="1F5258FD"/>
    <w:rsid w:val="1F55333A"/>
    <w:rsid w:val="1F5977C6"/>
    <w:rsid w:val="1F7134C0"/>
    <w:rsid w:val="1F7E30D5"/>
    <w:rsid w:val="1F840EB7"/>
    <w:rsid w:val="1F844DAD"/>
    <w:rsid w:val="1F876BB3"/>
    <w:rsid w:val="1F8A662D"/>
    <w:rsid w:val="1F8F3D7F"/>
    <w:rsid w:val="1F9D48AA"/>
    <w:rsid w:val="1FA07AF9"/>
    <w:rsid w:val="1FA3083F"/>
    <w:rsid w:val="1FA43451"/>
    <w:rsid w:val="1FA507D0"/>
    <w:rsid w:val="1FA808BF"/>
    <w:rsid w:val="1FAA2670"/>
    <w:rsid w:val="1FAA5A8A"/>
    <w:rsid w:val="1FAD6123"/>
    <w:rsid w:val="1FAF59F5"/>
    <w:rsid w:val="1FB565AF"/>
    <w:rsid w:val="1FBD4BCF"/>
    <w:rsid w:val="1FC04547"/>
    <w:rsid w:val="1FC44DAA"/>
    <w:rsid w:val="1FC45D2C"/>
    <w:rsid w:val="1FC61850"/>
    <w:rsid w:val="1FCE50E6"/>
    <w:rsid w:val="1FD161B5"/>
    <w:rsid w:val="1FD16EF2"/>
    <w:rsid w:val="1FD6232C"/>
    <w:rsid w:val="1FD73E2A"/>
    <w:rsid w:val="1FDA38DD"/>
    <w:rsid w:val="1FDB18D9"/>
    <w:rsid w:val="1FDE0102"/>
    <w:rsid w:val="1FE03FCF"/>
    <w:rsid w:val="1FE94DE6"/>
    <w:rsid w:val="1FEF395D"/>
    <w:rsid w:val="1FEF65E9"/>
    <w:rsid w:val="1FEF7F6F"/>
    <w:rsid w:val="1FF7357F"/>
    <w:rsid w:val="1FFC3908"/>
    <w:rsid w:val="20032145"/>
    <w:rsid w:val="20076AB1"/>
    <w:rsid w:val="20081991"/>
    <w:rsid w:val="200C6623"/>
    <w:rsid w:val="2010338B"/>
    <w:rsid w:val="20142270"/>
    <w:rsid w:val="2014592D"/>
    <w:rsid w:val="20150FC8"/>
    <w:rsid w:val="201A7F79"/>
    <w:rsid w:val="201F2AA6"/>
    <w:rsid w:val="20204F91"/>
    <w:rsid w:val="20226495"/>
    <w:rsid w:val="20307EAA"/>
    <w:rsid w:val="20325CF9"/>
    <w:rsid w:val="20363FBF"/>
    <w:rsid w:val="203B731B"/>
    <w:rsid w:val="204803D1"/>
    <w:rsid w:val="204964B7"/>
    <w:rsid w:val="204A2453"/>
    <w:rsid w:val="204A60D4"/>
    <w:rsid w:val="204B02CC"/>
    <w:rsid w:val="204C795F"/>
    <w:rsid w:val="204F2C9D"/>
    <w:rsid w:val="20503B05"/>
    <w:rsid w:val="20555044"/>
    <w:rsid w:val="205A4233"/>
    <w:rsid w:val="205E0879"/>
    <w:rsid w:val="205E16BD"/>
    <w:rsid w:val="2060251C"/>
    <w:rsid w:val="2061470F"/>
    <w:rsid w:val="20643953"/>
    <w:rsid w:val="20656871"/>
    <w:rsid w:val="20694B39"/>
    <w:rsid w:val="20727809"/>
    <w:rsid w:val="20730172"/>
    <w:rsid w:val="20756DB5"/>
    <w:rsid w:val="207D6240"/>
    <w:rsid w:val="20807D5D"/>
    <w:rsid w:val="208A6B69"/>
    <w:rsid w:val="208D3711"/>
    <w:rsid w:val="208E638F"/>
    <w:rsid w:val="20905823"/>
    <w:rsid w:val="209635DB"/>
    <w:rsid w:val="209659E0"/>
    <w:rsid w:val="209F4501"/>
    <w:rsid w:val="20A0674A"/>
    <w:rsid w:val="20A303F0"/>
    <w:rsid w:val="20A540D4"/>
    <w:rsid w:val="20A81BB4"/>
    <w:rsid w:val="20A820AB"/>
    <w:rsid w:val="20AC67FE"/>
    <w:rsid w:val="20AF4940"/>
    <w:rsid w:val="20B03533"/>
    <w:rsid w:val="20BC7B61"/>
    <w:rsid w:val="20BD6D1F"/>
    <w:rsid w:val="20C678AD"/>
    <w:rsid w:val="20CC3977"/>
    <w:rsid w:val="20CC5737"/>
    <w:rsid w:val="20D31904"/>
    <w:rsid w:val="20D51435"/>
    <w:rsid w:val="20D5388A"/>
    <w:rsid w:val="20DC1D32"/>
    <w:rsid w:val="20DC5105"/>
    <w:rsid w:val="20E175BC"/>
    <w:rsid w:val="20E73D00"/>
    <w:rsid w:val="20EA62B2"/>
    <w:rsid w:val="20F14DB6"/>
    <w:rsid w:val="20F5544B"/>
    <w:rsid w:val="20F85440"/>
    <w:rsid w:val="20F86668"/>
    <w:rsid w:val="20FD7F59"/>
    <w:rsid w:val="21023534"/>
    <w:rsid w:val="21076C02"/>
    <w:rsid w:val="210773B7"/>
    <w:rsid w:val="210A7AA4"/>
    <w:rsid w:val="210B7580"/>
    <w:rsid w:val="210B7DD0"/>
    <w:rsid w:val="210F469B"/>
    <w:rsid w:val="21106466"/>
    <w:rsid w:val="21114EC7"/>
    <w:rsid w:val="211531C7"/>
    <w:rsid w:val="2115569B"/>
    <w:rsid w:val="211610D2"/>
    <w:rsid w:val="211D43B7"/>
    <w:rsid w:val="211F0ABA"/>
    <w:rsid w:val="21255550"/>
    <w:rsid w:val="212564C6"/>
    <w:rsid w:val="212A7888"/>
    <w:rsid w:val="213E4BA4"/>
    <w:rsid w:val="21404676"/>
    <w:rsid w:val="2141359B"/>
    <w:rsid w:val="21431290"/>
    <w:rsid w:val="214A4931"/>
    <w:rsid w:val="214B216F"/>
    <w:rsid w:val="214C44C0"/>
    <w:rsid w:val="21517ED2"/>
    <w:rsid w:val="2152454F"/>
    <w:rsid w:val="21572349"/>
    <w:rsid w:val="215A7AF9"/>
    <w:rsid w:val="215C1336"/>
    <w:rsid w:val="21686A61"/>
    <w:rsid w:val="216B4153"/>
    <w:rsid w:val="2173256E"/>
    <w:rsid w:val="21774923"/>
    <w:rsid w:val="21775B6C"/>
    <w:rsid w:val="21791F93"/>
    <w:rsid w:val="218259BD"/>
    <w:rsid w:val="218551FF"/>
    <w:rsid w:val="21861E30"/>
    <w:rsid w:val="21870835"/>
    <w:rsid w:val="21874F74"/>
    <w:rsid w:val="218F65B5"/>
    <w:rsid w:val="21924148"/>
    <w:rsid w:val="21963CC6"/>
    <w:rsid w:val="21976DA6"/>
    <w:rsid w:val="21976EE2"/>
    <w:rsid w:val="2198024A"/>
    <w:rsid w:val="21994457"/>
    <w:rsid w:val="219C27E5"/>
    <w:rsid w:val="21A23221"/>
    <w:rsid w:val="21A25B03"/>
    <w:rsid w:val="21A458D5"/>
    <w:rsid w:val="21AA2FC3"/>
    <w:rsid w:val="21AB16D8"/>
    <w:rsid w:val="21B4497E"/>
    <w:rsid w:val="21B67F2F"/>
    <w:rsid w:val="21B97EC9"/>
    <w:rsid w:val="21C20E2B"/>
    <w:rsid w:val="21C2614D"/>
    <w:rsid w:val="21C345A2"/>
    <w:rsid w:val="21C554D4"/>
    <w:rsid w:val="21CF0923"/>
    <w:rsid w:val="21CF760C"/>
    <w:rsid w:val="21D40519"/>
    <w:rsid w:val="21D459BF"/>
    <w:rsid w:val="21D720C8"/>
    <w:rsid w:val="21DD2F5F"/>
    <w:rsid w:val="21DE165D"/>
    <w:rsid w:val="21DF33F3"/>
    <w:rsid w:val="21ED2987"/>
    <w:rsid w:val="21EE026F"/>
    <w:rsid w:val="21F0264C"/>
    <w:rsid w:val="21F82613"/>
    <w:rsid w:val="21FC795F"/>
    <w:rsid w:val="21FF6C06"/>
    <w:rsid w:val="220126ED"/>
    <w:rsid w:val="22015F2A"/>
    <w:rsid w:val="22057B83"/>
    <w:rsid w:val="22080E80"/>
    <w:rsid w:val="221471B0"/>
    <w:rsid w:val="221547A9"/>
    <w:rsid w:val="221735E1"/>
    <w:rsid w:val="22176BBE"/>
    <w:rsid w:val="2218489A"/>
    <w:rsid w:val="22186AA7"/>
    <w:rsid w:val="221E7B79"/>
    <w:rsid w:val="22260891"/>
    <w:rsid w:val="222D64DF"/>
    <w:rsid w:val="2231028D"/>
    <w:rsid w:val="22373866"/>
    <w:rsid w:val="22393A15"/>
    <w:rsid w:val="223F0485"/>
    <w:rsid w:val="223F1411"/>
    <w:rsid w:val="22404FA6"/>
    <w:rsid w:val="2244527C"/>
    <w:rsid w:val="224D2AAD"/>
    <w:rsid w:val="22502CEA"/>
    <w:rsid w:val="22537309"/>
    <w:rsid w:val="22570EE1"/>
    <w:rsid w:val="2258609B"/>
    <w:rsid w:val="22656EB7"/>
    <w:rsid w:val="22664C41"/>
    <w:rsid w:val="226929F4"/>
    <w:rsid w:val="226F4FAB"/>
    <w:rsid w:val="227066A9"/>
    <w:rsid w:val="22710BD6"/>
    <w:rsid w:val="227244E3"/>
    <w:rsid w:val="22736F56"/>
    <w:rsid w:val="227D2CE2"/>
    <w:rsid w:val="227E1B38"/>
    <w:rsid w:val="228249C5"/>
    <w:rsid w:val="229114F8"/>
    <w:rsid w:val="22913412"/>
    <w:rsid w:val="22942C4D"/>
    <w:rsid w:val="229B2CFA"/>
    <w:rsid w:val="229F725D"/>
    <w:rsid w:val="22A30821"/>
    <w:rsid w:val="22A90CFB"/>
    <w:rsid w:val="22AC749F"/>
    <w:rsid w:val="22AD6AE6"/>
    <w:rsid w:val="22AE523C"/>
    <w:rsid w:val="22B06891"/>
    <w:rsid w:val="22B23C14"/>
    <w:rsid w:val="22B915EF"/>
    <w:rsid w:val="22BB187F"/>
    <w:rsid w:val="22BD5CAD"/>
    <w:rsid w:val="22C43681"/>
    <w:rsid w:val="22CC154A"/>
    <w:rsid w:val="22D1199A"/>
    <w:rsid w:val="22DD0537"/>
    <w:rsid w:val="22DF43B6"/>
    <w:rsid w:val="22DF6FC0"/>
    <w:rsid w:val="22E30604"/>
    <w:rsid w:val="22E60602"/>
    <w:rsid w:val="22E74495"/>
    <w:rsid w:val="22E82F81"/>
    <w:rsid w:val="22EC645A"/>
    <w:rsid w:val="22F01B2F"/>
    <w:rsid w:val="22F114AE"/>
    <w:rsid w:val="22FC7F4B"/>
    <w:rsid w:val="230D6FCC"/>
    <w:rsid w:val="231B2211"/>
    <w:rsid w:val="231F6F00"/>
    <w:rsid w:val="23216ED2"/>
    <w:rsid w:val="232270C7"/>
    <w:rsid w:val="232A127B"/>
    <w:rsid w:val="232A36DA"/>
    <w:rsid w:val="23366D5B"/>
    <w:rsid w:val="233B09EE"/>
    <w:rsid w:val="233B6C29"/>
    <w:rsid w:val="233E51EB"/>
    <w:rsid w:val="233F79BC"/>
    <w:rsid w:val="23475AD2"/>
    <w:rsid w:val="23497AE7"/>
    <w:rsid w:val="234B3718"/>
    <w:rsid w:val="234B3A41"/>
    <w:rsid w:val="234D228D"/>
    <w:rsid w:val="235E24FC"/>
    <w:rsid w:val="23616003"/>
    <w:rsid w:val="23670CFD"/>
    <w:rsid w:val="23687657"/>
    <w:rsid w:val="236D40D3"/>
    <w:rsid w:val="2370122A"/>
    <w:rsid w:val="237824B8"/>
    <w:rsid w:val="2379092E"/>
    <w:rsid w:val="237C4E22"/>
    <w:rsid w:val="2381113E"/>
    <w:rsid w:val="238419A9"/>
    <w:rsid w:val="2389060F"/>
    <w:rsid w:val="238A0579"/>
    <w:rsid w:val="238B3814"/>
    <w:rsid w:val="238B53EA"/>
    <w:rsid w:val="238D7C1A"/>
    <w:rsid w:val="238F3A02"/>
    <w:rsid w:val="239B3733"/>
    <w:rsid w:val="239B3A20"/>
    <w:rsid w:val="239C5EA6"/>
    <w:rsid w:val="239E4F3E"/>
    <w:rsid w:val="23A0052E"/>
    <w:rsid w:val="23A2529A"/>
    <w:rsid w:val="23B15B97"/>
    <w:rsid w:val="23B325DB"/>
    <w:rsid w:val="23B70060"/>
    <w:rsid w:val="23C068FD"/>
    <w:rsid w:val="23C34A1F"/>
    <w:rsid w:val="23C64155"/>
    <w:rsid w:val="23C67F2D"/>
    <w:rsid w:val="23CB49C0"/>
    <w:rsid w:val="23CC45A5"/>
    <w:rsid w:val="23CF4529"/>
    <w:rsid w:val="23D05BDD"/>
    <w:rsid w:val="23D22335"/>
    <w:rsid w:val="23E87A23"/>
    <w:rsid w:val="23F128A0"/>
    <w:rsid w:val="23FC4FD0"/>
    <w:rsid w:val="24017FE4"/>
    <w:rsid w:val="24047C29"/>
    <w:rsid w:val="240509CB"/>
    <w:rsid w:val="24093CD5"/>
    <w:rsid w:val="240D2E93"/>
    <w:rsid w:val="24166987"/>
    <w:rsid w:val="24215A1B"/>
    <w:rsid w:val="242A610C"/>
    <w:rsid w:val="242B37D3"/>
    <w:rsid w:val="24310FA3"/>
    <w:rsid w:val="24321AC9"/>
    <w:rsid w:val="243369C5"/>
    <w:rsid w:val="24353B78"/>
    <w:rsid w:val="243C69D2"/>
    <w:rsid w:val="244D2650"/>
    <w:rsid w:val="244F0FDB"/>
    <w:rsid w:val="2452049F"/>
    <w:rsid w:val="24553C9A"/>
    <w:rsid w:val="24570113"/>
    <w:rsid w:val="2457546E"/>
    <w:rsid w:val="24595CBD"/>
    <w:rsid w:val="245B28B2"/>
    <w:rsid w:val="245C71C0"/>
    <w:rsid w:val="24644C51"/>
    <w:rsid w:val="24662696"/>
    <w:rsid w:val="246647E8"/>
    <w:rsid w:val="2466505A"/>
    <w:rsid w:val="246A4319"/>
    <w:rsid w:val="2472602C"/>
    <w:rsid w:val="2474098E"/>
    <w:rsid w:val="2475233C"/>
    <w:rsid w:val="2475424D"/>
    <w:rsid w:val="247B4292"/>
    <w:rsid w:val="248473B3"/>
    <w:rsid w:val="248F37EB"/>
    <w:rsid w:val="24936F59"/>
    <w:rsid w:val="24971E3F"/>
    <w:rsid w:val="24A31016"/>
    <w:rsid w:val="24A87FC0"/>
    <w:rsid w:val="24B00313"/>
    <w:rsid w:val="24B03FA8"/>
    <w:rsid w:val="24B35F93"/>
    <w:rsid w:val="24B37362"/>
    <w:rsid w:val="24B43605"/>
    <w:rsid w:val="24BC1937"/>
    <w:rsid w:val="24C26E95"/>
    <w:rsid w:val="24D16A01"/>
    <w:rsid w:val="24D20C3F"/>
    <w:rsid w:val="24D25419"/>
    <w:rsid w:val="24DA0A83"/>
    <w:rsid w:val="24DA1F4C"/>
    <w:rsid w:val="24DE4BA8"/>
    <w:rsid w:val="24DE5338"/>
    <w:rsid w:val="24E23B30"/>
    <w:rsid w:val="24E27F3B"/>
    <w:rsid w:val="24ED1DE5"/>
    <w:rsid w:val="24EE2072"/>
    <w:rsid w:val="24F01BA1"/>
    <w:rsid w:val="24F029F5"/>
    <w:rsid w:val="24F225F7"/>
    <w:rsid w:val="24F83C71"/>
    <w:rsid w:val="24F914FC"/>
    <w:rsid w:val="24FA5D31"/>
    <w:rsid w:val="24FC3FE3"/>
    <w:rsid w:val="24FC3FE8"/>
    <w:rsid w:val="25000A90"/>
    <w:rsid w:val="250312AB"/>
    <w:rsid w:val="25033139"/>
    <w:rsid w:val="250531F7"/>
    <w:rsid w:val="2507614B"/>
    <w:rsid w:val="250A504E"/>
    <w:rsid w:val="25101FC4"/>
    <w:rsid w:val="25102F27"/>
    <w:rsid w:val="2512440F"/>
    <w:rsid w:val="25144CB1"/>
    <w:rsid w:val="2516149A"/>
    <w:rsid w:val="2517474C"/>
    <w:rsid w:val="25181E76"/>
    <w:rsid w:val="25230204"/>
    <w:rsid w:val="252722FD"/>
    <w:rsid w:val="252F715E"/>
    <w:rsid w:val="253174BB"/>
    <w:rsid w:val="2539595D"/>
    <w:rsid w:val="253A5FD5"/>
    <w:rsid w:val="253D2649"/>
    <w:rsid w:val="25451BD0"/>
    <w:rsid w:val="254D157B"/>
    <w:rsid w:val="254E6842"/>
    <w:rsid w:val="25520062"/>
    <w:rsid w:val="25571E9F"/>
    <w:rsid w:val="25597E44"/>
    <w:rsid w:val="255A437E"/>
    <w:rsid w:val="255F37DF"/>
    <w:rsid w:val="2560063A"/>
    <w:rsid w:val="25637CF4"/>
    <w:rsid w:val="2567631E"/>
    <w:rsid w:val="25683760"/>
    <w:rsid w:val="256D6D56"/>
    <w:rsid w:val="257C4FC4"/>
    <w:rsid w:val="25815CC8"/>
    <w:rsid w:val="25856F04"/>
    <w:rsid w:val="25857AB5"/>
    <w:rsid w:val="2587659F"/>
    <w:rsid w:val="25881D1F"/>
    <w:rsid w:val="258E2371"/>
    <w:rsid w:val="259434CD"/>
    <w:rsid w:val="259B4DBD"/>
    <w:rsid w:val="259E77D2"/>
    <w:rsid w:val="25A34785"/>
    <w:rsid w:val="25A77A67"/>
    <w:rsid w:val="25AC2AE2"/>
    <w:rsid w:val="25AF5845"/>
    <w:rsid w:val="25B034AA"/>
    <w:rsid w:val="25B4718A"/>
    <w:rsid w:val="25B73903"/>
    <w:rsid w:val="25B8703C"/>
    <w:rsid w:val="25CE052F"/>
    <w:rsid w:val="25D073D0"/>
    <w:rsid w:val="25D2032C"/>
    <w:rsid w:val="25D20ED4"/>
    <w:rsid w:val="25D64F42"/>
    <w:rsid w:val="25D83FD0"/>
    <w:rsid w:val="25DA7042"/>
    <w:rsid w:val="25DB1ACF"/>
    <w:rsid w:val="25E26160"/>
    <w:rsid w:val="25E707AA"/>
    <w:rsid w:val="25EE1D75"/>
    <w:rsid w:val="25F07FD0"/>
    <w:rsid w:val="260670FD"/>
    <w:rsid w:val="261C3579"/>
    <w:rsid w:val="261F4076"/>
    <w:rsid w:val="262C09A2"/>
    <w:rsid w:val="262E094E"/>
    <w:rsid w:val="2630039D"/>
    <w:rsid w:val="264E7015"/>
    <w:rsid w:val="26514859"/>
    <w:rsid w:val="2655372F"/>
    <w:rsid w:val="26587495"/>
    <w:rsid w:val="265C7027"/>
    <w:rsid w:val="26622B35"/>
    <w:rsid w:val="266764F3"/>
    <w:rsid w:val="26681DE4"/>
    <w:rsid w:val="266C3354"/>
    <w:rsid w:val="266C3B39"/>
    <w:rsid w:val="26742C93"/>
    <w:rsid w:val="267577A3"/>
    <w:rsid w:val="26797413"/>
    <w:rsid w:val="267C040A"/>
    <w:rsid w:val="26851903"/>
    <w:rsid w:val="26860856"/>
    <w:rsid w:val="26860CE5"/>
    <w:rsid w:val="26864DBB"/>
    <w:rsid w:val="26877F27"/>
    <w:rsid w:val="268D103D"/>
    <w:rsid w:val="268E5824"/>
    <w:rsid w:val="26901A1C"/>
    <w:rsid w:val="26945A40"/>
    <w:rsid w:val="26997958"/>
    <w:rsid w:val="269C7AEA"/>
    <w:rsid w:val="269E1A88"/>
    <w:rsid w:val="26A05932"/>
    <w:rsid w:val="26A53BE9"/>
    <w:rsid w:val="26A570E5"/>
    <w:rsid w:val="26A914C0"/>
    <w:rsid w:val="26AC0D92"/>
    <w:rsid w:val="26AC55DB"/>
    <w:rsid w:val="26AE1818"/>
    <w:rsid w:val="26AE2733"/>
    <w:rsid w:val="26B231F7"/>
    <w:rsid w:val="26B46BE9"/>
    <w:rsid w:val="26BB659F"/>
    <w:rsid w:val="26C06B2A"/>
    <w:rsid w:val="26C529F8"/>
    <w:rsid w:val="26CA4850"/>
    <w:rsid w:val="26CE20E3"/>
    <w:rsid w:val="26CE2996"/>
    <w:rsid w:val="26D27136"/>
    <w:rsid w:val="26D86D29"/>
    <w:rsid w:val="26DC64DF"/>
    <w:rsid w:val="26EC70E4"/>
    <w:rsid w:val="26ED2310"/>
    <w:rsid w:val="26F157D8"/>
    <w:rsid w:val="26F30B6D"/>
    <w:rsid w:val="26F727AB"/>
    <w:rsid w:val="26FB0DAE"/>
    <w:rsid w:val="270075E6"/>
    <w:rsid w:val="2703776F"/>
    <w:rsid w:val="2707357A"/>
    <w:rsid w:val="27075123"/>
    <w:rsid w:val="27085891"/>
    <w:rsid w:val="271041EF"/>
    <w:rsid w:val="271426FA"/>
    <w:rsid w:val="271D3985"/>
    <w:rsid w:val="271D64D7"/>
    <w:rsid w:val="2724380A"/>
    <w:rsid w:val="27261EDD"/>
    <w:rsid w:val="273965C5"/>
    <w:rsid w:val="273E6FE3"/>
    <w:rsid w:val="27483200"/>
    <w:rsid w:val="274B19EF"/>
    <w:rsid w:val="274D3798"/>
    <w:rsid w:val="274E4D1F"/>
    <w:rsid w:val="275242DF"/>
    <w:rsid w:val="275356D1"/>
    <w:rsid w:val="275824FA"/>
    <w:rsid w:val="275A67DA"/>
    <w:rsid w:val="275F1935"/>
    <w:rsid w:val="27604E9E"/>
    <w:rsid w:val="27614DF3"/>
    <w:rsid w:val="276744F9"/>
    <w:rsid w:val="2767461F"/>
    <w:rsid w:val="2768778E"/>
    <w:rsid w:val="276D7F76"/>
    <w:rsid w:val="276E6BAC"/>
    <w:rsid w:val="276F1099"/>
    <w:rsid w:val="27704FB6"/>
    <w:rsid w:val="277D6F73"/>
    <w:rsid w:val="27843907"/>
    <w:rsid w:val="27870372"/>
    <w:rsid w:val="27981F87"/>
    <w:rsid w:val="279C24F2"/>
    <w:rsid w:val="279F3D28"/>
    <w:rsid w:val="279F6758"/>
    <w:rsid w:val="27A00220"/>
    <w:rsid w:val="27A47DAF"/>
    <w:rsid w:val="27A71457"/>
    <w:rsid w:val="27A936AA"/>
    <w:rsid w:val="27AA2AD4"/>
    <w:rsid w:val="27AC63E1"/>
    <w:rsid w:val="27AE47B6"/>
    <w:rsid w:val="27AF6A8D"/>
    <w:rsid w:val="27B14C40"/>
    <w:rsid w:val="27B74EFB"/>
    <w:rsid w:val="27B76FCB"/>
    <w:rsid w:val="27BA079C"/>
    <w:rsid w:val="27C01825"/>
    <w:rsid w:val="27C556A9"/>
    <w:rsid w:val="27C7002B"/>
    <w:rsid w:val="27C945F0"/>
    <w:rsid w:val="27C97A6C"/>
    <w:rsid w:val="27CB55F1"/>
    <w:rsid w:val="27CC216F"/>
    <w:rsid w:val="27D2540B"/>
    <w:rsid w:val="27D55FB4"/>
    <w:rsid w:val="27D77EC0"/>
    <w:rsid w:val="27D90086"/>
    <w:rsid w:val="27DB725A"/>
    <w:rsid w:val="27DF658F"/>
    <w:rsid w:val="27E61B35"/>
    <w:rsid w:val="27EB076C"/>
    <w:rsid w:val="27EB5ED9"/>
    <w:rsid w:val="27EB75A7"/>
    <w:rsid w:val="27EC2B66"/>
    <w:rsid w:val="27EC7D9E"/>
    <w:rsid w:val="27EE1AF1"/>
    <w:rsid w:val="27F04A0D"/>
    <w:rsid w:val="27F800C6"/>
    <w:rsid w:val="2800514C"/>
    <w:rsid w:val="28010BEA"/>
    <w:rsid w:val="2805250C"/>
    <w:rsid w:val="281014F0"/>
    <w:rsid w:val="28102693"/>
    <w:rsid w:val="281063CB"/>
    <w:rsid w:val="282B6FC8"/>
    <w:rsid w:val="2834656A"/>
    <w:rsid w:val="28377D71"/>
    <w:rsid w:val="2842220A"/>
    <w:rsid w:val="284A28BB"/>
    <w:rsid w:val="284E0893"/>
    <w:rsid w:val="285007BB"/>
    <w:rsid w:val="28511B2C"/>
    <w:rsid w:val="285356D7"/>
    <w:rsid w:val="28561E61"/>
    <w:rsid w:val="285C626D"/>
    <w:rsid w:val="285E5799"/>
    <w:rsid w:val="2860227D"/>
    <w:rsid w:val="286B5A64"/>
    <w:rsid w:val="28704F19"/>
    <w:rsid w:val="287215E6"/>
    <w:rsid w:val="287825AC"/>
    <w:rsid w:val="288764E3"/>
    <w:rsid w:val="288A1996"/>
    <w:rsid w:val="288F2F30"/>
    <w:rsid w:val="288F3FBC"/>
    <w:rsid w:val="28942CA7"/>
    <w:rsid w:val="289550C3"/>
    <w:rsid w:val="289646B0"/>
    <w:rsid w:val="28967A8C"/>
    <w:rsid w:val="28993A68"/>
    <w:rsid w:val="289F4C30"/>
    <w:rsid w:val="28A34630"/>
    <w:rsid w:val="28A506FD"/>
    <w:rsid w:val="28A57C4E"/>
    <w:rsid w:val="28A84BD0"/>
    <w:rsid w:val="28AC2C80"/>
    <w:rsid w:val="28AD44F9"/>
    <w:rsid w:val="28B1745F"/>
    <w:rsid w:val="28B24D60"/>
    <w:rsid w:val="28B32150"/>
    <w:rsid w:val="28B36ACD"/>
    <w:rsid w:val="28B54BB8"/>
    <w:rsid w:val="28BD79B6"/>
    <w:rsid w:val="28C71F8A"/>
    <w:rsid w:val="28C8531A"/>
    <w:rsid w:val="28D62D75"/>
    <w:rsid w:val="28D835EE"/>
    <w:rsid w:val="28DD0F53"/>
    <w:rsid w:val="28DE4E25"/>
    <w:rsid w:val="28DF7BF5"/>
    <w:rsid w:val="28E235AA"/>
    <w:rsid w:val="28E830ED"/>
    <w:rsid w:val="28EE699A"/>
    <w:rsid w:val="28F636ED"/>
    <w:rsid w:val="28F956C5"/>
    <w:rsid w:val="28FC27D6"/>
    <w:rsid w:val="28FD3120"/>
    <w:rsid w:val="28FF7EED"/>
    <w:rsid w:val="290A17F4"/>
    <w:rsid w:val="290B5C93"/>
    <w:rsid w:val="290C3AAA"/>
    <w:rsid w:val="2910328B"/>
    <w:rsid w:val="29105371"/>
    <w:rsid w:val="29141028"/>
    <w:rsid w:val="29221868"/>
    <w:rsid w:val="292A7051"/>
    <w:rsid w:val="292B4D95"/>
    <w:rsid w:val="292F5722"/>
    <w:rsid w:val="29305A43"/>
    <w:rsid w:val="29313243"/>
    <w:rsid w:val="29366158"/>
    <w:rsid w:val="293741AC"/>
    <w:rsid w:val="293B6676"/>
    <w:rsid w:val="293E0CC3"/>
    <w:rsid w:val="294055FB"/>
    <w:rsid w:val="294B5E71"/>
    <w:rsid w:val="2953608C"/>
    <w:rsid w:val="29553A20"/>
    <w:rsid w:val="295C0252"/>
    <w:rsid w:val="296133F3"/>
    <w:rsid w:val="296938F8"/>
    <w:rsid w:val="296A10BD"/>
    <w:rsid w:val="296B68C4"/>
    <w:rsid w:val="29724BAB"/>
    <w:rsid w:val="29762B7B"/>
    <w:rsid w:val="297A4E2C"/>
    <w:rsid w:val="29837CAC"/>
    <w:rsid w:val="29890D0D"/>
    <w:rsid w:val="298E54D4"/>
    <w:rsid w:val="298F7BA9"/>
    <w:rsid w:val="29913A6B"/>
    <w:rsid w:val="29927245"/>
    <w:rsid w:val="29951B7A"/>
    <w:rsid w:val="29970D6D"/>
    <w:rsid w:val="299D4DBC"/>
    <w:rsid w:val="299E44E4"/>
    <w:rsid w:val="29A01030"/>
    <w:rsid w:val="29A14EB9"/>
    <w:rsid w:val="29A37B76"/>
    <w:rsid w:val="29A73352"/>
    <w:rsid w:val="29AD5D2F"/>
    <w:rsid w:val="29B47B36"/>
    <w:rsid w:val="29B765D2"/>
    <w:rsid w:val="29B80DFE"/>
    <w:rsid w:val="29B912A6"/>
    <w:rsid w:val="29BC2E54"/>
    <w:rsid w:val="29BC4199"/>
    <w:rsid w:val="29BD4C7F"/>
    <w:rsid w:val="29BF6075"/>
    <w:rsid w:val="29C27060"/>
    <w:rsid w:val="29C52070"/>
    <w:rsid w:val="29C57C12"/>
    <w:rsid w:val="29C861BF"/>
    <w:rsid w:val="29CB228E"/>
    <w:rsid w:val="29D1382A"/>
    <w:rsid w:val="29D53B71"/>
    <w:rsid w:val="29D5512E"/>
    <w:rsid w:val="29D6771C"/>
    <w:rsid w:val="29D977EE"/>
    <w:rsid w:val="29DB483E"/>
    <w:rsid w:val="29E04ABA"/>
    <w:rsid w:val="29E04F03"/>
    <w:rsid w:val="29E07C0B"/>
    <w:rsid w:val="29E16EFE"/>
    <w:rsid w:val="29E3683F"/>
    <w:rsid w:val="29E54A84"/>
    <w:rsid w:val="29E8155A"/>
    <w:rsid w:val="29EC2E0B"/>
    <w:rsid w:val="29EC32CA"/>
    <w:rsid w:val="29F3606D"/>
    <w:rsid w:val="29F41AD4"/>
    <w:rsid w:val="29F50D56"/>
    <w:rsid w:val="2A015394"/>
    <w:rsid w:val="2A0624C8"/>
    <w:rsid w:val="2A076B59"/>
    <w:rsid w:val="2A085B11"/>
    <w:rsid w:val="2A091B45"/>
    <w:rsid w:val="2A101F4E"/>
    <w:rsid w:val="2A1112EE"/>
    <w:rsid w:val="2A114202"/>
    <w:rsid w:val="2A14582B"/>
    <w:rsid w:val="2A161C46"/>
    <w:rsid w:val="2A165A9D"/>
    <w:rsid w:val="2A231472"/>
    <w:rsid w:val="2A2437E6"/>
    <w:rsid w:val="2A270EBC"/>
    <w:rsid w:val="2A276B4F"/>
    <w:rsid w:val="2A2B67B9"/>
    <w:rsid w:val="2A30682B"/>
    <w:rsid w:val="2A316BAF"/>
    <w:rsid w:val="2A34409A"/>
    <w:rsid w:val="2A451AFE"/>
    <w:rsid w:val="2A4C28C4"/>
    <w:rsid w:val="2A51038F"/>
    <w:rsid w:val="2A5354E8"/>
    <w:rsid w:val="2A535EAA"/>
    <w:rsid w:val="2A5B2524"/>
    <w:rsid w:val="2A5D2491"/>
    <w:rsid w:val="2A5E29C9"/>
    <w:rsid w:val="2A5F0604"/>
    <w:rsid w:val="2A686F93"/>
    <w:rsid w:val="2A6C3E81"/>
    <w:rsid w:val="2A6C7F16"/>
    <w:rsid w:val="2A6D45CA"/>
    <w:rsid w:val="2A6E0C1A"/>
    <w:rsid w:val="2A713593"/>
    <w:rsid w:val="2A763E55"/>
    <w:rsid w:val="2A770A15"/>
    <w:rsid w:val="2A87440A"/>
    <w:rsid w:val="2A8E2BB3"/>
    <w:rsid w:val="2A960E24"/>
    <w:rsid w:val="2A977D67"/>
    <w:rsid w:val="2A996D09"/>
    <w:rsid w:val="2A9B734E"/>
    <w:rsid w:val="2A9E4820"/>
    <w:rsid w:val="2A9F6641"/>
    <w:rsid w:val="2AA00B3B"/>
    <w:rsid w:val="2AA358DF"/>
    <w:rsid w:val="2AA55FCE"/>
    <w:rsid w:val="2AAD29B4"/>
    <w:rsid w:val="2AB06B5F"/>
    <w:rsid w:val="2AB10B7E"/>
    <w:rsid w:val="2AB25351"/>
    <w:rsid w:val="2AB32A97"/>
    <w:rsid w:val="2AB43F5C"/>
    <w:rsid w:val="2AB52B7D"/>
    <w:rsid w:val="2ABA4A28"/>
    <w:rsid w:val="2ABE6663"/>
    <w:rsid w:val="2ABF3516"/>
    <w:rsid w:val="2AC161B7"/>
    <w:rsid w:val="2ACB70A4"/>
    <w:rsid w:val="2AD14F14"/>
    <w:rsid w:val="2AD6621D"/>
    <w:rsid w:val="2ADB0940"/>
    <w:rsid w:val="2ADE0357"/>
    <w:rsid w:val="2ADF4AEC"/>
    <w:rsid w:val="2AE01849"/>
    <w:rsid w:val="2AE55FDF"/>
    <w:rsid w:val="2AF500FD"/>
    <w:rsid w:val="2AFA258D"/>
    <w:rsid w:val="2AFC2AF0"/>
    <w:rsid w:val="2AFD1B9B"/>
    <w:rsid w:val="2AFD6479"/>
    <w:rsid w:val="2B036448"/>
    <w:rsid w:val="2B0629B7"/>
    <w:rsid w:val="2B0C301E"/>
    <w:rsid w:val="2B0F3D08"/>
    <w:rsid w:val="2B102DEE"/>
    <w:rsid w:val="2B117A7A"/>
    <w:rsid w:val="2B153646"/>
    <w:rsid w:val="2B192047"/>
    <w:rsid w:val="2B1B78F2"/>
    <w:rsid w:val="2B1E5FF8"/>
    <w:rsid w:val="2B1F3D79"/>
    <w:rsid w:val="2B20438B"/>
    <w:rsid w:val="2B215570"/>
    <w:rsid w:val="2B2219BF"/>
    <w:rsid w:val="2B241751"/>
    <w:rsid w:val="2B257256"/>
    <w:rsid w:val="2B28389D"/>
    <w:rsid w:val="2B29134B"/>
    <w:rsid w:val="2B2A16D0"/>
    <w:rsid w:val="2B2A506E"/>
    <w:rsid w:val="2B304C36"/>
    <w:rsid w:val="2B3A7FBC"/>
    <w:rsid w:val="2B426716"/>
    <w:rsid w:val="2B4D2BD1"/>
    <w:rsid w:val="2B56413D"/>
    <w:rsid w:val="2B59633B"/>
    <w:rsid w:val="2B6951AA"/>
    <w:rsid w:val="2B773686"/>
    <w:rsid w:val="2B7B0E80"/>
    <w:rsid w:val="2B80615A"/>
    <w:rsid w:val="2B841569"/>
    <w:rsid w:val="2B863D4B"/>
    <w:rsid w:val="2B8844C9"/>
    <w:rsid w:val="2B8E70D3"/>
    <w:rsid w:val="2B951FE3"/>
    <w:rsid w:val="2B970F7B"/>
    <w:rsid w:val="2B9B3B2D"/>
    <w:rsid w:val="2BA206E1"/>
    <w:rsid w:val="2BA57773"/>
    <w:rsid w:val="2BA8129E"/>
    <w:rsid w:val="2BB018E5"/>
    <w:rsid w:val="2BB2160A"/>
    <w:rsid w:val="2BC27BEA"/>
    <w:rsid w:val="2BC3082F"/>
    <w:rsid w:val="2BC87C5B"/>
    <w:rsid w:val="2BD36BD0"/>
    <w:rsid w:val="2BD41CCF"/>
    <w:rsid w:val="2BD61F66"/>
    <w:rsid w:val="2BDA7424"/>
    <w:rsid w:val="2BDC6A3B"/>
    <w:rsid w:val="2BE23B9D"/>
    <w:rsid w:val="2BE416F1"/>
    <w:rsid w:val="2BEB5B77"/>
    <w:rsid w:val="2BEC6309"/>
    <w:rsid w:val="2BF462BA"/>
    <w:rsid w:val="2BF64A17"/>
    <w:rsid w:val="2BF71A35"/>
    <w:rsid w:val="2BFF24B1"/>
    <w:rsid w:val="2C0479C6"/>
    <w:rsid w:val="2C0622D5"/>
    <w:rsid w:val="2C065227"/>
    <w:rsid w:val="2C1255BD"/>
    <w:rsid w:val="2C146D62"/>
    <w:rsid w:val="2C1803EB"/>
    <w:rsid w:val="2C225280"/>
    <w:rsid w:val="2C2359C3"/>
    <w:rsid w:val="2C25407E"/>
    <w:rsid w:val="2C2C16FE"/>
    <w:rsid w:val="2C2C5873"/>
    <w:rsid w:val="2C2E50A7"/>
    <w:rsid w:val="2C322735"/>
    <w:rsid w:val="2C326AAD"/>
    <w:rsid w:val="2C372B29"/>
    <w:rsid w:val="2C38002D"/>
    <w:rsid w:val="2C3D0FC7"/>
    <w:rsid w:val="2C3F1BA5"/>
    <w:rsid w:val="2C417D8E"/>
    <w:rsid w:val="2C4213B1"/>
    <w:rsid w:val="2C454A34"/>
    <w:rsid w:val="2C471BFA"/>
    <w:rsid w:val="2C4C47B0"/>
    <w:rsid w:val="2C550F2D"/>
    <w:rsid w:val="2C573F94"/>
    <w:rsid w:val="2C5A1D32"/>
    <w:rsid w:val="2C5F41AC"/>
    <w:rsid w:val="2C601CBD"/>
    <w:rsid w:val="2C627C5F"/>
    <w:rsid w:val="2C6369C0"/>
    <w:rsid w:val="2C6A13B6"/>
    <w:rsid w:val="2C6C7F42"/>
    <w:rsid w:val="2C6F0FCC"/>
    <w:rsid w:val="2C724149"/>
    <w:rsid w:val="2C73506F"/>
    <w:rsid w:val="2C75601D"/>
    <w:rsid w:val="2C78229F"/>
    <w:rsid w:val="2C792AB3"/>
    <w:rsid w:val="2C7A09AA"/>
    <w:rsid w:val="2C81644E"/>
    <w:rsid w:val="2C842A40"/>
    <w:rsid w:val="2C852E72"/>
    <w:rsid w:val="2C907D25"/>
    <w:rsid w:val="2C925FEA"/>
    <w:rsid w:val="2C990044"/>
    <w:rsid w:val="2C9C5CCE"/>
    <w:rsid w:val="2CA177C8"/>
    <w:rsid w:val="2CA20735"/>
    <w:rsid w:val="2CAB224B"/>
    <w:rsid w:val="2CAF46BC"/>
    <w:rsid w:val="2CB200EF"/>
    <w:rsid w:val="2CB27A6B"/>
    <w:rsid w:val="2CBC0443"/>
    <w:rsid w:val="2CC70DDF"/>
    <w:rsid w:val="2CCC2796"/>
    <w:rsid w:val="2CD13D18"/>
    <w:rsid w:val="2CD522A6"/>
    <w:rsid w:val="2CDB716D"/>
    <w:rsid w:val="2CDB7E01"/>
    <w:rsid w:val="2CF42F94"/>
    <w:rsid w:val="2CF44A8A"/>
    <w:rsid w:val="2CF837A8"/>
    <w:rsid w:val="2CFE0976"/>
    <w:rsid w:val="2CFE2F56"/>
    <w:rsid w:val="2D000478"/>
    <w:rsid w:val="2D04303D"/>
    <w:rsid w:val="2D107356"/>
    <w:rsid w:val="2D113771"/>
    <w:rsid w:val="2D196EE9"/>
    <w:rsid w:val="2D2328AB"/>
    <w:rsid w:val="2D2A65F0"/>
    <w:rsid w:val="2D2C27B5"/>
    <w:rsid w:val="2D2D0965"/>
    <w:rsid w:val="2D2F7D63"/>
    <w:rsid w:val="2D306531"/>
    <w:rsid w:val="2D312CF1"/>
    <w:rsid w:val="2D31781A"/>
    <w:rsid w:val="2D3454A2"/>
    <w:rsid w:val="2D3633F8"/>
    <w:rsid w:val="2D3715F4"/>
    <w:rsid w:val="2D376275"/>
    <w:rsid w:val="2D3D032D"/>
    <w:rsid w:val="2D3E6E89"/>
    <w:rsid w:val="2D4E324B"/>
    <w:rsid w:val="2D4F5E04"/>
    <w:rsid w:val="2D5102A8"/>
    <w:rsid w:val="2D56074E"/>
    <w:rsid w:val="2D571E72"/>
    <w:rsid w:val="2D5A347A"/>
    <w:rsid w:val="2D613AFF"/>
    <w:rsid w:val="2D644371"/>
    <w:rsid w:val="2D692E48"/>
    <w:rsid w:val="2D6D43B9"/>
    <w:rsid w:val="2D6F0BC0"/>
    <w:rsid w:val="2D7212CA"/>
    <w:rsid w:val="2D775BAE"/>
    <w:rsid w:val="2D7D1F4A"/>
    <w:rsid w:val="2D7F1CCC"/>
    <w:rsid w:val="2D80630F"/>
    <w:rsid w:val="2D812912"/>
    <w:rsid w:val="2D812E70"/>
    <w:rsid w:val="2D83200B"/>
    <w:rsid w:val="2D942CDB"/>
    <w:rsid w:val="2D9E7DD8"/>
    <w:rsid w:val="2D9F630D"/>
    <w:rsid w:val="2DA11020"/>
    <w:rsid w:val="2DA56836"/>
    <w:rsid w:val="2DAD69FD"/>
    <w:rsid w:val="2DB33633"/>
    <w:rsid w:val="2DB72BD9"/>
    <w:rsid w:val="2DBC2D44"/>
    <w:rsid w:val="2DC34047"/>
    <w:rsid w:val="2DC73F40"/>
    <w:rsid w:val="2DCB0FBE"/>
    <w:rsid w:val="2DD10598"/>
    <w:rsid w:val="2DD27569"/>
    <w:rsid w:val="2DDD7329"/>
    <w:rsid w:val="2DE66CBA"/>
    <w:rsid w:val="2DE7433D"/>
    <w:rsid w:val="2DE84810"/>
    <w:rsid w:val="2DF222B9"/>
    <w:rsid w:val="2DFB5473"/>
    <w:rsid w:val="2E071D19"/>
    <w:rsid w:val="2E091F15"/>
    <w:rsid w:val="2E0C5EEB"/>
    <w:rsid w:val="2E0F0E33"/>
    <w:rsid w:val="2E1846B7"/>
    <w:rsid w:val="2E1969D7"/>
    <w:rsid w:val="2E1F58F7"/>
    <w:rsid w:val="2E265330"/>
    <w:rsid w:val="2E295956"/>
    <w:rsid w:val="2E2B7E89"/>
    <w:rsid w:val="2E356B34"/>
    <w:rsid w:val="2E4007D1"/>
    <w:rsid w:val="2E401120"/>
    <w:rsid w:val="2E4D6146"/>
    <w:rsid w:val="2E541723"/>
    <w:rsid w:val="2E59650E"/>
    <w:rsid w:val="2E5C57C2"/>
    <w:rsid w:val="2E5D4AF6"/>
    <w:rsid w:val="2E6144C2"/>
    <w:rsid w:val="2E625D44"/>
    <w:rsid w:val="2E6938B4"/>
    <w:rsid w:val="2E69443F"/>
    <w:rsid w:val="2E7173D5"/>
    <w:rsid w:val="2E752B88"/>
    <w:rsid w:val="2E763EE5"/>
    <w:rsid w:val="2E8610C6"/>
    <w:rsid w:val="2E871CFC"/>
    <w:rsid w:val="2E8974D2"/>
    <w:rsid w:val="2E8A2386"/>
    <w:rsid w:val="2E8E2D9F"/>
    <w:rsid w:val="2E8E5652"/>
    <w:rsid w:val="2E903B79"/>
    <w:rsid w:val="2E9075D5"/>
    <w:rsid w:val="2E9416DD"/>
    <w:rsid w:val="2E9857F4"/>
    <w:rsid w:val="2EA15DF6"/>
    <w:rsid w:val="2EA554A5"/>
    <w:rsid w:val="2EAA2083"/>
    <w:rsid w:val="2EBB0D42"/>
    <w:rsid w:val="2EBE56A3"/>
    <w:rsid w:val="2EC30D80"/>
    <w:rsid w:val="2EC50D5D"/>
    <w:rsid w:val="2EC54B9E"/>
    <w:rsid w:val="2ECD36FA"/>
    <w:rsid w:val="2ECD4211"/>
    <w:rsid w:val="2ED44174"/>
    <w:rsid w:val="2EDA7D6B"/>
    <w:rsid w:val="2EDB20C0"/>
    <w:rsid w:val="2EDB4B9A"/>
    <w:rsid w:val="2EDB633E"/>
    <w:rsid w:val="2EDC0137"/>
    <w:rsid w:val="2EEB3442"/>
    <w:rsid w:val="2EEC7A00"/>
    <w:rsid w:val="2EED2D11"/>
    <w:rsid w:val="2EED3378"/>
    <w:rsid w:val="2EF458CF"/>
    <w:rsid w:val="2EFD00E5"/>
    <w:rsid w:val="2F02700A"/>
    <w:rsid w:val="2F055116"/>
    <w:rsid w:val="2F076C7E"/>
    <w:rsid w:val="2F0B6CD9"/>
    <w:rsid w:val="2F0D2C80"/>
    <w:rsid w:val="2F145CCF"/>
    <w:rsid w:val="2F16257E"/>
    <w:rsid w:val="2F1731F9"/>
    <w:rsid w:val="2F1A500D"/>
    <w:rsid w:val="2F1C36F7"/>
    <w:rsid w:val="2F1D6A9A"/>
    <w:rsid w:val="2F1F6E95"/>
    <w:rsid w:val="2F285E86"/>
    <w:rsid w:val="2F3756F3"/>
    <w:rsid w:val="2F3B0C3F"/>
    <w:rsid w:val="2F406255"/>
    <w:rsid w:val="2F4B43C9"/>
    <w:rsid w:val="2F4E3576"/>
    <w:rsid w:val="2F564C33"/>
    <w:rsid w:val="2F58578B"/>
    <w:rsid w:val="2F5A42CA"/>
    <w:rsid w:val="2F5C5E1F"/>
    <w:rsid w:val="2F61480C"/>
    <w:rsid w:val="2F633CC9"/>
    <w:rsid w:val="2F6728AC"/>
    <w:rsid w:val="2F6934D6"/>
    <w:rsid w:val="2F6F3E1B"/>
    <w:rsid w:val="2F752DBE"/>
    <w:rsid w:val="2F783167"/>
    <w:rsid w:val="2F7E5EAF"/>
    <w:rsid w:val="2F866F14"/>
    <w:rsid w:val="2F8B01A2"/>
    <w:rsid w:val="2F92609B"/>
    <w:rsid w:val="2F937F69"/>
    <w:rsid w:val="2FA65D89"/>
    <w:rsid w:val="2FB0756E"/>
    <w:rsid w:val="2FB36121"/>
    <w:rsid w:val="2FB547AE"/>
    <w:rsid w:val="2FB566AB"/>
    <w:rsid w:val="2FB66C8B"/>
    <w:rsid w:val="2FB9546B"/>
    <w:rsid w:val="2FC27B1C"/>
    <w:rsid w:val="2FC415BE"/>
    <w:rsid w:val="2FC429CD"/>
    <w:rsid w:val="2FC50B3B"/>
    <w:rsid w:val="2FCF035E"/>
    <w:rsid w:val="2FD00917"/>
    <w:rsid w:val="2FD13A6D"/>
    <w:rsid w:val="2FD30F48"/>
    <w:rsid w:val="2FD323DD"/>
    <w:rsid w:val="2FD6294E"/>
    <w:rsid w:val="2FD8736C"/>
    <w:rsid w:val="2FE6175F"/>
    <w:rsid w:val="2FE6516E"/>
    <w:rsid w:val="2FEF0F5D"/>
    <w:rsid w:val="2FF413BD"/>
    <w:rsid w:val="2FF8399F"/>
    <w:rsid w:val="2FFF5507"/>
    <w:rsid w:val="2FFF711A"/>
    <w:rsid w:val="30085FC8"/>
    <w:rsid w:val="300F28E4"/>
    <w:rsid w:val="301111DD"/>
    <w:rsid w:val="30112359"/>
    <w:rsid w:val="30175FC0"/>
    <w:rsid w:val="301A6160"/>
    <w:rsid w:val="302043E7"/>
    <w:rsid w:val="302219DC"/>
    <w:rsid w:val="3027183A"/>
    <w:rsid w:val="30294FA2"/>
    <w:rsid w:val="302A0813"/>
    <w:rsid w:val="302B74C6"/>
    <w:rsid w:val="302D4132"/>
    <w:rsid w:val="302F25A7"/>
    <w:rsid w:val="303307C1"/>
    <w:rsid w:val="30352065"/>
    <w:rsid w:val="303923AD"/>
    <w:rsid w:val="303D79D6"/>
    <w:rsid w:val="304135A1"/>
    <w:rsid w:val="3042467E"/>
    <w:rsid w:val="30431AAA"/>
    <w:rsid w:val="30467CC9"/>
    <w:rsid w:val="3049074B"/>
    <w:rsid w:val="305277CC"/>
    <w:rsid w:val="30555C88"/>
    <w:rsid w:val="305A2E66"/>
    <w:rsid w:val="305A6A92"/>
    <w:rsid w:val="305D7263"/>
    <w:rsid w:val="30680EFC"/>
    <w:rsid w:val="306A491C"/>
    <w:rsid w:val="306F3297"/>
    <w:rsid w:val="30700DC9"/>
    <w:rsid w:val="30730464"/>
    <w:rsid w:val="3073147C"/>
    <w:rsid w:val="30772C96"/>
    <w:rsid w:val="307C7F13"/>
    <w:rsid w:val="30801709"/>
    <w:rsid w:val="30804CCD"/>
    <w:rsid w:val="30821DBD"/>
    <w:rsid w:val="30866D13"/>
    <w:rsid w:val="30957482"/>
    <w:rsid w:val="30982A84"/>
    <w:rsid w:val="30995850"/>
    <w:rsid w:val="309A5590"/>
    <w:rsid w:val="309B7787"/>
    <w:rsid w:val="309D5C96"/>
    <w:rsid w:val="309F7A24"/>
    <w:rsid w:val="30A03647"/>
    <w:rsid w:val="30A2437F"/>
    <w:rsid w:val="30B66933"/>
    <w:rsid w:val="30B67B28"/>
    <w:rsid w:val="30B67CBF"/>
    <w:rsid w:val="30B83790"/>
    <w:rsid w:val="30CB7AC0"/>
    <w:rsid w:val="30CD0537"/>
    <w:rsid w:val="30E27480"/>
    <w:rsid w:val="30E579BB"/>
    <w:rsid w:val="30E877FC"/>
    <w:rsid w:val="30EA2085"/>
    <w:rsid w:val="30F46427"/>
    <w:rsid w:val="30F86976"/>
    <w:rsid w:val="30FF610E"/>
    <w:rsid w:val="31076E9A"/>
    <w:rsid w:val="3108583B"/>
    <w:rsid w:val="310C7443"/>
    <w:rsid w:val="311B74F5"/>
    <w:rsid w:val="312111A7"/>
    <w:rsid w:val="31263091"/>
    <w:rsid w:val="312F6528"/>
    <w:rsid w:val="3134032A"/>
    <w:rsid w:val="31361A7C"/>
    <w:rsid w:val="31374791"/>
    <w:rsid w:val="313A0BC7"/>
    <w:rsid w:val="313B3E7B"/>
    <w:rsid w:val="314A2130"/>
    <w:rsid w:val="315111C9"/>
    <w:rsid w:val="315D299B"/>
    <w:rsid w:val="315F7F43"/>
    <w:rsid w:val="316C51A4"/>
    <w:rsid w:val="316D4358"/>
    <w:rsid w:val="316D5558"/>
    <w:rsid w:val="316F7657"/>
    <w:rsid w:val="31772946"/>
    <w:rsid w:val="317B7494"/>
    <w:rsid w:val="318D4E22"/>
    <w:rsid w:val="31921D75"/>
    <w:rsid w:val="31925002"/>
    <w:rsid w:val="31A830CC"/>
    <w:rsid w:val="31A96D3F"/>
    <w:rsid w:val="31B14434"/>
    <w:rsid w:val="31BB1FF0"/>
    <w:rsid w:val="31BD02F7"/>
    <w:rsid w:val="31BE58DE"/>
    <w:rsid w:val="31C356B1"/>
    <w:rsid w:val="31CA07FE"/>
    <w:rsid w:val="31D17A53"/>
    <w:rsid w:val="31DC0FAC"/>
    <w:rsid w:val="31DF0D5A"/>
    <w:rsid w:val="31E17928"/>
    <w:rsid w:val="31E74820"/>
    <w:rsid w:val="31E81A03"/>
    <w:rsid w:val="31E94FC6"/>
    <w:rsid w:val="31F61A1B"/>
    <w:rsid w:val="31F670A3"/>
    <w:rsid w:val="31F70DAF"/>
    <w:rsid w:val="32047FD3"/>
    <w:rsid w:val="320B7E26"/>
    <w:rsid w:val="32105071"/>
    <w:rsid w:val="32163615"/>
    <w:rsid w:val="321B430D"/>
    <w:rsid w:val="321C5392"/>
    <w:rsid w:val="32230823"/>
    <w:rsid w:val="322668D8"/>
    <w:rsid w:val="322719D1"/>
    <w:rsid w:val="32310AA3"/>
    <w:rsid w:val="323729B1"/>
    <w:rsid w:val="324268AB"/>
    <w:rsid w:val="32462DB7"/>
    <w:rsid w:val="324D46B7"/>
    <w:rsid w:val="3254488A"/>
    <w:rsid w:val="32551C6D"/>
    <w:rsid w:val="32577EB1"/>
    <w:rsid w:val="3259274E"/>
    <w:rsid w:val="325C5B7B"/>
    <w:rsid w:val="325F6400"/>
    <w:rsid w:val="326027DA"/>
    <w:rsid w:val="32604FD9"/>
    <w:rsid w:val="32630D2C"/>
    <w:rsid w:val="326A70A2"/>
    <w:rsid w:val="326D2493"/>
    <w:rsid w:val="32726783"/>
    <w:rsid w:val="32765185"/>
    <w:rsid w:val="327A68FF"/>
    <w:rsid w:val="328A01D2"/>
    <w:rsid w:val="328E046F"/>
    <w:rsid w:val="328F58BE"/>
    <w:rsid w:val="328F59C8"/>
    <w:rsid w:val="32983FFE"/>
    <w:rsid w:val="329A448B"/>
    <w:rsid w:val="329A520A"/>
    <w:rsid w:val="329B6CCF"/>
    <w:rsid w:val="32A719B5"/>
    <w:rsid w:val="32AD5B81"/>
    <w:rsid w:val="32AD71C9"/>
    <w:rsid w:val="32AF377A"/>
    <w:rsid w:val="32B0390C"/>
    <w:rsid w:val="32B24C95"/>
    <w:rsid w:val="32B360BF"/>
    <w:rsid w:val="32C03641"/>
    <w:rsid w:val="32C7109D"/>
    <w:rsid w:val="32CB5E99"/>
    <w:rsid w:val="32CC2F1C"/>
    <w:rsid w:val="32CC477F"/>
    <w:rsid w:val="32CE6E5F"/>
    <w:rsid w:val="32D14E69"/>
    <w:rsid w:val="32D33758"/>
    <w:rsid w:val="32DA54BE"/>
    <w:rsid w:val="32E63303"/>
    <w:rsid w:val="32F044CC"/>
    <w:rsid w:val="32F4484B"/>
    <w:rsid w:val="32F5252B"/>
    <w:rsid w:val="32F713A9"/>
    <w:rsid w:val="32FA1580"/>
    <w:rsid w:val="32FD55B9"/>
    <w:rsid w:val="33035FB6"/>
    <w:rsid w:val="330A0553"/>
    <w:rsid w:val="33161994"/>
    <w:rsid w:val="331B6BE3"/>
    <w:rsid w:val="3322340F"/>
    <w:rsid w:val="33246742"/>
    <w:rsid w:val="332C0639"/>
    <w:rsid w:val="33341F40"/>
    <w:rsid w:val="33355B84"/>
    <w:rsid w:val="333759A3"/>
    <w:rsid w:val="333E30D1"/>
    <w:rsid w:val="333E5126"/>
    <w:rsid w:val="33425DFB"/>
    <w:rsid w:val="33465D24"/>
    <w:rsid w:val="33473357"/>
    <w:rsid w:val="334759F0"/>
    <w:rsid w:val="334C3619"/>
    <w:rsid w:val="334E2360"/>
    <w:rsid w:val="3351600D"/>
    <w:rsid w:val="33553AC6"/>
    <w:rsid w:val="33591854"/>
    <w:rsid w:val="335A4CD5"/>
    <w:rsid w:val="336479D8"/>
    <w:rsid w:val="33682269"/>
    <w:rsid w:val="336B02CC"/>
    <w:rsid w:val="336B05EF"/>
    <w:rsid w:val="336B340E"/>
    <w:rsid w:val="336C2314"/>
    <w:rsid w:val="337036D5"/>
    <w:rsid w:val="33756CFB"/>
    <w:rsid w:val="337A10E0"/>
    <w:rsid w:val="337B615B"/>
    <w:rsid w:val="337E7160"/>
    <w:rsid w:val="338021C7"/>
    <w:rsid w:val="33813286"/>
    <w:rsid w:val="3383761B"/>
    <w:rsid w:val="338E79C2"/>
    <w:rsid w:val="339634C4"/>
    <w:rsid w:val="33971FC7"/>
    <w:rsid w:val="339B760E"/>
    <w:rsid w:val="339E747E"/>
    <w:rsid w:val="33A0774B"/>
    <w:rsid w:val="33A151EC"/>
    <w:rsid w:val="33A345AD"/>
    <w:rsid w:val="33AD33B7"/>
    <w:rsid w:val="33BE34B8"/>
    <w:rsid w:val="33C31D27"/>
    <w:rsid w:val="33C54C67"/>
    <w:rsid w:val="33C74979"/>
    <w:rsid w:val="33C84718"/>
    <w:rsid w:val="33C9767B"/>
    <w:rsid w:val="33CD75A1"/>
    <w:rsid w:val="33D44BF1"/>
    <w:rsid w:val="33D64355"/>
    <w:rsid w:val="33DF4B40"/>
    <w:rsid w:val="33DF6F85"/>
    <w:rsid w:val="33E33102"/>
    <w:rsid w:val="33E56CEF"/>
    <w:rsid w:val="33EB69AF"/>
    <w:rsid w:val="33ED0A9C"/>
    <w:rsid w:val="33F24E3A"/>
    <w:rsid w:val="34005321"/>
    <w:rsid w:val="34031552"/>
    <w:rsid w:val="340452CB"/>
    <w:rsid w:val="341203E4"/>
    <w:rsid w:val="34142D03"/>
    <w:rsid w:val="341750CD"/>
    <w:rsid w:val="341A650A"/>
    <w:rsid w:val="341E1B65"/>
    <w:rsid w:val="342507B0"/>
    <w:rsid w:val="34255B33"/>
    <w:rsid w:val="342703F6"/>
    <w:rsid w:val="342D6DD3"/>
    <w:rsid w:val="3434138E"/>
    <w:rsid w:val="34341957"/>
    <w:rsid w:val="34373000"/>
    <w:rsid w:val="343A1FD1"/>
    <w:rsid w:val="343A3525"/>
    <w:rsid w:val="343D56DE"/>
    <w:rsid w:val="3441506E"/>
    <w:rsid w:val="344A193A"/>
    <w:rsid w:val="344F5895"/>
    <w:rsid w:val="345346E5"/>
    <w:rsid w:val="34591983"/>
    <w:rsid w:val="345B54B7"/>
    <w:rsid w:val="345D6C77"/>
    <w:rsid w:val="346025ED"/>
    <w:rsid w:val="34732B4F"/>
    <w:rsid w:val="347749B1"/>
    <w:rsid w:val="34786DD7"/>
    <w:rsid w:val="34792FD9"/>
    <w:rsid w:val="34874B0F"/>
    <w:rsid w:val="348A7D9E"/>
    <w:rsid w:val="348C4321"/>
    <w:rsid w:val="349145AF"/>
    <w:rsid w:val="34951185"/>
    <w:rsid w:val="34A40ADF"/>
    <w:rsid w:val="34A45844"/>
    <w:rsid w:val="34A7379F"/>
    <w:rsid w:val="34AB0D8B"/>
    <w:rsid w:val="34AF6424"/>
    <w:rsid w:val="34B039FD"/>
    <w:rsid w:val="34B56F53"/>
    <w:rsid w:val="34B80901"/>
    <w:rsid w:val="34BB0639"/>
    <w:rsid w:val="34BD2FAF"/>
    <w:rsid w:val="34BF7AA7"/>
    <w:rsid w:val="34C17A22"/>
    <w:rsid w:val="34CB6FB3"/>
    <w:rsid w:val="34CC1945"/>
    <w:rsid w:val="34CC2CD2"/>
    <w:rsid w:val="34D102BB"/>
    <w:rsid w:val="34D84AB6"/>
    <w:rsid w:val="34D938DB"/>
    <w:rsid w:val="34E066B5"/>
    <w:rsid w:val="34E258D0"/>
    <w:rsid w:val="34E343D5"/>
    <w:rsid w:val="34E62FE8"/>
    <w:rsid w:val="34EB0B1B"/>
    <w:rsid w:val="34F51B6D"/>
    <w:rsid w:val="34F717A0"/>
    <w:rsid w:val="34FA43D3"/>
    <w:rsid w:val="34FB3335"/>
    <w:rsid w:val="34FC69D0"/>
    <w:rsid w:val="34FE042C"/>
    <w:rsid w:val="34FE6430"/>
    <w:rsid w:val="35025C5F"/>
    <w:rsid w:val="350834D8"/>
    <w:rsid w:val="350A46D3"/>
    <w:rsid w:val="350B25C8"/>
    <w:rsid w:val="350F7A66"/>
    <w:rsid w:val="35162EE6"/>
    <w:rsid w:val="35194185"/>
    <w:rsid w:val="352073AB"/>
    <w:rsid w:val="352077CC"/>
    <w:rsid w:val="352356A4"/>
    <w:rsid w:val="35274AB1"/>
    <w:rsid w:val="352A702D"/>
    <w:rsid w:val="352D1907"/>
    <w:rsid w:val="35312264"/>
    <w:rsid w:val="353143AD"/>
    <w:rsid w:val="35324A24"/>
    <w:rsid w:val="354371E1"/>
    <w:rsid w:val="354A34AE"/>
    <w:rsid w:val="354B0A1B"/>
    <w:rsid w:val="354D5838"/>
    <w:rsid w:val="355015AB"/>
    <w:rsid w:val="355351F4"/>
    <w:rsid w:val="355467C3"/>
    <w:rsid w:val="355A07E0"/>
    <w:rsid w:val="355E36F7"/>
    <w:rsid w:val="355E64AB"/>
    <w:rsid w:val="35622AE8"/>
    <w:rsid w:val="35632F83"/>
    <w:rsid w:val="35681206"/>
    <w:rsid w:val="356E2E23"/>
    <w:rsid w:val="35707C33"/>
    <w:rsid w:val="357137DA"/>
    <w:rsid w:val="35767455"/>
    <w:rsid w:val="357935FB"/>
    <w:rsid w:val="357F21C7"/>
    <w:rsid w:val="35825FFA"/>
    <w:rsid w:val="35833526"/>
    <w:rsid w:val="35856DA7"/>
    <w:rsid w:val="35897166"/>
    <w:rsid w:val="358A230C"/>
    <w:rsid w:val="358D2EA1"/>
    <w:rsid w:val="358D5978"/>
    <w:rsid w:val="359431CD"/>
    <w:rsid w:val="35943678"/>
    <w:rsid w:val="35951B8B"/>
    <w:rsid w:val="35984702"/>
    <w:rsid w:val="359905D1"/>
    <w:rsid w:val="35992A89"/>
    <w:rsid w:val="359947F0"/>
    <w:rsid w:val="359C50CC"/>
    <w:rsid w:val="359D72FD"/>
    <w:rsid w:val="35A57E53"/>
    <w:rsid w:val="35AB0E5E"/>
    <w:rsid w:val="35AE39D2"/>
    <w:rsid w:val="35B06551"/>
    <w:rsid w:val="35B12069"/>
    <w:rsid w:val="35B3433D"/>
    <w:rsid w:val="35BF5271"/>
    <w:rsid w:val="35C72639"/>
    <w:rsid w:val="35C81D84"/>
    <w:rsid w:val="35D01B5C"/>
    <w:rsid w:val="35D1215A"/>
    <w:rsid w:val="35D672C9"/>
    <w:rsid w:val="35D9159D"/>
    <w:rsid w:val="35D96B3C"/>
    <w:rsid w:val="35DC360F"/>
    <w:rsid w:val="35E31043"/>
    <w:rsid w:val="35E32C86"/>
    <w:rsid w:val="35E755BB"/>
    <w:rsid w:val="35E86821"/>
    <w:rsid w:val="35EE4B31"/>
    <w:rsid w:val="35F014D0"/>
    <w:rsid w:val="35F35F7F"/>
    <w:rsid w:val="35F4051D"/>
    <w:rsid w:val="35F740EF"/>
    <w:rsid w:val="35F851EB"/>
    <w:rsid w:val="35FC4A5B"/>
    <w:rsid w:val="35FC516A"/>
    <w:rsid w:val="36070B55"/>
    <w:rsid w:val="360E594A"/>
    <w:rsid w:val="360F3EAE"/>
    <w:rsid w:val="361E47DB"/>
    <w:rsid w:val="362A136C"/>
    <w:rsid w:val="36337E00"/>
    <w:rsid w:val="36356B4E"/>
    <w:rsid w:val="3646085E"/>
    <w:rsid w:val="36536C38"/>
    <w:rsid w:val="365A206A"/>
    <w:rsid w:val="365B65BE"/>
    <w:rsid w:val="365E7E0E"/>
    <w:rsid w:val="36614B35"/>
    <w:rsid w:val="3670423F"/>
    <w:rsid w:val="367600B5"/>
    <w:rsid w:val="367D568E"/>
    <w:rsid w:val="368150B4"/>
    <w:rsid w:val="36826BB7"/>
    <w:rsid w:val="36846B7B"/>
    <w:rsid w:val="368671DB"/>
    <w:rsid w:val="36896196"/>
    <w:rsid w:val="368F2AEF"/>
    <w:rsid w:val="36916C85"/>
    <w:rsid w:val="369545AC"/>
    <w:rsid w:val="3697479E"/>
    <w:rsid w:val="36995B24"/>
    <w:rsid w:val="36A330EA"/>
    <w:rsid w:val="36A9271D"/>
    <w:rsid w:val="36AD7F1D"/>
    <w:rsid w:val="36AF4049"/>
    <w:rsid w:val="36AF7F31"/>
    <w:rsid w:val="36B4400F"/>
    <w:rsid w:val="36B862E4"/>
    <w:rsid w:val="36BA392C"/>
    <w:rsid w:val="36BF0C6F"/>
    <w:rsid w:val="36C461C1"/>
    <w:rsid w:val="36C57822"/>
    <w:rsid w:val="36C84E0C"/>
    <w:rsid w:val="36D14731"/>
    <w:rsid w:val="36D20A1A"/>
    <w:rsid w:val="36D54BDA"/>
    <w:rsid w:val="36E04CC1"/>
    <w:rsid w:val="36F37E08"/>
    <w:rsid w:val="36FD435E"/>
    <w:rsid w:val="370112BD"/>
    <w:rsid w:val="370232D9"/>
    <w:rsid w:val="370D0492"/>
    <w:rsid w:val="37103D87"/>
    <w:rsid w:val="371637F4"/>
    <w:rsid w:val="371B10D7"/>
    <w:rsid w:val="371D795C"/>
    <w:rsid w:val="371F0B58"/>
    <w:rsid w:val="371F5A38"/>
    <w:rsid w:val="37214B2D"/>
    <w:rsid w:val="37264066"/>
    <w:rsid w:val="37297D3B"/>
    <w:rsid w:val="372D6EAC"/>
    <w:rsid w:val="373013B9"/>
    <w:rsid w:val="373040ED"/>
    <w:rsid w:val="37316D3E"/>
    <w:rsid w:val="37362CE0"/>
    <w:rsid w:val="373910B0"/>
    <w:rsid w:val="373A2426"/>
    <w:rsid w:val="373D3203"/>
    <w:rsid w:val="37471C8C"/>
    <w:rsid w:val="374B0FF8"/>
    <w:rsid w:val="37506D2E"/>
    <w:rsid w:val="37507F1F"/>
    <w:rsid w:val="37515C28"/>
    <w:rsid w:val="375C0348"/>
    <w:rsid w:val="375C37FB"/>
    <w:rsid w:val="375C7E79"/>
    <w:rsid w:val="37605F94"/>
    <w:rsid w:val="376112CD"/>
    <w:rsid w:val="37693235"/>
    <w:rsid w:val="3769431F"/>
    <w:rsid w:val="376B0F23"/>
    <w:rsid w:val="37735862"/>
    <w:rsid w:val="37780E53"/>
    <w:rsid w:val="37783A63"/>
    <w:rsid w:val="377E4650"/>
    <w:rsid w:val="378425EB"/>
    <w:rsid w:val="378655B5"/>
    <w:rsid w:val="3789523A"/>
    <w:rsid w:val="378C7B02"/>
    <w:rsid w:val="378D5707"/>
    <w:rsid w:val="379445D2"/>
    <w:rsid w:val="3799369D"/>
    <w:rsid w:val="379A3633"/>
    <w:rsid w:val="379B42E2"/>
    <w:rsid w:val="37A96547"/>
    <w:rsid w:val="37A97CB2"/>
    <w:rsid w:val="37AA694C"/>
    <w:rsid w:val="37AF26DD"/>
    <w:rsid w:val="37B85CD6"/>
    <w:rsid w:val="37BA22D8"/>
    <w:rsid w:val="37C23B40"/>
    <w:rsid w:val="37C50EF6"/>
    <w:rsid w:val="37D2040B"/>
    <w:rsid w:val="37DF1F1A"/>
    <w:rsid w:val="37E056E9"/>
    <w:rsid w:val="37E554B9"/>
    <w:rsid w:val="37E57E8B"/>
    <w:rsid w:val="37E620C6"/>
    <w:rsid w:val="37E7673D"/>
    <w:rsid w:val="37E97171"/>
    <w:rsid w:val="37EB3FB6"/>
    <w:rsid w:val="37ED223A"/>
    <w:rsid w:val="37F03ADF"/>
    <w:rsid w:val="37F343F4"/>
    <w:rsid w:val="37F60AA3"/>
    <w:rsid w:val="37FB4482"/>
    <w:rsid w:val="38056DF8"/>
    <w:rsid w:val="380B19FA"/>
    <w:rsid w:val="380E2254"/>
    <w:rsid w:val="38131ACA"/>
    <w:rsid w:val="38170D4B"/>
    <w:rsid w:val="381A130E"/>
    <w:rsid w:val="381B740F"/>
    <w:rsid w:val="381B7825"/>
    <w:rsid w:val="38224E1C"/>
    <w:rsid w:val="38281240"/>
    <w:rsid w:val="382A1893"/>
    <w:rsid w:val="382D217C"/>
    <w:rsid w:val="38351E65"/>
    <w:rsid w:val="383718A4"/>
    <w:rsid w:val="383B2E2C"/>
    <w:rsid w:val="3841249F"/>
    <w:rsid w:val="38486C8D"/>
    <w:rsid w:val="384F48E5"/>
    <w:rsid w:val="384F713C"/>
    <w:rsid w:val="3855540A"/>
    <w:rsid w:val="38573D53"/>
    <w:rsid w:val="385D3128"/>
    <w:rsid w:val="386506B8"/>
    <w:rsid w:val="3868369E"/>
    <w:rsid w:val="386A0237"/>
    <w:rsid w:val="387E3B2C"/>
    <w:rsid w:val="387F522B"/>
    <w:rsid w:val="3881239D"/>
    <w:rsid w:val="38873838"/>
    <w:rsid w:val="388A3C1A"/>
    <w:rsid w:val="388E6443"/>
    <w:rsid w:val="389430E0"/>
    <w:rsid w:val="389453C7"/>
    <w:rsid w:val="38976BD6"/>
    <w:rsid w:val="389805D2"/>
    <w:rsid w:val="38A21675"/>
    <w:rsid w:val="38AA4124"/>
    <w:rsid w:val="38B70956"/>
    <w:rsid w:val="38C70236"/>
    <w:rsid w:val="38D05E37"/>
    <w:rsid w:val="38DE0BF8"/>
    <w:rsid w:val="38DE7AE0"/>
    <w:rsid w:val="38E56019"/>
    <w:rsid w:val="38E8375D"/>
    <w:rsid w:val="38EA2B28"/>
    <w:rsid w:val="38ED401C"/>
    <w:rsid w:val="38EF0332"/>
    <w:rsid w:val="38F01CA0"/>
    <w:rsid w:val="38F32271"/>
    <w:rsid w:val="38F36C1F"/>
    <w:rsid w:val="38F47154"/>
    <w:rsid w:val="3906463C"/>
    <w:rsid w:val="39072981"/>
    <w:rsid w:val="3909120F"/>
    <w:rsid w:val="39131441"/>
    <w:rsid w:val="39132ECC"/>
    <w:rsid w:val="3922778B"/>
    <w:rsid w:val="39253698"/>
    <w:rsid w:val="392B174C"/>
    <w:rsid w:val="393361D9"/>
    <w:rsid w:val="39374954"/>
    <w:rsid w:val="393A582E"/>
    <w:rsid w:val="393B3A82"/>
    <w:rsid w:val="393E5CF0"/>
    <w:rsid w:val="39406985"/>
    <w:rsid w:val="39494D7F"/>
    <w:rsid w:val="39516EE2"/>
    <w:rsid w:val="39575728"/>
    <w:rsid w:val="395B67D7"/>
    <w:rsid w:val="395D3727"/>
    <w:rsid w:val="395E0FE4"/>
    <w:rsid w:val="395F2068"/>
    <w:rsid w:val="396056C6"/>
    <w:rsid w:val="396153FE"/>
    <w:rsid w:val="39644A60"/>
    <w:rsid w:val="3965721D"/>
    <w:rsid w:val="39735B99"/>
    <w:rsid w:val="39740ED8"/>
    <w:rsid w:val="39785EC1"/>
    <w:rsid w:val="397A2A00"/>
    <w:rsid w:val="397D49B5"/>
    <w:rsid w:val="397D5B1B"/>
    <w:rsid w:val="397F1EE3"/>
    <w:rsid w:val="39833D9F"/>
    <w:rsid w:val="39854CF8"/>
    <w:rsid w:val="39861CE0"/>
    <w:rsid w:val="39872D82"/>
    <w:rsid w:val="398A15C2"/>
    <w:rsid w:val="399046EB"/>
    <w:rsid w:val="399112C4"/>
    <w:rsid w:val="3999691A"/>
    <w:rsid w:val="39A26448"/>
    <w:rsid w:val="39AC28BE"/>
    <w:rsid w:val="39AD5234"/>
    <w:rsid w:val="39AE0F2C"/>
    <w:rsid w:val="39B056EF"/>
    <w:rsid w:val="39B575D5"/>
    <w:rsid w:val="39B676E7"/>
    <w:rsid w:val="39BE4D4B"/>
    <w:rsid w:val="39BF0821"/>
    <w:rsid w:val="39C62191"/>
    <w:rsid w:val="39C661F7"/>
    <w:rsid w:val="39CA08DB"/>
    <w:rsid w:val="39CE4384"/>
    <w:rsid w:val="39D147E0"/>
    <w:rsid w:val="39D17890"/>
    <w:rsid w:val="39D27584"/>
    <w:rsid w:val="39D63DF5"/>
    <w:rsid w:val="39D768AB"/>
    <w:rsid w:val="39D77F3A"/>
    <w:rsid w:val="39E17299"/>
    <w:rsid w:val="39E17F37"/>
    <w:rsid w:val="39E37C4D"/>
    <w:rsid w:val="39E753A3"/>
    <w:rsid w:val="39EA336A"/>
    <w:rsid w:val="39F5567B"/>
    <w:rsid w:val="39FB3BBF"/>
    <w:rsid w:val="3A016441"/>
    <w:rsid w:val="3A0A381A"/>
    <w:rsid w:val="3A12275B"/>
    <w:rsid w:val="3A1A45B0"/>
    <w:rsid w:val="3A1A6280"/>
    <w:rsid w:val="3A1D0D35"/>
    <w:rsid w:val="3A231242"/>
    <w:rsid w:val="3A25205C"/>
    <w:rsid w:val="3A293797"/>
    <w:rsid w:val="3A2F48C8"/>
    <w:rsid w:val="3A3146E1"/>
    <w:rsid w:val="3A3454DA"/>
    <w:rsid w:val="3A3F1EA6"/>
    <w:rsid w:val="3A414FEF"/>
    <w:rsid w:val="3A45084A"/>
    <w:rsid w:val="3A480EB5"/>
    <w:rsid w:val="3A495F01"/>
    <w:rsid w:val="3A4A20C9"/>
    <w:rsid w:val="3A4C4F64"/>
    <w:rsid w:val="3A4E6B45"/>
    <w:rsid w:val="3A50246F"/>
    <w:rsid w:val="3A590B73"/>
    <w:rsid w:val="3A5B09CB"/>
    <w:rsid w:val="3A5C633E"/>
    <w:rsid w:val="3A647014"/>
    <w:rsid w:val="3A653C40"/>
    <w:rsid w:val="3A6E0581"/>
    <w:rsid w:val="3A6E7C95"/>
    <w:rsid w:val="3A807C69"/>
    <w:rsid w:val="3A8B0AD7"/>
    <w:rsid w:val="3A941CB5"/>
    <w:rsid w:val="3A945B54"/>
    <w:rsid w:val="3A976819"/>
    <w:rsid w:val="3A9D50F1"/>
    <w:rsid w:val="3A9F7D54"/>
    <w:rsid w:val="3AA60207"/>
    <w:rsid w:val="3AA60A7D"/>
    <w:rsid w:val="3AB03D8B"/>
    <w:rsid w:val="3AB55AC6"/>
    <w:rsid w:val="3AB75243"/>
    <w:rsid w:val="3AC644E2"/>
    <w:rsid w:val="3AC6699E"/>
    <w:rsid w:val="3AC80819"/>
    <w:rsid w:val="3ACB3F5F"/>
    <w:rsid w:val="3ACD0FF5"/>
    <w:rsid w:val="3AD55B5D"/>
    <w:rsid w:val="3ADE760E"/>
    <w:rsid w:val="3AE02C69"/>
    <w:rsid w:val="3AE0730D"/>
    <w:rsid w:val="3AE07B55"/>
    <w:rsid w:val="3AE37886"/>
    <w:rsid w:val="3AE521AE"/>
    <w:rsid w:val="3AE74F1A"/>
    <w:rsid w:val="3AED72D3"/>
    <w:rsid w:val="3AEF1468"/>
    <w:rsid w:val="3AF30F01"/>
    <w:rsid w:val="3AFA41FD"/>
    <w:rsid w:val="3B000DA9"/>
    <w:rsid w:val="3B023046"/>
    <w:rsid w:val="3B04562C"/>
    <w:rsid w:val="3B117104"/>
    <w:rsid w:val="3B1A3530"/>
    <w:rsid w:val="3B2718B3"/>
    <w:rsid w:val="3B2B5606"/>
    <w:rsid w:val="3B2E5B25"/>
    <w:rsid w:val="3B350697"/>
    <w:rsid w:val="3B354D35"/>
    <w:rsid w:val="3B3622D0"/>
    <w:rsid w:val="3B375EB8"/>
    <w:rsid w:val="3B392688"/>
    <w:rsid w:val="3B3B62FD"/>
    <w:rsid w:val="3B3C18C7"/>
    <w:rsid w:val="3B3C6DF2"/>
    <w:rsid w:val="3B3E38AF"/>
    <w:rsid w:val="3B3F2791"/>
    <w:rsid w:val="3B446363"/>
    <w:rsid w:val="3B4513FD"/>
    <w:rsid w:val="3B4C4A86"/>
    <w:rsid w:val="3B4F5F67"/>
    <w:rsid w:val="3B510980"/>
    <w:rsid w:val="3B5221A9"/>
    <w:rsid w:val="3B52265F"/>
    <w:rsid w:val="3B53035A"/>
    <w:rsid w:val="3B555B09"/>
    <w:rsid w:val="3B6647A2"/>
    <w:rsid w:val="3B6848D1"/>
    <w:rsid w:val="3B6B1F7F"/>
    <w:rsid w:val="3B6C71FD"/>
    <w:rsid w:val="3B765033"/>
    <w:rsid w:val="3B7736CD"/>
    <w:rsid w:val="3B817A50"/>
    <w:rsid w:val="3B935BE5"/>
    <w:rsid w:val="3B93643E"/>
    <w:rsid w:val="3B987CF0"/>
    <w:rsid w:val="3B9A6036"/>
    <w:rsid w:val="3B9B47B2"/>
    <w:rsid w:val="3BA02E64"/>
    <w:rsid w:val="3BA354A0"/>
    <w:rsid w:val="3BA54AD4"/>
    <w:rsid w:val="3BA54DC4"/>
    <w:rsid w:val="3BA60B05"/>
    <w:rsid w:val="3BA72FD3"/>
    <w:rsid w:val="3BA909B7"/>
    <w:rsid w:val="3BAB142B"/>
    <w:rsid w:val="3BAB4931"/>
    <w:rsid w:val="3BAF3C0A"/>
    <w:rsid w:val="3BBF69FF"/>
    <w:rsid w:val="3BC01B15"/>
    <w:rsid w:val="3BC606C7"/>
    <w:rsid w:val="3BCD6F5D"/>
    <w:rsid w:val="3BD016F4"/>
    <w:rsid w:val="3BD87E79"/>
    <w:rsid w:val="3BD90CBE"/>
    <w:rsid w:val="3BE35833"/>
    <w:rsid w:val="3BE6719F"/>
    <w:rsid w:val="3BE71B4E"/>
    <w:rsid w:val="3BEC2F40"/>
    <w:rsid w:val="3BEF1950"/>
    <w:rsid w:val="3BF01254"/>
    <w:rsid w:val="3BF2410D"/>
    <w:rsid w:val="3BFE45C5"/>
    <w:rsid w:val="3C040BC1"/>
    <w:rsid w:val="3C046FE7"/>
    <w:rsid w:val="3C0623B6"/>
    <w:rsid w:val="3C0E75D1"/>
    <w:rsid w:val="3C1B0E26"/>
    <w:rsid w:val="3C1E143E"/>
    <w:rsid w:val="3C1E2AAA"/>
    <w:rsid w:val="3C220DE6"/>
    <w:rsid w:val="3C245169"/>
    <w:rsid w:val="3C2822BA"/>
    <w:rsid w:val="3C2B0759"/>
    <w:rsid w:val="3C2C4A60"/>
    <w:rsid w:val="3C2D79AB"/>
    <w:rsid w:val="3C3C4FFE"/>
    <w:rsid w:val="3C3C5704"/>
    <w:rsid w:val="3C3F0CD9"/>
    <w:rsid w:val="3C400BB2"/>
    <w:rsid w:val="3C411D4E"/>
    <w:rsid w:val="3C4626A4"/>
    <w:rsid w:val="3C490EF2"/>
    <w:rsid w:val="3C5259B5"/>
    <w:rsid w:val="3C626E09"/>
    <w:rsid w:val="3C6A6658"/>
    <w:rsid w:val="3C6F0C52"/>
    <w:rsid w:val="3C741EF6"/>
    <w:rsid w:val="3C7B1365"/>
    <w:rsid w:val="3C7D4EFF"/>
    <w:rsid w:val="3C7E315A"/>
    <w:rsid w:val="3C7F11C1"/>
    <w:rsid w:val="3C847603"/>
    <w:rsid w:val="3C87230F"/>
    <w:rsid w:val="3C8C1908"/>
    <w:rsid w:val="3C9214D0"/>
    <w:rsid w:val="3C996A14"/>
    <w:rsid w:val="3C997808"/>
    <w:rsid w:val="3C9A203A"/>
    <w:rsid w:val="3CA57838"/>
    <w:rsid w:val="3CA9129D"/>
    <w:rsid w:val="3CAA4DB7"/>
    <w:rsid w:val="3CAD3398"/>
    <w:rsid w:val="3CAD5E95"/>
    <w:rsid w:val="3CB9302A"/>
    <w:rsid w:val="3CBA357F"/>
    <w:rsid w:val="3CBB33C6"/>
    <w:rsid w:val="3CBB5DB9"/>
    <w:rsid w:val="3CBC162C"/>
    <w:rsid w:val="3CC349A3"/>
    <w:rsid w:val="3CC87429"/>
    <w:rsid w:val="3CCF7CF5"/>
    <w:rsid w:val="3CD0019F"/>
    <w:rsid w:val="3CD5416A"/>
    <w:rsid w:val="3CD6200D"/>
    <w:rsid w:val="3CDE57B9"/>
    <w:rsid w:val="3CE32FCF"/>
    <w:rsid w:val="3CF4056C"/>
    <w:rsid w:val="3CF41384"/>
    <w:rsid w:val="3CF55189"/>
    <w:rsid w:val="3CF5542F"/>
    <w:rsid w:val="3CFA6E0D"/>
    <w:rsid w:val="3CFB3E62"/>
    <w:rsid w:val="3CFC166D"/>
    <w:rsid w:val="3CFC3FE9"/>
    <w:rsid w:val="3CFE7F7F"/>
    <w:rsid w:val="3D01150F"/>
    <w:rsid w:val="3D0219A8"/>
    <w:rsid w:val="3D032A39"/>
    <w:rsid w:val="3D077765"/>
    <w:rsid w:val="3D0808BA"/>
    <w:rsid w:val="3D0941B8"/>
    <w:rsid w:val="3D105044"/>
    <w:rsid w:val="3D105C07"/>
    <w:rsid w:val="3D117545"/>
    <w:rsid w:val="3D16327B"/>
    <w:rsid w:val="3D1A2EF8"/>
    <w:rsid w:val="3D2064DF"/>
    <w:rsid w:val="3D216EE8"/>
    <w:rsid w:val="3D237D9B"/>
    <w:rsid w:val="3D272BAB"/>
    <w:rsid w:val="3D275CE0"/>
    <w:rsid w:val="3D2E2903"/>
    <w:rsid w:val="3D303F03"/>
    <w:rsid w:val="3D33448E"/>
    <w:rsid w:val="3D392968"/>
    <w:rsid w:val="3D3B568D"/>
    <w:rsid w:val="3D3E0956"/>
    <w:rsid w:val="3D415B70"/>
    <w:rsid w:val="3D4239DC"/>
    <w:rsid w:val="3D432F13"/>
    <w:rsid w:val="3D493CB9"/>
    <w:rsid w:val="3D4B7BFF"/>
    <w:rsid w:val="3D4C0E2A"/>
    <w:rsid w:val="3D4C24A6"/>
    <w:rsid w:val="3D4D1A91"/>
    <w:rsid w:val="3D5047B9"/>
    <w:rsid w:val="3D53667C"/>
    <w:rsid w:val="3D562A0A"/>
    <w:rsid w:val="3D5A0FE2"/>
    <w:rsid w:val="3D5B6766"/>
    <w:rsid w:val="3D617148"/>
    <w:rsid w:val="3D6F22D8"/>
    <w:rsid w:val="3D705B3C"/>
    <w:rsid w:val="3D7422E1"/>
    <w:rsid w:val="3D767660"/>
    <w:rsid w:val="3D7C2106"/>
    <w:rsid w:val="3D821E6E"/>
    <w:rsid w:val="3D920A88"/>
    <w:rsid w:val="3D994349"/>
    <w:rsid w:val="3D994A0B"/>
    <w:rsid w:val="3DA810DF"/>
    <w:rsid w:val="3DAE2798"/>
    <w:rsid w:val="3DB74537"/>
    <w:rsid w:val="3DB76373"/>
    <w:rsid w:val="3DBC395E"/>
    <w:rsid w:val="3DC6435D"/>
    <w:rsid w:val="3DC6707B"/>
    <w:rsid w:val="3DC673C3"/>
    <w:rsid w:val="3DCA413F"/>
    <w:rsid w:val="3DCB75A1"/>
    <w:rsid w:val="3DD16860"/>
    <w:rsid w:val="3DD3781E"/>
    <w:rsid w:val="3DD83E80"/>
    <w:rsid w:val="3DDC2DAA"/>
    <w:rsid w:val="3DDD001B"/>
    <w:rsid w:val="3DE4001E"/>
    <w:rsid w:val="3DE4563B"/>
    <w:rsid w:val="3DEF018E"/>
    <w:rsid w:val="3DF01F53"/>
    <w:rsid w:val="3E005D6E"/>
    <w:rsid w:val="3E0C7B42"/>
    <w:rsid w:val="3E0D663A"/>
    <w:rsid w:val="3E102749"/>
    <w:rsid w:val="3E141122"/>
    <w:rsid w:val="3E1E7D29"/>
    <w:rsid w:val="3E201E94"/>
    <w:rsid w:val="3E2275D2"/>
    <w:rsid w:val="3E245997"/>
    <w:rsid w:val="3E294D39"/>
    <w:rsid w:val="3E2C7AED"/>
    <w:rsid w:val="3E324CE0"/>
    <w:rsid w:val="3E396338"/>
    <w:rsid w:val="3E4868D5"/>
    <w:rsid w:val="3E4946BF"/>
    <w:rsid w:val="3E4B242D"/>
    <w:rsid w:val="3E5D4F51"/>
    <w:rsid w:val="3E671220"/>
    <w:rsid w:val="3E735B83"/>
    <w:rsid w:val="3E736EC3"/>
    <w:rsid w:val="3E75499A"/>
    <w:rsid w:val="3E8C7979"/>
    <w:rsid w:val="3E901298"/>
    <w:rsid w:val="3E955D3B"/>
    <w:rsid w:val="3E961225"/>
    <w:rsid w:val="3E9654C4"/>
    <w:rsid w:val="3E98659E"/>
    <w:rsid w:val="3E997565"/>
    <w:rsid w:val="3E9A4A0E"/>
    <w:rsid w:val="3E9B2BCF"/>
    <w:rsid w:val="3E9E3DBB"/>
    <w:rsid w:val="3EA53A7B"/>
    <w:rsid w:val="3EA73B2B"/>
    <w:rsid w:val="3EB243AC"/>
    <w:rsid w:val="3EB523F9"/>
    <w:rsid w:val="3EB96FF2"/>
    <w:rsid w:val="3EBA37EC"/>
    <w:rsid w:val="3EBD181D"/>
    <w:rsid w:val="3EC24D1A"/>
    <w:rsid w:val="3ECD3D08"/>
    <w:rsid w:val="3ECD7EE6"/>
    <w:rsid w:val="3ED31006"/>
    <w:rsid w:val="3ED64EF9"/>
    <w:rsid w:val="3EE24A54"/>
    <w:rsid w:val="3EE81CFD"/>
    <w:rsid w:val="3EF04129"/>
    <w:rsid w:val="3EF103E4"/>
    <w:rsid w:val="3EF61EF2"/>
    <w:rsid w:val="3EF7467A"/>
    <w:rsid w:val="3EF95752"/>
    <w:rsid w:val="3EF9663C"/>
    <w:rsid w:val="3EFF7F24"/>
    <w:rsid w:val="3F045D72"/>
    <w:rsid w:val="3F046B58"/>
    <w:rsid w:val="3F07344E"/>
    <w:rsid w:val="3F0F1AE2"/>
    <w:rsid w:val="3F13299D"/>
    <w:rsid w:val="3F256F44"/>
    <w:rsid w:val="3F29741A"/>
    <w:rsid w:val="3F3033CE"/>
    <w:rsid w:val="3F327387"/>
    <w:rsid w:val="3F447C1C"/>
    <w:rsid w:val="3F450EBB"/>
    <w:rsid w:val="3F453DDE"/>
    <w:rsid w:val="3F456A3A"/>
    <w:rsid w:val="3F484B0F"/>
    <w:rsid w:val="3F497A4D"/>
    <w:rsid w:val="3F4A20CB"/>
    <w:rsid w:val="3F4A4A1D"/>
    <w:rsid w:val="3F4F59B5"/>
    <w:rsid w:val="3F527384"/>
    <w:rsid w:val="3F550859"/>
    <w:rsid w:val="3F5735D4"/>
    <w:rsid w:val="3F5D4292"/>
    <w:rsid w:val="3F627C21"/>
    <w:rsid w:val="3F64306A"/>
    <w:rsid w:val="3F6A3EA2"/>
    <w:rsid w:val="3F6F02E5"/>
    <w:rsid w:val="3F6F389B"/>
    <w:rsid w:val="3F762402"/>
    <w:rsid w:val="3F793A0B"/>
    <w:rsid w:val="3F860605"/>
    <w:rsid w:val="3F88133D"/>
    <w:rsid w:val="3F931E88"/>
    <w:rsid w:val="3FA25584"/>
    <w:rsid w:val="3FA642B8"/>
    <w:rsid w:val="3FAA2D01"/>
    <w:rsid w:val="3FAA2E6C"/>
    <w:rsid w:val="3FAD2E04"/>
    <w:rsid w:val="3FAF2286"/>
    <w:rsid w:val="3FB20352"/>
    <w:rsid w:val="3FB56891"/>
    <w:rsid w:val="3FB60C7E"/>
    <w:rsid w:val="3FCE78A2"/>
    <w:rsid w:val="3FD7447F"/>
    <w:rsid w:val="3FDB2131"/>
    <w:rsid w:val="3FDD6EE3"/>
    <w:rsid w:val="3FE1481B"/>
    <w:rsid w:val="3FE77ED4"/>
    <w:rsid w:val="3FE82976"/>
    <w:rsid w:val="3FE8408B"/>
    <w:rsid w:val="3FEA3058"/>
    <w:rsid w:val="3FEB0741"/>
    <w:rsid w:val="3FF16E1A"/>
    <w:rsid w:val="3FF42DA4"/>
    <w:rsid w:val="3FF5105F"/>
    <w:rsid w:val="3FF6399F"/>
    <w:rsid w:val="3FFF11BC"/>
    <w:rsid w:val="3FFF31A4"/>
    <w:rsid w:val="4003086A"/>
    <w:rsid w:val="400B14CD"/>
    <w:rsid w:val="401108F1"/>
    <w:rsid w:val="40120699"/>
    <w:rsid w:val="40123B2B"/>
    <w:rsid w:val="4019503F"/>
    <w:rsid w:val="401A23B5"/>
    <w:rsid w:val="401A79CB"/>
    <w:rsid w:val="401B38D2"/>
    <w:rsid w:val="401F4BE9"/>
    <w:rsid w:val="401F724A"/>
    <w:rsid w:val="402178BB"/>
    <w:rsid w:val="40241435"/>
    <w:rsid w:val="402E6576"/>
    <w:rsid w:val="403030C3"/>
    <w:rsid w:val="40372035"/>
    <w:rsid w:val="403F6F98"/>
    <w:rsid w:val="4048150F"/>
    <w:rsid w:val="404B5988"/>
    <w:rsid w:val="404B74D9"/>
    <w:rsid w:val="40607094"/>
    <w:rsid w:val="4064656E"/>
    <w:rsid w:val="406929BA"/>
    <w:rsid w:val="40766361"/>
    <w:rsid w:val="407663D3"/>
    <w:rsid w:val="407733E6"/>
    <w:rsid w:val="40782A28"/>
    <w:rsid w:val="40825E5D"/>
    <w:rsid w:val="40852CBC"/>
    <w:rsid w:val="408A5727"/>
    <w:rsid w:val="408A5F40"/>
    <w:rsid w:val="408B7E2E"/>
    <w:rsid w:val="408E101E"/>
    <w:rsid w:val="40915896"/>
    <w:rsid w:val="4094680C"/>
    <w:rsid w:val="40954EBF"/>
    <w:rsid w:val="409B382D"/>
    <w:rsid w:val="409C2F69"/>
    <w:rsid w:val="409E51F7"/>
    <w:rsid w:val="409F2218"/>
    <w:rsid w:val="40A062B6"/>
    <w:rsid w:val="40A51E55"/>
    <w:rsid w:val="40A8745B"/>
    <w:rsid w:val="40AF70EB"/>
    <w:rsid w:val="40B03C45"/>
    <w:rsid w:val="40B20F09"/>
    <w:rsid w:val="40B34B40"/>
    <w:rsid w:val="40B92411"/>
    <w:rsid w:val="40BC4C6D"/>
    <w:rsid w:val="40BC7777"/>
    <w:rsid w:val="40CC0F86"/>
    <w:rsid w:val="40CF6123"/>
    <w:rsid w:val="40DC6712"/>
    <w:rsid w:val="40DF04BE"/>
    <w:rsid w:val="40E03FFE"/>
    <w:rsid w:val="40E22905"/>
    <w:rsid w:val="40E25BB2"/>
    <w:rsid w:val="40E361EF"/>
    <w:rsid w:val="40E675CB"/>
    <w:rsid w:val="40EB0DF7"/>
    <w:rsid w:val="40EB284C"/>
    <w:rsid w:val="40FC609C"/>
    <w:rsid w:val="40FE0642"/>
    <w:rsid w:val="40FE5ECC"/>
    <w:rsid w:val="41070200"/>
    <w:rsid w:val="410E6DB3"/>
    <w:rsid w:val="41121EAB"/>
    <w:rsid w:val="411827A0"/>
    <w:rsid w:val="411A000B"/>
    <w:rsid w:val="411E16B9"/>
    <w:rsid w:val="41205E23"/>
    <w:rsid w:val="412106FD"/>
    <w:rsid w:val="41233BAD"/>
    <w:rsid w:val="41283F69"/>
    <w:rsid w:val="412C2BCC"/>
    <w:rsid w:val="412F1922"/>
    <w:rsid w:val="4132704B"/>
    <w:rsid w:val="41376F25"/>
    <w:rsid w:val="413913EF"/>
    <w:rsid w:val="413B0D88"/>
    <w:rsid w:val="413B3C05"/>
    <w:rsid w:val="414B4FA7"/>
    <w:rsid w:val="414C7895"/>
    <w:rsid w:val="41505316"/>
    <w:rsid w:val="415E4469"/>
    <w:rsid w:val="41632D7A"/>
    <w:rsid w:val="41653BCF"/>
    <w:rsid w:val="416544EB"/>
    <w:rsid w:val="417670AC"/>
    <w:rsid w:val="41846F40"/>
    <w:rsid w:val="4187445C"/>
    <w:rsid w:val="418B5CD8"/>
    <w:rsid w:val="41942831"/>
    <w:rsid w:val="419445A8"/>
    <w:rsid w:val="419A2E22"/>
    <w:rsid w:val="419D5E32"/>
    <w:rsid w:val="41AB2B8E"/>
    <w:rsid w:val="41B005A6"/>
    <w:rsid w:val="41B0672A"/>
    <w:rsid w:val="41B14684"/>
    <w:rsid w:val="41B35640"/>
    <w:rsid w:val="41B36D63"/>
    <w:rsid w:val="41B7553D"/>
    <w:rsid w:val="41BC71BD"/>
    <w:rsid w:val="41C104C1"/>
    <w:rsid w:val="41C33228"/>
    <w:rsid w:val="41CA6440"/>
    <w:rsid w:val="41CC4E96"/>
    <w:rsid w:val="41D10544"/>
    <w:rsid w:val="41D10EC2"/>
    <w:rsid w:val="41D25904"/>
    <w:rsid w:val="41D35621"/>
    <w:rsid w:val="41D373F6"/>
    <w:rsid w:val="41D47C41"/>
    <w:rsid w:val="41D67E15"/>
    <w:rsid w:val="41D84B18"/>
    <w:rsid w:val="41DE57FA"/>
    <w:rsid w:val="41E449F6"/>
    <w:rsid w:val="41ED0189"/>
    <w:rsid w:val="41ED519D"/>
    <w:rsid w:val="41EF336D"/>
    <w:rsid w:val="41F05B31"/>
    <w:rsid w:val="41FC1540"/>
    <w:rsid w:val="42011021"/>
    <w:rsid w:val="4201188B"/>
    <w:rsid w:val="42022499"/>
    <w:rsid w:val="42055E9C"/>
    <w:rsid w:val="420748E2"/>
    <w:rsid w:val="420E4E3D"/>
    <w:rsid w:val="420E62A2"/>
    <w:rsid w:val="42155A13"/>
    <w:rsid w:val="421D651F"/>
    <w:rsid w:val="421E0C47"/>
    <w:rsid w:val="42217919"/>
    <w:rsid w:val="42244F6A"/>
    <w:rsid w:val="42273FA5"/>
    <w:rsid w:val="42276CE8"/>
    <w:rsid w:val="422A46A1"/>
    <w:rsid w:val="422D564A"/>
    <w:rsid w:val="423076C1"/>
    <w:rsid w:val="423427A0"/>
    <w:rsid w:val="423D0FF3"/>
    <w:rsid w:val="42462468"/>
    <w:rsid w:val="42477DE8"/>
    <w:rsid w:val="424856A4"/>
    <w:rsid w:val="424D4389"/>
    <w:rsid w:val="424F0B3C"/>
    <w:rsid w:val="424F45D1"/>
    <w:rsid w:val="42556587"/>
    <w:rsid w:val="42565034"/>
    <w:rsid w:val="42585565"/>
    <w:rsid w:val="425B2866"/>
    <w:rsid w:val="42612929"/>
    <w:rsid w:val="42637B7B"/>
    <w:rsid w:val="42703C6E"/>
    <w:rsid w:val="42720510"/>
    <w:rsid w:val="42736F99"/>
    <w:rsid w:val="427441CF"/>
    <w:rsid w:val="428103E0"/>
    <w:rsid w:val="42826689"/>
    <w:rsid w:val="42890612"/>
    <w:rsid w:val="42890E5F"/>
    <w:rsid w:val="42956536"/>
    <w:rsid w:val="429B5233"/>
    <w:rsid w:val="429C7F6E"/>
    <w:rsid w:val="42A669FA"/>
    <w:rsid w:val="42AC07EE"/>
    <w:rsid w:val="42AC6CED"/>
    <w:rsid w:val="42AF17EA"/>
    <w:rsid w:val="42B02559"/>
    <w:rsid w:val="42B14C99"/>
    <w:rsid w:val="42B15320"/>
    <w:rsid w:val="42B95577"/>
    <w:rsid w:val="42BA0D66"/>
    <w:rsid w:val="42C81E63"/>
    <w:rsid w:val="42CE2D05"/>
    <w:rsid w:val="42D211C6"/>
    <w:rsid w:val="42D64271"/>
    <w:rsid w:val="42D665D7"/>
    <w:rsid w:val="42D740B6"/>
    <w:rsid w:val="42DD1DEC"/>
    <w:rsid w:val="42DF359A"/>
    <w:rsid w:val="42DF4BDB"/>
    <w:rsid w:val="42E40A74"/>
    <w:rsid w:val="42E44259"/>
    <w:rsid w:val="42E67B9D"/>
    <w:rsid w:val="42E7557B"/>
    <w:rsid w:val="42F3126A"/>
    <w:rsid w:val="42F45D1D"/>
    <w:rsid w:val="42F77626"/>
    <w:rsid w:val="42FD60DF"/>
    <w:rsid w:val="43001F5B"/>
    <w:rsid w:val="43027A2D"/>
    <w:rsid w:val="43065C50"/>
    <w:rsid w:val="43086A84"/>
    <w:rsid w:val="430A4B03"/>
    <w:rsid w:val="430E23FD"/>
    <w:rsid w:val="430E3C97"/>
    <w:rsid w:val="430F2C5C"/>
    <w:rsid w:val="431168F4"/>
    <w:rsid w:val="432173DF"/>
    <w:rsid w:val="432434DD"/>
    <w:rsid w:val="432D6DDF"/>
    <w:rsid w:val="43381B93"/>
    <w:rsid w:val="433F0106"/>
    <w:rsid w:val="433F5C5F"/>
    <w:rsid w:val="43460219"/>
    <w:rsid w:val="43492A03"/>
    <w:rsid w:val="435130DD"/>
    <w:rsid w:val="43555ABC"/>
    <w:rsid w:val="43561F69"/>
    <w:rsid w:val="435D104A"/>
    <w:rsid w:val="435F5D0A"/>
    <w:rsid w:val="43637B42"/>
    <w:rsid w:val="436567A7"/>
    <w:rsid w:val="43695DC3"/>
    <w:rsid w:val="436A0BC3"/>
    <w:rsid w:val="43722A11"/>
    <w:rsid w:val="43731E7B"/>
    <w:rsid w:val="43765E6B"/>
    <w:rsid w:val="43773FA3"/>
    <w:rsid w:val="437C127F"/>
    <w:rsid w:val="437C2E4E"/>
    <w:rsid w:val="437C7972"/>
    <w:rsid w:val="43803C88"/>
    <w:rsid w:val="4388526B"/>
    <w:rsid w:val="438A23F8"/>
    <w:rsid w:val="438A54DC"/>
    <w:rsid w:val="438F5102"/>
    <w:rsid w:val="43987342"/>
    <w:rsid w:val="43A06043"/>
    <w:rsid w:val="43A6772F"/>
    <w:rsid w:val="43AC377B"/>
    <w:rsid w:val="43AD49D9"/>
    <w:rsid w:val="43B73790"/>
    <w:rsid w:val="43B775C5"/>
    <w:rsid w:val="43B847DC"/>
    <w:rsid w:val="43BD743A"/>
    <w:rsid w:val="43C7231E"/>
    <w:rsid w:val="43C80BCB"/>
    <w:rsid w:val="43CC6A9D"/>
    <w:rsid w:val="43D065B7"/>
    <w:rsid w:val="43D63B27"/>
    <w:rsid w:val="43DB748E"/>
    <w:rsid w:val="43DC1DE5"/>
    <w:rsid w:val="43DC2CF4"/>
    <w:rsid w:val="43DC79A0"/>
    <w:rsid w:val="43DE0C8A"/>
    <w:rsid w:val="43E75141"/>
    <w:rsid w:val="43F11046"/>
    <w:rsid w:val="440656E1"/>
    <w:rsid w:val="440713CC"/>
    <w:rsid w:val="440803C4"/>
    <w:rsid w:val="44090FCB"/>
    <w:rsid w:val="440B0A9B"/>
    <w:rsid w:val="440D362F"/>
    <w:rsid w:val="440F2192"/>
    <w:rsid w:val="44165109"/>
    <w:rsid w:val="44192535"/>
    <w:rsid w:val="441F58AC"/>
    <w:rsid w:val="44300A0E"/>
    <w:rsid w:val="443511A7"/>
    <w:rsid w:val="443A248C"/>
    <w:rsid w:val="44471D9B"/>
    <w:rsid w:val="44482070"/>
    <w:rsid w:val="444C28E4"/>
    <w:rsid w:val="444C3242"/>
    <w:rsid w:val="444E4A44"/>
    <w:rsid w:val="44520E9C"/>
    <w:rsid w:val="44533989"/>
    <w:rsid w:val="445901DE"/>
    <w:rsid w:val="445B7218"/>
    <w:rsid w:val="445C24C8"/>
    <w:rsid w:val="445F440A"/>
    <w:rsid w:val="4462172C"/>
    <w:rsid w:val="44624473"/>
    <w:rsid w:val="44633635"/>
    <w:rsid w:val="446E5382"/>
    <w:rsid w:val="4470198B"/>
    <w:rsid w:val="447122CD"/>
    <w:rsid w:val="44723C11"/>
    <w:rsid w:val="447452A5"/>
    <w:rsid w:val="4479337D"/>
    <w:rsid w:val="447A6BFB"/>
    <w:rsid w:val="447F770F"/>
    <w:rsid w:val="448077FB"/>
    <w:rsid w:val="44896F6B"/>
    <w:rsid w:val="44935D08"/>
    <w:rsid w:val="44957197"/>
    <w:rsid w:val="44966287"/>
    <w:rsid w:val="44982FB5"/>
    <w:rsid w:val="44A27909"/>
    <w:rsid w:val="44A748AF"/>
    <w:rsid w:val="44A94703"/>
    <w:rsid w:val="44A97090"/>
    <w:rsid w:val="44AD5D5D"/>
    <w:rsid w:val="44AE6312"/>
    <w:rsid w:val="44B64614"/>
    <w:rsid w:val="44BB052D"/>
    <w:rsid w:val="44C9011A"/>
    <w:rsid w:val="44C941AD"/>
    <w:rsid w:val="44C94432"/>
    <w:rsid w:val="44C957B7"/>
    <w:rsid w:val="44CE4BC2"/>
    <w:rsid w:val="44D4124F"/>
    <w:rsid w:val="44DB3E2E"/>
    <w:rsid w:val="44DE4656"/>
    <w:rsid w:val="44E84429"/>
    <w:rsid w:val="44ED76E9"/>
    <w:rsid w:val="44EE7B2A"/>
    <w:rsid w:val="44F72BBF"/>
    <w:rsid w:val="44FF6732"/>
    <w:rsid w:val="450470C1"/>
    <w:rsid w:val="450972B6"/>
    <w:rsid w:val="450B6F79"/>
    <w:rsid w:val="45104A43"/>
    <w:rsid w:val="451B3EC1"/>
    <w:rsid w:val="452026AC"/>
    <w:rsid w:val="45225EE9"/>
    <w:rsid w:val="45245E97"/>
    <w:rsid w:val="45260DF4"/>
    <w:rsid w:val="452A38C7"/>
    <w:rsid w:val="4537132F"/>
    <w:rsid w:val="453B1DD7"/>
    <w:rsid w:val="453C393A"/>
    <w:rsid w:val="454224C4"/>
    <w:rsid w:val="4546519B"/>
    <w:rsid w:val="454972A4"/>
    <w:rsid w:val="454F561E"/>
    <w:rsid w:val="455014EB"/>
    <w:rsid w:val="4557259F"/>
    <w:rsid w:val="455C3878"/>
    <w:rsid w:val="45652FE0"/>
    <w:rsid w:val="45654D9E"/>
    <w:rsid w:val="45666AC4"/>
    <w:rsid w:val="45686773"/>
    <w:rsid w:val="456D6AA6"/>
    <w:rsid w:val="456E30C2"/>
    <w:rsid w:val="45790BDA"/>
    <w:rsid w:val="457D54F7"/>
    <w:rsid w:val="457E0448"/>
    <w:rsid w:val="45811D08"/>
    <w:rsid w:val="45840F39"/>
    <w:rsid w:val="45866FD0"/>
    <w:rsid w:val="4588219C"/>
    <w:rsid w:val="45882EA3"/>
    <w:rsid w:val="45901488"/>
    <w:rsid w:val="45914592"/>
    <w:rsid w:val="45945425"/>
    <w:rsid w:val="459500CD"/>
    <w:rsid w:val="459E07F2"/>
    <w:rsid w:val="459E6B1C"/>
    <w:rsid w:val="459F633C"/>
    <w:rsid w:val="45A26D88"/>
    <w:rsid w:val="45A7090B"/>
    <w:rsid w:val="45AD1BA2"/>
    <w:rsid w:val="45B42874"/>
    <w:rsid w:val="45B753EB"/>
    <w:rsid w:val="45C65BF2"/>
    <w:rsid w:val="45C7284A"/>
    <w:rsid w:val="45CB0B1E"/>
    <w:rsid w:val="45D21DB5"/>
    <w:rsid w:val="45D67E32"/>
    <w:rsid w:val="45DA749A"/>
    <w:rsid w:val="45DF78F6"/>
    <w:rsid w:val="45E2145A"/>
    <w:rsid w:val="45F668D4"/>
    <w:rsid w:val="45F85E73"/>
    <w:rsid w:val="460D22B5"/>
    <w:rsid w:val="460D45F5"/>
    <w:rsid w:val="46144AA7"/>
    <w:rsid w:val="4617497C"/>
    <w:rsid w:val="461C1EFC"/>
    <w:rsid w:val="46211A59"/>
    <w:rsid w:val="46216F29"/>
    <w:rsid w:val="46247A4C"/>
    <w:rsid w:val="463A48A0"/>
    <w:rsid w:val="463C57AA"/>
    <w:rsid w:val="463D0892"/>
    <w:rsid w:val="463F1B8B"/>
    <w:rsid w:val="46456982"/>
    <w:rsid w:val="464633DD"/>
    <w:rsid w:val="46482ED0"/>
    <w:rsid w:val="464867D7"/>
    <w:rsid w:val="46496E0D"/>
    <w:rsid w:val="464B463F"/>
    <w:rsid w:val="464C1772"/>
    <w:rsid w:val="464D71B2"/>
    <w:rsid w:val="465437D0"/>
    <w:rsid w:val="46554DD5"/>
    <w:rsid w:val="46557AA7"/>
    <w:rsid w:val="4664102D"/>
    <w:rsid w:val="466B066F"/>
    <w:rsid w:val="466C0FE0"/>
    <w:rsid w:val="46702972"/>
    <w:rsid w:val="467C503E"/>
    <w:rsid w:val="467E387F"/>
    <w:rsid w:val="468A07B2"/>
    <w:rsid w:val="468A0843"/>
    <w:rsid w:val="468A6F9E"/>
    <w:rsid w:val="469067E4"/>
    <w:rsid w:val="4693460F"/>
    <w:rsid w:val="46952697"/>
    <w:rsid w:val="469D223F"/>
    <w:rsid w:val="46A42820"/>
    <w:rsid w:val="46A7530F"/>
    <w:rsid w:val="46AA0719"/>
    <w:rsid w:val="46AA2AED"/>
    <w:rsid w:val="46AA30B7"/>
    <w:rsid w:val="46AB46BC"/>
    <w:rsid w:val="46B23D9E"/>
    <w:rsid w:val="46BB614A"/>
    <w:rsid w:val="46BD3094"/>
    <w:rsid w:val="46C2038A"/>
    <w:rsid w:val="46C3786F"/>
    <w:rsid w:val="46C83104"/>
    <w:rsid w:val="46CD5BB3"/>
    <w:rsid w:val="46D02270"/>
    <w:rsid w:val="46D94BC6"/>
    <w:rsid w:val="46DA75E9"/>
    <w:rsid w:val="46E17DE9"/>
    <w:rsid w:val="46E33CD2"/>
    <w:rsid w:val="46E457F8"/>
    <w:rsid w:val="46E63C4C"/>
    <w:rsid w:val="46E855C9"/>
    <w:rsid w:val="46EE7C9C"/>
    <w:rsid w:val="46F03A8A"/>
    <w:rsid w:val="46F32F9A"/>
    <w:rsid w:val="46F609CB"/>
    <w:rsid w:val="46FA3872"/>
    <w:rsid w:val="46FC363C"/>
    <w:rsid w:val="46FF1D13"/>
    <w:rsid w:val="47021FE6"/>
    <w:rsid w:val="47047B07"/>
    <w:rsid w:val="47091332"/>
    <w:rsid w:val="470C15CA"/>
    <w:rsid w:val="470F53D8"/>
    <w:rsid w:val="4714253C"/>
    <w:rsid w:val="47160B88"/>
    <w:rsid w:val="47190BE0"/>
    <w:rsid w:val="47213B69"/>
    <w:rsid w:val="47215822"/>
    <w:rsid w:val="472207D2"/>
    <w:rsid w:val="472F1953"/>
    <w:rsid w:val="47316190"/>
    <w:rsid w:val="473A6BBC"/>
    <w:rsid w:val="473C41CB"/>
    <w:rsid w:val="473E702B"/>
    <w:rsid w:val="473E7944"/>
    <w:rsid w:val="47445D2A"/>
    <w:rsid w:val="474859E1"/>
    <w:rsid w:val="474A7025"/>
    <w:rsid w:val="47503A74"/>
    <w:rsid w:val="47531930"/>
    <w:rsid w:val="47572288"/>
    <w:rsid w:val="475A1439"/>
    <w:rsid w:val="47636860"/>
    <w:rsid w:val="476C4FA0"/>
    <w:rsid w:val="476D6256"/>
    <w:rsid w:val="4770320A"/>
    <w:rsid w:val="477205CA"/>
    <w:rsid w:val="47735692"/>
    <w:rsid w:val="47761A41"/>
    <w:rsid w:val="4776783D"/>
    <w:rsid w:val="477E13D0"/>
    <w:rsid w:val="477E7A8A"/>
    <w:rsid w:val="47880E29"/>
    <w:rsid w:val="478B2108"/>
    <w:rsid w:val="47914176"/>
    <w:rsid w:val="47916698"/>
    <w:rsid w:val="47955E72"/>
    <w:rsid w:val="479963B0"/>
    <w:rsid w:val="479973F2"/>
    <w:rsid w:val="47A03280"/>
    <w:rsid w:val="47A36121"/>
    <w:rsid w:val="47A64D7D"/>
    <w:rsid w:val="47A9082E"/>
    <w:rsid w:val="47B03E93"/>
    <w:rsid w:val="47B25415"/>
    <w:rsid w:val="47B60C46"/>
    <w:rsid w:val="47C26269"/>
    <w:rsid w:val="47C30952"/>
    <w:rsid w:val="47C33882"/>
    <w:rsid w:val="47C71475"/>
    <w:rsid w:val="47C97F68"/>
    <w:rsid w:val="47CB4622"/>
    <w:rsid w:val="47D10E25"/>
    <w:rsid w:val="47D23092"/>
    <w:rsid w:val="47DC4E04"/>
    <w:rsid w:val="47E046CF"/>
    <w:rsid w:val="47EB4339"/>
    <w:rsid w:val="47F37451"/>
    <w:rsid w:val="47F6507B"/>
    <w:rsid w:val="47F8249C"/>
    <w:rsid w:val="47FA098E"/>
    <w:rsid w:val="47FE0D61"/>
    <w:rsid w:val="48022A93"/>
    <w:rsid w:val="480B3BCA"/>
    <w:rsid w:val="480E54DA"/>
    <w:rsid w:val="48130663"/>
    <w:rsid w:val="48167B6D"/>
    <w:rsid w:val="481F73DD"/>
    <w:rsid w:val="48246AC0"/>
    <w:rsid w:val="482474F8"/>
    <w:rsid w:val="48265BEB"/>
    <w:rsid w:val="48273530"/>
    <w:rsid w:val="482B4A34"/>
    <w:rsid w:val="4832585D"/>
    <w:rsid w:val="48341054"/>
    <w:rsid w:val="483B6EAA"/>
    <w:rsid w:val="483B7668"/>
    <w:rsid w:val="4841223D"/>
    <w:rsid w:val="48486326"/>
    <w:rsid w:val="484D35B2"/>
    <w:rsid w:val="484E2D8B"/>
    <w:rsid w:val="484E4457"/>
    <w:rsid w:val="484E493A"/>
    <w:rsid w:val="48511BA8"/>
    <w:rsid w:val="486176AF"/>
    <w:rsid w:val="486235C3"/>
    <w:rsid w:val="486423F8"/>
    <w:rsid w:val="48660A43"/>
    <w:rsid w:val="48675062"/>
    <w:rsid w:val="486B321F"/>
    <w:rsid w:val="48702917"/>
    <w:rsid w:val="487375BC"/>
    <w:rsid w:val="487457C7"/>
    <w:rsid w:val="487645B8"/>
    <w:rsid w:val="48797D22"/>
    <w:rsid w:val="487D2F31"/>
    <w:rsid w:val="487E2597"/>
    <w:rsid w:val="487F4410"/>
    <w:rsid w:val="48830E35"/>
    <w:rsid w:val="48A07699"/>
    <w:rsid w:val="48A20FE3"/>
    <w:rsid w:val="48A36814"/>
    <w:rsid w:val="48A41347"/>
    <w:rsid w:val="48A50E39"/>
    <w:rsid w:val="48A56704"/>
    <w:rsid w:val="48AE3E99"/>
    <w:rsid w:val="48AF2EB4"/>
    <w:rsid w:val="48B80B24"/>
    <w:rsid w:val="48B92D7F"/>
    <w:rsid w:val="48BA40C6"/>
    <w:rsid w:val="48BB3C81"/>
    <w:rsid w:val="48BB5C6E"/>
    <w:rsid w:val="48C27535"/>
    <w:rsid w:val="48C308D5"/>
    <w:rsid w:val="48C732A2"/>
    <w:rsid w:val="48C8556B"/>
    <w:rsid w:val="48C86107"/>
    <w:rsid w:val="48CB2CF7"/>
    <w:rsid w:val="48CE7842"/>
    <w:rsid w:val="48D0682A"/>
    <w:rsid w:val="48D10268"/>
    <w:rsid w:val="48DA2407"/>
    <w:rsid w:val="48DA2945"/>
    <w:rsid w:val="48DC5374"/>
    <w:rsid w:val="48DD6C39"/>
    <w:rsid w:val="48E37077"/>
    <w:rsid w:val="48E50E60"/>
    <w:rsid w:val="48E86BCD"/>
    <w:rsid w:val="48EB7AF8"/>
    <w:rsid w:val="48EC0691"/>
    <w:rsid w:val="48ED17EC"/>
    <w:rsid w:val="48ED2497"/>
    <w:rsid w:val="48EF3636"/>
    <w:rsid w:val="48EF5289"/>
    <w:rsid w:val="48F3635F"/>
    <w:rsid w:val="48F9461A"/>
    <w:rsid w:val="48FE0718"/>
    <w:rsid w:val="49023072"/>
    <w:rsid w:val="49071779"/>
    <w:rsid w:val="49094F13"/>
    <w:rsid w:val="490A7F36"/>
    <w:rsid w:val="490D7292"/>
    <w:rsid w:val="49112E27"/>
    <w:rsid w:val="4913696C"/>
    <w:rsid w:val="49154C59"/>
    <w:rsid w:val="49192E5F"/>
    <w:rsid w:val="49286EA8"/>
    <w:rsid w:val="49380485"/>
    <w:rsid w:val="493A2F5E"/>
    <w:rsid w:val="494230F7"/>
    <w:rsid w:val="4946034E"/>
    <w:rsid w:val="49461FE7"/>
    <w:rsid w:val="494B2574"/>
    <w:rsid w:val="494C20B1"/>
    <w:rsid w:val="494F16B1"/>
    <w:rsid w:val="49544A65"/>
    <w:rsid w:val="495F55B8"/>
    <w:rsid w:val="496243CB"/>
    <w:rsid w:val="49624B7C"/>
    <w:rsid w:val="496529F1"/>
    <w:rsid w:val="49656244"/>
    <w:rsid w:val="49672CF7"/>
    <w:rsid w:val="4968436E"/>
    <w:rsid w:val="496F1E7C"/>
    <w:rsid w:val="49735275"/>
    <w:rsid w:val="497A2D92"/>
    <w:rsid w:val="497E19F2"/>
    <w:rsid w:val="49893C35"/>
    <w:rsid w:val="498F3FFA"/>
    <w:rsid w:val="49903064"/>
    <w:rsid w:val="499126BD"/>
    <w:rsid w:val="499824CD"/>
    <w:rsid w:val="4998588C"/>
    <w:rsid w:val="49992636"/>
    <w:rsid w:val="49A63E2E"/>
    <w:rsid w:val="49A7510E"/>
    <w:rsid w:val="49A933BF"/>
    <w:rsid w:val="49AE1A89"/>
    <w:rsid w:val="49AE7064"/>
    <w:rsid w:val="49AF75C9"/>
    <w:rsid w:val="49B621F0"/>
    <w:rsid w:val="49BA71BE"/>
    <w:rsid w:val="49BD62CF"/>
    <w:rsid w:val="49BF7E95"/>
    <w:rsid w:val="49C3206A"/>
    <w:rsid w:val="49C33C81"/>
    <w:rsid w:val="49CA0468"/>
    <w:rsid w:val="49CC4C26"/>
    <w:rsid w:val="49CF4516"/>
    <w:rsid w:val="49D552E3"/>
    <w:rsid w:val="49D744B4"/>
    <w:rsid w:val="49DA1254"/>
    <w:rsid w:val="49DB125E"/>
    <w:rsid w:val="49DD35C5"/>
    <w:rsid w:val="49E15DF8"/>
    <w:rsid w:val="49E421C9"/>
    <w:rsid w:val="49E62A57"/>
    <w:rsid w:val="49F62DAA"/>
    <w:rsid w:val="49FA4404"/>
    <w:rsid w:val="49FE733E"/>
    <w:rsid w:val="4A017BF9"/>
    <w:rsid w:val="4A097593"/>
    <w:rsid w:val="4A0D7389"/>
    <w:rsid w:val="4A0E3D7A"/>
    <w:rsid w:val="4A111063"/>
    <w:rsid w:val="4A13449F"/>
    <w:rsid w:val="4A1409EC"/>
    <w:rsid w:val="4A16069A"/>
    <w:rsid w:val="4A166961"/>
    <w:rsid w:val="4A17538D"/>
    <w:rsid w:val="4A1D1804"/>
    <w:rsid w:val="4A1E5FF8"/>
    <w:rsid w:val="4A255B83"/>
    <w:rsid w:val="4A291E6D"/>
    <w:rsid w:val="4A2A7685"/>
    <w:rsid w:val="4A326CC0"/>
    <w:rsid w:val="4A335230"/>
    <w:rsid w:val="4A362EB1"/>
    <w:rsid w:val="4A392262"/>
    <w:rsid w:val="4A3C3D0D"/>
    <w:rsid w:val="4A3F3194"/>
    <w:rsid w:val="4A417133"/>
    <w:rsid w:val="4A462AE6"/>
    <w:rsid w:val="4A4C2D67"/>
    <w:rsid w:val="4A4D5EE9"/>
    <w:rsid w:val="4A511683"/>
    <w:rsid w:val="4A524B97"/>
    <w:rsid w:val="4A5331A6"/>
    <w:rsid w:val="4A56216D"/>
    <w:rsid w:val="4A5B4F4F"/>
    <w:rsid w:val="4A5C5738"/>
    <w:rsid w:val="4A625232"/>
    <w:rsid w:val="4A671D7C"/>
    <w:rsid w:val="4A7118BE"/>
    <w:rsid w:val="4A740A08"/>
    <w:rsid w:val="4A7833A1"/>
    <w:rsid w:val="4A7A31EE"/>
    <w:rsid w:val="4A7E2FC4"/>
    <w:rsid w:val="4A7F5F9B"/>
    <w:rsid w:val="4A8170A4"/>
    <w:rsid w:val="4A86021F"/>
    <w:rsid w:val="4A86563E"/>
    <w:rsid w:val="4A87706D"/>
    <w:rsid w:val="4A8B29B5"/>
    <w:rsid w:val="4A8F1716"/>
    <w:rsid w:val="4A906BA2"/>
    <w:rsid w:val="4A916E04"/>
    <w:rsid w:val="4A9426A7"/>
    <w:rsid w:val="4A957D45"/>
    <w:rsid w:val="4A9A7614"/>
    <w:rsid w:val="4AA24897"/>
    <w:rsid w:val="4AA252CE"/>
    <w:rsid w:val="4AA2548B"/>
    <w:rsid w:val="4AA622BF"/>
    <w:rsid w:val="4AA90D98"/>
    <w:rsid w:val="4AAB2F35"/>
    <w:rsid w:val="4AAE7B37"/>
    <w:rsid w:val="4AB169DC"/>
    <w:rsid w:val="4AB44D35"/>
    <w:rsid w:val="4AB633FC"/>
    <w:rsid w:val="4AB94210"/>
    <w:rsid w:val="4ABE674C"/>
    <w:rsid w:val="4ABF4FCF"/>
    <w:rsid w:val="4AC13F4B"/>
    <w:rsid w:val="4AC71832"/>
    <w:rsid w:val="4ACA637E"/>
    <w:rsid w:val="4ACB1CE1"/>
    <w:rsid w:val="4AD06800"/>
    <w:rsid w:val="4AD35DD7"/>
    <w:rsid w:val="4AD854B8"/>
    <w:rsid w:val="4AD90337"/>
    <w:rsid w:val="4AE069E9"/>
    <w:rsid w:val="4AE16952"/>
    <w:rsid w:val="4AE223DE"/>
    <w:rsid w:val="4AEB1DEB"/>
    <w:rsid w:val="4AF70EC9"/>
    <w:rsid w:val="4AFA64CB"/>
    <w:rsid w:val="4AFA7D6B"/>
    <w:rsid w:val="4AFE70E6"/>
    <w:rsid w:val="4B0C20F8"/>
    <w:rsid w:val="4B0F5A48"/>
    <w:rsid w:val="4B102CBB"/>
    <w:rsid w:val="4B120A2F"/>
    <w:rsid w:val="4B133EEB"/>
    <w:rsid w:val="4B16607B"/>
    <w:rsid w:val="4B2D0CF3"/>
    <w:rsid w:val="4B2D640B"/>
    <w:rsid w:val="4B3076E7"/>
    <w:rsid w:val="4B311F84"/>
    <w:rsid w:val="4B360502"/>
    <w:rsid w:val="4B3728EE"/>
    <w:rsid w:val="4B392C74"/>
    <w:rsid w:val="4B3D46ED"/>
    <w:rsid w:val="4B472A72"/>
    <w:rsid w:val="4B49751A"/>
    <w:rsid w:val="4B497693"/>
    <w:rsid w:val="4B4D23C8"/>
    <w:rsid w:val="4B5A5FE0"/>
    <w:rsid w:val="4B5B2B20"/>
    <w:rsid w:val="4B5F3A90"/>
    <w:rsid w:val="4B611B32"/>
    <w:rsid w:val="4B6305EA"/>
    <w:rsid w:val="4B657C13"/>
    <w:rsid w:val="4B691178"/>
    <w:rsid w:val="4B76302E"/>
    <w:rsid w:val="4B791B8F"/>
    <w:rsid w:val="4B7B2B55"/>
    <w:rsid w:val="4B7F62CD"/>
    <w:rsid w:val="4B8A362A"/>
    <w:rsid w:val="4B8C7973"/>
    <w:rsid w:val="4B907629"/>
    <w:rsid w:val="4BA07CF1"/>
    <w:rsid w:val="4BA928BE"/>
    <w:rsid w:val="4BA95BF2"/>
    <w:rsid w:val="4BB3684A"/>
    <w:rsid w:val="4BB677AF"/>
    <w:rsid w:val="4BB903A7"/>
    <w:rsid w:val="4BB941C0"/>
    <w:rsid w:val="4BB965F8"/>
    <w:rsid w:val="4BBC7A55"/>
    <w:rsid w:val="4BBD4F2C"/>
    <w:rsid w:val="4BBF52DE"/>
    <w:rsid w:val="4BCA007E"/>
    <w:rsid w:val="4BCD5A68"/>
    <w:rsid w:val="4BD64CF6"/>
    <w:rsid w:val="4BD96C11"/>
    <w:rsid w:val="4BDD5D97"/>
    <w:rsid w:val="4BE006EE"/>
    <w:rsid w:val="4BE17E12"/>
    <w:rsid w:val="4BE542ED"/>
    <w:rsid w:val="4BEA2CE9"/>
    <w:rsid w:val="4BEE5C3D"/>
    <w:rsid w:val="4BEF5BD1"/>
    <w:rsid w:val="4BF025DB"/>
    <w:rsid w:val="4BF052E5"/>
    <w:rsid w:val="4BF12265"/>
    <w:rsid w:val="4BF16A84"/>
    <w:rsid w:val="4BF26204"/>
    <w:rsid w:val="4BF3798B"/>
    <w:rsid w:val="4C005E72"/>
    <w:rsid w:val="4C013867"/>
    <w:rsid w:val="4C0B4C68"/>
    <w:rsid w:val="4C0D4284"/>
    <w:rsid w:val="4C0F5609"/>
    <w:rsid w:val="4C142711"/>
    <w:rsid w:val="4C165C3D"/>
    <w:rsid w:val="4C1704C2"/>
    <w:rsid w:val="4C174090"/>
    <w:rsid w:val="4C17454B"/>
    <w:rsid w:val="4C176694"/>
    <w:rsid w:val="4C1A53CC"/>
    <w:rsid w:val="4C1B255B"/>
    <w:rsid w:val="4C26759F"/>
    <w:rsid w:val="4C2835BB"/>
    <w:rsid w:val="4C285AEC"/>
    <w:rsid w:val="4C2A2338"/>
    <w:rsid w:val="4C2F30F2"/>
    <w:rsid w:val="4C3173DF"/>
    <w:rsid w:val="4C31771C"/>
    <w:rsid w:val="4C34337E"/>
    <w:rsid w:val="4C3C1A19"/>
    <w:rsid w:val="4C422222"/>
    <w:rsid w:val="4C473A4B"/>
    <w:rsid w:val="4C4C7120"/>
    <w:rsid w:val="4C4D290D"/>
    <w:rsid w:val="4C4E2D55"/>
    <w:rsid w:val="4C527DD0"/>
    <w:rsid w:val="4C55725B"/>
    <w:rsid w:val="4C5655A8"/>
    <w:rsid w:val="4C5B64BC"/>
    <w:rsid w:val="4C5C6C95"/>
    <w:rsid w:val="4C635475"/>
    <w:rsid w:val="4C674954"/>
    <w:rsid w:val="4C67536F"/>
    <w:rsid w:val="4C6C0CF1"/>
    <w:rsid w:val="4C6C7C12"/>
    <w:rsid w:val="4C6D21FF"/>
    <w:rsid w:val="4C7122A8"/>
    <w:rsid w:val="4C731306"/>
    <w:rsid w:val="4C754583"/>
    <w:rsid w:val="4C761665"/>
    <w:rsid w:val="4C77442A"/>
    <w:rsid w:val="4C7A09E6"/>
    <w:rsid w:val="4C7A2EBB"/>
    <w:rsid w:val="4C7A77FC"/>
    <w:rsid w:val="4C7F62AA"/>
    <w:rsid w:val="4C80140E"/>
    <w:rsid w:val="4C867F56"/>
    <w:rsid w:val="4C872C0B"/>
    <w:rsid w:val="4C8858A6"/>
    <w:rsid w:val="4C8A2BBE"/>
    <w:rsid w:val="4C8C7E64"/>
    <w:rsid w:val="4C9E7682"/>
    <w:rsid w:val="4CA16B2D"/>
    <w:rsid w:val="4CA44D36"/>
    <w:rsid w:val="4CA64097"/>
    <w:rsid w:val="4CAA1E3C"/>
    <w:rsid w:val="4CAF59C0"/>
    <w:rsid w:val="4CB12014"/>
    <w:rsid w:val="4CBC1721"/>
    <w:rsid w:val="4CBD75EE"/>
    <w:rsid w:val="4CC142D5"/>
    <w:rsid w:val="4CC24A06"/>
    <w:rsid w:val="4CC450C1"/>
    <w:rsid w:val="4CCB63FC"/>
    <w:rsid w:val="4CCF6468"/>
    <w:rsid w:val="4CD16FFC"/>
    <w:rsid w:val="4CD20B0E"/>
    <w:rsid w:val="4CD81D1C"/>
    <w:rsid w:val="4CDB7C22"/>
    <w:rsid w:val="4CDC0564"/>
    <w:rsid w:val="4CDF6C91"/>
    <w:rsid w:val="4CE136C1"/>
    <w:rsid w:val="4CE245EC"/>
    <w:rsid w:val="4CE467E5"/>
    <w:rsid w:val="4CE874EE"/>
    <w:rsid w:val="4CF81D38"/>
    <w:rsid w:val="4CF9151F"/>
    <w:rsid w:val="4CFB7B4F"/>
    <w:rsid w:val="4D005D65"/>
    <w:rsid w:val="4D0061DD"/>
    <w:rsid w:val="4D052144"/>
    <w:rsid w:val="4D0B0A62"/>
    <w:rsid w:val="4D0C68A3"/>
    <w:rsid w:val="4D0E59BE"/>
    <w:rsid w:val="4D113D70"/>
    <w:rsid w:val="4D163525"/>
    <w:rsid w:val="4D1734C1"/>
    <w:rsid w:val="4D173F22"/>
    <w:rsid w:val="4D186379"/>
    <w:rsid w:val="4D1E5930"/>
    <w:rsid w:val="4D1F2924"/>
    <w:rsid w:val="4D22479D"/>
    <w:rsid w:val="4D234121"/>
    <w:rsid w:val="4D2463D2"/>
    <w:rsid w:val="4D266D5A"/>
    <w:rsid w:val="4D2902D0"/>
    <w:rsid w:val="4D2C091D"/>
    <w:rsid w:val="4D2D3B4D"/>
    <w:rsid w:val="4D312F1D"/>
    <w:rsid w:val="4D3503C1"/>
    <w:rsid w:val="4D376480"/>
    <w:rsid w:val="4D4A7E12"/>
    <w:rsid w:val="4D4B5A96"/>
    <w:rsid w:val="4D4E452C"/>
    <w:rsid w:val="4D55497E"/>
    <w:rsid w:val="4D562C97"/>
    <w:rsid w:val="4D5705EB"/>
    <w:rsid w:val="4D5A7F82"/>
    <w:rsid w:val="4D5F1BEF"/>
    <w:rsid w:val="4D6012C7"/>
    <w:rsid w:val="4D666386"/>
    <w:rsid w:val="4D6B714A"/>
    <w:rsid w:val="4D720D6E"/>
    <w:rsid w:val="4D777484"/>
    <w:rsid w:val="4D7C1CFA"/>
    <w:rsid w:val="4D852B6C"/>
    <w:rsid w:val="4D8C1DF6"/>
    <w:rsid w:val="4D906F54"/>
    <w:rsid w:val="4D944B8D"/>
    <w:rsid w:val="4D9C6660"/>
    <w:rsid w:val="4DA15CC9"/>
    <w:rsid w:val="4DA97133"/>
    <w:rsid w:val="4DAC5DA9"/>
    <w:rsid w:val="4DB36BA6"/>
    <w:rsid w:val="4DB716ED"/>
    <w:rsid w:val="4DBC6754"/>
    <w:rsid w:val="4DC82A4C"/>
    <w:rsid w:val="4DCA4A40"/>
    <w:rsid w:val="4DCA76A0"/>
    <w:rsid w:val="4DCE5D0F"/>
    <w:rsid w:val="4DD018A2"/>
    <w:rsid w:val="4DD66CE4"/>
    <w:rsid w:val="4DDB19AB"/>
    <w:rsid w:val="4DE25570"/>
    <w:rsid w:val="4DE42106"/>
    <w:rsid w:val="4DEE61CD"/>
    <w:rsid w:val="4DF1301B"/>
    <w:rsid w:val="4DF77166"/>
    <w:rsid w:val="4DF80FFC"/>
    <w:rsid w:val="4DFA61F5"/>
    <w:rsid w:val="4DFB0592"/>
    <w:rsid w:val="4DFD18C7"/>
    <w:rsid w:val="4DFF22E9"/>
    <w:rsid w:val="4E0055D2"/>
    <w:rsid w:val="4E05295D"/>
    <w:rsid w:val="4E066D3A"/>
    <w:rsid w:val="4E0D193C"/>
    <w:rsid w:val="4E0E134F"/>
    <w:rsid w:val="4E0E78ED"/>
    <w:rsid w:val="4E12189F"/>
    <w:rsid w:val="4E136E0D"/>
    <w:rsid w:val="4E1B211F"/>
    <w:rsid w:val="4E1C5B65"/>
    <w:rsid w:val="4E1F489B"/>
    <w:rsid w:val="4E2010F9"/>
    <w:rsid w:val="4E297D03"/>
    <w:rsid w:val="4E2F43D7"/>
    <w:rsid w:val="4E335F84"/>
    <w:rsid w:val="4E340F5E"/>
    <w:rsid w:val="4E3C52B9"/>
    <w:rsid w:val="4E4170F1"/>
    <w:rsid w:val="4E41760A"/>
    <w:rsid w:val="4E436E72"/>
    <w:rsid w:val="4E487E89"/>
    <w:rsid w:val="4E4B4561"/>
    <w:rsid w:val="4E4F0103"/>
    <w:rsid w:val="4E4F09C0"/>
    <w:rsid w:val="4E584998"/>
    <w:rsid w:val="4E5C699A"/>
    <w:rsid w:val="4E5F14AB"/>
    <w:rsid w:val="4E641A0E"/>
    <w:rsid w:val="4E6A5476"/>
    <w:rsid w:val="4E702361"/>
    <w:rsid w:val="4E733BA5"/>
    <w:rsid w:val="4E737749"/>
    <w:rsid w:val="4E74373C"/>
    <w:rsid w:val="4E7810EB"/>
    <w:rsid w:val="4E7814E8"/>
    <w:rsid w:val="4E7A4CA5"/>
    <w:rsid w:val="4E7C7DD1"/>
    <w:rsid w:val="4E8A588D"/>
    <w:rsid w:val="4E965A78"/>
    <w:rsid w:val="4EA06B78"/>
    <w:rsid w:val="4EA4714C"/>
    <w:rsid w:val="4EA5382D"/>
    <w:rsid w:val="4EA67BA9"/>
    <w:rsid w:val="4EAA75D2"/>
    <w:rsid w:val="4EAB0440"/>
    <w:rsid w:val="4EB0712A"/>
    <w:rsid w:val="4EB57CED"/>
    <w:rsid w:val="4EBC0EE9"/>
    <w:rsid w:val="4EC26208"/>
    <w:rsid w:val="4EC54530"/>
    <w:rsid w:val="4EC556CA"/>
    <w:rsid w:val="4EC866A5"/>
    <w:rsid w:val="4EC866F0"/>
    <w:rsid w:val="4ECB4438"/>
    <w:rsid w:val="4ED01B9F"/>
    <w:rsid w:val="4ED721FB"/>
    <w:rsid w:val="4ED87931"/>
    <w:rsid w:val="4EDB6FCD"/>
    <w:rsid w:val="4EDD6DDB"/>
    <w:rsid w:val="4EDE13E3"/>
    <w:rsid w:val="4EE4638A"/>
    <w:rsid w:val="4EE5662D"/>
    <w:rsid w:val="4EE647DE"/>
    <w:rsid w:val="4EE75235"/>
    <w:rsid w:val="4EE907CF"/>
    <w:rsid w:val="4EED56DB"/>
    <w:rsid w:val="4EEE40C2"/>
    <w:rsid w:val="4EF2104F"/>
    <w:rsid w:val="4EF316B2"/>
    <w:rsid w:val="4EF40013"/>
    <w:rsid w:val="4EF72D3E"/>
    <w:rsid w:val="4EFC6737"/>
    <w:rsid w:val="4EFE220C"/>
    <w:rsid w:val="4EFE53DC"/>
    <w:rsid w:val="4F0D77F6"/>
    <w:rsid w:val="4F143577"/>
    <w:rsid w:val="4F160AAB"/>
    <w:rsid w:val="4F1610B3"/>
    <w:rsid w:val="4F17451E"/>
    <w:rsid w:val="4F1A3C86"/>
    <w:rsid w:val="4F1B7A76"/>
    <w:rsid w:val="4F1C621A"/>
    <w:rsid w:val="4F265E64"/>
    <w:rsid w:val="4F280EE3"/>
    <w:rsid w:val="4F2C13EC"/>
    <w:rsid w:val="4F2F1041"/>
    <w:rsid w:val="4F314C6F"/>
    <w:rsid w:val="4F352A19"/>
    <w:rsid w:val="4F3A3625"/>
    <w:rsid w:val="4F3F2BF4"/>
    <w:rsid w:val="4F417AF7"/>
    <w:rsid w:val="4F465D41"/>
    <w:rsid w:val="4F4B6F8D"/>
    <w:rsid w:val="4F4C6060"/>
    <w:rsid w:val="4F4C71C0"/>
    <w:rsid w:val="4F513070"/>
    <w:rsid w:val="4F55229F"/>
    <w:rsid w:val="4F60434D"/>
    <w:rsid w:val="4F642959"/>
    <w:rsid w:val="4F663063"/>
    <w:rsid w:val="4F672A4E"/>
    <w:rsid w:val="4F6F40F2"/>
    <w:rsid w:val="4F777867"/>
    <w:rsid w:val="4F7826BD"/>
    <w:rsid w:val="4F794264"/>
    <w:rsid w:val="4F7B49A0"/>
    <w:rsid w:val="4F825C51"/>
    <w:rsid w:val="4F845551"/>
    <w:rsid w:val="4F8C2FB6"/>
    <w:rsid w:val="4F8D1329"/>
    <w:rsid w:val="4F8E4AB3"/>
    <w:rsid w:val="4F8E5CF3"/>
    <w:rsid w:val="4F916278"/>
    <w:rsid w:val="4F945328"/>
    <w:rsid w:val="4F9810FF"/>
    <w:rsid w:val="4F9C5C03"/>
    <w:rsid w:val="4F9F25C6"/>
    <w:rsid w:val="4FA00831"/>
    <w:rsid w:val="4FA94E84"/>
    <w:rsid w:val="4FAE6AD5"/>
    <w:rsid w:val="4FAF3091"/>
    <w:rsid w:val="4FB049B0"/>
    <w:rsid w:val="4FB269FD"/>
    <w:rsid w:val="4FB819F4"/>
    <w:rsid w:val="4FB97ED4"/>
    <w:rsid w:val="4FC20ADE"/>
    <w:rsid w:val="4FC8267F"/>
    <w:rsid w:val="4FCF0AE0"/>
    <w:rsid w:val="4FD06650"/>
    <w:rsid w:val="4FE271CF"/>
    <w:rsid w:val="4FE61E4B"/>
    <w:rsid w:val="4FEA5B4F"/>
    <w:rsid w:val="4FF41896"/>
    <w:rsid w:val="4FF67424"/>
    <w:rsid w:val="4FF8520D"/>
    <w:rsid w:val="5002385D"/>
    <w:rsid w:val="500941DA"/>
    <w:rsid w:val="500A01A8"/>
    <w:rsid w:val="50101D0E"/>
    <w:rsid w:val="50115702"/>
    <w:rsid w:val="50180467"/>
    <w:rsid w:val="501B0EA9"/>
    <w:rsid w:val="501D2FB4"/>
    <w:rsid w:val="501E1BC3"/>
    <w:rsid w:val="50247FBE"/>
    <w:rsid w:val="50251C58"/>
    <w:rsid w:val="5026588C"/>
    <w:rsid w:val="502D03BD"/>
    <w:rsid w:val="50302E33"/>
    <w:rsid w:val="503D3595"/>
    <w:rsid w:val="50427896"/>
    <w:rsid w:val="50437883"/>
    <w:rsid w:val="504852A0"/>
    <w:rsid w:val="504972EE"/>
    <w:rsid w:val="504C4F5C"/>
    <w:rsid w:val="50516FC3"/>
    <w:rsid w:val="50521447"/>
    <w:rsid w:val="50522361"/>
    <w:rsid w:val="50525F01"/>
    <w:rsid w:val="50545447"/>
    <w:rsid w:val="505D7791"/>
    <w:rsid w:val="50644459"/>
    <w:rsid w:val="506730D9"/>
    <w:rsid w:val="506A474F"/>
    <w:rsid w:val="506F2C76"/>
    <w:rsid w:val="50732F38"/>
    <w:rsid w:val="5077491D"/>
    <w:rsid w:val="507A03ED"/>
    <w:rsid w:val="507F526E"/>
    <w:rsid w:val="50817153"/>
    <w:rsid w:val="50821567"/>
    <w:rsid w:val="50852CF6"/>
    <w:rsid w:val="508550AA"/>
    <w:rsid w:val="508B5075"/>
    <w:rsid w:val="508D5704"/>
    <w:rsid w:val="5094645C"/>
    <w:rsid w:val="5095338D"/>
    <w:rsid w:val="509761E3"/>
    <w:rsid w:val="509936FA"/>
    <w:rsid w:val="509A0551"/>
    <w:rsid w:val="509B25A6"/>
    <w:rsid w:val="50B0348B"/>
    <w:rsid w:val="50B22C21"/>
    <w:rsid w:val="50B57075"/>
    <w:rsid w:val="50BA1DB6"/>
    <w:rsid w:val="50BC1072"/>
    <w:rsid w:val="50BC2109"/>
    <w:rsid w:val="50BD4CBA"/>
    <w:rsid w:val="50C93154"/>
    <w:rsid w:val="50CE0E85"/>
    <w:rsid w:val="50CF6657"/>
    <w:rsid w:val="50D10111"/>
    <w:rsid w:val="50D124F8"/>
    <w:rsid w:val="50D1467D"/>
    <w:rsid w:val="50D56A8D"/>
    <w:rsid w:val="50D625C4"/>
    <w:rsid w:val="50D74963"/>
    <w:rsid w:val="50DC0C05"/>
    <w:rsid w:val="50DD03EC"/>
    <w:rsid w:val="50DE57D0"/>
    <w:rsid w:val="50DE6521"/>
    <w:rsid w:val="50E07F45"/>
    <w:rsid w:val="50E42B2F"/>
    <w:rsid w:val="50ED7868"/>
    <w:rsid w:val="50F06279"/>
    <w:rsid w:val="50F906CA"/>
    <w:rsid w:val="51032D4F"/>
    <w:rsid w:val="51077079"/>
    <w:rsid w:val="510B25F4"/>
    <w:rsid w:val="51174BFF"/>
    <w:rsid w:val="511B1689"/>
    <w:rsid w:val="511D0A4A"/>
    <w:rsid w:val="51215D4E"/>
    <w:rsid w:val="512528D0"/>
    <w:rsid w:val="51261408"/>
    <w:rsid w:val="512C48D2"/>
    <w:rsid w:val="512F5584"/>
    <w:rsid w:val="513E5D45"/>
    <w:rsid w:val="5142623D"/>
    <w:rsid w:val="51466547"/>
    <w:rsid w:val="514A43CB"/>
    <w:rsid w:val="514D6264"/>
    <w:rsid w:val="51597A8A"/>
    <w:rsid w:val="515F6DF6"/>
    <w:rsid w:val="5161392A"/>
    <w:rsid w:val="5167030A"/>
    <w:rsid w:val="516B6BD6"/>
    <w:rsid w:val="516E6895"/>
    <w:rsid w:val="516F0B6F"/>
    <w:rsid w:val="517010B1"/>
    <w:rsid w:val="517E5B61"/>
    <w:rsid w:val="518121D7"/>
    <w:rsid w:val="518274D9"/>
    <w:rsid w:val="51846661"/>
    <w:rsid w:val="51850FB4"/>
    <w:rsid w:val="51852565"/>
    <w:rsid w:val="518A252B"/>
    <w:rsid w:val="518E0252"/>
    <w:rsid w:val="518E5A18"/>
    <w:rsid w:val="51946476"/>
    <w:rsid w:val="5195228B"/>
    <w:rsid w:val="5195477E"/>
    <w:rsid w:val="51956129"/>
    <w:rsid w:val="51990CE7"/>
    <w:rsid w:val="519B7116"/>
    <w:rsid w:val="51A80763"/>
    <w:rsid w:val="51AB54BC"/>
    <w:rsid w:val="51AE4C1A"/>
    <w:rsid w:val="51B14A5A"/>
    <w:rsid w:val="51C81557"/>
    <w:rsid w:val="51D26C1C"/>
    <w:rsid w:val="51D34C67"/>
    <w:rsid w:val="51D6219A"/>
    <w:rsid w:val="51D82963"/>
    <w:rsid w:val="51DD018D"/>
    <w:rsid w:val="51E20384"/>
    <w:rsid w:val="51FF48A9"/>
    <w:rsid w:val="52024156"/>
    <w:rsid w:val="5203022A"/>
    <w:rsid w:val="52043ACB"/>
    <w:rsid w:val="520627B7"/>
    <w:rsid w:val="520910F1"/>
    <w:rsid w:val="520A2D05"/>
    <w:rsid w:val="520B7F1F"/>
    <w:rsid w:val="520C5A43"/>
    <w:rsid w:val="520D0116"/>
    <w:rsid w:val="52130322"/>
    <w:rsid w:val="521F5D51"/>
    <w:rsid w:val="52212CB3"/>
    <w:rsid w:val="522261FD"/>
    <w:rsid w:val="52231538"/>
    <w:rsid w:val="522E3AAD"/>
    <w:rsid w:val="52302486"/>
    <w:rsid w:val="52322E3F"/>
    <w:rsid w:val="523402F5"/>
    <w:rsid w:val="524738ED"/>
    <w:rsid w:val="524830E9"/>
    <w:rsid w:val="5255347B"/>
    <w:rsid w:val="52564112"/>
    <w:rsid w:val="52565F30"/>
    <w:rsid w:val="52597F65"/>
    <w:rsid w:val="525B1C16"/>
    <w:rsid w:val="526414C0"/>
    <w:rsid w:val="526A53FF"/>
    <w:rsid w:val="526C0E08"/>
    <w:rsid w:val="526E0111"/>
    <w:rsid w:val="52744AC8"/>
    <w:rsid w:val="52794D4A"/>
    <w:rsid w:val="528253F9"/>
    <w:rsid w:val="52954B1F"/>
    <w:rsid w:val="5296266A"/>
    <w:rsid w:val="5296281D"/>
    <w:rsid w:val="52A426B8"/>
    <w:rsid w:val="52A47033"/>
    <w:rsid w:val="52A94B22"/>
    <w:rsid w:val="52AC7D03"/>
    <w:rsid w:val="52B20E6F"/>
    <w:rsid w:val="52BE1D80"/>
    <w:rsid w:val="52C04E0B"/>
    <w:rsid w:val="52C62BD0"/>
    <w:rsid w:val="52CA6CE4"/>
    <w:rsid w:val="52CA7A31"/>
    <w:rsid w:val="52D1229A"/>
    <w:rsid w:val="52DB4C19"/>
    <w:rsid w:val="52DB7ADD"/>
    <w:rsid w:val="52E92CD0"/>
    <w:rsid w:val="52E93AF6"/>
    <w:rsid w:val="52EC247B"/>
    <w:rsid w:val="52F31E61"/>
    <w:rsid w:val="52F41975"/>
    <w:rsid w:val="52F4304D"/>
    <w:rsid w:val="52F84290"/>
    <w:rsid w:val="52FC0D2C"/>
    <w:rsid w:val="53033508"/>
    <w:rsid w:val="530656B0"/>
    <w:rsid w:val="530B44AE"/>
    <w:rsid w:val="530F6F84"/>
    <w:rsid w:val="531335B0"/>
    <w:rsid w:val="53176374"/>
    <w:rsid w:val="531C216C"/>
    <w:rsid w:val="53255AA3"/>
    <w:rsid w:val="5329255E"/>
    <w:rsid w:val="532A187A"/>
    <w:rsid w:val="532D02FF"/>
    <w:rsid w:val="532F0611"/>
    <w:rsid w:val="533801E5"/>
    <w:rsid w:val="53425AB4"/>
    <w:rsid w:val="53427051"/>
    <w:rsid w:val="534367B3"/>
    <w:rsid w:val="53465E8B"/>
    <w:rsid w:val="534C012F"/>
    <w:rsid w:val="534F274B"/>
    <w:rsid w:val="534F4522"/>
    <w:rsid w:val="535603F0"/>
    <w:rsid w:val="536208C8"/>
    <w:rsid w:val="536F79BE"/>
    <w:rsid w:val="53713AD4"/>
    <w:rsid w:val="53736328"/>
    <w:rsid w:val="5376540F"/>
    <w:rsid w:val="537D2BE6"/>
    <w:rsid w:val="537D71AF"/>
    <w:rsid w:val="53893956"/>
    <w:rsid w:val="538C2B23"/>
    <w:rsid w:val="538F4031"/>
    <w:rsid w:val="539039AD"/>
    <w:rsid w:val="539215FA"/>
    <w:rsid w:val="539657FB"/>
    <w:rsid w:val="53A3598C"/>
    <w:rsid w:val="53A854F0"/>
    <w:rsid w:val="53AB6EA0"/>
    <w:rsid w:val="53B140B7"/>
    <w:rsid w:val="53B5559C"/>
    <w:rsid w:val="53BD4FB1"/>
    <w:rsid w:val="53C4551E"/>
    <w:rsid w:val="53C62B09"/>
    <w:rsid w:val="53CA19E9"/>
    <w:rsid w:val="53CB0A27"/>
    <w:rsid w:val="53CD0CAD"/>
    <w:rsid w:val="53CE476F"/>
    <w:rsid w:val="53D02B44"/>
    <w:rsid w:val="53D177D7"/>
    <w:rsid w:val="53D80151"/>
    <w:rsid w:val="53E17A8D"/>
    <w:rsid w:val="53E407A9"/>
    <w:rsid w:val="53E81CE7"/>
    <w:rsid w:val="53E849C8"/>
    <w:rsid w:val="53EE7C30"/>
    <w:rsid w:val="53F114A1"/>
    <w:rsid w:val="53F1555A"/>
    <w:rsid w:val="53F37E85"/>
    <w:rsid w:val="53FF7FE8"/>
    <w:rsid w:val="54011CDA"/>
    <w:rsid w:val="54082C43"/>
    <w:rsid w:val="5415384E"/>
    <w:rsid w:val="541B70DE"/>
    <w:rsid w:val="541E7495"/>
    <w:rsid w:val="54246EA3"/>
    <w:rsid w:val="542550D9"/>
    <w:rsid w:val="5427009E"/>
    <w:rsid w:val="5429649B"/>
    <w:rsid w:val="542B23A1"/>
    <w:rsid w:val="54337534"/>
    <w:rsid w:val="54374128"/>
    <w:rsid w:val="54385B05"/>
    <w:rsid w:val="54394453"/>
    <w:rsid w:val="54464E50"/>
    <w:rsid w:val="54476484"/>
    <w:rsid w:val="544822B5"/>
    <w:rsid w:val="54485028"/>
    <w:rsid w:val="54485A84"/>
    <w:rsid w:val="544C51EC"/>
    <w:rsid w:val="544E3D16"/>
    <w:rsid w:val="544E50F7"/>
    <w:rsid w:val="545B7610"/>
    <w:rsid w:val="545C259D"/>
    <w:rsid w:val="545D244D"/>
    <w:rsid w:val="54650694"/>
    <w:rsid w:val="5469515B"/>
    <w:rsid w:val="546C059C"/>
    <w:rsid w:val="54723DC1"/>
    <w:rsid w:val="54752D81"/>
    <w:rsid w:val="54765172"/>
    <w:rsid w:val="54780E5A"/>
    <w:rsid w:val="54787A7E"/>
    <w:rsid w:val="54797EE2"/>
    <w:rsid w:val="547A59F0"/>
    <w:rsid w:val="547D7648"/>
    <w:rsid w:val="547F084C"/>
    <w:rsid w:val="5484664B"/>
    <w:rsid w:val="54857D0E"/>
    <w:rsid w:val="548C3583"/>
    <w:rsid w:val="548F0C1C"/>
    <w:rsid w:val="548F66F8"/>
    <w:rsid w:val="549163B3"/>
    <w:rsid w:val="549174F4"/>
    <w:rsid w:val="54957D05"/>
    <w:rsid w:val="549D75D7"/>
    <w:rsid w:val="549E5AC0"/>
    <w:rsid w:val="549F6C66"/>
    <w:rsid w:val="54A33DA7"/>
    <w:rsid w:val="54A344D5"/>
    <w:rsid w:val="54A74CA4"/>
    <w:rsid w:val="54AF1EEE"/>
    <w:rsid w:val="54B21FC2"/>
    <w:rsid w:val="54B846CE"/>
    <w:rsid w:val="54B8593A"/>
    <w:rsid w:val="54C07950"/>
    <w:rsid w:val="54C71D8E"/>
    <w:rsid w:val="54C977F9"/>
    <w:rsid w:val="54CA7CEC"/>
    <w:rsid w:val="54CE4336"/>
    <w:rsid w:val="54D35E50"/>
    <w:rsid w:val="54D37B11"/>
    <w:rsid w:val="54D53E0E"/>
    <w:rsid w:val="54D70896"/>
    <w:rsid w:val="54DA3FDE"/>
    <w:rsid w:val="54EA1F72"/>
    <w:rsid w:val="54FE7134"/>
    <w:rsid w:val="54FF46A6"/>
    <w:rsid w:val="55012D97"/>
    <w:rsid w:val="55040904"/>
    <w:rsid w:val="55076ABC"/>
    <w:rsid w:val="550D4F08"/>
    <w:rsid w:val="551009FB"/>
    <w:rsid w:val="5516145D"/>
    <w:rsid w:val="551C53F3"/>
    <w:rsid w:val="55220537"/>
    <w:rsid w:val="552373C3"/>
    <w:rsid w:val="552B21BD"/>
    <w:rsid w:val="552D10C9"/>
    <w:rsid w:val="552D1BEA"/>
    <w:rsid w:val="552E1113"/>
    <w:rsid w:val="5534551E"/>
    <w:rsid w:val="55362E6A"/>
    <w:rsid w:val="553B541C"/>
    <w:rsid w:val="554313E7"/>
    <w:rsid w:val="55441869"/>
    <w:rsid w:val="554615EA"/>
    <w:rsid w:val="55510097"/>
    <w:rsid w:val="55547B36"/>
    <w:rsid w:val="556369FC"/>
    <w:rsid w:val="55651169"/>
    <w:rsid w:val="556C081C"/>
    <w:rsid w:val="556E11B3"/>
    <w:rsid w:val="556E5B60"/>
    <w:rsid w:val="55743710"/>
    <w:rsid w:val="5574600F"/>
    <w:rsid w:val="557879F6"/>
    <w:rsid w:val="557A53DD"/>
    <w:rsid w:val="557D04ED"/>
    <w:rsid w:val="55806594"/>
    <w:rsid w:val="558962D7"/>
    <w:rsid w:val="558C269A"/>
    <w:rsid w:val="558C5A76"/>
    <w:rsid w:val="558C5BF6"/>
    <w:rsid w:val="5596780D"/>
    <w:rsid w:val="55A107AF"/>
    <w:rsid w:val="55A608EF"/>
    <w:rsid w:val="55A83ACF"/>
    <w:rsid w:val="55AC5F4B"/>
    <w:rsid w:val="55AF4DF8"/>
    <w:rsid w:val="55B03674"/>
    <w:rsid w:val="55B146FB"/>
    <w:rsid w:val="55B50503"/>
    <w:rsid w:val="55B53B29"/>
    <w:rsid w:val="55B870BD"/>
    <w:rsid w:val="55BC59F9"/>
    <w:rsid w:val="55C07435"/>
    <w:rsid w:val="55C141B4"/>
    <w:rsid w:val="55C3431A"/>
    <w:rsid w:val="55C73955"/>
    <w:rsid w:val="55D0668D"/>
    <w:rsid w:val="55D13C63"/>
    <w:rsid w:val="55E02FF4"/>
    <w:rsid w:val="55E15E03"/>
    <w:rsid w:val="55E34CC8"/>
    <w:rsid w:val="55E60EA3"/>
    <w:rsid w:val="55EB502E"/>
    <w:rsid w:val="55F12821"/>
    <w:rsid w:val="55F26525"/>
    <w:rsid w:val="55F47356"/>
    <w:rsid w:val="5602308C"/>
    <w:rsid w:val="5604182E"/>
    <w:rsid w:val="56074C11"/>
    <w:rsid w:val="560833D5"/>
    <w:rsid w:val="560C3ECC"/>
    <w:rsid w:val="560E502D"/>
    <w:rsid w:val="560F05F7"/>
    <w:rsid w:val="560F6263"/>
    <w:rsid w:val="56130A58"/>
    <w:rsid w:val="561533A5"/>
    <w:rsid w:val="561D0DFA"/>
    <w:rsid w:val="561E4B49"/>
    <w:rsid w:val="56246895"/>
    <w:rsid w:val="56264E36"/>
    <w:rsid w:val="562D75AA"/>
    <w:rsid w:val="563F03D8"/>
    <w:rsid w:val="56425AA2"/>
    <w:rsid w:val="5643272A"/>
    <w:rsid w:val="56450DB4"/>
    <w:rsid w:val="564653B7"/>
    <w:rsid w:val="56480099"/>
    <w:rsid w:val="5649353F"/>
    <w:rsid w:val="564B6F89"/>
    <w:rsid w:val="564F034F"/>
    <w:rsid w:val="56506A66"/>
    <w:rsid w:val="56513619"/>
    <w:rsid w:val="56546E22"/>
    <w:rsid w:val="56551FB9"/>
    <w:rsid w:val="56596DA2"/>
    <w:rsid w:val="565D74CB"/>
    <w:rsid w:val="565D7E9B"/>
    <w:rsid w:val="565E627E"/>
    <w:rsid w:val="565F018E"/>
    <w:rsid w:val="56696F2C"/>
    <w:rsid w:val="5672161C"/>
    <w:rsid w:val="56726B52"/>
    <w:rsid w:val="56751512"/>
    <w:rsid w:val="5678208A"/>
    <w:rsid w:val="567D3AF3"/>
    <w:rsid w:val="56830A0E"/>
    <w:rsid w:val="568A3C42"/>
    <w:rsid w:val="568E2DD8"/>
    <w:rsid w:val="569074B3"/>
    <w:rsid w:val="56912D81"/>
    <w:rsid w:val="569253E0"/>
    <w:rsid w:val="569D5F9E"/>
    <w:rsid w:val="569F2D34"/>
    <w:rsid w:val="569F3639"/>
    <w:rsid w:val="56A60D19"/>
    <w:rsid w:val="56AA64CD"/>
    <w:rsid w:val="56BA7BD4"/>
    <w:rsid w:val="56BC2804"/>
    <w:rsid w:val="56BC5264"/>
    <w:rsid w:val="56BF619C"/>
    <w:rsid w:val="56C31BB8"/>
    <w:rsid w:val="56C6341A"/>
    <w:rsid w:val="56CC5B38"/>
    <w:rsid w:val="56D9740B"/>
    <w:rsid w:val="56DA2A9B"/>
    <w:rsid w:val="56DD1FA2"/>
    <w:rsid w:val="56DE527D"/>
    <w:rsid w:val="56DE5DD3"/>
    <w:rsid w:val="56E37A3F"/>
    <w:rsid w:val="56E64A87"/>
    <w:rsid w:val="56E66C14"/>
    <w:rsid w:val="56E8048D"/>
    <w:rsid w:val="56E90288"/>
    <w:rsid w:val="56EB00BC"/>
    <w:rsid w:val="56F30118"/>
    <w:rsid w:val="56F720D5"/>
    <w:rsid w:val="57036FC1"/>
    <w:rsid w:val="570544D9"/>
    <w:rsid w:val="57074872"/>
    <w:rsid w:val="57084370"/>
    <w:rsid w:val="57091FE7"/>
    <w:rsid w:val="570A652E"/>
    <w:rsid w:val="570E6000"/>
    <w:rsid w:val="57107949"/>
    <w:rsid w:val="57171CBC"/>
    <w:rsid w:val="571C1254"/>
    <w:rsid w:val="571E72A3"/>
    <w:rsid w:val="57261E48"/>
    <w:rsid w:val="57285803"/>
    <w:rsid w:val="572A0AC4"/>
    <w:rsid w:val="572A2CC8"/>
    <w:rsid w:val="572E2A2E"/>
    <w:rsid w:val="573014D5"/>
    <w:rsid w:val="573D7FCB"/>
    <w:rsid w:val="574533A4"/>
    <w:rsid w:val="57474B68"/>
    <w:rsid w:val="574A589E"/>
    <w:rsid w:val="574D296A"/>
    <w:rsid w:val="57572C4F"/>
    <w:rsid w:val="57590B0E"/>
    <w:rsid w:val="575A39AA"/>
    <w:rsid w:val="575A515E"/>
    <w:rsid w:val="575B362E"/>
    <w:rsid w:val="57630630"/>
    <w:rsid w:val="57674493"/>
    <w:rsid w:val="576B3B91"/>
    <w:rsid w:val="576F02C5"/>
    <w:rsid w:val="577543F5"/>
    <w:rsid w:val="57792687"/>
    <w:rsid w:val="577C1720"/>
    <w:rsid w:val="57805F0A"/>
    <w:rsid w:val="578B0142"/>
    <w:rsid w:val="578E0A43"/>
    <w:rsid w:val="578F2751"/>
    <w:rsid w:val="57903E65"/>
    <w:rsid w:val="579176F9"/>
    <w:rsid w:val="57971BB7"/>
    <w:rsid w:val="57974529"/>
    <w:rsid w:val="579B4A35"/>
    <w:rsid w:val="579E0143"/>
    <w:rsid w:val="57A138C6"/>
    <w:rsid w:val="57A36DFC"/>
    <w:rsid w:val="57AA17CF"/>
    <w:rsid w:val="57AC5293"/>
    <w:rsid w:val="57B1287B"/>
    <w:rsid w:val="57BF07E3"/>
    <w:rsid w:val="57CE2882"/>
    <w:rsid w:val="57D05566"/>
    <w:rsid w:val="57D351C2"/>
    <w:rsid w:val="57D92503"/>
    <w:rsid w:val="57DA6E8D"/>
    <w:rsid w:val="57DD3F5D"/>
    <w:rsid w:val="57E4772E"/>
    <w:rsid w:val="57EC79FE"/>
    <w:rsid w:val="57EF0E52"/>
    <w:rsid w:val="57F23962"/>
    <w:rsid w:val="57F50E89"/>
    <w:rsid w:val="57F6720C"/>
    <w:rsid w:val="57FF759D"/>
    <w:rsid w:val="58001296"/>
    <w:rsid w:val="5803130E"/>
    <w:rsid w:val="5804706E"/>
    <w:rsid w:val="58187E0B"/>
    <w:rsid w:val="581A4D00"/>
    <w:rsid w:val="58224EE3"/>
    <w:rsid w:val="58227846"/>
    <w:rsid w:val="5826449C"/>
    <w:rsid w:val="5829106D"/>
    <w:rsid w:val="5829496F"/>
    <w:rsid w:val="58334028"/>
    <w:rsid w:val="58376EBD"/>
    <w:rsid w:val="583D7A71"/>
    <w:rsid w:val="5849528E"/>
    <w:rsid w:val="5857257D"/>
    <w:rsid w:val="585D17B1"/>
    <w:rsid w:val="586B21C1"/>
    <w:rsid w:val="586C0281"/>
    <w:rsid w:val="586D5DAF"/>
    <w:rsid w:val="586E1277"/>
    <w:rsid w:val="58745444"/>
    <w:rsid w:val="58762B51"/>
    <w:rsid w:val="587673E0"/>
    <w:rsid w:val="587F2D2E"/>
    <w:rsid w:val="58804EA0"/>
    <w:rsid w:val="58814AD7"/>
    <w:rsid w:val="588278D2"/>
    <w:rsid w:val="588A7BA0"/>
    <w:rsid w:val="58942016"/>
    <w:rsid w:val="58974425"/>
    <w:rsid w:val="58997710"/>
    <w:rsid w:val="589B13F1"/>
    <w:rsid w:val="589D6C21"/>
    <w:rsid w:val="589F001C"/>
    <w:rsid w:val="589F0AEA"/>
    <w:rsid w:val="589F469B"/>
    <w:rsid w:val="58A67F75"/>
    <w:rsid w:val="58AC164D"/>
    <w:rsid w:val="58B14960"/>
    <w:rsid w:val="58B37A4C"/>
    <w:rsid w:val="58B750C6"/>
    <w:rsid w:val="58B932A6"/>
    <w:rsid w:val="58BA6F66"/>
    <w:rsid w:val="58BC108C"/>
    <w:rsid w:val="58BD1BF7"/>
    <w:rsid w:val="58BE593E"/>
    <w:rsid w:val="58BF2295"/>
    <w:rsid w:val="58CB588B"/>
    <w:rsid w:val="58CC33BA"/>
    <w:rsid w:val="58CF7274"/>
    <w:rsid w:val="58D53932"/>
    <w:rsid w:val="58DC5376"/>
    <w:rsid w:val="58DF1921"/>
    <w:rsid w:val="58EE5FAE"/>
    <w:rsid w:val="58F26743"/>
    <w:rsid w:val="58F76A21"/>
    <w:rsid w:val="590250E2"/>
    <w:rsid w:val="5903690D"/>
    <w:rsid w:val="59091EF1"/>
    <w:rsid w:val="590D235C"/>
    <w:rsid w:val="590F19AC"/>
    <w:rsid w:val="59100827"/>
    <w:rsid w:val="59263C9F"/>
    <w:rsid w:val="592A6AEC"/>
    <w:rsid w:val="592D7984"/>
    <w:rsid w:val="593258AC"/>
    <w:rsid w:val="593639AE"/>
    <w:rsid w:val="59364799"/>
    <w:rsid w:val="59377398"/>
    <w:rsid w:val="59383657"/>
    <w:rsid w:val="593B383E"/>
    <w:rsid w:val="593D6CFB"/>
    <w:rsid w:val="59436AA2"/>
    <w:rsid w:val="59471538"/>
    <w:rsid w:val="594F0984"/>
    <w:rsid w:val="595409D5"/>
    <w:rsid w:val="595911E8"/>
    <w:rsid w:val="595F5E6F"/>
    <w:rsid w:val="5960536B"/>
    <w:rsid w:val="596333A3"/>
    <w:rsid w:val="596A71B0"/>
    <w:rsid w:val="596B56B4"/>
    <w:rsid w:val="597264E3"/>
    <w:rsid w:val="597811D3"/>
    <w:rsid w:val="59790232"/>
    <w:rsid w:val="597F505D"/>
    <w:rsid w:val="598073E2"/>
    <w:rsid w:val="59810236"/>
    <w:rsid w:val="598124BA"/>
    <w:rsid w:val="59851EBD"/>
    <w:rsid w:val="5989491A"/>
    <w:rsid w:val="598E3607"/>
    <w:rsid w:val="5997190B"/>
    <w:rsid w:val="59987AEB"/>
    <w:rsid w:val="599A76C7"/>
    <w:rsid w:val="59A22292"/>
    <w:rsid w:val="59A8428F"/>
    <w:rsid w:val="59B02E78"/>
    <w:rsid w:val="59B5167D"/>
    <w:rsid w:val="59B53CE1"/>
    <w:rsid w:val="59B71E33"/>
    <w:rsid w:val="59B726D9"/>
    <w:rsid w:val="59B86CAD"/>
    <w:rsid w:val="59BA41B3"/>
    <w:rsid w:val="59BB1B88"/>
    <w:rsid w:val="59BC66DF"/>
    <w:rsid w:val="59BD1CB0"/>
    <w:rsid w:val="59BE1E37"/>
    <w:rsid w:val="59C068B9"/>
    <w:rsid w:val="59C37F41"/>
    <w:rsid w:val="59C46BB5"/>
    <w:rsid w:val="59CB4B87"/>
    <w:rsid w:val="59D350DD"/>
    <w:rsid w:val="59D41351"/>
    <w:rsid w:val="59DA6A48"/>
    <w:rsid w:val="59DC02AE"/>
    <w:rsid w:val="59DD7439"/>
    <w:rsid w:val="59DE24FA"/>
    <w:rsid w:val="59DE5EED"/>
    <w:rsid w:val="59E012DB"/>
    <w:rsid w:val="59ED18FE"/>
    <w:rsid w:val="59EF6AF2"/>
    <w:rsid w:val="59F04B33"/>
    <w:rsid w:val="59F04EF3"/>
    <w:rsid w:val="59F35628"/>
    <w:rsid w:val="59F96D39"/>
    <w:rsid w:val="59FF4EC8"/>
    <w:rsid w:val="5A053D8A"/>
    <w:rsid w:val="5A065474"/>
    <w:rsid w:val="5A07158B"/>
    <w:rsid w:val="5A0C0409"/>
    <w:rsid w:val="5A0E08F4"/>
    <w:rsid w:val="5A0E5754"/>
    <w:rsid w:val="5A10139E"/>
    <w:rsid w:val="5A131DF2"/>
    <w:rsid w:val="5A1F5A51"/>
    <w:rsid w:val="5A223D87"/>
    <w:rsid w:val="5A277018"/>
    <w:rsid w:val="5A2A09D6"/>
    <w:rsid w:val="5A2B3381"/>
    <w:rsid w:val="5A2F65E0"/>
    <w:rsid w:val="5A322ED9"/>
    <w:rsid w:val="5A3770A9"/>
    <w:rsid w:val="5A386091"/>
    <w:rsid w:val="5A3C4B76"/>
    <w:rsid w:val="5A3F7400"/>
    <w:rsid w:val="5A46777F"/>
    <w:rsid w:val="5A4D23B9"/>
    <w:rsid w:val="5A5716D2"/>
    <w:rsid w:val="5A583138"/>
    <w:rsid w:val="5A5A23DB"/>
    <w:rsid w:val="5A636962"/>
    <w:rsid w:val="5A6D76A8"/>
    <w:rsid w:val="5A744930"/>
    <w:rsid w:val="5A79602F"/>
    <w:rsid w:val="5A8273BC"/>
    <w:rsid w:val="5A860EF1"/>
    <w:rsid w:val="5A8830A8"/>
    <w:rsid w:val="5A8F6F60"/>
    <w:rsid w:val="5A935D3C"/>
    <w:rsid w:val="5A950F0A"/>
    <w:rsid w:val="5A956041"/>
    <w:rsid w:val="5A97556C"/>
    <w:rsid w:val="5A9A540E"/>
    <w:rsid w:val="5A9D3D40"/>
    <w:rsid w:val="5A9F35DB"/>
    <w:rsid w:val="5AAC5F30"/>
    <w:rsid w:val="5AB11F95"/>
    <w:rsid w:val="5AB206FE"/>
    <w:rsid w:val="5AB70BD9"/>
    <w:rsid w:val="5AB9763A"/>
    <w:rsid w:val="5AC23B01"/>
    <w:rsid w:val="5AD06302"/>
    <w:rsid w:val="5ADA71DD"/>
    <w:rsid w:val="5AEA03E1"/>
    <w:rsid w:val="5AF104E3"/>
    <w:rsid w:val="5AF3414F"/>
    <w:rsid w:val="5AF379A2"/>
    <w:rsid w:val="5AF53FF4"/>
    <w:rsid w:val="5AF75909"/>
    <w:rsid w:val="5AF92500"/>
    <w:rsid w:val="5AFA337F"/>
    <w:rsid w:val="5AFB3BCB"/>
    <w:rsid w:val="5AFC4030"/>
    <w:rsid w:val="5AFE0A60"/>
    <w:rsid w:val="5B07501E"/>
    <w:rsid w:val="5B102095"/>
    <w:rsid w:val="5B103E50"/>
    <w:rsid w:val="5B1A0FF5"/>
    <w:rsid w:val="5B1E0329"/>
    <w:rsid w:val="5B1F09D1"/>
    <w:rsid w:val="5B205561"/>
    <w:rsid w:val="5B21687A"/>
    <w:rsid w:val="5B225FAC"/>
    <w:rsid w:val="5B230982"/>
    <w:rsid w:val="5B231F76"/>
    <w:rsid w:val="5B264B5A"/>
    <w:rsid w:val="5B2677C7"/>
    <w:rsid w:val="5B300CF1"/>
    <w:rsid w:val="5B326751"/>
    <w:rsid w:val="5B4059F5"/>
    <w:rsid w:val="5B427037"/>
    <w:rsid w:val="5B4911BE"/>
    <w:rsid w:val="5B4F1E11"/>
    <w:rsid w:val="5B525EF8"/>
    <w:rsid w:val="5B535401"/>
    <w:rsid w:val="5B560F4F"/>
    <w:rsid w:val="5B564B83"/>
    <w:rsid w:val="5B567752"/>
    <w:rsid w:val="5B606F71"/>
    <w:rsid w:val="5B623E69"/>
    <w:rsid w:val="5B695E6F"/>
    <w:rsid w:val="5B6C3EF5"/>
    <w:rsid w:val="5B7075BE"/>
    <w:rsid w:val="5B711EEE"/>
    <w:rsid w:val="5B7139B8"/>
    <w:rsid w:val="5B7A5FCF"/>
    <w:rsid w:val="5B7C3ED6"/>
    <w:rsid w:val="5B8402FF"/>
    <w:rsid w:val="5B85414A"/>
    <w:rsid w:val="5B856DA5"/>
    <w:rsid w:val="5B8806D5"/>
    <w:rsid w:val="5B8B6A3D"/>
    <w:rsid w:val="5B8C3F6B"/>
    <w:rsid w:val="5B933C02"/>
    <w:rsid w:val="5B947101"/>
    <w:rsid w:val="5B9E2F55"/>
    <w:rsid w:val="5BA2522A"/>
    <w:rsid w:val="5BA3672F"/>
    <w:rsid w:val="5BAD6723"/>
    <w:rsid w:val="5BB356ED"/>
    <w:rsid w:val="5BC07EE7"/>
    <w:rsid w:val="5BC46E83"/>
    <w:rsid w:val="5BC66581"/>
    <w:rsid w:val="5BC6728C"/>
    <w:rsid w:val="5BC74697"/>
    <w:rsid w:val="5BCE62C4"/>
    <w:rsid w:val="5BD4663D"/>
    <w:rsid w:val="5BDC541A"/>
    <w:rsid w:val="5BDE0709"/>
    <w:rsid w:val="5BE275E8"/>
    <w:rsid w:val="5BE40124"/>
    <w:rsid w:val="5BE7237E"/>
    <w:rsid w:val="5BE76FF7"/>
    <w:rsid w:val="5BEE0580"/>
    <w:rsid w:val="5BF01EAB"/>
    <w:rsid w:val="5BF66378"/>
    <w:rsid w:val="5BF77959"/>
    <w:rsid w:val="5BF80014"/>
    <w:rsid w:val="5BF951E5"/>
    <w:rsid w:val="5BFB0D00"/>
    <w:rsid w:val="5C004637"/>
    <w:rsid w:val="5C06342A"/>
    <w:rsid w:val="5C0B7995"/>
    <w:rsid w:val="5C0C4D0B"/>
    <w:rsid w:val="5C1230C1"/>
    <w:rsid w:val="5C142C6A"/>
    <w:rsid w:val="5C173059"/>
    <w:rsid w:val="5C1A0587"/>
    <w:rsid w:val="5C1B615D"/>
    <w:rsid w:val="5C1D5746"/>
    <w:rsid w:val="5C1F2083"/>
    <w:rsid w:val="5C1F2BAD"/>
    <w:rsid w:val="5C216AAC"/>
    <w:rsid w:val="5C2634CA"/>
    <w:rsid w:val="5C294ABB"/>
    <w:rsid w:val="5C2C7087"/>
    <w:rsid w:val="5C327142"/>
    <w:rsid w:val="5C355726"/>
    <w:rsid w:val="5C494C60"/>
    <w:rsid w:val="5C4A4700"/>
    <w:rsid w:val="5C4F6778"/>
    <w:rsid w:val="5C515CAB"/>
    <w:rsid w:val="5C5279A9"/>
    <w:rsid w:val="5C536B9F"/>
    <w:rsid w:val="5C5A5C91"/>
    <w:rsid w:val="5C611980"/>
    <w:rsid w:val="5C6126A8"/>
    <w:rsid w:val="5C6B4D8F"/>
    <w:rsid w:val="5C6F4C16"/>
    <w:rsid w:val="5C737AEB"/>
    <w:rsid w:val="5C741FC8"/>
    <w:rsid w:val="5C7B73D9"/>
    <w:rsid w:val="5C7E3043"/>
    <w:rsid w:val="5C8020E6"/>
    <w:rsid w:val="5C8C0F42"/>
    <w:rsid w:val="5C92199E"/>
    <w:rsid w:val="5C98179F"/>
    <w:rsid w:val="5C983D65"/>
    <w:rsid w:val="5C986944"/>
    <w:rsid w:val="5C9A31D8"/>
    <w:rsid w:val="5C9B46B9"/>
    <w:rsid w:val="5C9C7947"/>
    <w:rsid w:val="5CA0267F"/>
    <w:rsid w:val="5CA42B4F"/>
    <w:rsid w:val="5CA75219"/>
    <w:rsid w:val="5CA76A13"/>
    <w:rsid w:val="5CA85086"/>
    <w:rsid w:val="5CAF380D"/>
    <w:rsid w:val="5CB72AC1"/>
    <w:rsid w:val="5CB9684B"/>
    <w:rsid w:val="5CBE02B5"/>
    <w:rsid w:val="5CD03C8B"/>
    <w:rsid w:val="5CD255BF"/>
    <w:rsid w:val="5CD52D2C"/>
    <w:rsid w:val="5CD630B0"/>
    <w:rsid w:val="5CD97A71"/>
    <w:rsid w:val="5CDB02F5"/>
    <w:rsid w:val="5CDC02FC"/>
    <w:rsid w:val="5CE12CC9"/>
    <w:rsid w:val="5CE24EE6"/>
    <w:rsid w:val="5CE852C3"/>
    <w:rsid w:val="5CEB4A54"/>
    <w:rsid w:val="5CEC5589"/>
    <w:rsid w:val="5CF07E27"/>
    <w:rsid w:val="5CF523CC"/>
    <w:rsid w:val="5CF85173"/>
    <w:rsid w:val="5CFB14A7"/>
    <w:rsid w:val="5CFE206C"/>
    <w:rsid w:val="5D035017"/>
    <w:rsid w:val="5D041462"/>
    <w:rsid w:val="5D115570"/>
    <w:rsid w:val="5D16656E"/>
    <w:rsid w:val="5D2B060B"/>
    <w:rsid w:val="5D3016B6"/>
    <w:rsid w:val="5D341262"/>
    <w:rsid w:val="5D39108A"/>
    <w:rsid w:val="5D3A0AD8"/>
    <w:rsid w:val="5D4C7D3F"/>
    <w:rsid w:val="5D50113C"/>
    <w:rsid w:val="5D512CCA"/>
    <w:rsid w:val="5D536139"/>
    <w:rsid w:val="5D544460"/>
    <w:rsid w:val="5D57542D"/>
    <w:rsid w:val="5D646A93"/>
    <w:rsid w:val="5D722B5C"/>
    <w:rsid w:val="5D7557EA"/>
    <w:rsid w:val="5D77509B"/>
    <w:rsid w:val="5D935981"/>
    <w:rsid w:val="5D9706AE"/>
    <w:rsid w:val="5D9B5F1F"/>
    <w:rsid w:val="5D9C3AAE"/>
    <w:rsid w:val="5D9C4908"/>
    <w:rsid w:val="5DAE1B3F"/>
    <w:rsid w:val="5DAF1FE6"/>
    <w:rsid w:val="5DB70023"/>
    <w:rsid w:val="5DB93576"/>
    <w:rsid w:val="5DB96930"/>
    <w:rsid w:val="5DBD35AB"/>
    <w:rsid w:val="5DBF3730"/>
    <w:rsid w:val="5DC00E6E"/>
    <w:rsid w:val="5DC322BD"/>
    <w:rsid w:val="5DC60DA3"/>
    <w:rsid w:val="5DC84F38"/>
    <w:rsid w:val="5DCA2AEC"/>
    <w:rsid w:val="5DD34B1D"/>
    <w:rsid w:val="5DD95CEC"/>
    <w:rsid w:val="5DE03559"/>
    <w:rsid w:val="5DE53036"/>
    <w:rsid w:val="5DE80F48"/>
    <w:rsid w:val="5DE84FDB"/>
    <w:rsid w:val="5DF513F3"/>
    <w:rsid w:val="5E074FC2"/>
    <w:rsid w:val="5E0813C9"/>
    <w:rsid w:val="5E0E2180"/>
    <w:rsid w:val="5E0F3108"/>
    <w:rsid w:val="5E1A6EEB"/>
    <w:rsid w:val="5E1C05E6"/>
    <w:rsid w:val="5E1D7523"/>
    <w:rsid w:val="5E270089"/>
    <w:rsid w:val="5E2B6A85"/>
    <w:rsid w:val="5E2C3705"/>
    <w:rsid w:val="5E2D5653"/>
    <w:rsid w:val="5E2F1195"/>
    <w:rsid w:val="5E30121C"/>
    <w:rsid w:val="5E3973E4"/>
    <w:rsid w:val="5E3D5365"/>
    <w:rsid w:val="5E436DDF"/>
    <w:rsid w:val="5E4744F1"/>
    <w:rsid w:val="5E534A9D"/>
    <w:rsid w:val="5E564C9F"/>
    <w:rsid w:val="5E5A698D"/>
    <w:rsid w:val="5E674D52"/>
    <w:rsid w:val="5E682EEC"/>
    <w:rsid w:val="5E692F08"/>
    <w:rsid w:val="5E6B7A21"/>
    <w:rsid w:val="5E6C4E53"/>
    <w:rsid w:val="5E6D6442"/>
    <w:rsid w:val="5E711DF5"/>
    <w:rsid w:val="5E73386E"/>
    <w:rsid w:val="5E790E12"/>
    <w:rsid w:val="5E7A47CF"/>
    <w:rsid w:val="5E7F0789"/>
    <w:rsid w:val="5E8632A2"/>
    <w:rsid w:val="5E8647DB"/>
    <w:rsid w:val="5E893B18"/>
    <w:rsid w:val="5E8F23DD"/>
    <w:rsid w:val="5E947113"/>
    <w:rsid w:val="5E951B3C"/>
    <w:rsid w:val="5E9541D9"/>
    <w:rsid w:val="5E985C4D"/>
    <w:rsid w:val="5EA1132A"/>
    <w:rsid w:val="5EB017C9"/>
    <w:rsid w:val="5EB04F4D"/>
    <w:rsid w:val="5EB32217"/>
    <w:rsid w:val="5EB608CE"/>
    <w:rsid w:val="5EB61BA8"/>
    <w:rsid w:val="5EB756B8"/>
    <w:rsid w:val="5EBA3DDB"/>
    <w:rsid w:val="5EBB06D1"/>
    <w:rsid w:val="5EC1475F"/>
    <w:rsid w:val="5ECC0E53"/>
    <w:rsid w:val="5ECF1C8F"/>
    <w:rsid w:val="5ECF634B"/>
    <w:rsid w:val="5ECF795A"/>
    <w:rsid w:val="5ED20F60"/>
    <w:rsid w:val="5EDC1126"/>
    <w:rsid w:val="5EDE513A"/>
    <w:rsid w:val="5EE237F8"/>
    <w:rsid w:val="5EE94446"/>
    <w:rsid w:val="5EEF7784"/>
    <w:rsid w:val="5EF45704"/>
    <w:rsid w:val="5EF54272"/>
    <w:rsid w:val="5EFA07A3"/>
    <w:rsid w:val="5EFA7E42"/>
    <w:rsid w:val="5EFB041F"/>
    <w:rsid w:val="5F017228"/>
    <w:rsid w:val="5F02041F"/>
    <w:rsid w:val="5F0220AB"/>
    <w:rsid w:val="5F0F4950"/>
    <w:rsid w:val="5F155442"/>
    <w:rsid w:val="5F1B457C"/>
    <w:rsid w:val="5F1D3FA7"/>
    <w:rsid w:val="5F220394"/>
    <w:rsid w:val="5F2229AE"/>
    <w:rsid w:val="5F260ED8"/>
    <w:rsid w:val="5F261E28"/>
    <w:rsid w:val="5F2A5261"/>
    <w:rsid w:val="5F2D2128"/>
    <w:rsid w:val="5F314AF3"/>
    <w:rsid w:val="5F316637"/>
    <w:rsid w:val="5F34342B"/>
    <w:rsid w:val="5F366D61"/>
    <w:rsid w:val="5F3A4B42"/>
    <w:rsid w:val="5F3D7B2E"/>
    <w:rsid w:val="5F4243EB"/>
    <w:rsid w:val="5F450221"/>
    <w:rsid w:val="5F451566"/>
    <w:rsid w:val="5F490B78"/>
    <w:rsid w:val="5F4E0D20"/>
    <w:rsid w:val="5F562723"/>
    <w:rsid w:val="5F5B6EDE"/>
    <w:rsid w:val="5F5E2A1D"/>
    <w:rsid w:val="5F641C28"/>
    <w:rsid w:val="5F706693"/>
    <w:rsid w:val="5F7F4B7B"/>
    <w:rsid w:val="5F875646"/>
    <w:rsid w:val="5F88706B"/>
    <w:rsid w:val="5F8E796C"/>
    <w:rsid w:val="5F904932"/>
    <w:rsid w:val="5F9450A2"/>
    <w:rsid w:val="5F94716B"/>
    <w:rsid w:val="5F9564BE"/>
    <w:rsid w:val="5F9A5B79"/>
    <w:rsid w:val="5F9B762C"/>
    <w:rsid w:val="5FA02A28"/>
    <w:rsid w:val="5FA14B7B"/>
    <w:rsid w:val="5FA20845"/>
    <w:rsid w:val="5FAA38A1"/>
    <w:rsid w:val="5FB017DD"/>
    <w:rsid w:val="5FB02A2B"/>
    <w:rsid w:val="5FB139EF"/>
    <w:rsid w:val="5FB20065"/>
    <w:rsid w:val="5FB476FE"/>
    <w:rsid w:val="5FB62695"/>
    <w:rsid w:val="5FB76D76"/>
    <w:rsid w:val="5FBF01D9"/>
    <w:rsid w:val="5FC03559"/>
    <w:rsid w:val="5FC41097"/>
    <w:rsid w:val="5FC71E43"/>
    <w:rsid w:val="5FC95A85"/>
    <w:rsid w:val="5FCD3130"/>
    <w:rsid w:val="5FD00A60"/>
    <w:rsid w:val="5FD0474E"/>
    <w:rsid w:val="5FDE0CE4"/>
    <w:rsid w:val="5FEC1EFD"/>
    <w:rsid w:val="5FF04903"/>
    <w:rsid w:val="5FFE6507"/>
    <w:rsid w:val="60034945"/>
    <w:rsid w:val="60052B5E"/>
    <w:rsid w:val="600C7B4E"/>
    <w:rsid w:val="600F09D2"/>
    <w:rsid w:val="600F261C"/>
    <w:rsid w:val="601142F3"/>
    <w:rsid w:val="601346EE"/>
    <w:rsid w:val="6019043A"/>
    <w:rsid w:val="60196EAF"/>
    <w:rsid w:val="601A20E3"/>
    <w:rsid w:val="601B3107"/>
    <w:rsid w:val="601C76DB"/>
    <w:rsid w:val="601E2730"/>
    <w:rsid w:val="60220E32"/>
    <w:rsid w:val="60222913"/>
    <w:rsid w:val="60237350"/>
    <w:rsid w:val="602E587E"/>
    <w:rsid w:val="603060DC"/>
    <w:rsid w:val="60362D0B"/>
    <w:rsid w:val="603719A0"/>
    <w:rsid w:val="603871A2"/>
    <w:rsid w:val="603B58DB"/>
    <w:rsid w:val="603E42EC"/>
    <w:rsid w:val="60430013"/>
    <w:rsid w:val="60433773"/>
    <w:rsid w:val="60481630"/>
    <w:rsid w:val="60492DC4"/>
    <w:rsid w:val="60495D48"/>
    <w:rsid w:val="604B74FE"/>
    <w:rsid w:val="604D7977"/>
    <w:rsid w:val="60516711"/>
    <w:rsid w:val="6053285B"/>
    <w:rsid w:val="60557A15"/>
    <w:rsid w:val="605E4BBD"/>
    <w:rsid w:val="60600E33"/>
    <w:rsid w:val="60626BB7"/>
    <w:rsid w:val="60660291"/>
    <w:rsid w:val="606B36F2"/>
    <w:rsid w:val="606E4583"/>
    <w:rsid w:val="607D4751"/>
    <w:rsid w:val="6083219A"/>
    <w:rsid w:val="608657C3"/>
    <w:rsid w:val="608F47AD"/>
    <w:rsid w:val="609434F9"/>
    <w:rsid w:val="609C6ADE"/>
    <w:rsid w:val="609D2C2D"/>
    <w:rsid w:val="609D4D1B"/>
    <w:rsid w:val="60A83D19"/>
    <w:rsid w:val="60A84656"/>
    <w:rsid w:val="60A935D2"/>
    <w:rsid w:val="60A95C69"/>
    <w:rsid w:val="60AB253B"/>
    <w:rsid w:val="60AD653D"/>
    <w:rsid w:val="60AF5980"/>
    <w:rsid w:val="60BB1BC6"/>
    <w:rsid w:val="60BC2BB7"/>
    <w:rsid w:val="60BE0093"/>
    <w:rsid w:val="60BE49B5"/>
    <w:rsid w:val="60BE705B"/>
    <w:rsid w:val="60BF076D"/>
    <w:rsid w:val="60C62090"/>
    <w:rsid w:val="60C90B23"/>
    <w:rsid w:val="60CF1A06"/>
    <w:rsid w:val="60D07DE0"/>
    <w:rsid w:val="60D14123"/>
    <w:rsid w:val="60D17521"/>
    <w:rsid w:val="60D272F1"/>
    <w:rsid w:val="60D65E76"/>
    <w:rsid w:val="60D82CB3"/>
    <w:rsid w:val="60DF0778"/>
    <w:rsid w:val="60DF39B8"/>
    <w:rsid w:val="60E04BF0"/>
    <w:rsid w:val="60E1256C"/>
    <w:rsid w:val="60E149D0"/>
    <w:rsid w:val="60E4023B"/>
    <w:rsid w:val="60E85F71"/>
    <w:rsid w:val="60EF3693"/>
    <w:rsid w:val="60F203D6"/>
    <w:rsid w:val="60F44D3F"/>
    <w:rsid w:val="60F52FBF"/>
    <w:rsid w:val="60F77BA4"/>
    <w:rsid w:val="60FC3F6F"/>
    <w:rsid w:val="610159DC"/>
    <w:rsid w:val="61073712"/>
    <w:rsid w:val="61096B3E"/>
    <w:rsid w:val="610E6997"/>
    <w:rsid w:val="610F2779"/>
    <w:rsid w:val="611307AC"/>
    <w:rsid w:val="611D3CA7"/>
    <w:rsid w:val="61222812"/>
    <w:rsid w:val="612261B1"/>
    <w:rsid w:val="6124521C"/>
    <w:rsid w:val="61294A55"/>
    <w:rsid w:val="612E42FB"/>
    <w:rsid w:val="612E7387"/>
    <w:rsid w:val="613021BF"/>
    <w:rsid w:val="61331709"/>
    <w:rsid w:val="6135638A"/>
    <w:rsid w:val="613D058B"/>
    <w:rsid w:val="613F2B62"/>
    <w:rsid w:val="61483A97"/>
    <w:rsid w:val="6149173D"/>
    <w:rsid w:val="614B3170"/>
    <w:rsid w:val="6155798A"/>
    <w:rsid w:val="6156318E"/>
    <w:rsid w:val="615B6C10"/>
    <w:rsid w:val="615D066B"/>
    <w:rsid w:val="616030B2"/>
    <w:rsid w:val="61625EF6"/>
    <w:rsid w:val="61713958"/>
    <w:rsid w:val="61727839"/>
    <w:rsid w:val="6178205C"/>
    <w:rsid w:val="617A0F68"/>
    <w:rsid w:val="617A2B83"/>
    <w:rsid w:val="617A4700"/>
    <w:rsid w:val="61804690"/>
    <w:rsid w:val="61815FCB"/>
    <w:rsid w:val="61846E3E"/>
    <w:rsid w:val="61854281"/>
    <w:rsid w:val="61914686"/>
    <w:rsid w:val="619426C8"/>
    <w:rsid w:val="619511B1"/>
    <w:rsid w:val="61962ACD"/>
    <w:rsid w:val="619C4F89"/>
    <w:rsid w:val="61A242F5"/>
    <w:rsid w:val="61A351B1"/>
    <w:rsid w:val="61A36B58"/>
    <w:rsid w:val="61B413DD"/>
    <w:rsid w:val="61B441E5"/>
    <w:rsid w:val="61B7660D"/>
    <w:rsid w:val="61BA725B"/>
    <w:rsid w:val="61C438DE"/>
    <w:rsid w:val="61CB7F2D"/>
    <w:rsid w:val="61EA72EA"/>
    <w:rsid w:val="61EC6888"/>
    <w:rsid w:val="61FE24F0"/>
    <w:rsid w:val="61FF08CC"/>
    <w:rsid w:val="62031EFF"/>
    <w:rsid w:val="620371C2"/>
    <w:rsid w:val="620623CE"/>
    <w:rsid w:val="62067A90"/>
    <w:rsid w:val="620908AE"/>
    <w:rsid w:val="620E2202"/>
    <w:rsid w:val="621032A4"/>
    <w:rsid w:val="62122491"/>
    <w:rsid w:val="6224752D"/>
    <w:rsid w:val="6225626D"/>
    <w:rsid w:val="62283205"/>
    <w:rsid w:val="622A6BF9"/>
    <w:rsid w:val="622B54A0"/>
    <w:rsid w:val="623F53B8"/>
    <w:rsid w:val="624020A5"/>
    <w:rsid w:val="6243576B"/>
    <w:rsid w:val="624410E3"/>
    <w:rsid w:val="62490A58"/>
    <w:rsid w:val="62490D62"/>
    <w:rsid w:val="625334BE"/>
    <w:rsid w:val="625530B1"/>
    <w:rsid w:val="6256613E"/>
    <w:rsid w:val="62597A3D"/>
    <w:rsid w:val="625A2476"/>
    <w:rsid w:val="625D1F6E"/>
    <w:rsid w:val="62642619"/>
    <w:rsid w:val="62687DBA"/>
    <w:rsid w:val="627D0658"/>
    <w:rsid w:val="627D5FE1"/>
    <w:rsid w:val="627F7E83"/>
    <w:rsid w:val="62872E5C"/>
    <w:rsid w:val="628A42AB"/>
    <w:rsid w:val="628B025D"/>
    <w:rsid w:val="628F3A05"/>
    <w:rsid w:val="6290189C"/>
    <w:rsid w:val="6293419C"/>
    <w:rsid w:val="62944304"/>
    <w:rsid w:val="62A34A5F"/>
    <w:rsid w:val="62A95944"/>
    <w:rsid w:val="62AC2232"/>
    <w:rsid w:val="62AC6386"/>
    <w:rsid w:val="62C72D62"/>
    <w:rsid w:val="62CC6013"/>
    <w:rsid w:val="62D117D4"/>
    <w:rsid w:val="62E1312A"/>
    <w:rsid w:val="62E35487"/>
    <w:rsid w:val="62E367CD"/>
    <w:rsid w:val="62E42B22"/>
    <w:rsid w:val="62E8287D"/>
    <w:rsid w:val="62E831DD"/>
    <w:rsid w:val="62E85479"/>
    <w:rsid w:val="62EE5937"/>
    <w:rsid w:val="62F12012"/>
    <w:rsid w:val="62F7451C"/>
    <w:rsid w:val="62F821A3"/>
    <w:rsid w:val="62F83708"/>
    <w:rsid w:val="62FC54B1"/>
    <w:rsid w:val="62FD095E"/>
    <w:rsid w:val="62FD46AD"/>
    <w:rsid w:val="62FD6BFD"/>
    <w:rsid w:val="63021AEB"/>
    <w:rsid w:val="63156E7E"/>
    <w:rsid w:val="63176CE7"/>
    <w:rsid w:val="6318677E"/>
    <w:rsid w:val="63251189"/>
    <w:rsid w:val="63296B2B"/>
    <w:rsid w:val="632B31E1"/>
    <w:rsid w:val="632C2E53"/>
    <w:rsid w:val="6332106C"/>
    <w:rsid w:val="63360AC7"/>
    <w:rsid w:val="63362665"/>
    <w:rsid w:val="633B5735"/>
    <w:rsid w:val="633F53DF"/>
    <w:rsid w:val="63401D02"/>
    <w:rsid w:val="634020AA"/>
    <w:rsid w:val="634171B7"/>
    <w:rsid w:val="634274E7"/>
    <w:rsid w:val="634339A4"/>
    <w:rsid w:val="63434A00"/>
    <w:rsid w:val="634613AF"/>
    <w:rsid w:val="63486CEF"/>
    <w:rsid w:val="634D28AD"/>
    <w:rsid w:val="6350689C"/>
    <w:rsid w:val="63575BC5"/>
    <w:rsid w:val="635876FF"/>
    <w:rsid w:val="635A0203"/>
    <w:rsid w:val="635D5D4D"/>
    <w:rsid w:val="63632291"/>
    <w:rsid w:val="63654A9B"/>
    <w:rsid w:val="636B38AA"/>
    <w:rsid w:val="637045F2"/>
    <w:rsid w:val="63706113"/>
    <w:rsid w:val="63732E39"/>
    <w:rsid w:val="6379622E"/>
    <w:rsid w:val="637D2A9E"/>
    <w:rsid w:val="63814E36"/>
    <w:rsid w:val="638761B0"/>
    <w:rsid w:val="6388010E"/>
    <w:rsid w:val="638B6853"/>
    <w:rsid w:val="638E3FD7"/>
    <w:rsid w:val="638E5847"/>
    <w:rsid w:val="63922518"/>
    <w:rsid w:val="63923815"/>
    <w:rsid w:val="6394308D"/>
    <w:rsid w:val="63A25C7A"/>
    <w:rsid w:val="63A85F49"/>
    <w:rsid w:val="63A9490F"/>
    <w:rsid w:val="63AE03CA"/>
    <w:rsid w:val="63B77712"/>
    <w:rsid w:val="63BC28EE"/>
    <w:rsid w:val="63C1166A"/>
    <w:rsid w:val="63C44502"/>
    <w:rsid w:val="63C52432"/>
    <w:rsid w:val="63C91E96"/>
    <w:rsid w:val="63D95B0D"/>
    <w:rsid w:val="63DA5041"/>
    <w:rsid w:val="63DB00E4"/>
    <w:rsid w:val="63E12B34"/>
    <w:rsid w:val="63E2094C"/>
    <w:rsid w:val="63E5671F"/>
    <w:rsid w:val="63E86698"/>
    <w:rsid w:val="63E9403E"/>
    <w:rsid w:val="63EA5EFD"/>
    <w:rsid w:val="63F7180C"/>
    <w:rsid w:val="63FB26D1"/>
    <w:rsid w:val="63FB3297"/>
    <w:rsid w:val="63FC3CAA"/>
    <w:rsid w:val="640217CB"/>
    <w:rsid w:val="64041332"/>
    <w:rsid w:val="64063D9E"/>
    <w:rsid w:val="64082AF2"/>
    <w:rsid w:val="640839E4"/>
    <w:rsid w:val="640A38BE"/>
    <w:rsid w:val="640B5692"/>
    <w:rsid w:val="64164D4C"/>
    <w:rsid w:val="641875DB"/>
    <w:rsid w:val="6421757E"/>
    <w:rsid w:val="642B3419"/>
    <w:rsid w:val="642D2CE0"/>
    <w:rsid w:val="642D4581"/>
    <w:rsid w:val="64312DBC"/>
    <w:rsid w:val="64315C0B"/>
    <w:rsid w:val="64337A85"/>
    <w:rsid w:val="643706EB"/>
    <w:rsid w:val="643E32C9"/>
    <w:rsid w:val="643F6DC3"/>
    <w:rsid w:val="64423F45"/>
    <w:rsid w:val="644824BA"/>
    <w:rsid w:val="644C5433"/>
    <w:rsid w:val="644D7E43"/>
    <w:rsid w:val="64615FB9"/>
    <w:rsid w:val="64622541"/>
    <w:rsid w:val="64627808"/>
    <w:rsid w:val="64672632"/>
    <w:rsid w:val="64676D04"/>
    <w:rsid w:val="646E19C2"/>
    <w:rsid w:val="64710368"/>
    <w:rsid w:val="64766AE0"/>
    <w:rsid w:val="64774428"/>
    <w:rsid w:val="6481134D"/>
    <w:rsid w:val="64875CC2"/>
    <w:rsid w:val="648A5E63"/>
    <w:rsid w:val="648A73A6"/>
    <w:rsid w:val="64931902"/>
    <w:rsid w:val="649465FA"/>
    <w:rsid w:val="649B2B13"/>
    <w:rsid w:val="64AB6F0C"/>
    <w:rsid w:val="64B16602"/>
    <w:rsid w:val="64BA30A6"/>
    <w:rsid w:val="64BA3128"/>
    <w:rsid w:val="64C21A00"/>
    <w:rsid w:val="64C3677A"/>
    <w:rsid w:val="64C616A2"/>
    <w:rsid w:val="64C62771"/>
    <w:rsid w:val="64C85BED"/>
    <w:rsid w:val="64C91EDD"/>
    <w:rsid w:val="64CA3203"/>
    <w:rsid w:val="64CB6AF7"/>
    <w:rsid w:val="64CC0833"/>
    <w:rsid w:val="64CD33EF"/>
    <w:rsid w:val="64D5730F"/>
    <w:rsid w:val="64D839CD"/>
    <w:rsid w:val="64DC1F9B"/>
    <w:rsid w:val="64DF175F"/>
    <w:rsid w:val="64E52BF7"/>
    <w:rsid w:val="64E8402A"/>
    <w:rsid w:val="64E97254"/>
    <w:rsid w:val="64F03939"/>
    <w:rsid w:val="64F4313D"/>
    <w:rsid w:val="64F62951"/>
    <w:rsid w:val="64FC7725"/>
    <w:rsid w:val="64FE4527"/>
    <w:rsid w:val="65072972"/>
    <w:rsid w:val="650742A5"/>
    <w:rsid w:val="650B4B97"/>
    <w:rsid w:val="651023A6"/>
    <w:rsid w:val="651348A8"/>
    <w:rsid w:val="651937F9"/>
    <w:rsid w:val="651D0073"/>
    <w:rsid w:val="652263D4"/>
    <w:rsid w:val="65240C68"/>
    <w:rsid w:val="652474C3"/>
    <w:rsid w:val="652A3CC4"/>
    <w:rsid w:val="652D00E4"/>
    <w:rsid w:val="652E2263"/>
    <w:rsid w:val="652F698D"/>
    <w:rsid w:val="65366852"/>
    <w:rsid w:val="65397FC8"/>
    <w:rsid w:val="653A433C"/>
    <w:rsid w:val="653B34F7"/>
    <w:rsid w:val="653F2942"/>
    <w:rsid w:val="654278BD"/>
    <w:rsid w:val="65475368"/>
    <w:rsid w:val="65476DD8"/>
    <w:rsid w:val="654A43D3"/>
    <w:rsid w:val="654C1F1E"/>
    <w:rsid w:val="654F0AD3"/>
    <w:rsid w:val="654F5EC7"/>
    <w:rsid w:val="65521BCE"/>
    <w:rsid w:val="65565D06"/>
    <w:rsid w:val="65575195"/>
    <w:rsid w:val="65586EFE"/>
    <w:rsid w:val="655F29B2"/>
    <w:rsid w:val="65637AB9"/>
    <w:rsid w:val="656E2F5B"/>
    <w:rsid w:val="6572117D"/>
    <w:rsid w:val="657321A0"/>
    <w:rsid w:val="65757929"/>
    <w:rsid w:val="6577230B"/>
    <w:rsid w:val="657B510B"/>
    <w:rsid w:val="658141BC"/>
    <w:rsid w:val="6587377D"/>
    <w:rsid w:val="658A7478"/>
    <w:rsid w:val="658F1822"/>
    <w:rsid w:val="659220F9"/>
    <w:rsid w:val="65930A62"/>
    <w:rsid w:val="659416CF"/>
    <w:rsid w:val="65953C83"/>
    <w:rsid w:val="65955703"/>
    <w:rsid w:val="659A759E"/>
    <w:rsid w:val="659E2997"/>
    <w:rsid w:val="65A05BF4"/>
    <w:rsid w:val="65A2099C"/>
    <w:rsid w:val="65A77CF3"/>
    <w:rsid w:val="65A87AD9"/>
    <w:rsid w:val="65AD1E9B"/>
    <w:rsid w:val="65BD07A4"/>
    <w:rsid w:val="65C07568"/>
    <w:rsid w:val="65C51253"/>
    <w:rsid w:val="65C55519"/>
    <w:rsid w:val="65C663C5"/>
    <w:rsid w:val="65C85AC3"/>
    <w:rsid w:val="65D02E47"/>
    <w:rsid w:val="65DD178A"/>
    <w:rsid w:val="65E11260"/>
    <w:rsid w:val="65E43FBB"/>
    <w:rsid w:val="65E5150F"/>
    <w:rsid w:val="65E622CE"/>
    <w:rsid w:val="65E8040C"/>
    <w:rsid w:val="65E8079F"/>
    <w:rsid w:val="65E844FA"/>
    <w:rsid w:val="65F22691"/>
    <w:rsid w:val="65F62CB7"/>
    <w:rsid w:val="65F63500"/>
    <w:rsid w:val="65FC02CA"/>
    <w:rsid w:val="66081164"/>
    <w:rsid w:val="660A28DD"/>
    <w:rsid w:val="660C6BD8"/>
    <w:rsid w:val="66134836"/>
    <w:rsid w:val="66246611"/>
    <w:rsid w:val="662A4EB8"/>
    <w:rsid w:val="662B4069"/>
    <w:rsid w:val="66315B34"/>
    <w:rsid w:val="66346BDF"/>
    <w:rsid w:val="66360024"/>
    <w:rsid w:val="663E6217"/>
    <w:rsid w:val="664454D1"/>
    <w:rsid w:val="664C1E7A"/>
    <w:rsid w:val="6659563A"/>
    <w:rsid w:val="665A452D"/>
    <w:rsid w:val="665E17BE"/>
    <w:rsid w:val="665E3690"/>
    <w:rsid w:val="66691CA5"/>
    <w:rsid w:val="666B573E"/>
    <w:rsid w:val="666B621B"/>
    <w:rsid w:val="666C31A7"/>
    <w:rsid w:val="6675279D"/>
    <w:rsid w:val="66772928"/>
    <w:rsid w:val="667B26E3"/>
    <w:rsid w:val="667D0410"/>
    <w:rsid w:val="667E53AA"/>
    <w:rsid w:val="668141B5"/>
    <w:rsid w:val="66823607"/>
    <w:rsid w:val="668253EA"/>
    <w:rsid w:val="66845F73"/>
    <w:rsid w:val="66852F75"/>
    <w:rsid w:val="66884846"/>
    <w:rsid w:val="66891445"/>
    <w:rsid w:val="668F65B8"/>
    <w:rsid w:val="669013C9"/>
    <w:rsid w:val="66910A4E"/>
    <w:rsid w:val="66971E82"/>
    <w:rsid w:val="669747E3"/>
    <w:rsid w:val="669B3C62"/>
    <w:rsid w:val="669F4432"/>
    <w:rsid w:val="66A0025A"/>
    <w:rsid w:val="66A43D75"/>
    <w:rsid w:val="66A835C7"/>
    <w:rsid w:val="66AC71EC"/>
    <w:rsid w:val="66AE5421"/>
    <w:rsid w:val="66AF303A"/>
    <w:rsid w:val="66B24583"/>
    <w:rsid w:val="66B422A3"/>
    <w:rsid w:val="66B55F38"/>
    <w:rsid w:val="66B604D7"/>
    <w:rsid w:val="66B9473D"/>
    <w:rsid w:val="66BA78B9"/>
    <w:rsid w:val="66D044B0"/>
    <w:rsid w:val="66D10D01"/>
    <w:rsid w:val="66D7050A"/>
    <w:rsid w:val="66DE5792"/>
    <w:rsid w:val="66EB1AC1"/>
    <w:rsid w:val="66EF1EBB"/>
    <w:rsid w:val="66F0488E"/>
    <w:rsid w:val="66FB3F18"/>
    <w:rsid w:val="67013DFD"/>
    <w:rsid w:val="670203AA"/>
    <w:rsid w:val="67094EDA"/>
    <w:rsid w:val="670A0ACA"/>
    <w:rsid w:val="670B5E17"/>
    <w:rsid w:val="670E75E8"/>
    <w:rsid w:val="671152D3"/>
    <w:rsid w:val="67177E60"/>
    <w:rsid w:val="671F3F3A"/>
    <w:rsid w:val="67281633"/>
    <w:rsid w:val="672C1100"/>
    <w:rsid w:val="672C2662"/>
    <w:rsid w:val="673026E5"/>
    <w:rsid w:val="6730749E"/>
    <w:rsid w:val="67355E20"/>
    <w:rsid w:val="673A2810"/>
    <w:rsid w:val="673B23D0"/>
    <w:rsid w:val="673F63EB"/>
    <w:rsid w:val="6740532C"/>
    <w:rsid w:val="67414BEF"/>
    <w:rsid w:val="67471253"/>
    <w:rsid w:val="674A47FE"/>
    <w:rsid w:val="674D07D4"/>
    <w:rsid w:val="67567AF3"/>
    <w:rsid w:val="67574FFA"/>
    <w:rsid w:val="675D7B7C"/>
    <w:rsid w:val="675E5CF1"/>
    <w:rsid w:val="67600E91"/>
    <w:rsid w:val="67623630"/>
    <w:rsid w:val="67653476"/>
    <w:rsid w:val="676B6985"/>
    <w:rsid w:val="6771381B"/>
    <w:rsid w:val="67727209"/>
    <w:rsid w:val="67731779"/>
    <w:rsid w:val="67740E19"/>
    <w:rsid w:val="677A33EB"/>
    <w:rsid w:val="67840399"/>
    <w:rsid w:val="678A0804"/>
    <w:rsid w:val="678B7BA0"/>
    <w:rsid w:val="678E53C4"/>
    <w:rsid w:val="679500C8"/>
    <w:rsid w:val="679D5832"/>
    <w:rsid w:val="67A23709"/>
    <w:rsid w:val="67A43F4F"/>
    <w:rsid w:val="67AC5AA9"/>
    <w:rsid w:val="67B675C8"/>
    <w:rsid w:val="67C437E3"/>
    <w:rsid w:val="67C6626A"/>
    <w:rsid w:val="67CB44AB"/>
    <w:rsid w:val="67CC6E9A"/>
    <w:rsid w:val="67D71F58"/>
    <w:rsid w:val="67D90AB1"/>
    <w:rsid w:val="67DB39AA"/>
    <w:rsid w:val="67E041E0"/>
    <w:rsid w:val="67E50A66"/>
    <w:rsid w:val="67E5489D"/>
    <w:rsid w:val="67ED5141"/>
    <w:rsid w:val="67F23EB5"/>
    <w:rsid w:val="67F7112F"/>
    <w:rsid w:val="67F82328"/>
    <w:rsid w:val="67FB5DED"/>
    <w:rsid w:val="67FE75FC"/>
    <w:rsid w:val="68020FF0"/>
    <w:rsid w:val="68050BEF"/>
    <w:rsid w:val="68074629"/>
    <w:rsid w:val="680D13F4"/>
    <w:rsid w:val="68126E6F"/>
    <w:rsid w:val="68157BEF"/>
    <w:rsid w:val="681B7DBF"/>
    <w:rsid w:val="681D24AE"/>
    <w:rsid w:val="681D3AC4"/>
    <w:rsid w:val="68274823"/>
    <w:rsid w:val="682E0335"/>
    <w:rsid w:val="68393493"/>
    <w:rsid w:val="683B1BA8"/>
    <w:rsid w:val="683B3530"/>
    <w:rsid w:val="683E665E"/>
    <w:rsid w:val="684228DA"/>
    <w:rsid w:val="68425F8A"/>
    <w:rsid w:val="6858552E"/>
    <w:rsid w:val="685D591E"/>
    <w:rsid w:val="685E779F"/>
    <w:rsid w:val="686261FC"/>
    <w:rsid w:val="68626967"/>
    <w:rsid w:val="686A0E5D"/>
    <w:rsid w:val="686B4D7E"/>
    <w:rsid w:val="686B5F4F"/>
    <w:rsid w:val="686C07DA"/>
    <w:rsid w:val="68713B0E"/>
    <w:rsid w:val="687308A2"/>
    <w:rsid w:val="68746E06"/>
    <w:rsid w:val="687A319B"/>
    <w:rsid w:val="687F2EAB"/>
    <w:rsid w:val="6881784A"/>
    <w:rsid w:val="688F354B"/>
    <w:rsid w:val="689547A4"/>
    <w:rsid w:val="68990F6F"/>
    <w:rsid w:val="689D3025"/>
    <w:rsid w:val="689F5217"/>
    <w:rsid w:val="689F6AA4"/>
    <w:rsid w:val="68A71D95"/>
    <w:rsid w:val="68A874F1"/>
    <w:rsid w:val="68A87C07"/>
    <w:rsid w:val="68B70472"/>
    <w:rsid w:val="68B70F98"/>
    <w:rsid w:val="68BB4964"/>
    <w:rsid w:val="68BD7822"/>
    <w:rsid w:val="68BE149B"/>
    <w:rsid w:val="68BF7FB6"/>
    <w:rsid w:val="68C07993"/>
    <w:rsid w:val="68D42DFA"/>
    <w:rsid w:val="68D44B0D"/>
    <w:rsid w:val="68D60703"/>
    <w:rsid w:val="68D62A34"/>
    <w:rsid w:val="68D858B1"/>
    <w:rsid w:val="68D948D3"/>
    <w:rsid w:val="68DC7824"/>
    <w:rsid w:val="68DD42D2"/>
    <w:rsid w:val="68E15F49"/>
    <w:rsid w:val="68E3501D"/>
    <w:rsid w:val="68EE49BD"/>
    <w:rsid w:val="68F26776"/>
    <w:rsid w:val="68F37D38"/>
    <w:rsid w:val="68F52AA4"/>
    <w:rsid w:val="68F761C5"/>
    <w:rsid w:val="68F92D1C"/>
    <w:rsid w:val="68FB3514"/>
    <w:rsid w:val="69001ACF"/>
    <w:rsid w:val="69042990"/>
    <w:rsid w:val="69087377"/>
    <w:rsid w:val="690D3A39"/>
    <w:rsid w:val="69112374"/>
    <w:rsid w:val="69131C8C"/>
    <w:rsid w:val="691544C7"/>
    <w:rsid w:val="69173A4C"/>
    <w:rsid w:val="691A2959"/>
    <w:rsid w:val="691C438F"/>
    <w:rsid w:val="6927454C"/>
    <w:rsid w:val="692E0F87"/>
    <w:rsid w:val="69314F89"/>
    <w:rsid w:val="69354B17"/>
    <w:rsid w:val="694445FC"/>
    <w:rsid w:val="69452BA1"/>
    <w:rsid w:val="6946434B"/>
    <w:rsid w:val="694E0316"/>
    <w:rsid w:val="69503379"/>
    <w:rsid w:val="69516F8E"/>
    <w:rsid w:val="6952549A"/>
    <w:rsid w:val="69565244"/>
    <w:rsid w:val="69580F93"/>
    <w:rsid w:val="695A06A3"/>
    <w:rsid w:val="695A625D"/>
    <w:rsid w:val="696139AE"/>
    <w:rsid w:val="69676A01"/>
    <w:rsid w:val="696E321B"/>
    <w:rsid w:val="69714B48"/>
    <w:rsid w:val="69777A71"/>
    <w:rsid w:val="69784E0C"/>
    <w:rsid w:val="697D1A6C"/>
    <w:rsid w:val="6986113D"/>
    <w:rsid w:val="698636FB"/>
    <w:rsid w:val="698733AC"/>
    <w:rsid w:val="698C11A6"/>
    <w:rsid w:val="699276FC"/>
    <w:rsid w:val="69996943"/>
    <w:rsid w:val="699E2707"/>
    <w:rsid w:val="69A14582"/>
    <w:rsid w:val="69AB2D1A"/>
    <w:rsid w:val="69AC7FE4"/>
    <w:rsid w:val="69AD108E"/>
    <w:rsid w:val="69B22DAF"/>
    <w:rsid w:val="69B62B89"/>
    <w:rsid w:val="69BA2402"/>
    <w:rsid w:val="69BA7A7C"/>
    <w:rsid w:val="69C1604D"/>
    <w:rsid w:val="69CB54C2"/>
    <w:rsid w:val="69D07C1B"/>
    <w:rsid w:val="69D6388E"/>
    <w:rsid w:val="69D72F85"/>
    <w:rsid w:val="69DC5C54"/>
    <w:rsid w:val="69E93F36"/>
    <w:rsid w:val="69EA6297"/>
    <w:rsid w:val="69F23D4A"/>
    <w:rsid w:val="69FA7D41"/>
    <w:rsid w:val="69FE42E7"/>
    <w:rsid w:val="6A043686"/>
    <w:rsid w:val="6A087AF5"/>
    <w:rsid w:val="6A0900FD"/>
    <w:rsid w:val="6A0B0B01"/>
    <w:rsid w:val="6A112AFA"/>
    <w:rsid w:val="6A1533D6"/>
    <w:rsid w:val="6A167014"/>
    <w:rsid w:val="6A191E28"/>
    <w:rsid w:val="6A1E4CE9"/>
    <w:rsid w:val="6A204CCD"/>
    <w:rsid w:val="6A214C16"/>
    <w:rsid w:val="6A29281B"/>
    <w:rsid w:val="6A293EA1"/>
    <w:rsid w:val="6A2E7A85"/>
    <w:rsid w:val="6A310874"/>
    <w:rsid w:val="6A347B2D"/>
    <w:rsid w:val="6A347C00"/>
    <w:rsid w:val="6A366B06"/>
    <w:rsid w:val="6A484ECE"/>
    <w:rsid w:val="6A4F18D0"/>
    <w:rsid w:val="6A4F6A9F"/>
    <w:rsid w:val="6A501CBF"/>
    <w:rsid w:val="6A540420"/>
    <w:rsid w:val="6A5419DA"/>
    <w:rsid w:val="6A591242"/>
    <w:rsid w:val="6A595197"/>
    <w:rsid w:val="6A5E73D2"/>
    <w:rsid w:val="6A65626B"/>
    <w:rsid w:val="6A663E64"/>
    <w:rsid w:val="6A672E3C"/>
    <w:rsid w:val="6A6770DF"/>
    <w:rsid w:val="6A680F94"/>
    <w:rsid w:val="6A6F313A"/>
    <w:rsid w:val="6A70727C"/>
    <w:rsid w:val="6A762DAF"/>
    <w:rsid w:val="6A796A80"/>
    <w:rsid w:val="6A7B56ED"/>
    <w:rsid w:val="6A7B7A05"/>
    <w:rsid w:val="6A7C6627"/>
    <w:rsid w:val="6A8453AC"/>
    <w:rsid w:val="6A8B7ABD"/>
    <w:rsid w:val="6A90125B"/>
    <w:rsid w:val="6A9103DF"/>
    <w:rsid w:val="6A911A7E"/>
    <w:rsid w:val="6A9457D8"/>
    <w:rsid w:val="6AA01286"/>
    <w:rsid w:val="6AA05A81"/>
    <w:rsid w:val="6AA0702A"/>
    <w:rsid w:val="6AA261BD"/>
    <w:rsid w:val="6AAD57C8"/>
    <w:rsid w:val="6AAF5AA9"/>
    <w:rsid w:val="6AB03A5B"/>
    <w:rsid w:val="6AB432E6"/>
    <w:rsid w:val="6AB865CF"/>
    <w:rsid w:val="6ABC3A1E"/>
    <w:rsid w:val="6AC72E51"/>
    <w:rsid w:val="6AC771FC"/>
    <w:rsid w:val="6AC8220A"/>
    <w:rsid w:val="6ACB2AC3"/>
    <w:rsid w:val="6ACB7020"/>
    <w:rsid w:val="6AD35DF7"/>
    <w:rsid w:val="6AD3722B"/>
    <w:rsid w:val="6AD42A41"/>
    <w:rsid w:val="6ADD048B"/>
    <w:rsid w:val="6AE1341D"/>
    <w:rsid w:val="6AE938E4"/>
    <w:rsid w:val="6AEB6213"/>
    <w:rsid w:val="6AED0FD5"/>
    <w:rsid w:val="6AEF78B9"/>
    <w:rsid w:val="6AFB3909"/>
    <w:rsid w:val="6AFB7F3C"/>
    <w:rsid w:val="6B02319F"/>
    <w:rsid w:val="6B070937"/>
    <w:rsid w:val="6B102C5B"/>
    <w:rsid w:val="6B115220"/>
    <w:rsid w:val="6B126F24"/>
    <w:rsid w:val="6B197394"/>
    <w:rsid w:val="6B1B4A91"/>
    <w:rsid w:val="6B1B7CD6"/>
    <w:rsid w:val="6B233183"/>
    <w:rsid w:val="6B2A681E"/>
    <w:rsid w:val="6B2B283A"/>
    <w:rsid w:val="6B30014F"/>
    <w:rsid w:val="6B3052F4"/>
    <w:rsid w:val="6B362E7C"/>
    <w:rsid w:val="6B3765D8"/>
    <w:rsid w:val="6B38246E"/>
    <w:rsid w:val="6B3C1F29"/>
    <w:rsid w:val="6B435B38"/>
    <w:rsid w:val="6B467332"/>
    <w:rsid w:val="6B4B361B"/>
    <w:rsid w:val="6B5A70AB"/>
    <w:rsid w:val="6B5E1AE7"/>
    <w:rsid w:val="6B677513"/>
    <w:rsid w:val="6B697CCF"/>
    <w:rsid w:val="6B752DE4"/>
    <w:rsid w:val="6B7F52F0"/>
    <w:rsid w:val="6B800A5B"/>
    <w:rsid w:val="6B801F09"/>
    <w:rsid w:val="6B846E87"/>
    <w:rsid w:val="6B9041D0"/>
    <w:rsid w:val="6BA21341"/>
    <w:rsid w:val="6BB34BCA"/>
    <w:rsid w:val="6BB54C3C"/>
    <w:rsid w:val="6BB61CF9"/>
    <w:rsid w:val="6BB81101"/>
    <w:rsid w:val="6BB91FF4"/>
    <w:rsid w:val="6BB95884"/>
    <w:rsid w:val="6BBA7717"/>
    <w:rsid w:val="6BC34C4E"/>
    <w:rsid w:val="6BCA7496"/>
    <w:rsid w:val="6BCB6495"/>
    <w:rsid w:val="6BCC3CD4"/>
    <w:rsid w:val="6BCE0237"/>
    <w:rsid w:val="6BD366C8"/>
    <w:rsid w:val="6BDA17C1"/>
    <w:rsid w:val="6BDA3500"/>
    <w:rsid w:val="6BDC4664"/>
    <w:rsid w:val="6BDD4FD0"/>
    <w:rsid w:val="6BDE224B"/>
    <w:rsid w:val="6BE44C46"/>
    <w:rsid w:val="6BE70081"/>
    <w:rsid w:val="6BF01215"/>
    <w:rsid w:val="6BF96385"/>
    <w:rsid w:val="6BFA2A3B"/>
    <w:rsid w:val="6BFA7811"/>
    <w:rsid w:val="6C014842"/>
    <w:rsid w:val="6C0678F6"/>
    <w:rsid w:val="6C075B31"/>
    <w:rsid w:val="6C0B1E87"/>
    <w:rsid w:val="6C0C5708"/>
    <w:rsid w:val="6C0F3DEF"/>
    <w:rsid w:val="6C1011BF"/>
    <w:rsid w:val="6C180A20"/>
    <w:rsid w:val="6C275EB2"/>
    <w:rsid w:val="6C282410"/>
    <w:rsid w:val="6C2C39B4"/>
    <w:rsid w:val="6C303422"/>
    <w:rsid w:val="6C30605A"/>
    <w:rsid w:val="6C381064"/>
    <w:rsid w:val="6C3C0CBA"/>
    <w:rsid w:val="6C3F46F1"/>
    <w:rsid w:val="6C45026D"/>
    <w:rsid w:val="6C465871"/>
    <w:rsid w:val="6C481127"/>
    <w:rsid w:val="6C503331"/>
    <w:rsid w:val="6C5821B6"/>
    <w:rsid w:val="6C630F5D"/>
    <w:rsid w:val="6C63319F"/>
    <w:rsid w:val="6C684BF5"/>
    <w:rsid w:val="6C7C648A"/>
    <w:rsid w:val="6C7D1ADC"/>
    <w:rsid w:val="6C80399C"/>
    <w:rsid w:val="6C8348CE"/>
    <w:rsid w:val="6C8453F4"/>
    <w:rsid w:val="6C8A7C4F"/>
    <w:rsid w:val="6C8C06D1"/>
    <w:rsid w:val="6C8E0438"/>
    <w:rsid w:val="6C8E165E"/>
    <w:rsid w:val="6C8E37AF"/>
    <w:rsid w:val="6C8E58DE"/>
    <w:rsid w:val="6C98255E"/>
    <w:rsid w:val="6C9A78C4"/>
    <w:rsid w:val="6C9E7DE5"/>
    <w:rsid w:val="6C9F28AC"/>
    <w:rsid w:val="6CAA6E2B"/>
    <w:rsid w:val="6CAF66F7"/>
    <w:rsid w:val="6CB66261"/>
    <w:rsid w:val="6CBB0E69"/>
    <w:rsid w:val="6CC02A3C"/>
    <w:rsid w:val="6CC6302D"/>
    <w:rsid w:val="6CC87361"/>
    <w:rsid w:val="6CCB7AA4"/>
    <w:rsid w:val="6CD12A25"/>
    <w:rsid w:val="6CD334AD"/>
    <w:rsid w:val="6CD95252"/>
    <w:rsid w:val="6CDA51F1"/>
    <w:rsid w:val="6CDA6184"/>
    <w:rsid w:val="6CED7AA0"/>
    <w:rsid w:val="6CEE3621"/>
    <w:rsid w:val="6CF01B59"/>
    <w:rsid w:val="6CF46FB5"/>
    <w:rsid w:val="6CF51920"/>
    <w:rsid w:val="6CF73606"/>
    <w:rsid w:val="6CF7389A"/>
    <w:rsid w:val="6CFC519E"/>
    <w:rsid w:val="6CFF2D7D"/>
    <w:rsid w:val="6D004138"/>
    <w:rsid w:val="6D0146A4"/>
    <w:rsid w:val="6D01520E"/>
    <w:rsid w:val="6D065EA1"/>
    <w:rsid w:val="6D1131BD"/>
    <w:rsid w:val="6D1538EB"/>
    <w:rsid w:val="6D293905"/>
    <w:rsid w:val="6D2A7111"/>
    <w:rsid w:val="6D305DF1"/>
    <w:rsid w:val="6D3746EC"/>
    <w:rsid w:val="6D3C74F3"/>
    <w:rsid w:val="6D3E3FCF"/>
    <w:rsid w:val="6D400CAD"/>
    <w:rsid w:val="6D416114"/>
    <w:rsid w:val="6D4B7561"/>
    <w:rsid w:val="6D52687A"/>
    <w:rsid w:val="6D5417F9"/>
    <w:rsid w:val="6D5672CA"/>
    <w:rsid w:val="6D5B54EA"/>
    <w:rsid w:val="6D637205"/>
    <w:rsid w:val="6D6617D7"/>
    <w:rsid w:val="6D6B3C43"/>
    <w:rsid w:val="6D780C5D"/>
    <w:rsid w:val="6D817A53"/>
    <w:rsid w:val="6D85283B"/>
    <w:rsid w:val="6D894A24"/>
    <w:rsid w:val="6D895470"/>
    <w:rsid w:val="6D8E37D6"/>
    <w:rsid w:val="6D904C3E"/>
    <w:rsid w:val="6D912B8C"/>
    <w:rsid w:val="6D99060F"/>
    <w:rsid w:val="6DA96E7F"/>
    <w:rsid w:val="6DAE03AB"/>
    <w:rsid w:val="6DB73B28"/>
    <w:rsid w:val="6DB85DED"/>
    <w:rsid w:val="6DB954E3"/>
    <w:rsid w:val="6DBE20C8"/>
    <w:rsid w:val="6DBE2636"/>
    <w:rsid w:val="6DC12FB3"/>
    <w:rsid w:val="6DC61DEF"/>
    <w:rsid w:val="6DC932DB"/>
    <w:rsid w:val="6DCA3D7E"/>
    <w:rsid w:val="6DCF5CFA"/>
    <w:rsid w:val="6DD0169F"/>
    <w:rsid w:val="6DDA7F67"/>
    <w:rsid w:val="6DE629F0"/>
    <w:rsid w:val="6DE76650"/>
    <w:rsid w:val="6DEA7E41"/>
    <w:rsid w:val="6DEF0F9B"/>
    <w:rsid w:val="6DF37B75"/>
    <w:rsid w:val="6DF55249"/>
    <w:rsid w:val="6E020C5A"/>
    <w:rsid w:val="6E02605B"/>
    <w:rsid w:val="6E0413AB"/>
    <w:rsid w:val="6E130E3E"/>
    <w:rsid w:val="6E1B3116"/>
    <w:rsid w:val="6E1C392E"/>
    <w:rsid w:val="6E1D5541"/>
    <w:rsid w:val="6E1E7672"/>
    <w:rsid w:val="6E210314"/>
    <w:rsid w:val="6E222A02"/>
    <w:rsid w:val="6E360AF0"/>
    <w:rsid w:val="6E365916"/>
    <w:rsid w:val="6E3B59A3"/>
    <w:rsid w:val="6E4612E5"/>
    <w:rsid w:val="6E462583"/>
    <w:rsid w:val="6E4831AD"/>
    <w:rsid w:val="6E505826"/>
    <w:rsid w:val="6E5D42E5"/>
    <w:rsid w:val="6E62075F"/>
    <w:rsid w:val="6E6554F2"/>
    <w:rsid w:val="6E7957C9"/>
    <w:rsid w:val="6E7D6FC6"/>
    <w:rsid w:val="6E817EA5"/>
    <w:rsid w:val="6E850902"/>
    <w:rsid w:val="6E88568C"/>
    <w:rsid w:val="6E8E2EED"/>
    <w:rsid w:val="6E9101C1"/>
    <w:rsid w:val="6E962A16"/>
    <w:rsid w:val="6E9671A9"/>
    <w:rsid w:val="6E98388A"/>
    <w:rsid w:val="6E9A0924"/>
    <w:rsid w:val="6E9E0F3C"/>
    <w:rsid w:val="6EA03617"/>
    <w:rsid w:val="6EA07DFA"/>
    <w:rsid w:val="6EA45295"/>
    <w:rsid w:val="6EAB738E"/>
    <w:rsid w:val="6EB0667F"/>
    <w:rsid w:val="6EB22B87"/>
    <w:rsid w:val="6EB25A9F"/>
    <w:rsid w:val="6EB8364E"/>
    <w:rsid w:val="6EB84738"/>
    <w:rsid w:val="6EB87FFA"/>
    <w:rsid w:val="6EBC341C"/>
    <w:rsid w:val="6EC03443"/>
    <w:rsid w:val="6EC50F15"/>
    <w:rsid w:val="6ECC6BC9"/>
    <w:rsid w:val="6ECD77DE"/>
    <w:rsid w:val="6ECF0947"/>
    <w:rsid w:val="6ECF1EB9"/>
    <w:rsid w:val="6EDE5A64"/>
    <w:rsid w:val="6EE40B49"/>
    <w:rsid w:val="6EE4112B"/>
    <w:rsid w:val="6EE4489C"/>
    <w:rsid w:val="6EE44F0D"/>
    <w:rsid w:val="6EE57A34"/>
    <w:rsid w:val="6EE711FF"/>
    <w:rsid w:val="6EE956A3"/>
    <w:rsid w:val="6EF10025"/>
    <w:rsid w:val="6EF31E30"/>
    <w:rsid w:val="6EF50D32"/>
    <w:rsid w:val="6EFB2394"/>
    <w:rsid w:val="6EFD614D"/>
    <w:rsid w:val="6EFE0FE7"/>
    <w:rsid w:val="6EFF399D"/>
    <w:rsid w:val="6F0058EE"/>
    <w:rsid w:val="6F0B5E0A"/>
    <w:rsid w:val="6F0E5747"/>
    <w:rsid w:val="6F11180A"/>
    <w:rsid w:val="6F1773FE"/>
    <w:rsid w:val="6F1E0FDC"/>
    <w:rsid w:val="6F1E66E0"/>
    <w:rsid w:val="6F1F0AC1"/>
    <w:rsid w:val="6F201348"/>
    <w:rsid w:val="6F2127C3"/>
    <w:rsid w:val="6F2E3ABE"/>
    <w:rsid w:val="6F2F52F5"/>
    <w:rsid w:val="6F320E88"/>
    <w:rsid w:val="6F367AB7"/>
    <w:rsid w:val="6F3C6660"/>
    <w:rsid w:val="6F42033C"/>
    <w:rsid w:val="6F43118E"/>
    <w:rsid w:val="6F473AB9"/>
    <w:rsid w:val="6F4A042F"/>
    <w:rsid w:val="6F4A2AD2"/>
    <w:rsid w:val="6F4B4AB1"/>
    <w:rsid w:val="6F5444D5"/>
    <w:rsid w:val="6F637362"/>
    <w:rsid w:val="6F691598"/>
    <w:rsid w:val="6F702A8F"/>
    <w:rsid w:val="6F716965"/>
    <w:rsid w:val="6F720AC3"/>
    <w:rsid w:val="6F725DE7"/>
    <w:rsid w:val="6F736798"/>
    <w:rsid w:val="6F7528FB"/>
    <w:rsid w:val="6F7543D7"/>
    <w:rsid w:val="6F7A07BE"/>
    <w:rsid w:val="6F8266F3"/>
    <w:rsid w:val="6F932F44"/>
    <w:rsid w:val="6F982ECC"/>
    <w:rsid w:val="6F9B290A"/>
    <w:rsid w:val="6FA248D3"/>
    <w:rsid w:val="6FA31C45"/>
    <w:rsid w:val="6FA33537"/>
    <w:rsid w:val="6FAD47C7"/>
    <w:rsid w:val="6FAF2813"/>
    <w:rsid w:val="6FB07836"/>
    <w:rsid w:val="6FB16065"/>
    <w:rsid w:val="6FB4067E"/>
    <w:rsid w:val="6FB94A10"/>
    <w:rsid w:val="6FBB195E"/>
    <w:rsid w:val="6FBB5AA2"/>
    <w:rsid w:val="6FBC44A2"/>
    <w:rsid w:val="6FBD3C38"/>
    <w:rsid w:val="6FC168D3"/>
    <w:rsid w:val="6FC36712"/>
    <w:rsid w:val="6FCF2BD5"/>
    <w:rsid w:val="6FCF35AA"/>
    <w:rsid w:val="6FD21198"/>
    <w:rsid w:val="6FD72971"/>
    <w:rsid w:val="6FDB4CCA"/>
    <w:rsid w:val="6FDC30AD"/>
    <w:rsid w:val="6FDC470A"/>
    <w:rsid w:val="6FDF463D"/>
    <w:rsid w:val="6FF0403E"/>
    <w:rsid w:val="6FF9719C"/>
    <w:rsid w:val="6FFF3D90"/>
    <w:rsid w:val="70024D59"/>
    <w:rsid w:val="70077D60"/>
    <w:rsid w:val="70081E36"/>
    <w:rsid w:val="70082194"/>
    <w:rsid w:val="70095C5B"/>
    <w:rsid w:val="700B5D41"/>
    <w:rsid w:val="700D0EE2"/>
    <w:rsid w:val="700E5923"/>
    <w:rsid w:val="700F19FD"/>
    <w:rsid w:val="701068AB"/>
    <w:rsid w:val="70141497"/>
    <w:rsid w:val="7020497D"/>
    <w:rsid w:val="70255AE0"/>
    <w:rsid w:val="70266316"/>
    <w:rsid w:val="70280A5A"/>
    <w:rsid w:val="702C6EAF"/>
    <w:rsid w:val="702E0CB5"/>
    <w:rsid w:val="702E2929"/>
    <w:rsid w:val="70301375"/>
    <w:rsid w:val="70357BDC"/>
    <w:rsid w:val="703B1B9A"/>
    <w:rsid w:val="7042581E"/>
    <w:rsid w:val="70455D0F"/>
    <w:rsid w:val="70501073"/>
    <w:rsid w:val="70505AFF"/>
    <w:rsid w:val="705B3DDE"/>
    <w:rsid w:val="705C55DA"/>
    <w:rsid w:val="706A4D74"/>
    <w:rsid w:val="706D3C89"/>
    <w:rsid w:val="706D7453"/>
    <w:rsid w:val="707431B0"/>
    <w:rsid w:val="70765EC5"/>
    <w:rsid w:val="70825C76"/>
    <w:rsid w:val="708A7FD8"/>
    <w:rsid w:val="708D615D"/>
    <w:rsid w:val="70A458F3"/>
    <w:rsid w:val="70A462E3"/>
    <w:rsid w:val="70AD06AB"/>
    <w:rsid w:val="70B201A5"/>
    <w:rsid w:val="70B30C12"/>
    <w:rsid w:val="70BA7182"/>
    <w:rsid w:val="70C36772"/>
    <w:rsid w:val="70C55A74"/>
    <w:rsid w:val="70CB06C9"/>
    <w:rsid w:val="70CE02C7"/>
    <w:rsid w:val="70CE2ABC"/>
    <w:rsid w:val="70CE5237"/>
    <w:rsid w:val="70D57487"/>
    <w:rsid w:val="70DA4253"/>
    <w:rsid w:val="70DE6C17"/>
    <w:rsid w:val="70E15439"/>
    <w:rsid w:val="70E52E83"/>
    <w:rsid w:val="70EC5072"/>
    <w:rsid w:val="70EF54D5"/>
    <w:rsid w:val="70F332E5"/>
    <w:rsid w:val="70F74993"/>
    <w:rsid w:val="70F834B6"/>
    <w:rsid w:val="70FE2D5F"/>
    <w:rsid w:val="7100330A"/>
    <w:rsid w:val="710137DC"/>
    <w:rsid w:val="71050797"/>
    <w:rsid w:val="710B627C"/>
    <w:rsid w:val="710D0E20"/>
    <w:rsid w:val="7113798E"/>
    <w:rsid w:val="71182AA4"/>
    <w:rsid w:val="711C68B0"/>
    <w:rsid w:val="712141A1"/>
    <w:rsid w:val="712461F9"/>
    <w:rsid w:val="712E1E8A"/>
    <w:rsid w:val="712F544F"/>
    <w:rsid w:val="7130126D"/>
    <w:rsid w:val="71345788"/>
    <w:rsid w:val="713C444C"/>
    <w:rsid w:val="713F2FC2"/>
    <w:rsid w:val="714127B6"/>
    <w:rsid w:val="71432EFD"/>
    <w:rsid w:val="714650C7"/>
    <w:rsid w:val="71480D1A"/>
    <w:rsid w:val="714F0EFA"/>
    <w:rsid w:val="71582AF1"/>
    <w:rsid w:val="715A1115"/>
    <w:rsid w:val="715D43CD"/>
    <w:rsid w:val="715D4737"/>
    <w:rsid w:val="7161414D"/>
    <w:rsid w:val="71631501"/>
    <w:rsid w:val="716C0241"/>
    <w:rsid w:val="71705C2B"/>
    <w:rsid w:val="71744D2A"/>
    <w:rsid w:val="717746B0"/>
    <w:rsid w:val="7178484F"/>
    <w:rsid w:val="717A6C02"/>
    <w:rsid w:val="717C4432"/>
    <w:rsid w:val="717E5122"/>
    <w:rsid w:val="71853B5A"/>
    <w:rsid w:val="71885F94"/>
    <w:rsid w:val="718E62F7"/>
    <w:rsid w:val="719328D0"/>
    <w:rsid w:val="7197532D"/>
    <w:rsid w:val="719E6859"/>
    <w:rsid w:val="71A03FC4"/>
    <w:rsid w:val="71A80510"/>
    <w:rsid w:val="71AC4F49"/>
    <w:rsid w:val="71AC730D"/>
    <w:rsid w:val="71AD631D"/>
    <w:rsid w:val="71AD699A"/>
    <w:rsid w:val="71B4764D"/>
    <w:rsid w:val="71B6273D"/>
    <w:rsid w:val="71BE5A92"/>
    <w:rsid w:val="71C6178F"/>
    <w:rsid w:val="71D62510"/>
    <w:rsid w:val="71DA7611"/>
    <w:rsid w:val="71DC00F7"/>
    <w:rsid w:val="71E828C4"/>
    <w:rsid w:val="71E87804"/>
    <w:rsid w:val="71E932F8"/>
    <w:rsid w:val="71F4494B"/>
    <w:rsid w:val="71F54066"/>
    <w:rsid w:val="71F66927"/>
    <w:rsid w:val="71FF2834"/>
    <w:rsid w:val="7204294E"/>
    <w:rsid w:val="720D2325"/>
    <w:rsid w:val="7212330A"/>
    <w:rsid w:val="721351C9"/>
    <w:rsid w:val="72135B52"/>
    <w:rsid w:val="72173B5A"/>
    <w:rsid w:val="721946B4"/>
    <w:rsid w:val="721B4562"/>
    <w:rsid w:val="721D1515"/>
    <w:rsid w:val="721F473E"/>
    <w:rsid w:val="72261410"/>
    <w:rsid w:val="72276362"/>
    <w:rsid w:val="72294C09"/>
    <w:rsid w:val="722A513B"/>
    <w:rsid w:val="722A7E6F"/>
    <w:rsid w:val="722C3A17"/>
    <w:rsid w:val="722E75FC"/>
    <w:rsid w:val="722F1E3D"/>
    <w:rsid w:val="723523B3"/>
    <w:rsid w:val="723B2EF2"/>
    <w:rsid w:val="723C301D"/>
    <w:rsid w:val="723D17FB"/>
    <w:rsid w:val="723F18F6"/>
    <w:rsid w:val="723F29E4"/>
    <w:rsid w:val="724C54D6"/>
    <w:rsid w:val="72530AB8"/>
    <w:rsid w:val="72571908"/>
    <w:rsid w:val="725A079D"/>
    <w:rsid w:val="725B284E"/>
    <w:rsid w:val="72606505"/>
    <w:rsid w:val="72670A11"/>
    <w:rsid w:val="726851D9"/>
    <w:rsid w:val="72700DBA"/>
    <w:rsid w:val="72710408"/>
    <w:rsid w:val="727C784D"/>
    <w:rsid w:val="72824DE8"/>
    <w:rsid w:val="72864398"/>
    <w:rsid w:val="728C32EC"/>
    <w:rsid w:val="728D0DC5"/>
    <w:rsid w:val="728E4D0C"/>
    <w:rsid w:val="728E6022"/>
    <w:rsid w:val="72913DA9"/>
    <w:rsid w:val="72924CF1"/>
    <w:rsid w:val="72946D51"/>
    <w:rsid w:val="729815B0"/>
    <w:rsid w:val="729B0DD3"/>
    <w:rsid w:val="729E5E75"/>
    <w:rsid w:val="729F1F2B"/>
    <w:rsid w:val="72A21432"/>
    <w:rsid w:val="72AE3808"/>
    <w:rsid w:val="72B4797D"/>
    <w:rsid w:val="72B53892"/>
    <w:rsid w:val="72B670DC"/>
    <w:rsid w:val="72B7727D"/>
    <w:rsid w:val="72B93AFE"/>
    <w:rsid w:val="72BB40CA"/>
    <w:rsid w:val="72BD3D39"/>
    <w:rsid w:val="72CA41D2"/>
    <w:rsid w:val="72CD5180"/>
    <w:rsid w:val="72DB2E47"/>
    <w:rsid w:val="72E3517D"/>
    <w:rsid w:val="72E97706"/>
    <w:rsid w:val="72F1137D"/>
    <w:rsid w:val="72F14535"/>
    <w:rsid w:val="72F656BE"/>
    <w:rsid w:val="72F86E59"/>
    <w:rsid w:val="72FC6DFF"/>
    <w:rsid w:val="72FE7792"/>
    <w:rsid w:val="72FF321C"/>
    <w:rsid w:val="730010F9"/>
    <w:rsid w:val="730021D1"/>
    <w:rsid w:val="73074D91"/>
    <w:rsid w:val="73161344"/>
    <w:rsid w:val="73166AE0"/>
    <w:rsid w:val="731C088D"/>
    <w:rsid w:val="731F5565"/>
    <w:rsid w:val="732250BD"/>
    <w:rsid w:val="73242039"/>
    <w:rsid w:val="732560AD"/>
    <w:rsid w:val="73257DA5"/>
    <w:rsid w:val="732A25B9"/>
    <w:rsid w:val="732E7057"/>
    <w:rsid w:val="732F38C3"/>
    <w:rsid w:val="73330F34"/>
    <w:rsid w:val="7333168B"/>
    <w:rsid w:val="733B46F2"/>
    <w:rsid w:val="733C77F8"/>
    <w:rsid w:val="733D4EDE"/>
    <w:rsid w:val="73457E5C"/>
    <w:rsid w:val="734C6FF5"/>
    <w:rsid w:val="735008EE"/>
    <w:rsid w:val="73516998"/>
    <w:rsid w:val="73530CD9"/>
    <w:rsid w:val="73533711"/>
    <w:rsid w:val="7358584A"/>
    <w:rsid w:val="735D2C69"/>
    <w:rsid w:val="735F38EF"/>
    <w:rsid w:val="736B3950"/>
    <w:rsid w:val="737007C1"/>
    <w:rsid w:val="73732040"/>
    <w:rsid w:val="73744EAD"/>
    <w:rsid w:val="7377378F"/>
    <w:rsid w:val="73784EEA"/>
    <w:rsid w:val="737B38A6"/>
    <w:rsid w:val="737D58E8"/>
    <w:rsid w:val="73811931"/>
    <w:rsid w:val="7381368D"/>
    <w:rsid w:val="738266D3"/>
    <w:rsid w:val="7385757D"/>
    <w:rsid w:val="73874531"/>
    <w:rsid w:val="73875437"/>
    <w:rsid w:val="738A7393"/>
    <w:rsid w:val="738B3B75"/>
    <w:rsid w:val="739F754A"/>
    <w:rsid w:val="73A347CB"/>
    <w:rsid w:val="73A42D1E"/>
    <w:rsid w:val="73A43836"/>
    <w:rsid w:val="73A546AD"/>
    <w:rsid w:val="73A90017"/>
    <w:rsid w:val="73AD6028"/>
    <w:rsid w:val="73B22693"/>
    <w:rsid w:val="73B35844"/>
    <w:rsid w:val="73B82578"/>
    <w:rsid w:val="73BB158F"/>
    <w:rsid w:val="73BD7386"/>
    <w:rsid w:val="73BE349E"/>
    <w:rsid w:val="73C83CFF"/>
    <w:rsid w:val="73CB2E69"/>
    <w:rsid w:val="73D76AAC"/>
    <w:rsid w:val="73E475CB"/>
    <w:rsid w:val="73EC71A8"/>
    <w:rsid w:val="73F800B0"/>
    <w:rsid w:val="73F80F3B"/>
    <w:rsid w:val="74030529"/>
    <w:rsid w:val="74036DB7"/>
    <w:rsid w:val="74112A87"/>
    <w:rsid w:val="741619B7"/>
    <w:rsid w:val="74181A22"/>
    <w:rsid w:val="74186973"/>
    <w:rsid w:val="742361AB"/>
    <w:rsid w:val="742509E7"/>
    <w:rsid w:val="74283B06"/>
    <w:rsid w:val="742A2621"/>
    <w:rsid w:val="742C379D"/>
    <w:rsid w:val="743C333A"/>
    <w:rsid w:val="744D2D2A"/>
    <w:rsid w:val="744D5067"/>
    <w:rsid w:val="74500FBE"/>
    <w:rsid w:val="74545813"/>
    <w:rsid w:val="745A72F2"/>
    <w:rsid w:val="745B35A4"/>
    <w:rsid w:val="745F0547"/>
    <w:rsid w:val="74640CCF"/>
    <w:rsid w:val="7464349C"/>
    <w:rsid w:val="74683825"/>
    <w:rsid w:val="746A51D4"/>
    <w:rsid w:val="746F27C4"/>
    <w:rsid w:val="747B7590"/>
    <w:rsid w:val="747D127C"/>
    <w:rsid w:val="748044C0"/>
    <w:rsid w:val="74810153"/>
    <w:rsid w:val="74853ED5"/>
    <w:rsid w:val="74891D33"/>
    <w:rsid w:val="748C23A9"/>
    <w:rsid w:val="748D3A98"/>
    <w:rsid w:val="748E15BF"/>
    <w:rsid w:val="7491699E"/>
    <w:rsid w:val="749717C7"/>
    <w:rsid w:val="74995F17"/>
    <w:rsid w:val="749F053A"/>
    <w:rsid w:val="749F699A"/>
    <w:rsid w:val="74A22C8D"/>
    <w:rsid w:val="74A37CBC"/>
    <w:rsid w:val="74A42443"/>
    <w:rsid w:val="74A83968"/>
    <w:rsid w:val="74AB1B7B"/>
    <w:rsid w:val="74B647D0"/>
    <w:rsid w:val="74BC44C7"/>
    <w:rsid w:val="74BD2DC6"/>
    <w:rsid w:val="74BD62A9"/>
    <w:rsid w:val="74BF6D41"/>
    <w:rsid w:val="74C0623F"/>
    <w:rsid w:val="74C62B03"/>
    <w:rsid w:val="74C67FAD"/>
    <w:rsid w:val="74C74B23"/>
    <w:rsid w:val="74C7523B"/>
    <w:rsid w:val="74CF36F3"/>
    <w:rsid w:val="74D517EC"/>
    <w:rsid w:val="74DA2277"/>
    <w:rsid w:val="74DC0EBB"/>
    <w:rsid w:val="74DD22FC"/>
    <w:rsid w:val="74E3049A"/>
    <w:rsid w:val="74E536FB"/>
    <w:rsid w:val="74E55320"/>
    <w:rsid w:val="74EF3541"/>
    <w:rsid w:val="74FA2A9F"/>
    <w:rsid w:val="75013E8E"/>
    <w:rsid w:val="75023EE3"/>
    <w:rsid w:val="75036F1B"/>
    <w:rsid w:val="75042606"/>
    <w:rsid w:val="750E786A"/>
    <w:rsid w:val="75105314"/>
    <w:rsid w:val="75194B01"/>
    <w:rsid w:val="751A3BC1"/>
    <w:rsid w:val="751B0CB3"/>
    <w:rsid w:val="75285E26"/>
    <w:rsid w:val="75297BF4"/>
    <w:rsid w:val="7535454D"/>
    <w:rsid w:val="75377BC7"/>
    <w:rsid w:val="753A5115"/>
    <w:rsid w:val="753B369D"/>
    <w:rsid w:val="753E029B"/>
    <w:rsid w:val="753E5A1C"/>
    <w:rsid w:val="754252C6"/>
    <w:rsid w:val="75457751"/>
    <w:rsid w:val="75477965"/>
    <w:rsid w:val="754B402B"/>
    <w:rsid w:val="754B5D22"/>
    <w:rsid w:val="75534879"/>
    <w:rsid w:val="75580D09"/>
    <w:rsid w:val="7559755A"/>
    <w:rsid w:val="75606D52"/>
    <w:rsid w:val="756108B8"/>
    <w:rsid w:val="75660869"/>
    <w:rsid w:val="75681861"/>
    <w:rsid w:val="75691F0B"/>
    <w:rsid w:val="756B6451"/>
    <w:rsid w:val="756C0628"/>
    <w:rsid w:val="756D2350"/>
    <w:rsid w:val="756E182A"/>
    <w:rsid w:val="757534C9"/>
    <w:rsid w:val="75762925"/>
    <w:rsid w:val="7578169E"/>
    <w:rsid w:val="757B275A"/>
    <w:rsid w:val="75806C7D"/>
    <w:rsid w:val="75861851"/>
    <w:rsid w:val="75871218"/>
    <w:rsid w:val="758C415B"/>
    <w:rsid w:val="758C6F79"/>
    <w:rsid w:val="758F018F"/>
    <w:rsid w:val="75904170"/>
    <w:rsid w:val="75927D42"/>
    <w:rsid w:val="75955FA8"/>
    <w:rsid w:val="75965528"/>
    <w:rsid w:val="75A15BD1"/>
    <w:rsid w:val="75A66CCD"/>
    <w:rsid w:val="75A9041F"/>
    <w:rsid w:val="75B43592"/>
    <w:rsid w:val="75B529BC"/>
    <w:rsid w:val="75B76425"/>
    <w:rsid w:val="75BB196F"/>
    <w:rsid w:val="75BE6390"/>
    <w:rsid w:val="75C33BAF"/>
    <w:rsid w:val="75D9656D"/>
    <w:rsid w:val="75DE1291"/>
    <w:rsid w:val="75DF6856"/>
    <w:rsid w:val="75E60BA8"/>
    <w:rsid w:val="75E77750"/>
    <w:rsid w:val="75ED0DD1"/>
    <w:rsid w:val="75EF6A04"/>
    <w:rsid w:val="75F064CC"/>
    <w:rsid w:val="75F444EB"/>
    <w:rsid w:val="75F44CD7"/>
    <w:rsid w:val="75F829E3"/>
    <w:rsid w:val="75FD2765"/>
    <w:rsid w:val="7604099E"/>
    <w:rsid w:val="76092CDF"/>
    <w:rsid w:val="76141AB6"/>
    <w:rsid w:val="76146018"/>
    <w:rsid w:val="76150C37"/>
    <w:rsid w:val="761735C2"/>
    <w:rsid w:val="76193107"/>
    <w:rsid w:val="761A58BA"/>
    <w:rsid w:val="7625210F"/>
    <w:rsid w:val="762854E3"/>
    <w:rsid w:val="762D16D5"/>
    <w:rsid w:val="762D221C"/>
    <w:rsid w:val="762F4C48"/>
    <w:rsid w:val="763013A5"/>
    <w:rsid w:val="7633719A"/>
    <w:rsid w:val="76346D83"/>
    <w:rsid w:val="76366786"/>
    <w:rsid w:val="76436C1E"/>
    <w:rsid w:val="764373D3"/>
    <w:rsid w:val="76476461"/>
    <w:rsid w:val="76476E52"/>
    <w:rsid w:val="764D1134"/>
    <w:rsid w:val="76525A3A"/>
    <w:rsid w:val="76540629"/>
    <w:rsid w:val="76566D60"/>
    <w:rsid w:val="765865FF"/>
    <w:rsid w:val="76597B9E"/>
    <w:rsid w:val="765D7B1F"/>
    <w:rsid w:val="765E535E"/>
    <w:rsid w:val="765F02EC"/>
    <w:rsid w:val="76622C02"/>
    <w:rsid w:val="766D7ED3"/>
    <w:rsid w:val="76711520"/>
    <w:rsid w:val="76730999"/>
    <w:rsid w:val="767403CC"/>
    <w:rsid w:val="7676029C"/>
    <w:rsid w:val="76790469"/>
    <w:rsid w:val="767D778E"/>
    <w:rsid w:val="76803CE6"/>
    <w:rsid w:val="76841477"/>
    <w:rsid w:val="7685640F"/>
    <w:rsid w:val="768A2A89"/>
    <w:rsid w:val="768B7627"/>
    <w:rsid w:val="768D6254"/>
    <w:rsid w:val="76953229"/>
    <w:rsid w:val="76964FE6"/>
    <w:rsid w:val="76983DDA"/>
    <w:rsid w:val="769C3418"/>
    <w:rsid w:val="769C507F"/>
    <w:rsid w:val="76A175B9"/>
    <w:rsid w:val="76A20361"/>
    <w:rsid w:val="76A70DBD"/>
    <w:rsid w:val="76AB6A34"/>
    <w:rsid w:val="76AC191E"/>
    <w:rsid w:val="76B36319"/>
    <w:rsid w:val="76B47341"/>
    <w:rsid w:val="76B56881"/>
    <w:rsid w:val="76BF0481"/>
    <w:rsid w:val="76C535DD"/>
    <w:rsid w:val="76C5568B"/>
    <w:rsid w:val="76C978EA"/>
    <w:rsid w:val="76CC2A0D"/>
    <w:rsid w:val="76CD5E58"/>
    <w:rsid w:val="76CF638F"/>
    <w:rsid w:val="76D32996"/>
    <w:rsid w:val="76D7515E"/>
    <w:rsid w:val="76E746A9"/>
    <w:rsid w:val="76E87D2A"/>
    <w:rsid w:val="76EC2582"/>
    <w:rsid w:val="76ED0920"/>
    <w:rsid w:val="76F10131"/>
    <w:rsid w:val="76F27412"/>
    <w:rsid w:val="76F624B7"/>
    <w:rsid w:val="76FE3DFD"/>
    <w:rsid w:val="77023E51"/>
    <w:rsid w:val="77062AC7"/>
    <w:rsid w:val="770B01E5"/>
    <w:rsid w:val="77107654"/>
    <w:rsid w:val="7715424D"/>
    <w:rsid w:val="77191A24"/>
    <w:rsid w:val="771B3797"/>
    <w:rsid w:val="771C0B17"/>
    <w:rsid w:val="771F21E7"/>
    <w:rsid w:val="77233FCB"/>
    <w:rsid w:val="772B4D5A"/>
    <w:rsid w:val="773112FE"/>
    <w:rsid w:val="77320974"/>
    <w:rsid w:val="774345CC"/>
    <w:rsid w:val="77463EBD"/>
    <w:rsid w:val="774935E6"/>
    <w:rsid w:val="774B072A"/>
    <w:rsid w:val="7758587B"/>
    <w:rsid w:val="77660A05"/>
    <w:rsid w:val="77674D96"/>
    <w:rsid w:val="77682FAB"/>
    <w:rsid w:val="77760F0F"/>
    <w:rsid w:val="77797CAA"/>
    <w:rsid w:val="777B0AF6"/>
    <w:rsid w:val="777C2316"/>
    <w:rsid w:val="777C7480"/>
    <w:rsid w:val="777E5110"/>
    <w:rsid w:val="777F3244"/>
    <w:rsid w:val="778069A7"/>
    <w:rsid w:val="77810EDA"/>
    <w:rsid w:val="77893320"/>
    <w:rsid w:val="778C4DDC"/>
    <w:rsid w:val="778C5FA4"/>
    <w:rsid w:val="778E275A"/>
    <w:rsid w:val="778F6444"/>
    <w:rsid w:val="779071D6"/>
    <w:rsid w:val="779261DA"/>
    <w:rsid w:val="779E1EEB"/>
    <w:rsid w:val="779E2EE8"/>
    <w:rsid w:val="779F3206"/>
    <w:rsid w:val="77A01324"/>
    <w:rsid w:val="77A037C3"/>
    <w:rsid w:val="77A05881"/>
    <w:rsid w:val="77A5055D"/>
    <w:rsid w:val="77A51A8D"/>
    <w:rsid w:val="77A6479D"/>
    <w:rsid w:val="77A81B93"/>
    <w:rsid w:val="77A858F2"/>
    <w:rsid w:val="77A8724D"/>
    <w:rsid w:val="77AE1E3D"/>
    <w:rsid w:val="77B23958"/>
    <w:rsid w:val="77B25FBF"/>
    <w:rsid w:val="77B61B60"/>
    <w:rsid w:val="77BA521B"/>
    <w:rsid w:val="77C3011B"/>
    <w:rsid w:val="77CB125F"/>
    <w:rsid w:val="77D44141"/>
    <w:rsid w:val="77D605A9"/>
    <w:rsid w:val="77D87313"/>
    <w:rsid w:val="77DE0CBB"/>
    <w:rsid w:val="77E74E18"/>
    <w:rsid w:val="77E855DA"/>
    <w:rsid w:val="77F11C19"/>
    <w:rsid w:val="77F15CF6"/>
    <w:rsid w:val="77F213F2"/>
    <w:rsid w:val="77F51106"/>
    <w:rsid w:val="77F61EB3"/>
    <w:rsid w:val="77F77911"/>
    <w:rsid w:val="78012F7E"/>
    <w:rsid w:val="780624D9"/>
    <w:rsid w:val="7808767C"/>
    <w:rsid w:val="78090364"/>
    <w:rsid w:val="780D0A8E"/>
    <w:rsid w:val="780F4A79"/>
    <w:rsid w:val="78104D42"/>
    <w:rsid w:val="78112175"/>
    <w:rsid w:val="78114C6C"/>
    <w:rsid w:val="781269C8"/>
    <w:rsid w:val="78184AD9"/>
    <w:rsid w:val="781D063E"/>
    <w:rsid w:val="781D4A00"/>
    <w:rsid w:val="782436E2"/>
    <w:rsid w:val="782673BB"/>
    <w:rsid w:val="782A1830"/>
    <w:rsid w:val="782C6BDB"/>
    <w:rsid w:val="78341F58"/>
    <w:rsid w:val="783605C7"/>
    <w:rsid w:val="78365F94"/>
    <w:rsid w:val="78425650"/>
    <w:rsid w:val="78426F3A"/>
    <w:rsid w:val="784322DD"/>
    <w:rsid w:val="78485E1A"/>
    <w:rsid w:val="78496B2D"/>
    <w:rsid w:val="784D2CBD"/>
    <w:rsid w:val="78501EC0"/>
    <w:rsid w:val="78565F4E"/>
    <w:rsid w:val="78597EEB"/>
    <w:rsid w:val="785D4304"/>
    <w:rsid w:val="785F7E16"/>
    <w:rsid w:val="787333FD"/>
    <w:rsid w:val="787569C1"/>
    <w:rsid w:val="787A486E"/>
    <w:rsid w:val="787A78C2"/>
    <w:rsid w:val="787C69DF"/>
    <w:rsid w:val="787C7A2E"/>
    <w:rsid w:val="787D2E1E"/>
    <w:rsid w:val="787F6727"/>
    <w:rsid w:val="788431F8"/>
    <w:rsid w:val="78883D9A"/>
    <w:rsid w:val="788C153E"/>
    <w:rsid w:val="788E03EF"/>
    <w:rsid w:val="78907BCD"/>
    <w:rsid w:val="78915371"/>
    <w:rsid w:val="7895709A"/>
    <w:rsid w:val="78981B95"/>
    <w:rsid w:val="78987074"/>
    <w:rsid w:val="78992AE1"/>
    <w:rsid w:val="789A7C74"/>
    <w:rsid w:val="78A540AC"/>
    <w:rsid w:val="78A65C61"/>
    <w:rsid w:val="78AB3D5E"/>
    <w:rsid w:val="78B15914"/>
    <w:rsid w:val="78B30EB2"/>
    <w:rsid w:val="78B62CA1"/>
    <w:rsid w:val="78BB5AA8"/>
    <w:rsid w:val="78C0003A"/>
    <w:rsid w:val="78DA6283"/>
    <w:rsid w:val="78DE2381"/>
    <w:rsid w:val="78DF69FB"/>
    <w:rsid w:val="78E25A9C"/>
    <w:rsid w:val="78E45914"/>
    <w:rsid w:val="78E4793B"/>
    <w:rsid w:val="78E56B4F"/>
    <w:rsid w:val="78E64AA3"/>
    <w:rsid w:val="78E75F92"/>
    <w:rsid w:val="78E83197"/>
    <w:rsid w:val="78EB7A40"/>
    <w:rsid w:val="78ED7FD7"/>
    <w:rsid w:val="78F0021C"/>
    <w:rsid w:val="78F0537C"/>
    <w:rsid w:val="78F4155A"/>
    <w:rsid w:val="78F446DE"/>
    <w:rsid w:val="78F565F7"/>
    <w:rsid w:val="78F80320"/>
    <w:rsid w:val="78F844A8"/>
    <w:rsid w:val="78FB082B"/>
    <w:rsid w:val="78FB4604"/>
    <w:rsid w:val="78FD6307"/>
    <w:rsid w:val="78FF7F3E"/>
    <w:rsid w:val="79024B61"/>
    <w:rsid w:val="7904217F"/>
    <w:rsid w:val="79102803"/>
    <w:rsid w:val="79113B91"/>
    <w:rsid w:val="79127754"/>
    <w:rsid w:val="79153BAA"/>
    <w:rsid w:val="792107CE"/>
    <w:rsid w:val="79285844"/>
    <w:rsid w:val="792D03E6"/>
    <w:rsid w:val="79312492"/>
    <w:rsid w:val="7936230A"/>
    <w:rsid w:val="79363825"/>
    <w:rsid w:val="793E1B3F"/>
    <w:rsid w:val="794126A9"/>
    <w:rsid w:val="7952449B"/>
    <w:rsid w:val="7956077D"/>
    <w:rsid w:val="795B1E83"/>
    <w:rsid w:val="79622101"/>
    <w:rsid w:val="79720EEF"/>
    <w:rsid w:val="79792944"/>
    <w:rsid w:val="797C014A"/>
    <w:rsid w:val="79824239"/>
    <w:rsid w:val="79867793"/>
    <w:rsid w:val="79884130"/>
    <w:rsid w:val="798B326A"/>
    <w:rsid w:val="7996169A"/>
    <w:rsid w:val="79994511"/>
    <w:rsid w:val="79A14F31"/>
    <w:rsid w:val="79A33448"/>
    <w:rsid w:val="79A659FD"/>
    <w:rsid w:val="79A81E77"/>
    <w:rsid w:val="79AA3010"/>
    <w:rsid w:val="79AD034D"/>
    <w:rsid w:val="79AE5AE5"/>
    <w:rsid w:val="79AE7502"/>
    <w:rsid w:val="79B0117C"/>
    <w:rsid w:val="79B4213F"/>
    <w:rsid w:val="79B431D1"/>
    <w:rsid w:val="79B65CA4"/>
    <w:rsid w:val="79BF156B"/>
    <w:rsid w:val="79C7367C"/>
    <w:rsid w:val="79CA11C1"/>
    <w:rsid w:val="79CF46E0"/>
    <w:rsid w:val="79D54926"/>
    <w:rsid w:val="79DB6B07"/>
    <w:rsid w:val="79E56A71"/>
    <w:rsid w:val="79E66373"/>
    <w:rsid w:val="79E67FC4"/>
    <w:rsid w:val="79EC588E"/>
    <w:rsid w:val="79EF1870"/>
    <w:rsid w:val="79F46DE2"/>
    <w:rsid w:val="79F61645"/>
    <w:rsid w:val="79F70F0D"/>
    <w:rsid w:val="79F84179"/>
    <w:rsid w:val="7A042938"/>
    <w:rsid w:val="7A072690"/>
    <w:rsid w:val="7A0E55EC"/>
    <w:rsid w:val="7A0F2D59"/>
    <w:rsid w:val="7A1B1B9F"/>
    <w:rsid w:val="7A1B5E8B"/>
    <w:rsid w:val="7A1F1A2C"/>
    <w:rsid w:val="7A204820"/>
    <w:rsid w:val="7A267481"/>
    <w:rsid w:val="7A284E19"/>
    <w:rsid w:val="7A3212DE"/>
    <w:rsid w:val="7A327A24"/>
    <w:rsid w:val="7A3378D0"/>
    <w:rsid w:val="7A3B09B9"/>
    <w:rsid w:val="7A3E444B"/>
    <w:rsid w:val="7A3F719A"/>
    <w:rsid w:val="7A401C9A"/>
    <w:rsid w:val="7A4170A6"/>
    <w:rsid w:val="7A420D82"/>
    <w:rsid w:val="7A4E163F"/>
    <w:rsid w:val="7A607E82"/>
    <w:rsid w:val="7A614B48"/>
    <w:rsid w:val="7A662567"/>
    <w:rsid w:val="7A6A097B"/>
    <w:rsid w:val="7A6F18FE"/>
    <w:rsid w:val="7A7065EA"/>
    <w:rsid w:val="7A732045"/>
    <w:rsid w:val="7A793A54"/>
    <w:rsid w:val="7A7B5AF3"/>
    <w:rsid w:val="7A7B5E51"/>
    <w:rsid w:val="7A7C4983"/>
    <w:rsid w:val="7A7D646C"/>
    <w:rsid w:val="7A7E0AAC"/>
    <w:rsid w:val="7A7F6B75"/>
    <w:rsid w:val="7A8A4B88"/>
    <w:rsid w:val="7A8C7EA9"/>
    <w:rsid w:val="7A934458"/>
    <w:rsid w:val="7A97778B"/>
    <w:rsid w:val="7A982E97"/>
    <w:rsid w:val="7AA216C4"/>
    <w:rsid w:val="7AA7509C"/>
    <w:rsid w:val="7AAC1001"/>
    <w:rsid w:val="7AAC3694"/>
    <w:rsid w:val="7AB122E5"/>
    <w:rsid w:val="7AB408B3"/>
    <w:rsid w:val="7AC30871"/>
    <w:rsid w:val="7ACF4F86"/>
    <w:rsid w:val="7AD57EB2"/>
    <w:rsid w:val="7AD775F0"/>
    <w:rsid w:val="7AD92E67"/>
    <w:rsid w:val="7AE00DD7"/>
    <w:rsid w:val="7AE263FE"/>
    <w:rsid w:val="7AE26482"/>
    <w:rsid w:val="7AE85D6A"/>
    <w:rsid w:val="7AEC5A08"/>
    <w:rsid w:val="7AEC6A57"/>
    <w:rsid w:val="7AEF1077"/>
    <w:rsid w:val="7AF33F1C"/>
    <w:rsid w:val="7AFD15EC"/>
    <w:rsid w:val="7B020D87"/>
    <w:rsid w:val="7B042FE2"/>
    <w:rsid w:val="7B064C68"/>
    <w:rsid w:val="7B090B9E"/>
    <w:rsid w:val="7B122D9E"/>
    <w:rsid w:val="7B12489C"/>
    <w:rsid w:val="7B1A5FF6"/>
    <w:rsid w:val="7B1E0C9C"/>
    <w:rsid w:val="7B214D5F"/>
    <w:rsid w:val="7B234184"/>
    <w:rsid w:val="7B253561"/>
    <w:rsid w:val="7B281F41"/>
    <w:rsid w:val="7B2D6699"/>
    <w:rsid w:val="7B2E420C"/>
    <w:rsid w:val="7B2F37BF"/>
    <w:rsid w:val="7B302108"/>
    <w:rsid w:val="7B374749"/>
    <w:rsid w:val="7B3C770D"/>
    <w:rsid w:val="7B486BF1"/>
    <w:rsid w:val="7B493931"/>
    <w:rsid w:val="7B541D2B"/>
    <w:rsid w:val="7B55000C"/>
    <w:rsid w:val="7B550F17"/>
    <w:rsid w:val="7B55166F"/>
    <w:rsid w:val="7B5A738A"/>
    <w:rsid w:val="7B5D7964"/>
    <w:rsid w:val="7B643304"/>
    <w:rsid w:val="7B666765"/>
    <w:rsid w:val="7B7042DD"/>
    <w:rsid w:val="7B71062A"/>
    <w:rsid w:val="7B742A46"/>
    <w:rsid w:val="7B7654CF"/>
    <w:rsid w:val="7B80615B"/>
    <w:rsid w:val="7B856AB6"/>
    <w:rsid w:val="7B87278F"/>
    <w:rsid w:val="7B87789F"/>
    <w:rsid w:val="7B8D44DA"/>
    <w:rsid w:val="7B904EE8"/>
    <w:rsid w:val="7B950CCF"/>
    <w:rsid w:val="7B954A71"/>
    <w:rsid w:val="7B9B5E08"/>
    <w:rsid w:val="7B9B6D7C"/>
    <w:rsid w:val="7BA2065A"/>
    <w:rsid w:val="7BA42CCA"/>
    <w:rsid w:val="7BA93E72"/>
    <w:rsid w:val="7BAA3D09"/>
    <w:rsid w:val="7BAD79AE"/>
    <w:rsid w:val="7BAE4D4B"/>
    <w:rsid w:val="7BB516E1"/>
    <w:rsid w:val="7BB74D30"/>
    <w:rsid w:val="7BBD2D9E"/>
    <w:rsid w:val="7BC0393E"/>
    <w:rsid w:val="7BC16233"/>
    <w:rsid w:val="7BC24E27"/>
    <w:rsid w:val="7BC42420"/>
    <w:rsid w:val="7BC85F8A"/>
    <w:rsid w:val="7BD33A6A"/>
    <w:rsid w:val="7BE111A8"/>
    <w:rsid w:val="7BE21653"/>
    <w:rsid w:val="7BEB6750"/>
    <w:rsid w:val="7BEC790D"/>
    <w:rsid w:val="7BF212CB"/>
    <w:rsid w:val="7BF45F6D"/>
    <w:rsid w:val="7BF61595"/>
    <w:rsid w:val="7BF70684"/>
    <w:rsid w:val="7BF81601"/>
    <w:rsid w:val="7BF915C9"/>
    <w:rsid w:val="7BFA2A39"/>
    <w:rsid w:val="7BFC277E"/>
    <w:rsid w:val="7BFE6431"/>
    <w:rsid w:val="7C001A61"/>
    <w:rsid w:val="7C084C53"/>
    <w:rsid w:val="7C0A6DC0"/>
    <w:rsid w:val="7C0E61E6"/>
    <w:rsid w:val="7C130C54"/>
    <w:rsid w:val="7C13319D"/>
    <w:rsid w:val="7C1448CB"/>
    <w:rsid w:val="7C23184B"/>
    <w:rsid w:val="7C2573DF"/>
    <w:rsid w:val="7C262994"/>
    <w:rsid w:val="7C2B05CA"/>
    <w:rsid w:val="7C2E5800"/>
    <w:rsid w:val="7C326CF5"/>
    <w:rsid w:val="7C3316A3"/>
    <w:rsid w:val="7C3733C1"/>
    <w:rsid w:val="7C3852A1"/>
    <w:rsid w:val="7C3D00A9"/>
    <w:rsid w:val="7C410564"/>
    <w:rsid w:val="7C411A02"/>
    <w:rsid w:val="7C4A5A2E"/>
    <w:rsid w:val="7C4B7D62"/>
    <w:rsid w:val="7C4C3DE5"/>
    <w:rsid w:val="7C4D486F"/>
    <w:rsid w:val="7C5426BA"/>
    <w:rsid w:val="7C561726"/>
    <w:rsid w:val="7C5651EE"/>
    <w:rsid w:val="7C570B1E"/>
    <w:rsid w:val="7C5A171F"/>
    <w:rsid w:val="7C6332C2"/>
    <w:rsid w:val="7C65353E"/>
    <w:rsid w:val="7C6F13AF"/>
    <w:rsid w:val="7C715C94"/>
    <w:rsid w:val="7C7465D5"/>
    <w:rsid w:val="7C7734C6"/>
    <w:rsid w:val="7C784587"/>
    <w:rsid w:val="7C7C570C"/>
    <w:rsid w:val="7C7F7204"/>
    <w:rsid w:val="7C7F7395"/>
    <w:rsid w:val="7C7F7D4E"/>
    <w:rsid w:val="7C807C6E"/>
    <w:rsid w:val="7C851134"/>
    <w:rsid w:val="7C873E14"/>
    <w:rsid w:val="7C8A4B01"/>
    <w:rsid w:val="7C8B5163"/>
    <w:rsid w:val="7C8F053C"/>
    <w:rsid w:val="7C96037E"/>
    <w:rsid w:val="7C974966"/>
    <w:rsid w:val="7C9F0B92"/>
    <w:rsid w:val="7CA07829"/>
    <w:rsid w:val="7CA10479"/>
    <w:rsid w:val="7CA155EF"/>
    <w:rsid w:val="7CA20783"/>
    <w:rsid w:val="7CAA542E"/>
    <w:rsid w:val="7CAC5529"/>
    <w:rsid w:val="7CB11A7C"/>
    <w:rsid w:val="7CB2078B"/>
    <w:rsid w:val="7CB361E5"/>
    <w:rsid w:val="7CB754EA"/>
    <w:rsid w:val="7CB806BE"/>
    <w:rsid w:val="7CB937F1"/>
    <w:rsid w:val="7CBA52C3"/>
    <w:rsid w:val="7CBC125A"/>
    <w:rsid w:val="7CC0401C"/>
    <w:rsid w:val="7CC421AF"/>
    <w:rsid w:val="7CC43C70"/>
    <w:rsid w:val="7CCB3E37"/>
    <w:rsid w:val="7CD0390A"/>
    <w:rsid w:val="7CD2002B"/>
    <w:rsid w:val="7CD40D71"/>
    <w:rsid w:val="7CD523C3"/>
    <w:rsid w:val="7CD74DDC"/>
    <w:rsid w:val="7CD75E92"/>
    <w:rsid w:val="7CD9575E"/>
    <w:rsid w:val="7CDC1F8F"/>
    <w:rsid w:val="7CE14107"/>
    <w:rsid w:val="7CE20BE5"/>
    <w:rsid w:val="7CE571DA"/>
    <w:rsid w:val="7CEF0EEA"/>
    <w:rsid w:val="7CF47EF9"/>
    <w:rsid w:val="7CF81325"/>
    <w:rsid w:val="7CFF5384"/>
    <w:rsid w:val="7D012C3A"/>
    <w:rsid w:val="7D014E59"/>
    <w:rsid w:val="7D073027"/>
    <w:rsid w:val="7D083358"/>
    <w:rsid w:val="7D100256"/>
    <w:rsid w:val="7D106B84"/>
    <w:rsid w:val="7D1625AB"/>
    <w:rsid w:val="7D1A07DA"/>
    <w:rsid w:val="7D1F5D8C"/>
    <w:rsid w:val="7D257023"/>
    <w:rsid w:val="7D2C32D0"/>
    <w:rsid w:val="7D2F4AEE"/>
    <w:rsid w:val="7D303310"/>
    <w:rsid w:val="7D30673B"/>
    <w:rsid w:val="7D307A2C"/>
    <w:rsid w:val="7D312392"/>
    <w:rsid w:val="7D35166E"/>
    <w:rsid w:val="7D3837B2"/>
    <w:rsid w:val="7D3C796B"/>
    <w:rsid w:val="7D4B275D"/>
    <w:rsid w:val="7D536642"/>
    <w:rsid w:val="7D561F61"/>
    <w:rsid w:val="7D564D16"/>
    <w:rsid w:val="7D593C98"/>
    <w:rsid w:val="7D5F39D0"/>
    <w:rsid w:val="7D6162B7"/>
    <w:rsid w:val="7D625B63"/>
    <w:rsid w:val="7D6767F9"/>
    <w:rsid w:val="7D68085B"/>
    <w:rsid w:val="7D694BCE"/>
    <w:rsid w:val="7D745CAB"/>
    <w:rsid w:val="7D791CE1"/>
    <w:rsid w:val="7D795780"/>
    <w:rsid w:val="7D82251D"/>
    <w:rsid w:val="7D872EF3"/>
    <w:rsid w:val="7D8C1848"/>
    <w:rsid w:val="7D8C593A"/>
    <w:rsid w:val="7D927627"/>
    <w:rsid w:val="7DB00344"/>
    <w:rsid w:val="7DBB1113"/>
    <w:rsid w:val="7DBB29A5"/>
    <w:rsid w:val="7DBE5DBA"/>
    <w:rsid w:val="7DC247C5"/>
    <w:rsid w:val="7DC52D23"/>
    <w:rsid w:val="7DC53500"/>
    <w:rsid w:val="7DC81D76"/>
    <w:rsid w:val="7DC8317C"/>
    <w:rsid w:val="7DC91985"/>
    <w:rsid w:val="7DCF5BFE"/>
    <w:rsid w:val="7DD34EA0"/>
    <w:rsid w:val="7DD43B0F"/>
    <w:rsid w:val="7DD45D86"/>
    <w:rsid w:val="7DD642C2"/>
    <w:rsid w:val="7DE23B19"/>
    <w:rsid w:val="7DE57AB7"/>
    <w:rsid w:val="7DE91D33"/>
    <w:rsid w:val="7DF01C3B"/>
    <w:rsid w:val="7DF06DAB"/>
    <w:rsid w:val="7DF21DE2"/>
    <w:rsid w:val="7DF32CF1"/>
    <w:rsid w:val="7DF53177"/>
    <w:rsid w:val="7DF82741"/>
    <w:rsid w:val="7DFA52D1"/>
    <w:rsid w:val="7DFD6246"/>
    <w:rsid w:val="7E0665A5"/>
    <w:rsid w:val="7E070BB1"/>
    <w:rsid w:val="7E094317"/>
    <w:rsid w:val="7E193DAA"/>
    <w:rsid w:val="7E1D32EE"/>
    <w:rsid w:val="7E222EFD"/>
    <w:rsid w:val="7E2B1605"/>
    <w:rsid w:val="7E2C17B3"/>
    <w:rsid w:val="7E2C7D03"/>
    <w:rsid w:val="7E2D3AA9"/>
    <w:rsid w:val="7E3F3EDA"/>
    <w:rsid w:val="7E4273B8"/>
    <w:rsid w:val="7E4423DD"/>
    <w:rsid w:val="7E477032"/>
    <w:rsid w:val="7E4817C6"/>
    <w:rsid w:val="7E5237E0"/>
    <w:rsid w:val="7E547D91"/>
    <w:rsid w:val="7E5B5EEE"/>
    <w:rsid w:val="7E6A7950"/>
    <w:rsid w:val="7E7407E7"/>
    <w:rsid w:val="7E7968BD"/>
    <w:rsid w:val="7E7A297C"/>
    <w:rsid w:val="7E7B357D"/>
    <w:rsid w:val="7E7F0DDB"/>
    <w:rsid w:val="7E82070A"/>
    <w:rsid w:val="7E851265"/>
    <w:rsid w:val="7E8B639B"/>
    <w:rsid w:val="7E8F5D96"/>
    <w:rsid w:val="7EA057A6"/>
    <w:rsid w:val="7EA16E5A"/>
    <w:rsid w:val="7EA406F9"/>
    <w:rsid w:val="7EA63F59"/>
    <w:rsid w:val="7EA71590"/>
    <w:rsid w:val="7EAB4E31"/>
    <w:rsid w:val="7EAD33E7"/>
    <w:rsid w:val="7EAD42CB"/>
    <w:rsid w:val="7EB07FAD"/>
    <w:rsid w:val="7EB21FC6"/>
    <w:rsid w:val="7EB36F39"/>
    <w:rsid w:val="7EB46FC0"/>
    <w:rsid w:val="7EB61640"/>
    <w:rsid w:val="7EC0329E"/>
    <w:rsid w:val="7ED01C6A"/>
    <w:rsid w:val="7ED2034B"/>
    <w:rsid w:val="7ED51171"/>
    <w:rsid w:val="7EDC684B"/>
    <w:rsid w:val="7EDC7E9B"/>
    <w:rsid w:val="7EDE53BA"/>
    <w:rsid w:val="7EDE7909"/>
    <w:rsid w:val="7EE202C4"/>
    <w:rsid w:val="7EE25704"/>
    <w:rsid w:val="7EE32209"/>
    <w:rsid w:val="7EE80090"/>
    <w:rsid w:val="7EED2988"/>
    <w:rsid w:val="7EEE6379"/>
    <w:rsid w:val="7EF11CE7"/>
    <w:rsid w:val="7EFE0A1E"/>
    <w:rsid w:val="7EFE4B59"/>
    <w:rsid w:val="7F067F68"/>
    <w:rsid w:val="7F087AB5"/>
    <w:rsid w:val="7F0F64E6"/>
    <w:rsid w:val="7F101FF0"/>
    <w:rsid w:val="7F1552CE"/>
    <w:rsid w:val="7F260104"/>
    <w:rsid w:val="7F265B74"/>
    <w:rsid w:val="7F30479A"/>
    <w:rsid w:val="7F3628B9"/>
    <w:rsid w:val="7F377EDA"/>
    <w:rsid w:val="7F38024F"/>
    <w:rsid w:val="7F3B4C9C"/>
    <w:rsid w:val="7F4042B4"/>
    <w:rsid w:val="7F484148"/>
    <w:rsid w:val="7F4925BD"/>
    <w:rsid w:val="7F4C399C"/>
    <w:rsid w:val="7F4C3E2C"/>
    <w:rsid w:val="7F50543B"/>
    <w:rsid w:val="7F52169F"/>
    <w:rsid w:val="7F522361"/>
    <w:rsid w:val="7F5B1133"/>
    <w:rsid w:val="7F5C5ADC"/>
    <w:rsid w:val="7F5E3CCB"/>
    <w:rsid w:val="7F6B3005"/>
    <w:rsid w:val="7F6F745D"/>
    <w:rsid w:val="7F715BB3"/>
    <w:rsid w:val="7F756502"/>
    <w:rsid w:val="7F756ADD"/>
    <w:rsid w:val="7F761A0B"/>
    <w:rsid w:val="7F77382A"/>
    <w:rsid w:val="7F7F410F"/>
    <w:rsid w:val="7F844368"/>
    <w:rsid w:val="7F852A92"/>
    <w:rsid w:val="7F8603C1"/>
    <w:rsid w:val="7F93256E"/>
    <w:rsid w:val="7F965C4A"/>
    <w:rsid w:val="7F9A60BC"/>
    <w:rsid w:val="7FAE2CD3"/>
    <w:rsid w:val="7FB13E9C"/>
    <w:rsid w:val="7FB21B08"/>
    <w:rsid w:val="7FB46111"/>
    <w:rsid w:val="7FB54A50"/>
    <w:rsid w:val="7FBD6DAD"/>
    <w:rsid w:val="7FC228B6"/>
    <w:rsid w:val="7FC36C65"/>
    <w:rsid w:val="7FC44D4C"/>
    <w:rsid w:val="7FC52087"/>
    <w:rsid w:val="7FC748F6"/>
    <w:rsid w:val="7FC86CB1"/>
    <w:rsid w:val="7FC96CAE"/>
    <w:rsid w:val="7FD269ED"/>
    <w:rsid w:val="7FDC7F61"/>
    <w:rsid w:val="7FDE261C"/>
    <w:rsid w:val="7FDF0173"/>
    <w:rsid w:val="7FE32F5A"/>
    <w:rsid w:val="7FE52DEB"/>
    <w:rsid w:val="7FE614BA"/>
    <w:rsid w:val="7FE639EF"/>
    <w:rsid w:val="7FE91A2B"/>
    <w:rsid w:val="7FEA18A6"/>
    <w:rsid w:val="7FEA3A98"/>
    <w:rsid w:val="7FF225C0"/>
    <w:rsid w:val="7FF25354"/>
    <w:rsid w:val="7FF91826"/>
    <w:rsid w:val="7FF95CFC"/>
    <w:rsid w:val="7FFF2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jc w:val="left"/>
    </w:pPr>
    <w:rPr>
      <w:rFonts w:ascii="宋体" w:hAnsi="宋体" w:eastAsia="宋体" w:cs="宋体"/>
      <w:sz w:val="24"/>
      <w:szCs w:val="24"/>
      <w:lang w:val="en-US" w:eastAsia="zh-CN" w:bidi="ar-SA"/>
    </w:rPr>
  </w:style>
  <w:style w:type="paragraph" w:styleId="3">
    <w:name w:val="heading 1"/>
    <w:basedOn w:val="1"/>
    <w:next w:val="1"/>
    <w:link w:val="49"/>
    <w:qFormat/>
    <w:uiPriority w:val="0"/>
    <w:pPr>
      <w:keepNext/>
      <w:keepLines w:val="0"/>
      <w:numPr>
        <w:ilvl w:val="0"/>
        <w:numId w:val="0"/>
      </w:numPr>
      <w:spacing w:line="480" w:lineRule="auto"/>
      <w:ind w:left="0" w:firstLine="0" w:firstLineChars="0"/>
      <w:jc w:val="center"/>
      <w:outlineLvl w:val="0"/>
    </w:pPr>
    <w:rPr>
      <w:b/>
      <w:bCs/>
      <w:spacing w:val="0"/>
      <w:kern w:val="0"/>
      <w:sz w:val="30"/>
      <w:szCs w:val="30"/>
    </w:rPr>
  </w:style>
  <w:style w:type="paragraph" w:styleId="4">
    <w:name w:val="heading 2"/>
    <w:basedOn w:val="1"/>
    <w:next w:val="1"/>
    <w:link w:val="48"/>
    <w:qFormat/>
    <w:uiPriority w:val="0"/>
    <w:pPr>
      <w:keepNext/>
      <w:keepLines w:val="0"/>
      <w:numPr>
        <w:ilvl w:val="1"/>
        <w:numId w:val="0"/>
      </w:numPr>
      <w:spacing w:line="360" w:lineRule="auto"/>
      <w:ind w:left="0" w:firstLine="0" w:firstLineChars="0"/>
      <w:jc w:val="left"/>
      <w:outlineLvl w:val="1"/>
    </w:pPr>
    <w:rPr>
      <w:rFonts w:ascii="宋体" w:hAnsi="宋体" w:eastAsia="宋体"/>
      <w:b/>
      <w:bCs/>
      <w:kern w:val="0"/>
      <w:sz w:val="24"/>
      <w:szCs w:val="24"/>
    </w:rPr>
  </w:style>
  <w:style w:type="paragraph" w:styleId="5">
    <w:name w:val="heading 3"/>
    <w:basedOn w:val="1"/>
    <w:next w:val="1"/>
    <w:link w:val="47"/>
    <w:qFormat/>
    <w:uiPriority w:val="0"/>
    <w:pPr>
      <w:keepNext/>
      <w:keepLines w:val="0"/>
      <w:numPr>
        <w:ilvl w:val="2"/>
        <w:numId w:val="0"/>
      </w:numPr>
      <w:spacing w:line="360" w:lineRule="auto"/>
      <w:ind w:left="0" w:firstLine="0" w:firstLineChars="0"/>
      <w:outlineLvl w:val="2"/>
    </w:pPr>
    <w:rPr>
      <w:rFonts w:ascii="宋体" w:hAnsi="宋体" w:eastAsia="宋体"/>
      <w:b/>
      <w:bCs/>
      <w:color w:val="000000"/>
      <w:sz w:val="24"/>
      <w:szCs w:val="24"/>
    </w:rPr>
  </w:style>
  <w:style w:type="paragraph" w:styleId="6">
    <w:name w:val="heading 4"/>
    <w:basedOn w:val="1"/>
    <w:next w:val="1"/>
    <w:link w:val="45"/>
    <w:qFormat/>
    <w:uiPriority w:val="0"/>
    <w:pPr>
      <w:keepNext w:val="0"/>
      <w:keepLines w:val="0"/>
      <w:numPr>
        <w:ilvl w:val="3"/>
        <w:numId w:val="0"/>
      </w:numPr>
      <w:adjustRightInd w:val="0"/>
      <w:snapToGrid w:val="0"/>
      <w:spacing w:line="360" w:lineRule="auto"/>
      <w:ind w:left="0" w:firstLine="0" w:firstLineChars="0"/>
      <w:jc w:val="left"/>
      <w:outlineLvl w:val="3"/>
    </w:pPr>
    <w:rPr>
      <w:rFonts w:ascii="宋体" w:hAnsi="宋体" w:eastAsia="宋体"/>
      <w:b/>
      <w:bCs/>
      <w:snapToGrid w:val="0"/>
    </w:rPr>
  </w:style>
  <w:style w:type="paragraph" w:styleId="7">
    <w:name w:val="heading 9"/>
    <w:basedOn w:val="1"/>
    <w:next w:val="1"/>
    <w:qFormat/>
    <w:uiPriority w:val="0"/>
    <w:pPr>
      <w:keepNext/>
      <w:keepLines/>
      <w:spacing w:before="240" w:after="64"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oc 7"/>
    <w:basedOn w:val="1"/>
    <w:next w:val="1"/>
    <w:qFormat/>
    <w:uiPriority w:val="0"/>
    <w:pPr>
      <w:ind w:left="2520" w:leftChars="1200"/>
    </w:pPr>
  </w:style>
  <w:style w:type="paragraph" w:styleId="9">
    <w:name w:val="Normal Indent"/>
    <w:basedOn w:val="1"/>
    <w:qFormat/>
    <w:uiPriority w:val="0"/>
    <w:pPr>
      <w:spacing w:after="180" w:line="309" w:lineRule="auto"/>
      <w:ind w:firstLine="420"/>
    </w:pPr>
    <w:rPr>
      <w:rFonts w:ascii="Times New Roman" w:hAnsi="Times New Roman"/>
      <w:szCs w:val="20"/>
    </w:rPr>
  </w:style>
  <w:style w:type="paragraph" w:styleId="10">
    <w:name w:val="Document Map"/>
    <w:basedOn w:val="1"/>
    <w:link w:val="76"/>
    <w:qFormat/>
    <w:uiPriority w:val="0"/>
    <w:rPr>
      <w:sz w:val="18"/>
      <w:szCs w:val="18"/>
    </w:rPr>
  </w:style>
  <w:style w:type="paragraph" w:styleId="11">
    <w:name w:val="annotation text"/>
    <w:basedOn w:val="1"/>
    <w:link w:val="73"/>
    <w:qFormat/>
    <w:uiPriority w:val="0"/>
    <w:pPr>
      <w:jc w:val="left"/>
    </w:pPr>
  </w:style>
  <w:style w:type="paragraph" w:styleId="12">
    <w:name w:val="Body Text Indent"/>
    <w:basedOn w:val="1"/>
    <w:next w:val="1"/>
    <w:qFormat/>
    <w:uiPriority w:val="0"/>
    <w:pPr>
      <w:spacing w:after="120"/>
      <w:ind w:left="420" w:leftChars="200"/>
    </w:pPr>
    <w:rPr>
      <w:rFonts w:ascii="Times New Roman"/>
      <w:sz w:val="20"/>
      <w:szCs w:val="24"/>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hAnsi="Courier New"/>
      <w:sz w:val="20"/>
      <w:szCs w:val="18"/>
    </w:rPr>
  </w:style>
  <w:style w:type="paragraph" w:styleId="16">
    <w:name w:val="toc 8"/>
    <w:basedOn w:val="1"/>
    <w:next w:val="1"/>
    <w:qFormat/>
    <w:uiPriority w:val="0"/>
    <w:pPr>
      <w:ind w:left="2940" w:leftChars="1400"/>
    </w:p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82"/>
    <w:qFormat/>
    <w:uiPriority w:val="0"/>
    <w:rPr>
      <w:sz w:val="18"/>
      <w:szCs w:val="18"/>
    </w:rPr>
  </w:style>
  <w:style w:type="paragraph" w:styleId="19">
    <w:name w:val="footer"/>
    <w:basedOn w:val="1"/>
    <w:link w:val="84"/>
    <w:qFormat/>
    <w:uiPriority w:val="99"/>
    <w:pPr>
      <w:tabs>
        <w:tab w:val="center" w:pos="4153"/>
        <w:tab w:val="right" w:pos="8306"/>
      </w:tabs>
      <w:snapToGrid w:val="0"/>
      <w:jc w:val="left"/>
    </w:pPr>
    <w:rPr>
      <w:rFonts w:ascii="Calibri"/>
      <w:sz w:val="18"/>
      <w:szCs w:val="18"/>
    </w:rPr>
  </w:style>
  <w:style w:type="paragraph" w:styleId="20">
    <w:name w:val="header"/>
    <w:basedOn w:val="1"/>
    <w:link w:val="80"/>
    <w:qFormat/>
    <w:uiPriority w:val="99"/>
    <w:pPr>
      <w:pBdr>
        <w:bottom w:val="single" w:color="auto" w:sz="6" w:space="1"/>
      </w:pBdr>
      <w:tabs>
        <w:tab w:val="center" w:pos="4153"/>
        <w:tab w:val="right" w:pos="8306"/>
      </w:tabs>
      <w:snapToGrid w:val="0"/>
      <w:jc w:val="center"/>
    </w:pPr>
    <w:rPr>
      <w:rFonts w:ascii="Calibri"/>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toc 6"/>
    <w:basedOn w:val="1"/>
    <w:next w:val="1"/>
    <w:qFormat/>
    <w:uiPriority w:val="0"/>
    <w:pPr>
      <w:ind w:left="2100" w:leftChars="1000"/>
    </w:pPr>
  </w:style>
  <w:style w:type="paragraph" w:styleId="25">
    <w:name w:val="Body Text Indent 3"/>
    <w:basedOn w:val="1"/>
    <w:qFormat/>
    <w:uiPriority w:val="0"/>
    <w:pPr>
      <w:spacing w:line="360" w:lineRule="auto"/>
      <w:ind w:left="153" w:leftChars="85" w:firstLine="560" w:firstLineChars="200"/>
    </w:pPr>
    <w:rPr>
      <w:rFonts w:hAnsi="宋体"/>
      <w:sz w:val="28"/>
      <w:szCs w:val="28"/>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0"/>
    <w:pPr>
      <w:widowControl/>
      <w:spacing w:before="100" w:beforeAutospacing="1" w:after="100" w:afterAutospacing="1"/>
      <w:jc w:val="left"/>
    </w:pPr>
    <w:rPr>
      <w:rFonts w:hAnsi="宋体"/>
      <w:color w:val="000000"/>
      <w:sz w:val="24"/>
      <w:szCs w:val="24"/>
    </w:rPr>
  </w:style>
  <w:style w:type="paragraph" w:styleId="29">
    <w:name w:val="annotation subject"/>
    <w:basedOn w:val="11"/>
    <w:next w:val="11"/>
    <w:link w:val="75"/>
    <w:qFormat/>
    <w:uiPriority w:val="0"/>
    <w:rPr>
      <w:b/>
      <w:bCs/>
    </w:rPr>
  </w:style>
  <w:style w:type="paragraph" w:styleId="30">
    <w:name w:val="Body Text First Indent"/>
    <w:basedOn w:val="2"/>
    <w:qFormat/>
    <w:uiPriority w:val="0"/>
    <w:pPr>
      <w:widowControl w:val="0"/>
      <w:ind w:firstLine="420" w:firstLineChars="100"/>
      <w:jc w:val="both"/>
    </w:pPr>
    <w:rPr>
      <w:rFonts w:ascii="宋体"/>
      <w:kern w:val="2"/>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333333"/>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Variable"/>
    <w:basedOn w:val="33"/>
    <w:qFormat/>
    <w:uiPriority w:val="0"/>
  </w:style>
  <w:style w:type="character" w:styleId="40">
    <w:name w:val="Hyperlink"/>
    <w:basedOn w:val="33"/>
    <w:qFormat/>
    <w:uiPriority w:val="0"/>
    <w:rPr>
      <w:color w:val="0000FF"/>
      <w:u w:val="single"/>
    </w:rPr>
  </w:style>
  <w:style w:type="character" w:styleId="41">
    <w:name w:val="HTML Code"/>
    <w:basedOn w:val="33"/>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3"/>
    <w:qFormat/>
    <w:uiPriority w:val="0"/>
  </w:style>
  <w:style w:type="character" w:customStyle="1" w:styleId="44">
    <w:name w:val="标题 3 字符"/>
    <w:link w:val="5"/>
    <w:qFormat/>
    <w:uiPriority w:val="0"/>
    <w:rPr>
      <w:b/>
      <w:bCs/>
    </w:rPr>
  </w:style>
  <w:style w:type="character" w:customStyle="1" w:styleId="45">
    <w:name w:val="标题 4 Char"/>
    <w:link w:val="6"/>
    <w:qFormat/>
    <w:uiPriority w:val="0"/>
    <w:rPr>
      <w:rFonts w:ascii="宋体" w:hAnsi="宋体" w:eastAsia="宋体"/>
      <w:b/>
      <w:bCs/>
      <w:snapToGrid w:val="0"/>
      <w:sz w:val="24"/>
      <w:szCs w:val="24"/>
    </w:rPr>
  </w:style>
  <w:style w:type="paragraph" w:customStyle="1" w:styleId="46">
    <w:name w:val="Default"/>
    <w:next w:val="12"/>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character" w:customStyle="1" w:styleId="47">
    <w:name w:val="标题 3 Char"/>
    <w:link w:val="5"/>
    <w:qFormat/>
    <w:uiPriority w:val="0"/>
    <w:rPr>
      <w:rFonts w:ascii="宋体" w:hAnsi="宋体" w:eastAsia="宋体"/>
      <w:b/>
      <w:bCs/>
      <w:color w:val="000000"/>
      <w:sz w:val="24"/>
      <w:szCs w:val="24"/>
    </w:rPr>
  </w:style>
  <w:style w:type="character" w:customStyle="1" w:styleId="48">
    <w:name w:val="标题 2 Char"/>
    <w:link w:val="4"/>
    <w:qFormat/>
    <w:uiPriority w:val="0"/>
    <w:rPr>
      <w:rFonts w:ascii="宋体" w:hAnsi="宋体" w:eastAsia="宋体"/>
      <w:b/>
      <w:bCs/>
      <w:kern w:val="0"/>
      <w:sz w:val="24"/>
      <w:szCs w:val="24"/>
    </w:rPr>
  </w:style>
  <w:style w:type="character" w:customStyle="1" w:styleId="49">
    <w:name w:val="标题 1 Char"/>
    <w:link w:val="3"/>
    <w:qFormat/>
    <w:uiPriority w:val="0"/>
    <w:rPr>
      <w:rFonts w:ascii="宋体" w:hAnsi="宋体" w:eastAsia="宋体"/>
      <w:b/>
      <w:bCs/>
      <w:spacing w:val="0"/>
      <w:kern w:val="0"/>
      <w:sz w:val="30"/>
      <w:szCs w:val="30"/>
    </w:rPr>
  </w:style>
  <w:style w:type="paragraph" w:customStyle="1" w:styleId="50">
    <w:name w:val="首行缩进"/>
    <w:basedOn w:val="1"/>
    <w:qFormat/>
    <w:uiPriority w:val="0"/>
    <w:pPr>
      <w:ind w:firstLine="480"/>
    </w:pPr>
    <w:rPr>
      <w:lang w:val="zh-CN"/>
    </w:rPr>
  </w:style>
  <w:style w:type="paragraph" w:customStyle="1" w:styleId="51">
    <w:name w:val="列出段落1"/>
    <w:basedOn w:val="1"/>
    <w:unhideWhenUsed/>
    <w:qFormat/>
    <w:uiPriority w:val="99"/>
    <w:pPr>
      <w:ind w:firstLine="420" w:firstLineChars="200"/>
    </w:pPr>
    <w:rPr>
      <w:rFonts w:hint="eastAsia"/>
      <w:sz w:val="21"/>
    </w:rPr>
  </w:style>
  <w:style w:type="paragraph" w:customStyle="1" w:styleId="52">
    <w:name w:val="CD正文"/>
    <w:basedOn w:val="1"/>
    <w:qFormat/>
    <w:uiPriority w:val="0"/>
    <w:pPr>
      <w:spacing w:line="360" w:lineRule="auto"/>
      <w:ind w:firstLine="493"/>
    </w:pPr>
    <w:rPr>
      <w:kern w:val="2"/>
      <w:sz w:val="30"/>
      <w:szCs w:val="28"/>
    </w:rPr>
  </w:style>
  <w:style w:type="paragraph" w:customStyle="1" w:styleId="53">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4">
    <w:name w:val="样式 首行缩进:  2 字符"/>
    <w:basedOn w:val="1"/>
    <w:qFormat/>
    <w:uiPriority w:val="0"/>
    <w:pPr>
      <w:spacing w:line="400" w:lineRule="exact"/>
      <w:ind w:firstLine="200" w:firstLineChars="200"/>
    </w:pPr>
    <w:rPr>
      <w:rFonts w:cs="宋体"/>
      <w:sz w:val="24"/>
    </w:rPr>
  </w:style>
  <w:style w:type="paragraph" w:customStyle="1" w:styleId="55">
    <w:name w:val="_Style 1"/>
    <w:basedOn w:val="1"/>
    <w:qFormat/>
    <w:uiPriority w:val="34"/>
    <w:pPr>
      <w:ind w:firstLine="420" w:firstLineChars="200"/>
    </w:pPr>
    <w:rPr>
      <w:rFonts w:ascii="Calibri"/>
      <w:kern w:val="2"/>
      <w:sz w:val="21"/>
    </w:rPr>
  </w:style>
  <w:style w:type="paragraph" w:customStyle="1" w:styleId="56">
    <w:name w:val="_Style 48"/>
    <w:basedOn w:val="1"/>
    <w:qFormat/>
    <w:uiPriority w:val="0"/>
    <w:pPr>
      <w:ind w:firstLine="420" w:firstLineChars="200"/>
    </w:pPr>
    <w:rPr>
      <w:rFonts w:ascii="Calibri"/>
      <w:kern w:val="2"/>
      <w:sz w:val="21"/>
    </w:rPr>
  </w:style>
  <w:style w:type="paragraph" w:customStyle="1" w:styleId="57">
    <w:name w:val="三级标题-正文"/>
    <w:basedOn w:val="4"/>
    <w:link w:val="81"/>
    <w:qFormat/>
    <w:uiPriority w:val="0"/>
    <w:pPr>
      <w:numPr>
        <w:ilvl w:val="0"/>
        <w:numId w:val="0"/>
      </w:numPr>
      <w:adjustRightInd w:val="0"/>
      <w:snapToGrid w:val="0"/>
      <w:spacing w:before="0" w:after="0"/>
      <w:outlineLvl w:val="2"/>
    </w:pPr>
    <w:rPr>
      <w:rFonts w:ascii="宋体"/>
      <w:iCs/>
      <w:color w:val="000000"/>
      <w:sz w:val="24"/>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60">
    <w:name w:val="彩色列表 - 强调文字颜色 11"/>
    <w:basedOn w:val="1"/>
    <w:qFormat/>
    <w:uiPriority w:val="0"/>
    <w:pPr>
      <w:ind w:firstLine="420" w:firstLineChars="200"/>
    </w:pPr>
    <w:rPr>
      <w:rFonts w:ascii="Calibri"/>
      <w:kern w:val="2"/>
      <w:sz w:val="21"/>
    </w:rPr>
  </w:style>
  <w:style w:type="paragraph" w:customStyle="1" w:styleId="61">
    <w:name w:val="表格正文"/>
    <w:basedOn w:val="1"/>
    <w:link w:val="78"/>
    <w:qFormat/>
    <w:uiPriority w:val="0"/>
    <w:pPr>
      <w:jc w:val="center"/>
    </w:pPr>
    <w:rPr>
      <w:rFonts w:ascii="仿宋_GB2312" w:hAnsi="宋体"/>
      <w:szCs w:val="28"/>
    </w:rPr>
  </w:style>
  <w:style w:type="paragraph" w:customStyle="1" w:styleId="62">
    <w:name w:val="列出段落2"/>
    <w:basedOn w:val="1"/>
    <w:qFormat/>
    <w:uiPriority w:val="99"/>
    <w:pPr>
      <w:ind w:firstLine="420" w:firstLineChars="200"/>
    </w:pPr>
  </w:style>
  <w:style w:type="paragraph" w:customStyle="1" w:styleId="63">
    <w:name w:val="正文文本 21"/>
    <w:basedOn w:val="1"/>
    <w:qFormat/>
    <w:uiPriority w:val="0"/>
    <w:pPr>
      <w:adjustRightInd w:val="0"/>
      <w:spacing w:line="300" w:lineRule="auto"/>
      <w:jc w:val="center"/>
      <w:textAlignment w:val="baseline"/>
    </w:pPr>
    <w:rPr>
      <w:rFonts w:hAnsi="宋体"/>
      <w:sz w:val="24"/>
      <w:szCs w:val="20"/>
    </w:rPr>
  </w:style>
  <w:style w:type="paragraph" w:customStyle="1" w:styleId="64">
    <w:name w:val="论文正文"/>
    <w:basedOn w:val="1"/>
    <w:qFormat/>
    <w:uiPriority w:val="0"/>
    <w:pPr>
      <w:spacing w:line="300" w:lineRule="auto"/>
      <w:ind w:firstLine="200" w:firstLineChars="200"/>
    </w:pPr>
    <w:rPr>
      <w:kern w:val="2"/>
    </w:rPr>
  </w:style>
  <w:style w:type="paragraph" w:customStyle="1" w:styleId="6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66">
    <w:name w:val="_Style 3"/>
    <w:basedOn w:val="1"/>
    <w:qFormat/>
    <w:uiPriority w:val="34"/>
    <w:pPr>
      <w:ind w:firstLine="420" w:firstLineChars="200"/>
    </w:pPr>
    <w:rPr>
      <w:rFonts w:ascii="Calibri"/>
      <w:kern w:val="2"/>
      <w:sz w:val="21"/>
    </w:rPr>
  </w:style>
  <w:style w:type="paragraph" w:customStyle="1" w:styleId="67">
    <w:name w:val="列出段落3"/>
    <w:basedOn w:val="1"/>
    <w:qFormat/>
    <w:uiPriority w:val="0"/>
    <w:pPr>
      <w:ind w:firstLine="420" w:firstLineChars="200"/>
    </w:pPr>
    <w:rPr>
      <w:rFonts w:ascii="Calibri"/>
      <w:kern w:val="2"/>
      <w:sz w:val="21"/>
    </w:rPr>
  </w:style>
  <w:style w:type="paragraph" w:customStyle="1" w:styleId="68">
    <w:name w:val="表格"/>
    <w:basedOn w:val="1"/>
    <w:qFormat/>
    <w:uiPriority w:val="0"/>
    <w:pPr>
      <w:spacing w:line="400" w:lineRule="exact"/>
    </w:pPr>
    <w:rPr>
      <w:sz w:val="24"/>
    </w:rPr>
  </w:style>
  <w:style w:type="paragraph" w:customStyle="1" w:styleId="6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0">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1">
    <w:name w:val="p0"/>
    <w:basedOn w:val="1"/>
    <w:qFormat/>
    <w:uiPriority w:val="0"/>
    <w:pPr>
      <w:widowControl/>
    </w:pPr>
    <w:rPr>
      <w:rFonts w:ascii="Calibri" w:cs="宋体"/>
      <w:szCs w:val="21"/>
    </w:rPr>
  </w:style>
  <w:style w:type="paragraph" w:customStyle="1" w:styleId="72">
    <w:name w:val="三级标题--"/>
    <w:basedOn w:val="57"/>
    <w:link w:val="79"/>
    <w:qFormat/>
    <w:uiPriority w:val="0"/>
    <w:pPr>
      <w:tabs>
        <w:tab w:val="left" w:pos="1843"/>
      </w:tabs>
      <w:spacing w:beforeLines="50" w:afterLines="50"/>
      <w:ind w:left="2127"/>
    </w:pPr>
    <w:rPr>
      <w:szCs w:val="24"/>
      <w:lang w:val="zh-CN"/>
    </w:rPr>
  </w:style>
  <w:style w:type="character" w:customStyle="1" w:styleId="73">
    <w:name w:val="批注文字 Char"/>
    <w:link w:val="11"/>
    <w:qFormat/>
    <w:uiPriority w:val="0"/>
    <w:rPr>
      <w:rFonts w:ascii="宋体" w:hAnsi="Calibri"/>
      <w:sz w:val="34"/>
      <w:szCs w:val="22"/>
    </w:rPr>
  </w:style>
  <w:style w:type="character" w:customStyle="1" w:styleId="74">
    <w:name w:val="Char Char25"/>
    <w:qFormat/>
    <w:uiPriority w:val="0"/>
    <w:rPr>
      <w:rFonts w:ascii="宋体" w:hAnsi="宋体" w:eastAsia="宋体"/>
      <w:b/>
      <w:bCs/>
      <w:iCs/>
      <w:sz w:val="28"/>
      <w:szCs w:val="28"/>
      <w:lang w:eastAsia="zh-CN" w:bidi="ar-SA"/>
    </w:rPr>
  </w:style>
  <w:style w:type="character" w:customStyle="1" w:styleId="75">
    <w:name w:val="批注主题 Char"/>
    <w:link w:val="29"/>
    <w:qFormat/>
    <w:uiPriority w:val="0"/>
    <w:rPr>
      <w:rFonts w:ascii="宋体" w:hAnsi="Calibri"/>
      <w:b/>
      <w:bCs/>
      <w:sz w:val="34"/>
      <w:szCs w:val="22"/>
    </w:rPr>
  </w:style>
  <w:style w:type="character" w:customStyle="1" w:styleId="76">
    <w:name w:val="文档结构图 Char"/>
    <w:link w:val="10"/>
    <w:qFormat/>
    <w:uiPriority w:val="0"/>
    <w:rPr>
      <w:rFonts w:ascii="宋体" w:hAnsi="Calibri"/>
      <w:sz w:val="18"/>
      <w:szCs w:val="18"/>
    </w:rPr>
  </w:style>
  <w:style w:type="character" w:customStyle="1" w:styleId="77">
    <w:name w:val="font121"/>
    <w:qFormat/>
    <w:uiPriority w:val="0"/>
    <w:rPr>
      <w:rFonts w:hint="default" w:ascii="方正小标宋_GBK" w:hAnsi="方正小标宋_GBK" w:eastAsia="方正小标宋_GBK" w:cs="方正小标宋_GBK"/>
      <w:b/>
      <w:color w:val="000000"/>
      <w:sz w:val="32"/>
      <w:szCs w:val="32"/>
      <w:u w:val="none"/>
    </w:rPr>
  </w:style>
  <w:style w:type="character" w:customStyle="1" w:styleId="78">
    <w:name w:val="表格正文 字符"/>
    <w:link w:val="61"/>
    <w:qFormat/>
    <w:uiPriority w:val="0"/>
    <w:rPr>
      <w:rFonts w:ascii="仿宋_GB2312" w:hAnsi="宋体"/>
      <w:sz w:val="34"/>
      <w:szCs w:val="28"/>
    </w:rPr>
  </w:style>
  <w:style w:type="character" w:customStyle="1" w:styleId="79">
    <w:name w:val="三级标题-- Char"/>
    <w:link w:val="72"/>
    <w:qFormat/>
    <w:uiPriority w:val="0"/>
    <w:rPr>
      <w:rFonts w:ascii="宋体" w:hAnsi="宋体" w:cs="宋体"/>
      <w:b/>
      <w:bCs/>
      <w:iCs/>
      <w:color w:val="000000"/>
      <w:kern w:val="2"/>
      <w:sz w:val="24"/>
      <w:szCs w:val="24"/>
      <w:lang w:val="zh-CN"/>
    </w:rPr>
  </w:style>
  <w:style w:type="character" w:customStyle="1" w:styleId="80">
    <w:name w:val="页眉 Char"/>
    <w:link w:val="20"/>
    <w:qFormat/>
    <w:uiPriority w:val="99"/>
    <w:rPr>
      <w:rFonts w:ascii="Calibri" w:hAnsi="Calibri"/>
      <w:sz w:val="18"/>
      <w:szCs w:val="18"/>
    </w:rPr>
  </w:style>
  <w:style w:type="character" w:customStyle="1" w:styleId="81">
    <w:name w:val="三级标题-正文 Char"/>
    <w:link w:val="57"/>
    <w:qFormat/>
    <w:uiPriority w:val="0"/>
    <w:rPr>
      <w:rFonts w:ascii="宋体" w:hAnsi="宋体"/>
      <w:b/>
      <w:bCs/>
      <w:iCs/>
      <w:color w:val="000000"/>
      <w:kern w:val="2"/>
      <w:sz w:val="24"/>
      <w:szCs w:val="28"/>
    </w:rPr>
  </w:style>
  <w:style w:type="character" w:customStyle="1" w:styleId="82">
    <w:name w:val="批注框文本 Char"/>
    <w:link w:val="18"/>
    <w:qFormat/>
    <w:uiPriority w:val="0"/>
    <w:rPr>
      <w:rFonts w:ascii="宋体" w:hAnsi="Calibri"/>
      <w:sz w:val="18"/>
      <w:szCs w:val="18"/>
    </w:rPr>
  </w:style>
  <w:style w:type="character" w:customStyle="1" w:styleId="83">
    <w:name w:val="font81"/>
    <w:qFormat/>
    <w:uiPriority w:val="0"/>
    <w:rPr>
      <w:rFonts w:ascii="Arial" w:hAnsi="Arial" w:cs="Arial"/>
      <w:color w:val="000000"/>
      <w:sz w:val="24"/>
      <w:szCs w:val="24"/>
      <w:u w:val="none"/>
    </w:rPr>
  </w:style>
  <w:style w:type="character" w:customStyle="1" w:styleId="84">
    <w:name w:val="页脚 Char"/>
    <w:link w:val="19"/>
    <w:qFormat/>
    <w:uiPriority w:val="99"/>
    <w:rPr>
      <w:rFonts w:ascii="Calibri" w:hAnsi="Calibri"/>
      <w:sz w:val="18"/>
      <w:szCs w:val="18"/>
    </w:rPr>
  </w:style>
  <w:style w:type="character" w:customStyle="1" w:styleId="85">
    <w:name w:val="msoins"/>
    <w:basedOn w:val="33"/>
    <w:qFormat/>
    <w:uiPriority w:val="0"/>
  </w:style>
  <w:style w:type="character" w:customStyle="1" w:styleId="86">
    <w:name w:val="font71"/>
    <w:qFormat/>
    <w:uiPriority w:val="0"/>
    <w:rPr>
      <w:rFonts w:hint="default" w:ascii="仿宋" w:hAnsi="仿宋" w:eastAsia="仿宋" w:cs="仿宋"/>
      <w:color w:val="000000"/>
      <w:sz w:val="24"/>
      <w:szCs w:val="24"/>
      <w:u w:val="none"/>
    </w:rPr>
  </w:style>
  <w:style w:type="character" w:customStyle="1" w:styleId="87">
    <w:name w:val="label"/>
    <w:basedOn w:val="33"/>
    <w:qFormat/>
    <w:uiPriority w:val="0"/>
    <w:rPr>
      <w:color w:val="555555"/>
    </w:rPr>
  </w:style>
  <w:style w:type="character" w:customStyle="1" w:styleId="88">
    <w:name w:val="modifier"/>
    <w:basedOn w:val="33"/>
    <w:qFormat/>
    <w:uiPriority w:val="0"/>
    <w:rPr>
      <w:color w:val="FF0000"/>
    </w:rPr>
  </w:style>
  <w:style w:type="paragraph" w:customStyle="1" w:styleId="89">
    <w:name w:val="列出段落21"/>
    <w:basedOn w:val="1"/>
    <w:qFormat/>
    <w:uiPriority w:val="99"/>
    <w:pPr>
      <w:ind w:firstLine="420" w:firstLineChars="200"/>
    </w:pPr>
  </w:style>
  <w:style w:type="paragraph" w:customStyle="1" w:styleId="90">
    <w:name w:val="列出段落11"/>
    <w:basedOn w:val="1"/>
    <w:qFormat/>
    <w:uiPriority w:val="99"/>
    <w:pPr>
      <w:ind w:firstLine="420" w:firstLineChars="200"/>
    </w:pPr>
  </w:style>
  <w:style w:type="paragraph" w:customStyle="1" w:styleId="91">
    <w:name w:val="GW-正文"/>
    <w:basedOn w:val="1"/>
    <w:qFormat/>
    <w:uiPriority w:val="0"/>
    <w:pPr>
      <w:spacing w:line="360" w:lineRule="auto"/>
      <w:ind w:firstLine="200" w:firstLineChars="200"/>
    </w:pPr>
    <w:rPr>
      <w:rFonts w:eastAsia="仿宋_GB2312"/>
      <w:sz w:val="24"/>
    </w:rPr>
  </w:style>
  <w:style w:type="paragraph" w:styleId="92">
    <w:name w:val="List Paragraph"/>
    <w:basedOn w:val="1"/>
    <w:qFormat/>
    <w:uiPriority w:val="0"/>
    <w:pPr>
      <w:ind w:firstLine="420" w:firstLineChars="200"/>
    </w:pPr>
  </w:style>
  <w:style w:type="paragraph" w:customStyle="1" w:styleId="93">
    <w:name w:val="_Style 2"/>
    <w:basedOn w:val="1"/>
    <w:qFormat/>
    <w:uiPriority w:val="0"/>
    <w:pPr>
      <w:ind w:firstLine="420" w:firstLineChars="200"/>
    </w:pPr>
    <w:rPr>
      <w:rFonts w:ascii="Calibri"/>
    </w:rPr>
  </w:style>
  <w:style w:type="character" w:customStyle="1" w:styleId="94">
    <w:name w:val="18"/>
    <w:basedOn w:val="33"/>
    <w:qFormat/>
    <w:uiPriority w:val="0"/>
    <w:rPr>
      <w:rFonts w:hint="default" w:ascii="Calibri" w:hAnsi="Calibri" w:cs="Calibri"/>
      <w:i/>
    </w:rPr>
  </w:style>
  <w:style w:type="paragraph" w:customStyle="1" w:styleId="95">
    <w:name w:val="正文格式"/>
    <w:basedOn w:val="1"/>
    <w:qFormat/>
    <w:uiPriority w:val="0"/>
    <w:pPr>
      <w:adjustRightInd w:val="0"/>
      <w:snapToGrid w:val="0"/>
      <w:spacing w:before="78" w:beforeLines="25" w:line="360" w:lineRule="auto"/>
      <w:ind w:firstLine="480"/>
      <w:jc w:val="both"/>
      <w:textAlignment w:val="baseline"/>
    </w:pPr>
    <w:rPr>
      <w:color w:val="000000"/>
    </w:rPr>
  </w:style>
  <w:style w:type="paragraph" w:customStyle="1" w:styleId="96">
    <w:name w:val="WPSOffice手动目录 1"/>
    <w:qFormat/>
    <w:uiPriority w:val="0"/>
    <w:pPr>
      <w:ind w:leftChars="0"/>
    </w:pPr>
    <w:rPr>
      <w:rFonts w:ascii="Calibri" w:hAnsi="Calibri" w:eastAsia="宋体" w:cs="Times New Roman"/>
      <w:sz w:val="20"/>
      <w:szCs w:val="20"/>
    </w:rPr>
  </w:style>
  <w:style w:type="paragraph" w:customStyle="1" w:styleId="97">
    <w:name w:val="Table Paragraph"/>
    <w:basedOn w:val="1"/>
    <w:qFormat/>
    <w:uiPriority w:val="1"/>
    <w:rPr>
      <w:lang w:val="zh-CN" w:bidi="zh-CN"/>
    </w:rPr>
  </w:style>
  <w:style w:type="table" w:customStyle="1" w:styleId="98">
    <w:name w:val="Table Normal1"/>
    <w:qFormat/>
    <w:uiPriority w:val="2"/>
    <w:tblPr>
      <w:tblCellMar>
        <w:top w:w="0" w:type="dxa"/>
        <w:left w:w="0" w:type="dxa"/>
        <w:bottom w:w="0" w:type="dxa"/>
        <w:right w:w="0" w:type="dxa"/>
      </w:tblCellMar>
    </w:tblPr>
  </w:style>
  <w:style w:type="character" w:customStyle="1" w:styleId="99">
    <w:name w:val="NormalCharacter"/>
    <w:qFormat/>
    <w:uiPriority w:val="0"/>
  </w:style>
  <w:style w:type="paragraph" w:customStyle="1" w:styleId="100">
    <w:name w:val="正文12"/>
    <w:basedOn w:val="1"/>
    <w:qFormat/>
    <w:uiPriority w:val="0"/>
    <w:pPr>
      <w:spacing w:line="440" w:lineRule="exact"/>
      <w:ind w:firstLine="480" w:firstLineChars="200"/>
    </w:pPr>
    <w:rPr>
      <w:rFonts w:ascii="Times New Roman" w:hAnsi="Times New Roman" w:eastAsia="宋体" w:cs="Times New Roman"/>
      <w:sz w:val="24"/>
      <w:szCs w:val="24"/>
    </w:rPr>
  </w:style>
  <w:style w:type="paragraph" w:customStyle="1" w:styleId="101">
    <w:name w:val="Char Char Char"/>
    <w:basedOn w:val="1"/>
    <w:qFormat/>
    <w:uiPriority w:val="0"/>
    <w:rPr>
      <w:rFonts w:ascii="Tahoma" w:hAnsi="Tahoma"/>
      <w:szCs w:val="20"/>
    </w:rPr>
  </w:style>
  <w:style w:type="paragraph" w:customStyle="1" w:styleId="102">
    <w:name w:val="无间隔2"/>
    <w:basedOn w:val="1"/>
    <w:qFormat/>
    <w:uiPriority w:val="0"/>
    <w:rPr>
      <w:rFonts w:ascii="Calibri" w:hAnsi="Calibri"/>
      <w:szCs w:val="21"/>
    </w:rPr>
  </w:style>
  <w:style w:type="paragraph" w:customStyle="1" w:styleId="103">
    <w:name w:val="Body Text Indent"/>
    <w:basedOn w:val="1"/>
    <w:next w:val="1"/>
    <w:qFormat/>
    <w:uiPriority w:val="0"/>
    <w:pPr>
      <w:ind w:firstLine="630"/>
    </w:pPr>
    <w:rPr>
      <w:rFonts w:ascii="Times New Roman"/>
      <w:kern w:val="2"/>
      <w:sz w:val="32"/>
    </w:rPr>
  </w:style>
  <w:style w:type="character" w:customStyle="1" w:styleId="104">
    <w:name w:val="img"/>
    <w:basedOn w:val="33"/>
    <w:qFormat/>
    <w:uiPriority w:val="0"/>
  </w:style>
  <w:style w:type="character" w:customStyle="1" w:styleId="105">
    <w:name w:val="img1"/>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36682</Words>
  <Characters>38792</Characters>
  <Lines>284</Lines>
  <Paragraphs>80</Paragraphs>
  <TotalTime>18</TotalTime>
  <ScaleCrop>false</ScaleCrop>
  <LinksUpToDate>false</LinksUpToDate>
  <CharactersWithSpaces>40948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2018-04-08T03:51:00Z</dcterms:created>
  <dc:creator>Administrator</dc:creator>
  <cp:lastModifiedBy>南边来的公鸡</cp:lastModifiedBy>
  <cp:lastPrinted>2021-09-30T03:56:00Z</cp:lastPrinted>
  <dcterms:modified xsi:type="dcterms:W3CDTF">2021-10-09T01:15:06Z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0F15A74418024298823CEA1723D39132</vt:lpwstr>
  </property>
</Properties>
</file>