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30"/>
          <w:szCs w:val="30"/>
        </w:rPr>
      </w:pPr>
    </w:p>
    <w:p>
      <w:pPr>
        <w:pStyle w:val="44"/>
        <w:spacing w:line="360" w:lineRule="auto"/>
        <w:ind w:left="1807" w:hanging="1807" w:hangingChars="500"/>
        <w:jc w:val="both"/>
        <w:rPr>
          <w:rFonts w:hint="default" w:hAnsi="宋体"/>
          <w:b/>
          <w:bCs/>
          <w:color w:val="auto"/>
          <w:sz w:val="36"/>
          <w:szCs w:val="36"/>
          <w:highlight w:val="none"/>
          <w:lang w:val="en-US" w:eastAsia="zh-CN"/>
        </w:rPr>
      </w:pPr>
      <w:r>
        <w:rPr>
          <w:rFonts w:hint="eastAsia" w:hAnsi="宋体"/>
          <w:b/>
          <w:bCs/>
          <w:color w:val="auto"/>
          <w:sz w:val="36"/>
          <w:szCs w:val="36"/>
          <w:highlight w:val="none"/>
          <w:lang w:val="en-US" w:eastAsia="zh-CN"/>
        </w:rPr>
        <w:t>项目名称：</w:t>
      </w:r>
      <w:r>
        <w:rPr>
          <w:rFonts w:hint="eastAsia"/>
          <w:b/>
          <w:bCs/>
          <w:color w:val="auto"/>
          <w:sz w:val="36"/>
          <w:szCs w:val="36"/>
          <w:highlight w:val="none"/>
          <w:lang w:val="en-US" w:eastAsia="zh-CN"/>
        </w:rPr>
        <w:t>白头镇五星村治理及天府国际慢城旅游品牌提升项目-五星村民宿等新业态提升项目</w:t>
      </w:r>
    </w:p>
    <w:p>
      <w:pPr>
        <w:spacing w:line="360" w:lineRule="auto"/>
        <w:jc w:val="both"/>
        <w:rPr>
          <w:rFonts w:hint="eastAsia"/>
          <w:b/>
          <w:color w:val="auto"/>
          <w:sz w:val="36"/>
          <w:szCs w:val="36"/>
          <w:lang w:val="en-US" w:eastAsia="zh-CN"/>
        </w:rPr>
      </w:pPr>
      <w:r>
        <w:rPr>
          <w:rFonts w:hint="eastAsia"/>
          <w:b/>
          <w:color w:val="auto"/>
          <w:sz w:val="36"/>
          <w:szCs w:val="36"/>
          <w:lang w:val="en-US" w:eastAsia="zh-CN"/>
        </w:rPr>
        <w:t xml:space="preserve">项目编号：510184202100218 </w:t>
      </w:r>
    </w:p>
    <w:p>
      <w:pPr>
        <w:pStyle w:val="11"/>
        <w:rPr>
          <w:rFonts w:hint="eastAsia"/>
          <w:color w:val="auto"/>
          <w:lang w:val="en-US" w:eastAsia="zh-CN"/>
        </w:rPr>
      </w:pPr>
    </w:p>
    <w:p>
      <w:pPr>
        <w:rPr>
          <w:rFonts w:hint="eastAsia"/>
          <w:color w:val="auto"/>
          <w:lang w:val="en-US" w:eastAsia="zh-CN"/>
        </w:rPr>
      </w:pPr>
    </w:p>
    <w:p>
      <w:pPr>
        <w:pStyle w:val="11"/>
        <w:spacing w:line="360" w:lineRule="auto"/>
        <w:jc w:val="center"/>
        <w:rPr>
          <w:b/>
          <w:color w:val="auto"/>
          <w:sz w:val="56"/>
          <w:szCs w:val="56"/>
        </w:rPr>
      </w:pPr>
      <w:r>
        <w:rPr>
          <w:rFonts w:hint="eastAsia"/>
          <w:b/>
          <w:color w:val="auto"/>
          <w:sz w:val="56"/>
          <w:szCs w:val="56"/>
        </w:rPr>
        <w:t>竞</w:t>
      </w:r>
    </w:p>
    <w:p>
      <w:pPr>
        <w:pStyle w:val="11"/>
        <w:spacing w:line="360" w:lineRule="auto"/>
        <w:jc w:val="center"/>
        <w:rPr>
          <w:b/>
          <w:color w:val="auto"/>
          <w:sz w:val="56"/>
          <w:szCs w:val="56"/>
        </w:rPr>
      </w:pPr>
      <w:r>
        <w:rPr>
          <w:rFonts w:hint="eastAsia"/>
          <w:b/>
          <w:color w:val="auto"/>
          <w:sz w:val="56"/>
          <w:szCs w:val="56"/>
        </w:rPr>
        <w:t>争</w:t>
      </w:r>
    </w:p>
    <w:p>
      <w:pPr>
        <w:pStyle w:val="11"/>
        <w:spacing w:line="360" w:lineRule="auto"/>
        <w:jc w:val="center"/>
        <w:rPr>
          <w:b/>
          <w:color w:val="auto"/>
          <w:sz w:val="56"/>
          <w:szCs w:val="56"/>
        </w:rPr>
      </w:pPr>
      <w:r>
        <w:rPr>
          <w:rFonts w:hint="eastAsia"/>
          <w:b/>
          <w:color w:val="auto"/>
          <w:sz w:val="56"/>
          <w:szCs w:val="56"/>
        </w:rPr>
        <w:t>性</w:t>
      </w:r>
    </w:p>
    <w:p>
      <w:pPr>
        <w:pStyle w:val="11"/>
        <w:spacing w:line="360" w:lineRule="auto"/>
        <w:jc w:val="center"/>
        <w:rPr>
          <w:b/>
          <w:color w:val="auto"/>
          <w:sz w:val="56"/>
          <w:szCs w:val="56"/>
        </w:rPr>
      </w:pPr>
      <w:r>
        <w:rPr>
          <w:rFonts w:hint="eastAsia"/>
          <w:b/>
          <w:color w:val="auto"/>
          <w:sz w:val="56"/>
          <w:szCs w:val="56"/>
        </w:rPr>
        <w:t>磋</w:t>
      </w:r>
    </w:p>
    <w:p>
      <w:pPr>
        <w:pStyle w:val="11"/>
        <w:spacing w:line="360" w:lineRule="auto"/>
        <w:jc w:val="center"/>
        <w:rPr>
          <w:b/>
          <w:color w:val="auto"/>
          <w:sz w:val="56"/>
          <w:szCs w:val="56"/>
        </w:rPr>
      </w:pPr>
      <w:r>
        <w:rPr>
          <w:rFonts w:hint="eastAsia"/>
          <w:b/>
          <w:color w:val="auto"/>
          <w:sz w:val="56"/>
          <w:szCs w:val="56"/>
        </w:rPr>
        <w:t>商</w:t>
      </w:r>
    </w:p>
    <w:p>
      <w:pPr>
        <w:spacing w:line="360" w:lineRule="auto"/>
        <w:jc w:val="center"/>
        <w:rPr>
          <w:b/>
          <w:color w:val="auto"/>
          <w:sz w:val="32"/>
          <w:szCs w:val="32"/>
        </w:rPr>
      </w:pPr>
      <w:r>
        <w:rPr>
          <w:rFonts w:hint="eastAsia"/>
          <w:b/>
          <w:color w:val="auto"/>
          <w:sz w:val="32"/>
          <w:szCs w:val="32"/>
        </w:rPr>
        <w:t>中国·四川</w:t>
      </w:r>
    </w:p>
    <w:p>
      <w:pPr>
        <w:spacing w:line="360" w:lineRule="auto"/>
        <w:jc w:val="center"/>
        <w:rPr>
          <w:rFonts w:hint="eastAsia"/>
          <w:b/>
          <w:color w:val="auto"/>
          <w:sz w:val="30"/>
          <w:szCs w:val="30"/>
          <w:lang w:val="en-US" w:eastAsia="zh-CN"/>
        </w:rPr>
      </w:pPr>
      <w:r>
        <w:rPr>
          <w:rFonts w:hint="eastAsia"/>
          <w:b/>
          <w:color w:val="auto"/>
          <w:sz w:val="30"/>
          <w:szCs w:val="30"/>
          <w:lang w:val="en-US" w:eastAsia="zh-CN"/>
        </w:rPr>
        <w:t>崇州市白头镇人民政府</w:t>
      </w:r>
    </w:p>
    <w:p>
      <w:pPr>
        <w:spacing w:line="360" w:lineRule="auto"/>
        <w:jc w:val="center"/>
        <w:rPr>
          <w:rFonts w:hint="eastAsia" w:eastAsia="宋体"/>
          <w:b/>
          <w:color w:val="auto"/>
          <w:sz w:val="30"/>
          <w:szCs w:val="30"/>
          <w:lang w:eastAsia="zh-CN"/>
        </w:rPr>
      </w:pPr>
      <w:r>
        <w:rPr>
          <w:rFonts w:hint="eastAsia"/>
          <w:b/>
          <w:color w:val="auto"/>
          <w:sz w:val="30"/>
          <w:szCs w:val="30"/>
          <w:lang w:eastAsia="zh-CN"/>
        </w:rPr>
        <w:t>四川映池工程管理有限责任公司</w:t>
      </w:r>
    </w:p>
    <w:p>
      <w:pPr>
        <w:spacing w:line="360" w:lineRule="auto"/>
        <w:jc w:val="center"/>
        <w:rPr>
          <w:b/>
          <w:color w:val="auto"/>
          <w:sz w:val="32"/>
          <w:szCs w:val="32"/>
        </w:rPr>
      </w:pPr>
      <w:r>
        <w:rPr>
          <w:rFonts w:hint="eastAsia"/>
          <w:b/>
          <w:color w:val="auto"/>
          <w:sz w:val="32"/>
          <w:szCs w:val="32"/>
        </w:rPr>
        <w:t>共同编制</w:t>
      </w:r>
    </w:p>
    <w:p>
      <w:pPr>
        <w:spacing w:line="360" w:lineRule="auto"/>
        <w:jc w:val="center"/>
        <w:rPr>
          <w:b/>
          <w:bCs/>
          <w:color w:val="FF0000"/>
          <w:sz w:val="32"/>
          <w:szCs w:val="32"/>
          <w:lang w:val="zh-CN"/>
        </w:rPr>
      </w:pPr>
      <w:r>
        <w:rPr>
          <w:rFonts w:hint="eastAsia"/>
          <w:b/>
          <w:color w:val="auto"/>
          <w:sz w:val="30"/>
          <w:szCs w:val="30"/>
          <w:lang w:val="en-US" w:eastAsia="zh-CN"/>
        </w:rPr>
        <w:t>2021</w:t>
      </w:r>
      <w:r>
        <w:rPr>
          <w:b/>
          <w:bCs/>
          <w:color w:val="auto"/>
          <w:sz w:val="32"/>
          <w:szCs w:val="32"/>
          <w:lang w:val="zh-CN"/>
        </w:rPr>
        <w:t>年</w:t>
      </w:r>
      <w:r>
        <w:rPr>
          <w:rFonts w:hint="eastAsia"/>
          <w:b/>
          <w:color w:val="auto"/>
          <w:sz w:val="30"/>
          <w:szCs w:val="30"/>
          <w:lang w:val="en-US" w:eastAsia="zh-CN"/>
        </w:rPr>
        <w:t>12</w:t>
      </w:r>
      <w:r>
        <w:rPr>
          <w:b/>
          <w:bCs/>
          <w:color w:val="auto"/>
          <w:sz w:val="32"/>
          <w:szCs w:val="32"/>
          <w:lang w:val="zh-CN"/>
        </w:rPr>
        <w:t>月</w:t>
      </w:r>
    </w:p>
    <w:p>
      <w:pPr>
        <w:pStyle w:val="93"/>
        <w:jc w:val="center"/>
        <w:rPr>
          <w:color w:val="auto"/>
          <w:sz w:val="48"/>
          <w:szCs w:val="48"/>
          <w:lang w:val="zh-CN"/>
        </w:rPr>
        <w:sectPr>
          <w:headerReference r:id="rId3" w:type="first"/>
          <w:footerReference r:id="rId5" w:type="first"/>
          <w:footerReference r:id="rId4" w:type="default"/>
          <w:pgSz w:w="11907" w:h="16840"/>
          <w:pgMar w:top="1440" w:right="1740" w:bottom="1440" w:left="1740" w:header="851" w:footer="992" w:gutter="0"/>
          <w:pgBorders>
            <w:top w:val="none" w:sz="0" w:space="0"/>
            <w:left w:val="none" w:sz="0" w:space="0"/>
            <w:bottom w:val="none" w:sz="0" w:space="0"/>
            <w:right w:val="none" w:sz="0" w:space="0"/>
          </w:pgBorders>
          <w:pgNumType w:fmt="numberInDash" w:start="1"/>
          <w:cols w:space="425" w:num="1"/>
          <w:titlePg/>
          <w:docGrid w:linePitch="312" w:charSpace="0"/>
        </w:sectPr>
      </w:pPr>
    </w:p>
    <w:sdt>
      <w:sdtPr>
        <w:rPr>
          <w:rFonts w:ascii="宋体" w:hAnsi="宋体" w:eastAsia="宋体" w:cs="Times New Roman"/>
          <w:sz w:val="40"/>
          <w:szCs w:val="36"/>
          <w:lang w:val="en-US" w:eastAsia="zh-CN" w:bidi="ar-SA"/>
        </w:rPr>
        <w:id w:val="147465564"/>
        <w15:color w:val="DBDBDB"/>
        <w:docPartObj>
          <w:docPartGallery w:val="Table of Contents"/>
          <w:docPartUnique/>
        </w:docPartObj>
      </w:sdtPr>
      <w:sdtEndPr>
        <w:rPr>
          <w:rFonts w:ascii="宋体" w:hAnsi="Times New Roman" w:eastAsia="宋体" w:cs="Times New Roman"/>
          <w:color w:val="auto"/>
          <w:sz w:val="34"/>
          <w:szCs w:val="36"/>
          <w:lang w:val="en-US" w:eastAsia="zh-CN" w:bidi="ar-SA"/>
        </w:rPr>
      </w:sdtEndPr>
      <w:sdtContent>
        <w:p>
          <w:pPr>
            <w:spacing w:before="0" w:beforeLines="0" w:after="0" w:afterLines="0" w:line="240" w:lineRule="auto"/>
            <w:ind w:left="0" w:leftChars="0" w:right="0" w:rightChars="0" w:firstLine="0" w:firstLineChars="0"/>
            <w:jc w:val="center"/>
            <w:rPr>
              <w:sz w:val="56"/>
              <w:szCs w:val="36"/>
            </w:rPr>
          </w:pPr>
          <w:r>
            <w:rPr>
              <w:rFonts w:ascii="宋体" w:hAnsi="宋体" w:eastAsia="宋体"/>
              <w:sz w:val="40"/>
              <w:szCs w:val="36"/>
            </w:rPr>
            <w:t>目录</w:t>
          </w:r>
        </w:p>
        <w:p>
          <w:pPr>
            <w:pStyle w:val="100"/>
            <w:tabs>
              <w:tab w:val="right" w:leader="dot" w:pos="8427"/>
            </w:tabs>
            <w:rPr>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sz w:val="28"/>
              <w:szCs w:val="28"/>
            </w:rPr>
            <w:fldChar w:fldCharType="begin"/>
          </w:r>
          <w:r>
            <w:rPr>
              <w:sz w:val="28"/>
              <w:szCs w:val="28"/>
            </w:rPr>
            <w:instrText xml:space="preserve"> HYPERLINK \l _Toc13218 </w:instrText>
          </w:r>
          <w:r>
            <w:rPr>
              <w:sz w:val="28"/>
              <w:szCs w:val="28"/>
            </w:rPr>
            <w:fldChar w:fldCharType="separate"/>
          </w:r>
          <w:r>
            <w:rPr>
              <w:rFonts w:hint="eastAsia"/>
              <w:sz w:val="28"/>
              <w:szCs w:val="28"/>
            </w:rPr>
            <w:t>第一章  磋商邀请</w:t>
          </w:r>
          <w:r>
            <w:rPr>
              <w:sz w:val="28"/>
              <w:szCs w:val="28"/>
            </w:rPr>
            <w:tab/>
          </w:r>
          <w:r>
            <w:rPr>
              <w:sz w:val="28"/>
              <w:szCs w:val="28"/>
            </w:rPr>
            <w:fldChar w:fldCharType="begin"/>
          </w:r>
          <w:r>
            <w:rPr>
              <w:sz w:val="28"/>
              <w:szCs w:val="28"/>
            </w:rPr>
            <w:instrText xml:space="preserve"> PAGEREF _Toc13218 </w:instrText>
          </w:r>
          <w:r>
            <w:rPr>
              <w:sz w:val="28"/>
              <w:szCs w:val="28"/>
            </w:rPr>
            <w:fldChar w:fldCharType="separate"/>
          </w:r>
          <w:r>
            <w:rPr>
              <w:sz w:val="28"/>
              <w:szCs w:val="28"/>
            </w:rPr>
            <w:t>1</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_Toc739 </w:instrText>
          </w:r>
          <w:r>
            <w:rPr>
              <w:sz w:val="28"/>
              <w:szCs w:val="28"/>
            </w:rPr>
            <w:fldChar w:fldCharType="separate"/>
          </w:r>
          <w:r>
            <w:rPr>
              <w:rFonts w:hint="eastAsia"/>
              <w:sz w:val="28"/>
              <w:szCs w:val="52"/>
            </w:rPr>
            <w:t>第二章  磋商须知</w:t>
          </w:r>
          <w:r>
            <w:rPr>
              <w:sz w:val="28"/>
              <w:szCs w:val="28"/>
            </w:rPr>
            <w:tab/>
          </w:r>
          <w:r>
            <w:rPr>
              <w:sz w:val="28"/>
              <w:szCs w:val="28"/>
            </w:rPr>
            <w:fldChar w:fldCharType="begin"/>
          </w:r>
          <w:r>
            <w:rPr>
              <w:sz w:val="28"/>
              <w:szCs w:val="28"/>
            </w:rPr>
            <w:instrText xml:space="preserve"> PAGEREF _Toc739 </w:instrText>
          </w:r>
          <w:r>
            <w:rPr>
              <w:sz w:val="28"/>
              <w:szCs w:val="28"/>
            </w:rPr>
            <w:fldChar w:fldCharType="separate"/>
          </w:r>
          <w:r>
            <w:rPr>
              <w:sz w:val="28"/>
              <w:szCs w:val="28"/>
            </w:rPr>
            <w:t>6</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_Toc32448 </w:instrText>
          </w:r>
          <w:r>
            <w:rPr>
              <w:sz w:val="28"/>
              <w:szCs w:val="28"/>
            </w:rPr>
            <w:fldChar w:fldCharType="separate"/>
          </w:r>
          <w:r>
            <w:rPr>
              <w:rFonts w:hint="eastAsia"/>
              <w:sz w:val="28"/>
              <w:szCs w:val="28"/>
            </w:rPr>
            <w:t>第三章  供应商资格条件要求</w:t>
          </w:r>
          <w:r>
            <w:rPr>
              <w:sz w:val="28"/>
              <w:szCs w:val="28"/>
            </w:rPr>
            <w:tab/>
          </w:r>
          <w:r>
            <w:rPr>
              <w:sz w:val="28"/>
              <w:szCs w:val="28"/>
            </w:rPr>
            <w:fldChar w:fldCharType="begin"/>
          </w:r>
          <w:r>
            <w:rPr>
              <w:sz w:val="28"/>
              <w:szCs w:val="28"/>
            </w:rPr>
            <w:instrText xml:space="preserve"> PAGEREF _Toc32448 </w:instrText>
          </w:r>
          <w:r>
            <w:rPr>
              <w:sz w:val="28"/>
              <w:szCs w:val="28"/>
            </w:rPr>
            <w:fldChar w:fldCharType="separate"/>
          </w:r>
          <w:r>
            <w:rPr>
              <w:sz w:val="28"/>
              <w:szCs w:val="28"/>
            </w:rPr>
            <w:t>23</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_Toc12669 </w:instrText>
          </w:r>
          <w:r>
            <w:rPr>
              <w:sz w:val="28"/>
              <w:szCs w:val="28"/>
            </w:rPr>
            <w:fldChar w:fldCharType="separate"/>
          </w:r>
          <w:r>
            <w:rPr>
              <w:rFonts w:hint="eastAsia"/>
              <w:sz w:val="28"/>
              <w:szCs w:val="28"/>
            </w:rPr>
            <w:t>第四章  供应商资格证明材料</w:t>
          </w:r>
          <w:r>
            <w:rPr>
              <w:sz w:val="28"/>
              <w:szCs w:val="28"/>
            </w:rPr>
            <w:tab/>
          </w:r>
          <w:r>
            <w:rPr>
              <w:sz w:val="28"/>
              <w:szCs w:val="28"/>
            </w:rPr>
            <w:fldChar w:fldCharType="begin"/>
          </w:r>
          <w:r>
            <w:rPr>
              <w:sz w:val="28"/>
              <w:szCs w:val="28"/>
            </w:rPr>
            <w:instrText xml:space="preserve"> PAGEREF _Toc12669 </w:instrText>
          </w:r>
          <w:r>
            <w:rPr>
              <w:sz w:val="28"/>
              <w:szCs w:val="28"/>
            </w:rPr>
            <w:fldChar w:fldCharType="separate"/>
          </w:r>
          <w:r>
            <w:rPr>
              <w:sz w:val="28"/>
              <w:szCs w:val="28"/>
            </w:rPr>
            <w:t>24</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_Toc15547 </w:instrText>
          </w:r>
          <w:r>
            <w:rPr>
              <w:sz w:val="28"/>
              <w:szCs w:val="28"/>
            </w:rPr>
            <w:fldChar w:fldCharType="separate"/>
          </w:r>
          <w:r>
            <w:rPr>
              <w:rFonts w:hint="eastAsia"/>
              <w:sz w:val="28"/>
              <w:szCs w:val="52"/>
            </w:rPr>
            <w:t>第五章 采购项目技术、服务及其他商务要求</w:t>
          </w:r>
          <w:r>
            <w:rPr>
              <w:sz w:val="28"/>
              <w:szCs w:val="28"/>
            </w:rPr>
            <w:tab/>
          </w:r>
          <w:r>
            <w:rPr>
              <w:sz w:val="28"/>
              <w:szCs w:val="28"/>
            </w:rPr>
            <w:fldChar w:fldCharType="begin"/>
          </w:r>
          <w:r>
            <w:rPr>
              <w:sz w:val="28"/>
              <w:szCs w:val="28"/>
            </w:rPr>
            <w:instrText xml:space="preserve"> PAGEREF _Toc15547 </w:instrText>
          </w:r>
          <w:r>
            <w:rPr>
              <w:sz w:val="28"/>
              <w:szCs w:val="28"/>
            </w:rPr>
            <w:fldChar w:fldCharType="separate"/>
          </w:r>
          <w:r>
            <w:rPr>
              <w:sz w:val="28"/>
              <w:szCs w:val="28"/>
            </w:rPr>
            <w:t>26</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_Toc11595 </w:instrText>
          </w:r>
          <w:r>
            <w:rPr>
              <w:sz w:val="28"/>
              <w:szCs w:val="28"/>
            </w:rPr>
            <w:fldChar w:fldCharType="separate"/>
          </w:r>
          <w:r>
            <w:rPr>
              <w:rFonts w:hint="eastAsia"/>
              <w:sz w:val="28"/>
              <w:szCs w:val="28"/>
            </w:rPr>
            <w:t>第六章  响应文件格式</w:t>
          </w:r>
          <w:r>
            <w:rPr>
              <w:sz w:val="28"/>
              <w:szCs w:val="28"/>
            </w:rPr>
            <w:tab/>
          </w:r>
          <w:r>
            <w:rPr>
              <w:sz w:val="28"/>
              <w:szCs w:val="28"/>
            </w:rPr>
            <w:fldChar w:fldCharType="begin"/>
          </w:r>
          <w:r>
            <w:rPr>
              <w:sz w:val="28"/>
              <w:szCs w:val="28"/>
            </w:rPr>
            <w:instrText xml:space="preserve"> PAGEREF _Toc11595 </w:instrText>
          </w:r>
          <w:r>
            <w:rPr>
              <w:sz w:val="28"/>
              <w:szCs w:val="28"/>
            </w:rPr>
            <w:fldChar w:fldCharType="separate"/>
          </w:r>
          <w:r>
            <w:rPr>
              <w:sz w:val="28"/>
              <w:szCs w:val="28"/>
            </w:rPr>
            <w:t>49</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_Toc28336 </w:instrText>
          </w:r>
          <w:r>
            <w:rPr>
              <w:sz w:val="28"/>
              <w:szCs w:val="28"/>
            </w:rPr>
            <w:fldChar w:fldCharType="separate"/>
          </w:r>
          <w:r>
            <w:rPr>
              <w:rFonts w:hint="eastAsia"/>
              <w:sz w:val="28"/>
              <w:szCs w:val="28"/>
            </w:rPr>
            <w:t>第七章  评审方法</w:t>
          </w:r>
          <w:r>
            <w:rPr>
              <w:sz w:val="28"/>
              <w:szCs w:val="28"/>
            </w:rPr>
            <w:tab/>
          </w:r>
          <w:r>
            <w:rPr>
              <w:sz w:val="28"/>
              <w:szCs w:val="28"/>
            </w:rPr>
            <w:fldChar w:fldCharType="begin"/>
          </w:r>
          <w:r>
            <w:rPr>
              <w:sz w:val="28"/>
              <w:szCs w:val="28"/>
            </w:rPr>
            <w:instrText xml:space="preserve"> PAGEREF _Toc28336 </w:instrText>
          </w:r>
          <w:r>
            <w:rPr>
              <w:sz w:val="28"/>
              <w:szCs w:val="28"/>
            </w:rPr>
            <w:fldChar w:fldCharType="separate"/>
          </w:r>
          <w:r>
            <w:rPr>
              <w:sz w:val="28"/>
              <w:szCs w:val="28"/>
            </w:rPr>
            <w:t>69</w:t>
          </w:r>
          <w:r>
            <w:rPr>
              <w:sz w:val="28"/>
              <w:szCs w:val="28"/>
            </w:rPr>
            <w:fldChar w:fldCharType="end"/>
          </w:r>
          <w:r>
            <w:rPr>
              <w:color w:val="auto"/>
              <w:sz w:val="28"/>
              <w:szCs w:val="28"/>
            </w:rPr>
            <w:fldChar w:fldCharType="end"/>
          </w:r>
        </w:p>
        <w:p>
          <w:pPr>
            <w:pStyle w:val="100"/>
            <w:tabs>
              <w:tab w:val="right" w:leader="dot" w:pos="8427"/>
            </w:tabs>
            <w:rPr>
              <w:sz w:val="28"/>
              <w:szCs w:val="28"/>
            </w:rPr>
          </w:pPr>
          <w:r>
            <w:rPr>
              <w:color w:val="auto"/>
              <w:sz w:val="28"/>
              <w:szCs w:val="28"/>
            </w:rPr>
            <w:fldChar w:fldCharType="begin"/>
          </w:r>
          <w:r>
            <w:rPr>
              <w:sz w:val="28"/>
              <w:szCs w:val="28"/>
            </w:rPr>
            <w:instrText xml:space="preserve"> HYPERLINK \l _Toc21368 </w:instrText>
          </w:r>
          <w:r>
            <w:rPr>
              <w:sz w:val="28"/>
              <w:szCs w:val="28"/>
            </w:rPr>
            <w:fldChar w:fldCharType="separate"/>
          </w:r>
          <w:r>
            <w:rPr>
              <w:rFonts w:hint="eastAsia"/>
              <w:sz w:val="28"/>
              <w:szCs w:val="28"/>
            </w:rPr>
            <w:t>第八章  政府采购合同（草案）</w:t>
          </w:r>
          <w:r>
            <w:rPr>
              <w:sz w:val="28"/>
              <w:szCs w:val="28"/>
            </w:rPr>
            <w:tab/>
          </w:r>
          <w:r>
            <w:rPr>
              <w:sz w:val="28"/>
              <w:szCs w:val="28"/>
            </w:rPr>
            <w:fldChar w:fldCharType="begin"/>
          </w:r>
          <w:r>
            <w:rPr>
              <w:sz w:val="28"/>
              <w:szCs w:val="28"/>
            </w:rPr>
            <w:instrText xml:space="preserve"> PAGEREF _Toc21368 </w:instrText>
          </w:r>
          <w:r>
            <w:rPr>
              <w:sz w:val="28"/>
              <w:szCs w:val="28"/>
            </w:rPr>
            <w:fldChar w:fldCharType="separate"/>
          </w:r>
          <w:r>
            <w:rPr>
              <w:sz w:val="28"/>
              <w:szCs w:val="28"/>
            </w:rPr>
            <w:t>79</w:t>
          </w:r>
          <w:r>
            <w:rPr>
              <w:sz w:val="28"/>
              <w:szCs w:val="28"/>
            </w:rPr>
            <w:fldChar w:fldCharType="end"/>
          </w:r>
          <w:r>
            <w:rPr>
              <w:color w:val="auto"/>
              <w:sz w:val="28"/>
              <w:szCs w:val="28"/>
            </w:rPr>
            <w:fldChar w:fldCharType="end"/>
          </w:r>
        </w:p>
        <w:p>
          <w:pPr>
            <w:rPr>
              <w:color w:val="auto"/>
            </w:rPr>
          </w:pPr>
          <w:r>
            <w:rPr>
              <w:color w:val="auto"/>
              <w:sz w:val="48"/>
              <w:szCs w:val="28"/>
            </w:rPr>
            <w:fldChar w:fldCharType="end"/>
          </w:r>
        </w:p>
      </w:sdtContent>
    </w:sdt>
    <w:p>
      <w:pPr>
        <w:pStyle w:val="4"/>
        <w:keepNext w:val="0"/>
        <w:keepLines w:val="0"/>
        <w:spacing w:line="360" w:lineRule="exact"/>
        <w:jc w:val="center"/>
        <w:outlineLvl w:val="9"/>
        <w:rPr>
          <w:rFonts w:ascii="宋体"/>
          <w:bCs w:val="0"/>
          <w:color w:val="auto"/>
          <w:sz w:val="36"/>
        </w:rPr>
      </w:pPr>
    </w:p>
    <w:p>
      <w:pPr>
        <w:rPr>
          <w:color w:val="auto"/>
        </w:rPr>
        <w:sectPr>
          <w:footerReference r:id="rId7" w:type="first"/>
          <w:footerReference r:id="rId6" w:type="default"/>
          <w:pgSz w:w="11907" w:h="16840"/>
          <w:pgMar w:top="1440" w:right="1740" w:bottom="1440" w:left="1740"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pPr>
        <w:pStyle w:val="3"/>
        <w:spacing w:line="360" w:lineRule="auto"/>
        <w:jc w:val="center"/>
        <w:rPr>
          <w:color w:val="auto"/>
        </w:rPr>
      </w:pPr>
      <w:bookmarkStart w:id="0" w:name="_Toc13218"/>
      <w:bookmarkStart w:id="1" w:name="_Toc531718368"/>
      <w:bookmarkStart w:id="2" w:name="_Toc514154116"/>
      <w:bookmarkStart w:id="3" w:name="_Toc532395205"/>
      <w:r>
        <w:rPr>
          <w:rFonts w:hint="eastAsia"/>
          <w:color w:val="auto"/>
        </w:rPr>
        <w:t>第一章  磋商邀请</w:t>
      </w:r>
      <w:bookmarkEnd w:id="0"/>
      <w:bookmarkEnd w:id="1"/>
      <w:bookmarkEnd w:id="2"/>
      <w:bookmarkEnd w:id="3"/>
    </w:p>
    <w:p>
      <w:pPr>
        <w:spacing w:line="440" w:lineRule="exact"/>
        <w:ind w:firstLine="720" w:firstLineChars="300"/>
        <w:jc w:val="left"/>
        <w:rPr>
          <w:rFonts w:ascii="宋体" w:hAnsi="宋体"/>
          <w:color w:val="auto"/>
          <w:sz w:val="24"/>
          <w:szCs w:val="28"/>
        </w:rPr>
      </w:pPr>
      <w:r>
        <w:rPr>
          <w:rFonts w:hint="eastAsia"/>
          <w:color w:val="auto"/>
          <w:sz w:val="24"/>
          <w:u w:val="single"/>
          <w:lang w:eastAsia="zh-CN"/>
        </w:rPr>
        <w:t>四川映池工程管理有限责任公司</w:t>
      </w:r>
      <w:r>
        <w:rPr>
          <w:rFonts w:hint="eastAsia" w:ascii="宋体" w:hAnsi="宋体"/>
          <w:color w:val="auto"/>
          <w:sz w:val="24"/>
        </w:rPr>
        <w:t>（采购代理机构）受</w:t>
      </w:r>
      <w:r>
        <w:rPr>
          <w:rFonts w:hint="eastAsia" w:hAnsi="宋体"/>
          <w:color w:val="auto"/>
          <w:sz w:val="24"/>
          <w:u w:val="single"/>
          <w:lang w:val="en-US" w:eastAsia="zh-CN"/>
        </w:rPr>
        <w:t xml:space="preserve"> </w:t>
      </w:r>
      <w:r>
        <w:rPr>
          <w:rFonts w:hint="eastAsia" w:hAnsi="宋体" w:cs="宋体"/>
          <w:color w:val="auto"/>
          <w:sz w:val="24"/>
          <w:highlight w:val="none"/>
          <w:u w:val="single"/>
          <w:lang w:val="en-US" w:eastAsia="zh-CN"/>
        </w:rPr>
        <w:t>崇州市白头镇人民政府</w:t>
      </w:r>
      <w:r>
        <w:rPr>
          <w:rFonts w:hint="eastAsia"/>
          <w:color w:val="auto"/>
          <w:sz w:val="24"/>
          <w:szCs w:val="22"/>
          <w:u w:val="single"/>
          <w:lang w:val="en-US" w:eastAsia="zh-CN"/>
        </w:rPr>
        <w:t xml:space="preserve"> </w:t>
      </w:r>
      <w:r>
        <w:rPr>
          <w:rFonts w:hint="eastAsia" w:ascii="宋体" w:hAnsi="宋体"/>
          <w:bCs/>
          <w:color w:val="auto"/>
          <w:sz w:val="24"/>
          <w:u w:val="none"/>
        </w:rPr>
        <w:t>（</w:t>
      </w:r>
      <w:r>
        <w:rPr>
          <w:rFonts w:hint="eastAsia" w:ascii="宋体" w:hAnsi="宋体"/>
          <w:bCs/>
          <w:color w:val="auto"/>
          <w:sz w:val="24"/>
        </w:rPr>
        <w:t>采购人）</w:t>
      </w:r>
      <w:r>
        <w:rPr>
          <w:rFonts w:hint="eastAsia" w:ascii="宋体" w:hAnsi="宋体"/>
          <w:color w:val="auto"/>
          <w:sz w:val="24"/>
        </w:rPr>
        <w:t>委托，拟对</w:t>
      </w:r>
      <w:r>
        <w:rPr>
          <w:rFonts w:hint="eastAsia" w:hAnsi="宋体" w:cs="宋体"/>
          <w:color w:val="auto"/>
          <w:sz w:val="24"/>
          <w:highlight w:val="none"/>
          <w:u w:val="single"/>
          <w:lang w:val="en-US" w:eastAsia="zh-CN"/>
        </w:rPr>
        <w:t>白头镇五星村治理及天府国际慢城旅游品牌提升项目-五星村民宿等新业态提升项目</w:t>
      </w:r>
      <w:r>
        <w:rPr>
          <w:rFonts w:hint="eastAsia" w:ascii="宋体" w:hAnsi="宋体"/>
          <w:color w:val="auto"/>
          <w:sz w:val="24"/>
          <w:szCs w:val="32"/>
        </w:rPr>
        <w:t>采用竞争性磋商方式</w:t>
      </w:r>
      <w:r>
        <w:rPr>
          <w:rFonts w:hint="eastAsia" w:ascii="宋体" w:hAnsi="宋体"/>
          <w:color w:val="auto"/>
          <w:sz w:val="24"/>
        </w:rPr>
        <w:t>进行采购，特</w:t>
      </w:r>
      <w:r>
        <w:rPr>
          <w:rFonts w:hint="eastAsia" w:ascii="宋体" w:hAnsi="宋体"/>
          <w:color w:val="auto"/>
          <w:sz w:val="24"/>
          <w:szCs w:val="28"/>
        </w:rPr>
        <w:t>邀请符合本次采购要求的供应商参加</w:t>
      </w:r>
      <w:r>
        <w:rPr>
          <w:rFonts w:hint="eastAsia" w:ascii="宋体" w:hAnsi="宋体"/>
          <w:color w:val="auto"/>
          <w:sz w:val="24"/>
        </w:rPr>
        <w:t>本项目的竞争性磋商</w:t>
      </w:r>
      <w:r>
        <w:rPr>
          <w:rFonts w:hint="eastAsia" w:ascii="宋体" w:hAnsi="宋体"/>
          <w:color w:val="auto"/>
          <w:sz w:val="24"/>
          <w:szCs w:val="28"/>
        </w:rPr>
        <w:t>。</w:t>
      </w:r>
    </w:p>
    <w:p>
      <w:pPr>
        <w:spacing w:after="120" w:line="440" w:lineRule="exact"/>
        <w:ind w:firstLine="482" w:firstLineChars="200"/>
        <w:rPr>
          <w:rFonts w:hint="eastAsia" w:ascii="宋体" w:hAnsi="宋体" w:eastAsia="宋体"/>
          <w:b/>
          <w:bCs/>
          <w:color w:val="auto"/>
          <w:sz w:val="24"/>
          <w:szCs w:val="22"/>
          <w:lang w:eastAsia="zh-CN"/>
        </w:rPr>
      </w:pPr>
      <w:r>
        <w:rPr>
          <w:rFonts w:hint="eastAsia" w:ascii="宋体" w:hAnsi="宋体"/>
          <w:b/>
          <w:bCs/>
          <w:color w:val="auto"/>
          <w:sz w:val="24"/>
          <w:szCs w:val="22"/>
          <w:lang w:val="en-US" w:eastAsia="zh-CN"/>
        </w:rPr>
        <w:t>一、</w:t>
      </w:r>
      <w:r>
        <w:rPr>
          <w:rFonts w:hint="eastAsia" w:ascii="宋体" w:hAnsi="宋体"/>
          <w:b/>
          <w:bCs/>
          <w:color w:val="auto"/>
          <w:sz w:val="24"/>
          <w:szCs w:val="22"/>
        </w:rPr>
        <w:t>项目编号</w:t>
      </w:r>
      <w:r>
        <w:rPr>
          <w:rFonts w:hint="eastAsia" w:hAnsi="宋体"/>
          <w:b/>
          <w:bCs/>
          <w:color w:val="auto"/>
          <w:sz w:val="24"/>
          <w:szCs w:val="22"/>
          <w:lang w:eastAsia="zh-CN"/>
        </w:rPr>
        <w:t>：510184202100218</w:t>
      </w:r>
      <w:r>
        <w:rPr>
          <w:rFonts w:hint="eastAsia" w:hAnsi="宋体"/>
          <w:b/>
          <w:bCs/>
          <w:color w:val="auto"/>
          <w:sz w:val="24"/>
          <w:szCs w:val="22"/>
          <w:lang w:val="en-US" w:eastAsia="zh-CN"/>
        </w:rPr>
        <w:t xml:space="preserve">  </w:t>
      </w:r>
    </w:p>
    <w:p>
      <w:pPr>
        <w:spacing w:after="120" w:line="440" w:lineRule="exact"/>
        <w:ind w:firstLine="482" w:firstLineChars="200"/>
        <w:rPr>
          <w:rFonts w:hint="eastAsia" w:ascii="宋体" w:hAnsi="宋体"/>
          <w:b/>
          <w:bCs/>
          <w:color w:val="auto"/>
          <w:sz w:val="24"/>
          <w:szCs w:val="22"/>
          <w:lang w:val="en-US" w:eastAsia="zh-CN"/>
        </w:rPr>
      </w:pPr>
      <w:r>
        <w:rPr>
          <w:rFonts w:hint="eastAsia" w:ascii="宋体" w:hAnsi="宋体"/>
          <w:b/>
          <w:bCs/>
          <w:color w:val="auto"/>
          <w:sz w:val="24"/>
          <w:szCs w:val="22"/>
          <w:lang w:val="en-US" w:eastAsia="zh-CN"/>
        </w:rPr>
        <w:t>二、</w:t>
      </w:r>
      <w:r>
        <w:rPr>
          <w:rFonts w:hint="eastAsia" w:ascii="宋体" w:hAnsi="宋体"/>
          <w:b/>
          <w:bCs/>
          <w:color w:val="auto"/>
          <w:sz w:val="24"/>
          <w:szCs w:val="22"/>
        </w:rPr>
        <w:t>项目名称：</w:t>
      </w:r>
      <w:r>
        <w:rPr>
          <w:rFonts w:hint="eastAsia" w:hAnsi="宋体"/>
          <w:b/>
          <w:bCs/>
          <w:color w:val="auto"/>
          <w:sz w:val="24"/>
          <w:szCs w:val="22"/>
          <w:lang w:val="en-US" w:eastAsia="zh-CN"/>
        </w:rPr>
        <w:t>白头镇五星村治理及天府国际慢城旅游品牌提升项目-五星村民宿等新业态提升项目</w:t>
      </w:r>
    </w:p>
    <w:p>
      <w:pPr>
        <w:spacing w:after="120" w:line="440" w:lineRule="exact"/>
        <w:ind w:firstLine="482" w:firstLineChars="200"/>
        <w:rPr>
          <w:rFonts w:hint="eastAsia" w:ascii="宋体" w:hAnsi="宋体"/>
          <w:b/>
          <w:bCs/>
          <w:color w:val="auto"/>
          <w:sz w:val="24"/>
          <w:szCs w:val="22"/>
          <w:lang w:val="en-US" w:eastAsia="zh-CN"/>
        </w:rPr>
      </w:pPr>
      <w:r>
        <w:rPr>
          <w:rFonts w:hint="eastAsia" w:hAnsi="宋体"/>
          <w:b/>
          <w:bCs/>
          <w:color w:val="auto"/>
          <w:sz w:val="24"/>
          <w:szCs w:val="22"/>
          <w:lang w:val="en-US" w:eastAsia="zh-CN"/>
        </w:rPr>
        <w:t>三</w:t>
      </w:r>
      <w:r>
        <w:rPr>
          <w:rFonts w:hint="eastAsia" w:ascii="宋体" w:hAnsi="宋体"/>
          <w:b/>
          <w:bCs/>
          <w:color w:val="auto"/>
          <w:sz w:val="24"/>
          <w:szCs w:val="22"/>
        </w:rPr>
        <w:t>、资金来源及金额：财政性资金</w:t>
      </w:r>
      <w:r>
        <w:rPr>
          <w:rFonts w:hint="eastAsia" w:hAnsi="宋体"/>
          <w:b/>
          <w:bCs/>
          <w:color w:val="auto"/>
          <w:sz w:val="24"/>
          <w:szCs w:val="22"/>
          <w:lang w:val="en-US" w:eastAsia="zh-CN"/>
        </w:rPr>
        <w:t>150</w:t>
      </w:r>
      <w:r>
        <w:rPr>
          <w:rFonts w:hint="eastAsia" w:ascii="宋体" w:hAnsi="宋体"/>
          <w:b/>
          <w:bCs/>
          <w:color w:val="auto"/>
          <w:sz w:val="24"/>
          <w:szCs w:val="22"/>
        </w:rPr>
        <w:t>万元</w:t>
      </w:r>
      <w:r>
        <w:rPr>
          <w:rFonts w:hint="eastAsia" w:ascii="宋体" w:hAnsi="宋体"/>
          <w:b/>
          <w:bCs/>
          <w:color w:val="auto"/>
          <w:sz w:val="24"/>
          <w:szCs w:val="22"/>
          <w:lang w:eastAsia="zh-CN"/>
        </w:rPr>
        <w:t>。</w:t>
      </w:r>
    </w:p>
    <w:p>
      <w:pPr>
        <w:spacing w:after="120" w:line="440" w:lineRule="exact"/>
        <w:ind w:firstLine="482" w:firstLineChars="200"/>
        <w:rPr>
          <w:rFonts w:ascii="宋体" w:hAnsi="宋体"/>
          <w:color w:val="auto"/>
          <w:sz w:val="24"/>
          <w:szCs w:val="28"/>
        </w:rPr>
      </w:pPr>
      <w:r>
        <w:rPr>
          <w:rFonts w:hint="eastAsia" w:hAnsi="宋体"/>
          <w:b/>
          <w:bCs/>
          <w:color w:val="auto"/>
          <w:sz w:val="24"/>
          <w:szCs w:val="22"/>
          <w:lang w:val="en-US" w:eastAsia="zh-CN"/>
        </w:rPr>
        <w:t>四</w:t>
      </w:r>
      <w:r>
        <w:rPr>
          <w:rFonts w:hint="eastAsia" w:ascii="宋体" w:hAnsi="宋体"/>
          <w:b/>
          <w:bCs/>
          <w:color w:val="auto"/>
          <w:sz w:val="24"/>
          <w:szCs w:val="22"/>
        </w:rPr>
        <w:t>、采购</w:t>
      </w:r>
      <w:r>
        <w:rPr>
          <w:rFonts w:hint="eastAsia" w:hAnsi="宋体"/>
          <w:b/>
          <w:bCs/>
          <w:color w:val="auto"/>
          <w:sz w:val="24"/>
          <w:szCs w:val="22"/>
          <w:lang w:val="en-US" w:eastAsia="zh-CN"/>
        </w:rPr>
        <w:t>内容</w:t>
      </w:r>
      <w:r>
        <w:rPr>
          <w:rFonts w:hint="eastAsia" w:ascii="宋体" w:hAnsi="宋体"/>
          <w:b/>
          <w:bCs/>
          <w:color w:val="auto"/>
          <w:sz w:val="24"/>
          <w:szCs w:val="22"/>
        </w:rPr>
        <w:t>：</w:t>
      </w:r>
      <w:r>
        <w:rPr>
          <w:rFonts w:hint="eastAsia" w:ascii="宋体" w:hAnsi="宋体"/>
          <w:b/>
          <w:bCs/>
          <w:color w:val="auto"/>
          <w:sz w:val="24"/>
          <w:szCs w:val="22"/>
          <w:lang w:val="en-US" w:eastAsia="zh-CN"/>
        </w:rPr>
        <w:t>本次磋商共一个包</w:t>
      </w:r>
      <w:r>
        <w:rPr>
          <w:rFonts w:hint="eastAsia" w:ascii="宋体" w:hAnsi="宋体"/>
          <w:b/>
          <w:bCs/>
          <w:color w:val="auto"/>
          <w:sz w:val="24"/>
          <w:szCs w:val="22"/>
        </w:rPr>
        <w:t>（</w:t>
      </w:r>
      <w:r>
        <w:rPr>
          <w:rFonts w:hint="eastAsia" w:ascii="宋体" w:hAnsi="宋体"/>
          <w:b/>
          <w:bCs/>
          <w:color w:val="auto"/>
          <w:sz w:val="24"/>
          <w:szCs w:val="22"/>
          <w:lang w:val="en-US" w:eastAsia="zh-CN"/>
        </w:rPr>
        <w:t>具体</w:t>
      </w:r>
      <w:r>
        <w:rPr>
          <w:rFonts w:hint="eastAsia" w:ascii="宋体" w:hAnsi="宋体"/>
          <w:b/>
          <w:bCs/>
          <w:color w:val="auto"/>
          <w:sz w:val="24"/>
          <w:szCs w:val="22"/>
        </w:rPr>
        <w:t>详见磋商文件第五章）。</w:t>
      </w:r>
    </w:p>
    <w:p>
      <w:pPr>
        <w:spacing w:after="120" w:line="440" w:lineRule="exact"/>
        <w:ind w:firstLine="482" w:firstLineChars="200"/>
        <w:rPr>
          <w:rFonts w:ascii="宋体" w:hAnsi="宋体"/>
          <w:b/>
          <w:bCs/>
          <w:color w:val="auto"/>
          <w:sz w:val="24"/>
        </w:rPr>
      </w:pPr>
      <w:r>
        <w:rPr>
          <w:rFonts w:hint="eastAsia" w:hAnsi="宋体"/>
          <w:b/>
          <w:bCs/>
          <w:color w:val="auto"/>
          <w:sz w:val="24"/>
          <w:lang w:val="en-US" w:eastAsia="zh-CN"/>
        </w:rPr>
        <w:t>五</w:t>
      </w:r>
      <w:r>
        <w:rPr>
          <w:rFonts w:hint="eastAsia" w:ascii="宋体" w:hAnsi="宋体"/>
          <w:b/>
          <w:bCs/>
          <w:color w:val="auto"/>
          <w:sz w:val="24"/>
        </w:rPr>
        <w:t>、供应商邀请方式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公告方式：本次竞争性磋商邀请在四川政府采购网（www.ccgp-sichuan.gov.cn）上以公告形式发布。</w:t>
      </w:r>
    </w:p>
    <w:p>
      <w:pPr>
        <w:spacing w:after="120" w:line="440" w:lineRule="exact"/>
        <w:ind w:firstLine="482" w:firstLineChars="200"/>
        <w:rPr>
          <w:rFonts w:ascii="宋体" w:hAnsi="宋体"/>
          <w:b/>
          <w:bCs/>
          <w:color w:val="auto"/>
          <w:sz w:val="24"/>
        </w:rPr>
      </w:pPr>
      <w:r>
        <w:rPr>
          <w:rFonts w:hint="eastAsia" w:hAnsi="宋体"/>
          <w:b/>
          <w:bCs/>
          <w:color w:val="auto"/>
          <w:sz w:val="24"/>
          <w:lang w:val="en-US" w:eastAsia="zh-CN"/>
        </w:rPr>
        <w:t>六</w:t>
      </w:r>
      <w:r>
        <w:rPr>
          <w:rFonts w:hint="eastAsia" w:ascii="宋体" w:hAnsi="宋体"/>
          <w:b/>
          <w:bCs/>
          <w:color w:val="auto"/>
          <w:sz w:val="24"/>
        </w:rPr>
        <w:t>、供应商参加本次政府采购活动应具备下列条件</w:t>
      </w:r>
    </w:p>
    <w:p>
      <w:pPr>
        <w:pStyle w:val="46"/>
        <w:spacing w:line="440" w:lineRule="exact"/>
        <w:ind w:firstLine="600" w:firstLineChars="250"/>
        <w:rPr>
          <w:rFonts w:ascii="宋体"/>
          <w:color w:val="auto"/>
          <w:sz w:val="24"/>
        </w:rPr>
      </w:pPr>
      <w:r>
        <w:rPr>
          <w:rFonts w:hint="eastAsia" w:ascii="宋体"/>
          <w:color w:val="auto"/>
          <w:sz w:val="24"/>
        </w:rPr>
        <w:t>1.具有独立承担民事责任的能力；</w:t>
      </w:r>
    </w:p>
    <w:p>
      <w:pPr>
        <w:tabs>
          <w:tab w:val="left" w:pos="7665"/>
        </w:tabs>
        <w:spacing w:line="440" w:lineRule="exact"/>
        <w:ind w:firstLine="600" w:firstLineChars="250"/>
        <w:rPr>
          <w:rFonts w:ascii="宋体"/>
          <w:color w:val="auto"/>
          <w:sz w:val="24"/>
        </w:rPr>
      </w:pPr>
      <w:r>
        <w:rPr>
          <w:rFonts w:hint="eastAsia" w:ascii="宋体"/>
          <w:color w:val="auto"/>
          <w:sz w:val="24"/>
        </w:rPr>
        <w:t>2.具有良好的商业信誉和健全的财务会计制度；</w:t>
      </w:r>
    </w:p>
    <w:p>
      <w:pPr>
        <w:tabs>
          <w:tab w:val="left" w:pos="7665"/>
        </w:tabs>
        <w:spacing w:line="440" w:lineRule="exact"/>
        <w:ind w:firstLine="600" w:firstLineChars="250"/>
        <w:rPr>
          <w:rFonts w:ascii="宋体"/>
          <w:color w:val="auto"/>
          <w:sz w:val="24"/>
        </w:rPr>
      </w:pPr>
      <w:r>
        <w:rPr>
          <w:rFonts w:hint="eastAsia" w:ascii="宋体"/>
          <w:color w:val="auto"/>
          <w:sz w:val="24"/>
        </w:rPr>
        <w:t>3.具有履行合同所必须的设备和专业技术能力；</w:t>
      </w:r>
    </w:p>
    <w:p>
      <w:pPr>
        <w:tabs>
          <w:tab w:val="left" w:pos="7665"/>
        </w:tabs>
        <w:spacing w:line="440" w:lineRule="exact"/>
        <w:ind w:firstLine="600" w:firstLineChars="250"/>
        <w:rPr>
          <w:rFonts w:ascii="宋体"/>
          <w:color w:val="auto"/>
          <w:sz w:val="24"/>
        </w:rPr>
      </w:pPr>
      <w:r>
        <w:rPr>
          <w:rFonts w:hint="eastAsia" w:ascii="宋体"/>
          <w:color w:val="auto"/>
          <w:sz w:val="24"/>
        </w:rPr>
        <w:t>4.具有依法缴纳税收和社会保障资金的良好记录；</w:t>
      </w:r>
    </w:p>
    <w:p>
      <w:pPr>
        <w:tabs>
          <w:tab w:val="left" w:pos="7665"/>
        </w:tabs>
        <w:spacing w:line="440" w:lineRule="exact"/>
        <w:ind w:firstLine="600" w:firstLineChars="250"/>
        <w:rPr>
          <w:rFonts w:ascii="宋体"/>
          <w:color w:val="auto"/>
          <w:sz w:val="24"/>
        </w:rPr>
      </w:pPr>
      <w:r>
        <w:rPr>
          <w:rFonts w:hint="eastAsia" w:ascii="宋体"/>
          <w:color w:val="auto"/>
          <w:sz w:val="24"/>
        </w:rPr>
        <w:t>5.参加本次政府采购活动前三年内，在经营活动中没有重大违法记录；</w:t>
      </w:r>
    </w:p>
    <w:p>
      <w:pPr>
        <w:pStyle w:val="46"/>
        <w:spacing w:line="440" w:lineRule="exact"/>
        <w:ind w:firstLine="600" w:firstLineChars="250"/>
        <w:rPr>
          <w:rFonts w:ascii="宋体"/>
          <w:color w:val="auto"/>
          <w:sz w:val="24"/>
        </w:rPr>
      </w:pPr>
      <w:r>
        <w:rPr>
          <w:rFonts w:hint="eastAsia" w:ascii="宋体"/>
          <w:color w:val="auto"/>
          <w:sz w:val="24"/>
        </w:rPr>
        <w:t>6.法律、行政法规规定的其他条件；</w:t>
      </w:r>
    </w:p>
    <w:p>
      <w:pPr>
        <w:pStyle w:val="46"/>
        <w:spacing w:line="440" w:lineRule="exact"/>
        <w:ind w:firstLine="600" w:firstLineChars="250"/>
        <w:rPr>
          <w:rFonts w:hint="eastAsia" w:eastAsia="宋体"/>
          <w:color w:val="auto"/>
          <w:sz w:val="24"/>
          <w:highlight w:val="yellow"/>
          <w:lang w:val="en-US" w:eastAsia="zh-CN"/>
        </w:rPr>
      </w:pPr>
      <w:r>
        <w:rPr>
          <w:rFonts w:hint="eastAsia" w:ascii="宋体"/>
          <w:color w:val="auto"/>
          <w:sz w:val="24"/>
          <w:highlight w:val="none"/>
        </w:rPr>
        <w:t>7.采购人根据采购项目提出的特殊条件</w:t>
      </w:r>
      <w:r>
        <w:rPr>
          <w:rFonts w:hint="eastAsia"/>
          <w:sz w:val="24"/>
        </w:rPr>
        <w:t>（详见</w:t>
      </w:r>
      <w:r>
        <w:rPr>
          <w:rFonts w:hint="eastAsia"/>
          <w:sz w:val="24"/>
          <w:lang w:val="en-US" w:eastAsia="zh-CN"/>
        </w:rPr>
        <w:t>竞争性磋商</w:t>
      </w:r>
      <w:r>
        <w:rPr>
          <w:rFonts w:hint="eastAsia"/>
          <w:sz w:val="24"/>
        </w:rPr>
        <w:t>文件第三章、第四章）</w:t>
      </w:r>
    </w:p>
    <w:p>
      <w:pPr>
        <w:pStyle w:val="46"/>
        <w:spacing w:line="440" w:lineRule="exact"/>
        <w:ind w:firstLine="600" w:firstLineChars="250"/>
        <w:rPr>
          <w:rFonts w:hint="default"/>
          <w:color w:val="auto"/>
          <w:sz w:val="24"/>
          <w:lang w:val="en-US" w:eastAsia="zh-CN"/>
        </w:rPr>
      </w:pPr>
      <w:r>
        <w:rPr>
          <w:rFonts w:hint="eastAsia"/>
          <w:color w:val="auto"/>
          <w:sz w:val="24"/>
          <w:lang w:val="en-US" w:eastAsia="zh-CN"/>
        </w:rPr>
        <w:t>8.本项目不接受联合体磋商。</w:t>
      </w:r>
    </w:p>
    <w:p>
      <w:pPr>
        <w:pStyle w:val="46"/>
        <w:spacing w:line="440" w:lineRule="exact"/>
        <w:rPr>
          <w:rFonts w:hint="eastAsia" w:ascii="宋体" w:hAnsi="宋体" w:eastAsia="宋体" w:cs="Times New Roman"/>
          <w:b/>
          <w:bCs/>
          <w:color w:val="auto"/>
          <w:sz w:val="24"/>
          <w:szCs w:val="22"/>
          <w:lang w:val="en-US" w:eastAsia="zh-CN" w:bidi="ar-SA"/>
        </w:rPr>
      </w:pPr>
      <w:r>
        <w:rPr>
          <w:rFonts w:hint="eastAsia" w:hAnsi="宋体" w:cs="Times New Roman"/>
          <w:b/>
          <w:bCs/>
          <w:color w:val="auto"/>
          <w:sz w:val="24"/>
          <w:szCs w:val="22"/>
          <w:lang w:val="en-US" w:eastAsia="zh-CN" w:bidi="ar-SA"/>
        </w:rPr>
        <w:t>七</w:t>
      </w:r>
      <w:r>
        <w:rPr>
          <w:rFonts w:hint="eastAsia" w:ascii="宋体" w:hAnsi="宋体" w:eastAsia="宋体" w:cs="Times New Roman"/>
          <w:b/>
          <w:bCs/>
          <w:color w:val="auto"/>
          <w:sz w:val="24"/>
          <w:szCs w:val="22"/>
          <w:lang w:val="en-US" w:eastAsia="zh-CN" w:bidi="ar-SA"/>
        </w:rPr>
        <w:t>、政府采购信用融资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为进一步贯彻落实国务院、四川省、成都市关于支持和促进中小企业发展的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政策措施，根据《成都市财政局中国人民银行成都分行营业管理部关于印发〈成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都市中小企业政府采购信用融资暂行办法〉和〈成都市级支持中小企业政府采购信用融资实施方案〉的通知》（成财采[2019]17号）文件规定。本项目为支持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执行政府采购信用融资项目。本次招标活动的中小企业供应商如中标，可无需提</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供财产抵押或第三方担保，凭借政府采购合同向融资机构申请融资，融资机构根</w:t>
      </w:r>
      <w:r>
        <w:rPr>
          <w:rFonts w:ascii="ChromeSansMM" w:hAnsi="ChromeSansMM" w:eastAsia="ChromeSansMM" w:cs="ChromeSansMM"/>
          <w:color w:val="auto"/>
          <w:kern w:val="0"/>
          <w:sz w:val="8"/>
          <w:szCs w:val="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据其授信政策为供应商提供信用融资。</w:t>
      </w:r>
    </w:p>
    <w:tbl>
      <w:tblPr>
        <w:tblStyle w:val="32"/>
        <w:tblpPr w:leftFromText="180" w:rightFromText="180" w:vertAnchor="text" w:horzAnchor="page" w:tblpX="1253" w:tblpY="392"/>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46"/>
        <w:gridCol w:w="273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5" w:type="dxa"/>
            <w:gridSpan w:val="4"/>
            <w:noWrap w:val="0"/>
            <w:vAlign w:val="center"/>
          </w:tcPr>
          <w:p>
            <w:pPr>
              <w:widowControl/>
              <w:jc w:val="center"/>
              <w:rPr>
                <w:rFonts w:ascii="宋体" w:hAnsi="宋体" w:cs="宋体"/>
                <w:color w:val="auto"/>
                <w:sz w:val="22"/>
                <w:szCs w:val="22"/>
                <w:highlight w:val="none"/>
              </w:rPr>
            </w:pPr>
            <w:r>
              <w:rPr>
                <w:rFonts w:hint="eastAsia" w:ascii="宋体" w:hAnsi="宋体" w:cs="宋体"/>
                <w:b/>
                <w:bCs/>
                <w:color w:val="auto"/>
                <w:sz w:val="24"/>
                <w:highlight w:val="none"/>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政府采购信用融资</w:t>
            </w:r>
          </w:p>
        </w:tc>
        <w:tc>
          <w:tcPr>
            <w:tcW w:w="8490" w:type="dxa"/>
            <w:gridSpan w:val="3"/>
            <w:noWrap w:val="0"/>
            <w:vAlign w:val="top"/>
          </w:tcPr>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号）文件规定。本项目为支持执行政府采购信用融资项目。本次招标活动的中小企业供应商如中标，可无需提供财产抵押或第三方担保，凭借政府采购合同向融资机构申请融资，融资机构根据其授信政策为供应商提供信用融资,以下银行开展崇州市本级“政采贷”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top"/>
          </w:tcPr>
          <w:p>
            <w:pPr>
              <w:rPr>
                <w:rFonts w:ascii="宋体" w:hAnsi="宋体" w:cs="宋体"/>
                <w:color w:val="auto"/>
                <w:sz w:val="22"/>
                <w:szCs w:val="22"/>
                <w:highlight w:val="none"/>
              </w:rPr>
            </w:pPr>
            <w:r>
              <w:rPr>
                <w:rFonts w:hint="eastAsia" w:ascii="宋体" w:hAnsi="宋体" w:cs="宋体"/>
                <w:color w:val="auto"/>
                <w:sz w:val="22"/>
                <w:szCs w:val="22"/>
                <w:highlight w:val="none"/>
              </w:rPr>
              <w:t>银行名称</w:t>
            </w:r>
          </w:p>
        </w:tc>
        <w:tc>
          <w:tcPr>
            <w:tcW w:w="2734" w:type="dxa"/>
            <w:noWrap w:val="0"/>
            <w:vAlign w:val="top"/>
          </w:tcPr>
          <w:p>
            <w:pPr>
              <w:rPr>
                <w:rFonts w:ascii="宋体" w:hAnsi="宋体" w:cs="宋体"/>
                <w:color w:val="auto"/>
                <w:sz w:val="22"/>
                <w:szCs w:val="22"/>
                <w:highlight w:val="none"/>
              </w:rPr>
            </w:pPr>
            <w:r>
              <w:rPr>
                <w:rFonts w:hint="eastAsia" w:ascii="宋体" w:hAnsi="宋体" w:cs="宋体"/>
                <w:color w:val="auto"/>
                <w:sz w:val="22"/>
                <w:szCs w:val="22"/>
                <w:highlight w:val="none"/>
              </w:rPr>
              <w:t>联系人及方式</w:t>
            </w:r>
          </w:p>
        </w:tc>
        <w:tc>
          <w:tcPr>
            <w:tcW w:w="4110" w:type="dxa"/>
            <w:noWrap w:val="0"/>
            <w:vAlign w:val="top"/>
          </w:tcPr>
          <w:p>
            <w:pPr>
              <w:rPr>
                <w:rFonts w:ascii="宋体" w:hAnsi="宋体" w:cs="宋体"/>
                <w:color w:val="auto"/>
                <w:sz w:val="22"/>
                <w:szCs w:val="22"/>
                <w:highlight w:val="none"/>
              </w:rPr>
            </w:pPr>
            <w:r>
              <w:rPr>
                <w:rFonts w:hint="eastAsia" w:ascii="宋体" w:hAnsi="宋体" w:cs="宋体"/>
                <w:color w:val="auto"/>
                <w:sz w:val="22"/>
                <w:szCs w:val="22"/>
                <w:highlight w:val="none"/>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成都农商银行崇州支行</w:t>
            </w:r>
          </w:p>
          <w:p>
            <w:pPr>
              <w:jc w:val="center"/>
              <w:rPr>
                <w:rFonts w:ascii="宋体" w:hAnsi="宋体" w:cs="宋体"/>
                <w:color w:val="auto"/>
                <w:sz w:val="22"/>
                <w:szCs w:val="22"/>
                <w:highlight w:val="none"/>
              </w:rPr>
            </w:pPr>
          </w:p>
        </w:tc>
        <w:tc>
          <w:tcPr>
            <w:tcW w:w="2734"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业务部客户经理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任艳菊13881851255</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业务部客户经理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骆晓峰13551850363</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业务部经理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陈晓阳13438190630</w:t>
            </w:r>
          </w:p>
          <w:p>
            <w:pPr>
              <w:jc w:val="center"/>
              <w:rPr>
                <w:rFonts w:ascii="宋体" w:hAnsi="宋体" w:cs="宋体"/>
                <w:color w:val="auto"/>
                <w:sz w:val="22"/>
                <w:szCs w:val="22"/>
                <w:highlight w:val="none"/>
              </w:rPr>
            </w:pPr>
          </w:p>
        </w:tc>
        <w:tc>
          <w:tcPr>
            <w:tcW w:w="4110" w:type="dxa"/>
            <w:noWrap w:val="0"/>
            <w:vAlign w:val="top"/>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1、授信额度：</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（1）流动资金贷款类：最高不超过政府采购合同中采购总金额的85%；</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（2）承兑汇票及保函类：保证金比例不低于15%。</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2、授信期限：</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（1）流动资金贷款期限原则上不超过 18个月，重大项目最高不超过3年，主要根据政府采购合同的付款周期确 定。贷款期间可展期1次，可提前还款。</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（2）银行承兑汇票 （纸质）不超过6 个月；银行承兑汇 票（电子）不超过 1年。</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（3）保函期限原则上不超过3年，根 据政府采购合同的付款周期确定。</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（4）根据采购文件中约定的采购款项 支付进度，增加适当宽限期设置还款计划。</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3、利率定价：</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原则上不超过基准利率上浮30%。对地处贫困地区的供应商实行更加优惠的定价。</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崇州上银村镇银行</w:t>
            </w:r>
          </w:p>
          <w:p>
            <w:pPr>
              <w:jc w:val="center"/>
              <w:rPr>
                <w:rFonts w:ascii="宋体" w:hAnsi="宋体" w:cs="宋体"/>
                <w:color w:val="auto"/>
                <w:sz w:val="22"/>
                <w:szCs w:val="22"/>
                <w:highlight w:val="none"/>
              </w:rPr>
            </w:pPr>
          </w:p>
        </w:tc>
        <w:tc>
          <w:tcPr>
            <w:tcW w:w="2734"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副行长</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龚真真17740215212</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部门总经理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杨彦铭13981735391</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副总经理</w:t>
            </w:r>
          </w:p>
          <w:p>
            <w:pPr>
              <w:widowControl/>
              <w:jc w:val="center"/>
              <w:rPr>
                <w:color w:val="auto"/>
                <w:sz w:val="20"/>
                <w:szCs w:val="22"/>
                <w:highlight w:val="none"/>
              </w:rPr>
            </w:pPr>
            <w:r>
              <w:rPr>
                <w:rFonts w:hint="eastAsia" w:hAnsi="宋体" w:cs="宋体"/>
                <w:color w:val="auto"/>
                <w:sz w:val="22"/>
                <w:szCs w:val="22"/>
                <w:highlight w:val="none"/>
              </w:rPr>
              <w:t>黄龙 13348884865</w:t>
            </w:r>
          </w:p>
          <w:p>
            <w:pPr>
              <w:widowControl/>
              <w:jc w:val="center"/>
              <w:rPr>
                <w:color w:val="auto"/>
                <w:sz w:val="20"/>
                <w:szCs w:val="22"/>
                <w:highlight w:val="none"/>
              </w:rPr>
            </w:pPr>
            <w:r>
              <w:rPr>
                <w:rFonts w:hint="eastAsia" w:hAnsi="宋体" w:cs="宋体"/>
                <w:color w:val="auto"/>
                <w:sz w:val="22"/>
                <w:szCs w:val="22"/>
                <w:highlight w:val="none"/>
              </w:rPr>
              <w:t>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羊孝丽15884577260</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尹翔13982166628</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吴翅飞18982275308</w:t>
            </w:r>
          </w:p>
        </w:tc>
        <w:tc>
          <w:tcPr>
            <w:tcW w:w="4110" w:type="dxa"/>
            <w:noWrap w:val="0"/>
            <w:vAlign w:val="top"/>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授信政策</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担保方式：信用</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授信期限：不高于采购合同期限，最高不超过三年</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利率水平：基准上浮30%</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放款时限：审批通过后5个工作日内</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授信成数：最高不高于合同总价款的90%</w:t>
            </w:r>
          </w:p>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农行崇州支行</w:t>
            </w:r>
          </w:p>
          <w:p>
            <w:pPr>
              <w:jc w:val="center"/>
              <w:rPr>
                <w:rFonts w:ascii="宋体" w:hAnsi="宋体" w:cs="宋体"/>
                <w:color w:val="auto"/>
                <w:sz w:val="22"/>
                <w:szCs w:val="22"/>
                <w:highlight w:val="none"/>
              </w:rPr>
            </w:pPr>
          </w:p>
        </w:tc>
        <w:tc>
          <w:tcPr>
            <w:tcW w:w="2734"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副行长</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陈东江13980843688</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部门经理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肖毓13882110585</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副经理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何莉15982110977</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唐雪姣13689013376</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王羽13568936607</w:t>
            </w:r>
          </w:p>
          <w:p>
            <w:pPr>
              <w:jc w:val="center"/>
              <w:rPr>
                <w:rFonts w:ascii="宋体" w:hAnsi="宋体" w:cs="宋体"/>
                <w:color w:val="auto"/>
                <w:sz w:val="22"/>
                <w:szCs w:val="22"/>
                <w:highlight w:val="none"/>
              </w:rPr>
            </w:pPr>
          </w:p>
        </w:tc>
        <w:tc>
          <w:tcPr>
            <w:tcW w:w="4110" w:type="dxa"/>
            <w:noWrap w:val="0"/>
            <w:vAlign w:val="top"/>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1、授信额度</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根据《政府采购合同》金额测定授信额度理论值，最高可贷合同总金额的70%，原则不超过 1000万元。小微企业单户信用贷款额 </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度不超过500万元。</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2、融资期限</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融资到期日不超过 《政府采购合同》项下应收账款付款到期日后3个月（含），融资期限 原则上不超过1年 （含），最长不超过3年。</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3、融资利率</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原则上不超过人民银行同期基准利率上浮30%。</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4、还款方式</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贷款期限在１年以内的，可采用一次性还本付息方式或一次还本、分期付息方式。贷款期限 在１年以上的，采 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中行崇州支行</w:t>
            </w:r>
          </w:p>
          <w:p>
            <w:pPr>
              <w:jc w:val="center"/>
              <w:rPr>
                <w:rFonts w:ascii="宋体" w:hAnsi="宋体" w:cs="宋体"/>
                <w:color w:val="auto"/>
                <w:sz w:val="22"/>
                <w:szCs w:val="22"/>
                <w:highlight w:val="none"/>
              </w:rPr>
            </w:pPr>
          </w:p>
        </w:tc>
        <w:tc>
          <w:tcPr>
            <w:tcW w:w="2734"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分管行长</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王勇</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82313560</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13980969703</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分管主任</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龚才兵</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82276832</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18081054180</w:t>
            </w:r>
          </w:p>
        </w:tc>
        <w:tc>
          <w:tcPr>
            <w:tcW w:w="4110" w:type="dxa"/>
            <w:noWrap w:val="0"/>
            <w:vAlign w:val="top"/>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授信额度：单一合同项下信用授信金额不得高于合同标的的70%，最高不超过2000万元，最长不超过一年。</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担保方式：须借款人法定代表人、主要股东、实际控制 人或关联企业提供连带责任保证担保；也可采购取房地产抵押或第三方保证等。</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重庆银行崇州支行</w:t>
            </w:r>
          </w:p>
          <w:p>
            <w:pPr>
              <w:jc w:val="center"/>
              <w:rPr>
                <w:rFonts w:ascii="宋体" w:hAnsi="宋体" w:cs="宋体"/>
                <w:color w:val="auto"/>
                <w:sz w:val="22"/>
                <w:szCs w:val="22"/>
                <w:highlight w:val="none"/>
              </w:rPr>
            </w:pPr>
          </w:p>
        </w:tc>
        <w:tc>
          <w:tcPr>
            <w:tcW w:w="2734"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业务部经理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李盛勇 18108259677</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小微业务部副经理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余蓥   13550034115</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小微业务部客户经理</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陈文韬 13547927235</w:t>
            </w:r>
          </w:p>
        </w:tc>
        <w:tc>
          <w:tcPr>
            <w:tcW w:w="4110" w:type="dxa"/>
            <w:noWrap w:val="0"/>
            <w:vAlign w:val="top"/>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授信额度：单一合同项下信用授信金额不得高于合同标的的80%，目前暂不超过100万元。</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执行利率：申请人信用评价实施差异化定价，原则上不超过基准利率上浮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rPr>
                <w:rFonts w:ascii="宋体" w:hAnsi="宋体" w:cs="宋体"/>
                <w:color w:val="auto"/>
                <w:sz w:val="22"/>
                <w:szCs w:val="22"/>
                <w:highlight w:val="none"/>
              </w:rPr>
            </w:pPr>
          </w:p>
        </w:tc>
        <w:tc>
          <w:tcPr>
            <w:tcW w:w="16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工商银行</w:t>
            </w:r>
          </w:p>
          <w:p>
            <w:pPr>
              <w:jc w:val="center"/>
              <w:rPr>
                <w:rFonts w:hint="eastAsia" w:ascii="宋体" w:hAnsi="宋体" w:eastAsia="宋体" w:cs="宋体"/>
                <w:color w:val="auto"/>
                <w:sz w:val="22"/>
                <w:szCs w:val="22"/>
                <w:highlight w:val="none"/>
              </w:rPr>
            </w:pPr>
            <w:r>
              <w:rPr>
                <w:rFonts w:hint="eastAsia" w:ascii="宋体" w:hAnsi="宋体" w:eastAsia="宋体" w:cs="宋体"/>
                <w:sz w:val="22"/>
                <w:szCs w:val="22"/>
              </w:rPr>
              <w:t>崇州支行</w:t>
            </w:r>
          </w:p>
        </w:tc>
        <w:tc>
          <w:tcPr>
            <w:tcW w:w="27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分管行长：</w:t>
            </w:r>
          </w:p>
          <w:p>
            <w:pPr>
              <w:jc w:val="center"/>
              <w:rPr>
                <w:rFonts w:hint="eastAsia" w:ascii="宋体" w:hAnsi="宋体" w:eastAsia="宋体" w:cs="宋体"/>
                <w:sz w:val="22"/>
                <w:szCs w:val="22"/>
              </w:rPr>
            </w:pPr>
            <w:r>
              <w:rPr>
                <w:rFonts w:hint="eastAsia" w:ascii="宋体" w:hAnsi="宋体" w:eastAsia="宋体" w:cs="宋体"/>
                <w:sz w:val="22"/>
                <w:szCs w:val="22"/>
              </w:rPr>
              <w:t>张樱川13882296300</w:t>
            </w:r>
          </w:p>
          <w:p>
            <w:pPr>
              <w:jc w:val="center"/>
              <w:rPr>
                <w:rFonts w:hint="eastAsia" w:ascii="宋体" w:hAnsi="宋体" w:eastAsia="宋体" w:cs="宋体"/>
                <w:sz w:val="22"/>
                <w:szCs w:val="22"/>
              </w:rPr>
            </w:pPr>
            <w:r>
              <w:rPr>
                <w:rFonts w:hint="eastAsia" w:ascii="宋体" w:hAnsi="宋体" w:eastAsia="宋体" w:cs="宋体"/>
                <w:sz w:val="22"/>
                <w:szCs w:val="22"/>
              </w:rPr>
              <w:t>分管科长：</w:t>
            </w:r>
          </w:p>
          <w:p>
            <w:pPr>
              <w:jc w:val="center"/>
              <w:rPr>
                <w:rFonts w:hint="eastAsia" w:ascii="宋体" w:hAnsi="宋体" w:eastAsia="宋体" w:cs="宋体"/>
                <w:sz w:val="22"/>
                <w:szCs w:val="22"/>
              </w:rPr>
            </w:pPr>
            <w:r>
              <w:rPr>
                <w:rFonts w:hint="eastAsia" w:ascii="宋体" w:hAnsi="宋体" w:eastAsia="宋体" w:cs="宋体"/>
                <w:sz w:val="22"/>
                <w:szCs w:val="22"/>
              </w:rPr>
              <w:t>曲希17760374425</w:t>
            </w:r>
          </w:p>
          <w:p>
            <w:pPr>
              <w:jc w:val="center"/>
              <w:rPr>
                <w:rFonts w:hint="eastAsia" w:ascii="宋体" w:hAnsi="宋体" w:eastAsia="宋体" w:cs="宋体"/>
                <w:sz w:val="22"/>
                <w:szCs w:val="22"/>
              </w:rPr>
            </w:pPr>
            <w:r>
              <w:rPr>
                <w:rFonts w:hint="eastAsia" w:ascii="宋体" w:hAnsi="宋体" w:eastAsia="宋体" w:cs="宋体"/>
                <w:sz w:val="22"/>
                <w:szCs w:val="22"/>
              </w:rPr>
              <w:t>客户经理：</w:t>
            </w:r>
          </w:p>
          <w:p>
            <w:pPr>
              <w:jc w:val="center"/>
              <w:rPr>
                <w:rFonts w:hint="eastAsia" w:ascii="宋体" w:hAnsi="宋体" w:eastAsia="宋体" w:cs="宋体"/>
                <w:sz w:val="22"/>
                <w:szCs w:val="22"/>
              </w:rPr>
            </w:pPr>
            <w:r>
              <w:rPr>
                <w:rFonts w:hint="eastAsia" w:ascii="宋体" w:hAnsi="宋体" w:eastAsia="宋体" w:cs="宋体"/>
                <w:sz w:val="22"/>
                <w:szCs w:val="22"/>
              </w:rPr>
              <w:t>余波13688482133</w:t>
            </w:r>
          </w:p>
          <w:p>
            <w:pPr>
              <w:jc w:val="center"/>
              <w:rPr>
                <w:rFonts w:hint="eastAsia" w:ascii="宋体" w:hAnsi="宋体" w:eastAsia="宋体" w:cs="宋体"/>
                <w:sz w:val="22"/>
                <w:szCs w:val="22"/>
              </w:rPr>
            </w:pPr>
            <w:r>
              <w:rPr>
                <w:rFonts w:hint="eastAsia" w:ascii="宋体" w:hAnsi="宋体" w:eastAsia="宋体" w:cs="宋体"/>
                <w:sz w:val="22"/>
                <w:szCs w:val="22"/>
              </w:rPr>
              <w:t>客户经理：</w:t>
            </w:r>
          </w:p>
          <w:p>
            <w:pPr>
              <w:jc w:val="center"/>
              <w:rPr>
                <w:rFonts w:hint="eastAsia" w:ascii="宋体" w:hAnsi="宋体" w:eastAsia="宋体" w:cs="宋体"/>
                <w:color w:val="auto"/>
                <w:sz w:val="22"/>
                <w:szCs w:val="22"/>
                <w:highlight w:val="none"/>
              </w:rPr>
            </w:pPr>
            <w:r>
              <w:rPr>
                <w:rFonts w:hint="eastAsia" w:ascii="宋体" w:hAnsi="宋体" w:eastAsia="宋体" w:cs="宋体"/>
                <w:sz w:val="22"/>
                <w:szCs w:val="22"/>
              </w:rPr>
              <w:t>华昌庚15828604669</w:t>
            </w:r>
          </w:p>
        </w:tc>
        <w:tc>
          <w:tcPr>
            <w:tcW w:w="4110" w:type="dxa"/>
            <w:noWrap w:val="0"/>
            <w:vAlign w:val="top"/>
          </w:tcPr>
          <w:p>
            <w:pPr>
              <w:rPr>
                <w:rFonts w:hint="eastAsia" w:ascii="宋体" w:hAnsi="宋体" w:eastAsia="宋体" w:cs="宋体"/>
                <w:sz w:val="22"/>
                <w:szCs w:val="22"/>
              </w:rPr>
            </w:pPr>
            <w:r>
              <w:rPr>
                <w:rFonts w:hint="eastAsia" w:ascii="宋体" w:hAnsi="宋体" w:eastAsia="宋体" w:cs="宋体"/>
                <w:sz w:val="22"/>
                <w:szCs w:val="22"/>
              </w:rPr>
              <w:t>融资额度</w:t>
            </w:r>
          </w:p>
          <w:p>
            <w:pPr>
              <w:rPr>
                <w:rFonts w:hint="eastAsia" w:ascii="宋体" w:hAnsi="宋体" w:eastAsia="宋体" w:cs="宋体"/>
                <w:sz w:val="22"/>
                <w:szCs w:val="22"/>
              </w:rPr>
            </w:pPr>
            <w:r>
              <w:rPr>
                <w:rFonts w:hint="eastAsia" w:ascii="宋体" w:hAnsi="宋体" w:eastAsia="宋体" w:cs="宋体"/>
                <w:sz w:val="22"/>
                <w:szCs w:val="22"/>
              </w:rPr>
              <w:t xml:space="preserve"> 1、采用信用方式的，单户贷款金额最高不超过200万元,微型企业单户最高不超过100万元。</w:t>
            </w:r>
          </w:p>
          <w:p>
            <w:pPr>
              <w:rPr>
                <w:rFonts w:hint="eastAsia" w:ascii="宋体" w:hAnsi="宋体" w:eastAsia="宋体" w:cs="宋体"/>
                <w:sz w:val="22"/>
                <w:szCs w:val="22"/>
              </w:rPr>
            </w:pPr>
            <w:r>
              <w:rPr>
                <w:rFonts w:hint="eastAsia" w:ascii="宋体" w:hAnsi="宋体" w:eastAsia="宋体" w:cs="宋体"/>
                <w:sz w:val="22"/>
                <w:szCs w:val="22"/>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rPr>
                <w:rFonts w:hint="eastAsia" w:ascii="宋体" w:hAnsi="宋体" w:eastAsia="宋体" w:cs="宋体"/>
                <w:sz w:val="22"/>
                <w:szCs w:val="22"/>
              </w:rPr>
            </w:pPr>
            <w:r>
              <w:rPr>
                <w:rFonts w:hint="eastAsia" w:ascii="宋体" w:hAnsi="宋体" w:eastAsia="宋体" w:cs="宋体"/>
                <w:sz w:val="22"/>
                <w:szCs w:val="22"/>
              </w:rPr>
              <w:t>执行利率：“政采贷”业务定价不得低于人民银行基准利率执行，根据不同客户情况合理确定。</w:t>
            </w:r>
          </w:p>
          <w:p>
            <w:pPr>
              <w:rPr>
                <w:rFonts w:hint="eastAsia" w:ascii="宋体" w:hAnsi="宋体" w:eastAsia="宋体" w:cs="宋体"/>
                <w:color w:val="auto"/>
                <w:sz w:val="22"/>
                <w:szCs w:val="22"/>
                <w:highlight w:val="none"/>
              </w:rPr>
            </w:pPr>
            <w:r>
              <w:rPr>
                <w:rFonts w:hint="eastAsia" w:ascii="宋体" w:hAnsi="宋体" w:eastAsia="宋体" w:cs="宋体"/>
                <w:sz w:val="22"/>
                <w:szCs w:val="22"/>
              </w:rPr>
              <w:t>还款方式：“政采贷”贷款根据企业经营特点、应收账款的回款特点确定还款方式，可采用一次性还款或分期还款方式，但须按月付息。</w:t>
            </w:r>
          </w:p>
        </w:tc>
      </w:tr>
    </w:tbl>
    <w:p>
      <w:pPr>
        <w:rPr>
          <w:rFonts w:hint="eastAsia" w:ascii="黑体"/>
          <w:color w:val="auto"/>
          <w:highlight w:val="none"/>
        </w:rPr>
      </w:pPr>
    </w:p>
    <w:tbl>
      <w:tblPr>
        <w:tblStyle w:val="3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jc w:val="center"/>
              <w:textAlignment w:val="auto"/>
              <w:rPr>
                <w:rFonts w:ascii="宋体" w:hAnsi="宋体" w:cs="宋体"/>
                <w:b/>
                <w:color w:val="auto"/>
                <w:sz w:val="22"/>
                <w:szCs w:val="22"/>
                <w:highlight w:val="none"/>
              </w:rPr>
            </w:pPr>
            <w:r>
              <w:rPr>
                <w:rFonts w:hint="eastAsia" w:ascii="宋体" w:hAnsi="宋体" w:cs="宋体"/>
                <w:b/>
                <w:bCs/>
                <w:color w:val="auto"/>
                <w:sz w:val="24"/>
                <w:highlight w:val="none"/>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银行名称</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成都农商银行崇州支行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业务部客户经理  任艳菊</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崇州上银村镇银行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部门总经理      杨彦铭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中国农业银行崇州支行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部门经理        肖  毓</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中国银行崇州支行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分管主任        龚才兵</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重庆银行崇州支行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line="56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业务部经理      李盛勇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181" w:type="dxa"/>
            <w:noWrap w:val="0"/>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工商银行崇州支行</w:t>
            </w:r>
          </w:p>
        </w:tc>
        <w:tc>
          <w:tcPr>
            <w:tcW w:w="6359" w:type="dxa"/>
            <w:noWrap w:val="0"/>
            <w:vAlign w:val="center"/>
          </w:tcPr>
          <w:p>
            <w:pPr>
              <w:keepNext w:val="0"/>
              <w:keepLines w:val="0"/>
              <w:pageBreakBefore w:val="0"/>
              <w:widowControl w:val="0"/>
              <w:kinsoku/>
              <w:wordWrap/>
              <w:overflowPunct/>
              <w:topLinePunct w:val="0"/>
              <w:autoSpaceDE/>
              <w:autoSpaceDN/>
              <w:bidi w:val="0"/>
              <w:adjustRightInd/>
              <w:spacing w:after="0"/>
              <w:jc w:val="center"/>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 xml:space="preserve">分管科长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曲  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17760374425</w:t>
            </w:r>
          </w:p>
        </w:tc>
      </w:tr>
    </w:tbl>
    <w:p>
      <w:pPr>
        <w:spacing w:line="440" w:lineRule="exact"/>
        <w:ind w:firstLine="482" w:firstLineChars="200"/>
        <w:rPr>
          <w:rFonts w:ascii="宋体" w:hAnsi="宋体"/>
          <w:b/>
          <w:color w:val="auto"/>
          <w:sz w:val="24"/>
        </w:rPr>
      </w:pPr>
      <w:r>
        <w:rPr>
          <w:rFonts w:hint="eastAsia" w:hAnsi="宋体"/>
          <w:b/>
          <w:color w:val="auto"/>
          <w:sz w:val="24"/>
          <w:lang w:val="en-US" w:eastAsia="zh-CN"/>
        </w:rPr>
        <w:t>八</w:t>
      </w:r>
      <w:r>
        <w:rPr>
          <w:rFonts w:hint="eastAsia" w:ascii="宋体" w:hAnsi="宋体"/>
          <w:b/>
          <w:color w:val="auto"/>
          <w:sz w:val="24"/>
        </w:rPr>
        <w:t>、禁止参加本次采购活动的供应商</w:t>
      </w:r>
    </w:p>
    <w:p>
      <w:pPr>
        <w:spacing w:line="440" w:lineRule="exact"/>
        <w:ind w:firstLine="480" w:firstLineChars="200"/>
        <w:rPr>
          <w:rFonts w:ascii="宋体" w:hAnsi="宋体"/>
          <w:color w:val="auto"/>
          <w:sz w:val="24"/>
        </w:rPr>
      </w:pPr>
      <w:r>
        <w:rPr>
          <w:rFonts w:hint="eastAsia" w:ascii="宋体" w:hAnsi="宋体"/>
          <w:color w:val="auto"/>
          <w:sz w:val="24"/>
        </w:rPr>
        <w:t>1.根据《关于在政府采购活动中查询及使用信用记录有关问题的通知》（财库〔2016〕125号）的要求，采购人/采购代理机构将通过“信用中国”网站（www.creditchina.gov.cn）、“中国政府采购网”网站（www.ccgp.gov.cn）等渠道查询供应商在磋商截止时间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color w:val="auto"/>
          <w:sz w:val="24"/>
        </w:rPr>
      </w:pPr>
      <w:r>
        <w:rPr>
          <w:rFonts w:hint="eastAsia" w:ascii="宋体" w:hAnsi="宋体"/>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firstLineChars="200"/>
        <w:rPr>
          <w:rFonts w:ascii="宋体" w:hAnsi="宋体"/>
          <w:b/>
          <w:color w:val="auto"/>
          <w:sz w:val="24"/>
        </w:rPr>
      </w:pPr>
      <w:r>
        <w:rPr>
          <w:rFonts w:hint="eastAsia" w:hAnsi="宋体"/>
          <w:b/>
          <w:color w:val="auto"/>
          <w:sz w:val="24"/>
          <w:lang w:val="en-US" w:eastAsia="zh-CN"/>
        </w:rPr>
        <w:t>九</w:t>
      </w:r>
      <w:r>
        <w:rPr>
          <w:rFonts w:hint="eastAsia" w:ascii="宋体" w:hAnsi="宋体"/>
          <w:b/>
          <w:color w:val="auto"/>
          <w:sz w:val="24"/>
        </w:rPr>
        <w:t>、磋商文件获取方式、时间、地点：</w:t>
      </w:r>
    </w:p>
    <w:p>
      <w:pPr>
        <w:spacing w:line="440" w:lineRule="exact"/>
        <w:ind w:firstLine="480" w:firstLineChars="200"/>
        <w:rPr>
          <w:rFonts w:ascii="宋体" w:hAnsi="宋体"/>
          <w:color w:val="auto"/>
          <w:sz w:val="24"/>
          <w:highlight w:val="none"/>
        </w:rPr>
      </w:pPr>
      <w:r>
        <w:rPr>
          <w:rFonts w:hint="eastAsia" w:hAnsi="宋体"/>
          <w:color w:val="auto"/>
          <w:sz w:val="24"/>
          <w:highlight w:val="none"/>
          <w:lang w:val="en-US" w:eastAsia="zh-CN"/>
        </w:rPr>
        <w:t>9.1</w:t>
      </w:r>
      <w:r>
        <w:rPr>
          <w:rFonts w:hint="eastAsia" w:ascii="宋体" w:hAnsi="宋体"/>
          <w:color w:val="auto"/>
          <w:sz w:val="24"/>
          <w:highlight w:val="none"/>
        </w:rPr>
        <w:t>磋商文件自20</w:t>
      </w:r>
      <w:r>
        <w:rPr>
          <w:rFonts w:hint="eastAsia" w:hAnsi="宋体"/>
          <w:color w:val="auto"/>
          <w:sz w:val="24"/>
          <w:highlight w:val="none"/>
          <w:lang w:val="en-US" w:eastAsia="zh-CN"/>
        </w:rPr>
        <w:t>21</w:t>
      </w:r>
      <w:r>
        <w:rPr>
          <w:rFonts w:hint="eastAsia" w:ascii="宋体" w:hAnsi="宋体"/>
          <w:color w:val="auto"/>
          <w:sz w:val="24"/>
          <w:highlight w:val="none"/>
        </w:rPr>
        <w:t>年</w:t>
      </w:r>
      <w:r>
        <w:rPr>
          <w:rFonts w:hint="eastAsia" w:hAnsi="宋体"/>
          <w:color w:val="auto"/>
          <w:sz w:val="24"/>
          <w:highlight w:val="none"/>
          <w:lang w:val="en-US" w:eastAsia="zh-CN"/>
        </w:rPr>
        <w:t>12</w:t>
      </w:r>
      <w:r>
        <w:rPr>
          <w:rFonts w:hint="eastAsia" w:ascii="宋体" w:hAnsi="宋体"/>
          <w:color w:val="auto"/>
          <w:sz w:val="24"/>
          <w:highlight w:val="none"/>
        </w:rPr>
        <w:t>月</w:t>
      </w:r>
      <w:r>
        <w:rPr>
          <w:rFonts w:hint="eastAsia" w:hAnsi="宋体"/>
          <w:color w:val="auto"/>
          <w:sz w:val="24"/>
          <w:highlight w:val="none"/>
          <w:lang w:val="en-US" w:eastAsia="zh-CN"/>
        </w:rPr>
        <w:t>18</w:t>
      </w:r>
      <w:r>
        <w:rPr>
          <w:rFonts w:hint="eastAsia" w:ascii="宋体" w:hAnsi="宋体"/>
          <w:color w:val="auto"/>
          <w:sz w:val="24"/>
          <w:highlight w:val="none"/>
        </w:rPr>
        <w:t>日至20</w:t>
      </w:r>
      <w:r>
        <w:rPr>
          <w:rFonts w:hint="eastAsia" w:hAnsi="宋体"/>
          <w:color w:val="auto"/>
          <w:sz w:val="24"/>
          <w:highlight w:val="none"/>
          <w:lang w:val="en-US" w:eastAsia="zh-CN"/>
        </w:rPr>
        <w:t>21</w:t>
      </w:r>
      <w:r>
        <w:rPr>
          <w:rFonts w:hint="eastAsia" w:ascii="宋体" w:hAnsi="宋体"/>
          <w:color w:val="auto"/>
          <w:sz w:val="24"/>
          <w:highlight w:val="none"/>
        </w:rPr>
        <w:t>年</w:t>
      </w:r>
      <w:r>
        <w:rPr>
          <w:rFonts w:hint="eastAsia" w:hAnsi="宋体"/>
          <w:color w:val="auto"/>
          <w:sz w:val="24"/>
          <w:highlight w:val="none"/>
          <w:lang w:val="en-US" w:eastAsia="zh-CN"/>
        </w:rPr>
        <w:t>12</w:t>
      </w:r>
      <w:r>
        <w:rPr>
          <w:rFonts w:hint="eastAsia" w:ascii="宋体" w:hAnsi="宋体"/>
          <w:color w:val="auto"/>
          <w:sz w:val="24"/>
          <w:highlight w:val="none"/>
        </w:rPr>
        <w:t>月</w:t>
      </w:r>
      <w:r>
        <w:rPr>
          <w:rFonts w:hint="eastAsia" w:hAnsi="宋体"/>
          <w:color w:val="auto"/>
          <w:sz w:val="24"/>
          <w:highlight w:val="none"/>
          <w:lang w:val="en-US" w:eastAsia="zh-CN"/>
        </w:rPr>
        <w:t>24</w:t>
      </w:r>
      <w:r>
        <w:rPr>
          <w:rFonts w:hint="eastAsia" w:ascii="宋体" w:hAnsi="宋体"/>
          <w:color w:val="auto"/>
          <w:sz w:val="24"/>
          <w:highlight w:val="none"/>
        </w:rPr>
        <w:t>日09</w:t>
      </w:r>
      <w:r>
        <w:rPr>
          <w:rFonts w:ascii="宋体" w:hAnsi="宋体"/>
          <w:color w:val="auto"/>
          <w:sz w:val="24"/>
          <w:highlight w:val="none"/>
        </w:rPr>
        <w:t>:</w:t>
      </w:r>
      <w:r>
        <w:rPr>
          <w:rFonts w:hint="eastAsia" w:ascii="宋体" w:hAnsi="宋体"/>
          <w:color w:val="auto"/>
          <w:sz w:val="24"/>
          <w:highlight w:val="none"/>
        </w:rPr>
        <w:t xml:space="preserve">00- </w:t>
      </w:r>
      <w:r>
        <w:rPr>
          <w:rFonts w:hint="eastAsia" w:hAnsi="宋体"/>
          <w:color w:val="auto"/>
          <w:sz w:val="24"/>
          <w:highlight w:val="none"/>
          <w:lang w:val="en-US" w:eastAsia="zh-CN"/>
        </w:rPr>
        <w:t>17</w:t>
      </w:r>
      <w:r>
        <w:rPr>
          <w:rFonts w:ascii="宋体" w:hAnsi="宋体"/>
          <w:color w:val="auto"/>
          <w:sz w:val="24"/>
          <w:highlight w:val="none"/>
        </w:rPr>
        <w:t>:</w:t>
      </w:r>
      <w:r>
        <w:rPr>
          <w:rFonts w:hint="eastAsia" w:hAnsi="宋体"/>
          <w:color w:val="auto"/>
          <w:sz w:val="24"/>
          <w:highlight w:val="none"/>
          <w:lang w:val="en-US" w:eastAsia="zh-CN"/>
        </w:rPr>
        <w:t>00</w:t>
      </w:r>
      <w:r>
        <w:rPr>
          <w:rFonts w:ascii="宋体" w:hAnsi="宋体"/>
          <w:color w:val="auto"/>
          <w:sz w:val="24"/>
          <w:szCs w:val="28"/>
          <w:highlight w:val="none"/>
        </w:rPr>
        <w:t>（北京时间</w:t>
      </w:r>
      <w:r>
        <w:rPr>
          <w:rFonts w:hint="eastAsia" w:ascii="宋体" w:hAnsi="宋体"/>
          <w:color w:val="auto"/>
          <w:sz w:val="24"/>
          <w:szCs w:val="28"/>
          <w:highlight w:val="none"/>
        </w:rPr>
        <w:t>，法定节假日除外</w:t>
      </w:r>
      <w:r>
        <w:rPr>
          <w:rFonts w:ascii="宋体" w:hAnsi="宋体"/>
          <w:color w:val="auto"/>
          <w:sz w:val="24"/>
          <w:szCs w:val="28"/>
          <w:highlight w:val="none"/>
        </w:rPr>
        <w:t>）</w:t>
      </w:r>
      <w:r>
        <w:rPr>
          <w:rFonts w:hint="eastAsia" w:ascii="宋体" w:hAnsi="宋体"/>
          <w:color w:val="auto"/>
          <w:sz w:val="24"/>
          <w:highlight w:val="none"/>
        </w:rPr>
        <w:t>。</w:t>
      </w:r>
    </w:p>
    <w:p>
      <w:pPr>
        <w:spacing w:line="440" w:lineRule="exact"/>
        <w:ind w:firstLine="480" w:firstLineChars="200"/>
        <w:rPr>
          <w:rFonts w:hint="eastAsia" w:ascii="宋体" w:hAnsi="宋体" w:eastAsia="宋体"/>
          <w:color w:val="auto"/>
          <w:sz w:val="24"/>
          <w:szCs w:val="22"/>
          <w:highlight w:val="none"/>
          <w:lang w:eastAsia="zh-CN"/>
        </w:rPr>
      </w:pPr>
      <w:r>
        <w:rPr>
          <w:rFonts w:hint="eastAsia" w:hAnsi="宋体"/>
          <w:color w:val="auto"/>
          <w:sz w:val="24"/>
          <w:szCs w:val="22"/>
          <w:highlight w:val="none"/>
          <w:lang w:val="en-US" w:eastAsia="zh-CN"/>
        </w:rPr>
        <w:t>9</w:t>
      </w:r>
      <w:r>
        <w:rPr>
          <w:rFonts w:hint="eastAsia" w:ascii="宋体" w:hAnsi="宋体" w:eastAsia="宋体"/>
          <w:color w:val="auto"/>
          <w:sz w:val="24"/>
          <w:szCs w:val="22"/>
          <w:highlight w:val="none"/>
          <w:lang w:eastAsia="zh-CN"/>
        </w:rPr>
        <w:t>.2 获取文件地点：政府采购云平台（https://www.zcygov.cn/）。</w:t>
      </w:r>
    </w:p>
    <w:p>
      <w:pPr>
        <w:spacing w:line="440" w:lineRule="exact"/>
        <w:ind w:firstLine="480" w:firstLineChars="200"/>
        <w:rPr>
          <w:rFonts w:hint="eastAsia" w:ascii="宋体" w:hAnsi="宋体" w:eastAsia="宋体"/>
          <w:color w:val="auto"/>
          <w:sz w:val="24"/>
          <w:szCs w:val="22"/>
          <w:highlight w:val="none"/>
          <w:lang w:eastAsia="zh-CN"/>
        </w:rPr>
      </w:pPr>
      <w:r>
        <w:rPr>
          <w:rFonts w:hint="eastAsia" w:hAnsi="宋体"/>
          <w:color w:val="auto"/>
          <w:sz w:val="24"/>
          <w:szCs w:val="22"/>
          <w:highlight w:val="none"/>
          <w:lang w:val="en-US" w:eastAsia="zh-CN"/>
        </w:rPr>
        <w:t>9</w:t>
      </w:r>
      <w:r>
        <w:rPr>
          <w:rFonts w:hint="eastAsia" w:ascii="宋体" w:hAnsi="宋体" w:eastAsia="宋体"/>
          <w:color w:val="auto"/>
          <w:sz w:val="24"/>
          <w:szCs w:val="22"/>
          <w:highlight w:val="none"/>
          <w:lang w:eastAsia="zh-CN"/>
        </w:rPr>
        <w:t>.3获取方式：网上报名获取。</w:t>
      </w:r>
    </w:p>
    <w:p>
      <w:pPr>
        <w:spacing w:line="440" w:lineRule="exact"/>
        <w:ind w:firstLine="480" w:firstLineChars="20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请登录政采云平台https://www.zcygov.cn/在线申请获取采购文件（登录政府采购云平台—项目采购—获取采购文件—申请获取采购文件） 。</w:t>
      </w:r>
    </w:p>
    <w:p>
      <w:pPr>
        <w:spacing w:line="440" w:lineRule="exact"/>
        <w:ind w:firstLine="480" w:firstLineChars="20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提示：（1）投标人只有在“政府采购云平台”完成获取采购文件申请并下载采购文件后才视作依法参与本项目。如未在“政府采购云平台”内完成相关流程，引起的投标无效责任自负。</w:t>
      </w:r>
    </w:p>
    <w:p>
      <w:pPr>
        <w:spacing w:line="440" w:lineRule="exact"/>
        <w:ind w:firstLine="480" w:firstLineChars="20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（2）首次登录政府采购云平台的新用户应先点击“供应商入驻”，入驻成功后再登录。</w:t>
      </w:r>
    </w:p>
    <w:p>
      <w:pPr>
        <w:spacing w:line="440" w:lineRule="exact"/>
        <w:ind w:firstLine="480" w:firstLineChars="200"/>
        <w:rPr>
          <w:rFonts w:hint="eastAsia" w:ascii="宋体" w:hAnsi="宋体" w:eastAsia="宋体"/>
          <w:b/>
          <w:color w:val="auto"/>
          <w:sz w:val="24"/>
          <w:szCs w:val="22"/>
          <w:lang w:val="en-US" w:eastAsia="zh-CN"/>
        </w:rPr>
      </w:pPr>
      <w:r>
        <w:rPr>
          <w:rFonts w:hint="eastAsia" w:hAnsi="宋体"/>
          <w:color w:val="auto"/>
          <w:sz w:val="24"/>
          <w:szCs w:val="22"/>
          <w:highlight w:val="none"/>
          <w:lang w:val="en-US" w:eastAsia="zh-CN"/>
        </w:rPr>
        <w:t>9</w:t>
      </w:r>
      <w:r>
        <w:rPr>
          <w:rFonts w:hint="eastAsia" w:ascii="宋体" w:hAnsi="宋体" w:eastAsia="宋体"/>
          <w:color w:val="auto"/>
          <w:sz w:val="24"/>
          <w:szCs w:val="22"/>
          <w:highlight w:val="none"/>
          <w:lang w:eastAsia="zh-CN"/>
        </w:rPr>
        <w:t>.4招标文件售价：免费获取，投标资格不能转让。</w:t>
      </w:r>
    </w:p>
    <w:p>
      <w:pPr>
        <w:spacing w:line="440" w:lineRule="exact"/>
        <w:ind w:firstLine="482" w:firstLineChars="200"/>
        <w:rPr>
          <w:rFonts w:hint="eastAsia" w:ascii="宋体" w:hAnsi="宋体" w:eastAsia="宋体"/>
          <w:color w:val="auto"/>
          <w:sz w:val="24"/>
          <w:szCs w:val="22"/>
        </w:rPr>
      </w:pPr>
      <w:r>
        <w:rPr>
          <w:rFonts w:hint="eastAsia" w:ascii="宋体" w:hAnsi="宋体" w:eastAsia="宋体"/>
          <w:b/>
          <w:color w:val="auto"/>
          <w:sz w:val="24"/>
          <w:szCs w:val="22"/>
          <w:lang w:val="en-US" w:eastAsia="zh-CN"/>
        </w:rPr>
        <w:t>十</w:t>
      </w:r>
      <w:r>
        <w:rPr>
          <w:rFonts w:hint="eastAsia" w:ascii="宋体" w:hAnsi="宋体" w:eastAsia="宋体"/>
          <w:b/>
          <w:color w:val="auto"/>
          <w:sz w:val="24"/>
          <w:szCs w:val="22"/>
        </w:rPr>
        <w:t>、递交响应文件截止时间：</w:t>
      </w:r>
      <w:r>
        <w:rPr>
          <w:rFonts w:hint="eastAsia" w:ascii="宋体" w:hAnsi="宋体" w:eastAsia="宋体"/>
          <w:color w:val="auto"/>
          <w:sz w:val="24"/>
          <w:szCs w:val="22"/>
          <w:lang w:val="en-US" w:eastAsia="zh-CN"/>
        </w:rPr>
        <w:t>2021</w:t>
      </w:r>
      <w:r>
        <w:rPr>
          <w:rFonts w:hint="eastAsia" w:ascii="宋体" w:hAnsi="宋体" w:eastAsia="宋体"/>
          <w:color w:val="auto"/>
          <w:sz w:val="24"/>
          <w:szCs w:val="22"/>
        </w:rPr>
        <w:t>年</w:t>
      </w:r>
      <w:r>
        <w:rPr>
          <w:rFonts w:hint="eastAsia" w:hAnsi="宋体"/>
          <w:color w:val="auto"/>
          <w:sz w:val="24"/>
          <w:szCs w:val="22"/>
          <w:lang w:val="en-US" w:eastAsia="zh-CN"/>
        </w:rPr>
        <w:t>12</w:t>
      </w:r>
      <w:r>
        <w:rPr>
          <w:rFonts w:hint="eastAsia" w:ascii="宋体" w:hAnsi="宋体" w:eastAsia="宋体"/>
          <w:color w:val="auto"/>
          <w:sz w:val="24"/>
          <w:szCs w:val="22"/>
        </w:rPr>
        <w:t>月</w:t>
      </w:r>
      <w:r>
        <w:rPr>
          <w:rFonts w:hint="eastAsia" w:hAnsi="宋体"/>
          <w:color w:val="auto"/>
          <w:sz w:val="24"/>
          <w:szCs w:val="22"/>
          <w:lang w:val="en-US" w:eastAsia="zh-CN"/>
        </w:rPr>
        <w:t>28</w:t>
      </w:r>
      <w:r>
        <w:rPr>
          <w:rFonts w:hint="eastAsia" w:ascii="宋体" w:hAnsi="宋体" w:eastAsia="宋体"/>
          <w:color w:val="auto"/>
          <w:sz w:val="24"/>
          <w:szCs w:val="22"/>
        </w:rPr>
        <w:t>日10:</w:t>
      </w:r>
      <w:r>
        <w:rPr>
          <w:rFonts w:hint="eastAsia" w:ascii="宋体" w:hAnsi="宋体" w:eastAsia="宋体"/>
          <w:color w:val="auto"/>
          <w:sz w:val="24"/>
          <w:szCs w:val="22"/>
          <w:lang w:val="en-US" w:eastAsia="zh-CN"/>
        </w:rPr>
        <w:t>30</w:t>
      </w:r>
      <w:r>
        <w:rPr>
          <w:rFonts w:hint="eastAsia" w:ascii="宋体" w:hAnsi="宋体" w:eastAsia="宋体"/>
          <w:color w:val="auto"/>
          <w:sz w:val="24"/>
          <w:szCs w:val="22"/>
        </w:rPr>
        <w:t>（北京时间）。</w:t>
      </w:r>
    </w:p>
    <w:p>
      <w:pPr>
        <w:spacing w:after="120" w:line="440" w:lineRule="exact"/>
        <w:ind w:firstLine="482" w:firstLineChars="200"/>
        <w:rPr>
          <w:rFonts w:ascii="宋体" w:hAnsi="宋体"/>
          <w:color w:val="auto"/>
          <w:sz w:val="24"/>
          <w:szCs w:val="28"/>
        </w:rPr>
      </w:pPr>
      <w:r>
        <w:rPr>
          <w:rFonts w:hint="eastAsia" w:hAnsi="宋体"/>
          <w:b/>
          <w:color w:val="auto"/>
          <w:sz w:val="24"/>
          <w:szCs w:val="28"/>
          <w:lang w:eastAsia="zh-CN"/>
        </w:rPr>
        <w:t>十</w:t>
      </w:r>
      <w:r>
        <w:rPr>
          <w:rFonts w:hint="eastAsia" w:hAnsi="宋体"/>
          <w:b/>
          <w:color w:val="auto"/>
          <w:sz w:val="24"/>
          <w:szCs w:val="28"/>
          <w:lang w:val="en-US" w:eastAsia="zh-CN"/>
        </w:rPr>
        <w:t>一</w:t>
      </w:r>
      <w:r>
        <w:rPr>
          <w:rFonts w:hint="eastAsia" w:ascii="宋体" w:hAnsi="宋体"/>
          <w:b/>
          <w:color w:val="auto"/>
          <w:sz w:val="24"/>
        </w:rPr>
        <w:t>、递交响应文件地点：</w:t>
      </w:r>
      <w:r>
        <w:rPr>
          <w:rFonts w:hint="eastAsia" w:ascii="宋体" w:hAnsi="宋体"/>
          <w:color w:val="auto"/>
          <w:sz w:val="24"/>
        </w:rPr>
        <w:t>响应文件必须在递交响应文件截止时间前送达磋商地点。逾期送达、密封和标注错误的响应文件，采购人/采购代理机构恕不接收。本次采购不接收邮寄的响应文件。</w:t>
      </w:r>
    </w:p>
    <w:p>
      <w:pPr>
        <w:spacing w:after="120" w:line="440" w:lineRule="exact"/>
        <w:ind w:firstLine="482" w:firstLineChars="200"/>
        <w:rPr>
          <w:rFonts w:ascii="宋体" w:hAnsi="宋体"/>
          <w:color w:val="auto"/>
          <w:sz w:val="24"/>
          <w:szCs w:val="28"/>
        </w:rPr>
      </w:pPr>
      <w:r>
        <w:rPr>
          <w:rFonts w:hint="eastAsia" w:ascii="宋体" w:hAnsi="宋体"/>
          <w:b/>
          <w:color w:val="auto"/>
          <w:sz w:val="24"/>
          <w:szCs w:val="28"/>
        </w:rPr>
        <w:t>十</w:t>
      </w:r>
      <w:r>
        <w:rPr>
          <w:rFonts w:hint="eastAsia" w:hAnsi="宋体"/>
          <w:b/>
          <w:color w:val="auto"/>
          <w:sz w:val="24"/>
          <w:szCs w:val="28"/>
          <w:lang w:val="en-US" w:eastAsia="zh-CN"/>
        </w:rPr>
        <w:t>二</w:t>
      </w:r>
      <w:r>
        <w:rPr>
          <w:rFonts w:hint="eastAsia" w:ascii="宋体" w:hAnsi="宋体"/>
          <w:b/>
          <w:color w:val="auto"/>
          <w:sz w:val="24"/>
          <w:szCs w:val="28"/>
        </w:rPr>
        <w:t>、响应文件开启时间：</w:t>
      </w:r>
      <w:r>
        <w:rPr>
          <w:rFonts w:hint="eastAsia" w:hAnsi="宋体"/>
          <w:bCs/>
          <w:color w:val="auto"/>
          <w:sz w:val="24"/>
          <w:lang w:val="en-US" w:eastAsia="zh-CN"/>
        </w:rPr>
        <w:t>2021年12</w:t>
      </w:r>
      <w:r>
        <w:rPr>
          <w:rFonts w:hint="eastAsia" w:ascii="宋体" w:hAnsi="宋体"/>
          <w:bCs/>
          <w:color w:val="auto"/>
          <w:sz w:val="24"/>
        </w:rPr>
        <w:t>月</w:t>
      </w:r>
      <w:r>
        <w:rPr>
          <w:rFonts w:hint="eastAsia" w:hAnsi="宋体"/>
          <w:bCs/>
          <w:color w:val="auto"/>
          <w:sz w:val="24"/>
          <w:lang w:val="en-US" w:eastAsia="zh-CN"/>
        </w:rPr>
        <w:t>28</w:t>
      </w:r>
      <w:r>
        <w:rPr>
          <w:rFonts w:hint="eastAsia" w:ascii="宋体" w:hAnsi="宋体"/>
          <w:bCs/>
          <w:color w:val="auto"/>
          <w:sz w:val="24"/>
        </w:rPr>
        <w:t>日10</w:t>
      </w:r>
      <w:r>
        <w:rPr>
          <w:rFonts w:ascii="宋体" w:hAnsi="宋体"/>
          <w:bCs/>
          <w:color w:val="auto"/>
          <w:sz w:val="24"/>
        </w:rPr>
        <w:t>:</w:t>
      </w:r>
      <w:r>
        <w:rPr>
          <w:rFonts w:hint="eastAsia" w:hAnsi="宋体"/>
          <w:bCs/>
          <w:color w:val="auto"/>
          <w:sz w:val="24"/>
          <w:lang w:val="en-US" w:eastAsia="zh-CN"/>
        </w:rPr>
        <w:t>30</w:t>
      </w:r>
      <w:r>
        <w:rPr>
          <w:rFonts w:ascii="宋体" w:hAnsi="宋体"/>
          <w:color w:val="auto"/>
          <w:sz w:val="24"/>
          <w:szCs w:val="28"/>
        </w:rPr>
        <w:t>（北京时间）</w:t>
      </w:r>
      <w:r>
        <w:rPr>
          <w:rFonts w:hint="eastAsia" w:ascii="宋体" w:hAnsi="宋体"/>
          <w:color w:val="auto"/>
          <w:sz w:val="24"/>
          <w:szCs w:val="28"/>
        </w:rPr>
        <w:t>在磋商地点开启。</w:t>
      </w:r>
    </w:p>
    <w:p>
      <w:pPr>
        <w:spacing w:line="440" w:lineRule="exact"/>
        <w:ind w:firstLine="489" w:firstLineChars="203"/>
        <w:rPr>
          <w:rFonts w:ascii="宋体" w:hAnsi="宋体"/>
          <w:color w:val="auto"/>
          <w:sz w:val="24"/>
          <w:szCs w:val="28"/>
        </w:rPr>
      </w:pPr>
      <w:r>
        <w:rPr>
          <w:rFonts w:hint="eastAsia" w:ascii="宋体" w:hAnsi="宋体"/>
          <w:b/>
          <w:color w:val="auto"/>
          <w:sz w:val="24"/>
          <w:szCs w:val="28"/>
        </w:rPr>
        <w:t>十</w:t>
      </w:r>
      <w:r>
        <w:rPr>
          <w:rFonts w:hint="eastAsia" w:hAnsi="宋体"/>
          <w:b/>
          <w:color w:val="auto"/>
          <w:sz w:val="24"/>
          <w:szCs w:val="28"/>
          <w:lang w:val="en-US" w:eastAsia="zh-CN"/>
        </w:rPr>
        <w:t>三</w:t>
      </w:r>
      <w:r>
        <w:rPr>
          <w:rFonts w:hint="eastAsia" w:ascii="宋体" w:hAnsi="宋体"/>
          <w:b/>
          <w:color w:val="auto"/>
          <w:sz w:val="24"/>
          <w:szCs w:val="28"/>
        </w:rPr>
        <w:t>、磋商</w:t>
      </w:r>
      <w:r>
        <w:rPr>
          <w:rFonts w:ascii="宋体" w:hAnsi="宋体"/>
          <w:b/>
          <w:color w:val="auto"/>
          <w:sz w:val="24"/>
          <w:szCs w:val="28"/>
        </w:rPr>
        <w:t>地点：</w:t>
      </w:r>
      <w:r>
        <w:rPr>
          <w:rFonts w:hint="eastAsia" w:ascii="宋体" w:hAnsi="宋体"/>
          <w:color w:val="auto"/>
          <w:sz w:val="24"/>
          <w:szCs w:val="28"/>
          <w:u w:val="single"/>
        </w:rPr>
        <w:t>崇州市世纪大道1396号</w:t>
      </w:r>
      <w:r>
        <w:rPr>
          <w:rFonts w:hint="eastAsia" w:ascii="宋体" w:hAnsi="宋体"/>
          <w:color w:val="auto"/>
          <w:sz w:val="24"/>
          <w:szCs w:val="28"/>
          <w:u w:val="single"/>
          <w:lang w:val="en-US" w:eastAsia="zh-CN"/>
        </w:rPr>
        <w:t>6</w:t>
      </w:r>
      <w:r>
        <w:rPr>
          <w:rFonts w:hint="eastAsia" w:ascii="宋体" w:hAnsi="宋体"/>
          <w:color w:val="auto"/>
          <w:sz w:val="24"/>
          <w:szCs w:val="28"/>
          <w:u w:val="single"/>
        </w:rPr>
        <w:t>栋</w:t>
      </w:r>
      <w:r>
        <w:rPr>
          <w:rFonts w:hint="eastAsia" w:ascii="宋体" w:hAnsi="宋体"/>
          <w:color w:val="auto"/>
          <w:sz w:val="24"/>
          <w:szCs w:val="28"/>
          <w:u w:val="single"/>
          <w:lang w:val="en-US" w:eastAsia="zh-CN"/>
        </w:rPr>
        <w:t>3</w:t>
      </w:r>
      <w:r>
        <w:rPr>
          <w:rFonts w:hint="eastAsia" w:ascii="宋体" w:hAnsi="宋体"/>
          <w:color w:val="auto"/>
          <w:sz w:val="24"/>
          <w:szCs w:val="28"/>
          <w:u w:val="single"/>
        </w:rPr>
        <w:t>楼</w:t>
      </w:r>
      <w:r>
        <w:rPr>
          <w:rFonts w:hint="eastAsia" w:hAnsi="宋体"/>
          <w:color w:val="auto"/>
          <w:sz w:val="24"/>
          <w:szCs w:val="28"/>
          <w:u w:val="single"/>
          <w:lang w:val="en-US" w:eastAsia="zh-CN"/>
        </w:rPr>
        <w:t>6号</w:t>
      </w:r>
      <w:r>
        <w:rPr>
          <w:rFonts w:hint="eastAsia" w:ascii="宋体" w:hAnsi="宋体"/>
          <w:color w:val="auto"/>
          <w:sz w:val="24"/>
          <w:szCs w:val="28"/>
        </w:rPr>
        <w:t>。</w:t>
      </w:r>
    </w:p>
    <w:p>
      <w:pPr>
        <w:pStyle w:val="46"/>
        <w:spacing w:line="440" w:lineRule="exact"/>
        <w:ind w:firstLine="482"/>
        <w:rPr>
          <w:rFonts w:hint="eastAsia"/>
          <w:b/>
          <w:color w:val="auto"/>
          <w:sz w:val="24"/>
        </w:rPr>
      </w:pPr>
      <w:r>
        <w:rPr>
          <w:rFonts w:hint="eastAsia"/>
          <w:b/>
          <w:color w:val="auto"/>
          <w:sz w:val="24"/>
        </w:rPr>
        <w:t>十</w:t>
      </w:r>
      <w:r>
        <w:rPr>
          <w:rFonts w:hint="eastAsia"/>
          <w:b/>
          <w:color w:val="auto"/>
          <w:sz w:val="24"/>
          <w:lang w:val="en-US" w:eastAsia="zh-CN"/>
        </w:rPr>
        <w:t>四</w:t>
      </w:r>
      <w:r>
        <w:rPr>
          <w:rFonts w:hint="eastAsia"/>
          <w:b/>
          <w:color w:val="auto"/>
          <w:sz w:val="24"/>
        </w:rPr>
        <w:t xml:space="preserve">、联系方式  </w:t>
      </w:r>
    </w:p>
    <w:p>
      <w:pPr>
        <w:pStyle w:val="2"/>
        <w:spacing w:line="360" w:lineRule="auto"/>
        <w:ind w:firstLine="482" w:firstLineChars="200"/>
        <w:rPr>
          <w:rFonts w:hint="eastAsia" w:hAnsi="宋体" w:cs="宋体"/>
          <w:b/>
          <w:bCs/>
          <w:color w:val="auto"/>
          <w:sz w:val="24"/>
          <w:szCs w:val="24"/>
          <w:lang w:val="en-US" w:eastAsia="zh-CN"/>
        </w:rPr>
      </w:pPr>
      <w:r>
        <w:rPr>
          <w:rFonts w:hint="eastAsia" w:ascii="宋体" w:hAnsi="宋体" w:cs="宋体"/>
          <w:b/>
          <w:bCs/>
          <w:color w:val="auto"/>
          <w:sz w:val="24"/>
          <w:szCs w:val="24"/>
        </w:rPr>
        <w:t>采购人：</w:t>
      </w:r>
      <w:r>
        <w:rPr>
          <w:rFonts w:hint="eastAsia" w:hAnsi="宋体" w:cs="宋体"/>
          <w:b/>
          <w:bCs/>
          <w:color w:val="auto"/>
          <w:sz w:val="24"/>
          <w:szCs w:val="24"/>
          <w:lang w:val="en-US" w:eastAsia="zh-CN"/>
        </w:rPr>
        <w:t xml:space="preserve"> 崇州市白头镇人民政府</w:t>
      </w:r>
    </w:p>
    <w:p>
      <w:pPr>
        <w:pStyle w:val="2"/>
        <w:spacing w:line="360" w:lineRule="auto"/>
        <w:ind w:firstLine="480" w:firstLineChars="200"/>
        <w:rPr>
          <w:rFonts w:hint="default" w:ascii="宋体" w:hAnsi="宋体" w:eastAsia="宋体" w:cs="Times New Roman"/>
          <w:b w:val="0"/>
          <w:bCs w:val="0"/>
          <w:caps w:val="0"/>
          <w:color w:val="auto"/>
          <w:kern w:val="2"/>
          <w:sz w:val="24"/>
          <w:szCs w:val="24"/>
          <w:lang w:val="en-US" w:eastAsia="zh-CN" w:bidi="ar-SA"/>
        </w:rPr>
      </w:pPr>
      <w:r>
        <w:rPr>
          <w:rFonts w:hint="eastAsia" w:ascii="宋体" w:hAnsi="宋体" w:eastAsia="宋体" w:cs="Times New Roman"/>
          <w:b w:val="0"/>
          <w:bCs w:val="0"/>
          <w:caps w:val="0"/>
          <w:color w:val="auto"/>
          <w:kern w:val="2"/>
          <w:sz w:val="24"/>
          <w:szCs w:val="24"/>
          <w:lang w:val="en-US" w:eastAsia="zh-CN" w:bidi="ar-SA"/>
        </w:rPr>
        <w:t>通讯地址：</w:t>
      </w:r>
      <w:r>
        <w:rPr>
          <w:rFonts w:hint="eastAsia" w:hAnsi="宋体" w:cs="Times New Roman"/>
          <w:b w:val="0"/>
          <w:bCs w:val="0"/>
          <w:caps w:val="0"/>
          <w:color w:val="auto"/>
          <w:kern w:val="2"/>
          <w:sz w:val="24"/>
          <w:szCs w:val="24"/>
          <w:lang w:val="en-US" w:eastAsia="zh-CN" w:bidi="ar-SA"/>
        </w:rPr>
        <w:t xml:space="preserve"> 崇州市白头镇甘泉街9号 </w:t>
      </w:r>
    </w:p>
    <w:p>
      <w:pPr>
        <w:pStyle w:val="2"/>
        <w:spacing w:line="360" w:lineRule="auto"/>
        <w:ind w:firstLine="480" w:firstLineChars="200"/>
        <w:rPr>
          <w:rFonts w:hint="eastAsia" w:ascii="宋体" w:hAnsi="宋体" w:eastAsia="宋体" w:cs="Times New Roman"/>
          <w:b w:val="0"/>
          <w:bCs w:val="0"/>
          <w:caps w:val="0"/>
          <w:color w:val="auto"/>
          <w:kern w:val="2"/>
          <w:sz w:val="24"/>
          <w:szCs w:val="24"/>
          <w:lang w:val="en-US" w:eastAsia="zh-CN" w:bidi="ar-SA"/>
        </w:rPr>
      </w:pPr>
      <w:r>
        <w:rPr>
          <w:rFonts w:hint="eastAsia" w:ascii="宋体" w:hAnsi="宋体" w:eastAsia="宋体" w:cs="Times New Roman"/>
          <w:b w:val="0"/>
          <w:bCs w:val="0"/>
          <w:caps w:val="0"/>
          <w:color w:val="auto"/>
          <w:kern w:val="2"/>
          <w:sz w:val="24"/>
          <w:szCs w:val="24"/>
          <w:lang w:val="en-US" w:eastAsia="zh-CN" w:bidi="ar-SA"/>
        </w:rPr>
        <w:t>联系人：</w:t>
      </w:r>
      <w:r>
        <w:rPr>
          <w:rFonts w:hint="eastAsia" w:hAnsi="宋体" w:cs="Times New Roman"/>
          <w:b w:val="0"/>
          <w:bCs w:val="0"/>
          <w:caps w:val="0"/>
          <w:color w:val="auto"/>
          <w:kern w:val="2"/>
          <w:sz w:val="24"/>
          <w:szCs w:val="24"/>
          <w:lang w:val="en-US" w:eastAsia="zh-CN" w:bidi="ar-SA"/>
        </w:rPr>
        <w:t xml:space="preserve">蒋老师 </w:t>
      </w:r>
    </w:p>
    <w:p>
      <w:pPr>
        <w:pStyle w:val="2"/>
        <w:spacing w:line="360" w:lineRule="auto"/>
        <w:ind w:firstLine="480" w:firstLineChars="200"/>
        <w:rPr>
          <w:rFonts w:hint="eastAsia"/>
        </w:rPr>
      </w:pPr>
      <w:r>
        <w:rPr>
          <w:rFonts w:hint="eastAsia" w:ascii="宋体" w:hAnsi="宋体" w:eastAsia="宋体" w:cs="Times New Roman"/>
          <w:b w:val="0"/>
          <w:bCs w:val="0"/>
          <w:caps w:val="0"/>
          <w:color w:val="auto"/>
          <w:kern w:val="2"/>
          <w:sz w:val="24"/>
          <w:szCs w:val="24"/>
          <w:lang w:val="en-US" w:eastAsia="zh-CN" w:bidi="ar-SA"/>
        </w:rPr>
        <w:t xml:space="preserve">联系电话：028-82235428 </w:t>
      </w:r>
    </w:p>
    <w:p>
      <w:pPr>
        <w:pStyle w:val="2"/>
        <w:spacing w:line="360" w:lineRule="auto"/>
        <w:ind w:firstLine="482" w:firstLineChars="200"/>
        <w:rPr>
          <w:rFonts w:hint="eastAsia" w:eastAsia="宋体"/>
          <w:b/>
          <w:color w:val="auto"/>
          <w:sz w:val="24"/>
          <w:lang w:eastAsia="zh-CN"/>
        </w:rPr>
      </w:pPr>
      <w:r>
        <w:rPr>
          <w:rFonts w:hint="eastAsia"/>
          <w:b/>
          <w:color w:val="auto"/>
          <w:sz w:val="24"/>
        </w:rPr>
        <w:t>采购代理机构：</w:t>
      </w:r>
      <w:r>
        <w:rPr>
          <w:rFonts w:hint="eastAsia"/>
          <w:b/>
          <w:color w:val="auto"/>
          <w:sz w:val="24"/>
          <w:lang w:eastAsia="zh-CN"/>
        </w:rPr>
        <w:t>四川映池工程管理有限责任公司</w:t>
      </w:r>
    </w:p>
    <w:p>
      <w:pPr>
        <w:pStyle w:val="46"/>
        <w:spacing w:line="360" w:lineRule="auto"/>
        <w:ind w:left="0" w:leftChars="0" w:firstLine="480" w:firstLineChars="200"/>
        <w:rPr>
          <w:rFonts w:hint="default" w:eastAsia="宋体"/>
          <w:color w:val="auto"/>
          <w:sz w:val="24"/>
          <w:lang w:val="en-US" w:eastAsia="zh-CN"/>
        </w:rPr>
      </w:pPr>
      <w:bookmarkStart w:id="4" w:name="_Toc217446031"/>
      <w:bookmarkStart w:id="5" w:name="_Toc532395206"/>
      <w:bookmarkStart w:id="6" w:name="_Toc213496267"/>
      <w:bookmarkStart w:id="7" w:name="_Toc531718369"/>
      <w:bookmarkStart w:id="8" w:name="_Toc514154117"/>
      <w:bookmarkStart w:id="9" w:name="_Toc213396945"/>
      <w:bookmarkStart w:id="10" w:name="_Toc739"/>
      <w:bookmarkStart w:id="11" w:name="_Toc213397009"/>
      <w:bookmarkStart w:id="12" w:name="_Toc213396759"/>
      <w:r>
        <w:rPr>
          <w:rFonts w:hint="eastAsia"/>
          <w:color w:val="auto"/>
          <w:sz w:val="24"/>
        </w:rPr>
        <w:t>通讯地址：</w:t>
      </w:r>
      <w:r>
        <w:rPr>
          <w:rFonts w:hint="eastAsia" w:ascii="宋体" w:hAnsi="宋体"/>
          <w:color w:val="auto"/>
          <w:sz w:val="24"/>
        </w:rPr>
        <w:t>崇州市世纪大道1396号</w:t>
      </w:r>
      <w:r>
        <w:rPr>
          <w:rFonts w:hint="eastAsia" w:ascii="宋体" w:hAnsi="宋体"/>
          <w:color w:val="auto"/>
          <w:sz w:val="24"/>
          <w:lang w:val="en-US" w:eastAsia="zh-CN"/>
        </w:rPr>
        <w:t>6</w:t>
      </w:r>
      <w:r>
        <w:rPr>
          <w:rFonts w:hint="eastAsia" w:ascii="宋体" w:hAnsi="宋体"/>
          <w:color w:val="auto"/>
          <w:sz w:val="24"/>
        </w:rPr>
        <w:t>栋</w:t>
      </w:r>
      <w:r>
        <w:rPr>
          <w:rFonts w:hint="eastAsia" w:ascii="宋体" w:hAnsi="宋体"/>
          <w:color w:val="auto"/>
          <w:sz w:val="24"/>
          <w:lang w:val="en-US" w:eastAsia="zh-CN"/>
        </w:rPr>
        <w:t>3</w:t>
      </w:r>
      <w:r>
        <w:rPr>
          <w:rFonts w:hint="eastAsia" w:ascii="宋体" w:hAnsi="宋体"/>
          <w:color w:val="auto"/>
          <w:sz w:val="24"/>
        </w:rPr>
        <w:t>楼</w:t>
      </w:r>
      <w:r>
        <w:rPr>
          <w:rFonts w:hint="eastAsia" w:hAnsi="宋体"/>
          <w:color w:val="auto"/>
          <w:sz w:val="24"/>
          <w:lang w:val="en-US" w:eastAsia="zh-CN"/>
        </w:rPr>
        <w:t>6号</w:t>
      </w:r>
    </w:p>
    <w:p>
      <w:pPr>
        <w:pStyle w:val="46"/>
        <w:spacing w:line="360" w:lineRule="auto"/>
        <w:ind w:left="0" w:leftChars="0" w:firstLine="480" w:firstLineChars="200"/>
        <w:rPr>
          <w:rFonts w:hint="default"/>
          <w:color w:val="auto"/>
          <w:sz w:val="24"/>
          <w:lang w:val="en-US"/>
        </w:rPr>
      </w:pPr>
      <w:r>
        <w:rPr>
          <w:rFonts w:hint="eastAsia"/>
          <w:color w:val="auto"/>
          <w:sz w:val="24"/>
        </w:rPr>
        <w:t>联 系 人：</w:t>
      </w:r>
      <w:r>
        <w:rPr>
          <w:rFonts w:hint="eastAsia"/>
          <w:color w:val="auto"/>
          <w:sz w:val="24"/>
          <w:lang w:val="en-US" w:eastAsia="zh-CN"/>
        </w:rPr>
        <w:t>王老师</w:t>
      </w:r>
    </w:p>
    <w:p>
      <w:pPr>
        <w:pStyle w:val="46"/>
        <w:spacing w:line="360" w:lineRule="auto"/>
        <w:ind w:left="0" w:leftChars="0" w:firstLine="480" w:firstLineChars="200"/>
        <w:rPr>
          <w:rFonts w:hint="eastAsia" w:eastAsia="宋体"/>
          <w:color w:val="auto"/>
          <w:sz w:val="24"/>
          <w:lang w:eastAsia="zh-CN"/>
        </w:rPr>
        <w:sectPr>
          <w:headerReference r:id="rId9" w:type="first"/>
          <w:footerReference r:id="rId11" w:type="first"/>
          <w:headerReference r:id="rId8" w:type="default"/>
          <w:footerReference r:id="rId10"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color w:val="auto"/>
          <w:sz w:val="24"/>
        </w:rPr>
        <w:t>联系电话：</w:t>
      </w:r>
      <w:r>
        <w:rPr>
          <w:rFonts w:hint="eastAsia"/>
          <w:color w:val="auto"/>
          <w:sz w:val="24"/>
          <w:lang w:eastAsia="zh-CN"/>
        </w:rPr>
        <w:t>028-82215357</w:t>
      </w:r>
    </w:p>
    <w:p>
      <w:pPr>
        <w:pStyle w:val="3"/>
        <w:keepNext w:val="0"/>
        <w:keepLines w:val="0"/>
        <w:spacing w:line="240" w:lineRule="atLeast"/>
        <w:jc w:val="center"/>
        <w:rPr>
          <w:color w:val="auto"/>
          <w:sz w:val="36"/>
          <w:szCs w:val="36"/>
        </w:rPr>
      </w:pPr>
      <w:r>
        <w:rPr>
          <w:rFonts w:hint="eastAsia"/>
          <w:color w:val="auto"/>
          <w:sz w:val="36"/>
          <w:szCs w:val="36"/>
        </w:rPr>
        <w:t>第二章  磋商须知</w:t>
      </w:r>
      <w:bookmarkEnd w:id="4"/>
      <w:bookmarkEnd w:id="5"/>
      <w:bookmarkEnd w:id="6"/>
      <w:bookmarkEnd w:id="7"/>
      <w:bookmarkEnd w:id="8"/>
      <w:bookmarkEnd w:id="9"/>
      <w:bookmarkEnd w:id="10"/>
      <w:bookmarkEnd w:id="11"/>
      <w:bookmarkEnd w:id="12"/>
    </w:p>
    <w:p>
      <w:pPr>
        <w:pStyle w:val="4"/>
        <w:keepNext w:val="0"/>
        <w:keepLines w:val="0"/>
        <w:spacing w:line="240" w:lineRule="atLeast"/>
        <w:jc w:val="center"/>
        <w:rPr>
          <w:color w:val="auto"/>
        </w:rPr>
      </w:pPr>
      <w:bookmarkStart w:id="13" w:name="_Toc514154118"/>
      <w:bookmarkStart w:id="14" w:name="_Toc514154247"/>
      <w:bookmarkStart w:id="15" w:name="_Toc531718370"/>
      <w:r>
        <w:rPr>
          <w:rFonts w:hint="eastAsia"/>
          <w:color w:val="auto"/>
        </w:rPr>
        <w:t>一、供应商须知附表</w:t>
      </w:r>
      <w:bookmarkEnd w:id="13"/>
      <w:bookmarkEnd w:id="14"/>
      <w:bookmarkEnd w:id="15"/>
    </w:p>
    <w:tbl>
      <w:tblPr>
        <w:tblStyle w:val="3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left="9"/>
              <w:jc w:val="center"/>
              <w:rPr>
                <w:color w:val="auto"/>
                <w:lang w:val="zh-CN"/>
              </w:rPr>
            </w:pPr>
            <w:r>
              <w:rPr>
                <w:rFonts w:hint="eastAsia"/>
                <w:color w:val="auto"/>
                <w:lang w:val="zh-CN"/>
              </w:rPr>
              <w:t>序号</w:t>
            </w:r>
          </w:p>
        </w:tc>
        <w:tc>
          <w:tcPr>
            <w:tcW w:w="2409" w:type="dxa"/>
            <w:vAlign w:val="center"/>
          </w:tcPr>
          <w:p>
            <w:pPr>
              <w:pStyle w:val="55"/>
              <w:ind w:left="38"/>
              <w:jc w:val="center"/>
              <w:rPr>
                <w:color w:val="auto"/>
                <w:lang w:val="zh-CN"/>
              </w:rPr>
            </w:pPr>
            <w:r>
              <w:rPr>
                <w:rFonts w:hint="eastAsia"/>
                <w:color w:val="auto"/>
                <w:lang w:val="zh-CN"/>
              </w:rPr>
              <w:t>应知事项</w:t>
            </w:r>
          </w:p>
        </w:tc>
        <w:tc>
          <w:tcPr>
            <w:tcW w:w="6084" w:type="dxa"/>
            <w:vAlign w:val="center"/>
          </w:tcPr>
          <w:p>
            <w:pPr>
              <w:pStyle w:val="55"/>
              <w:jc w:val="center"/>
              <w:rPr>
                <w:color w:val="auto"/>
                <w:lang w:val="zh-CN"/>
              </w:rPr>
            </w:pPr>
            <w:r>
              <w:rPr>
                <w:rFonts w:hint="eastAsia"/>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cs="Courier New"/>
                <w:color w:val="auto"/>
                <w:lang w:val="zh-CN"/>
              </w:rPr>
            </w:pPr>
            <w:r>
              <w:rPr>
                <w:rFonts w:hint="eastAsia" w:cs="Courier New"/>
                <w:color w:val="auto"/>
                <w:lang w:val="zh-CN"/>
              </w:rPr>
              <w:t>1</w:t>
            </w:r>
          </w:p>
        </w:tc>
        <w:tc>
          <w:tcPr>
            <w:tcW w:w="2409" w:type="dxa"/>
            <w:vAlign w:val="center"/>
          </w:tcPr>
          <w:p>
            <w:pPr>
              <w:pStyle w:val="55"/>
              <w:ind w:left="38"/>
              <w:jc w:val="center"/>
              <w:rPr>
                <w:color w:val="auto"/>
                <w:lang w:val="zh-CN"/>
              </w:rPr>
            </w:pPr>
            <w:r>
              <w:rPr>
                <w:rFonts w:hint="eastAsia"/>
                <w:color w:val="auto"/>
                <w:lang w:val="zh-CN"/>
              </w:rPr>
              <w:t>确定邀请磋商的供应商数量和方式</w:t>
            </w:r>
          </w:p>
        </w:tc>
        <w:tc>
          <w:tcPr>
            <w:tcW w:w="6084" w:type="dxa"/>
            <w:vAlign w:val="center"/>
          </w:tcPr>
          <w:p>
            <w:pPr>
              <w:pStyle w:val="55"/>
              <w:ind w:firstLine="240" w:firstLineChars="100"/>
              <w:jc w:val="both"/>
              <w:rPr>
                <w:color w:val="auto"/>
                <w:lang w:val="zh-CN"/>
              </w:rPr>
            </w:pPr>
            <w:r>
              <w:rPr>
                <w:rFonts w:hint="eastAsia"/>
                <w:color w:val="auto"/>
                <w:lang w:val="zh-CN"/>
              </w:rPr>
              <w:t>本次磋商邀请的供应商数量：不得少于3家</w:t>
            </w:r>
          </w:p>
          <w:p>
            <w:pPr>
              <w:pStyle w:val="55"/>
              <w:ind w:firstLine="240" w:firstLineChars="100"/>
              <w:jc w:val="both"/>
              <w:rPr>
                <w:color w:val="auto"/>
                <w:lang w:val="zh-CN"/>
              </w:rPr>
            </w:pPr>
            <w:r>
              <w:rPr>
                <w:rFonts w:hint="eastAsia"/>
                <w:color w:val="auto"/>
                <w:sz w:val="24"/>
                <w:szCs w:val="24"/>
                <w:lang w:val="zh-CN"/>
              </w:rPr>
              <w:t>本次采购采取在四川政府采购网（www.ccgp-sichuan.gov.cn）上以公告形式的方式邀请参加磋商的供应商。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cs="Courier New"/>
                <w:color w:val="auto"/>
                <w:lang w:val="zh-CN"/>
              </w:rPr>
            </w:pPr>
            <w:r>
              <w:rPr>
                <w:rFonts w:hint="eastAsia" w:cs="Courier New"/>
                <w:color w:val="auto"/>
                <w:lang w:val="zh-CN"/>
              </w:rPr>
              <w:t>2</w:t>
            </w:r>
          </w:p>
        </w:tc>
        <w:tc>
          <w:tcPr>
            <w:tcW w:w="2409" w:type="dxa"/>
            <w:vAlign w:val="center"/>
          </w:tcPr>
          <w:p>
            <w:pPr>
              <w:pStyle w:val="55"/>
              <w:ind w:left="38"/>
              <w:jc w:val="center"/>
              <w:rPr>
                <w:color w:val="auto"/>
                <w:lang w:val="zh-CN"/>
              </w:rPr>
            </w:pPr>
            <w:r>
              <w:rPr>
                <w:rFonts w:hint="eastAsia"/>
                <w:color w:val="auto"/>
                <w:lang w:val="zh-CN"/>
              </w:rPr>
              <w:t>采购预算</w:t>
            </w:r>
          </w:p>
          <w:p>
            <w:pPr>
              <w:pStyle w:val="55"/>
              <w:ind w:left="38"/>
              <w:jc w:val="center"/>
              <w:rPr>
                <w:color w:val="auto"/>
                <w:lang w:val="zh-CN"/>
              </w:rPr>
            </w:pPr>
            <w:r>
              <w:rPr>
                <w:rFonts w:hint="eastAsia"/>
                <w:color w:val="auto"/>
                <w:lang w:val="zh-CN"/>
              </w:rPr>
              <w:t>（实质性要求）</w:t>
            </w:r>
          </w:p>
        </w:tc>
        <w:tc>
          <w:tcPr>
            <w:tcW w:w="6084" w:type="dxa"/>
            <w:vAlign w:val="center"/>
          </w:tcPr>
          <w:p>
            <w:pPr>
              <w:pStyle w:val="55"/>
              <w:ind w:firstLine="240" w:firstLineChars="100"/>
              <w:jc w:val="both"/>
              <w:rPr>
                <w:color w:val="auto"/>
                <w:lang w:val="zh-CN"/>
              </w:rPr>
            </w:pPr>
            <w:r>
              <w:rPr>
                <w:rFonts w:hint="eastAsia"/>
                <w:color w:val="auto"/>
                <w:lang w:val="zh-CN"/>
              </w:rPr>
              <w:t>采购预算：</w:t>
            </w:r>
            <w:r>
              <w:rPr>
                <w:rFonts w:hint="eastAsia"/>
                <w:color w:val="auto"/>
                <w:sz w:val="24"/>
                <w:lang w:val="en-US" w:eastAsia="zh-CN"/>
              </w:rPr>
              <w:t>150万</w:t>
            </w:r>
            <w:r>
              <w:rPr>
                <w:rFonts w:hint="eastAsia"/>
                <w:color w:val="auto"/>
                <w:lang w:val="en-US" w:eastAsia="zh-CN"/>
              </w:rPr>
              <w:t>元</w:t>
            </w:r>
            <w:r>
              <w:rPr>
                <w:rFonts w:hint="eastAsia"/>
                <w:color w:val="auto"/>
                <w:lang w:val="zh-CN"/>
              </w:rPr>
              <w:t>；</w:t>
            </w:r>
          </w:p>
          <w:p>
            <w:pPr>
              <w:pStyle w:val="55"/>
              <w:ind w:firstLine="240" w:firstLineChars="100"/>
              <w:jc w:val="both"/>
              <w:rPr>
                <w:color w:val="auto"/>
                <w:lang w:val="zh-CN"/>
              </w:rPr>
            </w:pPr>
            <w:r>
              <w:rPr>
                <w:rFonts w:hint="eastAsia"/>
                <w:color w:val="auto"/>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cs="Courier New"/>
                <w:color w:val="auto"/>
                <w:lang w:val="zh-CN"/>
              </w:rPr>
            </w:pPr>
            <w:r>
              <w:rPr>
                <w:rFonts w:hint="eastAsia" w:cs="Courier New"/>
                <w:color w:val="auto"/>
                <w:lang w:val="zh-CN"/>
              </w:rPr>
              <w:t>3</w:t>
            </w:r>
          </w:p>
        </w:tc>
        <w:tc>
          <w:tcPr>
            <w:tcW w:w="2409" w:type="dxa"/>
            <w:vAlign w:val="center"/>
          </w:tcPr>
          <w:p>
            <w:pPr>
              <w:pStyle w:val="55"/>
              <w:ind w:left="38"/>
              <w:jc w:val="center"/>
              <w:rPr>
                <w:color w:val="auto"/>
                <w:lang w:val="zh-CN"/>
              </w:rPr>
            </w:pPr>
            <w:r>
              <w:rPr>
                <w:rFonts w:hint="eastAsia"/>
                <w:color w:val="auto"/>
                <w:lang w:val="zh-CN"/>
              </w:rPr>
              <w:t>最高限价</w:t>
            </w:r>
          </w:p>
          <w:p>
            <w:pPr>
              <w:pStyle w:val="55"/>
              <w:ind w:left="38"/>
              <w:jc w:val="center"/>
              <w:rPr>
                <w:color w:val="auto"/>
                <w:lang w:val="zh-CN"/>
              </w:rPr>
            </w:pPr>
            <w:r>
              <w:rPr>
                <w:rFonts w:hint="eastAsia"/>
                <w:color w:val="auto"/>
                <w:lang w:val="zh-CN"/>
              </w:rPr>
              <w:t>（实质性要求）</w:t>
            </w:r>
          </w:p>
        </w:tc>
        <w:tc>
          <w:tcPr>
            <w:tcW w:w="6084" w:type="dxa"/>
            <w:vAlign w:val="center"/>
          </w:tcPr>
          <w:p>
            <w:pPr>
              <w:pStyle w:val="55"/>
              <w:ind w:firstLine="240" w:firstLineChars="100"/>
              <w:jc w:val="both"/>
              <w:rPr>
                <w:color w:val="auto"/>
                <w:lang w:val="zh-CN"/>
              </w:rPr>
            </w:pPr>
            <w:r>
              <w:rPr>
                <w:rFonts w:hint="eastAsia"/>
                <w:color w:val="auto"/>
                <w:lang w:val="zh-CN"/>
              </w:rPr>
              <w:t>最高限价：</w:t>
            </w:r>
            <w:r>
              <w:rPr>
                <w:rFonts w:hint="eastAsia"/>
                <w:color w:val="auto"/>
                <w:lang w:val="en-US" w:eastAsia="zh-CN"/>
              </w:rPr>
              <w:t>150</w:t>
            </w:r>
            <w:r>
              <w:rPr>
                <w:rFonts w:hint="eastAsia"/>
                <w:color w:val="auto"/>
                <w:sz w:val="24"/>
                <w:lang w:val="en-US" w:eastAsia="zh-CN"/>
              </w:rPr>
              <w:t>万</w:t>
            </w:r>
            <w:r>
              <w:rPr>
                <w:rFonts w:hint="eastAsia"/>
                <w:color w:val="auto"/>
                <w:lang w:val="en-US" w:eastAsia="zh-CN"/>
              </w:rPr>
              <w:t>元</w:t>
            </w:r>
            <w:r>
              <w:rPr>
                <w:rFonts w:hint="eastAsia"/>
                <w:color w:val="auto"/>
                <w:lang w:val="zh-CN" w:eastAsia="zh-CN"/>
              </w:rPr>
              <w:t>；</w:t>
            </w:r>
          </w:p>
          <w:p>
            <w:pPr>
              <w:pStyle w:val="55"/>
              <w:ind w:firstLine="240" w:firstLineChars="100"/>
              <w:jc w:val="both"/>
              <w:rPr>
                <w:color w:val="auto"/>
                <w:lang w:val="zh-CN"/>
              </w:rPr>
            </w:pPr>
            <w:r>
              <w:rPr>
                <w:rFonts w:hint="eastAsia"/>
                <w:color w:val="auto"/>
                <w:lang w:val="zh-CN"/>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cs="Courier New"/>
                <w:color w:val="auto"/>
                <w:lang w:val="zh-CN"/>
              </w:rPr>
            </w:pPr>
            <w:r>
              <w:rPr>
                <w:rFonts w:hint="eastAsia" w:cs="Courier New"/>
                <w:color w:val="auto"/>
                <w:lang w:val="zh-CN"/>
              </w:rPr>
              <w:t>4</w:t>
            </w:r>
          </w:p>
        </w:tc>
        <w:tc>
          <w:tcPr>
            <w:tcW w:w="2409" w:type="dxa"/>
            <w:vAlign w:val="center"/>
          </w:tcPr>
          <w:p>
            <w:pPr>
              <w:pStyle w:val="55"/>
              <w:ind w:left="38"/>
              <w:jc w:val="center"/>
              <w:rPr>
                <w:color w:val="auto"/>
                <w:lang w:val="zh-CN"/>
              </w:rPr>
            </w:pPr>
            <w:r>
              <w:rPr>
                <w:rFonts w:hint="eastAsia"/>
                <w:color w:val="auto"/>
                <w:lang w:val="zh-CN"/>
              </w:rPr>
              <w:t>联合体</w:t>
            </w:r>
          </w:p>
        </w:tc>
        <w:tc>
          <w:tcPr>
            <w:tcW w:w="6084" w:type="dxa"/>
            <w:vAlign w:val="center"/>
          </w:tcPr>
          <w:p>
            <w:pPr>
              <w:pStyle w:val="55"/>
              <w:ind w:firstLine="240" w:firstLineChars="100"/>
              <w:jc w:val="both"/>
              <w:rPr>
                <w:color w:val="auto"/>
                <w:lang w:val="zh-CN"/>
              </w:rPr>
            </w:pPr>
            <w:r>
              <w:rPr>
                <w:rFonts w:hint="eastAsia"/>
                <w:color w:val="auto"/>
                <w:lang w:val="en-US" w:eastAsia="zh-CN"/>
              </w:rPr>
              <w:t>不</w:t>
            </w:r>
            <w:r>
              <w:rPr>
                <w:rFonts w:hint="eastAsia"/>
                <w:color w:val="auto"/>
                <w:lang w:val="zh-CN"/>
              </w:rPr>
              <w:t>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eastAsia" w:eastAsia="宋体" w:cs="Courier New"/>
                <w:color w:val="auto"/>
                <w:lang w:val="en-US" w:eastAsia="zh-CN"/>
              </w:rPr>
            </w:pPr>
            <w:r>
              <w:rPr>
                <w:rFonts w:hint="eastAsia" w:cs="Courier New"/>
                <w:color w:val="auto"/>
                <w:lang w:val="en-US" w:eastAsia="zh-CN"/>
              </w:rPr>
              <w:t>5</w:t>
            </w:r>
          </w:p>
        </w:tc>
        <w:tc>
          <w:tcPr>
            <w:tcW w:w="2409"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是否专门面向中</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小企业（实质性要</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求）</w:t>
            </w:r>
          </w:p>
          <w:p>
            <w:pPr>
              <w:pStyle w:val="55"/>
              <w:ind w:left="38"/>
              <w:jc w:val="center"/>
              <w:rPr>
                <w:rFonts w:hint="eastAsia"/>
                <w:color w:val="auto"/>
                <w:lang w:val="zh-CN"/>
              </w:rPr>
            </w:pPr>
          </w:p>
        </w:tc>
        <w:tc>
          <w:tcPr>
            <w:tcW w:w="6084" w:type="dxa"/>
            <w:vAlign w:val="center"/>
          </w:tcPr>
          <w:p>
            <w:pPr>
              <w:pStyle w:val="55"/>
              <w:ind w:firstLine="240" w:firstLineChars="100"/>
              <w:jc w:val="both"/>
              <w:rPr>
                <w:rFonts w:hint="eastAsia"/>
                <w:color w:val="auto"/>
                <w:lang w:val="zh-CN"/>
              </w:rPr>
            </w:pPr>
            <w:r>
              <w:rPr>
                <w:rFonts w:hint="eastAsia"/>
                <w:color w:val="auto"/>
                <w:lang w:val="zh-CN"/>
              </w:rPr>
              <w:t>是</w:t>
            </w:r>
          </w:p>
          <w:p>
            <w:pPr>
              <w:pStyle w:val="55"/>
              <w:ind w:firstLine="240" w:firstLineChars="100"/>
              <w:jc w:val="both"/>
              <w:rPr>
                <w:rFonts w:hint="eastAsia"/>
                <w:color w:val="auto"/>
                <w:lang w:val="zh-CN"/>
              </w:rPr>
            </w:pPr>
            <w:r>
              <w:rPr>
                <w:rFonts w:hint="eastAsia"/>
                <w:color w:val="auto"/>
                <w:lang w:val="zh-CN"/>
              </w:rPr>
              <w:t>备注：监狱企业、残疾人福利性单位视为小型或微型企业，供应商需提供相关证明材料。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cs="Courier New"/>
                <w:color w:val="auto"/>
                <w:lang w:val="en-US" w:eastAsia="zh-CN"/>
              </w:rPr>
            </w:pPr>
            <w:r>
              <w:rPr>
                <w:rFonts w:hint="eastAsia" w:cs="Courier New"/>
                <w:color w:val="auto"/>
                <w:lang w:val="en-US" w:eastAsia="zh-CN"/>
              </w:rPr>
              <w:t>6</w:t>
            </w:r>
          </w:p>
        </w:tc>
        <w:tc>
          <w:tcPr>
            <w:tcW w:w="2409" w:type="dxa"/>
            <w:vAlign w:val="center"/>
          </w:tcPr>
          <w:p>
            <w:pPr>
              <w:keepNext w:val="0"/>
              <w:keepLines w:val="0"/>
              <w:widowControl/>
              <w:suppressLineNumbers w:val="0"/>
              <w:ind w:left="38"/>
              <w:jc w:val="center"/>
              <w:rPr>
                <w:rFonts w:hint="eastAsia"/>
                <w:color w:val="auto"/>
                <w:lang w:val="zh-CN"/>
              </w:rPr>
            </w:pPr>
            <w:r>
              <w:rPr>
                <w:rFonts w:hint="eastAsia" w:ascii="宋体" w:hAnsi="宋体" w:eastAsia="宋体" w:cs="宋体"/>
                <w:color w:val="000000"/>
                <w:kern w:val="0"/>
                <w:sz w:val="24"/>
                <w:szCs w:val="24"/>
                <w:lang w:val="en-US" w:eastAsia="zh-CN" w:bidi="ar"/>
              </w:rPr>
              <w:t>项目所属行业</w:t>
            </w:r>
          </w:p>
        </w:tc>
        <w:tc>
          <w:tcPr>
            <w:tcW w:w="6084" w:type="dxa"/>
            <w:vAlign w:val="center"/>
          </w:tcPr>
          <w:p>
            <w:pPr>
              <w:keepNext w:val="0"/>
              <w:keepLines w:val="0"/>
              <w:widowControl/>
              <w:suppressLineNumbers w:val="0"/>
              <w:jc w:val="left"/>
              <w:rPr>
                <w:rFonts w:hint="eastAsia"/>
                <w:color w:val="auto"/>
                <w:lang w:val="zh-CN"/>
              </w:rPr>
            </w:pPr>
            <w:r>
              <w:rPr>
                <w:rFonts w:hint="eastAsia" w:ascii="宋体" w:hAnsi="宋体" w:eastAsia="宋体" w:cs="宋体"/>
                <w:color w:val="auto"/>
                <w:sz w:val="24"/>
                <w:szCs w:val="24"/>
                <w:lang w:val="en-US" w:eastAsia="zh-CN" w:bidi="ar-SA"/>
              </w:rPr>
              <w:t>本项目属于</w:t>
            </w:r>
            <w:r>
              <w:rPr>
                <w:rFonts w:hint="eastAsia" w:hAnsi="宋体" w:cs="宋体"/>
                <w:color w:val="auto"/>
                <w:sz w:val="24"/>
                <w:szCs w:val="24"/>
                <w:u w:val="single"/>
                <w:lang w:val="en-US" w:eastAsia="zh-CN" w:bidi="ar-SA"/>
              </w:rPr>
              <w:t xml:space="preserve"> </w:t>
            </w:r>
            <w:r>
              <w:rPr>
                <w:rFonts w:hint="eastAsia" w:hAnsi="宋体" w:cs="宋体"/>
                <w:color w:val="auto"/>
                <w:sz w:val="24"/>
                <w:szCs w:val="24"/>
                <w:highlight w:val="none"/>
                <w:u w:val="single"/>
                <w:lang w:val="en-US" w:eastAsia="zh-CN" w:bidi="ar-SA"/>
              </w:rPr>
              <w:t>其他未列明</w:t>
            </w:r>
            <w:r>
              <w:rPr>
                <w:rFonts w:hint="eastAsia" w:hAnsi="宋体" w:cs="宋体"/>
                <w:color w:val="auto"/>
                <w:sz w:val="24"/>
                <w:szCs w:val="24"/>
                <w:u w:val="single"/>
                <w:lang w:val="en-US" w:eastAsia="zh-CN" w:bidi="ar-SA"/>
              </w:rPr>
              <w:t xml:space="preserve"> </w:t>
            </w:r>
            <w:r>
              <w:rPr>
                <w:rFonts w:hint="eastAsia" w:ascii="宋体" w:hAnsi="宋体" w:eastAsia="宋体" w:cs="宋体"/>
                <w:color w:val="auto"/>
                <w:sz w:val="24"/>
                <w:szCs w:val="24"/>
                <w:lang w:val="en-US" w:eastAsia="zh-CN" w:bidi="ar-SA"/>
              </w:rPr>
              <w:t xml:space="preserve">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eastAsia" w:eastAsia="宋体" w:cs="Courier New"/>
                <w:color w:val="auto"/>
                <w:lang w:val="zh-CN" w:eastAsia="zh-CN"/>
              </w:rPr>
            </w:pPr>
            <w:r>
              <w:rPr>
                <w:rFonts w:hint="eastAsia" w:cs="Courier New"/>
                <w:color w:val="auto"/>
                <w:lang w:val="en-US" w:eastAsia="zh-CN"/>
              </w:rPr>
              <w:t>7</w:t>
            </w:r>
          </w:p>
        </w:tc>
        <w:tc>
          <w:tcPr>
            <w:tcW w:w="2409" w:type="dxa"/>
            <w:vAlign w:val="center"/>
          </w:tcPr>
          <w:p>
            <w:pPr>
              <w:pStyle w:val="55"/>
              <w:ind w:left="38"/>
              <w:jc w:val="center"/>
              <w:rPr>
                <w:color w:val="auto"/>
              </w:rPr>
            </w:pPr>
            <w:r>
              <w:rPr>
                <w:rFonts w:hint="eastAsia"/>
                <w:color w:val="auto"/>
              </w:rPr>
              <w:t>低于成本价</w:t>
            </w:r>
          </w:p>
          <w:p>
            <w:pPr>
              <w:pStyle w:val="55"/>
              <w:ind w:left="38"/>
              <w:jc w:val="center"/>
              <w:rPr>
                <w:color w:val="auto"/>
              </w:rPr>
            </w:pPr>
            <w:r>
              <w:rPr>
                <w:rFonts w:hint="eastAsia"/>
                <w:color w:val="auto"/>
              </w:rPr>
              <w:t>不正当竞争预防措施</w:t>
            </w:r>
          </w:p>
          <w:p>
            <w:pPr>
              <w:pStyle w:val="55"/>
              <w:ind w:left="38"/>
              <w:jc w:val="center"/>
              <w:rPr>
                <w:color w:val="auto"/>
              </w:rPr>
            </w:pPr>
            <w:r>
              <w:rPr>
                <w:rFonts w:hint="eastAsia"/>
                <w:color w:val="auto"/>
              </w:rPr>
              <w:t>（实质性要求）</w:t>
            </w:r>
          </w:p>
        </w:tc>
        <w:tc>
          <w:tcPr>
            <w:tcW w:w="6084" w:type="dxa"/>
            <w:vAlign w:val="center"/>
          </w:tcPr>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1. 在评审过程中，磋商小组认为投标人的报价明显低于其他通过</w:t>
            </w:r>
            <w:r>
              <w:rPr>
                <w:rFonts w:hint="eastAsia" w:hAnsi="宋体"/>
                <w:color w:val="000000" w:themeColor="text1"/>
                <w:sz w:val="24"/>
                <w:lang w:val="en-US" w:eastAsia="zh-CN"/>
                <w14:textFill>
                  <w14:solidFill>
                    <w14:schemeClr w14:val="tx1"/>
                  </w14:solidFill>
                </w14:textFill>
              </w:rPr>
              <w:t>资格</w:t>
            </w:r>
            <w:r>
              <w:rPr>
                <w:rFonts w:hint="eastAsia" w:ascii="宋体" w:hAnsi="宋体"/>
                <w:color w:val="000000" w:themeColor="text1"/>
                <w:sz w:val="24"/>
                <w14:textFill>
                  <w14:solidFill>
                    <w14:schemeClr w14:val="tx1"/>
                  </w14:solidFill>
                </w14:textFill>
              </w:rPr>
              <w:t>性审查投标人的报价，有可能影响产品质量或者不能诚信履约</w:t>
            </w:r>
            <w:r>
              <w:rPr>
                <w:rFonts w:hint="eastAsia" w:ascii="宋体" w:hAnsi="宋体"/>
                <w:color w:val="auto"/>
                <w:sz w:val="24"/>
              </w:rPr>
              <w:t>的，应当要求其在评标现场合理的时间内提供书面说明，必要时提交相关证明材料；投标人不能证明其报价合理性的，磋商小组应当将其作为无效投标处理。</w:t>
            </w:r>
          </w:p>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 xml:space="preserve">2. 供应商书面说明应当签字确认或者加盖公章，否则无效。书面说明的签字确认，由其法定代表人/主要负责人/本人或者其授权代表签字确认。 </w:t>
            </w:r>
          </w:p>
          <w:p>
            <w:pPr>
              <w:spacing w:line="320" w:lineRule="exact"/>
              <w:ind w:left="170" w:leftChars="50" w:right="170" w:rightChars="50" w:firstLine="240" w:firstLineChars="100"/>
              <w:rPr>
                <w:color w:val="auto"/>
              </w:rPr>
            </w:pPr>
            <w:r>
              <w:rPr>
                <w:rFonts w:hint="eastAsia" w:ascii="宋体" w:hAnsi="宋体"/>
                <w:color w:val="auto"/>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Merge w:val="restart"/>
            <w:vAlign w:val="center"/>
          </w:tcPr>
          <w:p>
            <w:pPr>
              <w:pStyle w:val="55"/>
              <w:ind w:right="230"/>
              <w:jc w:val="center"/>
              <w:rPr>
                <w:rFonts w:hint="eastAsia" w:eastAsia="宋体" w:cs="Courier New"/>
                <w:color w:val="auto"/>
                <w:lang w:val="en-US" w:eastAsia="zh-CN"/>
              </w:rPr>
            </w:pPr>
            <w:r>
              <w:rPr>
                <w:rFonts w:hint="eastAsia" w:cs="Courier New"/>
                <w:color w:val="auto"/>
                <w:lang w:val="en-US" w:eastAsia="zh-CN"/>
              </w:rPr>
              <w:t>8</w:t>
            </w:r>
          </w:p>
        </w:tc>
        <w:tc>
          <w:tcPr>
            <w:tcW w:w="2409"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小微企业价格扣</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除</w:t>
            </w:r>
          </w:p>
          <w:p>
            <w:pPr>
              <w:pStyle w:val="55"/>
              <w:ind w:left="38"/>
              <w:jc w:val="center"/>
              <w:rPr>
                <w:color w:val="auto"/>
                <w:lang w:val="zh-CN"/>
              </w:rPr>
            </w:pPr>
          </w:p>
        </w:tc>
        <w:tc>
          <w:tcPr>
            <w:tcW w:w="6084" w:type="dxa"/>
          </w:tcPr>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1、本项目专门面向中小企业，因此不再对小微企业进行价格扣除。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2、参加政府采购活动的中小企业应当提供《中小企业声明函》原件。</w:t>
            </w:r>
          </w:p>
          <w:p>
            <w:pPr>
              <w:spacing w:line="320" w:lineRule="exact"/>
              <w:ind w:left="170" w:leftChars="50" w:right="170" w:rightChars="50" w:firstLine="240" w:firstLineChars="1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Merge w:val="continue"/>
            <w:vAlign w:val="center"/>
          </w:tcPr>
          <w:p>
            <w:pPr>
              <w:pStyle w:val="55"/>
              <w:ind w:right="230"/>
              <w:jc w:val="center"/>
              <w:rPr>
                <w:rFonts w:cs="Courier New"/>
                <w:color w:val="auto"/>
                <w:lang w:val="zh-CN"/>
              </w:rPr>
            </w:pPr>
          </w:p>
        </w:tc>
        <w:tc>
          <w:tcPr>
            <w:tcW w:w="2409"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监狱企业</w:t>
            </w:r>
          </w:p>
          <w:p>
            <w:pPr>
              <w:pStyle w:val="55"/>
              <w:ind w:left="38"/>
              <w:jc w:val="center"/>
              <w:rPr>
                <w:color w:val="auto"/>
                <w:lang w:val="zh-CN"/>
              </w:rPr>
            </w:pPr>
          </w:p>
        </w:tc>
        <w:tc>
          <w:tcPr>
            <w:tcW w:w="6084" w:type="dxa"/>
          </w:tcPr>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1、本项目专门面向中小企业，监狱企业视为小型或微型企业，因此不再对监狱企业进行价格扣除。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2、参加政府采购活动的监狱企业应当提供省级以上监狱管理局、戒毒管理局（含新疆生产建设兵团）出具的属于监狱企业的证明文件。</w:t>
            </w:r>
          </w:p>
          <w:p>
            <w:pPr>
              <w:spacing w:line="320" w:lineRule="exact"/>
              <w:ind w:left="170" w:leftChars="50" w:right="170" w:rightChars="50" w:firstLine="240" w:firstLineChars="1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Merge w:val="continue"/>
            <w:vAlign w:val="center"/>
          </w:tcPr>
          <w:p>
            <w:pPr>
              <w:pStyle w:val="55"/>
              <w:ind w:right="230"/>
              <w:jc w:val="center"/>
              <w:rPr>
                <w:rFonts w:cs="Courier New"/>
                <w:color w:val="auto"/>
                <w:lang w:val="zh-CN"/>
              </w:rPr>
            </w:pPr>
          </w:p>
        </w:tc>
        <w:tc>
          <w:tcPr>
            <w:tcW w:w="2409"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残疾人福利性单</w:t>
            </w:r>
          </w:p>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位</w:t>
            </w:r>
          </w:p>
          <w:p>
            <w:pPr>
              <w:pStyle w:val="55"/>
              <w:ind w:left="38"/>
              <w:jc w:val="center"/>
              <w:rPr>
                <w:color w:val="auto"/>
                <w:lang w:val="zh-CN"/>
              </w:rPr>
            </w:pPr>
          </w:p>
        </w:tc>
        <w:tc>
          <w:tcPr>
            <w:tcW w:w="6084" w:type="dxa"/>
          </w:tcPr>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1、本项目专门面向中小企业，残疾人福利性单位视为小型或微型企业，因此不再对残疾人福利性单位进行价格扣除。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2、参加政府采购活动的残疾人福利性单位应当提供《残疾人福利性单位声明函》原件。</w:t>
            </w:r>
          </w:p>
          <w:p>
            <w:pPr>
              <w:spacing w:line="320" w:lineRule="exact"/>
              <w:ind w:left="170" w:leftChars="50" w:right="170" w:rightChars="50" w:firstLine="240" w:firstLineChars="1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eastAsia" w:eastAsia="宋体" w:cs="Courier New"/>
                <w:color w:val="auto"/>
                <w:lang w:val="zh-CN" w:eastAsia="zh-CN"/>
              </w:rPr>
            </w:pPr>
            <w:r>
              <w:rPr>
                <w:rFonts w:hint="eastAsia" w:cs="Courier New"/>
                <w:color w:val="auto"/>
                <w:lang w:val="en-US" w:eastAsia="zh-CN"/>
              </w:rPr>
              <w:t>9</w:t>
            </w:r>
          </w:p>
        </w:tc>
        <w:tc>
          <w:tcPr>
            <w:tcW w:w="2409" w:type="dxa"/>
            <w:vAlign w:val="center"/>
          </w:tcPr>
          <w:p>
            <w:pPr>
              <w:pStyle w:val="55"/>
              <w:ind w:left="38"/>
              <w:jc w:val="center"/>
              <w:rPr>
                <w:color w:val="auto"/>
                <w:lang w:val="zh-CN"/>
              </w:rPr>
            </w:pPr>
            <w:r>
              <w:rPr>
                <w:rFonts w:hint="eastAsia"/>
                <w:color w:val="auto"/>
                <w:lang w:val="zh-CN"/>
              </w:rPr>
              <w:t>失信企业报价加成</w:t>
            </w:r>
          </w:p>
          <w:p>
            <w:pPr>
              <w:pStyle w:val="55"/>
              <w:ind w:left="38"/>
              <w:jc w:val="center"/>
              <w:rPr>
                <w:rFonts w:hint="eastAsia" w:eastAsia="宋体"/>
                <w:color w:val="auto"/>
                <w:lang w:val="en-US" w:eastAsia="zh-CN"/>
              </w:rPr>
            </w:pPr>
            <w:r>
              <w:rPr>
                <w:rFonts w:hint="eastAsia"/>
                <w:color w:val="auto"/>
                <w:lang w:val="zh-CN"/>
              </w:rPr>
              <w:t>或者扣分</w:t>
            </w:r>
          </w:p>
          <w:p>
            <w:pPr>
              <w:pStyle w:val="55"/>
              <w:ind w:left="38"/>
              <w:jc w:val="center"/>
              <w:rPr>
                <w:color w:val="auto"/>
                <w:lang w:val="zh-CN"/>
              </w:rPr>
            </w:pPr>
          </w:p>
        </w:tc>
        <w:tc>
          <w:tcPr>
            <w:tcW w:w="6084" w:type="dxa"/>
          </w:tcPr>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 xml:space="preserve"> </w:t>
            </w:r>
          </w:p>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1.对记入诚信档案且在有效期内的失信供应商，参加政府采购活动按照</w:t>
            </w:r>
            <w:r>
              <w:rPr>
                <w:rFonts w:hint="eastAsia" w:ascii="宋体" w:hAnsi="宋体"/>
                <w:color w:val="auto"/>
                <w:sz w:val="24"/>
                <w:lang w:val="en-US" w:eastAsia="zh-CN"/>
              </w:rPr>
              <w:t>10</w:t>
            </w:r>
            <w:r>
              <w:rPr>
                <w:rFonts w:hint="eastAsia" w:ascii="宋体" w:hAnsi="宋体"/>
                <w:color w:val="auto"/>
                <w:sz w:val="24"/>
              </w:rPr>
              <w:t>%的报价加成，以加成后报价作为该供应商报价参与评审。供应商失信行为惩戒实行无限制累加制，因其失信行为进行报价加成惩戒后报价超过政府采购预算的，其响应文件按照无效处理。</w:t>
            </w:r>
          </w:p>
          <w:p>
            <w:pPr>
              <w:spacing w:line="320" w:lineRule="exact"/>
              <w:ind w:left="170" w:leftChars="50" w:right="170" w:rightChars="50" w:firstLine="240" w:firstLineChars="100"/>
              <w:rPr>
                <w:rFonts w:ascii="宋体" w:hAnsi="宋体"/>
                <w:color w:val="auto"/>
                <w:sz w:val="24"/>
              </w:rPr>
            </w:pPr>
            <w:r>
              <w:rPr>
                <w:rFonts w:hint="eastAsia" w:ascii="宋体" w:hAnsi="宋体"/>
                <w:color w:val="auto"/>
                <w:sz w:val="24"/>
              </w:rPr>
              <w:t>2.供应商参加政府采购活动时，应当就自己的诚信情况在响应文件中进行承诺。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10</w:t>
            </w:r>
          </w:p>
        </w:tc>
        <w:tc>
          <w:tcPr>
            <w:tcW w:w="2409" w:type="dxa"/>
            <w:vAlign w:val="center"/>
          </w:tcPr>
          <w:p>
            <w:pPr>
              <w:pStyle w:val="55"/>
              <w:ind w:left="38"/>
              <w:jc w:val="center"/>
              <w:rPr>
                <w:color w:val="auto"/>
                <w:lang w:val="zh-CN"/>
              </w:rPr>
            </w:pPr>
            <w:r>
              <w:rPr>
                <w:rFonts w:hint="eastAsia"/>
                <w:color w:val="auto"/>
                <w:lang w:val="zh-CN"/>
              </w:rPr>
              <w:t>磋商情况公告</w:t>
            </w:r>
          </w:p>
        </w:tc>
        <w:tc>
          <w:tcPr>
            <w:tcW w:w="6084" w:type="dxa"/>
            <w:vAlign w:val="center"/>
          </w:tcPr>
          <w:p>
            <w:pPr>
              <w:pStyle w:val="55"/>
              <w:ind w:firstLine="240" w:firstLineChars="100"/>
              <w:jc w:val="both"/>
              <w:rPr>
                <w:color w:val="auto"/>
                <w:lang w:val="zh-CN"/>
              </w:rPr>
            </w:pPr>
            <w:r>
              <w:rPr>
                <w:rFonts w:hint="eastAsia"/>
                <w:color w:val="auto"/>
                <w:lang w:val="zh-CN"/>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11</w:t>
            </w:r>
          </w:p>
        </w:tc>
        <w:tc>
          <w:tcPr>
            <w:tcW w:w="2409" w:type="dxa"/>
            <w:vAlign w:val="center"/>
          </w:tcPr>
          <w:p>
            <w:pPr>
              <w:pStyle w:val="55"/>
              <w:ind w:left="38"/>
              <w:jc w:val="center"/>
              <w:rPr>
                <w:color w:val="auto"/>
                <w:lang w:val="zh-CN"/>
              </w:rPr>
            </w:pPr>
            <w:r>
              <w:rPr>
                <w:rFonts w:hint="eastAsia"/>
                <w:color w:val="auto"/>
                <w:lang w:val="zh-CN"/>
              </w:rPr>
              <w:t>磋商保证金</w:t>
            </w:r>
          </w:p>
        </w:tc>
        <w:tc>
          <w:tcPr>
            <w:tcW w:w="6084" w:type="dxa"/>
            <w:vAlign w:val="center"/>
          </w:tcPr>
          <w:p>
            <w:pPr>
              <w:pStyle w:val="55"/>
              <w:ind w:firstLine="240" w:firstLineChars="100"/>
              <w:jc w:val="both"/>
              <w:rPr>
                <w:color w:val="auto"/>
                <w:lang w:val="zh-CN"/>
              </w:rPr>
            </w:pPr>
            <w:r>
              <w:rPr>
                <w:rFonts w:hint="eastAsia"/>
                <w:color w:val="auto"/>
                <w:lang w:val="zh-CN"/>
              </w:rPr>
              <w:t>根据《四川省财政厅关于进一步做好疫情防控期间政府采购工作有关事项的通知》（川财采 [2020]28 号）文件要求，本项目不收取磋商保证金。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12</w:t>
            </w:r>
          </w:p>
        </w:tc>
        <w:tc>
          <w:tcPr>
            <w:tcW w:w="2409" w:type="dxa"/>
            <w:vAlign w:val="center"/>
          </w:tcPr>
          <w:p>
            <w:pPr>
              <w:pStyle w:val="55"/>
              <w:ind w:left="38"/>
              <w:jc w:val="center"/>
              <w:rPr>
                <w:color w:val="auto"/>
                <w:lang w:val="zh-CN"/>
              </w:rPr>
            </w:pPr>
            <w:r>
              <w:rPr>
                <w:rFonts w:hint="eastAsia"/>
                <w:color w:val="auto"/>
                <w:lang w:val="zh-CN"/>
              </w:rPr>
              <w:t>履约保证金</w:t>
            </w:r>
          </w:p>
        </w:tc>
        <w:tc>
          <w:tcPr>
            <w:tcW w:w="6084" w:type="dxa"/>
            <w:vAlign w:val="center"/>
          </w:tcPr>
          <w:p>
            <w:pPr>
              <w:pStyle w:val="55"/>
              <w:spacing w:after="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金额：中标总金额的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p>
          <w:p>
            <w:pPr>
              <w:pStyle w:val="55"/>
              <w:spacing w:after="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交款方式：</w:t>
            </w:r>
            <w:r>
              <w:rPr>
                <w:rFonts w:hint="eastAsia" w:ascii="宋体" w:hAnsi="宋体" w:eastAsia="宋体" w:cs="宋体"/>
                <w:color w:val="auto"/>
                <w:sz w:val="24"/>
                <w:szCs w:val="24"/>
                <w:highlight w:val="none"/>
              </w:rPr>
              <w:t>银行转账、银行保函等形式缴纳</w:t>
            </w:r>
          </w:p>
          <w:p>
            <w:pPr>
              <w:pStyle w:val="55"/>
              <w:spacing w:after="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收款单位：</w:t>
            </w:r>
            <w:r>
              <w:rPr>
                <w:rFonts w:hint="eastAsia" w:ascii="宋体" w:hAnsi="宋体" w:eastAsia="宋体" w:cs="宋体"/>
                <w:color w:val="auto"/>
                <w:sz w:val="24"/>
                <w:szCs w:val="24"/>
                <w:highlight w:val="none"/>
                <w:lang w:val="zh-CN" w:eastAsia="zh-CN"/>
              </w:rPr>
              <w:t>崇州市白头镇人民政府</w:t>
            </w:r>
          </w:p>
          <w:p>
            <w:pPr>
              <w:pStyle w:val="55"/>
              <w:ind w:firstLine="240" w:firstLineChars="100"/>
              <w:jc w:val="both"/>
              <w:rPr>
                <w:rFonts w:hint="default" w:eastAsia="宋体"/>
                <w:color w:val="auto"/>
                <w:lang w:val="en-US" w:eastAsia="zh-CN"/>
              </w:rPr>
            </w:pPr>
            <w:r>
              <w:rPr>
                <w:rFonts w:hint="eastAsia" w:ascii="宋体" w:hAnsi="宋体" w:eastAsia="宋体" w:cs="宋体"/>
                <w:color w:val="auto"/>
                <w:sz w:val="24"/>
                <w:szCs w:val="24"/>
                <w:highlight w:val="none"/>
                <w:lang w:val="zh-CN"/>
              </w:rPr>
              <w:t>交款时间：中标通知书发放后，政府采购合同签订前。（可与采购人商量是否收取）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13</w:t>
            </w:r>
          </w:p>
        </w:tc>
        <w:tc>
          <w:tcPr>
            <w:tcW w:w="2409" w:type="dxa"/>
            <w:vAlign w:val="center"/>
          </w:tcPr>
          <w:p>
            <w:pPr>
              <w:spacing w:line="340" w:lineRule="exact"/>
              <w:ind w:left="170" w:leftChars="50" w:right="170" w:rightChars="50"/>
              <w:jc w:val="center"/>
              <w:rPr>
                <w:rFonts w:hint="eastAsia"/>
                <w:color w:val="auto"/>
                <w:lang w:val="zh-CN"/>
              </w:rPr>
            </w:pPr>
            <w:r>
              <w:rPr>
                <w:rFonts w:hint="eastAsia" w:ascii="宋体" w:hAnsi="宋体" w:eastAsia="宋体" w:cs="宋体"/>
                <w:color w:val="000000"/>
                <w:kern w:val="0"/>
                <w:sz w:val="24"/>
                <w:szCs w:val="24"/>
                <w:lang w:val="zh-CN"/>
              </w:rPr>
              <w:t>节能、环境标志及无线局域网和强制认证产品政府采购政策（如涉及）</w:t>
            </w:r>
          </w:p>
        </w:tc>
        <w:tc>
          <w:tcPr>
            <w:tcW w:w="6084" w:type="dxa"/>
            <w:vAlign w:val="center"/>
          </w:tcPr>
          <w:p>
            <w:pPr>
              <w:spacing w:line="340" w:lineRule="exact"/>
              <w:ind w:left="170" w:leftChars="50" w:right="170" w:rightChars="5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一、节能、</w:t>
            </w:r>
            <w:r>
              <w:rPr>
                <w:rFonts w:hint="eastAsia" w:ascii="宋体" w:hAnsi="宋体" w:eastAsia="宋体" w:cs="宋体"/>
                <w:color w:val="000000"/>
                <w:kern w:val="0"/>
                <w:sz w:val="24"/>
                <w:szCs w:val="24"/>
                <w:lang w:val="zh-CN"/>
              </w:rPr>
              <w:t>环境标志</w:t>
            </w:r>
            <w:r>
              <w:rPr>
                <w:rFonts w:hint="eastAsia" w:ascii="宋体" w:hAnsi="宋体" w:cs="宋体"/>
                <w:color w:val="000000" w:themeColor="text1"/>
                <w:kern w:val="0"/>
                <w:sz w:val="24"/>
                <w:szCs w:val="24"/>
                <w14:textFill>
                  <w14:solidFill>
                    <w14:schemeClr w14:val="tx1"/>
                  </w14:solidFill>
                </w14:textFill>
              </w:rPr>
              <w:t>产品政府采购政策：</w:t>
            </w:r>
          </w:p>
          <w:p>
            <w:pPr>
              <w:spacing w:line="340" w:lineRule="exact"/>
              <w:ind w:left="170" w:leftChars="50" w:right="170" w:rightChars="5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40" w:lineRule="exact"/>
              <w:ind w:left="170" w:leftChars="50" w:right="170" w:rightChars="50"/>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本项目采购的产品</w:t>
            </w:r>
            <w:r>
              <w:rPr>
                <w:rFonts w:hint="eastAsia" w:ascii="宋体" w:hAnsi="宋体" w:eastAsia="宋体" w:cs="宋体"/>
                <w:color w:val="000000" w:themeColor="text1"/>
                <w:kern w:val="0"/>
                <w:sz w:val="24"/>
                <w:szCs w:val="24"/>
                <w:lang w:eastAsia="zh-CN"/>
                <w14:textFill>
                  <w14:solidFill>
                    <w14:schemeClr w14:val="tx1"/>
                  </w14:solidFill>
                </w14:textFill>
              </w:rPr>
              <w:t>如果</w:t>
            </w:r>
            <w:r>
              <w:rPr>
                <w:rFonts w:hint="eastAsia" w:ascii="宋体" w:hAnsi="宋体" w:eastAsia="宋体" w:cs="宋体"/>
                <w:color w:val="000000" w:themeColor="text1"/>
                <w:kern w:val="0"/>
                <w:sz w:val="24"/>
                <w:szCs w:val="24"/>
                <w14:textFill>
                  <w14:solidFill>
                    <w14:schemeClr w14:val="tx1"/>
                  </w14:solidFill>
                </w14:textFill>
              </w:rPr>
              <w:t>属于品目清单范围内强制采购的，供应商应按上述要求</w:t>
            </w:r>
            <w:r>
              <w:rPr>
                <w:rFonts w:hint="eastAsia" w:hAnsi="宋体" w:cs="宋体"/>
                <w:color w:val="000000" w:themeColor="text1"/>
                <w:kern w:val="0"/>
                <w:sz w:val="24"/>
                <w:szCs w:val="24"/>
                <w:lang w:eastAsia="zh-CN"/>
                <w14:textFill>
                  <w14:solidFill>
                    <w14:schemeClr w14:val="tx1"/>
                  </w14:solidFill>
                </w14:textFill>
              </w:rPr>
              <w:t>在响应文件中</w:t>
            </w:r>
            <w:r>
              <w:rPr>
                <w:rFonts w:hint="eastAsia" w:ascii="宋体" w:hAnsi="宋体" w:eastAsia="宋体" w:cs="宋体"/>
                <w:color w:val="000000" w:themeColor="text1"/>
                <w:kern w:val="0"/>
                <w:sz w:val="24"/>
                <w:szCs w:val="24"/>
                <w14:textFill>
                  <w14:solidFill>
                    <w14:schemeClr w14:val="tx1"/>
                  </w14:solidFill>
                </w14:textFill>
              </w:rPr>
              <w:t>提供产品认证证书复印件并</w:t>
            </w:r>
            <w:r>
              <w:rPr>
                <w:rFonts w:hint="eastAsia" w:ascii="宋体" w:hAnsi="宋体" w:eastAsia="宋体" w:cs="宋体"/>
                <w:color w:val="000000" w:themeColor="text1"/>
                <w:sz w:val="24"/>
                <w:szCs w:val="24"/>
                <w:lang w:val="zh-CN"/>
                <w14:textFill>
                  <w14:solidFill>
                    <w14:schemeClr w14:val="tx1"/>
                  </w14:solidFill>
                </w14:textFill>
              </w:rPr>
              <w:t>加盖供应商单位公章（鲜章）</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（实质性要求）</w:t>
            </w:r>
          </w:p>
          <w:p>
            <w:pPr>
              <w:spacing w:line="340" w:lineRule="exact"/>
              <w:ind w:left="170" w:leftChars="50" w:right="170" w:rightChars="5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本项目采购的产品属于品目清单范围内优先采购的，</w:t>
            </w:r>
            <w:r>
              <w:rPr>
                <w:rFonts w:hint="eastAsia" w:ascii="宋体" w:hAnsi="宋体" w:cs="宋体"/>
                <w:color w:val="000000" w:themeColor="text1"/>
                <w:kern w:val="0"/>
                <w:sz w:val="24"/>
                <w:szCs w:val="24"/>
                <w:lang w:eastAsia="zh-CN"/>
                <w14:textFill>
                  <w14:solidFill>
                    <w14:schemeClr w14:val="tx1"/>
                  </w14:solidFill>
                </w14:textFill>
              </w:rPr>
              <w:t>将在评审价相同时优先推荐成交供应商。</w:t>
            </w:r>
          </w:p>
          <w:p>
            <w:pPr>
              <w:spacing w:line="340" w:lineRule="exact"/>
              <w:ind w:left="170" w:leftChars="50" w:right="170" w:rightChars="50"/>
              <w:rPr>
                <w:rFonts w:hint="eastAsia" w:ascii="宋体" w:hAnsi="宋体" w:eastAsia="宋体" w:cs="宋体"/>
                <w:color w:val="FF0000"/>
                <w:kern w:val="0"/>
                <w:sz w:val="24"/>
                <w:szCs w:val="24"/>
                <w:lang w:val="en-US" w:eastAsia="zh-CN"/>
              </w:rPr>
            </w:pPr>
            <w:r>
              <w:rPr>
                <w:rFonts w:hint="eastAsia" w:ascii="宋体" w:hAnsi="宋体" w:cs="宋体"/>
                <w:color w:val="000000" w:themeColor="text1"/>
                <w:kern w:val="0"/>
                <w:sz w:val="24"/>
                <w:szCs w:val="24"/>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40" w:lineRule="exact"/>
              <w:ind w:left="170" w:leftChars="50" w:right="170" w:rightChars="5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二、无线局域网产品政府采购政策：</w:t>
            </w:r>
          </w:p>
          <w:p>
            <w:pPr>
              <w:widowControl/>
              <w:jc w:val="left"/>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本项目采购的产品属于中国政府采购网公布的《无线局域网认证产品政府采购清单》的，</w:t>
            </w:r>
            <w:r>
              <w:rPr>
                <w:rFonts w:hint="eastAsia" w:ascii="宋体" w:hAnsi="宋体" w:cs="宋体"/>
                <w:color w:val="000000" w:themeColor="text1"/>
                <w:kern w:val="0"/>
                <w:sz w:val="24"/>
                <w:szCs w:val="24"/>
                <w:lang w:eastAsia="zh-CN"/>
                <w14:textFill>
                  <w14:solidFill>
                    <w14:schemeClr w14:val="tx1"/>
                  </w14:solidFill>
                </w14:textFill>
              </w:rPr>
              <w:t>将在评审价相同时优先推荐成交供应商。</w:t>
            </w:r>
          </w:p>
          <w:p>
            <w:pPr>
              <w:widowControl/>
              <w:ind w:firstLine="210" w:firstLineChars="100"/>
              <w:jc w:val="left"/>
              <w:rPr>
                <w:rFonts w:hint="eastAsia"/>
                <w:color w:val="auto"/>
                <w:lang w:val="zh-CN"/>
              </w:rPr>
            </w:pPr>
            <w:r>
              <w:rPr>
                <w:rFonts w:hint="eastAsia" w:hAnsi="宋体" w:eastAsia="宋体" w:cs="宋体"/>
                <w:color w:val="auto"/>
                <w:kern w:val="0"/>
                <w:sz w:val="21"/>
                <w:szCs w:val="21"/>
                <w:highlight w:val="none"/>
                <w:lang w:eastAsia="zh-CN"/>
              </w:rPr>
              <w:t>三</w:t>
            </w:r>
            <w:r>
              <w:rPr>
                <w:rFonts w:hint="eastAsia" w:ascii="宋体" w:hAnsi="宋体" w:eastAsia="宋体" w:cs="宋体"/>
                <w:color w:val="auto"/>
                <w:kern w:val="0"/>
                <w:sz w:val="24"/>
                <w:szCs w:val="24"/>
                <w:highlight w:val="none"/>
                <w:lang w:eastAsia="zh-CN"/>
              </w:rPr>
              <w:t>、本项目产品若涉及国家“CCC”</w:t>
            </w:r>
            <w:r>
              <w:rPr>
                <w:rFonts w:hint="eastAsia" w:ascii="宋体" w:hAnsi="宋体" w:eastAsia="宋体" w:cs="宋体"/>
                <w:color w:val="auto"/>
                <w:kern w:val="0"/>
                <w:sz w:val="24"/>
                <w:szCs w:val="24"/>
                <w:highlight w:val="none"/>
                <w:lang w:val="en-US" w:eastAsia="zh-CN"/>
              </w:rPr>
              <w:t>等强制认证，投标人须承诺签订合同前提供相关证明。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14</w:t>
            </w:r>
          </w:p>
        </w:tc>
        <w:tc>
          <w:tcPr>
            <w:tcW w:w="2409" w:type="dxa"/>
            <w:vAlign w:val="center"/>
          </w:tcPr>
          <w:p>
            <w:pPr>
              <w:pStyle w:val="55"/>
              <w:ind w:left="38"/>
              <w:jc w:val="center"/>
              <w:rPr>
                <w:color w:val="auto"/>
                <w:lang w:val="zh-CN"/>
              </w:rPr>
            </w:pPr>
            <w:r>
              <w:rPr>
                <w:rFonts w:hint="eastAsia"/>
                <w:bCs/>
                <w:color w:val="auto"/>
              </w:rPr>
              <w:t>磋商</w:t>
            </w:r>
            <w:r>
              <w:rPr>
                <w:rFonts w:hint="eastAsia"/>
                <w:color w:val="auto"/>
                <w:lang w:val="zh-CN"/>
              </w:rPr>
              <w:t>文件咨询</w:t>
            </w:r>
          </w:p>
        </w:tc>
        <w:tc>
          <w:tcPr>
            <w:tcW w:w="6084" w:type="dxa"/>
            <w:vAlign w:val="center"/>
          </w:tcPr>
          <w:p>
            <w:pPr>
              <w:pStyle w:val="55"/>
              <w:ind w:firstLine="240" w:firstLineChars="100"/>
              <w:jc w:val="both"/>
              <w:rPr>
                <w:rFonts w:hint="default" w:eastAsia="宋体"/>
                <w:color w:val="auto"/>
                <w:lang w:val="en-US" w:eastAsia="zh-CN"/>
              </w:rPr>
            </w:pPr>
            <w:r>
              <w:rPr>
                <w:rFonts w:hint="eastAsia"/>
                <w:color w:val="auto"/>
                <w:lang w:val="zh-CN"/>
              </w:rPr>
              <w:t xml:space="preserve">联 系 人： </w:t>
            </w:r>
            <w:r>
              <w:rPr>
                <w:rFonts w:hint="eastAsia"/>
                <w:color w:val="auto"/>
                <w:lang w:val="en-US" w:eastAsia="zh-CN"/>
              </w:rPr>
              <w:t>王老师</w:t>
            </w:r>
          </w:p>
          <w:p>
            <w:pPr>
              <w:pStyle w:val="55"/>
              <w:ind w:firstLine="240" w:firstLineChars="100"/>
              <w:jc w:val="both"/>
              <w:rPr>
                <w:rFonts w:hint="eastAsia" w:eastAsia="宋体"/>
                <w:color w:val="auto"/>
                <w:lang w:val="en-US" w:eastAsia="zh-CN"/>
              </w:rPr>
            </w:pPr>
            <w:r>
              <w:rPr>
                <w:rFonts w:hint="eastAsia"/>
                <w:color w:val="auto"/>
                <w:lang w:val="zh-CN"/>
              </w:rPr>
              <w:t>联系电话：</w:t>
            </w:r>
            <w:r>
              <w:rPr>
                <w:rFonts w:hint="eastAsia"/>
                <w:color w:val="auto"/>
                <w:sz w:val="24"/>
                <w:lang w:eastAsia="zh-CN"/>
              </w:rPr>
              <w:t>028-82215357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15</w:t>
            </w:r>
          </w:p>
        </w:tc>
        <w:tc>
          <w:tcPr>
            <w:tcW w:w="2409" w:type="dxa"/>
            <w:vAlign w:val="center"/>
          </w:tcPr>
          <w:p>
            <w:pPr>
              <w:pStyle w:val="55"/>
              <w:ind w:left="38"/>
              <w:jc w:val="center"/>
              <w:rPr>
                <w:color w:val="auto"/>
                <w:lang w:val="zh-CN"/>
              </w:rPr>
            </w:pPr>
            <w:r>
              <w:rPr>
                <w:rFonts w:hint="eastAsia"/>
                <w:color w:val="auto"/>
                <w:lang w:val="zh-CN"/>
              </w:rPr>
              <w:t>磋商过程、结果工作咨询</w:t>
            </w:r>
          </w:p>
        </w:tc>
        <w:tc>
          <w:tcPr>
            <w:tcW w:w="6084" w:type="dxa"/>
            <w:vAlign w:val="center"/>
          </w:tcPr>
          <w:p>
            <w:pPr>
              <w:pStyle w:val="55"/>
              <w:ind w:firstLine="240" w:firstLineChars="100"/>
              <w:jc w:val="both"/>
              <w:rPr>
                <w:color w:val="auto"/>
                <w:lang w:val="zh-CN"/>
              </w:rPr>
            </w:pPr>
            <w:r>
              <w:rPr>
                <w:rFonts w:hint="eastAsia"/>
                <w:color w:val="auto"/>
                <w:lang w:val="zh-CN"/>
              </w:rPr>
              <w:t>联 系 人：</w:t>
            </w:r>
            <w:r>
              <w:rPr>
                <w:rFonts w:hint="eastAsia"/>
                <w:color w:val="auto"/>
                <w:lang w:val="en-US" w:eastAsia="zh-CN"/>
              </w:rPr>
              <w:t>王老师</w:t>
            </w:r>
          </w:p>
          <w:p>
            <w:pPr>
              <w:pStyle w:val="55"/>
              <w:ind w:firstLine="240" w:firstLineChars="100"/>
              <w:jc w:val="both"/>
              <w:rPr>
                <w:color w:val="auto"/>
                <w:lang w:val="zh-CN"/>
              </w:rPr>
            </w:pPr>
            <w:r>
              <w:rPr>
                <w:rFonts w:hint="eastAsia"/>
                <w:color w:val="auto"/>
                <w:lang w:val="zh-CN"/>
              </w:rPr>
              <w:t>联系电话：</w:t>
            </w:r>
            <w:r>
              <w:rPr>
                <w:rFonts w:hint="eastAsia"/>
                <w:color w:val="auto"/>
                <w:sz w:val="24"/>
                <w:lang w:eastAsia="zh-CN"/>
              </w:rPr>
              <w:t>028-82215357</w:t>
            </w:r>
            <w:r>
              <w:rPr>
                <w:rFonts w:hint="eastAsia"/>
                <w:color w:val="auto"/>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16</w:t>
            </w:r>
          </w:p>
        </w:tc>
        <w:tc>
          <w:tcPr>
            <w:tcW w:w="2409" w:type="dxa"/>
            <w:vAlign w:val="center"/>
          </w:tcPr>
          <w:p>
            <w:pPr>
              <w:pStyle w:val="55"/>
              <w:ind w:left="38"/>
              <w:jc w:val="center"/>
              <w:rPr>
                <w:color w:val="auto"/>
                <w:lang w:val="zh-CN"/>
              </w:rPr>
            </w:pPr>
            <w:r>
              <w:rPr>
                <w:rFonts w:hint="eastAsia"/>
                <w:color w:val="auto"/>
                <w:lang w:val="zh-CN"/>
              </w:rPr>
              <w:t>招标代理服务费</w:t>
            </w:r>
          </w:p>
        </w:tc>
        <w:tc>
          <w:tcPr>
            <w:tcW w:w="6084" w:type="dxa"/>
            <w:vAlign w:val="center"/>
          </w:tcPr>
          <w:p>
            <w:pPr>
              <w:pStyle w:val="55"/>
              <w:ind w:firstLine="240" w:firstLineChars="10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1、参照《招标代理服务费收费管理暂行办法》（计价格[2002]1980号）及《国家发展改革委办公厅关于招标代理服务收费有关问题的通知（发改办价格【2003】857号）的标准规定计取。</w:t>
            </w:r>
          </w:p>
          <w:p>
            <w:pPr>
              <w:pStyle w:val="55"/>
              <w:ind w:firstLine="240" w:firstLineChars="100"/>
              <w:jc w:val="both"/>
              <w:rPr>
                <w:color w:val="auto"/>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收取方式：中标通知发出后二个工作日内由中标人一次性支付</w:t>
            </w:r>
            <w:r>
              <w:rPr>
                <w:rFonts w:hint="eastAsia"/>
                <w:color w:val="auto"/>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17</w:t>
            </w:r>
          </w:p>
        </w:tc>
        <w:tc>
          <w:tcPr>
            <w:tcW w:w="2409" w:type="dxa"/>
            <w:vAlign w:val="center"/>
          </w:tcPr>
          <w:p>
            <w:pPr>
              <w:pStyle w:val="55"/>
              <w:ind w:left="38"/>
              <w:jc w:val="center"/>
              <w:rPr>
                <w:color w:val="auto"/>
                <w:lang w:val="zh-CN"/>
              </w:rPr>
            </w:pPr>
            <w:r>
              <w:rPr>
                <w:rFonts w:hint="eastAsia"/>
                <w:color w:val="auto"/>
                <w:lang w:val="zh-CN"/>
              </w:rPr>
              <w:t>成交通知书领取</w:t>
            </w:r>
          </w:p>
        </w:tc>
        <w:tc>
          <w:tcPr>
            <w:tcW w:w="6084" w:type="dxa"/>
            <w:vAlign w:val="center"/>
          </w:tcPr>
          <w:p>
            <w:pPr>
              <w:ind w:firstLine="240" w:firstLineChars="100"/>
              <w:rPr>
                <w:color w:val="auto"/>
                <w:sz w:val="24"/>
              </w:rPr>
            </w:pPr>
            <w:r>
              <w:rPr>
                <w:rFonts w:hint="eastAsia"/>
                <w:color w:val="auto"/>
                <w:sz w:val="24"/>
              </w:rPr>
              <w:t>采购结果公告在四川政府采购网上发布后，请成交供应商凭有效身份证明证件到</w:t>
            </w:r>
            <w:r>
              <w:rPr>
                <w:rFonts w:hint="eastAsia"/>
                <w:color w:val="auto"/>
                <w:sz w:val="24"/>
                <w:lang w:eastAsia="zh-CN"/>
              </w:rPr>
              <w:t>四川映池工程管理有限责任公司</w:t>
            </w:r>
            <w:r>
              <w:rPr>
                <w:rFonts w:hint="eastAsia"/>
                <w:color w:val="auto"/>
                <w:sz w:val="24"/>
              </w:rPr>
              <w:t>领取成交通知书。</w:t>
            </w:r>
          </w:p>
          <w:p>
            <w:pPr>
              <w:rPr>
                <w:color w:val="auto"/>
                <w:sz w:val="24"/>
                <w:lang w:val="zh-CN"/>
              </w:rPr>
            </w:pPr>
            <w:r>
              <w:rPr>
                <w:rFonts w:hint="eastAsia"/>
                <w:color w:val="auto"/>
                <w:sz w:val="24"/>
                <w:lang w:val="zh-CN"/>
              </w:rPr>
              <w:t>联 系 人： 王老师</w:t>
            </w:r>
          </w:p>
          <w:p>
            <w:pPr>
              <w:pStyle w:val="55"/>
              <w:jc w:val="both"/>
              <w:rPr>
                <w:rFonts w:hint="eastAsia" w:eastAsia="宋体"/>
                <w:color w:val="auto"/>
                <w:lang w:val="zh-CN" w:eastAsia="zh-CN"/>
              </w:rPr>
            </w:pPr>
            <w:r>
              <w:rPr>
                <w:rFonts w:hint="eastAsia"/>
                <w:color w:val="auto"/>
                <w:lang w:val="zh-CN"/>
              </w:rPr>
              <w:t>联系电话：</w:t>
            </w:r>
            <w:r>
              <w:rPr>
                <w:rFonts w:hint="eastAsia"/>
                <w:color w:val="auto"/>
                <w:sz w:val="24"/>
                <w:lang w:eastAsia="zh-CN"/>
              </w:rPr>
              <w:t>028-82215357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18</w:t>
            </w:r>
          </w:p>
        </w:tc>
        <w:tc>
          <w:tcPr>
            <w:tcW w:w="2409" w:type="dxa"/>
            <w:vAlign w:val="center"/>
          </w:tcPr>
          <w:p>
            <w:pPr>
              <w:pStyle w:val="55"/>
              <w:ind w:left="38"/>
              <w:jc w:val="center"/>
              <w:rPr>
                <w:color w:val="auto"/>
                <w:lang w:val="zh-CN"/>
              </w:rPr>
            </w:pPr>
            <w:r>
              <w:rPr>
                <w:rFonts w:hint="eastAsia"/>
                <w:color w:val="auto"/>
                <w:lang w:val="zh-CN"/>
              </w:rPr>
              <w:t>供应商询问</w:t>
            </w:r>
          </w:p>
        </w:tc>
        <w:tc>
          <w:tcPr>
            <w:tcW w:w="6084" w:type="dxa"/>
          </w:tcPr>
          <w:p>
            <w:pPr>
              <w:pStyle w:val="55"/>
              <w:ind w:firstLine="240" w:firstLineChars="100"/>
              <w:rPr>
                <w:color w:val="auto"/>
                <w:lang w:val="zh-CN"/>
              </w:rPr>
            </w:pPr>
            <w:r>
              <w:rPr>
                <w:rFonts w:hint="eastAsia"/>
                <w:color w:val="auto"/>
                <w:lang w:val="zh-CN"/>
              </w:rPr>
              <w:t>根据委托代理协议约定，供应商询问由四川映池工程管理有限责任公司负责答复。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19</w:t>
            </w:r>
          </w:p>
        </w:tc>
        <w:tc>
          <w:tcPr>
            <w:tcW w:w="2409" w:type="dxa"/>
            <w:vAlign w:val="center"/>
          </w:tcPr>
          <w:p>
            <w:pPr>
              <w:jc w:val="center"/>
              <w:rPr>
                <w:color w:val="auto"/>
                <w:lang w:val="zh-CN"/>
              </w:rPr>
            </w:pPr>
            <w:r>
              <w:rPr>
                <w:rFonts w:hint="eastAsia" w:ascii="宋体" w:hAnsi="宋体" w:eastAsia="宋体" w:cs="宋体"/>
                <w:color w:val="auto"/>
                <w:sz w:val="24"/>
                <w:szCs w:val="24"/>
                <w:lang w:val="zh-CN" w:eastAsia="zh-CN" w:bidi="ar-SA"/>
              </w:rPr>
              <w:t>供应商质疑</w:t>
            </w:r>
          </w:p>
        </w:tc>
        <w:tc>
          <w:tcPr>
            <w:tcW w:w="6084" w:type="dxa"/>
            <w:vAlign w:val="center"/>
          </w:tcPr>
          <w:p>
            <w:pPr>
              <w:spacing w:line="340" w:lineRule="exact"/>
              <w:ind w:left="170" w:leftChars="50" w:right="170" w:rightChars="50"/>
              <w:jc w:val="left"/>
              <w:rPr>
                <w:rFonts w:ascii="宋体"/>
                <w:color w:val="auto"/>
                <w:sz w:val="24"/>
                <w:szCs w:val="24"/>
              </w:rPr>
            </w:pPr>
            <w:bookmarkStart w:id="16" w:name="PO_默认文件内容_30"/>
            <w:r>
              <w:rPr>
                <w:rFonts w:hint="eastAsia" w:ascii="宋体"/>
                <w:color w:val="auto"/>
                <w:sz w:val="24"/>
                <w:szCs w:val="24"/>
              </w:rPr>
              <w:t>根据委托代理协议约定，对</w:t>
            </w:r>
            <w:r>
              <w:rPr>
                <w:rFonts w:hint="eastAsia"/>
                <w:color w:val="auto"/>
                <w:sz w:val="24"/>
                <w:szCs w:val="24"/>
                <w:lang w:eastAsia="zh-CN"/>
              </w:rPr>
              <w:t>竞争性磋商文件</w:t>
            </w:r>
            <w:r>
              <w:rPr>
                <w:rFonts w:hint="eastAsia" w:ascii="宋体"/>
                <w:color w:val="auto"/>
                <w:sz w:val="24"/>
                <w:szCs w:val="24"/>
              </w:rPr>
              <w:t>的质疑由</w:t>
            </w:r>
            <w:r>
              <w:rPr>
                <w:rFonts w:hint="eastAsia"/>
                <w:color w:val="auto"/>
                <w:sz w:val="24"/>
                <w:szCs w:val="24"/>
                <w:lang w:eastAsia="zh-CN"/>
              </w:rPr>
              <w:t>四川映池工程管理有限责任公司</w:t>
            </w:r>
            <w:r>
              <w:rPr>
                <w:rFonts w:hint="eastAsia" w:ascii="宋体"/>
                <w:color w:val="auto"/>
                <w:sz w:val="24"/>
                <w:szCs w:val="24"/>
              </w:rPr>
              <w:t>负责答复；对招标过程的质疑由</w:t>
            </w:r>
            <w:r>
              <w:rPr>
                <w:rFonts w:hint="eastAsia"/>
                <w:color w:val="auto"/>
                <w:sz w:val="24"/>
                <w:szCs w:val="24"/>
                <w:lang w:eastAsia="zh-CN"/>
              </w:rPr>
              <w:t>四川映池工程管理有限责任公司</w:t>
            </w:r>
            <w:r>
              <w:rPr>
                <w:rFonts w:hint="eastAsia" w:ascii="宋体"/>
                <w:color w:val="auto"/>
                <w:sz w:val="24"/>
                <w:szCs w:val="24"/>
              </w:rPr>
              <w:t>负责答复；对中标结果的质疑由</w:t>
            </w:r>
            <w:r>
              <w:rPr>
                <w:rFonts w:hint="eastAsia"/>
                <w:color w:val="auto"/>
                <w:sz w:val="24"/>
                <w:szCs w:val="24"/>
                <w:lang w:eastAsia="zh-CN"/>
              </w:rPr>
              <w:t>四川映池工程管理有限责任公司</w:t>
            </w:r>
            <w:r>
              <w:rPr>
                <w:rFonts w:hint="eastAsia" w:ascii="宋体"/>
                <w:color w:val="auto"/>
                <w:sz w:val="24"/>
                <w:szCs w:val="24"/>
              </w:rPr>
              <w:t>负责答复。</w:t>
            </w:r>
          </w:p>
          <w:p>
            <w:pPr>
              <w:spacing w:line="340" w:lineRule="exact"/>
              <w:ind w:left="170" w:leftChars="50" w:right="170" w:rightChars="50"/>
              <w:jc w:val="left"/>
              <w:rPr>
                <w:rFonts w:ascii="宋体"/>
                <w:color w:val="auto"/>
                <w:sz w:val="24"/>
                <w:szCs w:val="24"/>
              </w:rPr>
            </w:pPr>
            <w:r>
              <w:rPr>
                <w:rFonts w:hint="eastAsia" w:ascii="宋体"/>
                <w:color w:val="auto"/>
                <w:sz w:val="24"/>
                <w:szCs w:val="24"/>
              </w:rPr>
              <w:t>联 系 人：</w:t>
            </w:r>
            <w:r>
              <w:rPr>
                <w:rFonts w:hint="eastAsia"/>
                <w:color w:val="auto"/>
                <w:sz w:val="24"/>
                <w:szCs w:val="24"/>
                <w:lang w:eastAsia="zh-CN"/>
              </w:rPr>
              <w:t>王老师</w:t>
            </w:r>
            <w:r>
              <w:rPr>
                <w:rFonts w:hint="eastAsia"/>
                <w:color w:val="auto"/>
                <w:sz w:val="24"/>
                <w:szCs w:val="24"/>
                <w:lang w:val="zh-CN"/>
              </w:rPr>
              <w:t xml:space="preserve"> </w:t>
            </w:r>
            <w:r>
              <w:rPr>
                <w:rFonts w:hint="eastAsia" w:ascii="宋体"/>
                <w:color w:val="auto"/>
                <w:sz w:val="24"/>
                <w:szCs w:val="24"/>
              </w:rPr>
              <w:t xml:space="preserve"> </w:t>
            </w:r>
          </w:p>
          <w:p>
            <w:pPr>
              <w:spacing w:line="340" w:lineRule="exact"/>
              <w:ind w:left="170" w:leftChars="50" w:right="170" w:rightChars="50"/>
              <w:jc w:val="left"/>
              <w:rPr>
                <w:rFonts w:ascii="宋体"/>
                <w:color w:val="auto"/>
                <w:sz w:val="24"/>
                <w:szCs w:val="24"/>
              </w:rPr>
            </w:pPr>
            <w:r>
              <w:rPr>
                <w:rFonts w:hint="eastAsia" w:ascii="宋体"/>
                <w:color w:val="auto"/>
                <w:sz w:val="24"/>
                <w:szCs w:val="24"/>
              </w:rPr>
              <w:t>联系电话：</w:t>
            </w:r>
            <w:r>
              <w:rPr>
                <w:rFonts w:hint="eastAsia"/>
                <w:color w:val="auto"/>
                <w:sz w:val="24"/>
                <w:lang w:eastAsia="zh-CN"/>
              </w:rPr>
              <w:t>028-82215357</w:t>
            </w:r>
            <w:r>
              <w:rPr>
                <w:rFonts w:hint="eastAsia"/>
                <w:color w:val="auto"/>
                <w:sz w:val="24"/>
                <w:szCs w:val="24"/>
                <w:lang w:val="zh-CN"/>
              </w:rPr>
              <w:t xml:space="preserve">  </w:t>
            </w:r>
          </w:p>
          <w:p>
            <w:pPr>
              <w:spacing w:line="340" w:lineRule="exact"/>
              <w:ind w:right="170" w:rightChars="50"/>
              <w:jc w:val="left"/>
              <w:rPr>
                <w:rFonts w:ascii="宋体"/>
                <w:color w:val="auto"/>
                <w:sz w:val="24"/>
                <w:szCs w:val="24"/>
                <w:lang w:val="zh-CN"/>
              </w:rPr>
            </w:pPr>
            <w:r>
              <w:rPr>
                <w:rFonts w:hint="eastAsia" w:ascii="宋体"/>
                <w:color w:val="auto"/>
                <w:sz w:val="24"/>
                <w:szCs w:val="24"/>
                <w:lang w:val="zh-CN"/>
              </w:rPr>
              <w:t>注：根据《中华人民共和国政府采购法》等规定，供应商质疑不得超出采购文件、采购过程、采购结果的范围</w:t>
            </w:r>
            <w:bookmarkEnd w:id="16"/>
            <w:r>
              <w:rPr>
                <w:rFonts w:hint="eastAsia" w:ascii="宋体"/>
                <w:color w:val="auto"/>
                <w:sz w:val="24"/>
                <w:szCs w:val="24"/>
                <w:lang w:val="zh-CN"/>
              </w:rPr>
              <w:t>,供应商针对同一采购程序环节的质疑应在法定质疑期内一次性提出。</w:t>
            </w:r>
          </w:p>
          <w:p>
            <w:pPr>
              <w:rPr>
                <w:color w:val="auto"/>
                <w:lang w:val="zh-CN"/>
              </w:rPr>
            </w:pPr>
            <w:r>
              <w:rPr>
                <w:rFonts w:hint="eastAsia" w:ascii="宋体"/>
                <w:color w:val="auto"/>
                <w:sz w:val="24"/>
                <w:szCs w:val="24"/>
              </w:rPr>
              <w:t>（每个环节供应商只能提出一次质疑，相同环节同一供应商再次提出质疑时，代理机构可以不接收。</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20</w:t>
            </w:r>
          </w:p>
        </w:tc>
        <w:tc>
          <w:tcPr>
            <w:tcW w:w="2409" w:type="dxa"/>
            <w:vAlign w:val="center"/>
          </w:tcPr>
          <w:p>
            <w:pPr>
              <w:pStyle w:val="55"/>
              <w:ind w:left="96"/>
              <w:jc w:val="center"/>
              <w:rPr>
                <w:color w:val="auto"/>
                <w:lang w:val="zh-CN"/>
              </w:rPr>
            </w:pPr>
            <w:r>
              <w:rPr>
                <w:rFonts w:hint="eastAsia"/>
                <w:color w:val="auto"/>
                <w:lang w:val="zh-CN"/>
              </w:rPr>
              <w:t>供应商投诉</w:t>
            </w:r>
          </w:p>
        </w:tc>
        <w:tc>
          <w:tcPr>
            <w:tcW w:w="6084" w:type="dxa"/>
            <w:vAlign w:val="center"/>
          </w:tcPr>
          <w:p>
            <w:pPr>
              <w:pStyle w:val="55"/>
              <w:ind w:left="827" w:leftChars="102" w:hanging="480" w:hangingChars="200"/>
              <w:rPr>
                <w:color w:val="auto"/>
                <w:lang w:val="zh-CN"/>
              </w:rPr>
            </w:pPr>
            <w:r>
              <w:rPr>
                <w:rFonts w:hint="eastAsia"/>
                <w:color w:val="auto"/>
                <w:lang w:val="zh-CN"/>
              </w:rPr>
              <w:t>投诉受理单位：本项目同级财政部门，即崇州市财政局。</w:t>
            </w:r>
          </w:p>
          <w:p>
            <w:pPr>
              <w:pStyle w:val="55"/>
              <w:ind w:left="827" w:leftChars="102" w:hanging="480" w:hangingChars="200"/>
              <w:rPr>
                <w:rFonts w:hint="default"/>
                <w:color w:val="auto"/>
                <w:lang w:val="en-US" w:eastAsia="zh-CN"/>
              </w:rPr>
            </w:pPr>
            <w:r>
              <w:rPr>
                <w:rFonts w:hint="eastAsia"/>
                <w:color w:val="auto"/>
                <w:lang w:val="zh-CN"/>
              </w:rPr>
              <w:t>联系电话：028-</w:t>
            </w:r>
            <w:r>
              <w:rPr>
                <w:rFonts w:hint="eastAsia"/>
                <w:color w:val="auto"/>
                <w:lang w:val="en-US" w:eastAsia="zh-CN"/>
              </w:rPr>
              <w:t>82313883</w:t>
            </w:r>
          </w:p>
          <w:p>
            <w:pPr>
              <w:pStyle w:val="55"/>
              <w:ind w:left="827" w:leftChars="102" w:hanging="480" w:hangingChars="200"/>
              <w:rPr>
                <w:color w:val="auto"/>
                <w:lang w:val="zh-CN"/>
              </w:rPr>
            </w:pPr>
            <w:r>
              <w:rPr>
                <w:rFonts w:hint="eastAsia"/>
                <w:color w:val="auto"/>
                <w:lang w:val="zh-CN"/>
              </w:rPr>
              <w:t>联系地址：崇州市永安中路1号</w:t>
            </w:r>
          </w:p>
          <w:p>
            <w:pPr>
              <w:pStyle w:val="55"/>
              <w:ind w:left="827" w:leftChars="102" w:hanging="480" w:hangingChars="200"/>
              <w:rPr>
                <w:color w:val="auto"/>
                <w:lang w:val="zh-CN"/>
              </w:rPr>
            </w:pPr>
            <w:r>
              <w:rPr>
                <w:rFonts w:hint="eastAsia"/>
                <w:color w:val="auto"/>
                <w:lang w:val="zh-CN"/>
              </w:rPr>
              <w:t>邮政编码：</w:t>
            </w:r>
            <w:r>
              <w:rPr>
                <w:color w:val="auto"/>
                <w:lang w:val="zh-CN"/>
              </w:rPr>
              <w:t>611230</w:t>
            </w:r>
          </w:p>
          <w:p>
            <w:pPr>
              <w:pStyle w:val="55"/>
              <w:ind w:left="347" w:leftChars="102" w:firstLine="240" w:firstLineChars="100"/>
              <w:jc w:val="both"/>
              <w:rPr>
                <w:color w:val="auto"/>
                <w:lang w:val="zh-CN"/>
              </w:rPr>
            </w:pPr>
            <w:r>
              <w:rPr>
                <w:rFonts w:hint="eastAsia"/>
                <w:color w:val="auto"/>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21</w:t>
            </w:r>
          </w:p>
        </w:tc>
        <w:tc>
          <w:tcPr>
            <w:tcW w:w="2409" w:type="dxa"/>
            <w:vAlign w:val="center"/>
          </w:tcPr>
          <w:p>
            <w:pPr>
              <w:pStyle w:val="55"/>
              <w:ind w:left="96"/>
              <w:jc w:val="center"/>
              <w:rPr>
                <w:color w:val="auto"/>
                <w:lang w:val="zh-CN"/>
              </w:rPr>
            </w:pPr>
            <w:r>
              <w:rPr>
                <w:rFonts w:hint="eastAsia"/>
                <w:color w:val="auto"/>
                <w:lang w:val="zh-CN"/>
              </w:rPr>
              <w:t>政府采购合同</w:t>
            </w:r>
          </w:p>
          <w:p>
            <w:pPr>
              <w:pStyle w:val="55"/>
              <w:ind w:left="96"/>
              <w:jc w:val="center"/>
              <w:rPr>
                <w:color w:val="auto"/>
                <w:lang w:val="zh-CN"/>
              </w:rPr>
            </w:pPr>
            <w:r>
              <w:rPr>
                <w:rFonts w:hint="eastAsia"/>
                <w:color w:val="auto"/>
                <w:lang w:val="zh-CN"/>
              </w:rPr>
              <w:t>公告备案</w:t>
            </w:r>
          </w:p>
        </w:tc>
        <w:tc>
          <w:tcPr>
            <w:tcW w:w="6084" w:type="dxa"/>
            <w:vAlign w:val="center"/>
          </w:tcPr>
          <w:p>
            <w:pPr>
              <w:ind w:firstLine="240" w:firstLineChars="100"/>
              <w:rPr>
                <w:color w:val="auto"/>
                <w:sz w:val="24"/>
              </w:rPr>
            </w:pPr>
            <w:r>
              <w:rPr>
                <w:rFonts w:hint="eastAsia"/>
                <w:color w:val="auto"/>
                <w:sz w:val="24"/>
              </w:rPr>
              <w:t>政府采购合同签订之日起2个工作日内，政府采购合同将在四川政府采购网公告；政府采购合同签订之日起七个工作日内，政府采购合同将向采购项目同级财政部门备案，即崇州市财政局备案。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3" w:type="dxa"/>
            <w:vAlign w:val="center"/>
          </w:tcPr>
          <w:p>
            <w:pPr>
              <w:pStyle w:val="55"/>
              <w:ind w:right="230"/>
              <w:jc w:val="center"/>
              <w:rPr>
                <w:rFonts w:hint="default" w:eastAsia="宋体" w:cs="Courier New"/>
                <w:color w:val="auto"/>
                <w:lang w:val="en-US" w:eastAsia="zh-CN"/>
              </w:rPr>
            </w:pPr>
            <w:r>
              <w:rPr>
                <w:rFonts w:hint="eastAsia" w:cs="Courier New"/>
                <w:color w:val="auto"/>
                <w:lang w:val="en-US" w:eastAsia="zh-CN"/>
              </w:rPr>
              <w:t>22</w:t>
            </w:r>
          </w:p>
        </w:tc>
        <w:tc>
          <w:tcPr>
            <w:tcW w:w="2409" w:type="dxa"/>
            <w:vAlign w:val="center"/>
          </w:tcPr>
          <w:p>
            <w:pPr>
              <w:pStyle w:val="55"/>
              <w:ind w:left="96"/>
              <w:jc w:val="center"/>
              <w:rPr>
                <w:color w:val="auto"/>
                <w:lang w:val="zh-CN"/>
              </w:rPr>
            </w:pPr>
            <w:r>
              <w:rPr>
                <w:rFonts w:hint="eastAsia"/>
                <w:color w:val="auto"/>
                <w:lang w:val="zh-CN"/>
              </w:rPr>
              <w:t>响应文件份数</w:t>
            </w:r>
          </w:p>
        </w:tc>
        <w:tc>
          <w:tcPr>
            <w:tcW w:w="6084" w:type="dxa"/>
            <w:vAlign w:val="center"/>
          </w:tcPr>
          <w:p>
            <w:pPr>
              <w:ind w:firstLine="240" w:firstLineChars="100"/>
              <w:rPr>
                <w:color w:val="auto"/>
                <w:sz w:val="24"/>
              </w:rPr>
            </w:pPr>
            <w:r>
              <w:rPr>
                <w:rFonts w:hint="eastAsia"/>
                <w:color w:val="auto"/>
                <w:sz w:val="24"/>
              </w:rPr>
              <w:t>投标人应按照磋商文件的规定和要求编制</w:t>
            </w:r>
            <w:r>
              <w:rPr>
                <w:rFonts w:hint="eastAsia"/>
                <w:color w:val="auto"/>
                <w:sz w:val="24"/>
                <w:lang w:eastAsia="zh-CN"/>
              </w:rPr>
              <w:t>响应文件</w:t>
            </w:r>
            <w:r>
              <w:rPr>
                <w:rFonts w:hint="eastAsia"/>
                <w:color w:val="auto"/>
                <w:sz w:val="24"/>
              </w:rPr>
              <w:t>，</w:t>
            </w:r>
            <w:r>
              <w:rPr>
                <w:rFonts w:hint="eastAsia"/>
                <w:color w:val="auto"/>
                <w:sz w:val="24"/>
                <w:lang w:eastAsia="zh-CN"/>
              </w:rPr>
              <w:t>响应文件</w:t>
            </w:r>
            <w:r>
              <w:rPr>
                <w:rFonts w:hint="eastAsia"/>
                <w:color w:val="auto"/>
                <w:sz w:val="24"/>
              </w:rPr>
              <w:t>分为第一部分资格性响应文件和第二部分技术、服务性响应文件两部分,分册装订。第一部分资格性响应文件提供正本1份，副本2份；第二部分技术、服务性响应文件提供正本1份，副本2份。</w:t>
            </w:r>
          </w:p>
        </w:tc>
      </w:tr>
    </w:tbl>
    <w:p>
      <w:pPr>
        <w:pStyle w:val="49"/>
        <w:ind w:firstLine="480"/>
        <w:rPr>
          <w:color w:val="auto"/>
        </w:rPr>
      </w:pPr>
    </w:p>
    <w:p>
      <w:pPr>
        <w:rPr>
          <w:rFonts w:hint="eastAsia" w:ascii="黑体"/>
          <w:bCs w:val="0"/>
          <w:color w:val="auto"/>
        </w:rPr>
      </w:pPr>
      <w:bookmarkStart w:id="17" w:name="_Toc514154248"/>
      <w:bookmarkStart w:id="18" w:name="_Toc531718371"/>
      <w:bookmarkStart w:id="19" w:name="_Toc514154119"/>
    </w:p>
    <w:p>
      <w:pPr>
        <w:pStyle w:val="4"/>
        <w:keepNext w:val="0"/>
        <w:keepLines w:val="0"/>
        <w:spacing w:before="0" w:after="0" w:line="400" w:lineRule="exact"/>
        <w:jc w:val="center"/>
        <w:rPr>
          <w:rFonts w:ascii="黑体"/>
          <w:bCs w:val="0"/>
          <w:color w:val="auto"/>
        </w:rPr>
      </w:pPr>
      <w:r>
        <w:rPr>
          <w:rFonts w:hint="eastAsia" w:ascii="黑体"/>
          <w:bCs w:val="0"/>
          <w:color w:val="auto"/>
        </w:rPr>
        <w:t>二、总  则</w:t>
      </w:r>
      <w:bookmarkEnd w:id="17"/>
      <w:bookmarkEnd w:id="18"/>
      <w:bookmarkEnd w:id="19"/>
    </w:p>
    <w:p>
      <w:pPr>
        <w:pStyle w:val="49"/>
        <w:ind w:firstLine="480"/>
        <w:rPr>
          <w:color w:val="auto"/>
        </w:rPr>
      </w:pPr>
      <w:bookmarkStart w:id="20" w:name="_Toc183682342"/>
      <w:bookmarkStart w:id="21" w:name="_Toc183582205"/>
      <w:bookmarkStart w:id="22" w:name="_Toc217446034"/>
    </w:p>
    <w:p>
      <w:pPr>
        <w:pStyle w:val="5"/>
        <w:keepNext w:val="0"/>
        <w:keepLines w:val="0"/>
        <w:spacing w:before="0" w:after="0" w:line="400" w:lineRule="exact"/>
        <w:ind w:firstLine="482"/>
        <w:rPr>
          <w:rFonts w:ascii="宋体" w:hAnsi="宋体"/>
          <w:color w:val="auto"/>
          <w:sz w:val="28"/>
          <w:szCs w:val="28"/>
        </w:rPr>
      </w:pPr>
      <w:bookmarkStart w:id="23" w:name="_Toc514154249"/>
      <w:bookmarkStart w:id="24" w:name="_Toc514154120"/>
      <w:bookmarkStart w:id="25" w:name="_Toc531718372"/>
      <w:r>
        <w:rPr>
          <w:rFonts w:hint="eastAsia" w:ascii="宋体" w:hAnsi="宋体"/>
          <w:color w:val="auto"/>
          <w:sz w:val="28"/>
          <w:szCs w:val="28"/>
        </w:rPr>
        <w:t>1</w:t>
      </w:r>
      <w:r>
        <w:rPr>
          <w:rFonts w:ascii="宋体" w:hAnsi="宋体"/>
          <w:color w:val="auto"/>
          <w:sz w:val="28"/>
          <w:szCs w:val="28"/>
        </w:rPr>
        <w:t>.</w:t>
      </w:r>
      <w:bookmarkEnd w:id="20"/>
      <w:bookmarkEnd w:id="21"/>
      <w:r>
        <w:rPr>
          <w:rFonts w:hint="eastAsia" w:ascii="宋体" w:hAnsi="宋体"/>
          <w:color w:val="auto"/>
          <w:sz w:val="28"/>
          <w:szCs w:val="22"/>
        </w:rPr>
        <w:t>适用范围</w:t>
      </w:r>
      <w:bookmarkEnd w:id="22"/>
      <w:bookmarkEnd w:id="23"/>
      <w:bookmarkEnd w:id="24"/>
      <w:bookmarkEnd w:id="25"/>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本磋商文件仅适用于本次磋商所叙述的采购</w:t>
      </w:r>
      <w:r>
        <w:rPr>
          <w:rFonts w:hint="eastAsia" w:ascii="宋体" w:hAnsi="宋体"/>
          <w:color w:val="auto"/>
          <w:sz w:val="24"/>
          <w:lang w:eastAsia="zh-CN"/>
        </w:rPr>
        <w:t>项目</w:t>
      </w:r>
      <w:r>
        <w:rPr>
          <w:rFonts w:hint="eastAsia" w:ascii="宋体" w:hAnsi="宋体"/>
          <w:color w:val="auto"/>
          <w:sz w:val="24"/>
        </w:rPr>
        <w:t>。</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1.2 本磋商文件的解释权归采购人和采购代理机构所有。</w:t>
      </w:r>
    </w:p>
    <w:p>
      <w:pPr>
        <w:tabs>
          <w:tab w:val="left" w:pos="7665"/>
        </w:tabs>
        <w:spacing w:line="400" w:lineRule="exact"/>
        <w:ind w:firstLine="480" w:firstLineChars="200"/>
        <w:rPr>
          <w:rFonts w:ascii="宋体" w:hAnsi="宋体"/>
          <w:color w:val="auto"/>
          <w:sz w:val="24"/>
        </w:rPr>
      </w:pPr>
    </w:p>
    <w:p>
      <w:pPr>
        <w:pStyle w:val="5"/>
        <w:keepNext w:val="0"/>
        <w:keepLines w:val="0"/>
        <w:spacing w:before="0" w:after="0" w:line="400" w:lineRule="exact"/>
        <w:ind w:firstLine="482"/>
        <w:rPr>
          <w:rFonts w:ascii="宋体" w:hAnsi="宋体"/>
          <w:color w:val="auto"/>
          <w:sz w:val="28"/>
          <w:szCs w:val="28"/>
        </w:rPr>
      </w:pPr>
      <w:bookmarkStart w:id="26" w:name="_Toc183582206"/>
      <w:bookmarkStart w:id="27" w:name="_Toc183682343"/>
      <w:bookmarkStart w:id="28" w:name="_Toc217446035"/>
      <w:bookmarkStart w:id="29" w:name="_Toc514154121"/>
      <w:bookmarkStart w:id="30" w:name="_Toc531718373"/>
      <w:bookmarkStart w:id="31" w:name="_Toc514154250"/>
      <w:r>
        <w:rPr>
          <w:rFonts w:ascii="宋体" w:hAnsi="宋体"/>
          <w:color w:val="auto"/>
          <w:sz w:val="28"/>
          <w:szCs w:val="28"/>
        </w:rPr>
        <w:t>2.</w:t>
      </w:r>
      <w:bookmarkEnd w:id="26"/>
      <w:bookmarkEnd w:id="27"/>
      <w:bookmarkEnd w:id="28"/>
      <w:r>
        <w:rPr>
          <w:rFonts w:hint="eastAsia" w:ascii="宋体" w:hAnsi="宋体"/>
          <w:color w:val="auto"/>
          <w:sz w:val="28"/>
          <w:szCs w:val="28"/>
        </w:rPr>
        <w:t>采购主体</w:t>
      </w:r>
      <w:bookmarkEnd w:id="29"/>
      <w:bookmarkEnd w:id="30"/>
      <w:bookmarkEnd w:id="31"/>
    </w:p>
    <w:p>
      <w:pPr>
        <w:tabs>
          <w:tab w:val="left" w:pos="7665"/>
        </w:tabs>
        <w:spacing w:line="400" w:lineRule="exact"/>
        <w:ind w:firstLine="480" w:firstLineChars="200"/>
        <w:rPr>
          <w:rFonts w:ascii="宋体" w:hAnsi="宋体"/>
          <w:color w:val="auto"/>
          <w:sz w:val="24"/>
          <w:u w:val="single"/>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1本次磋商的采购人是</w:t>
      </w:r>
      <w:r>
        <w:rPr>
          <w:rFonts w:hint="eastAsia" w:hAnsi="宋体"/>
          <w:color w:val="auto"/>
          <w:sz w:val="24"/>
          <w:u w:val="single"/>
          <w:lang w:val="en-US" w:eastAsia="zh-CN"/>
        </w:rPr>
        <w:t xml:space="preserve"> </w:t>
      </w:r>
      <w:r>
        <w:rPr>
          <w:rFonts w:hint="eastAsia" w:hAnsi="宋体"/>
          <w:color w:val="auto"/>
          <w:sz w:val="24"/>
          <w:szCs w:val="22"/>
          <w:u w:val="single"/>
          <w:lang w:val="en-US" w:eastAsia="zh-CN"/>
        </w:rPr>
        <w:t>崇州市白头镇人民政府</w:t>
      </w:r>
      <w:r>
        <w:rPr>
          <w:rFonts w:hint="eastAsia" w:hAnsi="宋体"/>
          <w:color w:val="auto"/>
          <w:sz w:val="24"/>
          <w:u w:val="single"/>
          <w:lang w:val="en-US" w:eastAsia="zh-CN"/>
        </w:rPr>
        <w:t xml:space="preserve"> </w:t>
      </w:r>
      <w:r>
        <w:rPr>
          <w:rFonts w:hint="eastAsia" w:ascii="宋体" w:hAnsi="宋体"/>
          <w:color w:val="auto"/>
          <w:sz w:val="24"/>
          <w:u w:val="single"/>
        </w:rPr>
        <w:t>。</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2本次磋商的采购代理机构是</w:t>
      </w:r>
      <w:r>
        <w:rPr>
          <w:rFonts w:hint="eastAsia" w:hAnsi="宋体"/>
          <w:color w:val="auto"/>
          <w:sz w:val="24"/>
          <w:u w:val="single"/>
          <w:lang w:eastAsia="zh-CN"/>
        </w:rPr>
        <w:t>四川映池工程管理有限责任公司</w:t>
      </w:r>
      <w:r>
        <w:rPr>
          <w:rFonts w:hint="eastAsia" w:ascii="宋体" w:hAnsi="宋体"/>
          <w:color w:val="auto"/>
          <w:sz w:val="24"/>
        </w:rPr>
        <w:t>。</w:t>
      </w:r>
    </w:p>
    <w:p>
      <w:pPr>
        <w:tabs>
          <w:tab w:val="left" w:pos="7665"/>
        </w:tabs>
        <w:spacing w:line="400" w:lineRule="exact"/>
        <w:ind w:firstLine="480" w:firstLineChars="200"/>
        <w:rPr>
          <w:rFonts w:ascii="宋体" w:hAnsi="宋体"/>
          <w:color w:val="auto"/>
          <w:sz w:val="24"/>
        </w:rPr>
      </w:pPr>
    </w:p>
    <w:p>
      <w:pPr>
        <w:pStyle w:val="5"/>
        <w:keepNext w:val="0"/>
        <w:keepLines w:val="0"/>
        <w:spacing w:before="0" w:after="0" w:line="400" w:lineRule="exact"/>
        <w:ind w:firstLine="482"/>
        <w:rPr>
          <w:rFonts w:ascii="宋体" w:hAnsi="宋体"/>
          <w:color w:val="auto"/>
          <w:sz w:val="28"/>
          <w:szCs w:val="28"/>
        </w:rPr>
      </w:pPr>
      <w:bookmarkStart w:id="32" w:name="_Toc217390843"/>
      <w:bookmarkStart w:id="33" w:name="_Toc183582207"/>
      <w:bookmarkStart w:id="34" w:name="_Toc183682344"/>
      <w:bookmarkStart w:id="35" w:name="_Toc217446036"/>
      <w:bookmarkStart w:id="36" w:name="_Toc531718374"/>
      <w:bookmarkStart w:id="37" w:name="_Toc514154122"/>
      <w:bookmarkStart w:id="38" w:name="_Toc514154251"/>
      <w:r>
        <w:rPr>
          <w:rFonts w:ascii="宋体" w:hAnsi="宋体"/>
          <w:color w:val="auto"/>
          <w:sz w:val="28"/>
          <w:szCs w:val="28"/>
        </w:rPr>
        <w:t>3.</w:t>
      </w:r>
      <w:r>
        <w:rPr>
          <w:rFonts w:hint="eastAsia" w:ascii="宋体" w:hAnsi="宋体"/>
          <w:color w:val="auto"/>
          <w:sz w:val="28"/>
          <w:szCs w:val="28"/>
        </w:rPr>
        <w:t xml:space="preserve"> 合格</w:t>
      </w:r>
      <w:bookmarkEnd w:id="32"/>
      <w:bookmarkEnd w:id="33"/>
      <w:bookmarkEnd w:id="34"/>
      <w:bookmarkEnd w:id="35"/>
      <w:r>
        <w:rPr>
          <w:rFonts w:hint="eastAsia" w:ascii="宋体" w:hAnsi="宋体"/>
          <w:color w:val="auto"/>
          <w:sz w:val="28"/>
          <w:szCs w:val="28"/>
        </w:rPr>
        <w:t>供应商</w:t>
      </w:r>
      <w:bookmarkEnd w:id="36"/>
      <w:bookmarkEnd w:id="37"/>
      <w:bookmarkEnd w:id="38"/>
    </w:p>
    <w:p>
      <w:pPr>
        <w:tabs>
          <w:tab w:val="left" w:pos="7665"/>
        </w:tabs>
        <w:spacing w:line="400" w:lineRule="exact"/>
        <w:rPr>
          <w:rFonts w:ascii="宋体" w:hAnsi="宋体"/>
          <w:color w:val="auto"/>
          <w:sz w:val="24"/>
        </w:rPr>
      </w:pPr>
      <w:r>
        <w:rPr>
          <w:rFonts w:hint="eastAsia" w:ascii="宋体" w:hAnsi="宋体"/>
          <w:color w:val="auto"/>
          <w:sz w:val="24"/>
        </w:rPr>
        <w:t>合格供应商应具备以下条件：</w:t>
      </w:r>
    </w:p>
    <w:p>
      <w:pPr>
        <w:tabs>
          <w:tab w:val="left" w:pos="7665"/>
        </w:tabs>
        <w:spacing w:line="400" w:lineRule="exact"/>
        <w:ind w:firstLine="480" w:firstLineChars="200"/>
        <w:rPr>
          <w:rFonts w:ascii="宋体" w:hAnsi="宋体"/>
          <w:color w:val="auto"/>
          <w:spacing w:val="-4"/>
          <w:sz w:val="24"/>
        </w:rPr>
      </w:pPr>
      <w:r>
        <w:rPr>
          <w:rFonts w:hint="eastAsia" w:ascii="宋体" w:hAnsi="宋体"/>
          <w:color w:val="auto"/>
          <w:sz w:val="24"/>
        </w:rPr>
        <w:t>3.1 具备法律法规和本采购文件规定的资格条件</w:t>
      </w:r>
      <w:r>
        <w:rPr>
          <w:rFonts w:hint="eastAsia" w:ascii="宋体" w:hAnsi="宋体"/>
          <w:color w:val="auto"/>
          <w:spacing w:val="-4"/>
          <w:sz w:val="24"/>
        </w:rPr>
        <w:t>；</w:t>
      </w:r>
    </w:p>
    <w:p>
      <w:pPr>
        <w:tabs>
          <w:tab w:val="left" w:pos="7665"/>
        </w:tabs>
        <w:spacing w:line="400" w:lineRule="exact"/>
        <w:ind w:firstLine="464" w:firstLineChars="200"/>
        <w:rPr>
          <w:rFonts w:ascii="宋体" w:hAnsi="宋体"/>
          <w:color w:val="auto"/>
          <w:spacing w:val="-4"/>
          <w:sz w:val="24"/>
        </w:rPr>
      </w:pPr>
      <w:r>
        <w:rPr>
          <w:rFonts w:hint="eastAsia" w:ascii="宋体" w:hAnsi="宋体"/>
          <w:color w:val="auto"/>
          <w:spacing w:val="-4"/>
          <w:sz w:val="24"/>
        </w:rPr>
        <w:t>3.2 不属于禁止参加本项目采购活动的供应商；</w:t>
      </w:r>
    </w:p>
    <w:p>
      <w:pPr>
        <w:tabs>
          <w:tab w:val="left" w:pos="7665"/>
        </w:tabs>
        <w:spacing w:line="400" w:lineRule="exact"/>
        <w:ind w:firstLine="464" w:firstLineChars="200"/>
        <w:rPr>
          <w:rFonts w:ascii="宋体" w:hAnsi="宋体"/>
          <w:color w:val="auto"/>
          <w:spacing w:val="-4"/>
          <w:sz w:val="24"/>
        </w:rPr>
      </w:pPr>
      <w:r>
        <w:rPr>
          <w:rFonts w:hint="eastAsia" w:ascii="宋体" w:hAnsi="宋体"/>
          <w:color w:val="auto"/>
          <w:spacing w:val="-4"/>
          <w:sz w:val="24"/>
        </w:rPr>
        <w:t>3.3 按照规定</w:t>
      </w:r>
      <w:r>
        <w:rPr>
          <w:rFonts w:hint="eastAsia" w:ascii="宋体" w:hAnsi="宋体"/>
          <w:color w:val="auto"/>
          <w:sz w:val="24"/>
        </w:rPr>
        <w:t>获取了磋商文件，属于实质性参加政府采购活动的供应商。</w:t>
      </w:r>
    </w:p>
    <w:p>
      <w:pPr>
        <w:pStyle w:val="49"/>
        <w:ind w:firstLine="480"/>
        <w:rPr>
          <w:color w:val="auto"/>
        </w:rPr>
      </w:pPr>
      <w:bookmarkStart w:id="39" w:name="_Toc183682345"/>
      <w:bookmarkStart w:id="40" w:name="_Toc217446037"/>
      <w:bookmarkStart w:id="41" w:name="_Toc183582208"/>
    </w:p>
    <w:p>
      <w:pPr>
        <w:pStyle w:val="5"/>
        <w:keepNext w:val="0"/>
        <w:keepLines w:val="0"/>
        <w:spacing w:before="0" w:after="0" w:line="400" w:lineRule="exact"/>
        <w:ind w:firstLine="482"/>
        <w:rPr>
          <w:rFonts w:ascii="宋体" w:hAnsi="宋体"/>
          <w:color w:val="auto"/>
          <w:sz w:val="28"/>
          <w:szCs w:val="28"/>
        </w:rPr>
      </w:pPr>
      <w:bookmarkStart w:id="42" w:name="_Toc514154123"/>
      <w:bookmarkStart w:id="43" w:name="_Toc514154252"/>
      <w:bookmarkStart w:id="44" w:name="_Toc531718375"/>
      <w:r>
        <w:rPr>
          <w:rFonts w:hint="eastAsia" w:ascii="宋体" w:hAnsi="宋体"/>
          <w:color w:val="auto"/>
          <w:sz w:val="28"/>
          <w:szCs w:val="28"/>
        </w:rPr>
        <w:t>4. 磋商费用</w:t>
      </w:r>
      <w:bookmarkEnd w:id="39"/>
      <w:bookmarkEnd w:id="40"/>
      <w:bookmarkEnd w:id="41"/>
      <w:bookmarkEnd w:id="42"/>
      <w:bookmarkEnd w:id="43"/>
      <w:bookmarkEnd w:id="44"/>
    </w:p>
    <w:p>
      <w:pPr>
        <w:tabs>
          <w:tab w:val="left" w:pos="7665"/>
        </w:tabs>
        <w:spacing w:line="400" w:lineRule="exact"/>
        <w:ind w:firstLine="480"/>
        <w:rPr>
          <w:rFonts w:ascii="宋体" w:hAnsi="宋体"/>
          <w:color w:val="auto"/>
          <w:sz w:val="24"/>
        </w:rPr>
      </w:pPr>
      <w:r>
        <w:rPr>
          <w:rFonts w:hint="eastAsia" w:ascii="宋体" w:hAnsi="宋体"/>
          <w:color w:val="auto"/>
          <w:sz w:val="24"/>
        </w:rPr>
        <w:t>供应商应自行承担参加磋商活动的全部费用。</w:t>
      </w:r>
    </w:p>
    <w:p>
      <w:pPr>
        <w:pStyle w:val="49"/>
        <w:ind w:firstLine="480"/>
        <w:rPr>
          <w:color w:val="auto"/>
        </w:rPr>
      </w:pPr>
    </w:p>
    <w:p>
      <w:pPr>
        <w:pStyle w:val="5"/>
        <w:keepNext w:val="0"/>
        <w:keepLines w:val="0"/>
        <w:spacing w:before="0" w:after="0" w:line="400" w:lineRule="exact"/>
        <w:ind w:firstLine="482"/>
        <w:rPr>
          <w:rFonts w:hint="eastAsia" w:ascii="宋体" w:hAnsi="宋体"/>
          <w:b/>
          <w:bCs/>
          <w:color w:val="auto"/>
          <w:sz w:val="28"/>
          <w:szCs w:val="28"/>
          <w:lang w:eastAsia="zh-CN"/>
        </w:rPr>
      </w:pPr>
      <w:bookmarkStart w:id="45" w:name="_Toc531718376"/>
      <w:r>
        <w:rPr>
          <w:rFonts w:hint="eastAsia" w:ascii="宋体" w:hAnsi="宋体"/>
          <w:b/>
          <w:bCs/>
          <w:color w:val="auto"/>
          <w:sz w:val="28"/>
          <w:szCs w:val="28"/>
        </w:rPr>
        <w:t>5.充分、公平竞争保障措施</w:t>
      </w:r>
      <w:bookmarkEnd w:id="45"/>
      <w:r>
        <w:rPr>
          <w:rFonts w:hint="eastAsia" w:ascii="宋体" w:hAnsi="宋体"/>
          <w:b/>
          <w:bCs/>
          <w:color w:val="auto"/>
          <w:sz w:val="28"/>
          <w:szCs w:val="28"/>
          <w:lang w:eastAsia="zh-CN"/>
        </w:rPr>
        <w:t>（实质性要求）</w:t>
      </w:r>
    </w:p>
    <w:p>
      <w:pPr>
        <w:pStyle w:val="64"/>
        <w:spacing w:line="400" w:lineRule="exact"/>
        <w:ind w:left="1" w:firstLine="480" w:firstLineChars="200"/>
        <w:rPr>
          <w:rFonts w:hAnsi="宋体"/>
          <w:color w:val="auto"/>
          <w:sz w:val="28"/>
          <w:szCs w:val="28"/>
        </w:rPr>
      </w:pPr>
      <w:r>
        <w:rPr>
          <w:rFonts w:hint="eastAsia" w:hAnsi="宋体"/>
          <w:color w:val="auto"/>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4"/>
        <w:spacing w:line="400" w:lineRule="exact"/>
        <w:ind w:left="1" w:firstLine="480" w:firstLineChars="200"/>
        <w:rPr>
          <w:rFonts w:hAnsi="宋体"/>
          <w:color w:val="auto"/>
          <w:sz w:val="24"/>
        </w:rPr>
      </w:pPr>
      <w:r>
        <w:rPr>
          <w:rFonts w:hint="eastAsia" w:hAnsi="宋体"/>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64"/>
        <w:spacing w:line="400" w:lineRule="exact"/>
        <w:ind w:left="1" w:firstLine="480" w:firstLineChars="200"/>
        <w:rPr>
          <w:rFonts w:hAnsi="宋体"/>
          <w:color w:val="auto"/>
          <w:sz w:val="24"/>
        </w:rPr>
      </w:pPr>
      <w:r>
        <w:rPr>
          <w:rFonts w:hint="eastAsia" w:hAnsi="宋体"/>
          <w:color w:val="auto"/>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4"/>
        <w:spacing w:line="400" w:lineRule="exact"/>
        <w:ind w:left="1" w:firstLine="480" w:firstLineChars="200"/>
        <w:rPr>
          <w:rFonts w:hAnsi="宋体"/>
          <w:color w:val="auto"/>
          <w:sz w:val="24"/>
        </w:rPr>
      </w:pPr>
      <w:r>
        <w:rPr>
          <w:rFonts w:hint="eastAsia" w:hAnsi="宋体"/>
          <w:color w:val="auto"/>
          <w:sz w:val="24"/>
        </w:rPr>
        <w:t>5.4供应商实际控制人或者中高级管理人员，同时是采购代理机构工作人员，不得参与本项目政府采购活动。</w:t>
      </w:r>
    </w:p>
    <w:p>
      <w:pPr>
        <w:spacing w:line="400" w:lineRule="exact"/>
        <w:ind w:firstLine="480" w:firstLineChars="200"/>
        <w:rPr>
          <w:rFonts w:ascii="宋体" w:hAnsi="宋体"/>
          <w:color w:val="auto"/>
          <w:sz w:val="24"/>
        </w:rPr>
      </w:pPr>
      <w:r>
        <w:rPr>
          <w:rFonts w:hint="eastAsia" w:ascii="宋体" w:hAnsi="宋体"/>
          <w:color w:val="auto"/>
          <w:sz w:val="24"/>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olor w:val="auto"/>
          <w:sz w:val="24"/>
        </w:rPr>
      </w:pPr>
      <w:r>
        <w:rPr>
          <w:rFonts w:hint="eastAsia" w:ascii="宋体" w:hAnsi="宋体"/>
          <w:color w:val="auto"/>
          <w:sz w:val="24"/>
        </w:rPr>
        <w:t>5.6供应商与采购代理机构存在关联关系，或者是采购代理机构的母公司或子公司，不得参加本项目政府采购活动。</w:t>
      </w:r>
    </w:p>
    <w:p>
      <w:pPr>
        <w:pStyle w:val="60"/>
        <w:spacing w:line="360" w:lineRule="auto"/>
        <w:ind w:firstLine="480" w:firstLineChars="200"/>
        <w:rPr>
          <w:rFonts w:hint="eastAsia" w:eastAsia="宋体"/>
          <w:b w:val="0"/>
          <w:bCs/>
          <w:color w:val="auto"/>
          <w:sz w:val="24"/>
          <w:lang w:eastAsia="zh-CN"/>
        </w:rPr>
      </w:pPr>
      <w:r>
        <w:rPr>
          <w:rFonts w:hint="eastAsia"/>
          <w:b w:val="0"/>
          <w:bCs/>
          <w:color w:val="auto"/>
          <w:sz w:val="24"/>
        </w:rPr>
        <w:t>5.</w:t>
      </w:r>
      <w:r>
        <w:rPr>
          <w:rFonts w:hint="eastAsia"/>
          <w:b w:val="0"/>
          <w:bCs/>
          <w:color w:val="auto"/>
          <w:sz w:val="24"/>
          <w:lang w:val="en-US" w:eastAsia="zh-CN"/>
        </w:rPr>
        <w:t>7</w:t>
      </w:r>
      <w:r>
        <w:rPr>
          <w:rFonts w:hint="eastAsia"/>
          <w:b w:val="0"/>
          <w:bCs/>
          <w:color w:val="auto"/>
          <w:sz w:val="24"/>
        </w:rPr>
        <w:t>提供相同品牌产品处理</w:t>
      </w:r>
      <w:r>
        <w:rPr>
          <w:rFonts w:hint="eastAsia"/>
          <w:b w:val="0"/>
          <w:bCs/>
          <w:color w:val="auto"/>
          <w:sz w:val="24"/>
          <w:lang w:eastAsia="zh-CN"/>
        </w:rPr>
        <w:t>（</w:t>
      </w:r>
      <w:r>
        <w:rPr>
          <w:rFonts w:hint="eastAsia"/>
          <w:b w:val="0"/>
          <w:bCs/>
          <w:color w:val="auto"/>
          <w:sz w:val="24"/>
          <w:lang w:val="en-US" w:eastAsia="zh-CN"/>
        </w:rPr>
        <w:t>如涉及</w:t>
      </w:r>
      <w:r>
        <w:rPr>
          <w:rFonts w:hint="eastAsia"/>
          <w:b w:val="0"/>
          <w:bCs/>
          <w:color w:val="auto"/>
          <w:sz w:val="24"/>
          <w:lang w:eastAsia="zh-CN"/>
        </w:rPr>
        <w:t>）</w:t>
      </w:r>
    </w:p>
    <w:p>
      <w:pPr>
        <w:pStyle w:val="60"/>
        <w:spacing w:line="360" w:lineRule="auto"/>
        <w:ind w:left="1" w:firstLine="480" w:firstLineChars="200"/>
        <w:rPr>
          <w:rFonts w:hint="eastAsia"/>
          <w:bCs/>
          <w:color w:val="auto"/>
          <w:sz w:val="24"/>
          <w:szCs w:val="24"/>
        </w:rPr>
      </w:pPr>
      <w:r>
        <w:rPr>
          <w:rFonts w:hint="eastAsia"/>
          <w:bCs/>
          <w:color w:val="auto"/>
          <w:sz w:val="24"/>
          <w:szCs w:val="24"/>
        </w:rPr>
        <w:t>提供相同品牌产品且通过资格审查的不同投标人参加同一合同项下投标的，按一家投标人计算，评审后得分最高的同品牌投标人获得中标人推荐资格；评审得分相同的，由</w:t>
      </w:r>
      <w:r>
        <w:rPr>
          <w:rFonts w:hint="eastAsia"/>
          <w:bCs/>
          <w:color w:val="auto"/>
          <w:sz w:val="24"/>
          <w:szCs w:val="24"/>
          <w:lang w:eastAsia="zh-CN"/>
        </w:rPr>
        <w:t>采购人</w:t>
      </w:r>
      <w:r>
        <w:rPr>
          <w:rFonts w:hint="eastAsia"/>
          <w:bCs/>
          <w:color w:val="auto"/>
          <w:sz w:val="24"/>
          <w:szCs w:val="24"/>
        </w:rPr>
        <w:t>采取随机抽取方式确定一个投标人获得中标人推荐资格，其他同品牌投标人不作为中标候选人。</w:t>
      </w:r>
    </w:p>
    <w:p>
      <w:pPr>
        <w:pStyle w:val="97"/>
        <w:spacing w:line="400" w:lineRule="exact"/>
        <w:ind w:left="1" w:firstLine="480" w:firstLineChars="200"/>
        <w:rPr>
          <w:rFonts w:hint="default" w:hAnsi="宋体" w:eastAsia="宋体"/>
          <w:color w:val="auto"/>
          <w:sz w:val="24"/>
          <w:highlight w:val="none"/>
          <w:lang w:val="en-US" w:eastAsia="zh-CN"/>
        </w:rPr>
      </w:pPr>
      <w:r>
        <w:rPr>
          <w:rFonts w:hint="eastAsia" w:hAnsi="宋体"/>
          <w:color w:val="auto"/>
          <w:sz w:val="24"/>
        </w:rPr>
        <w:t>非单一产品采购项目中，多家供应商提供的部分或所有核心产品品牌相同的，视为提供相同品牌产品。</w:t>
      </w:r>
      <w:r>
        <w:rPr>
          <w:rFonts w:hint="eastAsia" w:hAnsi="宋体"/>
          <w:color w:val="auto"/>
          <w:sz w:val="24"/>
          <w:highlight w:val="none"/>
          <w:lang w:val="en-US" w:eastAsia="zh-CN"/>
        </w:rPr>
        <w:t xml:space="preserve"> </w:t>
      </w:r>
    </w:p>
    <w:p>
      <w:pPr>
        <w:pStyle w:val="64"/>
        <w:spacing w:line="400" w:lineRule="exact"/>
        <w:ind w:left="1" w:firstLine="480" w:firstLineChars="200"/>
        <w:rPr>
          <w:rFonts w:hAnsi="宋体"/>
          <w:color w:val="auto"/>
          <w:sz w:val="24"/>
        </w:rPr>
      </w:pPr>
      <w:r>
        <w:rPr>
          <w:rFonts w:hint="eastAsia" w:hAnsi="宋体"/>
          <w:color w:val="auto"/>
          <w:sz w:val="24"/>
        </w:rPr>
        <w:t>5.</w:t>
      </w:r>
      <w:r>
        <w:rPr>
          <w:rFonts w:hint="eastAsia" w:hAnsi="宋体"/>
          <w:color w:val="auto"/>
          <w:sz w:val="24"/>
          <w:lang w:val="en-US" w:eastAsia="zh-CN"/>
        </w:rPr>
        <w:t>8</w:t>
      </w:r>
      <w:r>
        <w:rPr>
          <w:rFonts w:hint="eastAsia" w:hAnsi="宋体"/>
          <w:color w:val="auto"/>
          <w:sz w:val="24"/>
        </w:rPr>
        <w:t>回避。政府采购活动中，采购人员及相关人员与供应商有下列利害关系之一的，应当回避：</w:t>
      </w:r>
    </w:p>
    <w:p>
      <w:pPr>
        <w:pStyle w:val="64"/>
        <w:spacing w:line="400" w:lineRule="exact"/>
        <w:ind w:left="1" w:firstLine="480" w:firstLineChars="200"/>
        <w:rPr>
          <w:rFonts w:hAnsi="宋体"/>
          <w:color w:val="auto"/>
          <w:sz w:val="24"/>
        </w:rPr>
      </w:pPr>
      <w:r>
        <w:rPr>
          <w:rFonts w:hint="eastAsia" w:hAnsi="宋体"/>
          <w:color w:val="auto"/>
          <w:sz w:val="24"/>
        </w:rPr>
        <w:t>（1）参加采购活动前3年内与供应商存在劳动关系；</w:t>
      </w:r>
    </w:p>
    <w:p>
      <w:pPr>
        <w:pStyle w:val="64"/>
        <w:spacing w:line="400" w:lineRule="exact"/>
        <w:ind w:left="1" w:firstLine="480" w:firstLineChars="200"/>
        <w:rPr>
          <w:rFonts w:hAnsi="宋体"/>
          <w:color w:val="auto"/>
          <w:sz w:val="24"/>
        </w:rPr>
      </w:pPr>
      <w:r>
        <w:rPr>
          <w:rFonts w:hint="eastAsia" w:hAnsi="宋体"/>
          <w:color w:val="auto"/>
          <w:sz w:val="24"/>
        </w:rPr>
        <w:t>（2）参加采购活动前3年内担任供应商的董事、监事；</w:t>
      </w:r>
    </w:p>
    <w:p>
      <w:pPr>
        <w:pStyle w:val="64"/>
        <w:spacing w:line="400" w:lineRule="exact"/>
        <w:ind w:left="1" w:firstLine="480" w:firstLineChars="200"/>
        <w:rPr>
          <w:rFonts w:hAnsi="宋体"/>
          <w:color w:val="auto"/>
          <w:sz w:val="24"/>
        </w:rPr>
      </w:pPr>
      <w:r>
        <w:rPr>
          <w:rFonts w:hint="eastAsia" w:hAnsi="宋体"/>
          <w:color w:val="auto"/>
          <w:sz w:val="24"/>
        </w:rPr>
        <w:t>（3）参加采购活动前3年内是供应商的控股股东或者实际控制人；</w:t>
      </w:r>
    </w:p>
    <w:p>
      <w:pPr>
        <w:pStyle w:val="64"/>
        <w:spacing w:line="400" w:lineRule="exact"/>
        <w:ind w:left="1" w:firstLine="480" w:firstLineChars="200"/>
        <w:rPr>
          <w:rFonts w:hAnsi="宋体"/>
          <w:color w:val="auto"/>
          <w:sz w:val="24"/>
        </w:rPr>
      </w:pPr>
      <w:r>
        <w:rPr>
          <w:rFonts w:hint="eastAsia" w:hAnsi="宋体"/>
          <w:color w:val="auto"/>
          <w:sz w:val="24"/>
        </w:rPr>
        <w:t>（4）与供应商的法定代表人或者负责人有夫妻、直系血亲、三代以内旁系血亲或者近姻亲关系；</w:t>
      </w:r>
    </w:p>
    <w:p>
      <w:pPr>
        <w:pStyle w:val="64"/>
        <w:spacing w:line="400" w:lineRule="exact"/>
        <w:ind w:left="1" w:firstLine="480" w:firstLineChars="200"/>
        <w:rPr>
          <w:rFonts w:hAnsi="宋体"/>
          <w:color w:val="auto"/>
          <w:sz w:val="24"/>
        </w:rPr>
      </w:pPr>
      <w:r>
        <w:rPr>
          <w:rFonts w:hint="eastAsia" w:hAnsi="宋体"/>
          <w:color w:val="auto"/>
          <w:sz w:val="24"/>
        </w:rPr>
        <w:t>（5）与供应商有其他可能影响政府采购活动公平、公正进行的关系。</w:t>
      </w:r>
    </w:p>
    <w:p>
      <w:pPr>
        <w:pStyle w:val="64"/>
        <w:spacing w:line="400" w:lineRule="exact"/>
        <w:ind w:left="1" w:firstLine="480" w:firstLineChars="200"/>
        <w:rPr>
          <w:rFonts w:hAnsi="宋体"/>
          <w:color w:val="auto"/>
          <w:sz w:val="24"/>
        </w:rPr>
      </w:pPr>
      <w:r>
        <w:rPr>
          <w:rFonts w:hint="eastAsia" w:hAnsi="宋体"/>
          <w:color w:val="auto"/>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4"/>
        <w:spacing w:line="400" w:lineRule="exact"/>
        <w:ind w:left="1" w:firstLine="480" w:firstLineChars="200"/>
        <w:rPr>
          <w:rFonts w:hAnsi="宋体"/>
          <w:color w:val="auto"/>
          <w:sz w:val="24"/>
        </w:rPr>
      </w:pPr>
      <w:r>
        <w:rPr>
          <w:rFonts w:hint="eastAsia" w:hAnsi="宋体"/>
          <w:color w:val="auto"/>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480" w:lineRule="auto"/>
        <w:ind w:firstLine="482"/>
        <w:outlineLvl w:val="9"/>
        <w:rPr>
          <w:rFonts w:hint="eastAsia" w:ascii="宋体" w:hAnsi="宋体"/>
          <w:b/>
          <w:bCs/>
          <w:color w:val="auto"/>
          <w:sz w:val="28"/>
          <w:szCs w:val="28"/>
        </w:rPr>
      </w:pPr>
      <w:bookmarkStart w:id="46" w:name="_Toc531718377"/>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hAnsi="宋体"/>
          <w:color w:val="auto"/>
          <w:sz w:val="24"/>
          <w:lang w:val="en-US" w:eastAsia="zh-CN"/>
        </w:rPr>
      </w:pPr>
      <w:r>
        <w:rPr>
          <w:rFonts w:hint="eastAsia" w:ascii="宋体" w:hAnsi="宋体"/>
          <w:b/>
          <w:bCs/>
          <w:color w:val="auto"/>
          <w:sz w:val="28"/>
          <w:szCs w:val="28"/>
        </w:rPr>
        <w:t>6.联合体竞争性磋商</w:t>
      </w:r>
      <w:bookmarkEnd w:id="46"/>
      <w:r>
        <w:rPr>
          <w:rFonts w:hint="eastAsia" w:ascii="宋体" w:hAnsi="宋体"/>
          <w:b/>
          <w:bCs/>
          <w:color w:val="auto"/>
          <w:sz w:val="28"/>
          <w:szCs w:val="28"/>
        </w:rPr>
        <w:t>（实质性要求）</w:t>
      </w:r>
      <w:bookmarkStart w:id="47" w:name="_Toc531718378"/>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eastAsia="宋体" w:cs="Times New Roman"/>
          <w:b w:val="0"/>
          <w:bCs w:val="0"/>
          <w:color w:val="auto"/>
          <w:sz w:val="24"/>
          <w:szCs w:val="22"/>
          <w:lang w:val="en-US" w:eastAsia="zh-CN" w:bidi="ar-SA"/>
        </w:rPr>
      </w:pPr>
      <w:r>
        <w:rPr>
          <w:rFonts w:hint="eastAsia" w:ascii="宋体" w:hAnsi="宋体" w:eastAsia="宋体" w:cs="Times New Roman"/>
          <w:b w:val="0"/>
          <w:bCs w:val="0"/>
          <w:color w:val="auto"/>
          <w:sz w:val="24"/>
          <w:szCs w:val="22"/>
          <w:lang w:val="en-US" w:eastAsia="zh-CN" w:bidi="ar-SA"/>
        </w:rPr>
        <w:t>本项目不接受联合体磋商</w:t>
      </w:r>
    </w:p>
    <w:p>
      <w:pPr>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82"/>
        <w:textAlignment w:val="auto"/>
        <w:rPr>
          <w:rFonts w:hint="eastAsia" w:ascii="宋体" w:hAnsi="宋体"/>
          <w:b/>
          <w:bCs/>
          <w:color w:val="auto"/>
          <w:sz w:val="28"/>
          <w:szCs w:val="28"/>
        </w:rPr>
      </w:pPr>
      <w:r>
        <w:rPr>
          <w:rFonts w:hint="eastAsia" w:ascii="宋体" w:hAnsi="宋体"/>
          <w:b/>
          <w:bCs/>
          <w:color w:val="auto"/>
          <w:sz w:val="28"/>
          <w:szCs w:val="28"/>
        </w:rPr>
        <w:t>7.磋商保证金</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olor w:val="auto"/>
          <w:sz w:val="24"/>
          <w:lang w:eastAsia="zh-CN"/>
        </w:rPr>
      </w:pPr>
      <w:r>
        <w:rPr>
          <w:rFonts w:hint="eastAsia" w:hAnsi="宋体"/>
          <w:color w:val="auto"/>
          <w:sz w:val="24"/>
          <w:lang w:eastAsia="zh-CN"/>
        </w:rPr>
        <w:t>本项目不适用。</w:t>
      </w:r>
    </w:p>
    <w:p>
      <w:pPr>
        <w:spacing w:line="400" w:lineRule="exact"/>
        <w:ind w:firstLine="470" w:firstLineChars="196"/>
        <w:rPr>
          <w:rFonts w:ascii="宋体"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rPr>
      </w:pPr>
      <w:bookmarkStart w:id="48" w:name="_Toc531718379"/>
      <w:r>
        <w:rPr>
          <w:rFonts w:hint="eastAsia" w:ascii="宋体" w:hAnsi="宋体"/>
          <w:b/>
          <w:bCs/>
          <w:color w:val="auto"/>
          <w:sz w:val="28"/>
          <w:szCs w:val="28"/>
        </w:rPr>
        <w:t>8.响应文件有效期</w:t>
      </w:r>
      <w:bookmarkEnd w:id="48"/>
    </w:p>
    <w:p>
      <w:pPr>
        <w:spacing w:line="400" w:lineRule="exact"/>
        <w:ind w:firstLine="470" w:firstLineChars="196"/>
        <w:rPr>
          <w:rFonts w:ascii="宋体" w:hAnsi="宋体"/>
          <w:color w:val="auto"/>
          <w:sz w:val="24"/>
        </w:rPr>
      </w:pPr>
      <w:r>
        <w:rPr>
          <w:rFonts w:hint="eastAsia" w:ascii="宋体" w:hAnsi="宋体"/>
          <w:color w:val="auto"/>
          <w:sz w:val="24"/>
        </w:rPr>
        <w:t>本项目响应文件有效期为递交磋商响应文件截止之日起</w:t>
      </w:r>
      <w:r>
        <w:rPr>
          <w:rFonts w:hint="eastAsia" w:hAnsi="宋体"/>
          <w:color w:val="auto"/>
          <w:sz w:val="24"/>
          <w:lang w:val="en-US" w:eastAsia="zh-CN"/>
        </w:rPr>
        <w:t>100</w:t>
      </w:r>
      <w:r>
        <w:rPr>
          <w:rFonts w:hint="eastAsia" w:ascii="宋体" w:hAnsi="宋体"/>
          <w:color w:val="auto"/>
          <w:sz w:val="24"/>
        </w:rPr>
        <w:t>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ascii="宋体"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eastAsia="zh-CN"/>
        </w:rPr>
      </w:pPr>
      <w:bookmarkStart w:id="49" w:name="_Toc531718380"/>
      <w:r>
        <w:rPr>
          <w:rFonts w:hint="eastAsia" w:ascii="宋体" w:hAnsi="宋体"/>
          <w:b/>
          <w:bCs/>
          <w:color w:val="auto"/>
          <w:sz w:val="28"/>
          <w:szCs w:val="28"/>
        </w:rPr>
        <w:t>9.知识产权</w:t>
      </w:r>
      <w:bookmarkEnd w:id="49"/>
      <w:r>
        <w:rPr>
          <w:rFonts w:hint="eastAsia" w:ascii="宋体" w:hAnsi="宋体"/>
          <w:b/>
          <w:bCs/>
          <w:color w:val="auto"/>
          <w:sz w:val="28"/>
          <w:szCs w:val="28"/>
          <w:lang w:eastAsia="zh-CN"/>
        </w:rPr>
        <w:t>（实质性要求）</w:t>
      </w:r>
    </w:p>
    <w:p>
      <w:pPr>
        <w:pStyle w:val="12"/>
        <w:spacing w:line="400" w:lineRule="exact"/>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.1</w:t>
      </w:r>
      <w:r>
        <w:rPr>
          <w:rFonts w:hint="eastAsia" w:ascii="宋体" w:hAnsi="宋体"/>
          <w:color w:val="auto"/>
          <w:sz w:val="24"/>
        </w:rPr>
        <w:t>供应商</w:t>
      </w:r>
      <w:r>
        <w:rPr>
          <w:rFonts w:hint="eastAsia" w:ascii="宋体" w:hAnsi="宋体"/>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auto"/>
          <w:sz w:val="24"/>
        </w:rPr>
        <w:t>供应商</w:t>
      </w:r>
      <w:r>
        <w:rPr>
          <w:rFonts w:hint="eastAsia" w:ascii="宋体" w:hAnsi="宋体"/>
          <w:color w:val="auto"/>
          <w:sz w:val="24"/>
          <w:szCs w:val="24"/>
        </w:rPr>
        <w:t>承担所有相关责任。</w:t>
      </w:r>
    </w:p>
    <w:p>
      <w:pPr>
        <w:pStyle w:val="12"/>
        <w:spacing w:line="400" w:lineRule="exact"/>
        <w:ind w:firstLine="480" w:firstLineChars="2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.2</w:t>
      </w:r>
      <w:r>
        <w:rPr>
          <w:rFonts w:hint="eastAsia" w:ascii="宋体" w:hAnsi="宋体"/>
          <w:color w:val="auto"/>
          <w:sz w:val="24"/>
          <w:szCs w:val="24"/>
        </w:rPr>
        <w:t xml:space="preserve"> 除非磋商文件特别规定，采购人享有本项目实施过程中产生的知识成果及知识产权。</w:t>
      </w:r>
    </w:p>
    <w:p>
      <w:pPr>
        <w:spacing w:line="400" w:lineRule="exact"/>
        <w:ind w:firstLine="480" w:firstLineChars="200"/>
        <w:rPr>
          <w:rFonts w:ascii="仿宋_GB2312" w:eastAsia="仿宋_GB2312"/>
          <w:color w:val="auto"/>
          <w:sz w:val="32"/>
          <w:szCs w:val="32"/>
        </w:rPr>
      </w:pPr>
      <w:r>
        <w:rPr>
          <w:rFonts w:hint="eastAsia" w:ascii="宋体" w:hAnsi="宋体"/>
          <w:color w:val="auto"/>
          <w:sz w:val="24"/>
        </w:rPr>
        <w:t>9</w:t>
      </w:r>
      <w:r>
        <w:rPr>
          <w:rFonts w:ascii="宋体" w:hAnsi="宋体"/>
          <w:color w:val="auto"/>
          <w:sz w:val="24"/>
        </w:rPr>
        <w:t>.3</w:t>
      </w:r>
      <w:r>
        <w:rPr>
          <w:rFonts w:hint="eastAsia" w:ascii="宋体" w:hAnsi="宋体"/>
          <w:color w:val="auto"/>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int="eastAsia" w:ascii="宋体" w:hAnsi="宋体"/>
          <w:color w:val="auto"/>
          <w:sz w:val="24"/>
        </w:rPr>
      </w:pPr>
      <w:r>
        <w:rPr>
          <w:rFonts w:hint="eastAsia" w:ascii="宋体" w:hAnsi="宋体"/>
          <w:color w:val="auto"/>
          <w:sz w:val="24"/>
        </w:rPr>
        <w:t>9</w:t>
      </w:r>
      <w:r>
        <w:rPr>
          <w:rFonts w:ascii="宋体" w:hAnsi="宋体"/>
          <w:color w:val="auto"/>
          <w:sz w:val="24"/>
        </w:rPr>
        <w:t>.4</w:t>
      </w:r>
      <w:r>
        <w:rPr>
          <w:rFonts w:hint="eastAsia" w:ascii="宋体" w:hAnsi="宋体"/>
          <w:color w:val="auto"/>
          <w:sz w:val="24"/>
        </w:rPr>
        <w:t xml:space="preserve"> 如采用供应商所不拥有的知识产权，则在报价中必须包括合法获取该知识产权的相关费用。 </w:t>
      </w:r>
    </w:p>
    <w:p>
      <w:pPr>
        <w:pStyle w:val="11"/>
        <w:ind w:firstLine="480" w:firstLineChars="200"/>
        <w:rPr>
          <w:rFonts w:hint="eastAsia" w:eastAsia="宋体"/>
          <w:lang w:val="en-US" w:eastAsia="zh-CN"/>
        </w:rPr>
      </w:pPr>
      <w:r>
        <w:rPr>
          <w:rFonts w:hint="eastAsia" w:ascii="宋体" w:hAnsi="宋体" w:eastAsia="宋体" w:cs="宋体"/>
          <w:sz w:val="24"/>
        </w:rPr>
        <w:t>注：单独提供承诺。</w:t>
      </w:r>
    </w:p>
    <w:p>
      <w:pPr>
        <w:pStyle w:val="49"/>
        <w:ind w:firstLine="480"/>
        <w:rPr>
          <w:color w:val="auto"/>
        </w:rPr>
      </w:pPr>
      <w:bookmarkStart w:id="50" w:name="_Toc89075875"/>
      <w:bookmarkStart w:id="51" w:name="_Toc77400779"/>
      <w:bookmarkStart w:id="52" w:name="_Toc183682346"/>
      <w:bookmarkStart w:id="53" w:name="_Toc217446038"/>
      <w:bookmarkStart w:id="54" w:name="_Toc183582209"/>
    </w:p>
    <w:p>
      <w:pPr>
        <w:pStyle w:val="4"/>
        <w:keepNext w:val="0"/>
        <w:keepLines w:val="0"/>
        <w:spacing w:before="0" w:after="0" w:line="400" w:lineRule="exact"/>
        <w:jc w:val="center"/>
        <w:rPr>
          <w:rFonts w:ascii="黑体"/>
          <w:bCs w:val="0"/>
          <w:color w:val="auto"/>
        </w:rPr>
      </w:pPr>
      <w:bookmarkStart w:id="55" w:name="_Toc531718381"/>
      <w:bookmarkStart w:id="56" w:name="_Toc514154124"/>
      <w:bookmarkStart w:id="57" w:name="_Toc514154253"/>
      <w:r>
        <w:rPr>
          <w:rFonts w:hint="eastAsia" w:ascii="黑体"/>
          <w:bCs w:val="0"/>
          <w:color w:val="auto"/>
        </w:rPr>
        <w:t>三、磋商文件</w:t>
      </w:r>
      <w:bookmarkEnd w:id="50"/>
      <w:bookmarkEnd w:id="51"/>
      <w:bookmarkEnd w:id="52"/>
      <w:bookmarkEnd w:id="53"/>
      <w:bookmarkEnd w:id="54"/>
      <w:bookmarkEnd w:id="55"/>
      <w:bookmarkEnd w:id="56"/>
      <w:bookmarkEnd w:id="57"/>
    </w:p>
    <w:p>
      <w:pPr>
        <w:pStyle w:val="5"/>
        <w:keepNext w:val="0"/>
        <w:keepLines w:val="0"/>
        <w:spacing w:before="0" w:after="0" w:line="480" w:lineRule="auto"/>
        <w:ind w:firstLine="482"/>
        <w:outlineLvl w:val="9"/>
        <w:rPr>
          <w:rFonts w:hint="eastAsia" w:ascii="宋体" w:hAnsi="宋体"/>
          <w:b/>
          <w:bCs/>
          <w:color w:val="auto"/>
          <w:sz w:val="28"/>
          <w:szCs w:val="28"/>
        </w:rPr>
      </w:pPr>
      <w:bookmarkStart w:id="58" w:name="_Toc183582210"/>
      <w:bookmarkStart w:id="59" w:name="_Toc514154125"/>
      <w:bookmarkStart w:id="60" w:name="_Toc531718382"/>
      <w:bookmarkStart w:id="61" w:name="_Toc514154254"/>
      <w:bookmarkStart w:id="62" w:name="_Toc183682347"/>
      <w:bookmarkStart w:id="63" w:name="_Toc217446039"/>
    </w:p>
    <w:p>
      <w:pPr>
        <w:pStyle w:val="5"/>
        <w:keepNext w:val="0"/>
        <w:keepLines w:val="0"/>
        <w:spacing w:before="0" w:after="0" w:line="400" w:lineRule="exact"/>
        <w:ind w:firstLine="482"/>
        <w:rPr>
          <w:rFonts w:hint="eastAsia" w:ascii="宋体" w:hAnsi="宋体"/>
          <w:b/>
          <w:bCs/>
          <w:color w:val="auto"/>
          <w:sz w:val="28"/>
          <w:szCs w:val="28"/>
        </w:rPr>
      </w:pPr>
      <w:r>
        <w:rPr>
          <w:rFonts w:hint="eastAsia" w:ascii="宋体" w:hAnsi="宋体"/>
          <w:b/>
          <w:bCs/>
          <w:color w:val="auto"/>
          <w:sz w:val="28"/>
          <w:szCs w:val="28"/>
        </w:rPr>
        <w:t>10．磋商文件的构成</w:t>
      </w:r>
      <w:bookmarkEnd w:id="58"/>
      <w:bookmarkEnd w:id="59"/>
      <w:bookmarkEnd w:id="60"/>
      <w:bookmarkEnd w:id="61"/>
      <w:bookmarkEnd w:id="62"/>
      <w:bookmarkEnd w:id="63"/>
    </w:p>
    <w:p>
      <w:pPr>
        <w:tabs>
          <w:tab w:val="left" w:pos="720"/>
        </w:tabs>
        <w:spacing w:line="400" w:lineRule="exact"/>
        <w:ind w:firstLine="480" w:firstLineChars="200"/>
        <w:rPr>
          <w:rFonts w:ascii="宋体" w:hAnsi="宋体"/>
          <w:color w:val="auto"/>
          <w:sz w:val="24"/>
        </w:rPr>
      </w:pPr>
      <w:r>
        <w:rPr>
          <w:rFonts w:hint="eastAsia" w:ascii="宋体" w:hAnsi="宋体"/>
          <w:color w:val="auto"/>
          <w:sz w:val="24"/>
        </w:rPr>
        <w:t>10</w:t>
      </w:r>
      <w:r>
        <w:rPr>
          <w:rFonts w:ascii="宋体" w:hAnsi="宋体"/>
          <w:b/>
          <w:bCs/>
          <w:color w:val="auto"/>
          <w:sz w:val="24"/>
        </w:rPr>
        <w:t>.</w:t>
      </w:r>
      <w:r>
        <w:rPr>
          <w:rFonts w:hint="eastAsia" w:ascii="宋体" w:hAnsi="宋体"/>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b/>
          <w:bCs/>
          <w:color w:val="auto"/>
          <w:sz w:val="24"/>
        </w:rPr>
        <w:t>.</w:t>
      </w:r>
      <w:r>
        <w:rPr>
          <w:rFonts w:hint="eastAsia" w:ascii="宋体" w:hAnsi="宋体"/>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480" w:lineRule="auto"/>
        <w:ind w:firstLine="482"/>
        <w:outlineLvl w:val="9"/>
        <w:rPr>
          <w:rFonts w:hint="eastAsia" w:ascii="宋体" w:hAnsi="宋体"/>
          <w:b/>
          <w:bCs/>
          <w:color w:val="auto"/>
          <w:sz w:val="28"/>
          <w:szCs w:val="28"/>
        </w:rPr>
      </w:pPr>
      <w:bookmarkStart w:id="64" w:name="_Toc183682348"/>
      <w:bookmarkStart w:id="65" w:name="_Toc183582211"/>
      <w:bookmarkStart w:id="66" w:name="_Toc217446040"/>
      <w:bookmarkStart w:id="67" w:name="_Toc514154126"/>
      <w:bookmarkStart w:id="68" w:name="_Toc514154255"/>
      <w:bookmarkStart w:id="69" w:name="_Toc531718383"/>
    </w:p>
    <w:p>
      <w:pPr>
        <w:pStyle w:val="5"/>
        <w:keepNext w:val="0"/>
        <w:keepLines w:val="0"/>
        <w:spacing w:before="0" w:after="0" w:line="400" w:lineRule="exact"/>
        <w:ind w:firstLine="482"/>
        <w:rPr>
          <w:rFonts w:hint="eastAsia" w:ascii="宋体" w:hAnsi="宋体"/>
          <w:b/>
          <w:bCs/>
          <w:color w:val="auto"/>
          <w:sz w:val="28"/>
          <w:szCs w:val="28"/>
        </w:rPr>
      </w:pPr>
      <w:r>
        <w:rPr>
          <w:rFonts w:hint="eastAsia" w:ascii="宋体" w:hAnsi="宋体"/>
          <w:b/>
          <w:bCs/>
          <w:color w:val="auto"/>
          <w:sz w:val="28"/>
          <w:szCs w:val="28"/>
        </w:rPr>
        <w:t>11. 磋商文件的澄清</w:t>
      </w:r>
      <w:bookmarkEnd w:id="64"/>
      <w:bookmarkEnd w:id="65"/>
      <w:r>
        <w:rPr>
          <w:rFonts w:hint="eastAsia" w:ascii="宋体" w:hAnsi="宋体"/>
          <w:b/>
          <w:bCs/>
          <w:color w:val="auto"/>
          <w:sz w:val="28"/>
          <w:szCs w:val="28"/>
        </w:rPr>
        <w:t>和修改</w:t>
      </w:r>
      <w:bookmarkEnd w:id="66"/>
      <w:bookmarkEnd w:id="67"/>
      <w:bookmarkEnd w:id="68"/>
      <w:bookmarkEnd w:id="69"/>
    </w:p>
    <w:p>
      <w:pPr>
        <w:tabs>
          <w:tab w:val="left" w:pos="720"/>
        </w:tabs>
        <w:spacing w:line="400" w:lineRule="exact"/>
        <w:ind w:firstLine="480" w:firstLineChars="200"/>
        <w:rPr>
          <w:rFonts w:ascii="宋体" w:hAnsi="宋体"/>
          <w:color w:val="auto"/>
          <w:sz w:val="24"/>
        </w:rPr>
      </w:pPr>
      <w:r>
        <w:rPr>
          <w:rFonts w:hint="eastAsia" w:ascii="宋体" w:hAnsi="宋体"/>
          <w:color w:val="auto"/>
          <w:sz w:val="24"/>
        </w:rPr>
        <w:t>11.1 在递交响应文件截止时间前，采购人、采购代理机构可以对磋商文件进行澄清或者修改。</w:t>
      </w:r>
    </w:p>
    <w:p>
      <w:pPr>
        <w:tabs>
          <w:tab w:val="left" w:pos="720"/>
        </w:tabs>
        <w:spacing w:line="400" w:lineRule="exact"/>
        <w:ind w:firstLine="480" w:firstLineChars="200"/>
        <w:rPr>
          <w:rFonts w:ascii="宋体" w:hAnsi="宋体"/>
          <w:color w:val="auto"/>
          <w:sz w:val="24"/>
        </w:rPr>
      </w:pPr>
      <w:r>
        <w:rPr>
          <w:rFonts w:hint="eastAsia" w:ascii="宋体" w:hAnsi="宋体"/>
          <w:color w:val="auto"/>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color w:val="auto"/>
          <w:sz w:val="24"/>
        </w:rPr>
        <w:t>提交</w:t>
      </w:r>
      <w:r>
        <w:rPr>
          <w:rFonts w:hint="eastAsia" w:ascii="宋体" w:hAnsi="宋体"/>
          <w:color w:val="auto"/>
          <w:sz w:val="24"/>
        </w:rPr>
        <w:t>首次响应文件截</w:t>
      </w:r>
      <w:r>
        <w:rPr>
          <w:rFonts w:hint="eastAsia" w:ascii="宋体" w:hAnsi="宋体" w:cs="宋体"/>
          <w:color w:val="auto"/>
          <w:sz w:val="24"/>
        </w:rPr>
        <w:t>止之日起</w:t>
      </w:r>
      <w:r>
        <w:rPr>
          <w:rFonts w:hint="eastAsia" w:hAnsi="宋体" w:cs="宋体"/>
          <w:color w:val="auto"/>
          <w:sz w:val="24"/>
          <w:lang w:val="en-US" w:eastAsia="zh-CN"/>
        </w:rPr>
        <w:t>5</w:t>
      </w:r>
      <w:r>
        <w:rPr>
          <w:rFonts w:hint="eastAsia" w:ascii="宋体" w:hAnsi="宋体" w:cs="宋体"/>
          <w:color w:val="auto"/>
          <w:sz w:val="24"/>
        </w:rPr>
        <w:t>日前</w:t>
      </w:r>
      <w:r>
        <w:rPr>
          <w:rFonts w:hint="eastAsia" w:ascii="宋体" w:hAnsi="宋体"/>
          <w:color w:val="auto"/>
          <w:sz w:val="24"/>
        </w:rPr>
        <w:t>；不足上述时间的，应当顺延递交响应文件的截止时间。</w:t>
      </w:r>
    </w:p>
    <w:p>
      <w:pPr>
        <w:tabs>
          <w:tab w:val="left" w:pos="720"/>
        </w:tabs>
        <w:spacing w:line="400" w:lineRule="exact"/>
        <w:ind w:firstLine="480" w:firstLineChars="200"/>
        <w:rPr>
          <w:rFonts w:ascii="宋体" w:hAnsi="宋体"/>
          <w:color w:val="auto"/>
          <w:sz w:val="24"/>
        </w:rPr>
      </w:pPr>
      <w:r>
        <w:rPr>
          <w:rFonts w:hint="eastAsia" w:ascii="宋体" w:hAnsi="宋体"/>
          <w:color w:val="auto"/>
          <w:sz w:val="24"/>
        </w:rPr>
        <w:t>11.3供应商认为采购人/采购代理机构需要对磋商文件进行澄清或者修改的，可以在提交响应文件3个工作日前以书面形式向采购人/采购代理机构提出申请，由采购人/采购代理机构决定是否采纳供应商的申请事项。</w:t>
      </w:r>
    </w:p>
    <w:p>
      <w:pPr>
        <w:pStyle w:val="5"/>
        <w:keepNext w:val="0"/>
        <w:keepLines w:val="0"/>
        <w:spacing w:before="0" w:after="0" w:line="480" w:lineRule="auto"/>
        <w:ind w:firstLine="482"/>
        <w:outlineLvl w:val="9"/>
        <w:rPr>
          <w:rFonts w:hint="eastAsia" w:ascii="宋体" w:hAnsi="宋体"/>
          <w:b/>
          <w:bCs/>
          <w:color w:val="auto"/>
          <w:sz w:val="28"/>
          <w:szCs w:val="28"/>
        </w:rPr>
      </w:pPr>
      <w:bookmarkStart w:id="70" w:name="_Toc514154256"/>
      <w:bookmarkStart w:id="71" w:name="_Toc514154127"/>
      <w:bookmarkStart w:id="72" w:name="_Toc531718384"/>
      <w:bookmarkStart w:id="73" w:name="_Toc217446041"/>
      <w:bookmarkStart w:id="74" w:name="_Toc208848971"/>
    </w:p>
    <w:p>
      <w:pPr>
        <w:pStyle w:val="5"/>
        <w:keepNext w:val="0"/>
        <w:keepLines w:val="0"/>
        <w:spacing w:before="0" w:after="0" w:line="400" w:lineRule="exact"/>
        <w:ind w:firstLine="482"/>
        <w:rPr>
          <w:rFonts w:hint="eastAsia" w:ascii="宋体" w:hAnsi="宋体"/>
          <w:b/>
          <w:bCs/>
          <w:color w:val="auto"/>
          <w:sz w:val="28"/>
          <w:szCs w:val="28"/>
        </w:rPr>
      </w:pPr>
      <w:r>
        <w:rPr>
          <w:rFonts w:hint="eastAsia" w:ascii="宋体" w:hAnsi="宋体"/>
          <w:b/>
          <w:bCs/>
          <w:color w:val="auto"/>
          <w:sz w:val="28"/>
          <w:szCs w:val="28"/>
        </w:rPr>
        <w:t>12. 答疑会和现场考察</w:t>
      </w:r>
      <w:bookmarkEnd w:id="70"/>
      <w:bookmarkEnd w:id="71"/>
      <w:bookmarkEnd w:id="72"/>
      <w:bookmarkEnd w:id="73"/>
      <w:bookmarkEnd w:id="74"/>
    </w:p>
    <w:p>
      <w:pPr>
        <w:spacing w:line="400" w:lineRule="exact"/>
        <w:ind w:firstLine="480" w:firstLineChars="200"/>
        <w:rPr>
          <w:rFonts w:ascii="宋体" w:hAnsi="宋体"/>
          <w:color w:val="auto"/>
          <w:sz w:val="24"/>
        </w:rPr>
      </w:pPr>
      <w:r>
        <w:rPr>
          <w:rFonts w:hint="eastAsia" w:ascii="宋体" w:hAnsi="宋体"/>
          <w:color w:val="auto"/>
          <w:sz w:val="24"/>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ascii="宋体" w:hAnsi="宋体"/>
          <w:color w:val="auto"/>
          <w:sz w:val="24"/>
        </w:rPr>
      </w:pPr>
      <w:r>
        <w:rPr>
          <w:rFonts w:hint="eastAsia" w:ascii="宋体" w:hAnsi="宋体"/>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宋体" w:hAnsi="宋体"/>
          <w:color w:val="auto"/>
          <w:sz w:val="24"/>
        </w:rPr>
      </w:pPr>
      <w:r>
        <w:rPr>
          <w:rFonts w:hint="eastAsia" w:ascii="宋体" w:hAnsi="宋体"/>
          <w:color w:val="auto"/>
          <w:sz w:val="24"/>
        </w:rPr>
        <w:t>12</w:t>
      </w:r>
      <w:r>
        <w:rPr>
          <w:rFonts w:ascii="宋体" w:hAnsi="宋体"/>
          <w:color w:val="auto"/>
          <w:sz w:val="24"/>
        </w:rPr>
        <w:t>.</w:t>
      </w:r>
      <w:r>
        <w:rPr>
          <w:rFonts w:hint="eastAsia" w:ascii="宋体" w:hAnsi="宋体"/>
          <w:color w:val="auto"/>
          <w:sz w:val="24"/>
        </w:rPr>
        <w:t>3 供应商考察现场或者参加答疑会所发生的一切费用由供应商自己承担。</w:t>
      </w:r>
    </w:p>
    <w:p>
      <w:pPr>
        <w:pStyle w:val="4"/>
        <w:keepNext w:val="0"/>
        <w:keepLines w:val="0"/>
        <w:spacing w:before="0" w:after="0" w:line="400" w:lineRule="exact"/>
        <w:jc w:val="center"/>
        <w:rPr>
          <w:rFonts w:ascii="黑体"/>
          <w:bCs w:val="0"/>
          <w:color w:val="auto"/>
        </w:rPr>
      </w:pPr>
      <w:bookmarkStart w:id="75" w:name="_Toc183682351"/>
      <w:bookmarkStart w:id="76" w:name="_Toc77400780"/>
      <w:bookmarkStart w:id="77" w:name="_Toc183582214"/>
      <w:bookmarkStart w:id="78" w:name="_Toc514154128"/>
      <w:bookmarkStart w:id="79" w:name="_Toc531718385"/>
      <w:bookmarkStart w:id="80" w:name="_Toc514154257"/>
      <w:bookmarkStart w:id="81" w:name="_Toc217446042"/>
      <w:bookmarkStart w:id="82" w:name="_Toc89075876"/>
      <w:r>
        <w:rPr>
          <w:rFonts w:hint="eastAsia" w:ascii="黑体"/>
          <w:bCs w:val="0"/>
          <w:color w:val="auto"/>
        </w:rPr>
        <w:t>四、响应文件</w:t>
      </w:r>
      <w:bookmarkEnd w:id="75"/>
      <w:bookmarkEnd w:id="76"/>
      <w:bookmarkEnd w:id="77"/>
      <w:bookmarkEnd w:id="78"/>
      <w:bookmarkEnd w:id="79"/>
      <w:bookmarkEnd w:id="80"/>
      <w:bookmarkEnd w:id="81"/>
      <w:bookmarkEnd w:id="82"/>
    </w:p>
    <w:p>
      <w:pPr>
        <w:rPr>
          <w:color w:val="auto"/>
        </w:rPr>
      </w:pPr>
    </w:p>
    <w:p>
      <w:pPr>
        <w:pStyle w:val="5"/>
        <w:keepNext w:val="0"/>
        <w:keepLines w:val="0"/>
        <w:spacing w:before="0" w:after="0" w:line="400" w:lineRule="exact"/>
        <w:ind w:firstLine="482"/>
        <w:rPr>
          <w:rFonts w:hint="eastAsia" w:ascii="宋体" w:hAnsi="宋体"/>
          <w:b/>
          <w:bCs/>
          <w:color w:val="auto"/>
          <w:sz w:val="28"/>
          <w:szCs w:val="28"/>
        </w:rPr>
      </w:pPr>
      <w:bookmarkStart w:id="83" w:name="_Toc531718386"/>
      <w:bookmarkStart w:id="84" w:name="_Toc514154129"/>
      <w:bookmarkStart w:id="85" w:name="_Toc514154258"/>
      <w:bookmarkStart w:id="86" w:name="_Toc183582215"/>
      <w:bookmarkStart w:id="87" w:name="_Toc217446043"/>
      <w:bookmarkStart w:id="88" w:name="_Toc183682352"/>
      <w:r>
        <w:rPr>
          <w:rFonts w:hint="eastAsia" w:ascii="宋体" w:hAnsi="宋体"/>
          <w:b/>
          <w:bCs/>
          <w:color w:val="auto"/>
          <w:sz w:val="28"/>
          <w:szCs w:val="28"/>
        </w:rPr>
        <w:t>13.响应文件的组成</w:t>
      </w:r>
      <w:bookmarkEnd w:id="83"/>
      <w:bookmarkEnd w:id="84"/>
      <w:bookmarkEnd w:id="85"/>
    </w:p>
    <w:p>
      <w:pPr>
        <w:spacing w:line="400" w:lineRule="exact"/>
        <w:ind w:left="3" w:leftChars="1" w:firstLine="480" w:firstLineChars="200"/>
        <w:rPr>
          <w:rFonts w:ascii="宋体" w:hAnsi="宋体"/>
          <w:color w:val="auto"/>
          <w:sz w:val="24"/>
        </w:rPr>
      </w:pPr>
      <w:r>
        <w:rPr>
          <w:rFonts w:hint="eastAsia" w:ascii="宋体" w:hAnsi="宋体"/>
          <w:color w:val="auto"/>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技术、服务性响应文件两部分，分册装订。</w:t>
      </w:r>
    </w:p>
    <w:p>
      <w:pPr>
        <w:pStyle w:val="5"/>
        <w:keepNext w:val="0"/>
        <w:keepLines w:val="0"/>
        <w:spacing w:before="0" w:after="0" w:line="400" w:lineRule="exact"/>
        <w:ind w:firstLine="482"/>
        <w:rPr>
          <w:rFonts w:hint="eastAsia" w:ascii="宋体" w:hAnsi="宋体"/>
          <w:b/>
          <w:bCs/>
          <w:color w:val="auto"/>
          <w:sz w:val="28"/>
          <w:szCs w:val="28"/>
        </w:rPr>
      </w:pPr>
      <w:bookmarkStart w:id="89" w:name="_Toc531718387"/>
      <w:bookmarkStart w:id="90" w:name="_Toc514154130"/>
      <w:bookmarkStart w:id="91" w:name="_Toc514154259"/>
      <w:r>
        <w:rPr>
          <w:rFonts w:hint="eastAsia" w:ascii="宋体" w:hAnsi="宋体"/>
          <w:b/>
          <w:bCs/>
          <w:color w:val="auto"/>
          <w:sz w:val="28"/>
          <w:szCs w:val="28"/>
        </w:rPr>
        <w:t>14.响应文件的语言</w:t>
      </w:r>
      <w:bookmarkEnd w:id="86"/>
      <w:bookmarkEnd w:id="87"/>
      <w:bookmarkEnd w:id="88"/>
      <w:bookmarkEnd w:id="89"/>
      <w:bookmarkEnd w:id="90"/>
      <w:bookmarkEnd w:id="91"/>
    </w:p>
    <w:p>
      <w:pPr>
        <w:spacing w:line="400" w:lineRule="exact"/>
        <w:ind w:firstLine="480" w:firstLineChars="200"/>
        <w:rPr>
          <w:rFonts w:ascii="宋体" w:hAnsi="宋体"/>
          <w:color w:val="auto"/>
          <w:sz w:val="24"/>
        </w:rPr>
      </w:pPr>
      <w:r>
        <w:rPr>
          <w:rFonts w:hint="eastAsia" w:ascii="宋体" w:hAnsi="宋体"/>
          <w:color w:val="auto"/>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hAnsi="宋体"/>
          <w:color w:val="auto"/>
          <w:sz w:val="24"/>
        </w:rPr>
      </w:pPr>
      <w:r>
        <w:rPr>
          <w:rFonts w:hint="eastAsia" w:ascii="宋体" w:hAnsi="宋体"/>
          <w:color w:val="auto"/>
          <w:sz w:val="24"/>
        </w:rPr>
        <w:t>14.2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2"/>
        <w:outlineLvl w:val="9"/>
        <w:rPr>
          <w:rFonts w:hint="eastAsia" w:ascii="宋体" w:hAnsi="宋体"/>
          <w:b/>
          <w:bCs/>
          <w:color w:val="auto"/>
          <w:sz w:val="28"/>
          <w:szCs w:val="28"/>
        </w:rPr>
      </w:pPr>
      <w:bookmarkStart w:id="92" w:name="_Toc183582216"/>
      <w:bookmarkStart w:id="93" w:name="_Toc514154131"/>
      <w:bookmarkStart w:id="94" w:name="_Toc531718388"/>
      <w:bookmarkStart w:id="95" w:name="_Toc217446044"/>
      <w:bookmarkStart w:id="96" w:name="_Toc183682353"/>
      <w:bookmarkStart w:id="97" w:name="_Toc514154260"/>
    </w:p>
    <w:p>
      <w:pPr>
        <w:pStyle w:val="5"/>
        <w:keepNext w:val="0"/>
        <w:keepLines w:val="0"/>
        <w:spacing w:before="0" w:after="0" w:line="400" w:lineRule="exact"/>
        <w:ind w:firstLine="482"/>
        <w:rPr>
          <w:rFonts w:hint="eastAsia" w:ascii="宋体" w:hAnsi="宋体"/>
          <w:b/>
          <w:bCs/>
          <w:color w:val="auto"/>
          <w:sz w:val="28"/>
          <w:szCs w:val="28"/>
        </w:rPr>
      </w:pPr>
      <w:r>
        <w:rPr>
          <w:rFonts w:hint="eastAsia" w:ascii="宋体" w:hAnsi="宋体"/>
          <w:b/>
          <w:bCs/>
          <w:color w:val="auto"/>
          <w:sz w:val="28"/>
          <w:szCs w:val="28"/>
        </w:rPr>
        <w:t>15．计量单位</w:t>
      </w:r>
      <w:bookmarkEnd w:id="92"/>
      <w:bookmarkEnd w:id="93"/>
      <w:bookmarkEnd w:id="94"/>
      <w:bookmarkEnd w:id="95"/>
      <w:bookmarkEnd w:id="96"/>
      <w:bookmarkEnd w:id="97"/>
    </w:p>
    <w:p>
      <w:pPr>
        <w:spacing w:line="400" w:lineRule="exact"/>
        <w:ind w:firstLine="470" w:firstLineChars="196"/>
        <w:rPr>
          <w:rFonts w:ascii="宋体" w:hAnsi="宋体"/>
          <w:color w:val="auto"/>
          <w:sz w:val="24"/>
        </w:rPr>
      </w:pPr>
      <w:r>
        <w:rPr>
          <w:rFonts w:hint="eastAsia" w:ascii="宋体" w:hAnsi="宋体"/>
          <w:color w:val="auto"/>
          <w:sz w:val="24"/>
        </w:rPr>
        <w:t>除磋商文件中另有规定外，本次采购项目所有合同项下的报价均采用国家法定的计量单位。</w:t>
      </w:r>
    </w:p>
    <w:p>
      <w:pPr>
        <w:spacing w:line="400" w:lineRule="exact"/>
        <w:ind w:firstLine="470" w:firstLineChars="195"/>
        <w:rPr>
          <w:rFonts w:ascii="宋体" w:hAnsi="宋体"/>
          <w:b/>
          <w:bCs/>
          <w:color w:val="auto"/>
          <w:sz w:val="24"/>
        </w:rPr>
      </w:pPr>
      <w:bookmarkStart w:id="98" w:name="_Toc217446045"/>
    </w:p>
    <w:p>
      <w:pPr>
        <w:pStyle w:val="5"/>
        <w:keepNext w:val="0"/>
        <w:keepLines w:val="0"/>
        <w:spacing w:before="0" w:after="0" w:line="400" w:lineRule="exact"/>
        <w:ind w:firstLine="482"/>
        <w:rPr>
          <w:rFonts w:hint="eastAsia" w:ascii="宋体" w:hAnsi="宋体"/>
          <w:b/>
          <w:bCs/>
          <w:color w:val="auto"/>
          <w:sz w:val="28"/>
          <w:szCs w:val="28"/>
        </w:rPr>
      </w:pPr>
      <w:bookmarkStart w:id="99" w:name="_Toc531718389"/>
      <w:r>
        <w:rPr>
          <w:rFonts w:hint="eastAsia" w:ascii="宋体" w:hAnsi="宋体"/>
          <w:b/>
          <w:bCs/>
          <w:color w:val="auto"/>
          <w:sz w:val="28"/>
          <w:szCs w:val="28"/>
        </w:rPr>
        <w:t>16. 报价货币</w:t>
      </w:r>
      <w:bookmarkEnd w:id="99"/>
    </w:p>
    <w:p>
      <w:pPr>
        <w:spacing w:line="400" w:lineRule="exact"/>
        <w:ind w:firstLine="468" w:firstLineChars="195"/>
        <w:rPr>
          <w:rFonts w:ascii="宋体" w:hAnsi="宋体"/>
          <w:bCs/>
          <w:color w:val="auto"/>
          <w:sz w:val="24"/>
        </w:rPr>
      </w:pPr>
      <w:r>
        <w:rPr>
          <w:rFonts w:hint="eastAsia" w:ascii="宋体" w:hAnsi="宋体"/>
          <w:bCs/>
          <w:color w:val="auto"/>
          <w:sz w:val="24"/>
        </w:rPr>
        <w:t>本次磋商项目的</w:t>
      </w:r>
      <w:r>
        <w:rPr>
          <w:rFonts w:hint="eastAsia" w:ascii="宋体" w:hAnsi="宋体"/>
          <w:color w:val="auto"/>
          <w:sz w:val="24"/>
        </w:rPr>
        <w:t>报价货币为</w:t>
      </w:r>
      <w:r>
        <w:rPr>
          <w:rFonts w:hint="eastAsia" w:ascii="宋体" w:hAnsi="宋体"/>
          <w:bCs/>
          <w:color w:val="auto"/>
          <w:sz w:val="24"/>
        </w:rPr>
        <w:t>人民币，报价以磋商文件规定为准。</w:t>
      </w:r>
    </w:p>
    <w:p>
      <w:pPr>
        <w:spacing w:line="400" w:lineRule="exact"/>
        <w:ind w:firstLine="468" w:firstLineChars="195"/>
        <w:rPr>
          <w:rFonts w:ascii="宋体" w:hAnsi="宋体"/>
          <w:bCs/>
          <w:color w:val="auto"/>
          <w:sz w:val="24"/>
        </w:rPr>
      </w:pPr>
    </w:p>
    <w:bookmarkEnd w:id="98"/>
    <w:p>
      <w:pPr>
        <w:pStyle w:val="5"/>
        <w:keepNext w:val="0"/>
        <w:keepLines w:val="0"/>
        <w:spacing w:before="0" w:after="0" w:line="400" w:lineRule="exact"/>
        <w:ind w:firstLine="482"/>
        <w:rPr>
          <w:rFonts w:hint="eastAsia" w:ascii="宋体" w:hAnsi="宋体"/>
          <w:b/>
          <w:bCs/>
          <w:color w:val="auto"/>
          <w:sz w:val="28"/>
          <w:szCs w:val="28"/>
        </w:rPr>
      </w:pPr>
      <w:bookmarkStart w:id="100" w:name="_Toc531718390"/>
      <w:r>
        <w:rPr>
          <w:rFonts w:hint="eastAsia" w:ascii="宋体" w:hAnsi="宋体"/>
          <w:b/>
          <w:bCs/>
          <w:color w:val="auto"/>
          <w:sz w:val="28"/>
          <w:szCs w:val="28"/>
        </w:rPr>
        <w:t>17.响应文件格式</w:t>
      </w:r>
      <w:bookmarkEnd w:id="100"/>
    </w:p>
    <w:p>
      <w:pPr>
        <w:spacing w:line="400" w:lineRule="exact"/>
        <w:ind w:left="3" w:leftChars="1" w:firstLine="480" w:firstLineChars="200"/>
        <w:rPr>
          <w:rFonts w:ascii="宋体" w:hAnsi="宋体"/>
          <w:bCs/>
          <w:color w:val="auto"/>
          <w:sz w:val="24"/>
        </w:rPr>
      </w:pPr>
      <w:r>
        <w:rPr>
          <w:rFonts w:hint="eastAsia" w:ascii="宋体" w:hAnsi="宋体"/>
          <w:bCs/>
          <w:color w:val="auto"/>
          <w:sz w:val="24"/>
        </w:rPr>
        <w:t>17.1 供应商应执行磋商文件第六章的规定要求。</w:t>
      </w:r>
    </w:p>
    <w:p>
      <w:pPr>
        <w:spacing w:line="400" w:lineRule="exact"/>
        <w:ind w:left="3" w:leftChars="1" w:firstLine="480" w:firstLineChars="200"/>
        <w:rPr>
          <w:rFonts w:ascii="宋体" w:hAnsi="宋体"/>
          <w:color w:val="auto"/>
          <w:sz w:val="24"/>
        </w:rPr>
      </w:pPr>
      <w:r>
        <w:rPr>
          <w:rFonts w:hint="eastAsia" w:ascii="宋体" w:hAnsi="宋体"/>
          <w:color w:val="auto"/>
          <w:sz w:val="24"/>
        </w:rPr>
        <w:t>17.2 对于没有格式要求的磋商文件由供应商自行编写。</w:t>
      </w:r>
    </w:p>
    <w:p>
      <w:pPr>
        <w:spacing w:line="400" w:lineRule="exact"/>
        <w:ind w:firstLine="470" w:firstLineChars="196"/>
        <w:rPr>
          <w:rFonts w:ascii="宋体" w:hAnsi="宋体"/>
          <w:color w:val="auto"/>
          <w:sz w:val="24"/>
        </w:rPr>
      </w:pPr>
      <w:bookmarkStart w:id="101" w:name="_Toc183582224"/>
      <w:bookmarkStart w:id="102" w:name="_Toc217446051"/>
      <w:bookmarkStart w:id="103" w:name="_Toc183682361"/>
    </w:p>
    <w:p>
      <w:pPr>
        <w:pStyle w:val="5"/>
        <w:keepNext w:val="0"/>
        <w:keepLines w:val="0"/>
        <w:spacing w:before="0" w:after="0" w:line="400" w:lineRule="exact"/>
        <w:ind w:firstLine="482"/>
        <w:rPr>
          <w:rFonts w:hint="eastAsia" w:ascii="宋体" w:hAnsi="宋体"/>
          <w:b/>
          <w:bCs/>
          <w:color w:val="auto"/>
          <w:sz w:val="28"/>
          <w:szCs w:val="28"/>
        </w:rPr>
      </w:pPr>
      <w:bookmarkStart w:id="104" w:name="_Toc531718391"/>
      <w:r>
        <w:rPr>
          <w:rFonts w:hint="eastAsia" w:ascii="宋体" w:hAnsi="宋体"/>
          <w:b/>
          <w:bCs/>
          <w:color w:val="auto"/>
          <w:sz w:val="28"/>
          <w:szCs w:val="28"/>
        </w:rPr>
        <w:t>18.响应文件的编制和签署</w:t>
      </w:r>
      <w:bookmarkEnd w:id="104"/>
    </w:p>
    <w:p>
      <w:pPr>
        <w:spacing w:line="400" w:lineRule="exact"/>
        <w:ind w:firstLine="468" w:firstLineChars="195"/>
        <w:rPr>
          <w:rFonts w:ascii="宋体" w:hAnsi="宋体"/>
          <w:bCs/>
          <w:color w:val="auto"/>
          <w:sz w:val="24"/>
        </w:rPr>
      </w:pPr>
      <w:r>
        <w:rPr>
          <w:rFonts w:hint="eastAsia" w:ascii="宋体" w:hAnsi="宋体"/>
          <w:color w:val="auto"/>
          <w:sz w:val="24"/>
        </w:rPr>
        <w:t>18.1 资格性响应文件正本1份副本2份</w:t>
      </w:r>
      <w:r>
        <w:rPr>
          <w:rFonts w:hint="eastAsia" w:ascii="宋体" w:hAnsi="宋体"/>
          <w:bCs/>
          <w:color w:val="auto"/>
          <w:sz w:val="24"/>
        </w:rPr>
        <w:t>，并在其封面上清楚地标明资格性响应文件、项目名称、项目编号、包件号及名称（若有）、供应商名称以及“正本”或“副本”字样。若正本和副本有不一致的内容，以正本书面响应文件为准。</w:t>
      </w:r>
    </w:p>
    <w:p>
      <w:pPr>
        <w:spacing w:line="400" w:lineRule="exact"/>
        <w:ind w:firstLine="468" w:firstLineChars="195"/>
        <w:rPr>
          <w:rFonts w:ascii="宋体" w:hAnsi="宋体"/>
          <w:bCs/>
          <w:color w:val="auto"/>
          <w:sz w:val="24"/>
        </w:rPr>
      </w:pPr>
      <w:r>
        <w:rPr>
          <w:rFonts w:hint="eastAsia" w:ascii="宋体" w:hAnsi="宋体"/>
          <w:bCs/>
          <w:color w:val="auto"/>
          <w:sz w:val="24"/>
        </w:rPr>
        <w:t>18.2 技术、服务性响应文件正本1份副本2份，并在其封面上清楚地标明技术、服务性响应文件、项目名称、项目编号、包件号及名称（若有）、供应商名称以及“正本”或“副本”字样。若正本和副本有不一致的内容，以正本书面响应文件为准。</w:t>
      </w:r>
    </w:p>
    <w:bookmarkEnd w:id="101"/>
    <w:bookmarkEnd w:id="102"/>
    <w:bookmarkEnd w:id="103"/>
    <w:p>
      <w:pPr>
        <w:spacing w:line="400" w:lineRule="exact"/>
        <w:ind w:firstLine="468" w:firstLineChars="195"/>
        <w:rPr>
          <w:rFonts w:hint="eastAsia" w:ascii="宋体" w:hAnsi="宋体" w:eastAsia="宋体"/>
          <w:bCs/>
          <w:color w:val="FF0000"/>
          <w:sz w:val="24"/>
          <w:lang w:val="en-US" w:eastAsia="zh-CN"/>
        </w:rPr>
      </w:pPr>
      <w:r>
        <w:rPr>
          <w:rFonts w:hint="eastAsia" w:ascii="宋体" w:hAnsi="宋体"/>
          <w:bCs/>
          <w:color w:val="auto"/>
          <w:sz w:val="24"/>
        </w:rPr>
        <w:t>18.3 响应文件正本和副本均需在规定签章处签字和盖章。响应文件副本可采用正本的复印件</w:t>
      </w:r>
      <w:r>
        <w:rPr>
          <w:rFonts w:hint="eastAsia" w:hAnsi="宋体"/>
          <w:bCs/>
          <w:color w:val="000000" w:themeColor="text1"/>
          <w:sz w:val="24"/>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电子文档（</w:t>
      </w:r>
      <w:r>
        <w:rPr>
          <w:rFonts w:hint="eastAsia" w:ascii="宋体" w:hAnsi="宋体" w:cs="宋体"/>
          <w:color w:val="000000" w:themeColor="text1"/>
          <w:sz w:val="24"/>
          <w:highlight w:val="none"/>
          <w:lang w:val="en-US" w:eastAsia="zh-CN"/>
          <w14:textFill>
            <w14:solidFill>
              <w14:schemeClr w14:val="tx1"/>
            </w14:solidFill>
          </w14:textFill>
        </w:rPr>
        <w:t>本项目不涉及</w:t>
      </w:r>
      <w:r>
        <w:rPr>
          <w:rFonts w:hint="eastAsia" w:ascii="宋体" w:hAnsi="宋体" w:cs="宋体"/>
          <w:color w:val="000000" w:themeColor="text1"/>
          <w:sz w:val="24"/>
          <w:highlight w:val="none"/>
          <w14:textFill>
            <w14:solidFill>
              <w14:schemeClr w14:val="tx1"/>
            </w14:solidFill>
          </w14:textFill>
        </w:rPr>
        <w:t>）可采用光盘或U盘制作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电子文档内容</w:t>
      </w:r>
      <w:r>
        <w:rPr>
          <w:rFonts w:hint="eastAsia"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hAnsi="宋体" w:cs="宋体"/>
          <w:color w:val="000000" w:themeColor="text1"/>
          <w:sz w:val="24"/>
          <w:highlight w:val="none"/>
          <w:lang w:val="en-US" w:eastAsia="zh-CN"/>
          <w14:textFill>
            <w14:solidFill>
              <w14:schemeClr w14:val="tx1"/>
            </w14:solidFill>
          </w14:textFill>
        </w:rPr>
        <w:t>响应文件</w:t>
      </w:r>
      <w:r>
        <w:rPr>
          <w:rFonts w:hint="eastAsia" w:ascii="宋体" w:hAnsi="宋体" w:cs="宋体"/>
          <w:color w:val="000000" w:themeColor="text1"/>
          <w:sz w:val="24"/>
          <w:highlight w:val="none"/>
          <w:lang w:val="en-US" w:eastAsia="zh-CN"/>
          <w14:textFill>
            <w14:solidFill>
              <w14:schemeClr w14:val="tx1"/>
            </w14:solidFill>
          </w14:textFill>
        </w:rPr>
        <w:t>内容一致</w:t>
      </w:r>
      <w:r>
        <w:rPr>
          <w:rFonts w:hint="eastAsia" w:hAnsi="宋体" w:cs="宋体"/>
          <w:color w:val="000000" w:themeColor="text1"/>
          <w:sz w:val="24"/>
          <w:highlight w:val="none"/>
          <w:lang w:val="en-US" w:eastAsia="zh-CN"/>
          <w14:textFill>
            <w14:solidFill>
              <w14:schemeClr w14:val="tx1"/>
            </w14:solidFill>
          </w14:textFill>
        </w:rPr>
        <w:t>，包括签字、盖章等</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68" w:firstLineChars="195"/>
        <w:rPr>
          <w:rFonts w:ascii="宋体" w:hAnsi="宋体"/>
          <w:bCs/>
          <w:color w:val="auto"/>
          <w:sz w:val="24"/>
        </w:rPr>
      </w:pPr>
      <w:r>
        <w:rPr>
          <w:rFonts w:hint="eastAsia" w:ascii="宋体" w:hAnsi="宋体"/>
          <w:bCs/>
          <w:color w:val="auto"/>
          <w:sz w:val="24"/>
        </w:rPr>
        <w:t>18.4响应文件的打印和书写应清楚工整，任何行间插字、涂改或增删，必须由供应商的法定代表人或其授权代表签字并盖供应商公章。</w:t>
      </w:r>
    </w:p>
    <w:p>
      <w:pPr>
        <w:spacing w:line="400" w:lineRule="exact"/>
        <w:ind w:firstLine="468" w:firstLineChars="195"/>
        <w:rPr>
          <w:rFonts w:ascii="宋体" w:hAnsi="宋体"/>
          <w:bCs/>
          <w:color w:val="auto"/>
          <w:sz w:val="24"/>
        </w:rPr>
      </w:pPr>
      <w:r>
        <w:rPr>
          <w:rFonts w:hint="eastAsia" w:ascii="宋体" w:hAnsi="宋体"/>
          <w:bCs/>
          <w:color w:val="auto"/>
          <w:sz w:val="24"/>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ascii="宋体" w:hAnsi="宋体"/>
          <w:bCs/>
          <w:color w:val="auto"/>
          <w:sz w:val="24"/>
        </w:rPr>
      </w:pPr>
      <w:r>
        <w:rPr>
          <w:rFonts w:hint="eastAsia" w:ascii="宋体" w:hAnsi="宋体"/>
          <w:bCs/>
          <w:color w:val="auto"/>
          <w:sz w:val="24"/>
        </w:rPr>
        <w:t>18.6响应文件正本和副本需要逐页编目编码。</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18.7响应文件正本和副本应当采用胶装方式装订成册，不得散装或者合页装订。</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18.8响应文件应根据磋商文件的要求制作，签署、盖章。（按照《四川省政府采购评审工作规程（修订）》规范）</w:t>
      </w:r>
    </w:p>
    <w:p>
      <w:pPr>
        <w:tabs>
          <w:tab w:val="left" w:pos="1080"/>
        </w:tabs>
        <w:spacing w:line="400" w:lineRule="exact"/>
        <w:ind w:firstLine="460" w:firstLineChars="192"/>
        <w:rPr>
          <w:rFonts w:ascii="宋体" w:hAnsi="宋体"/>
          <w:color w:val="auto"/>
          <w:sz w:val="24"/>
        </w:rPr>
      </w:pPr>
      <w:r>
        <w:rPr>
          <w:rFonts w:hint="eastAsia" w:ascii="宋体" w:hAnsi="宋体"/>
          <w:color w:val="auto"/>
          <w:sz w:val="24"/>
        </w:rPr>
        <w:t>18.9响应文件统一用</w:t>
      </w:r>
      <w:r>
        <w:rPr>
          <w:rFonts w:ascii="宋体" w:hAnsi="宋体"/>
          <w:color w:val="auto"/>
          <w:sz w:val="24"/>
        </w:rPr>
        <w:t>A4</w:t>
      </w:r>
      <w:r>
        <w:rPr>
          <w:rFonts w:hint="eastAsia" w:ascii="宋体" w:hAnsi="宋体"/>
          <w:color w:val="auto"/>
          <w:sz w:val="24"/>
        </w:rPr>
        <w:t>幅面纸印制，除另有规定外。</w:t>
      </w:r>
    </w:p>
    <w:p>
      <w:pPr>
        <w:tabs>
          <w:tab w:val="left" w:pos="1080"/>
        </w:tabs>
        <w:spacing w:line="400" w:lineRule="exact"/>
        <w:ind w:firstLine="463" w:firstLineChars="192"/>
        <w:rPr>
          <w:rFonts w:ascii="宋体"/>
          <w:b/>
          <w:color w:val="auto"/>
          <w:sz w:val="24"/>
        </w:rPr>
      </w:pPr>
      <w:bookmarkStart w:id="105" w:name="_Toc217446053"/>
      <w:bookmarkStart w:id="106" w:name="_Toc89075877"/>
      <w:bookmarkStart w:id="107" w:name="_Toc77400781"/>
      <w:bookmarkStart w:id="108" w:name="_Toc183682363"/>
      <w:bookmarkStart w:id="109" w:name="_Toc183582226"/>
    </w:p>
    <w:p>
      <w:pPr>
        <w:pStyle w:val="5"/>
        <w:keepNext w:val="0"/>
        <w:keepLines w:val="0"/>
        <w:spacing w:before="0" w:after="0" w:line="400" w:lineRule="exact"/>
        <w:ind w:firstLine="482"/>
        <w:rPr>
          <w:rFonts w:hint="eastAsia" w:ascii="宋体" w:hAnsi="宋体"/>
          <w:b/>
          <w:bCs/>
          <w:color w:val="auto"/>
          <w:sz w:val="28"/>
          <w:szCs w:val="28"/>
        </w:rPr>
      </w:pPr>
      <w:bookmarkStart w:id="110" w:name="_Toc531718392"/>
      <w:r>
        <w:rPr>
          <w:rFonts w:hint="eastAsia" w:ascii="宋体" w:hAnsi="宋体"/>
          <w:b/>
          <w:bCs/>
          <w:color w:val="auto"/>
          <w:sz w:val="28"/>
          <w:szCs w:val="28"/>
        </w:rPr>
        <w:t>19.响应文件的密封和标注（不属于本项目磋商小组评审范畴，由采购人、采购代理机构在接收响应文件时及时处理）</w:t>
      </w:r>
      <w:bookmarkEnd w:id="110"/>
    </w:p>
    <w:p>
      <w:pPr>
        <w:tabs>
          <w:tab w:val="left" w:pos="1080"/>
        </w:tabs>
        <w:spacing w:line="400" w:lineRule="exact"/>
        <w:ind w:firstLine="460" w:firstLineChars="192"/>
        <w:rPr>
          <w:rFonts w:ascii="宋体"/>
          <w:color w:val="auto"/>
          <w:sz w:val="24"/>
        </w:rPr>
      </w:pPr>
      <w:r>
        <w:rPr>
          <w:rFonts w:hint="eastAsia" w:ascii="宋体"/>
          <w:color w:val="auto"/>
          <w:sz w:val="24"/>
        </w:rPr>
        <w:t>19.1 响应文件可以单独密封包装，也可以所有响应文件密封包装在一个密封袋内。</w:t>
      </w:r>
    </w:p>
    <w:p>
      <w:pPr>
        <w:tabs>
          <w:tab w:val="left" w:pos="1080"/>
        </w:tabs>
        <w:spacing w:line="400" w:lineRule="exact"/>
        <w:ind w:firstLine="460" w:firstLineChars="192"/>
        <w:rPr>
          <w:rFonts w:ascii="宋体"/>
          <w:color w:val="auto"/>
          <w:sz w:val="24"/>
        </w:rPr>
      </w:pPr>
      <w:r>
        <w:rPr>
          <w:rFonts w:hint="eastAsia" w:ascii="宋体"/>
          <w:color w:val="auto"/>
          <w:sz w:val="24"/>
        </w:rPr>
        <w:t>19.2 响应文件密封袋的最外层应清楚地标明项目名称、项目编号、包件号及名称（若有）、供应商名称。</w:t>
      </w:r>
    </w:p>
    <w:p>
      <w:pPr>
        <w:tabs>
          <w:tab w:val="left" w:pos="1080"/>
        </w:tabs>
        <w:spacing w:line="400" w:lineRule="exact"/>
        <w:ind w:firstLine="480" w:firstLineChars="200"/>
        <w:rPr>
          <w:rFonts w:ascii="宋体"/>
          <w:color w:val="auto"/>
          <w:sz w:val="24"/>
        </w:rPr>
      </w:pPr>
      <w:r>
        <w:rPr>
          <w:rFonts w:hint="eastAsia" w:ascii="宋体"/>
          <w:color w:val="auto"/>
          <w:sz w:val="24"/>
        </w:rPr>
        <w:t>19.3 所有外层密封袋的封口处应粘贴牢固。</w:t>
      </w:r>
    </w:p>
    <w:p>
      <w:pPr>
        <w:tabs>
          <w:tab w:val="left" w:pos="1080"/>
        </w:tabs>
        <w:spacing w:line="400" w:lineRule="exact"/>
        <w:ind w:firstLine="460" w:firstLineChars="192"/>
        <w:rPr>
          <w:rFonts w:ascii="宋体"/>
          <w:color w:val="auto"/>
          <w:sz w:val="24"/>
        </w:rPr>
      </w:pPr>
      <w:r>
        <w:rPr>
          <w:rFonts w:hint="eastAsia" w:ascii="宋体"/>
          <w:color w:val="auto"/>
          <w:sz w:val="24"/>
        </w:rPr>
        <w:t>19.4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ascii="宋体"/>
          <w:color w:val="auto"/>
          <w:sz w:val="24"/>
        </w:rPr>
      </w:pPr>
    </w:p>
    <w:p>
      <w:pPr>
        <w:pStyle w:val="5"/>
        <w:keepNext w:val="0"/>
        <w:keepLines w:val="0"/>
        <w:spacing w:before="0" w:after="0" w:line="400" w:lineRule="exact"/>
        <w:ind w:firstLine="482"/>
        <w:rPr>
          <w:rFonts w:hint="eastAsia" w:ascii="宋体" w:hAnsi="宋体"/>
          <w:b/>
          <w:bCs/>
          <w:color w:val="auto"/>
          <w:sz w:val="28"/>
          <w:szCs w:val="28"/>
        </w:rPr>
      </w:pPr>
      <w:bookmarkStart w:id="111" w:name="_Toc531718393"/>
      <w:r>
        <w:rPr>
          <w:rFonts w:hint="eastAsia" w:ascii="宋体" w:hAnsi="宋体"/>
          <w:b/>
          <w:bCs/>
          <w:color w:val="auto"/>
          <w:sz w:val="28"/>
          <w:szCs w:val="28"/>
        </w:rPr>
        <w:t>20.响应文件的递交</w:t>
      </w:r>
      <w:bookmarkEnd w:id="111"/>
    </w:p>
    <w:p>
      <w:pPr>
        <w:tabs>
          <w:tab w:val="left" w:pos="1080"/>
        </w:tabs>
        <w:spacing w:line="400" w:lineRule="exact"/>
        <w:ind w:firstLine="460" w:firstLineChars="192"/>
        <w:rPr>
          <w:rFonts w:ascii="宋体"/>
          <w:color w:val="auto"/>
          <w:sz w:val="24"/>
        </w:rPr>
      </w:pPr>
      <w:r>
        <w:rPr>
          <w:rFonts w:hint="eastAsia" w:ascii="宋体"/>
          <w:color w:val="auto"/>
          <w:sz w:val="24"/>
        </w:rPr>
        <w:t>20.1 资格性响应文件和技术、服务性响应文件应于递交响应文件截止时间前送达指定地点，采购代理机构拒绝接收截止时间后送达的响应文件。</w:t>
      </w:r>
    </w:p>
    <w:p>
      <w:pPr>
        <w:tabs>
          <w:tab w:val="left" w:pos="1080"/>
        </w:tabs>
        <w:spacing w:line="400" w:lineRule="exact"/>
        <w:ind w:firstLine="460" w:firstLineChars="192"/>
        <w:rPr>
          <w:rFonts w:ascii="宋体"/>
          <w:color w:val="auto"/>
          <w:sz w:val="24"/>
        </w:rPr>
      </w:pPr>
      <w:r>
        <w:rPr>
          <w:rFonts w:hint="eastAsia" w:ascii="宋体"/>
          <w:color w:val="auto"/>
          <w:sz w:val="24"/>
        </w:rPr>
        <w:t>20.2 采购代理机构将向通过资格审查的供应商发出磋商邀请；告知未通过资格审查的供应商未通过的原因。</w:t>
      </w:r>
    </w:p>
    <w:p>
      <w:pPr>
        <w:tabs>
          <w:tab w:val="left" w:pos="1080"/>
        </w:tabs>
        <w:spacing w:line="400" w:lineRule="exact"/>
        <w:ind w:firstLine="460" w:firstLineChars="192"/>
        <w:rPr>
          <w:rFonts w:ascii="宋体"/>
          <w:color w:val="auto"/>
          <w:sz w:val="24"/>
        </w:rPr>
      </w:pPr>
      <w:r>
        <w:rPr>
          <w:rFonts w:hint="eastAsia" w:ascii="宋体"/>
          <w:color w:val="auto"/>
          <w:sz w:val="24"/>
        </w:rPr>
        <w:t>20.3 报价表在磋商后，磋商小组要求供应商进行最后报价时递交。</w:t>
      </w:r>
    </w:p>
    <w:p>
      <w:pPr>
        <w:tabs>
          <w:tab w:val="left" w:pos="1080"/>
        </w:tabs>
        <w:spacing w:line="400" w:lineRule="exact"/>
        <w:ind w:firstLine="460" w:firstLineChars="192"/>
        <w:rPr>
          <w:rFonts w:ascii="宋体"/>
          <w:color w:val="auto"/>
          <w:sz w:val="24"/>
        </w:rPr>
      </w:pPr>
      <w:r>
        <w:rPr>
          <w:rFonts w:hint="eastAsia" w:ascii="宋体"/>
          <w:color w:val="auto"/>
          <w:sz w:val="24"/>
        </w:rPr>
        <w:t>20.4 本次采购不接收邮寄的响应文件。</w:t>
      </w:r>
    </w:p>
    <w:p>
      <w:pPr>
        <w:tabs>
          <w:tab w:val="left" w:pos="1080"/>
        </w:tabs>
        <w:spacing w:line="400" w:lineRule="exact"/>
        <w:ind w:firstLine="460" w:firstLineChars="192"/>
        <w:rPr>
          <w:rFonts w:ascii="宋体"/>
          <w:color w:val="auto"/>
          <w:sz w:val="24"/>
        </w:rPr>
      </w:pPr>
    </w:p>
    <w:bookmarkEnd w:id="105"/>
    <w:bookmarkEnd w:id="106"/>
    <w:bookmarkEnd w:id="107"/>
    <w:bookmarkEnd w:id="108"/>
    <w:bookmarkEnd w:id="109"/>
    <w:p>
      <w:pPr>
        <w:pStyle w:val="5"/>
        <w:keepNext w:val="0"/>
        <w:keepLines w:val="0"/>
        <w:spacing w:before="0" w:after="0" w:line="400" w:lineRule="exact"/>
        <w:ind w:firstLine="482"/>
        <w:rPr>
          <w:rFonts w:hint="eastAsia" w:ascii="宋体" w:hAnsi="宋体"/>
          <w:b/>
          <w:bCs/>
          <w:color w:val="auto"/>
          <w:sz w:val="28"/>
          <w:szCs w:val="28"/>
        </w:rPr>
      </w:pPr>
      <w:bookmarkStart w:id="112" w:name="_Toc531718394"/>
      <w:bookmarkStart w:id="113" w:name="_Toc217446055"/>
      <w:bookmarkStart w:id="114" w:name="_Toc183682365"/>
      <w:bookmarkStart w:id="115" w:name="_Toc183582228"/>
      <w:r>
        <w:rPr>
          <w:rFonts w:hint="eastAsia" w:ascii="宋体" w:hAnsi="宋体"/>
          <w:b/>
          <w:bCs/>
          <w:color w:val="auto"/>
          <w:sz w:val="28"/>
          <w:szCs w:val="28"/>
          <w:lang w:val="en-US" w:eastAsia="zh-CN"/>
        </w:rPr>
        <w:t>21.响应文件的修改和撤回（补充、修改响应文件的密封和标注按照本章“19.响应文件的密封和标注”规定处理）</w:t>
      </w:r>
      <w:bookmarkEnd w:id="112"/>
    </w:p>
    <w:p>
      <w:pPr>
        <w:pStyle w:val="8"/>
        <w:spacing w:line="400" w:lineRule="exact"/>
        <w:ind w:firstLine="480"/>
        <w:rPr>
          <w:color w:val="auto"/>
          <w:sz w:val="24"/>
        </w:rPr>
      </w:pPr>
      <w:r>
        <w:rPr>
          <w:rFonts w:hint="eastAsia"/>
          <w:color w:val="auto"/>
          <w:sz w:val="24"/>
        </w:rPr>
        <w:t>21</w:t>
      </w:r>
      <w:r>
        <w:rPr>
          <w:color w:val="auto"/>
          <w:sz w:val="24"/>
        </w:rPr>
        <w:t>.</w:t>
      </w:r>
      <w:r>
        <w:rPr>
          <w:rFonts w:hint="eastAsia"/>
          <w:color w:val="auto"/>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Ansi="宋体"/>
          <w:color w:val="auto"/>
          <w:sz w:val="24"/>
        </w:rPr>
      </w:pPr>
      <w:r>
        <w:rPr>
          <w:rFonts w:hint="eastAsia" w:hAnsi="宋体"/>
          <w:color w:val="auto"/>
          <w:sz w:val="24"/>
        </w:rPr>
        <w:t>21</w:t>
      </w:r>
      <w:r>
        <w:rPr>
          <w:rFonts w:hAnsi="宋体"/>
          <w:color w:val="auto"/>
          <w:sz w:val="24"/>
        </w:rPr>
        <w:t>.</w:t>
      </w:r>
      <w:r>
        <w:rPr>
          <w:rFonts w:hint="eastAsia" w:hAnsi="宋体"/>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Ansi="宋体"/>
          <w:color w:val="auto"/>
          <w:sz w:val="24"/>
        </w:rPr>
      </w:pPr>
      <w:r>
        <w:rPr>
          <w:rFonts w:hint="eastAsia" w:hAnsi="宋体"/>
          <w:color w:val="auto"/>
          <w:sz w:val="24"/>
        </w:rPr>
        <w:t>21</w:t>
      </w:r>
      <w:r>
        <w:rPr>
          <w:rFonts w:hAnsi="宋体"/>
          <w:color w:val="auto"/>
          <w:sz w:val="24"/>
        </w:rPr>
        <w:t>.</w:t>
      </w:r>
      <w:r>
        <w:rPr>
          <w:rFonts w:hint="eastAsia" w:hAnsi="宋体"/>
          <w:color w:val="auto"/>
          <w:sz w:val="24"/>
        </w:rPr>
        <w:t>3供应商不得在递交截止时间起至响应文件有效期期满前撤销其响应文件。</w:t>
      </w:r>
    </w:p>
    <w:p>
      <w:pPr>
        <w:spacing w:line="400" w:lineRule="exact"/>
        <w:ind w:firstLine="480"/>
        <w:rPr>
          <w:rFonts w:hAnsi="宋体"/>
          <w:color w:val="auto"/>
          <w:sz w:val="24"/>
        </w:rPr>
      </w:pPr>
      <w:r>
        <w:rPr>
          <w:rFonts w:hint="eastAsia" w:hAnsi="宋体"/>
          <w:color w:val="auto"/>
          <w:sz w:val="24"/>
        </w:rPr>
        <w:t>21.4 响应文件中报价如果出现下列不一致的，可按以下原则进行修改：</w:t>
      </w:r>
    </w:p>
    <w:p>
      <w:pPr>
        <w:spacing w:line="400" w:lineRule="exact"/>
        <w:ind w:firstLine="480"/>
        <w:rPr>
          <w:rFonts w:ascii="宋体" w:hAnsi="宋体"/>
          <w:color w:val="auto"/>
          <w:sz w:val="24"/>
        </w:rPr>
      </w:pPr>
      <w:r>
        <w:rPr>
          <w:rFonts w:hint="eastAsia" w:ascii="宋体" w:hAnsi="宋体"/>
          <w:color w:val="auto"/>
          <w:sz w:val="24"/>
        </w:rPr>
        <w:t>（一）</w:t>
      </w:r>
      <w:r>
        <w:rPr>
          <w:rFonts w:hint="eastAsia" w:ascii="宋体" w:hAnsi="宋体" w:cs="宋体"/>
          <w:color w:val="auto"/>
          <w:kern w:val="0"/>
          <w:sz w:val="24"/>
        </w:rPr>
        <w:t>大写金额和小写金额不一致的，以大写金额为准</w:t>
      </w:r>
      <w:r>
        <w:rPr>
          <w:rFonts w:hint="eastAsia" w:ascii="宋体" w:hAnsi="宋体"/>
          <w:color w:val="auto"/>
          <w:sz w:val="24"/>
        </w:rPr>
        <w:t>，但大写金额文字存在错误的，应当先对大写金额的文字错误进行澄清、说明或者更正，再行修正。</w:t>
      </w:r>
    </w:p>
    <w:p>
      <w:pPr>
        <w:spacing w:line="400" w:lineRule="exact"/>
        <w:ind w:firstLine="480"/>
        <w:rPr>
          <w:rFonts w:ascii="宋体" w:hAnsi="宋体"/>
          <w:color w:val="auto"/>
          <w:sz w:val="24"/>
        </w:rPr>
      </w:pPr>
      <w:r>
        <w:rPr>
          <w:rFonts w:hint="eastAsia" w:ascii="宋体" w:hAnsi="宋体"/>
          <w:color w:val="auto"/>
          <w:sz w:val="24"/>
        </w:rPr>
        <w:t>（二）</w:t>
      </w:r>
      <w:r>
        <w:rPr>
          <w:rFonts w:hint="eastAsia" w:ascii="宋体" w:hAnsi="宋体" w:cs="宋体"/>
          <w:color w:val="auto"/>
          <w:kern w:val="0"/>
          <w:sz w:val="24"/>
        </w:rPr>
        <w:t>总价金额与按单价汇总金额不一致的，以单价金额计算结果为准，</w:t>
      </w:r>
      <w:r>
        <w:rPr>
          <w:rFonts w:hint="eastAsia" w:ascii="宋体" w:hAnsi="宋体"/>
          <w:color w:val="auto"/>
          <w:sz w:val="24"/>
        </w:rPr>
        <w:t>但</w:t>
      </w:r>
      <w:r>
        <w:rPr>
          <w:rFonts w:hint="eastAsia" w:ascii="宋体" w:hAnsi="宋体" w:cs="宋体"/>
          <w:color w:val="auto"/>
          <w:kern w:val="0"/>
          <w:sz w:val="24"/>
        </w:rPr>
        <w:t>单价或者单价汇总金额存在数字或者</w:t>
      </w:r>
      <w:r>
        <w:rPr>
          <w:rFonts w:hint="eastAsia" w:ascii="宋体" w:hAnsi="宋体"/>
          <w:color w:val="auto"/>
          <w:sz w:val="24"/>
        </w:rPr>
        <w:t>文字错误的，应当先对</w:t>
      </w:r>
      <w:r>
        <w:rPr>
          <w:rFonts w:hint="eastAsia" w:ascii="宋体" w:hAnsi="宋体" w:cs="宋体"/>
          <w:color w:val="auto"/>
          <w:kern w:val="0"/>
          <w:sz w:val="24"/>
        </w:rPr>
        <w:t>数字或者</w:t>
      </w:r>
      <w:r>
        <w:rPr>
          <w:rFonts w:hint="eastAsia" w:ascii="宋体" w:hAnsi="宋体"/>
          <w:color w:val="auto"/>
          <w:sz w:val="24"/>
        </w:rPr>
        <w:t>文字错误进行澄清、说明或者更正，再行修正。</w:t>
      </w:r>
    </w:p>
    <w:p>
      <w:pPr>
        <w:spacing w:line="400" w:lineRule="exact"/>
        <w:ind w:firstLine="480"/>
        <w:rPr>
          <w:rFonts w:ascii="宋体" w:hAnsi="宋体"/>
          <w:color w:val="auto"/>
          <w:sz w:val="24"/>
        </w:rPr>
      </w:pPr>
      <w:r>
        <w:rPr>
          <w:rFonts w:hint="eastAsia" w:ascii="宋体" w:hAnsi="宋体"/>
          <w:color w:val="auto"/>
          <w:sz w:val="24"/>
        </w:rPr>
        <w:t>（三）单价金额小数点</w:t>
      </w:r>
      <w:r>
        <w:rPr>
          <w:rFonts w:hint="eastAsia" w:ascii="宋体" w:hAnsi="宋体" w:cs="宋体"/>
          <w:color w:val="auto"/>
          <w:kern w:val="0"/>
          <w:sz w:val="24"/>
        </w:rPr>
        <w:t>或者百分比有明显错位的</w:t>
      </w:r>
      <w:r>
        <w:rPr>
          <w:rFonts w:hint="eastAsia" w:ascii="宋体" w:hAnsi="宋体"/>
          <w:color w:val="auto"/>
          <w:sz w:val="24"/>
        </w:rPr>
        <w:t>，以总价为准，修正单价。</w:t>
      </w:r>
    </w:p>
    <w:p>
      <w:pPr>
        <w:ind w:firstLine="480" w:firstLineChars="200"/>
        <w:jc w:val="left"/>
        <w:rPr>
          <w:rFonts w:ascii="宋体" w:hAnsi="宋体" w:cs="宋体"/>
          <w:color w:val="auto"/>
          <w:kern w:val="0"/>
          <w:sz w:val="24"/>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hAnsi="宋体"/>
          <w:color w:val="auto"/>
          <w:sz w:val="24"/>
        </w:rPr>
      </w:pPr>
      <w:r>
        <w:rPr>
          <w:rFonts w:hint="eastAsia"/>
          <w:color w:val="auto"/>
          <w:sz w:val="24"/>
        </w:rPr>
        <w:t>21.5供应商对其提交的响应文件的真实性、合法性承担法律责任。</w:t>
      </w:r>
      <w:bookmarkEnd w:id="113"/>
      <w:bookmarkEnd w:id="114"/>
      <w:bookmarkEnd w:id="115"/>
    </w:p>
    <w:p>
      <w:pPr>
        <w:pStyle w:val="4"/>
        <w:keepNext w:val="0"/>
        <w:keepLines w:val="0"/>
        <w:spacing w:line="400" w:lineRule="exact"/>
        <w:jc w:val="center"/>
        <w:outlineLvl w:val="9"/>
        <w:rPr>
          <w:rFonts w:hint="eastAsia"/>
          <w:color w:val="auto"/>
        </w:rPr>
      </w:pPr>
      <w:bookmarkStart w:id="116" w:name="_Toc514154261"/>
      <w:bookmarkStart w:id="117" w:name="_Toc514154132"/>
      <w:bookmarkStart w:id="118" w:name="_Toc531718395"/>
      <w:bookmarkStart w:id="119" w:name="_Toc89075878"/>
      <w:bookmarkStart w:id="120" w:name="_Toc183582231"/>
      <w:bookmarkStart w:id="121" w:name="_Toc183682368"/>
      <w:bookmarkStart w:id="122" w:name="_Toc217446056"/>
      <w:bookmarkStart w:id="123" w:name="_Toc77400782"/>
    </w:p>
    <w:p>
      <w:pPr>
        <w:pStyle w:val="4"/>
        <w:keepNext w:val="0"/>
        <w:keepLines w:val="0"/>
        <w:spacing w:line="400" w:lineRule="exact"/>
        <w:jc w:val="center"/>
        <w:rPr>
          <w:color w:val="auto"/>
        </w:rPr>
      </w:pPr>
      <w:r>
        <w:rPr>
          <w:rFonts w:hint="eastAsia"/>
          <w:color w:val="auto"/>
        </w:rPr>
        <w:t>五、评审</w:t>
      </w:r>
      <w:bookmarkEnd w:id="116"/>
      <w:bookmarkEnd w:id="117"/>
      <w:bookmarkEnd w:id="118"/>
    </w:p>
    <w:p>
      <w:pPr>
        <w:rPr>
          <w:color w:val="auto"/>
        </w:rPr>
      </w:pPr>
    </w:p>
    <w:p>
      <w:pPr>
        <w:pStyle w:val="5"/>
        <w:ind w:firstLine="480"/>
        <w:rPr>
          <w:b w:val="0"/>
          <w:color w:val="auto"/>
          <w:sz w:val="24"/>
          <w:szCs w:val="24"/>
        </w:rPr>
      </w:pPr>
      <w:bookmarkStart w:id="124" w:name="_Toc531718396"/>
      <w:bookmarkStart w:id="125" w:name="_Toc514154262"/>
      <w:bookmarkStart w:id="126" w:name="_Toc514154133"/>
      <w:r>
        <w:rPr>
          <w:rFonts w:hint="eastAsia"/>
          <w:b w:val="0"/>
          <w:color w:val="auto"/>
          <w:sz w:val="24"/>
          <w:szCs w:val="24"/>
        </w:rPr>
        <w:t>22.磋商小组的组建及其评审工作按照有关法律制度和本文件第七章的规定进行。</w:t>
      </w:r>
      <w:bookmarkEnd w:id="124"/>
      <w:bookmarkEnd w:id="125"/>
      <w:bookmarkEnd w:id="126"/>
    </w:p>
    <w:p>
      <w:pPr>
        <w:pStyle w:val="4"/>
        <w:keepNext w:val="0"/>
        <w:keepLines w:val="0"/>
        <w:spacing w:line="400" w:lineRule="exact"/>
        <w:jc w:val="center"/>
        <w:rPr>
          <w:rFonts w:ascii="黑体" w:hAnsi="宋体"/>
          <w:color w:val="auto"/>
        </w:rPr>
      </w:pPr>
      <w:bookmarkStart w:id="127" w:name="_Toc514154134"/>
      <w:bookmarkStart w:id="128" w:name="_Toc531718397"/>
      <w:bookmarkStart w:id="129" w:name="_Toc514154263"/>
      <w:r>
        <w:rPr>
          <w:rFonts w:hint="eastAsia" w:ascii="黑体" w:hAnsi="宋体"/>
          <w:color w:val="auto"/>
        </w:rPr>
        <w:t>六、成交事项</w:t>
      </w:r>
      <w:bookmarkEnd w:id="127"/>
      <w:bookmarkEnd w:id="128"/>
      <w:bookmarkEnd w:id="129"/>
    </w:p>
    <w:p>
      <w:pPr>
        <w:rPr>
          <w:color w:val="auto"/>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30" w:name="_Toc531718398"/>
      <w:bookmarkStart w:id="131" w:name="_Toc514154135"/>
      <w:bookmarkStart w:id="132" w:name="_Toc514154264"/>
      <w:r>
        <w:rPr>
          <w:rFonts w:hint="eastAsia" w:ascii="宋体" w:hAnsi="宋体"/>
          <w:b/>
          <w:bCs/>
          <w:color w:val="auto"/>
          <w:sz w:val="28"/>
          <w:szCs w:val="28"/>
          <w:lang w:val="en-US" w:eastAsia="zh-CN"/>
        </w:rPr>
        <w:t>23.确定成交供应商</w:t>
      </w:r>
      <w:bookmarkEnd w:id="130"/>
      <w:bookmarkEnd w:id="131"/>
      <w:bookmarkEnd w:id="132"/>
    </w:p>
    <w:p>
      <w:pPr>
        <w:pStyle w:val="8"/>
        <w:spacing w:line="400" w:lineRule="exact"/>
        <w:ind w:firstLine="480"/>
        <w:rPr>
          <w:color w:val="auto"/>
          <w:sz w:val="24"/>
        </w:rPr>
      </w:pPr>
      <w:bookmarkStart w:id="133" w:name="_Toc514154265"/>
      <w:bookmarkStart w:id="134" w:name="_Toc514154136"/>
      <w:r>
        <w:rPr>
          <w:rFonts w:hint="eastAsia"/>
          <w:color w:val="auto"/>
          <w:sz w:val="24"/>
        </w:rPr>
        <w:t>采购人将按磋商小组推荐的成交候选供应商顺序确定成交供应商。</w:t>
      </w:r>
      <w:bookmarkEnd w:id="133"/>
      <w:bookmarkEnd w:id="134"/>
    </w:p>
    <w:p>
      <w:pPr>
        <w:pStyle w:val="8"/>
        <w:spacing w:line="400" w:lineRule="exact"/>
        <w:ind w:firstLine="480"/>
        <w:rPr>
          <w:color w:val="auto"/>
          <w:sz w:val="24"/>
        </w:rPr>
      </w:pPr>
      <w:bookmarkStart w:id="135" w:name="_Toc514154137"/>
      <w:bookmarkStart w:id="136" w:name="_Toc514154266"/>
      <w:r>
        <w:rPr>
          <w:rFonts w:hint="eastAsia"/>
          <w:color w:val="auto"/>
          <w:sz w:val="24"/>
        </w:rPr>
        <w:t>23.1采购代理机构自评审结束后2个工作日内将磋商报告及有关资料送交采购人确定成交供应商。</w:t>
      </w:r>
      <w:bookmarkEnd w:id="135"/>
      <w:bookmarkEnd w:id="136"/>
    </w:p>
    <w:p>
      <w:pPr>
        <w:pStyle w:val="8"/>
        <w:spacing w:line="400" w:lineRule="exact"/>
        <w:ind w:firstLine="480"/>
        <w:rPr>
          <w:color w:val="auto"/>
          <w:sz w:val="24"/>
        </w:rPr>
      </w:pPr>
      <w:bookmarkStart w:id="137" w:name="_Toc514154138"/>
      <w:bookmarkStart w:id="138" w:name="_Toc514154267"/>
      <w:r>
        <w:rPr>
          <w:rFonts w:hint="eastAsia"/>
          <w:color w:val="auto"/>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137"/>
      <w:bookmarkEnd w:id="138"/>
    </w:p>
    <w:p>
      <w:pPr>
        <w:pStyle w:val="8"/>
        <w:spacing w:line="400" w:lineRule="exact"/>
        <w:ind w:firstLine="480"/>
        <w:rPr>
          <w:color w:val="auto"/>
          <w:sz w:val="24"/>
        </w:rPr>
      </w:pPr>
      <w:bookmarkStart w:id="139" w:name="_Toc514154268"/>
      <w:bookmarkStart w:id="140" w:name="_Toc514154139"/>
      <w:r>
        <w:rPr>
          <w:rFonts w:hint="eastAsia"/>
          <w:color w:val="auto"/>
          <w:sz w:val="24"/>
        </w:rPr>
        <w:t>23.3采购人确定成交供应商过程中，发现成交候选供应商有下列情形之一的，应当不予确定其为成交供应商：</w:t>
      </w:r>
      <w:bookmarkEnd w:id="139"/>
      <w:bookmarkEnd w:id="140"/>
    </w:p>
    <w:p>
      <w:pPr>
        <w:pStyle w:val="8"/>
        <w:spacing w:line="400" w:lineRule="exact"/>
        <w:ind w:firstLine="480"/>
        <w:rPr>
          <w:color w:val="auto"/>
          <w:sz w:val="24"/>
        </w:rPr>
      </w:pPr>
      <w:bookmarkStart w:id="141" w:name="_Toc514154269"/>
      <w:bookmarkStart w:id="142" w:name="_Toc514154140"/>
      <w:r>
        <w:rPr>
          <w:rFonts w:hint="eastAsia"/>
          <w:color w:val="auto"/>
          <w:sz w:val="24"/>
        </w:rPr>
        <w:t>（1）发现成交候选供应商存在禁止参加本项目采购活动的违法行为的；</w:t>
      </w:r>
      <w:bookmarkEnd w:id="141"/>
      <w:bookmarkEnd w:id="142"/>
    </w:p>
    <w:p>
      <w:pPr>
        <w:pStyle w:val="8"/>
        <w:spacing w:line="400" w:lineRule="exact"/>
        <w:ind w:firstLine="480"/>
        <w:rPr>
          <w:color w:val="auto"/>
          <w:sz w:val="24"/>
        </w:rPr>
      </w:pPr>
      <w:bookmarkStart w:id="143" w:name="_Toc514154270"/>
      <w:bookmarkStart w:id="144" w:name="_Toc514154141"/>
      <w:r>
        <w:rPr>
          <w:rFonts w:hint="eastAsia"/>
          <w:color w:val="auto"/>
          <w:sz w:val="24"/>
        </w:rPr>
        <w:t>（2）成交候选供应商因不可抗力，不能继续参加政府采购活动；</w:t>
      </w:r>
      <w:bookmarkEnd w:id="143"/>
      <w:bookmarkEnd w:id="144"/>
    </w:p>
    <w:p>
      <w:pPr>
        <w:pStyle w:val="8"/>
        <w:spacing w:line="400" w:lineRule="exact"/>
        <w:ind w:firstLine="480"/>
        <w:rPr>
          <w:color w:val="auto"/>
          <w:sz w:val="24"/>
        </w:rPr>
      </w:pPr>
      <w:bookmarkStart w:id="145" w:name="_Toc514154142"/>
      <w:bookmarkStart w:id="146" w:name="_Toc514154271"/>
      <w:r>
        <w:rPr>
          <w:rFonts w:hint="eastAsia"/>
          <w:color w:val="auto"/>
          <w:sz w:val="24"/>
        </w:rPr>
        <w:t>（3）成交候选供应商无偿赠与或者低于成本价竞争；</w:t>
      </w:r>
      <w:bookmarkEnd w:id="145"/>
      <w:bookmarkEnd w:id="146"/>
    </w:p>
    <w:p>
      <w:pPr>
        <w:pStyle w:val="8"/>
        <w:spacing w:line="400" w:lineRule="exact"/>
        <w:ind w:firstLine="480"/>
        <w:rPr>
          <w:color w:val="auto"/>
          <w:sz w:val="24"/>
        </w:rPr>
      </w:pPr>
      <w:bookmarkStart w:id="147" w:name="_Toc514154143"/>
      <w:bookmarkStart w:id="148" w:name="_Toc514154272"/>
      <w:r>
        <w:rPr>
          <w:rFonts w:hint="eastAsia"/>
          <w:color w:val="auto"/>
          <w:sz w:val="24"/>
        </w:rPr>
        <w:t>（4）成交候选供应商提供虚假材料；</w:t>
      </w:r>
      <w:bookmarkEnd w:id="147"/>
      <w:bookmarkEnd w:id="148"/>
    </w:p>
    <w:p>
      <w:pPr>
        <w:pStyle w:val="8"/>
        <w:spacing w:line="400" w:lineRule="exact"/>
        <w:ind w:firstLine="480"/>
        <w:rPr>
          <w:color w:val="auto"/>
          <w:sz w:val="24"/>
        </w:rPr>
      </w:pPr>
      <w:bookmarkStart w:id="149" w:name="_Toc514154144"/>
      <w:bookmarkStart w:id="150" w:name="_Toc514154273"/>
      <w:r>
        <w:rPr>
          <w:rFonts w:hint="eastAsia"/>
          <w:color w:val="auto"/>
          <w:sz w:val="24"/>
        </w:rPr>
        <w:t>（5）成交候选供应商恶意串通。</w:t>
      </w:r>
      <w:bookmarkEnd w:id="149"/>
      <w:bookmarkEnd w:id="150"/>
    </w:p>
    <w:p>
      <w:pPr>
        <w:pStyle w:val="8"/>
        <w:spacing w:line="400" w:lineRule="exact"/>
        <w:ind w:firstLine="480"/>
        <w:rPr>
          <w:color w:val="auto"/>
          <w:sz w:val="24"/>
        </w:rPr>
      </w:pPr>
      <w:bookmarkStart w:id="151" w:name="_Toc514154274"/>
      <w:bookmarkStart w:id="152" w:name="_Toc514154145"/>
      <w:r>
        <w:rPr>
          <w:rFonts w:hint="eastAsia"/>
          <w:color w:val="auto"/>
          <w:sz w:val="24"/>
        </w:rPr>
        <w:t>成交候选供应商有本条情形之一的，采购人可以确定后一位成交候选供应商为成交供应商，依次类推。无法确定成交供应商的，应当重新组织采购。</w:t>
      </w:r>
      <w:bookmarkEnd w:id="151"/>
      <w:bookmarkEnd w:id="152"/>
    </w:p>
    <w:p>
      <w:pPr>
        <w:pStyle w:val="8"/>
        <w:spacing w:line="400" w:lineRule="exact"/>
        <w:ind w:firstLine="480"/>
        <w:rPr>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53" w:name="_Toc514154275"/>
      <w:bookmarkStart w:id="154" w:name="_Toc514154146"/>
      <w:bookmarkStart w:id="155" w:name="_Toc531718399"/>
      <w:r>
        <w:rPr>
          <w:rFonts w:hint="eastAsia" w:ascii="宋体" w:hAnsi="宋体"/>
          <w:b/>
          <w:bCs/>
          <w:color w:val="auto"/>
          <w:sz w:val="28"/>
          <w:szCs w:val="28"/>
          <w:lang w:val="en-US" w:eastAsia="zh-CN"/>
        </w:rPr>
        <w:t>24.行贿犯罪档案查询</w:t>
      </w:r>
      <w:bookmarkEnd w:id="153"/>
      <w:bookmarkEnd w:id="154"/>
      <w:bookmarkEnd w:id="155"/>
    </w:p>
    <w:p>
      <w:pPr>
        <w:pStyle w:val="8"/>
        <w:spacing w:line="400" w:lineRule="exact"/>
        <w:ind w:firstLine="480"/>
        <w:rPr>
          <w:color w:val="auto"/>
          <w:sz w:val="24"/>
        </w:rPr>
      </w:pPr>
      <w:bookmarkStart w:id="156" w:name="_Toc514154276"/>
      <w:bookmarkStart w:id="157" w:name="_Toc514154147"/>
      <w:r>
        <w:rPr>
          <w:rFonts w:hint="eastAsia"/>
          <w:color w:val="auto"/>
          <w:sz w:val="24"/>
        </w:rPr>
        <w:t>24.1根据《最高人民检察院关于行贿犯罪档案查询工作的规定》和《关于在政府采购活动中全面开展行贿犯罪档案查询的通知》（川检会[2016]5号）的要求，采购人确定成交供应商期间，采购人/采购代理机构将向</w:t>
      </w:r>
      <w:r>
        <w:rPr>
          <w:rFonts w:hint="eastAsia"/>
          <w:color w:val="auto"/>
          <w:sz w:val="24"/>
          <w:lang w:eastAsia="zh-CN"/>
        </w:rPr>
        <w:t>中国裁判文书网</w:t>
      </w:r>
      <w:r>
        <w:rPr>
          <w:rFonts w:hint="eastAsia"/>
          <w:color w:val="auto"/>
          <w:sz w:val="24"/>
        </w:rPr>
        <w:t>成交候选供应商单位及其现任法定代表人、主要负责人是否存在行贿犯罪记录。</w:t>
      </w:r>
      <w:bookmarkEnd w:id="156"/>
      <w:bookmarkEnd w:id="157"/>
    </w:p>
    <w:p>
      <w:pPr>
        <w:pStyle w:val="8"/>
        <w:spacing w:line="400" w:lineRule="exact"/>
        <w:ind w:firstLine="480"/>
        <w:rPr>
          <w:color w:val="auto"/>
          <w:sz w:val="24"/>
        </w:rPr>
      </w:pPr>
      <w:bookmarkStart w:id="158" w:name="_Toc514154148"/>
      <w:bookmarkStart w:id="159" w:name="_Toc514154277"/>
      <w:r>
        <w:rPr>
          <w:rFonts w:hint="eastAsia"/>
          <w:color w:val="auto"/>
          <w:sz w:val="24"/>
        </w:rPr>
        <w:t>24.2成交候选供应商应按要求及时向采购人/采购代理机构提供查询所需资料。</w:t>
      </w:r>
      <w:bookmarkEnd w:id="158"/>
      <w:bookmarkEnd w:id="159"/>
    </w:p>
    <w:p>
      <w:pPr>
        <w:pStyle w:val="8"/>
        <w:spacing w:line="400" w:lineRule="exact"/>
        <w:ind w:firstLine="480"/>
        <w:rPr>
          <w:color w:val="auto"/>
          <w:sz w:val="24"/>
        </w:rPr>
      </w:pPr>
      <w:bookmarkStart w:id="160" w:name="_Toc514154278"/>
      <w:bookmarkStart w:id="161" w:name="_Toc514154149"/>
      <w:r>
        <w:rPr>
          <w:rFonts w:hint="eastAsia"/>
          <w:color w:val="auto"/>
          <w:sz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60"/>
      <w:bookmarkEnd w:id="161"/>
    </w:p>
    <w:p>
      <w:pPr>
        <w:rPr>
          <w:color w:val="auto"/>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62" w:name="_Toc531718400"/>
      <w:bookmarkStart w:id="163" w:name="_Toc514154150"/>
      <w:bookmarkStart w:id="164" w:name="_Toc514154279"/>
      <w:r>
        <w:rPr>
          <w:rFonts w:hint="eastAsia" w:ascii="宋体" w:hAnsi="宋体"/>
          <w:b/>
          <w:bCs/>
          <w:color w:val="auto"/>
          <w:sz w:val="28"/>
          <w:szCs w:val="28"/>
          <w:lang w:val="en-US" w:eastAsia="zh-CN"/>
        </w:rPr>
        <w:t>25.成交结果</w:t>
      </w:r>
      <w:bookmarkEnd w:id="162"/>
      <w:bookmarkEnd w:id="163"/>
      <w:bookmarkEnd w:id="164"/>
    </w:p>
    <w:p>
      <w:pPr>
        <w:pStyle w:val="8"/>
        <w:spacing w:line="400" w:lineRule="exact"/>
        <w:ind w:firstLine="480"/>
        <w:rPr>
          <w:color w:val="auto"/>
          <w:sz w:val="24"/>
        </w:rPr>
      </w:pPr>
      <w:bookmarkStart w:id="165" w:name="_Toc514154280"/>
      <w:bookmarkStart w:id="166" w:name="_Toc514154151"/>
      <w:r>
        <w:rPr>
          <w:rFonts w:hint="eastAsia"/>
          <w:color w:val="auto"/>
          <w:sz w:val="24"/>
        </w:rPr>
        <w:t>25.1采购人确定成交供应商后，将及时书面通知采购代理机构，发出成交通知书并发布成交结果公告。</w:t>
      </w:r>
      <w:bookmarkEnd w:id="165"/>
      <w:bookmarkEnd w:id="166"/>
    </w:p>
    <w:p>
      <w:pPr>
        <w:pStyle w:val="8"/>
        <w:spacing w:line="400" w:lineRule="exact"/>
        <w:ind w:firstLine="480"/>
        <w:rPr>
          <w:rFonts w:hint="eastAsia"/>
          <w:color w:val="auto"/>
          <w:sz w:val="24"/>
        </w:rPr>
      </w:pPr>
      <w:r>
        <w:rPr>
          <w:rFonts w:hint="eastAsia"/>
          <w:color w:val="auto"/>
          <w:sz w:val="24"/>
        </w:rPr>
        <w:t>25.2成交供应商应当及时领取成交通知书。</w:t>
      </w:r>
    </w:p>
    <w:p>
      <w:pPr>
        <w:pStyle w:val="8"/>
        <w:spacing w:line="400" w:lineRule="exact"/>
        <w:ind w:firstLine="480"/>
        <w:rPr>
          <w:color w:val="auto"/>
          <w:sz w:val="24"/>
        </w:rPr>
      </w:pPr>
      <w:r>
        <w:rPr>
          <w:rFonts w:hint="eastAsia"/>
          <w:color w:val="auto"/>
          <w:sz w:val="24"/>
        </w:rPr>
        <w:t>25.3</w:t>
      </w:r>
      <w:r>
        <w:rPr>
          <w:rFonts w:hint="eastAsia"/>
          <w:color w:val="auto"/>
          <w:sz w:val="24"/>
          <w:lang w:eastAsia="zh-CN"/>
        </w:rPr>
        <w:t>成交</w:t>
      </w:r>
      <w:r>
        <w:rPr>
          <w:rFonts w:hint="eastAsia"/>
          <w:color w:val="auto"/>
          <w:sz w:val="24"/>
        </w:rPr>
        <w:t>供应商不能及时领取成交通知书，采购人或者采购代理机应当通过邮寄、快递等方式将项目成交通知书送达成交供应商。</w:t>
      </w:r>
    </w:p>
    <w:p>
      <w:pPr>
        <w:ind w:firstLine="465"/>
        <w:rPr>
          <w:rFonts w:ascii="宋体" w:hAnsi="宋体"/>
          <w:bCs/>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67" w:name="_Toc514154152"/>
      <w:bookmarkStart w:id="168" w:name="_Toc531718401"/>
      <w:bookmarkStart w:id="169" w:name="_Toc514154281"/>
      <w:r>
        <w:rPr>
          <w:rFonts w:hint="eastAsia" w:ascii="宋体" w:hAnsi="宋体"/>
          <w:b/>
          <w:bCs/>
          <w:color w:val="auto"/>
          <w:sz w:val="28"/>
          <w:szCs w:val="28"/>
          <w:lang w:val="en-US" w:eastAsia="zh-CN"/>
        </w:rPr>
        <w:t>26.成交通知书</w:t>
      </w:r>
      <w:bookmarkEnd w:id="167"/>
      <w:bookmarkEnd w:id="168"/>
      <w:bookmarkEnd w:id="169"/>
    </w:p>
    <w:p>
      <w:pPr>
        <w:pStyle w:val="8"/>
        <w:spacing w:line="400" w:lineRule="exact"/>
        <w:ind w:firstLine="480"/>
        <w:rPr>
          <w:color w:val="auto"/>
          <w:sz w:val="24"/>
        </w:rPr>
      </w:pPr>
      <w:bookmarkStart w:id="170" w:name="_Toc514154153"/>
      <w:bookmarkStart w:id="171" w:name="_Toc514154282"/>
      <w:r>
        <w:rPr>
          <w:rFonts w:hint="eastAsia"/>
          <w:color w:val="auto"/>
          <w:sz w:val="24"/>
        </w:rPr>
        <w:t>26.1成交通知书为签订政府采购合同的依据之一，是合同的有效组成部分。</w:t>
      </w:r>
      <w:bookmarkEnd w:id="170"/>
      <w:bookmarkEnd w:id="171"/>
    </w:p>
    <w:p>
      <w:pPr>
        <w:pStyle w:val="8"/>
        <w:spacing w:line="400" w:lineRule="exact"/>
        <w:ind w:firstLine="480"/>
        <w:rPr>
          <w:color w:val="auto"/>
          <w:sz w:val="24"/>
        </w:rPr>
      </w:pPr>
      <w:bookmarkStart w:id="172" w:name="_Toc514154283"/>
      <w:bookmarkStart w:id="173" w:name="_Toc514154154"/>
      <w:r>
        <w:rPr>
          <w:rFonts w:hint="eastAsia"/>
          <w:color w:val="auto"/>
          <w:sz w:val="24"/>
        </w:rPr>
        <w:t>26.2成交通知书对采购人和成交供应商均具有法律效力。成交通知书发出后，采购人无正当理由改变成交结果，或者成交供应商无正当理由放弃成交的，将承担相应的法律责任。</w:t>
      </w:r>
      <w:bookmarkEnd w:id="172"/>
      <w:bookmarkEnd w:id="173"/>
    </w:p>
    <w:p>
      <w:pPr>
        <w:pStyle w:val="8"/>
        <w:spacing w:line="400" w:lineRule="exact"/>
        <w:ind w:firstLine="480"/>
        <w:rPr>
          <w:color w:val="auto"/>
          <w:sz w:val="24"/>
        </w:rPr>
      </w:pPr>
      <w:bookmarkStart w:id="174" w:name="_Toc514154284"/>
      <w:bookmarkStart w:id="175" w:name="_Toc514154155"/>
      <w:r>
        <w:rPr>
          <w:rFonts w:hint="eastAsia"/>
          <w:color w:val="auto"/>
          <w:sz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bookmarkEnd w:id="174"/>
      <w:bookmarkEnd w:id="175"/>
    </w:p>
    <w:p>
      <w:pPr>
        <w:rPr>
          <w:rFonts w:hint="eastAsia"/>
          <w:color w:val="auto"/>
        </w:rPr>
      </w:pPr>
    </w:p>
    <w:p>
      <w:pPr>
        <w:pStyle w:val="4"/>
        <w:keepNext w:val="0"/>
        <w:keepLines w:val="0"/>
        <w:spacing w:line="400" w:lineRule="exact"/>
        <w:jc w:val="center"/>
        <w:rPr>
          <w:color w:val="auto"/>
        </w:rPr>
      </w:pPr>
      <w:bookmarkStart w:id="176" w:name="_Toc531718402"/>
      <w:bookmarkStart w:id="177" w:name="_Toc514154156"/>
      <w:bookmarkStart w:id="178" w:name="_Toc514154285"/>
      <w:r>
        <w:rPr>
          <w:rFonts w:hint="eastAsia"/>
          <w:color w:val="auto"/>
        </w:rPr>
        <w:t>七、合同事项</w:t>
      </w:r>
      <w:bookmarkEnd w:id="176"/>
      <w:bookmarkEnd w:id="177"/>
      <w:bookmarkEnd w:id="178"/>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79" w:name="_Toc514154286"/>
      <w:bookmarkStart w:id="180" w:name="_Toc514154157"/>
      <w:bookmarkStart w:id="181" w:name="_Toc531718403"/>
      <w:bookmarkStart w:id="182" w:name="_Toc101174151"/>
      <w:bookmarkStart w:id="183" w:name="_Toc101338364"/>
      <w:bookmarkStart w:id="184" w:name="_Toc430773927"/>
      <w:bookmarkStart w:id="185" w:name="_Toc101250646"/>
      <w:bookmarkStart w:id="186" w:name="_Toc209847069"/>
      <w:r>
        <w:rPr>
          <w:rFonts w:hint="eastAsia" w:ascii="宋体" w:hAnsi="宋体"/>
          <w:b/>
          <w:bCs/>
          <w:color w:val="auto"/>
          <w:sz w:val="28"/>
          <w:szCs w:val="28"/>
          <w:lang w:val="en-US" w:eastAsia="zh-CN"/>
        </w:rPr>
        <w:t>27.签订合同</w:t>
      </w:r>
      <w:bookmarkEnd w:id="179"/>
      <w:bookmarkEnd w:id="180"/>
      <w:bookmarkEnd w:id="181"/>
      <w:bookmarkEnd w:id="182"/>
      <w:bookmarkEnd w:id="183"/>
      <w:bookmarkEnd w:id="184"/>
      <w:bookmarkEnd w:id="185"/>
      <w:bookmarkEnd w:id="186"/>
    </w:p>
    <w:p>
      <w:pPr>
        <w:pStyle w:val="8"/>
        <w:spacing w:line="400" w:lineRule="exact"/>
        <w:ind w:firstLine="480"/>
        <w:rPr>
          <w:color w:val="auto"/>
          <w:sz w:val="24"/>
        </w:rPr>
      </w:pPr>
      <w:r>
        <w:rPr>
          <w:rFonts w:hint="eastAsia"/>
          <w:color w:val="auto"/>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pStyle w:val="8"/>
        <w:spacing w:line="400" w:lineRule="exact"/>
        <w:ind w:firstLine="480"/>
        <w:rPr>
          <w:color w:val="auto"/>
          <w:sz w:val="24"/>
        </w:rPr>
      </w:pPr>
      <w:r>
        <w:rPr>
          <w:rFonts w:hint="eastAsia"/>
          <w:color w:val="auto"/>
          <w:sz w:val="24"/>
        </w:rPr>
        <w:t>27.2 磋商文件、成交供应商的响应文件及双方确认的澄清文件等，均为有法律约束力的合同组成部分。</w:t>
      </w:r>
    </w:p>
    <w:p>
      <w:pPr>
        <w:pStyle w:val="8"/>
        <w:spacing w:line="400" w:lineRule="exact"/>
        <w:ind w:firstLine="480"/>
        <w:rPr>
          <w:color w:val="auto"/>
          <w:sz w:val="24"/>
        </w:rPr>
      </w:pPr>
      <w:r>
        <w:rPr>
          <w:rFonts w:hint="eastAsia"/>
          <w:color w:val="auto"/>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8"/>
        <w:spacing w:line="400" w:lineRule="exact"/>
        <w:ind w:firstLine="480"/>
        <w:rPr>
          <w:color w:val="auto"/>
          <w:sz w:val="24"/>
        </w:rPr>
      </w:pPr>
      <w:r>
        <w:rPr>
          <w:rFonts w:hint="eastAsia"/>
          <w:color w:val="auto"/>
          <w:sz w:val="24"/>
        </w:rPr>
        <w:t>27.4 成交供应商因不可抗力原因不能履行采购合同或放弃成交的，采购人可以与排在成交供应商之后第一位的成交候选人签订采购合同，以此类推。</w:t>
      </w:r>
    </w:p>
    <w:p>
      <w:pPr>
        <w:pStyle w:val="8"/>
        <w:spacing w:line="400" w:lineRule="exact"/>
        <w:ind w:firstLine="480"/>
        <w:rPr>
          <w:rFonts w:hAnsi="宋体"/>
          <w:color w:val="auto"/>
          <w:sz w:val="24"/>
        </w:rPr>
      </w:pPr>
      <w:r>
        <w:rPr>
          <w:rFonts w:hint="eastAsia"/>
          <w:color w:val="auto"/>
          <w:sz w:val="24"/>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87" w:name="_Toc531718404"/>
      <w:r>
        <w:rPr>
          <w:rFonts w:hint="eastAsia" w:ascii="宋体" w:hAnsi="宋体"/>
          <w:b/>
          <w:bCs/>
          <w:color w:val="auto"/>
          <w:sz w:val="28"/>
          <w:szCs w:val="28"/>
          <w:lang w:val="en-US" w:eastAsia="zh-CN"/>
        </w:rPr>
        <w:t>28.合同分包</w:t>
      </w:r>
      <w:bookmarkEnd w:id="187"/>
    </w:p>
    <w:p>
      <w:pPr>
        <w:spacing w:line="400" w:lineRule="exact"/>
        <w:ind w:firstLine="480" w:firstLineChars="200"/>
        <w:rPr>
          <w:rFonts w:ascii="宋体" w:hAnsi="宋体"/>
          <w:color w:val="auto"/>
          <w:sz w:val="24"/>
        </w:rPr>
      </w:pPr>
      <w:r>
        <w:rPr>
          <w:rFonts w:hint="eastAsia" w:ascii="宋体" w:hAnsi="宋体"/>
          <w:color w:val="auto"/>
          <w:sz w:val="24"/>
        </w:rPr>
        <w:t>28.1 经采购人同意，成交供应商可以依法采取分包方式履行合同，但必须在响应文件中事前载明。这种要求应当在合同签订之前征得采购人同意，并且分包供应商履行的分包项目的品牌、</w:t>
      </w:r>
      <w:r>
        <w:rPr>
          <w:rFonts w:hint="eastAsia" w:hAnsi="宋体"/>
          <w:color w:val="auto"/>
          <w:sz w:val="24"/>
          <w:lang w:eastAsia="zh-CN"/>
        </w:rPr>
        <w:t>尺寸</w:t>
      </w:r>
      <w:r>
        <w:rPr>
          <w:rFonts w:hint="eastAsia" w:ascii="宋体" w:hAnsi="宋体"/>
          <w:color w:val="auto"/>
          <w:sz w:val="24"/>
        </w:rPr>
        <w:t>型号及技术要求等，必须与成交的一致。</w:t>
      </w:r>
    </w:p>
    <w:p>
      <w:pPr>
        <w:spacing w:line="400" w:lineRule="exact"/>
        <w:ind w:firstLine="480" w:firstLineChars="200"/>
        <w:rPr>
          <w:rFonts w:ascii="宋体" w:hAnsi="宋体"/>
          <w:color w:val="auto"/>
          <w:sz w:val="24"/>
        </w:rPr>
      </w:pPr>
      <w:r>
        <w:rPr>
          <w:rFonts w:hint="eastAsia" w:ascii="宋体" w:hAnsi="宋体"/>
          <w:color w:val="auto"/>
          <w:sz w:val="24"/>
        </w:rPr>
        <w:t>分包履行合同的部分应当为采购项目的非主体、非关键性工作，不属于成交供应商的主要合同义务。</w:t>
      </w:r>
    </w:p>
    <w:p>
      <w:pPr>
        <w:spacing w:line="400" w:lineRule="exact"/>
        <w:ind w:firstLine="480" w:firstLineChars="200"/>
        <w:rPr>
          <w:rFonts w:ascii="宋体" w:hAnsi="宋体"/>
          <w:color w:val="auto"/>
          <w:sz w:val="24"/>
        </w:rPr>
      </w:pPr>
      <w:r>
        <w:rPr>
          <w:rFonts w:hint="eastAsia" w:ascii="宋体" w:hAnsi="宋体"/>
          <w:color w:val="auto"/>
          <w:sz w:val="24"/>
        </w:rPr>
        <w:t>28.2 采购合同实行分包履行的，成交供应商就采购项目和分包项目向采购人负责，分包供应商就分包项目承担责任。</w:t>
      </w:r>
    </w:p>
    <w:p>
      <w:pPr>
        <w:spacing w:line="400" w:lineRule="exact"/>
        <w:ind w:firstLine="480" w:firstLineChars="200"/>
        <w:rPr>
          <w:rFonts w:hAnsi="宋体"/>
          <w:color w:val="auto"/>
          <w:sz w:val="24"/>
        </w:rPr>
      </w:pPr>
      <w:r>
        <w:rPr>
          <w:rFonts w:hint="eastAsia" w:ascii="宋体" w:hAnsi="宋体"/>
          <w:color w:val="auto"/>
          <w:sz w:val="24"/>
        </w:rPr>
        <w:t>28.3 中小企业根据《政府采购促进中小企业发展管理办法》（财库〔2020〕46 号） 的规定的政策获取政府采购合同后，小型、微型企业不得分包或转包给大型、中型企业， 中型企业不得分包或转包给大型企业。</w:t>
      </w:r>
    </w:p>
    <w:p>
      <w:pPr>
        <w:spacing w:line="400" w:lineRule="exact"/>
        <w:ind w:firstLine="480" w:firstLineChars="200"/>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88" w:name="_Toc531718405"/>
      <w:r>
        <w:rPr>
          <w:rFonts w:hint="eastAsia" w:ascii="宋体" w:hAnsi="宋体"/>
          <w:b/>
          <w:bCs/>
          <w:color w:val="auto"/>
          <w:sz w:val="28"/>
          <w:szCs w:val="28"/>
          <w:lang w:val="en-US" w:eastAsia="zh-CN"/>
        </w:rPr>
        <w:t>29.合同转包</w:t>
      </w:r>
      <w:bookmarkEnd w:id="188"/>
    </w:p>
    <w:p>
      <w:pPr>
        <w:spacing w:line="400" w:lineRule="exact"/>
        <w:ind w:firstLine="480" w:firstLineChars="200"/>
        <w:rPr>
          <w:rFonts w:hAnsi="宋体"/>
          <w:color w:val="auto"/>
          <w:sz w:val="24"/>
        </w:rPr>
      </w:pPr>
      <w:r>
        <w:rPr>
          <w:rFonts w:hint="eastAsia" w:hAnsi="宋体"/>
          <w:color w:val="auto"/>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auto"/>
          <w:sz w:val="24"/>
        </w:rPr>
      </w:pPr>
      <w:r>
        <w:rPr>
          <w:rFonts w:hint="eastAsia" w:hAnsi="宋体"/>
          <w:color w:val="auto"/>
          <w:sz w:val="24"/>
        </w:rPr>
        <w:t>成交供应商转包的，视同拒绝履行政府采购合同义务，将依法追究法律责任。</w:t>
      </w: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89" w:name="_Toc531718406"/>
      <w:r>
        <w:rPr>
          <w:rFonts w:hint="eastAsia" w:ascii="宋体" w:hAnsi="宋体"/>
          <w:b/>
          <w:bCs/>
          <w:color w:val="auto"/>
          <w:sz w:val="28"/>
          <w:szCs w:val="28"/>
          <w:lang w:val="en-US" w:eastAsia="zh-CN"/>
        </w:rPr>
        <w:t>30.补充合同</w:t>
      </w:r>
      <w:bookmarkEnd w:id="189"/>
    </w:p>
    <w:p>
      <w:pPr>
        <w:spacing w:line="400" w:lineRule="exact"/>
        <w:ind w:firstLine="480" w:firstLineChars="200"/>
        <w:rPr>
          <w:rFonts w:hAnsi="宋体"/>
          <w:color w:val="auto"/>
          <w:sz w:val="24"/>
        </w:rPr>
      </w:pPr>
      <w:r>
        <w:rPr>
          <w:rFonts w:hint="eastAsia" w:hAnsi="宋体"/>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90" w:name="_Toc531718407"/>
      <w:r>
        <w:rPr>
          <w:rFonts w:hint="eastAsia" w:ascii="宋体" w:hAnsi="宋体"/>
          <w:b/>
          <w:bCs/>
          <w:color w:val="auto"/>
          <w:sz w:val="28"/>
          <w:szCs w:val="28"/>
          <w:lang w:val="en-US" w:eastAsia="zh-CN"/>
        </w:rPr>
        <w:t>31.履约保证金</w:t>
      </w:r>
      <w:bookmarkEnd w:id="190"/>
    </w:p>
    <w:p>
      <w:pPr>
        <w:spacing w:before="120" w:beforeLines="50" w:after="120" w:afterLines="50"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hAnsi="宋体" w:cs="宋体"/>
          <w:sz w:val="24"/>
          <w:lang w:val="en-US" w:eastAsia="zh-CN"/>
        </w:rPr>
        <w:t>1</w:t>
      </w:r>
      <w:r>
        <w:rPr>
          <w:rFonts w:hint="eastAsia" w:ascii="宋体" w:hAnsi="宋体" w:eastAsia="宋体" w:cs="宋体"/>
          <w:sz w:val="24"/>
        </w:rPr>
        <w:t>.1 中标人应在合同签订之前交纳招标文件规定数额的履约保证金。</w:t>
      </w:r>
    </w:p>
    <w:p>
      <w:pPr>
        <w:spacing w:before="120" w:beforeLines="50" w:after="120" w:afterLines="50" w:line="40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hAnsi="宋体" w:cs="宋体"/>
          <w:sz w:val="24"/>
          <w:lang w:val="en-US" w:eastAsia="zh-CN"/>
        </w:rPr>
        <w:t>1</w:t>
      </w:r>
      <w:r>
        <w:rPr>
          <w:rFonts w:hint="eastAsia" w:ascii="宋体" w:hAnsi="宋体" w:eastAsia="宋体" w:cs="宋体"/>
          <w:sz w:val="24"/>
        </w:rPr>
        <w:t>.2 如果中标人在规定的合同签订时间内，没有按照招标文件的规定交纳履约保证金，且又无正当理由的，将视为放弃中标。</w:t>
      </w:r>
    </w:p>
    <w:p>
      <w:pPr>
        <w:spacing w:line="400" w:lineRule="exact"/>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91" w:name="_Toc531718408"/>
      <w:r>
        <w:rPr>
          <w:rFonts w:hint="eastAsia" w:ascii="宋体" w:hAnsi="宋体"/>
          <w:b/>
          <w:bCs/>
          <w:color w:val="auto"/>
          <w:sz w:val="28"/>
          <w:szCs w:val="28"/>
          <w:lang w:val="en-US" w:eastAsia="zh-CN"/>
        </w:rPr>
        <w:t>32.合同公告</w:t>
      </w:r>
      <w:bookmarkEnd w:id="191"/>
    </w:p>
    <w:p>
      <w:pPr>
        <w:spacing w:line="400" w:lineRule="exact"/>
        <w:ind w:firstLine="480" w:firstLineChars="200"/>
        <w:rPr>
          <w:rFonts w:hAnsi="宋体"/>
          <w:color w:val="auto"/>
          <w:sz w:val="24"/>
        </w:rPr>
      </w:pPr>
      <w:r>
        <w:rPr>
          <w:rFonts w:hint="eastAsia" w:hAnsi="宋体"/>
          <w:color w:val="auto"/>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92" w:name="_Toc531718409"/>
      <w:r>
        <w:rPr>
          <w:rFonts w:hint="eastAsia" w:ascii="宋体" w:hAnsi="宋体"/>
          <w:b/>
          <w:bCs/>
          <w:color w:val="auto"/>
          <w:sz w:val="28"/>
          <w:szCs w:val="28"/>
          <w:lang w:val="en-US" w:eastAsia="zh-CN"/>
        </w:rPr>
        <w:t>33.合同备案</w:t>
      </w:r>
      <w:bookmarkEnd w:id="192"/>
    </w:p>
    <w:p>
      <w:pPr>
        <w:spacing w:line="400" w:lineRule="exact"/>
        <w:ind w:firstLine="480" w:firstLineChars="200"/>
        <w:rPr>
          <w:rFonts w:hAnsi="宋体"/>
          <w:color w:val="auto"/>
          <w:sz w:val="24"/>
        </w:rPr>
      </w:pPr>
      <w:r>
        <w:rPr>
          <w:rFonts w:hint="eastAsia" w:hAnsi="宋体"/>
          <w:color w:val="auto"/>
          <w:sz w:val="24"/>
        </w:rPr>
        <w:t>采购人应当将政府采购合同副本自签订（双方当事人均已签字盖章）之日起七个工作日内通过四川政府采购网报同级财政部门备案。</w:t>
      </w:r>
    </w:p>
    <w:p>
      <w:pPr>
        <w:spacing w:line="400" w:lineRule="exact"/>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93" w:name="_Toc531718410"/>
      <w:r>
        <w:rPr>
          <w:rFonts w:hint="eastAsia" w:ascii="宋体" w:hAnsi="宋体"/>
          <w:b/>
          <w:bCs/>
          <w:color w:val="auto"/>
          <w:sz w:val="28"/>
          <w:szCs w:val="28"/>
          <w:lang w:val="en-US" w:eastAsia="zh-CN"/>
        </w:rPr>
        <w:t>34.履行合同</w:t>
      </w:r>
      <w:bookmarkEnd w:id="193"/>
    </w:p>
    <w:p>
      <w:pPr>
        <w:spacing w:line="400" w:lineRule="exact"/>
        <w:ind w:firstLine="480" w:firstLineChars="200"/>
        <w:rPr>
          <w:rFonts w:ascii="宋体" w:hAnsi="宋体"/>
          <w:color w:val="auto"/>
          <w:sz w:val="24"/>
        </w:rPr>
      </w:pPr>
      <w:r>
        <w:rPr>
          <w:rFonts w:hint="eastAsia" w:ascii="宋体" w:hAnsi="宋体"/>
          <w:color w:val="auto"/>
          <w:sz w:val="24"/>
        </w:rPr>
        <w:t>34.1 成交供应商与采购人签订合同后，合同双方应严格执行合同条款，履行合同规定的义务，保证合同的顺利完成。</w:t>
      </w:r>
    </w:p>
    <w:p>
      <w:pPr>
        <w:spacing w:line="400" w:lineRule="exact"/>
        <w:ind w:firstLine="480" w:firstLineChars="200"/>
        <w:rPr>
          <w:rFonts w:hAnsi="宋体"/>
          <w:color w:val="auto"/>
          <w:sz w:val="24"/>
        </w:rPr>
      </w:pPr>
      <w:r>
        <w:rPr>
          <w:rFonts w:hint="eastAsia" w:ascii="宋体" w:hAnsi="宋体"/>
          <w:color w:val="auto"/>
          <w:sz w:val="24"/>
        </w:rPr>
        <w:t>34.2 在</w:t>
      </w:r>
      <w:r>
        <w:rPr>
          <w:rFonts w:hint="eastAsia" w:hAnsi="宋体"/>
          <w:color w:val="auto"/>
          <w:sz w:val="24"/>
        </w:rPr>
        <w:t>合同履行过程中，如发生合同纠纷，合同双方应按照《合同法》的有关规定进行处理。</w:t>
      </w:r>
    </w:p>
    <w:p>
      <w:pPr>
        <w:spacing w:line="400" w:lineRule="exact"/>
        <w:ind w:firstLine="480" w:firstLineChars="200"/>
        <w:rPr>
          <w:rFonts w:hAnsi="宋体"/>
          <w:color w:val="auto"/>
          <w:sz w:val="24"/>
        </w:rPr>
      </w:pPr>
    </w:p>
    <w:p>
      <w:pPr>
        <w:pStyle w:val="5"/>
        <w:keepNext w:val="0"/>
        <w:keepLines w:val="0"/>
        <w:spacing w:before="0" w:after="0" w:line="400" w:lineRule="exact"/>
        <w:ind w:firstLine="482"/>
        <w:rPr>
          <w:rFonts w:hint="eastAsia" w:ascii="宋体" w:hAnsi="宋体"/>
          <w:b/>
          <w:bCs/>
          <w:color w:val="auto"/>
          <w:sz w:val="28"/>
          <w:szCs w:val="28"/>
          <w:lang w:val="en-US" w:eastAsia="zh-CN"/>
        </w:rPr>
      </w:pPr>
      <w:bookmarkStart w:id="194" w:name="_Toc531718411"/>
      <w:r>
        <w:rPr>
          <w:rFonts w:hint="eastAsia" w:ascii="宋体" w:hAnsi="宋体"/>
          <w:b/>
          <w:bCs/>
          <w:color w:val="auto"/>
          <w:sz w:val="28"/>
          <w:szCs w:val="28"/>
          <w:lang w:val="en-US" w:eastAsia="zh-CN"/>
        </w:rPr>
        <w:t>35.验收</w:t>
      </w:r>
      <w:bookmarkEnd w:id="194"/>
    </w:p>
    <w:p>
      <w:pPr>
        <w:spacing w:line="400" w:lineRule="exact"/>
        <w:ind w:firstLine="480" w:firstLineChars="200"/>
        <w:rPr>
          <w:rFonts w:ascii="宋体" w:hAnsi="宋体"/>
          <w:color w:val="auto"/>
          <w:sz w:val="24"/>
        </w:rPr>
      </w:pPr>
      <w:r>
        <w:rPr>
          <w:rFonts w:hint="eastAsia" w:ascii="宋体" w:hAnsi="宋体"/>
          <w:color w:val="auto"/>
          <w:sz w:val="24"/>
        </w:rPr>
        <w:t>35.1本项目采购人及其委托的采购代理机构将严格按照政府采购相关法律法规以及《财政部关于进一步加强政府采购需求和履约验收管理的指导意见》（财库〔2016〕205号）的要求进行验收。</w:t>
      </w:r>
    </w:p>
    <w:p>
      <w:pPr>
        <w:spacing w:line="400" w:lineRule="exact"/>
        <w:rPr>
          <w:rFonts w:hAnsi="宋体"/>
          <w:color w:val="auto"/>
          <w:sz w:val="24"/>
        </w:rPr>
      </w:pPr>
    </w:p>
    <w:p>
      <w:pPr>
        <w:pStyle w:val="4"/>
        <w:keepNext w:val="0"/>
        <w:keepLines w:val="0"/>
        <w:spacing w:before="0" w:after="0" w:line="400" w:lineRule="exact"/>
        <w:ind w:firstLine="281" w:firstLineChars="100"/>
        <w:jc w:val="both"/>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bookmarkStart w:id="195" w:name="_Toc531718412"/>
      <w:bookmarkStart w:id="196" w:name="_Toc531718413"/>
      <w:bookmarkStart w:id="197" w:name="_Toc514154287"/>
      <w:bookmarkStart w:id="198" w:name="_Toc514154158"/>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36.资金支付</w:t>
      </w:r>
      <w:bookmarkEnd w:id="195"/>
    </w:p>
    <w:p>
      <w:pPr>
        <w:spacing w:line="360" w:lineRule="auto"/>
        <w:rPr>
          <w:rFonts w:hAnsi="宋体" w:cs="宋体"/>
        </w:rPr>
      </w:pPr>
      <w:r>
        <w:rPr>
          <w:rFonts w:hint="eastAsia" w:asciiTheme="minorEastAsia" w:hAnsiTheme="minorEastAsia" w:eastAsiaTheme="minorEastAsia" w:cstheme="minorEastAsia"/>
          <w:b w:val="0"/>
          <w:bCs w:val="0"/>
          <w:color w:val="FF0000"/>
          <w:sz w:val="24"/>
          <w:szCs w:val="24"/>
          <w:lang w:val="en-US" w:eastAsia="zh-CN"/>
        </w:rPr>
        <w:t xml:space="preserve">   </w:t>
      </w:r>
      <w:r>
        <w:rPr>
          <w:rFonts w:hint="eastAsia" w:hAnsi="宋体" w:cs="宋体"/>
          <w:sz w:val="24"/>
          <w:szCs w:val="24"/>
        </w:rPr>
        <w:t xml:space="preserve"> 采购人将按照政府采购合同规定，及时向成交供应商支付采购资金。</w:t>
      </w:r>
    </w:p>
    <w:p>
      <w:pPr>
        <w:pStyle w:val="11"/>
        <w:rPr>
          <w:rFonts w:hint="eastAsia" w:ascii="宋体" w:hAnsi="宋体" w:eastAsia="宋体" w:cs="宋体"/>
          <w:color w:val="000000" w:themeColor="text1"/>
          <w14:textFill>
            <w14:solidFill>
              <w14:schemeClr w14:val="tx1"/>
            </w14:solidFill>
          </w14:textFill>
        </w:rPr>
      </w:pPr>
    </w:p>
    <w:p>
      <w:pPr>
        <w:pStyle w:val="11"/>
        <w:rPr>
          <w:rFonts w:hint="eastAsia"/>
        </w:rPr>
      </w:pPr>
    </w:p>
    <w:p>
      <w:pPr>
        <w:pStyle w:val="4"/>
        <w:keepNext w:val="0"/>
        <w:keepLines w:val="0"/>
        <w:spacing w:before="0" w:after="0" w:line="400" w:lineRule="exact"/>
        <w:jc w:val="center"/>
        <w:rPr>
          <w:color w:val="auto"/>
        </w:rPr>
      </w:pPr>
      <w:r>
        <w:rPr>
          <w:rFonts w:hint="eastAsia"/>
          <w:color w:val="auto"/>
        </w:rPr>
        <w:t>八、磋商纪律要求</w:t>
      </w:r>
      <w:bookmarkEnd w:id="196"/>
      <w:bookmarkEnd w:id="197"/>
      <w:bookmarkEnd w:id="198"/>
    </w:p>
    <w:p>
      <w:pPr>
        <w:tabs>
          <w:tab w:val="left" w:pos="851"/>
        </w:tabs>
        <w:spacing w:line="360" w:lineRule="auto"/>
        <w:jc w:val="center"/>
        <w:rPr>
          <w:rFonts w:ascii="宋体" w:hAnsi="宋体"/>
          <w:color w:val="auto"/>
          <w:sz w:val="24"/>
        </w:rPr>
      </w:pPr>
    </w:p>
    <w:p>
      <w:pPr>
        <w:tabs>
          <w:tab w:val="left" w:pos="851"/>
        </w:tabs>
        <w:spacing w:line="360" w:lineRule="auto"/>
        <w:ind w:firstLine="482" w:firstLineChars="200"/>
        <w:rPr>
          <w:rFonts w:ascii="宋体" w:hAnsi="宋体"/>
          <w:b/>
          <w:color w:val="auto"/>
          <w:sz w:val="24"/>
        </w:rPr>
      </w:pPr>
      <w:r>
        <w:rPr>
          <w:rFonts w:hint="eastAsia" w:hAnsi="宋体"/>
          <w:b/>
          <w:color w:val="auto"/>
          <w:sz w:val="24"/>
          <w:lang w:val="en-US" w:eastAsia="zh-CN"/>
        </w:rPr>
        <w:t>37</w:t>
      </w:r>
      <w:r>
        <w:rPr>
          <w:rFonts w:hint="eastAsia" w:ascii="宋体" w:hAnsi="宋体"/>
          <w:b/>
          <w:color w:val="auto"/>
          <w:sz w:val="24"/>
        </w:rPr>
        <w:t>.供应商不得具有的情形</w:t>
      </w:r>
    </w:p>
    <w:p>
      <w:pPr>
        <w:tabs>
          <w:tab w:val="left" w:pos="851"/>
        </w:tabs>
        <w:spacing w:line="360" w:lineRule="auto"/>
        <w:ind w:firstLine="480" w:firstLineChars="200"/>
        <w:rPr>
          <w:rFonts w:hAnsi="宋体"/>
          <w:color w:val="auto"/>
          <w:sz w:val="24"/>
        </w:rPr>
      </w:pPr>
      <w:r>
        <w:rPr>
          <w:rFonts w:hint="eastAsia" w:hAnsi="宋体"/>
          <w:color w:val="auto"/>
          <w:sz w:val="24"/>
        </w:rPr>
        <w:t>供应商参加本项目磋商不得有下列情形：</w:t>
      </w:r>
    </w:p>
    <w:p>
      <w:pPr>
        <w:tabs>
          <w:tab w:val="left" w:pos="851"/>
        </w:tabs>
        <w:spacing w:line="360" w:lineRule="auto"/>
        <w:ind w:firstLine="480" w:firstLineChars="200"/>
        <w:rPr>
          <w:rFonts w:hAnsi="宋体"/>
          <w:color w:val="auto"/>
          <w:sz w:val="24"/>
        </w:rPr>
      </w:pPr>
      <w:r>
        <w:rPr>
          <w:rFonts w:hint="eastAsia" w:hAnsi="宋体"/>
          <w:color w:val="auto"/>
          <w:sz w:val="24"/>
        </w:rPr>
        <w:t>（1）提供虚假材料谋取成交；</w:t>
      </w:r>
    </w:p>
    <w:p>
      <w:pPr>
        <w:tabs>
          <w:tab w:val="left" w:pos="851"/>
        </w:tabs>
        <w:spacing w:line="360" w:lineRule="auto"/>
        <w:ind w:firstLine="480" w:firstLineChars="200"/>
        <w:rPr>
          <w:rFonts w:hAnsi="宋体"/>
          <w:color w:val="auto"/>
          <w:sz w:val="24"/>
        </w:rPr>
      </w:pPr>
      <w:r>
        <w:rPr>
          <w:rFonts w:hint="eastAsia" w:hAnsi="宋体"/>
          <w:color w:val="auto"/>
          <w:sz w:val="24"/>
        </w:rPr>
        <w:t>（2）采取不正当手段诋毁、排挤其他供应商；</w:t>
      </w:r>
    </w:p>
    <w:p>
      <w:pPr>
        <w:tabs>
          <w:tab w:val="left" w:pos="851"/>
        </w:tabs>
        <w:spacing w:line="360" w:lineRule="auto"/>
        <w:ind w:firstLine="480" w:firstLineChars="200"/>
        <w:rPr>
          <w:rFonts w:hAnsi="宋体"/>
          <w:color w:val="auto"/>
          <w:sz w:val="24"/>
        </w:rPr>
      </w:pPr>
      <w:r>
        <w:rPr>
          <w:rFonts w:hint="eastAsia" w:hAnsi="宋体"/>
          <w:color w:val="auto"/>
          <w:sz w:val="24"/>
        </w:rPr>
        <w:t>（3）与采购人、采购代理机构、或其他供应商恶意串通；</w:t>
      </w:r>
    </w:p>
    <w:p>
      <w:pPr>
        <w:tabs>
          <w:tab w:val="left" w:pos="851"/>
        </w:tabs>
        <w:spacing w:line="360" w:lineRule="auto"/>
        <w:ind w:firstLine="480" w:firstLineChars="200"/>
        <w:rPr>
          <w:rFonts w:hAnsi="宋体"/>
          <w:color w:val="auto"/>
          <w:sz w:val="24"/>
        </w:rPr>
      </w:pPr>
      <w:r>
        <w:rPr>
          <w:rFonts w:hint="eastAsia" w:hAnsi="宋体"/>
          <w:color w:val="auto"/>
          <w:sz w:val="24"/>
        </w:rPr>
        <w:t>（4）向采购人、采购代理机构、磋商小组成员行贿或者提供其他不正当利益；</w:t>
      </w:r>
    </w:p>
    <w:p>
      <w:pPr>
        <w:tabs>
          <w:tab w:val="left" w:pos="851"/>
        </w:tabs>
        <w:spacing w:line="360" w:lineRule="auto"/>
        <w:ind w:firstLine="480" w:firstLineChars="200"/>
        <w:rPr>
          <w:rFonts w:hAnsi="宋体"/>
          <w:color w:val="auto"/>
          <w:sz w:val="24"/>
        </w:rPr>
      </w:pPr>
      <w:r>
        <w:rPr>
          <w:rFonts w:hint="eastAsia" w:hAnsi="宋体"/>
          <w:color w:val="auto"/>
          <w:sz w:val="24"/>
        </w:rPr>
        <w:t>（5）在磋商过程中与采购人、采购代理机构进行协商；</w:t>
      </w:r>
    </w:p>
    <w:p>
      <w:pPr>
        <w:tabs>
          <w:tab w:val="left" w:pos="851"/>
        </w:tabs>
        <w:spacing w:line="360" w:lineRule="auto"/>
        <w:ind w:firstLine="480" w:firstLineChars="200"/>
        <w:rPr>
          <w:rFonts w:hAnsi="宋体"/>
          <w:color w:val="auto"/>
          <w:sz w:val="24"/>
        </w:rPr>
      </w:pPr>
      <w:r>
        <w:rPr>
          <w:rFonts w:hint="eastAsia" w:hAnsi="宋体"/>
          <w:color w:val="auto"/>
          <w:sz w:val="24"/>
        </w:rPr>
        <w:t>（6）成交后无正当理由拒不与采购人签订政府采购合同；</w:t>
      </w:r>
    </w:p>
    <w:p>
      <w:pPr>
        <w:tabs>
          <w:tab w:val="left" w:pos="851"/>
        </w:tabs>
        <w:spacing w:line="360" w:lineRule="auto"/>
        <w:ind w:firstLine="480" w:firstLineChars="200"/>
        <w:rPr>
          <w:rFonts w:hAnsi="宋体"/>
          <w:color w:val="auto"/>
          <w:sz w:val="24"/>
        </w:rPr>
      </w:pPr>
      <w:r>
        <w:rPr>
          <w:rFonts w:hint="eastAsia" w:hAnsi="宋体"/>
          <w:color w:val="auto"/>
          <w:sz w:val="24"/>
        </w:rPr>
        <w:t>（7）未按照磋商文件确定的事项签订政府采购合同；</w:t>
      </w:r>
    </w:p>
    <w:p>
      <w:pPr>
        <w:tabs>
          <w:tab w:val="left" w:pos="851"/>
        </w:tabs>
        <w:spacing w:line="360" w:lineRule="auto"/>
        <w:ind w:firstLine="480" w:firstLineChars="200"/>
        <w:rPr>
          <w:rFonts w:hAnsi="宋体"/>
          <w:color w:val="auto"/>
          <w:sz w:val="24"/>
        </w:rPr>
      </w:pPr>
      <w:r>
        <w:rPr>
          <w:rFonts w:hint="eastAsia" w:hAnsi="宋体"/>
          <w:color w:val="auto"/>
          <w:sz w:val="24"/>
        </w:rPr>
        <w:t>（8）将政府采购合同转包或者违规分包；</w:t>
      </w:r>
    </w:p>
    <w:p>
      <w:pPr>
        <w:tabs>
          <w:tab w:val="left" w:pos="851"/>
        </w:tabs>
        <w:spacing w:line="360" w:lineRule="auto"/>
        <w:ind w:firstLine="480" w:firstLineChars="200"/>
        <w:rPr>
          <w:rFonts w:hAnsi="宋体"/>
          <w:color w:val="auto"/>
          <w:sz w:val="24"/>
        </w:rPr>
      </w:pPr>
      <w:r>
        <w:rPr>
          <w:rFonts w:hint="eastAsia" w:hAnsi="宋体"/>
          <w:color w:val="auto"/>
          <w:sz w:val="24"/>
        </w:rPr>
        <w:t>（9）提供假冒伪劣产品；</w:t>
      </w:r>
    </w:p>
    <w:p>
      <w:pPr>
        <w:tabs>
          <w:tab w:val="left" w:pos="851"/>
        </w:tabs>
        <w:spacing w:line="360" w:lineRule="auto"/>
        <w:ind w:firstLine="480" w:firstLineChars="200"/>
        <w:rPr>
          <w:rFonts w:hAnsi="宋体"/>
          <w:color w:val="auto"/>
          <w:sz w:val="24"/>
        </w:rPr>
      </w:pPr>
      <w:r>
        <w:rPr>
          <w:rFonts w:hint="eastAsia" w:hAnsi="宋体"/>
          <w:color w:val="auto"/>
          <w:sz w:val="24"/>
        </w:rPr>
        <w:t>（10）擅自变更、中止或者终止政府采购合同；</w:t>
      </w:r>
    </w:p>
    <w:p>
      <w:pPr>
        <w:tabs>
          <w:tab w:val="left" w:pos="851"/>
        </w:tabs>
        <w:spacing w:line="360" w:lineRule="auto"/>
        <w:ind w:firstLine="480" w:firstLineChars="200"/>
        <w:rPr>
          <w:rFonts w:hAnsi="宋体"/>
          <w:color w:val="auto"/>
          <w:sz w:val="24"/>
        </w:rPr>
      </w:pPr>
      <w:r>
        <w:rPr>
          <w:rFonts w:hint="eastAsia" w:hAnsi="宋体"/>
          <w:color w:val="auto"/>
          <w:sz w:val="24"/>
        </w:rPr>
        <w:t>（11）拒绝有关部门的监督检查或者向监督检查部门提供虚假情况；</w:t>
      </w:r>
    </w:p>
    <w:p>
      <w:pPr>
        <w:tabs>
          <w:tab w:val="left" w:pos="851"/>
        </w:tabs>
        <w:spacing w:line="360" w:lineRule="auto"/>
        <w:ind w:firstLine="480" w:firstLineChars="200"/>
        <w:rPr>
          <w:rFonts w:hAnsi="宋体"/>
          <w:color w:val="auto"/>
          <w:sz w:val="24"/>
        </w:rPr>
      </w:pPr>
      <w:r>
        <w:rPr>
          <w:rFonts w:hint="eastAsia" w:hAnsi="宋体"/>
          <w:color w:val="auto"/>
          <w:sz w:val="24"/>
        </w:rPr>
        <w:t>（12）法律法规规定的其他情形。</w:t>
      </w:r>
    </w:p>
    <w:p>
      <w:pPr>
        <w:tabs>
          <w:tab w:val="left" w:pos="851"/>
        </w:tabs>
        <w:spacing w:line="360" w:lineRule="auto"/>
        <w:ind w:firstLine="480" w:firstLineChars="200"/>
        <w:rPr>
          <w:rFonts w:hAnsi="宋体"/>
          <w:color w:val="auto"/>
          <w:sz w:val="24"/>
        </w:rPr>
      </w:pPr>
      <w:r>
        <w:rPr>
          <w:rFonts w:hint="eastAsia" w:hAnsi="宋体"/>
          <w:color w:val="auto"/>
          <w:sz w:val="24"/>
        </w:rPr>
        <w:t>供应商有上述情形的，按照规定追究法律责任，具备（1）-（10）条情形之一的，同时将取消被确认为成交供应商的资格或者认定成交无效。</w:t>
      </w:r>
    </w:p>
    <w:p>
      <w:pPr>
        <w:rPr>
          <w:color w:val="auto"/>
        </w:rPr>
      </w:pPr>
    </w:p>
    <w:p>
      <w:pPr>
        <w:tabs>
          <w:tab w:val="left" w:pos="851"/>
        </w:tabs>
        <w:spacing w:line="360" w:lineRule="auto"/>
        <w:jc w:val="center"/>
        <w:rPr>
          <w:rFonts w:ascii="黑体" w:hAnsi="宋体" w:eastAsia="黑体"/>
          <w:b/>
          <w:color w:val="auto"/>
          <w:sz w:val="32"/>
          <w:szCs w:val="32"/>
        </w:rPr>
      </w:pPr>
      <w:r>
        <w:rPr>
          <w:rFonts w:hint="eastAsia" w:ascii="黑体" w:hAnsi="宋体" w:eastAsia="黑体"/>
          <w:b/>
          <w:color w:val="auto"/>
          <w:sz w:val="32"/>
          <w:szCs w:val="32"/>
        </w:rPr>
        <w:t>九、询问、质疑和投诉</w:t>
      </w:r>
    </w:p>
    <w:p>
      <w:pPr>
        <w:tabs>
          <w:tab w:val="left" w:pos="851"/>
        </w:tabs>
        <w:spacing w:line="360" w:lineRule="auto"/>
        <w:jc w:val="center"/>
        <w:rPr>
          <w:rFonts w:ascii="宋体" w:hAnsi="宋体"/>
          <w:color w:val="auto"/>
          <w:sz w:val="24"/>
        </w:rPr>
      </w:pPr>
    </w:p>
    <w:p>
      <w:pPr>
        <w:tabs>
          <w:tab w:val="left" w:pos="851"/>
        </w:tabs>
        <w:spacing w:line="360" w:lineRule="auto"/>
        <w:ind w:firstLine="495"/>
        <w:rPr>
          <w:rFonts w:hAnsi="宋体"/>
          <w:b w:val="0"/>
          <w:bCs w:val="0"/>
          <w:color w:val="auto"/>
          <w:sz w:val="24"/>
        </w:rPr>
      </w:pPr>
      <w:r>
        <w:rPr>
          <w:rFonts w:hint="eastAsia" w:hAnsi="宋体"/>
          <w:b w:val="0"/>
          <w:bCs w:val="0"/>
          <w:color w:val="auto"/>
          <w:sz w:val="24"/>
          <w:lang w:val="en-US" w:eastAsia="zh-CN"/>
        </w:rPr>
        <w:t>38</w:t>
      </w:r>
      <w:r>
        <w:rPr>
          <w:rFonts w:hint="eastAsia" w:ascii="宋体" w:hAnsi="宋体"/>
          <w:b w:val="0"/>
          <w:bCs w:val="0"/>
          <w:color w:val="auto"/>
          <w:sz w:val="24"/>
        </w:rPr>
        <w:t>.询问、质</w:t>
      </w:r>
      <w:r>
        <w:rPr>
          <w:rFonts w:hint="eastAsia" w:hAnsi="宋体"/>
          <w:b w:val="0"/>
          <w:bCs w:val="0"/>
          <w:color w:val="auto"/>
          <w:sz w:val="24"/>
        </w:rPr>
        <w:t>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495"/>
        <w:rPr>
          <w:rFonts w:hAnsi="宋体"/>
          <w:b w:val="0"/>
          <w:bCs w:val="0"/>
          <w:color w:val="auto"/>
          <w:sz w:val="24"/>
        </w:rPr>
      </w:pPr>
      <w:r>
        <w:rPr>
          <w:rFonts w:hint="eastAsia" w:hAnsi="宋体"/>
          <w:b w:val="0"/>
          <w:bCs w:val="0"/>
          <w:color w:val="auto"/>
          <w:sz w:val="24"/>
        </w:rPr>
        <w:t>注：</w:t>
      </w:r>
      <w:r>
        <w:rPr>
          <w:rFonts w:hint="eastAsia" w:hAnsi="宋体"/>
          <w:b w:val="0"/>
          <w:bCs w:val="0"/>
          <w:color w:val="auto"/>
          <w:sz w:val="24"/>
          <w:szCs w:val="22"/>
        </w:rPr>
        <w:t>每个环节供应商只能提出一次质疑，相同环节同一供应商再次提出质疑时，代理机构可以不接收。</w:t>
      </w:r>
    </w:p>
    <w:p>
      <w:pPr>
        <w:tabs>
          <w:tab w:val="left" w:pos="851"/>
        </w:tabs>
        <w:spacing w:line="360" w:lineRule="auto"/>
        <w:jc w:val="center"/>
        <w:rPr>
          <w:rFonts w:ascii="宋体" w:hAnsi="宋体"/>
          <w:color w:val="auto"/>
          <w:sz w:val="24"/>
        </w:rPr>
      </w:pPr>
    </w:p>
    <w:p>
      <w:pPr>
        <w:tabs>
          <w:tab w:val="left" w:pos="851"/>
        </w:tabs>
        <w:spacing w:line="360" w:lineRule="auto"/>
        <w:jc w:val="center"/>
        <w:rPr>
          <w:rFonts w:ascii="黑体" w:hAnsi="宋体" w:eastAsia="黑体"/>
          <w:b/>
          <w:color w:val="auto"/>
          <w:sz w:val="32"/>
          <w:szCs w:val="32"/>
        </w:rPr>
      </w:pPr>
      <w:r>
        <w:rPr>
          <w:rFonts w:hint="eastAsia" w:ascii="黑体" w:hAnsi="宋体" w:eastAsia="黑体"/>
          <w:b/>
          <w:color w:val="auto"/>
          <w:sz w:val="32"/>
          <w:szCs w:val="32"/>
        </w:rPr>
        <w:t>十、其  他</w:t>
      </w:r>
    </w:p>
    <w:p>
      <w:pPr>
        <w:tabs>
          <w:tab w:val="left" w:pos="851"/>
        </w:tabs>
        <w:spacing w:line="360" w:lineRule="auto"/>
        <w:jc w:val="center"/>
        <w:rPr>
          <w:rFonts w:ascii="宋体" w:hAnsi="宋体"/>
          <w:color w:val="auto"/>
          <w:sz w:val="24"/>
        </w:rPr>
      </w:pPr>
    </w:p>
    <w:p>
      <w:pPr>
        <w:tabs>
          <w:tab w:val="left" w:pos="851"/>
        </w:tabs>
        <w:spacing w:line="360" w:lineRule="auto"/>
        <w:ind w:firstLine="495"/>
        <w:rPr>
          <w:rFonts w:hAnsi="宋体"/>
          <w:sz w:val="24"/>
        </w:rPr>
      </w:pPr>
      <w:r>
        <w:rPr>
          <w:rFonts w:hint="eastAsia" w:hAnsi="宋体"/>
          <w:sz w:val="24"/>
          <w:lang w:val="en-US" w:eastAsia="zh-CN"/>
        </w:rPr>
        <w:t>39</w:t>
      </w:r>
      <w:r>
        <w:rPr>
          <w:rFonts w:hint="eastAsia" w:hAnsi="宋体"/>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851"/>
        </w:tabs>
        <w:spacing w:line="360" w:lineRule="auto"/>
        <w:ind w:firstLine="480" w:firstLineChars="200"/>
        <w:jc w:val="left"/>
        <w:rPr>
          <w:rFonts w:ascii="宋体" w:hAnsi="宋体"/>
          <w:color w:val="auto"/>
          <w:sz w:val="24"/>
        </w:rPr>
      </w:pPr>
      <w:r>
        <w:rPr>
          <w:rFonts w:hint="eastAsia" w:hAnsi="宋体"/>
          <w:color w:val="auto"/>
          <w:sz w:val="24"/>
          <w:lang w:val="en-US" w:eastAsia="zh-CN"/>
        </w:rPr>
        <w:t>40</w:t>
      </w:r>
      <w:r>
        <w:rPr>
          <w:rFonts w:hint="eastAsia" w:ascii="宋体" w:hAnsi="宋体"/>
          <w:color w:val="auto"/>
          <w:sz w:val="24"/>
        </w:rPr>
        <w:t>.（实质性要求）</w:t>
      </w:r>
      <w:r>
        <w:rPr>
          <w:rFonts w:ascii="宋体" w:hAnsi="宋体"/>
          <w:color w:val="auto"/>
          <w:sz w:val="24"/>
        </w:rPr>
        <w:t>国家</w:t>
      </w:r>
      <w:r>
        <w:rPr>
          <w:rFonts w:hint="eastAsia" w:ascii="宋体" w:hAnsi="宋体"/>
          <w:color w:val="auto"/>
          <w:sz w:val="24"/>
        </w:rPr>
        <w:t>或行业主管部门</w:t>
      </w:r>
      <w:r>
        <w:rPr>
          <w:rFonts w:ascii="宋体" w:hAnsi="宋体"/>
          <w:color w:val="auto"/>
          <w:sz w:val="24"/>
        </w:rPr>
        <w:t>对</w:t>
      </w:r>
      <w:r>
        <w:rPr>
          <w:rFonts w:hint="eastAsia" w:ascii="宋体" w:hAnsi="宋体"/>
          <w:color w:val="auto"/>
          <w:sz w:val="24"/>
        </w:rPr>
        <w:t>供应商和采购产品的</w:t>
      </w:r>
      <w:r>
        <w:rPr>
          <w:rFonts w:ascii="宋体" w:hAnsi="宋体"/>
          <w:color w:val="auto"/>
          <w:sz w:val="24"/>
        </w:rPr>
        <w:t>技术</w:t>
      </w:r>
      <w:r>
        <w:rPr>
          <w:rFonts w:hint="eastAsia" w:ascii="宋体" w:hAnsi="宋体"/>
          <w:color w:val="auto"/>
          <w:sz w:val="24"/>
        </w:rPr>
        <w:t>标准、</w:t>
      </w:r>
      <w:r>
        <w:rPr>
          <w:rFonts w:ascii="宋体" w:hAnsi="宋体"/>
          <w:color w:val="auto"/>
          <w:sz w:val="24"/>
        </w:rPr>
        <w:t>质量</w:t>
      </w:r>
      <w:r>
        <w:rPr>
          <w:rFonts w:hint="eastAsia" w:ascii="宋体" w:hAnsi="宋体"/>
          <w:color w:val="auto"/>
          <w:sz w:val="24"/>
        </w:rPr>
        <w:t>标准和资格资质条件</w:t>
      </w:r>
      <w:r>
        <w:rPr>
          <w:rFonts w:ascii="宋体" w:hAnsi="宋体"/>
          <w:color w:val="auto"/>
          <w:sz w:val="24"/>
        </w:rPr>
        <w:t>等有</w:t>
      </w:r>
      <w:r>
        <w:rPr>
          <w:rFonts w:hint="eastAsia" w:ascii="宋体" w:hAnsi="宋体"/>
          <w:color w:val="auto"/>
          <w:sz w:val="24"/>
        </w:rPr>
        <w:t>强制性规定</w:t>
      </w:r>
      <w:r>
        <w:rPr>
          <w:rFonts w:ascii="宋体" w:hAnsi="宋体"/>
          <w:color w:val="auto"/>
          <w:sz w:val="24"/>
        </w:rPr>
        <w:t>的</w:t>
      </w:r>
      <w:r>
        <w:rPr>
          <w:rFonts w:hint="eastAsia" w:ascii="宋体" w:hAnsi="宋体"/>
          <w:color w:val="auto"/>
          <w:sz w:val="24"/>
        </w:rPr>
        <w:t>，必须符合其要求。</w:t>
      </w:r>
    </w:p>
    <w:p>
      <w:pPr>
        <w:tabs>
          <w:tab w:val="left" w:pos="851"/>
        </w:tabs>
        <w:spacing w:line="360" w:lineRule="auto"/>
        <w:ind w:firstLine="480" w:firstLineChars="200"/>
        <w:jc w:val="left"/>
        <w:rPr>
          <w:rFonts w:hint="eastAsia" w:ascii="宋体" w:hAnsi="宋体" w:eastAsia="宋体"/>
          <w:color w:val="auto"/>
          <w:sz w:val="24"/>
          <w:lang w:eastAsia="zh-CN"/>
        </w:rPr>
      </w:pPr>
      <w:r>
        <w:rPr>
          <w:rFonts w:hint="eastAsia" w:hAnsi="宋体"/>
          <w:color w:val="auto"/>
          <w:sz w:val="24"/>
          <w:lang w:val="en-US" w:eastAsia="zh-CN"/>
        </w:rPr>
        <w:t>41</w:t>
      </w:r>
      <w:r>
        <w:rPr>
          <w:rFonts w:hint="eastAsia" w:ascii="宋体" w:hAnsi="宋体"/>
          <w:color w:val="auto"/>
          <w:sz w:val="24"/>
        </w:rPr>
        <w:t>.本项目不允许采购进口产品，否</w:t>
      </w:r>
      <w:r>
        <w:rPr>
          <w:rFonts w:hint="eastAsia" w:hAnsi="宋体"/>
          <w:color w:val="auto"/>
          <w:sz w:val="24"/>
          <w:lang w:eastAsia="zh-CN"/>
        </w:rPr>
        <w:t>则作无效处理。</w:t>
      </w: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hAnsi="宋体"/>
          <w:color w:val="auto"/>
          <w:sz w:val="24"/>
          <w:szCs w:val="22"/>
          <w:lang w:eastAsia="zh-CN"/>
        </w:rPr>
      </w:pPr>
    </w:p>
    <w:p>
      <w:pPr>
        <w:rPr>
          <w:rFonts w:hint="eastAsia" w:hAnsi="宋体"/>
          <w:color w:val="auto"/>
          <w:sz w:val="24"/>
          <w:szCs w:val="22"/>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11"/>
        <w:rPr>
          <w:rFonts w:hint="eastAsia"/>
          <w:lang w:eastAsia="zh-CN"/>
        </w:rPr>
      </w:pPr>
    </w:p>
    <w:p>
      <w:pPr>
        <w:rPr>
          <w:rFonts w:hint="eastAsia"/>
          <w:lang w:eastAsia="zh-CN"/>
        </w:rPr>
      </w:pPr>
    </w:p>
    <w:p>
      <w:pPr>
        <w:pStyle w:val="3"/>
        <w:spacing w:line="360" w:lineRule="auto"/>
        <w:jc w:val="center"/>
        <w:rPr>
          <w:rFonts w:ascii="宋体" w:hAnsi="宋体"/>
          <w:b w:val="0"/>
          <w:color w:val="auto"/>
          <w:sz w:val="32"/>
          <w:szCs w:val="32"/>
        </w:rPr>
      </w:pPr>
      <w:bookmarkStart w:id="199" w:name="_Toc531718414"/>
      <w:bookmarkStart w:id="200" w:name="_Toc532395207"/>
      <w:bookmarkStart w:id="201" w:name="_Toc32448"/>
      <w:r>
        <w:rPr>
          <w:rFonts w:hint="eastAsia"/>
          <w:color w:val="auto"/>
        </w:rPr>
        <w:t>第三章  供应商资格条件要求</w:t>
      </w:r>
      <w:bookmarkEnd w:id="199"/>
      <w:bookmarkEnd w:id="200"/>
      <w:bookmarkEnd w:id="201"/>
    </w:p>
    <w:p>
      <w:pPr>
        <w:spacing w:line="360" w:lineRule="auto"/>
        <w:ind w:firstLine="540" w:firstLineChars="225"/>
        <w:rPr>
          <w:rFonts w:hAnsi="宋体"/>
          <w:color w:val="auto"/>
          <w:sz w:val="24"/>
        </w:rPr>
      </w:pPr>
      <w:r>
        <w:rPr>
          <w:rFonts w:hint="eastAsia" w:hAnsi="宋体"/>
          <w:color w:val="auto"/>
          <w:sz w:val="24"/>
        </w:rPr>
        <w:t>一、参加磋商的供应商应具备下列资格条件：</w:t>
      </w:r>
    </w:p>
    <w:p>
      <w:pPr>
        <w:spacing w:line="360" w:lineRule="auto"/>
        <w:ind w:firstLine="480" w:firstLineChars="200"/>
        <w:rPr>
          <w:color w:val="auto"/>
          <w:sz w:val="24"/>
          <w:szCs w:val="24"/>
        </w:rPr>
      </w:pPr>
      <w:r>
        <w:rPr>
          <w:rFonts w:hint="eastAsia"/>
          <w:color w:val="auto"/>
          <w:sz w:val="24"/>
          <w:szCs w:val="24"/>
        </w:rPr>
        <w:t>1.具有独立承担民事责任的能力；</w:t>
      </w:r>
    </w:p>
    <w:p>
      <w:pPr>
        <w:spacing w:line="360" w:lineRule="auto"/>
        <w:ind w:firstLine="480" w:firstLineChars="200"/>
        <w:rPr>
          <w:color w:val="auto"/>
          <w:sz w:val="24"/>
          <w:szCs w:val="24"/>
        </w:rPr>
      </w:pPr>
      <w:r>
        <w:rPr>
          <w:rFonts w:hint="eastAsia"/>
          <w:color w:val="auto"/>
          <w:sz w:val="24"/>
          <w:szCs w:val="24"/>
        </w:rPr>
        <w:t>2.具有良好的商业信誉和健全的财务会计制度；</w:t>
      </w:r>
    </w:p>
    <w:p>
      <w:pPr>
        <w:spacing w:line="360" w:lineRule="auto"/>
        <w:ind w:firstLine="480" w:firstLineChars="200"/>
        <w:rPr>
          <w:color w:val="auto"/>
          <w:sz w:val="24"/>
          <w:szCs w:val="24"/>
        </w:rPr>
      </w:pPr>
      <w:r>
        <w:rPr>
          <w:rFonts w:hint="eastAsia"/>
          <w:color w:val="auto"/>
          <w:sz w:val="24"/>
          <w:szCs w:val="24"/>
        </w:rPr>
        <w:t>3.具有履行合同所必须的设备和专业技术能力；</w:t>
      </w:r>
    </w:p>
    <w:p>
      <w:pPr>
        <w:spacing w:line="360" w:lineRule="auto"/>
        <w:ind w:firstLine="480" w:firstLineChars="200"/>
        <w:rPr>
          <w:color w:val="auto"/>
          <w:sz w:val="24"/>
          <w:szCs w:val="24"/>
        </w:rPr>
      </w:pPr>
      <w:r>
        <w:rPr>
          <w:rFonts w:hint="eastAsia"/>
          <w:color w:val="auto"/>
          <w:sz w:val="24"/>
          <w:szCs w:val="24"/>
        </w:rPr>
        <w:t>4.具有依法缴纳税收和社会保障资金的良好记录；</w:t>
      </w:r>
    </w:p>
    <w:p>
      <w:pPr>
        <w:spacing w:line="360" w:lineRule="auto"/>
        <w:ind w:firstLine="480" w:firstLineChars="200"/>
        <w:rPr>
          <w:color w:val="auto"/>
          <w:sz w:val="24"/>
          <w:szCs w:val="24"/>
        </w:rPr>
      </w:pPr>
      <w:r>
        <w:rPr>
          <w:rFonts w:hint="eastAsia"/>
          <w:color w:val="auto"/>
          <w:sz w:val="24"/>
          <w:szCs w:val="24"/>
        </w:rPr>
        <w:t>5.参加本次政府采购活动前三年内，在经营活动中没有重大违法记录。</w:t>
      </w:r>
    </w:p>
    <w:p>
      <w:pPr>
        <w:spacing w:line="360" w:lineRule="auto"/>
        <w:ind w:firstLine="480" w:firstLineChars="200"/>
        <w:rPr>
          <w:color w:val="auto"/>
          <w:sz w:val="24"/>
          <w:szCs w:val="24"/>
        </w:rPr>
      </w:pPr>
      <w:r>
        <w:rPr>
          <w:rFonts w:hint="eastAsia"/>
          <w:color w:val="auto"/>
          <w:sz w:val="24"/>
          <w:szCs w:val="24"/>
          <w:lang w:val="en-US" w:eastAsia="zh-CN"/>
        </w:rPr>
        <w:t>6.</w:t>
      </w:r>
      <w:r>
        <w:rPr>
          <w:rFonts w:hint="eastAsia"/>
          <w:color w:val="auto"/>
          <w:sz w:val="24"/>
          <w:szCs w:val="24"/>
        </w:rPr>
        <w:t>法律、行政法规规定的其他条件：无；</w:t>
      </w:r>
    </w:p>
    <w:p>
      <w:pPr>
        <w:spacing w:line="360" w:lineRule="auto"/>
        <w:ind w:firstLine="480" w:firstLineChars="200"/>
        <w:rPr>
          <w:rFonts w:hint="eastAsia" w:eastAsia="宋体"/>
          <w:color w:val="auto"/>
          <w:sz w:val="24"/>
          <w:lang w:val="en-US" w:eastAsia="zh-CN"/>
        </w:rPr>
      </w:pPr>
      <w:r>
        <w:rPr>
          <w:rFonts w:hint="eastAsia"/>
          <w:color w:val="auto"/>
          <w:sz w:val="24"/>
          <w:szCs w:val="24"/>
          <w:lang w:val="en-US" w:eastAsia="zh-CN"/>
        </w:rPr>
        <w:t>7.</w:t>
      </w:r>
      <w:r>
        <w:rPr>
          <w:rFonts w:hint="eastAsia"/>
          <w:color w:val="auto"/>
          <w:sz w:val="24"/>
          <w:szCs w:val="24"/>
        </w:rPr>
        <w:t>根据采购项目提出的特殊条件：</w:t>
      </w:r>
      <w:r>
        <w:rPr>
          <w:rFonts w:hint="eastAsia"/>
          <w:color w:val="auto"/>
          <w:sz w:val="24"/>
          <w:szCs w:val="24"/>
          <w:lang w:val="en-US" w:eastAsia="zh-CN"/>
        </w:rPr>
        <w:t>无；</w:t>
      </w:r>
    </w:p>
    <w:p>
      <w:pPr>
        <w:pStyle w:val="46"/>
        <w:spacing w:line="440" w:lineRule="exact"/>
        <w:rPr>
          <w:rFonts w:hint="default"/>
          <w:color w:val="auto"/>
          <w:sz w:val="24"/>
          <w:lang w:val="en-US" w:eastAsia="zh-CN"/>
        </w:rPr>
      </w:pPr>
      <w:r>
        <w:rPr>
          <w:rFonts w:hint="eastAsia"/>
          <w:color w:val="auto"/>
          <w:sz w:val="24"/>
          <w:lang w:val="en-US" w:eastAsia="zh-CN"/>
        </w:rPr>
        <w:t>8.本项目不接受联合体磋商。</w:t>
      </w:r>
    </w:p>
    <w:p>
      <w:pPr>
        <w:spacing w:line="360" w:lineRule="auto"/>
        <w:ind w:firstLine="540" w:firstLineChars="225"/>
        <w:rPr>
          <w:rFonts w:hAnsi="宋体"/>
          <w:color w:val="auto"/>
          <w:sz w:val="24"/>
        </w:rPr>
      </w:pPr>
    </w:p>
    <w:p>
      <w:pPr>
        <w:spacing w:line="360" w:lineRule="auto"/>
        <w:ind w:firstLine="540" w:firstLineChars="225"/>
        <w:rPr>
          <w:rFonts w:ascii="宋体" w:hAnsi="宋体"/>
          <w:color w:val="auto"/>
          <w:sz w:val="24"/>
        </w:rPr>
      </w:pPr>
      <w:r>
        <w:rPr>
          <w:rFonts w:hint="eastAsia" w:ascii="宋体" w:hAnsi="宋体"/>
          <w:color w:val="auto"/>
          <w:sz w:val="24"/>
        </w:rPr>
        <w:t>注：1.本项目确定供应商重大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hAnsi="宋体"/>
          <w:color w:val="auto"/>
          <w:sz w:val="24"/>
        </w:rPr>
      </w:pPr>
      <w:r>
        <w:rPr>
          <w:rFonts w:hint="eastAsia" w:ascii="宋体" w:hAnsi="宋体"/>
          <w:color w:val="auto"/>
          <w:sz w:val="24"/>
        </w:rPr>
        <w:t>2.供应</w:t>
      </w:r>
      <w:r>
        <w:rPr>
          <w:rFonts w:hint="eastAsia" w:hAnsi="宋体"/>
          <w:color w:val="auto"/>
          <w:sz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480" w:lineRule="exact"/>
        <w:ind w:firstLine="950" w:firstLineChars="396"/>
        <w:rPr>
          <w:rFonts w:hAnsi="宋体"/>
          <w:color w:val="auto"/>
          <w:sz w:val="24"/>
        </w:rPr>
      </w:pPr>
      <w:r>
        <w:rPr>
          <w:rFonts w:hint="eastAsia" w:ascii="宋体" w:hAnsi="宋体"/>
          <w:color w:val="auto"/>
          <w:sz w:val="24"/>
        </w:rPr>
        <w:t>3、本章是对投标人和投标产品的资格、资质性及其他类似效力的要求，投标人在</w:t>
      </w:r>
      <w:r>
        <w:rPr>
          <w:rFonts w:hint="eastAsia" w:hAnsi="宋体"/>
          <w:color w:val="auto"/>
          <w:sz w:val="24"/>
          <w:lang w:eastAsia="zh-CN"/>
        </w:rPr>
        <w:t>响应文件</w:t>
      </w:r>
      <w:r>
        <w:rPr>
          <w:rFonts w:hint="eastAsia" w:ascii="宋体" w:hAnsi="宋体"/>
          <w:color w:val="auto"/>
          <w:sz w:val="24"/>
        </w:rPr>
        <w:t>中应当按第四章的要求提供相关证明材料。</w:t>
      </w:r>
    </w:p>
    <w:p>
      <w:pPr>
        <w:jc w:val="both"/>
        <w:rPr>
          <w:rFonts w:hAnsi="宋体"/>
          <w:color w:val="auto"/>
          <w:sz w:val="24"/>
        </w:rPr>
      </w:pPr>
    </w:p>
    <w:p>
      <w:pPr>
        <w:pStyle w:val="11"/>
        <w:rPr>
          <w:rFonts w:hAnsi="宋体"/>
          <w:color w:val="auto"/>
          <w:sz w:val="24"/>
        </w:rPr>
      </w:pPr>
    </w:p>
    <w:p>
      <w:pPr>
        <w:rPr>
          <w:rFonts w:hAnsi="宋体"/>
          <w:color w:val="auto"/>
          <w:sz w:val="24"/>
        </w:rPr>
      </w:pPr>
    </w:p>
    <w:p>
      <w:pPr>
        <w:pStyle w:val="11"/>
      </w:pPr>
    </w:p>
    <w:p>
      <w:pPr>
        <w:pStyle w:val="3"/>
        <w:spacing w:line="360" w:lineRule="auto"/>
        <w:jc w:val="center"/>
        <w:rPr>
          <w:rFonts w:hAnsi="宋体"/>
          <w:color w:val="auto"/>
          <w:sz w:val="28"/>
          <w:szCs w:val="28"/>
        </w:rPr>
      </w:pPr>
      <w:bookmarkStart w:id="202" w:name="_Toc531718415"/>
      <w:bookmarkStart w:id="203" w:name="_Toc12669"/>
      <w:bookmarkStart w:id="204" w:name="_Toc532395208"/>
      <w:bookmarkStart w:id="205" w:name="_Toc525220193"/>
      <w:r>
        <w:rPr>
          <w:rFonts w:hint="eastAsia"/>
          <w:color w:val="auto"/>
        </w:rPr>
        <w:t>第四章  供应商资格证明材料</w:t>
      </w:r>
      <w:bookmarkEnd w:id="202"/>
      <w:bookmarkEnd w:id="203"/>
      <w:bookmarkEnd w:id="204"/>
      <w:bookmarkEnd w:id="205"/>
    </w:p>
    <w:p>
      <w:pPr>
        <w:spacing w:line="400" w:lineRule="exact"/>
        <w:ind w:firstLine="470" w:firstLineChars="196"/>
        <w:rPr>
          <w:rFonts w:ascii="宋体" w:hAnsi="宋体"/>
          <w:color w:val="auto"/>
          <w:sz w:val="24"/>
        </w:rPr>
      </w:pPr>
      <w:r>
        <w:rPr>
          <w:rFonts w:ascii="宋体" w:hAnsi="宋体"/>
          <w:color w:val="auto"/>
          <w:sz w:val="24"/>
        </w:rPr>
        <w:t>一、供应商应提交的资格证明材料</w:t>
      </w:r>
    </w:p>
    <w:p>
      <w:pPr>
        <w:spacing w:line="40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）具有独立承担民事责任的能力。（注：①供应商若为企业法人：提供“统一社会信用代码营业执照”；未换证的提供“营业执照、税务登记证、组织机构代码证”；</w:t>
      </w:r>
      <w:r>
        <w:rPr>
          <w:rFonts w:hint="eastAsia" w:ascii="宋体" w:hAnsi="宋体" w:eastAsia="宋体" w:cs="宋体"/>
          <w:color w:val="000000" w:themeColor="text1"/>
          <w:sz w:val="24"/>
          <w:highlight w:val="none"/>
          <w14:textFill>
            <w14:solidFill>
              <w14:schemeClr w14:val="tx1"/>
            </w14:solidFill>
          </w14:textFill>
        </w:rPr>
        <w:t>②若为事业法人：提供“统一社会信用代码法人登记证书”；未换证的提交“事业法人登记证书、组织机构代码证”；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注：根据《政府购买服务管理办法》102号令第八条要求公益一类事业单位、使用事业编制且由财政拨款保障的群团组织，不作为政府购买服务的购买主体和承接主体。</w:t>
      </w:r>
      <w:r>
        <w:rPr>
          <w:rFonts w:hint="eastAsia" w:ascii="宋体" w:hAnsi="宋体"/>
          <w:color w:val="auto"/>
          <w:sz w:val="24"/>
        </w:rPr>
        <w:t>；③若为其他组织：提供“对应主管部门颁发的准许执业证明文件或营业执照”。“其他组织”的解释参照《最高人民法院关于适用&lt;中华人民共和国民事诉讼法&gt;的解释》第52条。④若为自然人：提供“身份证明文件”。以上均提供复印件）；</w:t>
      </w:r>
    </w:p>
    <w:p>
      <w:pPr>
        <w:spacing w:line="400" w:lineRule="exact"/>
        <w:ind w:firstLine="48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auto"/>
          <w:sz w:val="24"/>
        </w:rPr>
        <w:t>（2）具有良好的商业信誉和健全的财务会计制度的证明材料。</w:t>
      </w:r>
      <w:r>
        <w:rPr>
          <w:rFonts w:hint="eastAsia" w:ascii="宋体" w:hAnsi="宋体"/>
          <w:color w:val="auto"/>
          <w:sz w:val="24"/>
          <w:lang w:val="en-US" w:eastAsia="zh-CN"/>
        </w:rPr>
        <w:t>{</w:t>
      </w:r>
      <w:r>
        <w:rPr>
          <w:rFonts w:hint="eastAsia" w:ascii="宋体" w:hAnsi="宋体"/>
          <w:color w:val="auto"/>
          <w:sz w:val="24"/>
        </w:rPr>
        <w:t>1、具有良好的商业信誉承诺即可；2、具有健全的财务会计制度提供</w:t>
      </w:r>
      <w:r>
        <w:rPr>
          <w:rFonts w:hint="eastAsia"/>
          <w:color w:val="auto"/>
          <w:sz w:val="24"/>
        </w:rPr>
        <w:t>以下①②③④任意一项均可</w:t>
      </w:r>
      <w:r>
        <w:rPr>
          <w:rFonts w:hint="eastAsia" w:ascii="宋体" w:hAnsi="宋体"/>
          <w:color w:val="auto"/>
          <w:sz w:val="24"/>
        </w:rPr>
        <w:t>：①也可提供201</w:t>
      </w:r>
      <w:r>
        <w:rPr>
          <w:rFonts w:hint="eastAsia" w:hAnsi="宋体"/>
          <w:color w:val="auto"/>
          <w:sz w:val="24"/>
          <w:lang w:val="en-US" w:eastAsia="zh-CN"/>
        </w:rPr>
        <w:t>9年</w:t>
      </w:r>
      <w:r>
        <w:rPr>
          <w:rFonts w:hint="eastAsia" w:hAnsi="宋体"/>
          <w:color w:val="auto"/>
          <w:sz w:val="24"/>
          <w:lang w:eastAsia="zh-CN"/>
        </w:rPr>
        <w:t>或</w:t>
      </w:r>
      <w:r>
        <w:rPr>
          <w:rFonts w:hint="eastAsia" w:hAnsi="宋体"/>
          <w:color w:val="auto"/>
          <w:sz w:val="24"/>
          <w:lang w:val="en-US" w:eastAsia="zh-CN"/>
        </w:rPr>
        <w:t>2020年任意年度</w:t>
      </w:r>
      <w:r>
        <w:rPr>
          <w:rFonts w:hint="eastAsia" w:ascii="宋体" w:hAnsi="宋体"/>
          <w:color w:val="auto"/>
          <w:sz w:val="24"/>
        </w:rPr>
        <w:t>经审计的财务报告复印件，②也可提供201</w:t>
      </w:r>
      <w:r>
        <w:rPr>
          <w:rFonts w:hint="eastAsia" w:hAnsi="宋体"/>
          <w:color w:val="auto"/>
          <w:sz w:val="24"/>
          <w:lang w:val="en-US" w:eastAsia="zh-CN"/>
        </w:rPr>
        <w:t>9年或2020年任意</w:t>
      </w:r>
      <w:r>
        <w:rPr>
          <w:rFonts w:hint="eastAsia" w:ascii="宋体" w:hAnsi="宋体"/>
          <w:color w:val="auto"/>
          <w:sz w:val="24"/>
        </w:rPr>
        <w:t>年</w:t>
      </w:r>
      <w:r>
        <w:rPr>
          <w:rFonts w:hint="eastAsia" w:hAnsi="宋体"/>
          <w:color w:val="auto"/>
          <w:sz w:val="24"/>
          <w:lang w:eastAsia="zh-CN"/>
        </w:rPr>
        <w:t>度</w:t>
      </w:r>
      <w:r>
        <w:rPr>
          <w:rFonts w:hint="eastAsia" w:ascii="宋体" w:hAnsi="宋体"/>
          <w:color w:val="auto"/>
          <w:sz w:val="24"/>
        </w:rPr>
        <w:t>供应商内部的财务报表复印件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至少包含资产负债表</w:t>
      </w:r>
      <w:r>
        <w:rPr>
          <w:rFonts w:hint="eastAsia" w:ascii="宋体" w:hAnsi="宋体" w:eastAsia="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③也可提供截至响应文件递交截止日一年内银行出具的资信证明（复印件），④供应商注册时间截至响应文件递交截止日不足一年的，也可提供在工商备案的公司章程（复印件）或单位内部的财务管理制度（复印件）</w:t>
      </w:r>
      <w:r>
        <w:rPr>
          <w:rFonts w:hint="eastAsia" w:ascii="宋体" w:hAnsi="宋体"/>
          <w:color w:val="000000" w:themeColor="text1"/>
          <w:sz w:val="24"/>
          <w:lang w:val="en-US" w:eastAsia="zh-CN"/>
          <w14:textFill>
            <w14:solidFill>
              <w14:schemeClr w14:val="tx1"/>
            </w14:solidFill>
          </w14:textFill>
        </w:rPr>
        <w:t>。}</w:t>
      </w:r>
    </w:p>
    <w:p>
      <w:pPr>
        <w:pStyle w:val="11"/>
        <w:ind w:firstLine="480"/>
        <w:rPr>
          <w:sz w:val="24"/>
          <w:szCs w:val="24"/>
        </w:rPr>
      </w:pPr>
      <w:r>
        <w:rPr>
          <w:rFonts w:hint="eastAsia"/>
          <w:sz w:val="24"/>
          <w:szCs w:val="24"/>
        </w:rPr>
        <w:t>（3）具有依法缴纳税收和社会保障资金的良好记录。（①可提供承诺函；②也可提供20</w:t>
      </w:r>
      <w:r>
        <w:rPr>
          <w:rFonts w:hint="eastAsia"/>
          <w:sz w:val="24"/>
          <w:szCs w:val="24"/>
          <w:lang w:val="en-US" w:eastAsia="zh-CN"/>
        </w:rPr>
        <w:t>20</w:t>
      </w:r>
      <w:r>
        <w:rPr>
          <w:rFonts w:hint="eastAsia"/>
          <w:sz w:val="24"/>
          <w:szCs w:val="24"/>
        </w:rPr>
        <w:t>年1月1日以来任意一个月缴纳税收和社会保障资金的证明材料复印件。）</w:t>
      </w:r>
    </w:p>
    <w:p>
      <w:pPr>
        <w:spacing w:line="400" w:lineRule="exact"/>
        <w:ind w:firstLine="480" w:firstLineChars="200"/>
        <w:rPr>
          <w:rFonts w:ascii="宋体" w:hAnsi="宋体"/>
          <w:color w:val="auto"/>
          <w:sz w:val="24"/>
        </w:rPr>
      </w:pPr>
      <w:r>
        <w:rPr>
          <w:rFonts w:hint="eastAsia" w:ascii="宋体" w:hAnsi="宋体"/>
          <w:color w:val="auto"/>
          <w:sz w:val="24"/>
        </w:rPr>
        <w:t>（4）</w:t>
      </w:r>
      <w:r>
        <w:rPr>
          <w:rFonts w:hint="eastAsia" w:ascii="宋体" w:hAnsi="宋体" w:cs="宋体"/>
          <w:color w:val="auto"/>
          <w:sz w:val="24"/>
          <w:lang w:val="zh-CN"/>
        </w:rPr>
        <w:t>具有履行合同所必需的设备和专业技术能力；（承诺即可）</w:t>
      </w:r>
    </w:p>
    <w:p>
      <w:pPr>
        <w:spacing w:afterLines="50" w:line="400" w:lineRule="exact"/>
        <w:ind w:firstLine="480" w:firstLineChars="200"/>
        <w:rPr>
          <w:rFonts w:ascii="宋体" w:hAnsi="宋体"/>
          <w:color w:val="auto"/>
          <w:sz w:val="24"/>
        </w:rPr>
      </w:pPr>
      <w:r>
        <w:rPr>
          <w:rFonts w:hint="eastAsia" w:ascii="宋体" w:hAnsi="宋体"/>
          <w:color w:val="auto"/>
          <w:sz w:val="24"/>
        </w:rPr>
        <w:t>（5）</w:t>
      </w:r>
      <w:r>
        <w:rPr>
          <w:rFonts w:hint="eastAsia" w:ascii="宋体" w:hAnsi="宋体" w:cs="宋体"/>
          <w:color w:val="auto"/>
          <w:sz w:val="24"/>
          <w:lang w:val="zh-CN"/>
        </w:rPr>
        <w:t>参加本次政府采购活动前三年内，在经营活动中没有重大违法违规记录；（承诺即可）</w:t>
      </w:r>
    </w:p>
    <w:p>
      <w:pPr>
        <w:spacing w:after="50" w:line="276" w:lineRule="auto"/>
        <w:ind w:firstLine="480"/>
        <w:rPr>
          <w:rFonts w:ascii="宋体" w:hAnsi="宋体"/>
          <w:color w:val="auto"/>
          <w:sz w:val="24"/>
        </w:rPr>
      </w:pPr>
      <w:r>
        <w:rPr>
          <w:rFonts w:hint="eastAsia" w:ascii="宋体" w:hAnsi="宋体"/>
          <w:color w:val="auto"/>
          <w:sz w:val="24"/>
        </w:rPr>
        <w:t>（</w:t>
      </w:r>
      <w:r>
        <w:rPr>
          <w:rFonts w:hint="eastAsia" w:hAnsi="宋体"/>
          <w:color w:val="auto"/>
          <w:sz w:val="24"/>
          <w:lang w:val="en-US" w:eastAsia="zh-CN"/>
        </w:rPr>
        <w:t>6</w:t>
      </w:r>
      <w:r>
        <w:rPr>
          <w:rFonts w:hint="eastAsia" w:ascii="宋体" w:hAnsi="宋体"/>
          <w:color w:val="auto"/>
          <w:sz w:val="24"/>
        </w:rPr>
        <w:t>）本项目参加政府采购活动的供应商在前3年内不得具有行贿犯罪记录；（承诺</w:t>
      </w:r>
      <w:r>
        <w:rPr>
          <w:rFonts w:hint="eastAsia" w:hAnsi="宋体"/>
          <w:color w:val="auto"/>
          <w:sz w:val="24"/>
          <w:lang w:eastAsia="zh-CN"/>
        </w:rPr>
        <w:t>即可</w:t>
      </w:r>
      <w:r>
        <w:rPr>
          <w:rFonts w:hint="eastAsia" w:ascii="宋体" w:hAnsi="宋体"/>
          <w:color w:val="auto"/>
          <w:sz w:val="24"/>
        </w:rPr>
        <w:t>）</w:t>
      </w:r>
    </w:p>
    <w:p>
      <w:pPr>
        <w:spacing w:after="50" w:line="276" w:lineRule="auto"/>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）法定代表人授权书（注：</w:t>
      </w:r>
      <w:r>
        <w:rPr>
          <w:rFonts w:hint="eastAsia"/>
          <w:color w:val="000000" w:themeColor="text1"/>
          <w:sz w:val="24"/>
          <w14:textFill>
            <w14:solidFill>
              <w14:schemeClr w14:val="tx1"/>
            </w14:solidFill>
          </w14:textFill>
        </w:rPr>
        <w:t>①后附法定代表人身份证和授权代表身份证复印件；②如供应商由法定代表人本人参加的可不提供，只需要提供法定代表人身份证</w:t>
      </w:r>
      <w:r>
        <w:rPr>
          <w:rFonts w:hint="eastAsia"/>
          <w:color w:val="000000" w:themeColor="text1"/>
          <w:sz w:val="24"/>
          <w:lang w:eastAsia="zh-CN"/>
          <w14:textFill>
            <w14:solidFill>
              <w14:schemeClr w14:val="tx1"/>
            </w14:solidFill>
          </w14:textFill>
        </w:rPr>
        <w:t>明书</w:t>
      </w:r>
      <w:r>
        <w:rPr>
          <w:rFonts w:hint="eastAsia" w:ascii="宋体" w:hAnsi="宋体"/>
          <w:color w:val="000000" w:themeColor="text1"/>
          <w:sz w:val="24"/>
          <w14:textFill>
            <w14:solidFill>
              <w14:schemeClr w14:val="tx1"/>
            </w14:solidFill>
          </w14:textFill>
        </w:rPr>
        <w:t>）；</w:t>
      </w:r>
    </w:p>
    <w:p>
      <w:pPr>
        <w:pStyle w:val="11"/>
        <w:ind w:firstLine="480" w:firstLineChars="200"/>
        <w:rPr>
          <w:sz w:val="24"/>
          <w:szCs w:val="24"/>
        </w:rPr>
      </w:pPr>
      <w:r>
        <w:rPr>
          <w:rFonts w:hint="eastAsia"/>
          <w:sz w:val="24"/>
          <w:szCs w:val="24"/>
        </w:rPr>
        <w:t>（8）法定代表人身份</w:t>
      </w:r>
      <w:r>
        <w:rPr>
          <w:rFonts w:hint="eastAsia"/>
          <w:sz w:val="24"/>
          <w:szCs w:val="24"/>
          <w:lang w:eastAsia="zh-CN"/>
        </w:rPr>
        <w:t>证明书</w:t>
      </w:r>
      <w:r>
        <w:rPr>
          <w:rFonts w:hint="eastAsia"/>
          <w:sz w:val="24"/>
          <w:szCs w:val="24"/>
        </w:rPr>
        <w:t>（后附法定代表人有效身份证复印件，提供身份证有困难的，也可提供户口本或军官证或护照等身份证明材料）</w:t>
      </w:r>
    </w:p>
    <w:p>
      <w:pPr>
        <w:spacing w:after="50" w:line="276" w:lineRule="auto"/>
        <w:ind w:firstLine="480"/>
        <w:rPr>
          <w:rFonts w:hint="eastAsia" w:ascii="宋体" w:hAnsi="宋体" w:cs="宋体"/>
          <w:color w:val="auto"/>
          <w:sz w:val="24"/>
        </w:rPr>
      </w:pPr>
    </w:p>
    <w:p>
      <w:pPr>
        <w:spacing w:after="50" w:line="276" w:lineRule="auto"/>
        <w:ind w:firstLine="578" w:firstLineChars="241"/>
        <w:rPr>
          <w:rFonts w:ascii="宋体" w:hAnsi="宋体" w:cs="宋体"/>
          <w:color w:val="auto"/>
          <w:sz w:val="24"/>
        </w:rPr>
      </w:pPr>
      <w:r>
        <w:rPr>
          <w:rFonts w:hint="eastAsia" w:ascii="宋体" w:hAnsi="宋体" w:cs="宋体"/>
          <w:color w:val="auto"/>
          <w:sz w:val="24"/>
        </w:rPr>
        <w:t>（</w:t>
      </w:r>
      <w:r>
        <w:rPr>
          <w:rFonts w:hint="eastAsia" w:hAnsi="宋体" w:cs="宋体"/>
          <w:color w:val="auto"/>
          <w:sz w:val="24"/>
          <w:lang w:val="en-US" w:eastAsia="zh-CN"/>
        </w:rPr>
        <w:t>9</w:t>
      </w:r>
      <w:r>
        <w:rPr>
          <w:rFonts w:hint="eastAsia" w:ascii="宋体" w:hAnsi="宋体" w:cs="宋体"/>
          <w:color w:val="auto"/>
          <w:sz w:val="24"/>
        </w:rPr>
        <w:t>）单位</w:t>
      </w:r>
      <w:r>
        <w:rPr>
          <w:rFonts w:hint="eastAsia" w:hAnsi="宋体" w:cs="宋体"/>
          <w:color w:val="auto"/>
          <w:sz w:val="24"/>
          <w:lang w:val="en-US" w:eastAsia="zh-CN"/>
        </w:rPr>
        <w:t>及单位</w:t>
      </w:r>
      <w:r>
        <w:rPr>
          <w:rFonts w:hint="eastAsia" w:ascii="宋体" w:hAnsi="宋体" w:cs="宋体"/>
          <w:color w:val="auto"/>
          <w:sz w:val="24"/>
        </w:rPr>
        <w:t>现任法定代表人、主要负责人投标活动期间没有行贿犯罪记录，承诺即可；</w:t>
      </w:r>
    </w:p>
    <w:p>
      <w:pPr>
        <w:spacing w:line="440" w:lineRule="exact"/>
        <w:ind w:firstLine="480" w:firstLineChars="200"/>
        <w:rPr>
          <w:rFonts w:ascii="宋体" w:hAnsi="宋体" w:cs="宋体"/>
          <w:color w:val="auto"/>
          <w:sz w:val="24"/>
        </w:rPr>
      </w:pPr>
      <w:r>
        <w:rPr>
          <w:rFonts w:hint="eastAsia" w:ascii="宋体" w:hAnsi="宋体" w:cs="宋体"/>
          <w:color w:val="auto"/>
          <w:sz w:val="24"/>
        </w:rPr>
        <w:t>（</w:t>
      </w:r>
      <w:r>
        <w:rPr>
          <w:rFonts w:hint="eastAsia" w:hAnsi="宋体" w:cs="宋体"/>
          <w:color w:val="auto"/>
          <w:sz w:val="24"/>
          <w:lang w:val="en-US" w:eastAsia="zh-CN"/>
        </w:rPr>
        <w:t>10</w:t>
      </w:r>
      <w:r>
        <w:rPr>
          <w:rFonts w:hint="eastAsia" w:ascii="宋体" w:hAnsi="宋体" w:cs="宋体"/>
          <w:color w:val="auto"/>
          <w:sz w:val="24"/>
        </w:rPr>
        <w:t>）供应商与其他供应商之间，单位负责人不为同一人而且不存在直接控股、管理关系。(</w:t>
      </w:r>
      <w:r>
        <w:rPr>
          <w:rFonts w:hint="eastAsia" w:ascii="宋体" w:hAnsi="宋体" w:cs="宋体"/>
          <w:color w:val="auto"/>
          <w:sz w:val="24"/>
          <w:lang w:val="zh-CN"/>
        </w:rPr>
        <w:t>承诺即可</w:t>
      </w:r>
      <w:r>
        <w:rPr>
          <w:rFonts w:hint="eastAsia" w:ascii="宋体" w:hAnsi="宋体" w:cs="宋体"/>
          <w:color w:val="auto"/>
          <w:sz w:val="24"/>
        </w:rPr>
        <w:t>)；</w:t>
      </w:r>
    </w:p>
    <w:p>
      <w:pPr>
        <w:spacing w:line="440" w:lineRule="exact"/>
        <w:ind w:firstLine="480" w:firstLineChars="200"/>
        <w:rPr>
          <w:rFonts w:hAnsi="宋体" w:cs="宋体"/>
          <w:color w:val="auto"/>
          <w:sz w:val="24"/>
        </w:rPr>
      </w:pPr>
      <w:r>
        <w:rPr>
          <w:rFonts w:hint="eastAsia" w:ascii="宋体" w:hAnsi="宋体" w:cs="宋体"/>
          <w:color w:val="auto"/>
          <w:sz w:val="24"/>
        </w:rPr>
        <w:t>（</w:t>
      </w:r>
      <w:r>
        <w:rPr>
          <w:rFonts w:hint="eastAsia" w:hAnsi="宋体" w:cs="宋体"/>
          <w:color w:val="auto"/>
          <w:sz w:val="24"/>
          <w:lang w:val="en-US" w:eastAsia="zh-CN"/>
        </w:rPr>
        <w:t>11</w:t>
      </w:r>
      <w:r>
        <w:rPr>
          <w:rFonts w:hint="eastAsia" w:ascii="宋体" w:hAnsi="宋体" w:cs="宋体"/>
          <w:color w:val="auto"/>
          <w:sz w:val="24"/>
        </w:rPr>
        <w:t>）</w:t>
      </w:r>
      <w:r>
        <w:rPr>
          <w:rFonts w:hint="eastAsia" w:hAnsi="宋体" w:cs="宋体"/>
          <w:color w:val="auto"/>
          <w:sz w:val="24"/>
        </w:rPr>
        <w:t>供应商未对本次采购项目提供过整体设计、规范编制或者项目管理、监理、检测等服务(</w:t>
      </w:r>
      <w:r>
        <w:rPr>
          <w:rFonts w:hint="eastAsia" w:ascii="宋体" w:hAnsi="宋体" w:cs="宋体"/>
          <w:color w:val="auto"/>
          <w:sz w:val="24"/>
          <w:lang w:val="zh-CN"/>
        </w:rPr>
        <w:t>承诺即可</w:t>
      </w:r>
      <w:r>
        <w:rPr>
          <w:rFonts w:hint="eastAsia" w:hAnsi="宋体" w:cs="宋体"/>
          <w:color w:val="auto"/>
          <w:sz w:val="24"/>
        </w:rPr>
        <w:t>)；</w:t>
      </w:r>
    </w:p>
    <w:p>
      <w:pPr>
        <w:spacing w:after="50" w:line="276" w:lineRule="auto"/>
        <w:ind w:firstLine="480"/>
        <w:rPr>
          <w:rFonts w:ascii="宋体" w:hAnsi="宋体" w:cs="宋体"/>
          <w:color w:val="auto"/>
          <w:sz w:val="24"/>
        </w:rPr>
      </w:pPr>
    </w:p>
    <w:p>
      <w:pPr>
        <w:spacing w:line="360" w:lineRule="auto"/>
        <w:ind w:firstLine="540" w:firstLineChars="225"/>
        <w:rPr>
          <w:rFonts w:ascii="宋体" w:hAnsi="宋体"/>
          <w:color w:val="auto"/>
          <w:sz w:val="24"/>
        </w:rPr>
      </w:pPr>
      <w:r>
        <w:rPr>
          <w:rFonts w:hint="eastAsia" w:ascii="宋体" w:hAnsi="宋体"/>
          <w:color w:val="auto"/>
          <w:sz w:val="24"/>
        </w:rPr>
        <w:t>（</w:t>
      </w:r>
      <w:r>
        <w:rPr>
          <w:rFonts w:hint="eastAsia" w:hAnsi="宋体"/>
          <w:color w:val="auto"/>
          <w:sz w:val="24"/>
          <w:lang w:val="en-US" w:eastAsia="zh-CN"/>
        </w:rPr>
        <w:t>12</w:t>
      </w:r>
      <w:r>
        <w:rPr>
          <w:rFonts w:hint="eastAsia" w:ascii="宋体" w:hAnsi="宋体"/>
          <w:color w:val="auto"/>
          <w:sz w:val="24"/>
        </w:rPr>
        <w:t>）法律、行政法规规定的其他条件：</w:t>
      </w:r>
    </w:p>
    <w:p>
      <w:pPr>
        <w:spacing w:line="360" w:lineRule="auto"/>
        <w:ind w:firstLine="780" w:firstLineChars="325"/>
        <w:rPr>
          <w:rFonts w:hint="eastAsia" w:ascii="宋体" w:hAnsi="宋体" w:eastAsia="宋体"/>
          <w:color w:val="auto"/>
          <w:sz w:val="24"/>
          <w:lang w:eastAsia="zh-CN"/>
        </w:rPr>
      </w:pPr>
      <w:r>
        <w:rPr>
          <w:rFonts w:hint="eastAsia" w:ascii="宋体" w:hAnsi="宋体"/>
          <w:color w:val="auto"/>
          <w:sz w:val="24"/>
        </w:rPr>
        <w:t>无</w:t>
      </w:r>
      <w:r>
        <w:rPr>
          <w:rFonts w:hint="eastAsia" w:hAnsi="宋体"/>
          <w:color w:val="auto"/>
          <w:sz w:val="24"/>
          <w:lang w:eastAsia="zh-CN"/>
        </w:rPr>
        <w:t>。</w:t>
      </w:r>
    </w:p>
    <w:p>
      <w:pPr>
        <w:spacing w:line="360" w:lineRule="auto"/>
        <w:ind w:firstLine="540" w:firstLineChars="225"/>
        <w:rPr>
          <w:rFonts w:ascii="宋体" w:hAnsi="宋体"/>
          <w:color w:val="auto"/>
          <w:sz w:val="24"/>
        </w:rPr>
      </w:pPr>
      <w:r>
        <w:rPr>
          <w:rFonts w:hint="eastAsia" w:ascii="宋体" w:hAnsi="宋体"/>
          <w:color w:val="auto"/>
          <w:sz w:val="24"/>
        </w:rPr>
        <w:t>（</w:t>
      </w:r>
      <w:r>
        <w:rPr>
          <w:rFonts w:hint="eastAsia" w:hAnsi="宋体"/>
          <w:color w:val="auto"/>
          <w:sz w:val="24"/>
          <w:lang w:val="en-US" w:eastAsia="zh-CN"/>
        </w:rPr>
        <w:t>13</w:t>
      </w:r>
      <w:r>
        <w:rPr>
          <w:rFonts w:hint="eastAsia" w:ascii="宋体" w:hAnsi="宋体"/>
          <w:color w:val="auto"/>
          <w:sz w:val="24"/>
        </w:rPr>
        <w:t>）根据采购项目提出的特殊条件：</w:t>
      </w:r>
    </w:p>
    <w:p>
      <w:pPr>
        <w:spacing w:line="360" w:lineRule="auto"/>
        <w:ind w:firstLine="480" w:firstLineChars="200"/>
        <w:rPr>
          <w:rFonts w:hint="eastAsia" w:eastAsia="宋体"/>
          <w:color w:val="auto"/>
          <w:sz w:val="24"/>
          <w:lang w:val="en-US" w:eastAsia="zh-CN"/>
        </w:rPr>
      </w:pPr>
      <w:r>
        <w:rPr>
          <w:rFonts w:hint="eastAsia"/>
          <w:color w:val="auto"/>
          <w:sz w:val="24"/>
        </w:rPr>
        <w:t xml:space="preserve"> </w:t>
      </w:r>
      <w:r>
        <w:rPr>
          <w:rFonts w:hint="eastAsia"/>
          <w:color w:val="auto"/>
          <w:sz w:val="24"/>
          <w:lang w:val="en-US" w:eastAsia="zh-CN"/>
        </w:rPr>
        <w:t xml:space="preserve"> 无。</w:t>
      </w:r>
    </w:p>
    <w:p>
      <w:pPr>
        <w:adjustRightInd w:val="0"/>
        <w:snapToGrid w:val="0"/>
        <w:spacing w:line="600" w:lineRule="exact"/>
        <w:ind w:firstLine="480" w:firstLineChars="200"/>
        <w:jc w:val="left"/>
        <w:rPr>
          <w:rFonts w:hint="eastAsia" w:ascii="宋体" w:hAnsi="宋体" w:eastAsia="宋体" w:cs="宋体"/>
          <w:color w:val="auto"/>
          <w:sz w:val="24"/>
          <w:lang w:val="en-US" w:eastAsia="zh-CN"/>
        </w:rPr>
      </w:pPr>
    </w:p>
    <w:p>
      <w:pPr>
        <w:rPr>
          <w:rFonts w:ascii="宋体" w:hAnsi="宋体"/>
          <w:color w:val="auto"/>
          <w:sz w:val="24"/>
        </w:rPr>
      </w:pP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2.本章要求提供的相关证明材料应当结合采购项目具体情况和供应商的组织机构性质确定，不得一概而论。</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3.本章所有承诺可以单独承诺也可在一份承诺里面一并承诺。</w:t>
      </w:r>
    </w:p>
    <w:p>
      <w:pPr>
        <w:spacing w:beforeLines="50" w:afterLines="50" w:line="400" w:lineRule="exact"/>
        <w:rPr>
          <w:rFonts w:hint="eastAsia" w:ascii="宋体" w:hAnsi="宋体" w:cs="宋体"/>
          <w:b/>
          <w:color w:val="auto"/>
          <w:kern w:val="0"/>
          <w:sz w:val="24"/>
        </w:rPr>
      </w:pPr>
      <w:r>
        <w:rPr>
          <w:rFonts w:hint="eastAsia" w:ascii="宋体" w:hAnsi="宋体" w:cs="宋体"/>
          <w:b/>
          <w:color w:val="auto"/>
          <w:kern w:val="0"/>
          <w:sz w:val="24"/>
        </w:rPr>
        <w:t>注：1、本章要求提供的材料复印件均须加盖投标单位的公章（鲜章）。</w:t>
      </w:r>
    </w:p>
    <w:p>
      <w:pPr>
        <w:pStyle w:val="11"/>
        <w:rPr>
          <w:rFonts w:hint="eastAsia" w:ascii="宋体" w:hAnsi="宋体" w:cs="宋体"/>
          <w:b/>
          <w:color w:val="auto"/>
          <w:kern w:val="0"/>
          <w:sz w:val="24"/>
        </w:rPr>
      </w:pPr>
    </w:p>
    <w:p>
      <w:pPr>
        <w:rPr>
          <w:rFonts w:hint="eastAsia" w:ascii="宋体" w:hAnsi="宋体" w:cs="宋体"/>
          <w:b/>
          <w:color w:val="auto"/>
          <w:kern w:val="0"/>
          <w:sz w:val="24"/>
        </w:rPr>
      </w:pPr>
    </w:p>
    <w:p>
      <w:pPr>
        <w:pStyle w:val="11"/>
        <w:rPr>
          <w:rFonts w:hint="eastAsia" w:ascii="宋体" w:hAnsi="宋体" w:cs="宋体"/>
          <w:b/>
          <w:color w:val="auto"/>
          <w:kern w:val="0"/>
          <w:sz w:val="24"/>
        </w:rPr>
      </w:pPr>
    </w:p>
    <w:p>
      <w:pPr>
        <w:rPr>
          <w:rFonts w:hint="eastAsia" w:ascii="宋体" w:hAnsi="宋体" w:cs="宋体"/>
          <w:b/>
          <w:color w:val="auto"/>
          <w:kern w:val="0"/>
          <w:sz w:val="24"/>
        </w:rPr>
      </w:pPr>
    </w:p>
    <w:p>
      <w:pPr>
        <w:pStyle w:val="11"/>
        <w:rPr>
          <w:rFonts w:hint="eastAsia" w:ascii="宋体" w:hAnsi="宋体" w:cs="宋体"/>
          <w:b/>
          <w:color w:val="auto"/>
          <w:kern w:val="0"/>
          <w:sz w:val="24"/>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3"/>
        <w:numPr>
          <w:ilvl w:val="0"/>
          <w:numId w:val="2"/>
        </w:numPr>
        <w:spacing w:line="360" w:lineRule="auto"/>
        <w:jc w:val="center"/>
        <w:rPr>
          <w:color w:val="auto"/>
          <w:sz w:val="36"/>
          <w:szCs w:val="36"/>
        </w:rPr>
      </w:pPr>
      <w:bookmarkStart w:id="206" w:name="_Toc531718416"/>
      <w:bookmarkStart w:id="207" w:name="_Toc532395209"/>
      <w:bookmarkStart w:id="208" w:name="_Toc15547"/>
      <w:r>
        <w:rPr>
          <w:rFonts w:hint="eastAsia"/>
          <w:color w:val="auto"/>
          <w:sz w:val="36"/>
          <w:szCs w:val="36"/>
        </w:rPr>
        <w:t>采购项目技术、服务及其他商务要求</w:t>
      </w:r>
      <w:bookmarkEnd w:id="206"/>
      <w:bookmarkEnd w:id="207"/>
      <w:bookmarkEnd w:id="208"/>
    </w:p>
    <w:bookmarkEnd w:id="119"/>
    <w:bookmarkEnd w:id="120"/>
    <w:bookmarkEnd w:id="121"/>
    <w:bookmarkEnd w:id="122"/>
    <w:bookmarkEnd w:id="123"/>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bCs/>
          <w:sz w:val="24"/>
          <w:szCs w:val="24"/>
          <w:lang w:val="en-US" w:eastAsia="zh-CN"/>
        </w:rPr>
      </w:pPr>
      <w:bookmarkStart w:id="209" w:name="_Toc531718423"/>
      <w:bookmarkStart w:id="210" w:name="_Toc532395210"/>
      <w:bookmarkStart w:id="211" w:name="_Toc183682369"/>
      <w:bookmarkStart w:id="212" w:name="_Toc217446057"/>
      <w:bookmarkStart w:id="213" w:name="_Toc183582232"/>
      <w:r>
        <w:rPr>
          <w:rFonts w:hint="eastAsia" w:ascii="宋体" w:hAnsi="宋体" w:eastAsia="宋体" w:cs="宋体"/>
          <w:b/>
          <w:bCs/>
          <w:sz w:val="24"/>
          <w:szCs w:val="24"/>
          <w:lang w:val="en-US" w:eastAsia="zh-CN"/>
        </w:rPr>
        <w:t>一、项目概况</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白头镇五星村治理及天府国际慢城旅游品牌提升项目-五星村民宿等新业态提升项目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二、采购清单及技术</w:t>
      </w:r>
      <w:r>
        <w:rPr>
          <w:rFonts w:hint="eastAsia" w:hAnsi="宋体" w:cs="宋体"/>
          <w:b/>
          <w:bCs/>
          <w:sz w:val="24"/>
          <w:szCs w:val="24"/>
          <w:lang w:val="en-US" w:eastAsia="zh-CN"/>
        </w:rPr>
        <w:t>服务</w:t>
      </w:r>
      <w:r>
        <w:rPr>
          <w:rFonts w:hint="eastAsia" w:ascii="宋体" w:hAnsi="宋体" w:eastAsia="宋体" w:cs="宋体"/>
          <w:b/>
          <w:bCs/>
          <w:sz w:val="24"/>
          <w:szCs w:val="24"/>
          <w:lang w:val="en-US" w:eastAsia="zh-CN"/>
        </w:rPr>
        <w:t>要求</w:t>
      </w:r>
    </w:p>
    <w:tbl>
      <w:tblPr>
        <w:tblStyle w:val="32"/>
        <w:tblW w:w="914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776"/>
        <w:gridCol w:w="3524"/>
        <w:gridCol w:w="1225"/>
        <w:gridCol w:w="106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524"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三角梅球</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藤条三角梅</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高度：1.5-1.8m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高度：1.2-1.5m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双色茉莉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高度：0.5-0.8m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包含：喷雪花，天门冬，蓝鸟鼠尾草，灯芯草，无风草等                  底：铺设丙纶                                       面：撒红木屑或米石（粒径&lt;1cm）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银合欢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高度：1-1.5m                                         冠幅：0.3-0.5m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满天星</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栽植密度：25株/㎡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花叶女贞球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冠幅：0.4-0.6m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金叶女贞球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冠幅：0.4-0.6m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山茶花</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高度：0.3-0.5m                                 冠幅：0.3-0.4m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杜鹃</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栽植密度：25株/㎡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紫牡丹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高：1.2m-1.4m                                冠幅：0.5-0.7m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紫牡丹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冠幅：0.5-0.6m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麦冬</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栽植密度：100株/㎡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毛娟</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栽植密度：25株/㎡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高：1.2-1.5m                                      冠幅：0.8-1m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高度：0.8-1m                            冠幅：0.5-0.6m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兰天竹</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栽植密度：16株/㎡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毛娟球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冠幅：0.4-0.6m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高度：1-1.2m                             冠幅：0.8-1m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红枫</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地径：2cm                                        高：1-1.2m                                      冠幅：0.8-1m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红枫</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地径：3cm                                        高：1.5-1.8m                                      冠幅：1-1.5m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红檵木球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高度：0.6-0.8m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女贞苗</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金边黄杨</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木春菊</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黄菖蒲</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栽植密度：64株/㎡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红叶石楠苗</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高度：1-1.2m                            冠幅：1-1.2m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圣蕨</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金铃花</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高度：1-1.2m                             冠幅：0.4-0.6m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胸径：12cm-14cm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冠幅：2.5-3m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胸径：10cm-12cm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冠幅：2-2.5m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金桔</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高度：0.8-1m                             冠幅：0.4-0.6m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整理场地、拆除</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清理及建渣处置</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台湾二号草皮</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卷型草皮                                     铺设平整</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金鱼草</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栽植密度：49株/㎡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碎拼板铺装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：板材厚度3-5cm                              做法：4-5cm干沙灰调平层 ，水泥浆粘贴                                                黑色不规则铜板石</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路沿石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：10*10*5cm                            米黄花岗石</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塑木地板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板材厚度：2.5*13cm                              柚木色板材                                              塑料龙骨找平：3*3cm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包含：茶梅、蓝雪花、朱唇、紫牡丹、玫瑰、三角梅、绣球、满天星</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树状三角梅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地径10-12cm                              高1.8-2m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防腐木平台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板材厚度：3.5*13cm                              施涂咖啡色木油漆                                                木龙骨找平：4*8cm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拆除红砖地面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共3个平台含建渣处置</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砌筑平台支撑</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红砖11墙                                     高30cm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鼠尾草</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朴树</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胸径：22cm-25cm                            冠幅：5-6m                                       养护期：3个月（含沙杆支撑）</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三角枫</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地径：10cm-12cm                                 冠幅：3-3.5m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鸡爪槭</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地径：8-10cm                                 冠幅：2.5-3m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鸡爪槭</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地径：3-5cm                                 冠幅：1.5-2m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花叶连翘</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冠幅：0.5-0.6m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雨花石粘贴</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采用多色混合雨花石密贴                                  干沙灰粘接后雾化喷水</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澳洲朱蕉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冠幅：0.3-0.4m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红千层</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高度：1.8-2m                                  冠幅：1-1.2m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红千层</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高度：0.6-0.8m                                         冠幅：0.5-0.6m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木绣球棒棒糖</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高度：1-1.2m                                      冠幅：0.5-0.6</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订步板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：0.7-1m                              做法：4-5cm干沙灰调平层 ，水泥浆粘贴                                                黑色不规则铜板石</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石竹</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栽植密度：64株/㎡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高度：1.5-1.8m                                  冠幅：1-1.2m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树状月季</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高度：1.5-1.8m                                  冠幅：1-1.2m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贴梗海棠</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地径：18-20cm                                                                        冠幅3.5-4m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地径：14-16cm                                                                        冠幅：2.5-3m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地径：10-12cm                                                                        冠幅：2-2.5m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腊梅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地径：8-10cm                                                                        冠幅：1.5-2m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高度：0.4-0.6m                                冠幅：0.3-0.5m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高度：1.2-1.5m                                   冠幅1-1.5m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笼桂</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高度：1.5--2m                           冠幅：1.5-2m                                    养护期：3个月</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紫薇</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胸径：10cm-12cm                              冠幅：1.5-2m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黄花槐</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胸径：8cm-10cm                                 冠幅：1.5-1.8m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马樱丹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冠幅：0.3-0.4m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结香</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高度：0.8-1m                                       冠幅：1-1.2m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蓝花楹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胸径：14cm-16cm                              冠幅：3-3.5m                                   养护期：3个月（含沙杆支撑）</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高度：0.8-1m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象牙红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胸径：16cm-18cm                              冠幅：3-3.5m                                   养护期：3个月（含沙杆支撑）</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人面竹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直径：1-2cm                                      高度3-3.5m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羽毛枫</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高度：1.2-1.5m                             冠幅1.5-2m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花石榴</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高度：3-4m                                  冠幅2-3m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石板通道</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：400*800*3cm                             做法：4-5cm干沙灰调平层 ，水泥浆粘贴                                                黑色规则铜板石</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外墙刷白、乳胶漆</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原有墙砖不去除                          底层施涂粘合剂                                   施工后不见墙砖缝</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外墙真石漆</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白色真石漆</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外墙砖粘贴</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灰色烧结砖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：10*5*1cm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脚手架搭建</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搭设高度：5m                                              竹架/钢架投标人综合考虑</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清理场地、修剪</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人工6个，垃圾处理一项</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幸福树</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高度：1.2-1.5m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高度：0.2-0.3m                                           冠幅：02-0.3m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栀子花</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栽植密度：25株/㎡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防腐木桥</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防腐木板材厚度：3.5*13cm                              施涂咖啡色木油漆                                                工字钢桥体：20*0.5cm                                        宽度：1.5m                                               栏杆高度：1.1m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整理绿化用地</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机械加人工平整场地             包含建筑、杂草清理、转运</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种植土回填</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土壤类别：种植土              土质要求：适合种植             回填厚度：0.3m                取土运距：投标人自行考虑</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栽植密度：25株/㎡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火焰兰天竹</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栽植密度：36株/㎡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木本绣球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高度：0.8--1m                                           冠幅：0.6-0.8m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红檵木苗</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栽植密度：64株/㎡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花叶女贞</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冠幅：0.4-0.5m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桂花苗</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栽植密度：64株/㎡                           冠幅株型：综合考虑密不见土          养护期：包成活</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茶花球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高度：0.4-0.5m                         冠幅0.4-0.5m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景观石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材质：龟纹石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：30-60cm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茶梅棒棒糖</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高度：0.5-0.6m                                          冠幅：0.3-0.4m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77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木本绣球</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高度：1.6-1.8m                                     冠幅1.5-2m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备餐柜 </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、颜色 ：玻璃面层,深棕1200mm*300mm*800mm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材质：不锈钢</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长餐桌 </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、颜色 ：玻璃桌面，800mm*1800mm*700mm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材料品种：铸铁</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送酒车 </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 ：300mm*500mm*400mm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材料品种：圆管架、铁花艺穿插</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钛金椅子</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材料品种：钛金</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 ：含靠背高度125 mm </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钛金圆桌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材料品种：钛金+玻璃面板</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：:1.35m圆桌+0.7m圆桌</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太阳伞</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材料品种 ：成品太阳伞 轻型龙骨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：2.5m方形+100KG注水注沙底座</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拉绳椅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材料品种：藤编成品椅子</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：61*63*72cm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圆形桌子</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材料品种木桌面</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：90cm*72cm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椅子（藤编）</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材料品种：藤编成品椅子</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：78cm*79cm*79cm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方形桌子（藤编+木桌面）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材料品种：藤编+木桌面</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：80cm*80cm*72cm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圆房子</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材料品种：镀锌圆管烤漆</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：300cm*210cm*门150cm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长方形桌子（藤编+木桌面）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材料品种：藤编+木桌面</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：120cm*80cm*72cm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椅子（藤编+木靠手）</w:t>
            </w:r>
          </w:p>
        </w:tc>
        <w:tc>
          <w:tcPr>
            <w:tcW w:w="3524" w:type="dxa"/>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材料品种：藤编成品椅子+木靠手、镀锌圆管+防锈漆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：75cm*65cm*58cm*43cm*49cm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酒吧椅子</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材料品种：原木+靠枕</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2*6mm2</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:2*6mm2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材质:铜芯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敷设方式、部位:综合考虑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地形:综合考虑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其他:满足设计及规范要求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3*2.5mm2</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:3*2.5mm2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材质:铜芯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敷设方式、部位:综合考虑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地形:综合考虑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3*1.5mm2</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:3*1.5mm2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材质:铜芯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敷设方式、部位:综合考虑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地形:综合考虑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trPr>
        <w:tc>
          <w:tcPr>
            <w:tcW w:w="7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77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 2*1.5mm2</w:t>
            </w:r>
          </w:p>
        </w:tc>
        <w:tc>
          <w:tcPr>
            <w:tcW w:w="352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:2*1.5mm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材质:铜芯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敷设方式、部位:综合考虑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地形:综合考虑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其他:满足规范要求</w:t>
            </w:r>
          </w:p>
        </w:tc>
        <w:tc>
          <w:tcPr>
            <w:tcW w:w="12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709"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6"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524" w:type="dxa"/>
            <w:vMerge w:val="continue"/>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灯带电源头</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 ：灯带电源头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安装方式：符合规范要求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 PC20</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名称:配管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材质:塑料阻燃管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PC20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配置形式:投标人综合考虑</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塑料膨胀螺丝</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类型：塑料膨胀螺栓</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：M8*50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安装形式：综合考虑，含全套支架等安装附件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其余要求满足规范</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灯带卡槽</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 ：灯带卡槽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 ：塑料</w:t>
            </w:r>
            <w:r>
              <w:rPr>
                <w:rFonts w:hint="eastAsia" w:ascii="宋体" w:hAnsi="宋体" w:eastAsia="宋体" w:cs="宋体"/>
                <w:i w:val="0"/>
                <w:iCs w:val="0"/>
                <w:color w:val="000000"/>
                <w:kern w:val="0"/>
                <w:sz w:val="24"/>
                <w:szCs w:val="24"/>
                <w:u w:val="none"/>
                <w:lang w:val="en-US" w:eastAsia="zh-CN" w:bidi="ar"/>
              </w:rPr>
              <w:br w:type="textWrapping"/>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 ：100*30*10mm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 6W 60珠/米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敷设方式、部位 ：屋面以及墙体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电压等级（kV） ：220V</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8789</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77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电表箱</w:t>
            </w:r>
          </w:p>
        </w:tc>
        <w:tc>
          <w:tcPr>
            <w:tcW w:w="352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基础形式、材质:符合安全规范要求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接线端子材质、</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端子板外部接线材质、</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安装方式:嵌墙安装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含箱体安装、开孔、配管、盘柜防火、堵洞、焊压接线端子、盘柜配线整理、接地及支架制作安装、除锈、刷防锈漆等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箱内电气火灾监控器需与主系统匹配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其他:满足规范要求</w:t>
            </w:r>
          </w:p>
        </w:tc>
        <w:tc>
          <w:tcPr>
            <w:tcW w:w="12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0" w:hRule="atLeast"/>
        </w:trPr>
        <w:tc>
          <w:tcPr>
            <w:tcW w:w="709"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6"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524" w:type="dxa"/>
            <w:vMerge w:val="continue"/>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0" w:hRule="atLeast"/>
        </w:trPr>
        <w:tc>
          <w:tcPr>
            <w:tcW w:w="7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77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配电箱箱体 350mm*400mm</w:t>
            </w:r>
          </w:p>
        </w:tc>
        <w:tc>
          <w:tcPr>
            <w:tcW w:w="352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基础形式、材质、</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:符合安全规范要求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接线端子材质、</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端子板外部接线材质、</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安装方式:嵌墙安装</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含箱体安装、开孔、配管、盘柜防火、堵洞、焊压接线端子、盘柜配线整理、接地及支架制作安装、除锈、刷防锈漆等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箱内电气火灾监控器需与主系统匹配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其他:满足规范要求</w:t>
            </w:r>
          </w:p>
        </w:tc>
        <w:tc>
          <w:tcPr>
            <w:tcW w:w="12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6"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524" w:type="dxa"/>
            <w:vMerge w:val="continue"/>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定时开关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10A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安装方式:明装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其他:满足规范及招标人使用功能要求;样式、颜色由招标人确定</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空气开关 16A</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材质:塑料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16A 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安装方式:明装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其他:满足规范及招标人使用功能要求;样式、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7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77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w:t>
            </w:r>
          </w:p>
        </w:tc>
        <w:tc>
          <w:tcPr>
            <w:tcW w:w="352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材质:塑料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16A 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安装方式:明装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功能要求;样式、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709"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6"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524" w:type="dxa"/>
            <w:vMerge w:val="continue"/>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漏电开关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材质:塑料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16A 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安装方式:明装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其他:满足规范及招标人使用功能要求;样式、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 800W</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材质:防锈外壳玻璃厚度3mm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800w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安装方式:招标人现场指导安装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其他:满足规范及招标人使用功能要求;样式、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 200W</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材质:防锈外壳玻璃厚度3mm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200w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安装方式:招标人现场指导安装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其他:满足规范及招标人使用功能要求;样式、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70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77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 100W</w:t>
            </w:r>
          </w:p>
        </w:tc>
        <w:tc>
          <w:tcPr>
            <w:tcW w:w="352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材质:防锈外壳玻璃厚度3mm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100w 220V</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安装方式:招标人现场指导安装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其他:满足规范及招标人使用功能要求;样式、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709"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76"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3524" w:type="dxa"/>
            <w:vMerge w:val="continue"/>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2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063"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挖沟槽土方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土壤类别:综合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挖土深度:详设计，综合考虑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弃土运距:投标人自行考虑</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回填方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土质要求：满足设计及规范要求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密实度要求：按规范要求，夯填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运距：投标人自行考虑</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机械台班</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机械名称：平台作业升降车                           举升高度：6-8m</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台次</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定制不锈钢牌制作安装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材质：不锈钢腐蚀牌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：40*60cm</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旅游咨询发光字制作安装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材质：高精 迷你发光字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：34cm+25cm*4个+8cm*22个</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公分</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青年中心发光字制作安装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材质：高精 迷你发光字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：40cm*6个+55cm+10cm*19个</w:t>
            </w:r>
          </w:p>
        </w:tc>
        <w:tc>
          <w:tcPr>
            <w:tcW w:w="12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墙面（发光字）打孔线路铺设2处</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穿墙打孔+墙面开槽埋线</w:t>
            </w:r>
          </w:p>
        </w:tc>
        <w:tc>
          <w:tcPr>
            <w:tcW w:w="122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合作社牌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材质：不锈钢防腐蚀牌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40*60cm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青年中心安装时控开关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5A 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安装方式:明装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其他:满足规范及招标人使用功能要求;样式、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颜色由招标人确定</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门头发光字</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材质：迷你发光字 LOGO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：110cm+65cm*4个+30cm*4个+10cm*13个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材质：三面发光灯箱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：55*40cm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水街茶坊</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材质：2cm PVC雕刻喷印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：40cm*4个+4cm*10个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进门文化文字</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材质：2cm PVC雕刻喷印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：52cm+28cm*4个+5cm*13个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手作体验牌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材质：1cm PVC雕刻喷印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：120*90cm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推拉车贴</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车贴覆膜 12cm直径</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材质要求：不干胶印刷 2000张</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：4*4cm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青谷磨砂防撞条制作安装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材质：磨砂贴UV制作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15cm宽</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青谷手作画展画面</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材质要求：户外写真+超卡板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：60*80cm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特种纸名片制作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90*54mm 100张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张师家宴店招制作安装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材质要求：2cm PVC雕刻、喷印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2.46*1.6m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展板设计（主要做法和成效、体制机制改革与实施途径等）</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图片处理及文字编辑排版设计</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居站分离展板设计制作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新城建设展板设计制作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：150*100cm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交通提示牌制作安装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材质：铝板+反光膜+立柱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：100*60cm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政府吊牌制作安装</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材质：PVC雕刻喷漆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200*30cm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展板设计（资源资产情况）</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图片处理及文字编辑排版设计</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大雨村、五星村打印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 A4单面</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大雨村、五星村打印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 A4单面</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五星村参观点位解说词打印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大雨村解说词打印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乡村振兴的五星实践打印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五星村展板1打印彩色</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五星村展板2打印彩色</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A4纸张</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五星村集体经济展板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五星田园剧场介绍展板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：88*66cm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展板设计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图片处理及文字编辑排版设计</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五星村解说词</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五星村股份经济合作联合社简介</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A4双面</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青创中心发光字</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材质：迷你发光字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：55cm+25cm*4个+5cm*21个 </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第五届村长论坛指定民宿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材质：木牌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22*13.4cm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慢城之星联盟</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材质：木牌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30*30cm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办公区请上二楼</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材质：木牌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35*20cm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蜀光农村党员培训中心（不锈钢腐蚀牌）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材质：不锈钢腐蚀牌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60*40cm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振兴办公室门牌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材质：双色板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：30*9.3cm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美食社区2cmPVC字</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材质：2cmPVC  UV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：165cm+20cm*6个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天府国际慢城腐蚀牌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材质：不锈钢腐蚀牌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40*60cm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五星田园剧场</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：66*88cm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无边发光字</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：88cm*个+45cm*6个+10cm*1个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场所码</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：60*80cm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箭头符号不干胶</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不干胶 A5   </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五星村订做木质画架抗风防倒钢板底座 </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材质要求：3mm厚度钢板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xml:space="preserve">:60*60cm   </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五星村展板设计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尺寸：60*90cm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第五届四川村长论坛 五星村</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材质：布标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：9+6.6+7m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第五届四川村长论坛 大雨村 幸福里</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材质：布标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5+4.4m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五星村集体经济展板制作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：80*120cm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木质画架</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尺寸：1.5m                                     材质： 实木画架</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资料打印</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彩色单面 A4</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乡村职业培训学院制作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：80*120cm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黑色不干胶条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不干胶雕刻 50cm</w:t>
            </w:r>
          </w:p>
        </w:tc>
        <w:tc>
          <w:tcPr>
            <w:tcW w:w="1225" w:type="dxa"/>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“有事来协商"标识</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材质：铜板纸打印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：18*10cm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五星村集体经济展板设计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图片处理及文字编辑排版设计</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纪念馆外墙挂画</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材质：2cmPVC板雕刻UV制作安装</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垃圾分类写真</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 80*60cm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五星田园剧场展板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乡村振兴展板制作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：80*120cm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大雨村旅游咨询点维护+补字“询点”</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材质：1.5cm厚水晶字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：12cm/个</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五星田园剧场展板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五星植物工厂研学几次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：120*80cm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农场产品设计制作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 200*40cm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7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五星植物工场展板增加制作</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材质：户外写真+超卡板                   </w:t>
            </w:r>
            <w:r>
              <w:rPr>
                <w:rFonts w:hint="eastAsia" w:hAnsi="宋体" w:cs="宋体"/>
                <w:i w:val="0"/>
                <w:iCs w:val="0"/>
                <w:color w:val="000000"/>
                <w:kern w:val="0"/>
                <w:sz w:val="24"/>
                <w:szCs w:val="24"/>
                <w:u w:val="none"/>
                <w:lang w:val="en-US" w:eastAsia="zh-CN" w:bidi="ar"/>
              </w:rPr>
              <w:t>尺寸</w:t>
            </w:r>
            <w:r>
              <w:rPr>
                <w:rFonts w:hint="eastAsia" w:ascii="宋体" w:hAnsi="宋体" w:eastAsia="宋体" w:cs="宋体"/>
                <w:i w:val="0"/>
                <w:iCs w:val="0"/>
                <w:color w:val="000000"/>
                <w:kern w:val="0"/>
                <w:sz w:val="24"/>
                <w:szCs w:val="24"/>
                <w:u w:val="none"/>
                <w:lang w:val="en-US" w:eastAsia="zh-CN" w:bidi="ar"/>
              </w:rPr>
              <w:t>：80*120cm</w:t>
            </w:r>
          </w:p>
        </w:tc>
        <w:tc>
          <w:tcPr>
            <w:tcW w:w="1225"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63"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开关电源(含箱体)</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AC220V/DC24V/200W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开关电源(含箱体)</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AC220V/DC24V/400W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LED线条灯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12W/DC24V/2700K/1M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12W/DC12V/2700K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成套：含灯槽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12W/DC24V/45°/2200K/1M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12W/DC24V/30°/3000K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36W/DC24V/60°/3000K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LED抱树灯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36W/DC24V/30°/3000K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LED萤火虫灯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10W/AC95~250V/50~60HZ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LED水纹灯</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220V/150W/湖蓝色光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成套：含光源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含灯具安装所需支架及金属软管，长度综合考虑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符合国家现行最新的设计、施工、质量验收规范标准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配套:含配电箱</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尺寸：5*6mm²</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材质：铜</w:t>
            </w:r>
            <w:r>
              <w:rPr>
                <w:rStyle w:val="111"/>
                <w:rFonts w:hint="eastAsia" w:ascii="宋体" w:hAnsi="宋体" w:eastAsia="宋体" w:cs="宋体"/>
                <w:sz w:val="24"/>
                <w:szCs w:val="24"/>
                <w:lang w:val="en-US" w:eastAsia="zh-CN" w:bidi="ar"/>
              </w:rPr>
              <w:t>芯</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其他：符合国家现行最新的设计、施工、质量验收规范标准</w:t>
            </w:r>
            <w:r>
              <w:rPr>
                <w:rStyle w:val="112"/>
                <w:rFonts w:hint="eastAsia" w:ascii="宋体" w:hAnsi="宋体" w:eastAsia="宋体" w:cs="宋体"/>
                <w:sz w:val="24"/>
                <w:szCs w:val="24"/>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尺寸：2*2</w:t>
            </w:r>
            <w:r>
              <w:rPr>
                <w:rStyle w:val="111"/>
                <w:rFonts w:hint="eastAsia" w:ascii="宋体" w:hAnsi="宋体" w:eastAsia="宋体" w:cs="宋体"/>
                <w:sz w:val="24"/>
                <w:szCs w:val="24"/>
                <w:lang w:val="en-US" w:eastAsia="zh-CN" w:bidi="ar"/>
              </w:rPr>
              <w:t>.5mm²</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材质：铜芯</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其他：符合国家现行最新的设计、施工、质量验收规范标准</w:t>
            </w:r>
            <w:r>
              <w:rPr>
                <w:rStyle w:val="112"/>
                <w:rFonts w:hint="eastAsia" w:ascii="宋体" w:hAnsi="宋体" w:eastAsia="宋体" w:cs="宋体"/>
                <w:sz w:val="24"/>
                <w:szCs w:val="24"/>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敷设方式：穿管敷设</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其他：符合国家现行最新的设计、施工、质量验收规范标砖</w:t>
            </w:r>
            <w:r>
              <w:rPr>
                <w:rStyle w:val="112"/>
                <w:rFonts w:hint="eastAsia" w:ascii="宋体" w:hAnsi="宋体" w:eastAsia="宋体" w:cs="宋体"/>
                <w:sz w:val="24"/>
                <w:szCs w:val="24"/>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0" w:hRule="atLeast"/>
        </w:trPr>
        <w:tc>
          <w:tcPr>
            <w:tcW w:w="709" w:type="dxa"/>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3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敷设方式：穿管敷设</w:t>
            </w:r>
            <w:r>
              <w:rPr>
                <w:rStyle w:val="111"/>
                <w:rFonts w:hint="eastAsia" w:ascii="宋体" w:hAnsi="宋体" w:eastAsia="宋体" w:cs="宋体"/>
                <w:sz w:val="24"/>
                <w:szCs w:val="24"/>
                <w:lang w:val="en-US" w:eastAsia="zh-CN" w:bidi="ar"/>
              </w:rPr>
              <w:br w:type="textWrapping"/>
            </w:r>
            <w:r>
              <w:rPr>
                <w:rStyle w:val="111"/>
                <w:rFonts w:hint="eastAsia" w:ascii="宋体" w:hAnsi="宋体" w:eastAsia="宋体" w:cs="宋体"/>
                <w:sz w:val="24"/>
                <w:szCs w:val="24"/>
                <w:lang w:val="en-US" w:eastAsia="zh-CN" w:bidi="ar"/>
              </w:rPr>
              <w:t>其他：符合国家现行最新的设计、施工、质量验收规范标砖</w:t>
            </w:r>
            <w:r>
              <w:rPr>
                <w:rStyle w:val="112"/>
                <w:rFonts w:hint="eastAsia" w:ascii="宋体" w:hAnsi="宋体" w:eastAsia="宋体" w:cs="宋体"/>
                <w:sz w:val="24"/>
                <w:szCs w:val="24"/>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所涉及到的电器产品需满足国家规范要求</w:t>
            </w:r>
          </w:p>
        </w:tc>
        <w:tc>
          <w:tcPr>
            <w:tcW w:w="12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400.00 </w:t>
            </w:r>
          </w:p>
        </w:tc>
        <w:tc>
          <w:tcPr>
            <w:tcW w:w="8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keepLines/>
        <w:pageBreakBefore w:val="0"/>
        <w:widowControl w:val="0"/>
        <w:numPr>
          <w:ilvl w:val="0"/>
          <w:numId w:val="0"/>
        </w:numPr>
        <w:tabs>
          <w:tab w:val="left" w:pos="720"/>
        </w:tabs>
        <w:kinsoku/>
        <w:wordWrap/>
        <w:overflowPunct/>
        <w:topLinePunct w:val="0"/>
        <w:autoSpaceDE/>
        <w:autoSpaceDN/>
        <w:bidi w:val="0"/>
        <w:adjustRightInd/>
        <w:snapToGrid/>
        <w:spacing w:before="260" w:after="260" w:line="415" w:lineRule="auto"/>
        <w:ind w:firstLine="241" w:firstLineChars="100"/>
        <w:textAlignment w:val="auto"/>
        <w:outlineLvl w:val="1"/>
        <w:rPr>
          <w:rFonts w:hint="eastAsia" w:ascii="宋体" w:hAnsi="宋体" w:eastAsia="宋体" w:cs="宋体"/>
          <w:b/>
          <w:bCs/>
          <w:color w:val="000000"/>
          <w:kern w:val="0"/>
          <w:sz w:val="24"/>
          <w:szCs w:val="24"/>
          <w:highlight w:val="none"/>
          <w:lang w:val="en-US" w:eastAsia="zh-CN" w:bidi="ar-SA"/>
        </w:rPr>
      </w:pPr>
    </w:p>
    <w:p>
      <w:pPr>
        <w:keepNext/>
        <w:keepLines/>
        <w:pageBreakBefore w:val="0"/>
        <w:widowControl w:val="0"/>
        <w:numPr>
          <w:ilvl w:val="0"/>
          <w:numId w:val="0"/>
        </w:numPr>
        <w:tabs>
          <w:tab w:val="left" w:pos="720"/>
        </w:tabs>
        <w:kinsoku/>
        <w:wordWrap/>
        <w:overflowPunct/>
        <w:topLinePunct w:val="0"/>
        <w:autoSpaceDE/>
        <w:autoSpaceDN/>
        <w:bidi w:val="0"/>
        <w:adjustRightInd/>
        <w:snapToGrid/>
        <w:spacing w:before="260" w:after="260" w:line="415" w:lineRule="auto"/>
        <w:ind w:firstLine="241" w:firstLineChars="100"/>
        <w:textAlignment w:val="auto"/>
        <w:outlineLvl w:val="1"/>
        <w:rPr>
          <w:rFonts w:hint="eastAsia" w:ascii="宋体" w:hAnsi="宋体" w:eastAsia="宋体" w:cs="宋体"/>
          <w:b/>
          <w:bCs/>
          <w:color w:val="000000"/>
          <w:kern w:val="0"/>
          <w:sz w:val="24"/>
          <w:szCs w:val="24"/>
          <w:highlight w:val="none"/>
          <w:lang w:val="en-US" w:eastAsia="zh-CN" w:bidi="ar-SA"/>
        </w:rPr>
      </w:pPr>
      <w:r>
        <w:rPr>
          <w:rFonts w:hint="eastAsia" w:hAnsi="宋体" w:cs="宋体"/>
          <w:b/>
          <w:bCs/>
          <w:color w:val="000000"/>
          <w:kern w:val="0"/>
          <w:sz w:val="24"/>
          <w:szCs w:val="24"/>
          <w:highlight w:val="none"/>
          <w:lang w:val="en-US" w:eastAsia="zh-CN" w:bidi="ar-SA"/>
        </w:rPr>
        <w:t>三</w:t>
      </w:r>
      <w:r>
        <w:rPr>
          <w:rFonts w:hint="eastAsia" w:ascii="宋体" w:hAnsi="宋体" w:eastAsia="宋体" w:cs="宋体"/>
          <w:b/>
          <w:bCs/>
          <w:color w:val="000000"/>
          <w:kern w:val="0"/>
          <w:sz w:val="24"/>
          <w:szCs w:val="24"/>
          <w:highlight w:val="none"/>
          <w:lang w:val="en-US" w:eastAsia="zh-CN" w:bidi="ar-SA"/>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000000"/>
          <w:kern w:val="0"/>
          <w:sz w:val="24"/>
          <w:szCs w:val="24"/>
          <w:highlight w:val="none"/>
          <w:lang w:bidi="ar"/>
        </w:rPr>
        <w:t>★</w:t>
      </w:r>
      <w:r>
        <w:rPr>
          <w:rFonts w:hint="eastAsia" w:ascii="宋体" w:hAnsi="宋体" w:eastAsia="宋体" w:cs="宋体"/>
          <w:sz w:val="24"/>
          <w:szCs w:val="24"/>
          <w:lang w:val="en-US" w:eastAsia="zh-CN"/>
        </w:rPr>
        <w:t>1、报价要求：本项目报价是最终用户验收合格后的总价，报价应包括项目整体服务和所响应产品的生产、运输、搬运、质保、检验、税收等一切费用。在运输保管过程中产生的质量问题由供应商自行承担，采购人不承担除响应报价外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color w:val="000000"/>
          <w:kern w:val="0"/>
          <w:sz w:val="24"/>
          <w:szCs w:val="24"/>
          <w:highlight w:val="none"/>
          <w:lang w:bidi="ar"/>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、项目完成时间：签订合同后15天内完成。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投标单位应有完善的技术支持与服务体系，专人负责与采购人联系售后服务事宜、具有专门的服务电话。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投标单位须提供 7×24 小时的技术支持服务，配置专门固定的售后服务电话。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sz w:val="24"/>
          <w:szCs w:val="24"/>
          <w:highlight w:val="none"/>
          <w:lang w:val="en-US" w:eastAsia="zh-CN"/>
        </w:rPr>
      </w:pPr>
      <w:bookmarkStart w:id="214" w:name="_bookmark6"/>
      <w:bookmarkEnd w:id="214"/>
      <w:bookmarkStart w:id="215" w:name="第七章  评标办法"/>
      <w:bookmarkEnd w:id="215"/>
      <w:r>
        <w:rPr>
          <w:rFonts w:hint="eastAsia" w:ascii="宋体" w:hAnsi="宋体" w:eastAsia="宋体" w:cs="宋体"/>
          <w:b/>
          <w:color w:val="000000"/>
          <w:kern w:val="0"/>
          <w:sz w:val="24"/>
          <w:szCs w:val="24"/>
          <w:highlight w:val="none"/>
          <w:lang w:bidi="ar"/>
        </w:rPr>
        <w:t>★</w:t>
      </w:r>
      <w:r>
        <w:rPr>
          <w:rFonts w:hint="eastAsia" w:ascii="宋体" w:hAnsi="宋体" w:eastAsia="宋体" w:cs="宋体"/>
          <w:sz w:val="24"/>
          <w:szCs w:val="24"/>
          <w:highlight w:val="none"/>
          <w:lang w:val="en-US" w:eastAsia="zh-CN"/>
        </w:rPr>
        <w:t>4、付款方式：验收合格后一次性支付。</w:t>
      </w:r>
    </w:p>
    <w:p>
      <w:pPr>
        <w:pStyle w:val="99"/>
        <w:rPr>
          <w:rFonts w:hint="default"/>
          <w:lang w:val="en-US" w:eastAsia="zh-CN"/>
        </w:rPr>
      </w:pPr>
    </w:p>
    <w:p>
      <w:pPr>
        <w:pStyle w:val="99"/>
        <w:rPr>
          <w:rFonts w:hint="eastAsia"/>
          <w:lang w:val="en-US" w:eastAsia="zh-CN"/>
        </w:rPr>
      </w:pPr>
    </w:p>
    <w:p>
      <w:pPr>
        <w:numPr>
          <w:ilvl w:val="0"/>
          <w:numId w:val="0"/>
        </w:numPr>
        <w:ind w:firstLine="560" w:firstLineChars="200"/>
        <w:rPr>
          <w:rFonts w:hint="eastAsia" w:asciiTheme="minorEastAsia" w:hAnsiTheme="minorEastAsia" w:eastAsiaTheme="minorEastAsia" w:cstheme="minorEastAsia"/>
          <w:b w:val="0"/>
          <w:bCs w:val="0"/>
          <w:color w:val="auto"/>
          <w:kern w:val="0"/>
          <w:sz w:val="28"/>
          <w:szCs w:val="28"/>
          <w:highlight w:val="none"/>
          <w:lang w:val="en-US" w:eastAsia="zh-CN" w:bidi="ar-SA"/>
        </w:rPr>
      </w:pPr>
    </w:p>
    <w:p>
      <w:pPr>
        <w:pStyle w:val="11"/>
        <w:spacing w:line="360" w:lineRule="auto"/>
        <w:rPr>
          <w:rFonts w:hint="eastAsia"/>
          <w:color w:val="auto"/>
        </w:rPr>
        <w:sectPr>
          <w:headerReference r:id="rId13" w:type="first"/>
          <w:footerReference r:id="rId15" w:type="first"/>
          <w:headerReference r:id="rId12" w:type="default"/>
          <w:footerReference r:id="rId14"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titlePg/>
          <w:docGrid w:linePitch="312" w:charSpace="0"/>
        </w:sectPr>
      </w:pPr>
      <w:r>
        <w:rPr>
          <w:rFonts w:hint="eastAsia" w:cs="宋体"/>
          <w:b/>
          <w:bCs/>
          <w:color w:val="auto"/>
          <w:sz w:val="28"/>
          <w:szCs w:val="28"/>
          <w:lang w:val="en-US" w:eastAsia="zh-CN"/>
        </w:rPr>
        <w:t>注</w:t>
      </w:r>
      <w:r>
        <w:rPr>
          <w:rFonts w:hint="eastAsia" w:hAnsi="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本章采购需求中标注“★”号的条款为本次磋商采购项目的实质性要求，供应商不能满足的按无效投标处理。</w:t>
      </w:r>
    </w:p>
    <w:p>
      <w:pPr>
        <w:pStyle w:val="3"/>
        <w:spacing w:line="360" w:lineRule="auto"/>
        <w:jc w:val="center"/>
        <w:rPr>
          <w:color w:val="auto"/>
        </w:rPr>
      </w:pPr>
      <w:bookmarkStart w:id="216" w:name="_Toc11595"/>
      <w:r>
        <w:rPr>
          <w:rFonts w:hint="eastAsia"/>
          <w:color w:val="auto"/>
        </w:rPr>
        <w:t>第六章  响应文件格式</w:t>
      </w:r>
      <w:bookmarkEnd w:id="209"/>
      <w:bookmarkEnd w:id="210"/>
      <w:bookmarkEnd w:id="216"/>
    </w:p>
    <w:p>
      <w:pPr>
        <w:spacing w:line="360" w:lineRule="auto"/>
        <w:jc w:val="left"/>
        <w:rPr>
          <w:color w:val="auto"/>
          <w:sz w:val="24"/>
        </w:rPr>
      </w:pPr>
      <w:r>
        <w:rPr>
          <w:rFonts w:hint="eastAsia"/>
          <w:color w:val="auto"/>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color w:val="auto"/>
          <w:sz w:val="24"/>
        </w:rPr>
      </w:pPr>
      <w:r>
        <w:rPr>
          <w:rFonts w:hint="eastAsia"/>
          <w:color w:val="auto"/>
          <w:sz w:val="24"/>
        </w:rPr>
        <w:t xml:space="preserve">    二、本章所制响应文件格式有关表格中的备注栏，由供应商根据自身响应情况作解释性说明，不作为必填项。</w:t>
      </w:r>
    </w:p>
    <w:p>
      <w:pPr>
        <w:spacing w:line="360" w:lineRule="auto"/>
        <w:ind w:firstLine="480" w:firstLineChars="200"/>
        <w:rPr>
          <w:color w:val="auto"/>
          <w:sz w:val="24"/>
        </w:rPr>
      </w:pPr>
      <w:r>
        <w:rPr>
          <w:rFonts w:hint="eastAsia"/>
          <w:color w:val="auto"/>
          <w:sz w:val="24"/>
        </w:rPr>
        <w:t>三、本章所制响应文件格式中需要填写的相关内容事项，可能会与本采购项目无关，在不改变响应文件原义、不影响本项目采购需求的情况下，供应商可以不予填写，但应当注明。</w:t>
      </w:r>
    </w:p>
    <w:p>
      <w:pPr>
        <w:widowControl/>
        <w:jc w:val="left"/>
        <w:rPr>
          <w:color w:val="auto"/>
          <w:sz w:val="24"/>
        </w:rPr>
      </w:pPr>
      <w:r>
        <w:rPr>
          <w:color w:val="auto"/>
          <w:sz w:val="24"/>
        </w:rPr>
        <w:br w:type="page"/>
      </w:r>
    </w:p>
    <w:p>
      <w:pPr>
        <w:pStyle w:val="4"/>
        <w:ind w:left="170" w:leftChars="50"/>
        <w:jc w:val="center"/>
        <w:rPr>
          <w:color w:val="auto"/>
        </w:rPr>
      </w:pPr>
      <w:bookmarkStart w:id="217" w:name="_Toc514154293"/>
      <w:bookmarkStart w:id="218" w:name="_Toc531718424"/>
      <w:bookmarkStart w:id="219" w:name="_Toc25337"/>
      <w:bookmarkStart w:id="220" w:name="_Toc514154160"/>
      <w:r>
        <w:rPr>
          <w:rFonts w:hint="eastAsia"/>
          <w:color w:val="auto"/>
        </w:rPr>
        <w:t>第一部分  资格性响应文件格式</w:t>
      </w:r>
      <w:bookmarkEnd w:id="217"/>
      <w:bookmarkEnd w:id="218"/>
      <w:bookmarkEnd w:id="219"/>
      <w:bookmarkEnd w:id="220"/>
    </w:p>
    <w:p>
      <w:pPr>
        <w:rPr>
          <w:b/>
          <w:color w:val="auto"/>
          <w:sz w:val="24"/>
        </w:rPr>
      </w:pPr>
      <w:bookmarkStart w:id="221" w:name="_Toc514154294"/>
      <w:bookmarkStart w:id="222" w:name="_Toc320698761"/>
      <w:bookmarkStart w:id="223" w:name="_Toc514154161"/>
      <w:r>
        <w:rPr>
          <w:rFonts w:hint="eastAsia"/>
          <w:b/>
          <w:color w:val="auto"/>
          <w:sz w:val="24"/>
        </w:rPr>
        <w:t>资格性响应文件密封包装最外层格式</w:t>
      </w:r>
      <w:bookmarkEnd w:id="221"/>
      <w:bookmarkEnd w:id="222"/>
      <w:bookmarkEnd w:id="223"/>
    </w:p>
    <w:tbl>
      <w:tblPr>
        <w:tblStyle w:val="3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6" w:hRule="atLeast"/>
          <w:jc w:val="center"/>
        </w:trPr>
        <w:tc>
          <w:tcPr>
            <w:tcW w:w="9464" w:type="dxa"/>
          </w:tcPr>
          <w:p>
            <w:pPr>
              <w:spacing w:line="360" w:lineRule="auto"/>
              <w:rPr>
                <w:rStyle w:val="66"/>
                <w:color w:val="auto"/>
              </w:rPr>
            </w:pPr>
            <w:r>
              <w:rPr>
                <w:rFonts w:hint="eastAsia" w:ascii="宋体" w:hAnsi="宋体"/>
                <w:b/>
                <w:color w:val="auto"/>
                <w:sz w:val="28"/>
                <w:szCs w:val="28"/>
              </w:rPr>
              <w:t>项目名称：</w:t>
            </w:r>
          </w:p>
          <w:p>
            <w:pPr>
              <w:spacing w:line="360" w:lineRule="auto"/>
              <w:rPr>
                <w:rFonts w:ascii="宋体" w:hAnsi="宋体"/>
                <w:b/>
                <w:color w:val="auto"/>
                <w:sz w:val="28"/>
                <w:szCs w:val="28"/>
              </w:rPr>
            </w:pPr>
            <w:r>
              <w:rPr>
                <w:rFonts w:hint="eastAsia" w:ascii="宋体" w:hAnsi="宋体"/>
                <w:b/>
                <w:color w:val="auto"/>
                <w:sz w:val="28"/>
              </w:rPr>
              <w:t>项目编号</w:t>
            </w:r>
            <w:r>
              <w:rPr>
                <w:rFonts w:hint="eastAsia" w:ascii="宋体" w:hAnsi="宋体"/>
                <w:b/>
                <w:color w:val="auto"/>
                <w:sz w:val="28"/>
                <w:szCs w:val="28"/>
              </w:rPr>
              <w:t>：</w:t>
            </w:r>
          </w:p>
          <w:p>
            <w:pPr>
              <w:spacing w:line="360" w:lineRule="auto"/>
              <w:jc w:val="center"/>
              <w:rPr>
                <w:rFonts w:ascii="宋体" w:hAnsi="宋体"/>
                <w:color w:val="auto"/>
                <w:sz w:val="32"/>
                <w:szCs w:val="32"/>
              </w:rPr>
            </w:pPr>
            <w:r>
              <w:rPr>
                <w:rFonts w:hint="eastAsia" w:ascii="宋体" w:hAnsi="宋体"/>
                <w:color w:val="auto"/>
                <w:sz w:val="32"/>
                <w:szCs w:val="32"/>
              </w:rPr>
              <w:t>资格性响应文件</w:t>
            </w:r>
          </w:p>
          <w:p>
            <w:pPr>
              <w:spacing w:line="360" w:lineRule="auto"/>
              <w:jc w:val="center"/>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w:t>
            </w:r>
            <w:r>
              <w:rPr>
                <w:rFonts w:hint="eastAsia" w:ascii="宋体" w:hAnsi="宋体"/>
                <w:color w:val="auto"/>
                <w:sz w:val="28"/>
                <w:szCs w:val="28"/>
              </w:rPr>
              <w:t>（加盖公章）</w:t>
            </w:r>
          </w:p>
          <w:p>
            <w:pPr>
              <w:spacing w:line="360" w:lineRule="auto"/>
              <w:jc w:val="center"/>
              <w:rPr>
                <w:rFonts w:ascii="宋体" w:hAnsi="宋体"/>
                <w:b/>
                <w:color w:val="auto"/>
                <w:sz w:val="28"/>
                <w:szCs w:val="28"/>
              </w:rPr>
            </w:pPr>
          </w:p>
        </w:tc>
      </w:tr>
    </w:tbl>
    <w:p>
      <w:pPr>
        <w:rPr>
          <w:rFonts w:hint="eastAsia"/>
          <w:b/>
          <w:color w:val="auto"/>
          <w:sz w:val="24"/>
        </w:rPr>
      </w:pPr>
      <w:bookmarkStart w:id="224" w:name="_Toc320698762"/>
      <w:bookmarkStart w:id="225" w:name="_Toc514154295"/>
      <w:bookmarkStart w:id="226" w:name="_Toc514154162"/>
    </w:p>
    <w:p>
      <w:pPr>
        <w:rPr>
          <w:b/>
          <w:color w:val="auto"/>
          <w:sz w:val="24"/>
        </w:rPr>
      </w:pPr>
      <w:r>
        <w:rPr>
          <w:rFonts w:hint="eastAsia"/>
          <w:b/>
          <w:color w:val="auto"/>
          <w:sz w:val="24"/>
        </w:rPr>
        <w:t>资格性响应文件封面格式</w:t>
      </w:r>
      <w:bookmarkEnd w:id="224"/>
      <w:bookmarkEnd w:id="225"/>
      <w:bookmarkEnd w:id="226"/>
    </w:p>
    <w:tbl>
      <w:tblPr>
        <w:tblStyle w:val="32"/>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4" w:type="dxa"/>
          </w:tcPr>
          <w:p>
            <w:pPr>
              <w:spacing w:line="360" w:lineRule="auto"/>
              <w:rPr>
                <w:rStyle w:val="66"/>
                <w:color w:val="auto"/>
              </w:rPr>
            </w:pPr>
            <w:r>
              <w:rPr>
                <w:rFonts w:hint="eastAsia" w:ascii="宋体" w:hAnsi="宋体"/>
                <w:b/>
                <w:color w:val="auto"/>
                <w:sz w:val="28"/>
                <w:szCs w:val="28"/>
              </w:rPr>
              <w:t>项目名称：</w:t>
            </w:r>
          </w:p>
          <w:p>
            <w:pPr>
              <w:spacing w:line="360" w:lineRule="auto"/>
              <w:rPr>
                <w:rFonts w:ascii="宋体" w:hAnsi="宋体"/>
                <w:color w:val="auto"/>
                <w:sz w:val="28"/>
                <w:szCs w:val="28"/>
              </w:rPr>
            </w:pPr>
            <w:r>
              <w:rPr>
                <w:rFonts w:hint="eastAsia" w:ascii="宋体" w:hAnsi="宋体"/>
                <w:b/>
                <w:color w:val="auto"/>
                <w:sz w:val="28"/>
              </w:rPr>
              <w:t>项目编号</w:t>
            </w:r>
            <w:r>
              <w:rPr>
                <w:rFonts w:hint="eastAsia" w:ascii="宋体" w:hAnsi="宋体"/>
                <w:b/>
                <w:color w:val="auto"/>
                <w:sz w:val="28"/>
                <w:szCs w:val="28"/>
              </w:rPr>
              <w:t>：</w:t>
            </w:r>
          </w:p>
          <w:p>
            <w:pPr>
              <w:spacing w:line="360" w:lineRule="auto"/>
              <w:jc w:val="center"/>
              <w:rPr>
                <w:rFonts w:ascii="宋体" w:hAnsi="宋体"/>
                <w:color w:val="auto"/>
                <w:sz w:val="32"/>
                <w:szCs w:val="32"/>
              </w:rPr>
            </w:pPr>
            <w:r>
              <w:rPr>
                <w:rFonts w:hint="eastAsia" w:ascii="宋体" w:hAnsi="宋体"/>
                <w:color w:val="auto"/>
                <w:sz w:val="32"/>
                <w:szCs w:val="32"/>
              </w:rPr>
              <w:t>资格性响应文件</w:t>
            </w:r>
          </w:p>
          <w:p>
            <w:pPr>
              <w:spacing w:line="360" w:lineRule="auto"/>
              <w:jc w:val="center"/>
              <w:rPr>
                <w:rFonts w:ascii="宋体" w:hAnsi="宋体"/>
                <w:color w:val="auto"/>
                <w:sz w:val="32"/>
                <w:szCs w:val="32"/>
              </w:rPr>
            </w:pPr>
            <w:r>
              <w:rPr>
                <w:rFonts w:hint="eastAsia" w:ascii="宋体" w:hAnsi="宋体"/>
                <w:color w:val="auto"/>
                <w:sz w:val="32"/>
                <w:szCs w:val="32"/>
              </w:rPr>
              <w:t>（正本或副本）</w:t>
            </w:r>
          </w:p>
          <w:p>
            <w:pPr>
              <w:spacing w:line="360" w:lineRule="auto"/>
              <w:ind w:left="2536" w:leftChars="382" w:hanging="1237" w:hangingChars="442"/>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w:t>
            </w:r>
          </w:p>
          <w:p>
            <w:pPr>
              <w:spacing w:line="360" w:lineRule="auto"/>
              <w:ind w:firstLine="980" w:firstLineChars="350"/>
              <w:rPr>
                <w:rFonts w:ascii="宋体" w:hAnsi="宋体"/>
                <w:color w:val="auto"/>
                <w:sz w:val="28"/>
                <w:szCs w:val="28"/>
              </w:rPr>
            </w:pPr>
            <w:r>
              <w:rPr>
                <w:rFonts w:hint="eastAsia" w:ascii="宋体" w:hAnsi="宋体"/>
                <w:color w:val="auto"/>
                <w:sz w:val="28"/>
                <w:szCs w:val="28"/>
              </w:rPr>
              <w:t>日期：</w:t>
            </w:r>
            <w:r>
              <w:rPr>
                <w:rFonts w:hint="eastAsia" w:ascii="宋体" w:hAnsi="宋体"/>
                <w:color w:val="auto"/>
                <w:sz w:val="28"/>
                <w:szCs w:val="28"/>
                <w:u w:val="single"/>
              </w:rPr>
              <w:t>　　</w:t>
            </w:r>
            <w:r>
              <w:rPr>
                <w:rFonts w:hint="eastAsia" w:ascii="宋体" w:hAnsi="宋体"/>
                <w:color w:val="auto"/>
                <w:sz w:val="28"/>
                <w:szCs w:val="28"/>
              </w:rPr>
              <w:t>年</w:t>
            </w:r>
            <w:r>
              <w:rPr>
                <w:rFonts w:hint="eastAsia" w:ascii="宋体" w:hAnsi="宋体"/>
                <w:color w:val="auto"/>
                <w:sz w:val="28"/>
                <w:szCs w:val="28"/>
                <w:u w:val="single"/>
              </w:rPr>
              <w:t>　　</w:t>
            </w:r>
            <w:r>
              <w:rPr>
                <w:rFonts w:hint="eastAsia" w:ascii="宋体" w:hAnsi="宋体"/>
                <w:color w:val="auto"/>
                <w:sz w:val="28"/>
                <w:szCs w:val="28"/>
              </w:rPr>
              <w:t>月</w:t>
            </w:r>
            <w:r>
              <w:rPr>
                <w:rFonts w:hint="eastAsia" w:ascii="宋体" w:hAnsi="宋体"/>
                <w:color w:val="auto"/>
                <w:sz w:val="28"/>
                <w:szCs w:val="28"/>
                <w:u w:val="single"/>
              </w:rPr>
              <w:t>　　</w:t>
            </w:r>
            <w:r>
              <w:rPr>
                <w:rFonts w:hint="eastAsia" w:ascii="宋体" w:hAnsi="宋体"/>
                <w:color w:val="auto"/>
                <w:sz w:val="28"/>
                <w:szCs w:val="28"/>
              </w:rPr>
              <w:t>日</w:t>
            </w:r>
          </w:p>
        </w:tc>
      </w:tr>
    </w:tbl>
    <w:p>
      <w:pPr>
        <w:spacing w:line="360" w:lineRule="auto"/>
        <w:rPr>
          <w:rFonts w:ascii="宋体" w:hAnsi="宋体"/>
          <w:b/>
          <w:color w:val="auto"/>
          <w:sz w:val="24"/>
        </w:rPr>
      </w:pPr>
      <w:r>
        <w:rPr>
          <w:rFonts w:hint="eastAsia" w:ascii="宋体" w:hAnsi="宋体"/>
          <w:b/>
          <w:color w:val="auto"/>
          <w:sz w:val="24"/>
        </w:rPr>
        <w:t>温馨提示：</w:t>
      </w:r>
    </w:p>
    <w:p>
      <w:pPr>
        <w:spacing w:line="360" w:lineRule="auto"/>
        <w:rPr>
          <w:rFonts w:ascii="宋体" w:hAnsi="宋体"/>
          <w:b/>
          <w:color w:val="auto"/>
          <w:sz w:val="24"/>
        </w:rPr>
      </w:pPr>
      <w:r>
        <w:rPr>
          <w:rFonts w:hint="eastAsia" w:ascii="宋体" w:hAnsi="宋体"/>
          <w:b/>
          <w:color w:val="auto"/>
          <w:sz w:val="24"/>
        </w:rPr>
        <w:t>一、资格性响应文件正本一份、副本两份；</w:t>
      </w:r>
    </w:p>
    <w:p>
      <w:pPr>
        <w:spacing w:line="360" w:lineRule="auto"/>
        <w:rPr>
          <w:rFonts w:ascii="宋体" w:hAnsi="宋体"/>
          <w:b/>
          <w:color w:val="auto"/>
          <w:sz w:val="24"/>
        </w:rPr>
      </w:pPr>
      <w:r>
        <w:rPr>
          <w:rFonts w:hint="eastAsia" w:ascii="宋体" w:hAnsi="宋体"/>
          <w:b/>
          <w:color w:val="auto"/>
          <w:sz w:val="24"/>
        </w:rPr>
        <w:t>二、资格性响应文件应单独密封包装，并于递交响应文件截止时间前送达指定地点；</w:t>
      </w:r>
    </w:p>
    <w:p>
      <w:pPr>
        <w:tabs>
          <w:tab w:val="left" w:pos="993"/>
        </w:tabs>
        <w:spacing w:line="360" w:lineRule="auto"/>
        <w:rPr>
          <w:rFonts w:ascii="宋体" w:hAnsi="宋体"/>
          <w:color w:val="auto"/>
          <w:sz w:val="24"/>
        </w:rPr>
      </w:pPr>
      <w:r>
        <w:rPr>
          <w:rFonts w:hint="eastAsia" w:ascii="宋体" w:hAnsi="宋体"/>
          <w:b/>
          <w:color w:val="auto"/>
          <w:sz w:val="24"/>
        </w:rPr>
        <w:t>三、供应商提供的资格证明材料如发证机关有年检要求的则应通过年检且年检章要清楚，如有有效期的则应提供在有效期内的证明材料。</w:t>
      </w:r>
    </w:p>
    <w:p>
      <w:pPr>
        <w:widowControl/>
        <w:jc w:val="left"/>
        <w:rPr>
          <w:b/>
          <w:color w:val="auto"/>
          <w:sz w:val="32"/>
          <w:szCs w:val="32"/>
        </w:rPr>
      </w:pPr>
      <w:r>
        <w:rPr>
          <w:b/>
          <w:color w:val="auto"/>
          <w:sz w:val="32"/>
          <w:szCs w:val="32"/>
        </w:rPr>
        <w:br w:type="page"/>
      </w:r>
    </w:p>
    <w:p>
      <w:pPr>
        <w:pStyle w:val="5"/>
        <w:tabs>
          <w:tab w:val="left" w:pos="709"/>
        </w:tabs>
        <w:ind w:leftChars="-202" w:hanging="424" w:hangingChars="132"/>
        <w:jc w:val="center"/>
        <w:rPr>
          <w:rFonts w:ascii="宋体" w:hAnsi="宋体" w:eastAsia="黑体"/>
          <w:b w:val="0"/>
          <w:color w:val="auto"/>
          <w:sz w:val="28"/>
          <w:szCs w:val="28"/>
        </w:rPr>
      </w:pPr>
      <w:bookmarkStart w:id="227" w:name="_Toc531718425"/>
      <w:r>
        <w:rPr>
          <w:rFonts w:hint="eastAsia" w:ascii="宋体" w:hAnsi="宋体"/>
          <w:bCs w:val="0"/>
          <w:color w:val="auto"/>
          <w:sz w:val="32"/>
        </w:rPr>
        <w:t>一、承诺函</w:t>
      </w:r>
      <w:bookmarkEnd w:id="227"/>
    </w:p>
    <w:p>
      <w:pPr>
        <w:rPr>
          <w:rFonts w:ascii="宋体" w:hAnsi="宋体"/>
          <w:color w:val="auto"/>
          <w:sz w:val="24"/>
        </w:rPr>
      </w:pPr>
      <w:r>
        <w:rPr>
          <w:rFonts w:hint="eastAsia" w:hAnsi="宋体"/>
          <w:color w:val="auto"/>
          <w:sz w:val="24"/>
          <w:lang w:eastAsia="zh-CN"/>
        </w:rPr>
        <w:t>四川映池工程管理有限责任公司</w:t>
      </w:r>
      <w:r>
        <w:rPr>
          <w:rFonts w:hint="eastAsia" w:ascii="宋体" w:hAnsi="宋体"/>
          <w:color w:val="auto"/>
          <w:sz w:val="24"/>
        </w:rPr>
        <w:t>（采购代理机构名称）：</w:t>
      </w:r>
    </w:p>
    <w:p>
      <w:pPr>
        <w:ind w:firstLine="480" w:firstLineChars="200"/>
        <w:rPr>
          <w:rFonts w:ascii="宋体" w:hAnsi="宋体"/>
          <w:color w:val="auto"/>
          <w:sz w:val="24"/>
        </w:rPr>
      </w:pPr>
      <w:r>
        <w:rPr>
          <w:rFonts w:hint="eastAsia" w:ascii="宋体" w:hAnsi="宋体"/>
          <w:color w:val="auto"/>
          <w:sz w:val="24"/>
        </w:rPr>
        <w:t>我公司作为本次采购项目的供应商，根据磋商文件要求，现郑重承诺如下：</w:t>
      </w:r>
    </w:p>
    <w:p>
      <w:pPr>
        <w:ind w:firstLine="480" w:firstLineChars="200"/>
        <w:rPr>
          <w:rFonts w:hint="eastAsia" w:ascii="宋体" w:hAnsi="宋体"/>
          <w:color w:val="auto"/>
          <w:sz w:val="24"/>
          <w:szCs w:val="22"/>
        </w:rPr>
      </w:pPr>
      <w:r>
        <w:rPr>
          <w:rFonts w:hint="eastAsia" w:ascii="宋体" w:hAnsi="宋体"/>
          <w:color w:val="auto"/>
          <w:sz w:val="24"/>
          <w:szCs w:val="22"/>
        </w:rPr>
        <w:t>一、具备《中华人民共和国政府采购法》第二十二条第一款和本项目规定的条件：</w:t>
      </w:r>
    </w:p>
    <w:p>
      <w:pPr>
        <w:ind w:firstLine="480" w:firstLineChars="200"/>
        <w:rPr>
          <w:rFonts w:hint="eastAsia" w:ascii="宋体" w:hAnsi="宋体"/>
          <w:color w:val="auto"/>
          <w:sz w:val="24"/>
          <w:szCs w:val="22"/>
        </w:rPr>
      </w:pPr>
      <w:r>
        <w:rPr>
          <w:rFonts w:hint="eastAsia" w:ascii="宋体" w:hAnsi="宋体"/>
          <w:color w:val="auto"/>
          <w:sz w:val="24"/>
          <w:szCs w:val="22"/>
        </w:rPr>
        <w:t>（一）具有独立承担民事责任的能力；</w:t>
      </w:r>
    </w:p>
    <w:p>
      <w:pPr>
        <w:ind w:firstLine="480" w:firstLineChars="200"/>
        <w:rPr>
          <w:rFonts w:hint="eastAsia" w:ascii="宋体" w:hAnsi="宋体"/>
          <w:color w:val="auto"/>
          <w:sz w:val="24"/>
          <w:szCs w:val="22"/>
        </w:rPr>
      </w:pPr>
      <w:r>
        <w:rPr>
          <w:rFonts w:hint="eastAsia" w:ascii="宋体" w:hAnsi="宋体"/>
          <w:color w:val="auto"/>
          <w:sz w:val="24"/>
          <w:szCs w:val="22"/>
        </w:rPr>
        <w:t>（二）具有良好的商业信誉和健全的财务会计制度；</w:t>
      </w:r>
    </w:p>
    <w:p>
      <w:pPr>
        <w:ind w:firstLine="480" w:firstLineChars="200"/>
        <w:rPr>
          <w:rFonts w:hint="eastAsia" w:ascii="宋体" w:hAnsi="宋体"/>
          <w:color w:val="auto"/>
          <w:sz w:val="24"/>
          <w:szCs w:val="22"/>
        </w:rPr>
      </w:pPr>
      <w:r>
        <w:rPr>
          <w:rFonts w:hint="eastAsia" w:ascii="宋体" w:hAnsi="宋体"/>
          <w:color w:val="auto"/>
          <w:sz w:val="24"/>
          <w:szCs w:val="22"/>
        </w:rPr>
        <w:t>（三）具有履行合同所必需的设备和专业技术能力；</w:t>
      </w:r>
    </w:p>
    <w:p>
      <w:pPr>
        <w:ind w:firstLine="480" w:firstLineChars="200"/>
        <w:rPr>
          <w:rFonts w:hint="eastAsia" w:ascii="宋体" w:hAnsi="宋体"/>
          <w:color w:val="auto"/>
          <w:sz w:val="24"/>
          <w:szCs w:val="22"/>
        </w:rPr>
      </w:pPr>
      <w:r>
        <w:rPr>
          <w:rFonts w:hint="eastAsia" w:ascii="宋体" w:hAnsi="宋体"/>
          <w:color w:val="auto"/>
          <w:sz w:val="24"/>
          <w:szCs w:val="22"/>
        </w:rPr>
        <w:t>（四）有依法缴纳税收和社会保障资金的良好记录；</w:t>
      </w:r>
    </w:p>
    <w:p>
      <w:pPr>
        <w:ind w:firstLine="480" w:firstLineChars="200"/>
        <w:rPr>
          <w:rFonts w:hint="eastAsia" w:ascii="宋体" w:hAnsi="宋体"/>
          <w:color w:val="auto"/>
          <w:sz w:val="24"/>
          <w:szCs w:val="22"/>
        </w:rPr>
      </w:pPr>
      <w:r>
        <w:rPr>
          <w:rFonts w:hint="eastAsia" w:ascii="宋体" w:hAnsi="宋体"/>
          <w:color w:val="auto"/>
          <w:sz w:val="24"/>
          <w:szCs w:val="22"/>
        </w:rPr>
        <w:t>（五）参加政府采购活动前三年内，在经营活动中没有重大违法记录；</w:t>
      </w:r>
    </w:p>
    <w:p>
      <w:pPr>
        <w:ind w:firstLine="480" w:firstLineChars="200"/>
        <w:rPr>
          <w:rFonts w:hint="eastAsia" w:ascii="宋体" w:hAnsi="宋体"/>
          <w:color w:val="auto"/>
          <w:sz w:val="24"/>
          <w:szCs w:val="22"/>
        </w:rPr>
      </w:pPr>
      <w:r>
        <w:rPr>
          <w:rFonts w:hint="eastAsia" w:ascii="宋体" w:hAnsi="宋体"/>
          <w:color w:val="auto"/>
          <w:sz w:val="24"/>
          <w:szCs w:val="22"/>
        </w:rPr>
        <w:t>（六）法律、行政法规规定的其他条件；</w:t>
      </w:r>
    </w:p>
    <w:p>
      <w:pPr>
        <w:ind w:firstLine="480" w:firstLineChars="200"/>
        <w:rPr>
          <w:rFonts w:hint="eastAsia" w:ascii="宋体" w:hAnsi="宋体"/>
          <w:color w:val="auto"/>
          <w:sz w:val="24"/>
          <w:szCs w:val="22"/>
        </w:rPr>
      </w:pPr>
      <w:r>
        <w:rPr>
          <w:rFonts w:hint="eastAsia" w:ascii="宋体" w:hAnsi="宋体"/>
          <w:color w:val="auto"/>
          <w:sz w:val="24"/>
          <w:szCs w:val="22"/>
        </w:rPr>
        <w:t>（七）根据采购项目提出的特殊条件。</w:t>
      </w:r>
    </w:p>
    <w:p>
      <w:pPr>
        <w:ind w:firstLine="480" w:firstLineChars="200"/>
        <w:rPr>
          <w:rFonts w:hint="eastAsia" w:ascii="宋体" w:hAnsi="宋体"/>
          <w:color w:val="auto"/>
          <w:sz w:val="24"/>
          <w:szCs w:val="22"/>
        </w:rPr>
      </w:pPr>
      <w:r>
        <w:rPr>
          <w:rFonts w:hint="eastAsia" w:ascii="宋体" w:hAnsi="宋体"/>
          <w:color w:val="auto"/>
          <w:sz w:val="24"/>
          <w:szCs w:val="22"/>
        </w:rPr>
        <w:t>二、完全接受和满足本项目磋商文件中规定的实质性要求</w:t>
      </w:r>
      <w:r>
        <w:rPr>
          <w:rFonts w:hint="eastAsia" w:hAnsi="宋体"/>
          <w:color w:val="auto"/>
          <w:sz w:val="24"/>
          <w:szCs w:val="22"/>
          <w:lang w:eastAsia="zh-CN"/>
        </w:rPr>
        <w:t>，包括</w:t>
      </w:r>
      <w:r>
        <w:rPr>
          <w:rFonts w:hint="eastAsia" w:ascii="宋体" w:hAnsi="宋体"/>
          <w:color w:val="auto"/>
          <w:sz w:val="24"/>
          <w:szCs w:val="22"/>
        </w:rPr>
        <w:t>采购预算、最高限价、投标费用、低于成本价不正当竞争预防措施、</w:t>
      </w:r>
      <w:r>
        <w:rPr>
          <w:rFonts w:hint="eastAsia" w:ascii="宋体" w:hAnsi="宋体"/>
          <w:color w:val="auto"/>
          <w:sz w:val="24"/>
          <w:szCs w:val="22"/>
          <w:lang w:val="zh-CN"/>
        </w:rPr>
        <w:t>进口产品、联合体、失信企业报价加成或者扣分、国家规定的优先、强制认证、强制采购范围、投标人承诺给予磋商采购单位的各种优惠条件、</w:t>
      </w:r>
      <w:r>
        <w:rPr>
          <w:rFonts w:hint="eastAsia" w:hAnsi="宋体"/>
          <w:color w:val="auto"/>
          <w:sz w:val="24"/>
          <w:szCs w:val="22"/>
          <w:lang w:val="zh-CN"/>
        </w:rPr>
        <w:t>响应文件</w:t>
      </w:r>
      <w:r>
        <w:rPr>
          <w:rFonts w:hint="eastAsia" w:ascii="宋体" w:hAnsi="宋体"/>
          <w:color w:val="auto"/>
          <w:sz w:val="24"/>
          <w:szCs w:val="22"/>
          <w:lang w:val="zh-CN"/>
        </w:rPr>
        <w:t>的印制和签署、节能、</w:t>
      </w:r>
      <w:r>
        <w:rPr>
          <w:rFonts w:hint="eastAsia" w:hAnsi="宋体"/>
          <w:color w:val="auto"/>
          <w:sz w:val="24"/>
          <w:szCs w:val="22"/>
          <w:lang w:val="zh-CN"/>
        </w:rPr>
        <w:t>环境标志</w:t>
      </w:r>
      <w:r>
        <w:rPr>
          <w:rFonts w:hint="eastAsia" w:ascii="宋体" w:hAnsi="宋体"/>
          <w:color w:val="auto"/>
          <w:sz w:val="24"/>
          <w:szCs w:val="22"/>
          <w:lang w:val="zh-CN"/>
        </w:rPr>
        <w:t>及无线局域网产品政府采购政策、招标代理服务费、</w:t>
      </w:r>
      <w:r>
        <w:rPr>
          <w:rFonts w:hint="eastAsia" w:hAnsi="宋体"/>
          <w:color w:val="auto"/>
          <w:sz w:val="24"/>
          <w:szCs w:val="22"/>
          <w:lang w:eastAsia="zh-CN"/>
        </w:rPr>
        <w:t>响应文件</w:t>
      </w:r>
      <w:r>
        <w:rPr>
          <w:rFonts w:hint="eastAsia" w:ascii="宋体" w:hAnsi="宋体"/>
          <w:color w:val="auto"/>
          <w:sz w:val="24"/>
          <w:szCs w:val="22"/>
        </w:rPr>
        <w:t>的语言、计量单位、投标货币</w:t>
      </w:r>
      <w:r>
        <w:rPr>
          <w:rFonts w:hint="eastAsia" w:hAnsi="宋体"/>
          <w:color w:val="auto"/>
          <w:sz w:val="24"/>
          <w:szCs w:val="22"/>
          <w:lang w:eastAsia="zh-CN"/>
        </w:rPr>
        <w:t>，</w:t>
      </w:r>
      <w:r>
        <w:rPr>
          <w:rFonts w:hint="eastAsia" w:ascii="宋体" w:hAnsi="宋体"/>
          <w:color w:val="auto"/>
          <w:sz w:val="24"/>
          <w:szCs w:val="22"/>
        </w:rPr>
        <w:t>联合体投标、投标有效期、合同分包、合同转包、如项目涉及</w:t>
      </w:r>
      <w:r>
        <w:rPr>
          <w:rFonts w:hint="eastAsia" w:hAnsi="宋体"/>
          <w:color w:val="auto"/>
          <w:sz w:val="24"/>
          <w:szCs w:val="22"/>
          <w:lang w:eastAsia="zh-CN"/>
        </w:rPr>
        <w:t>“</w:t>
      </w:r>
      <w:r>
        <w:rPr>
          <w:rFonts w:hint="eastAsia" w:hAnsi="宋体"/>
          <w:color w:val="auto"/>
          <w:sz w:val="24"/>
          <w:szCs w:val="22"/>
          <w:lang w:val="en-US" w:eastAsia="zh-CN"/>
        </w:rPr>
        <w:t>CCC</w:t>
      </w:r>
      <w:r>
        <w:rPr>
          <w:rFonts w:hint="eastAsia" w:hAnsi="宋体"/>
          <w:color w:val="auto"/>
          <w:sz w:val="24"/>
          <w:szCs w:val="22"/>
          <w:lang w:eastAsia="zh-CN"/>
        </w:rPr>
        <w:t>”</w:t>
      </w:r>
      <w:r>
        <w:rPr>
          <w:rFonts w:hint="eastAsia" w:ascii="宋体" w:hAnsi="宋体"/>
          <w:color w:val="auto"/>
          <w:sz w:val="24"/>
          <w:szCs w:val="22"/>
        </w:rPr>
        <w:t>认证</w:t>
      </w:r>
      <w:r>
        <w:rPr>
          <w:rFonts w:hint="eastAsia" w:ascii="宋体" w:hAnsi="宋体" w:cs="宋体"/>
          <w:color w:val="auto"/>
          <w:sz w:val="24"/>
          <w:highlight w:val="none"/>
          <w:lang w:eastAsia="zh-CN"/>
        </w:rPr>
        <w:t>或国家行政许可范围的产品</w:t>
      </w:r>
      <w:r>
        <w:rPr>
          <w:rFonts w:hint="eastAsia" w:ascii="宋体" w:hAnsi="宋体"/>
          <w:color w:val="auto"/>
          <w:sz w:val="24"/>
          <w:szCs w:val="22"/>
        </w:rPr>
        <w:t>，</w:t>
      </w:r>
      <w:r>
        <w:rPr>
          <w:rFonts w:hint="eastAsia" w:ascii="宋体" w:hAnsi="宋体"/>
          <w:color w:val="000000" w:themeColor="text1"/>
          <w:sz w:val="24"/>
          <w:szCs w:val="22"/>
          <w14:textFill>
            <w14:solidFill>
              <w14:schemeClr w14:val="tx1"/>
            </w14:solidFill>
          </w14:textFill>
        </w:rPr>
        <w:t>我公司将在成交后签订合同前提供</w:t>
      </w:r>
      <w:r>
        <w:rPr>
          <w:rFonts w:hint="eastAsia" w:hAnsi="宋体"/>
          <w:color w:val="000000" w:themeColor="text1"/>
          <w:sz w:val="24"/>
          <w:szCs w:val="22"/>
          <w:lang w:eastAsia="zh-CN"/>
          <w14:textFill>
            <w14:solidFill>
              <w14:schemeClr w14:val="tx1"/>
            </w14:solidFill>
          </w14:textFill>
        </w:rPr>
        <w:t>“</w:t>
      </w:r>
      <w:r>
        <w:rPr>
          <w:rFonts w:hint="eastAsia" w:hAnsi="宋体"/>
          <w:color w:val="000000" w:themeColor="text1"/>
          <w:sz w:val="24"/>
          <w:szCs w:val="22"/>
          <w:lang w:val="en-US" w:eastAsia="zh-CN"/>
          <w14:textFill>
            <w14:solidFill>
              <w14:schemeClr w14:val="tx1"/>
            </w14:solidFill>
          </w14:textFill>
        </w:rPr>
        <w:t>CCC</w:t>
      </w:r>
      <w:r>
        <w:rPr>
          <w:rFonts w:hint="eastAsia" w:hAnsi="宋体"/>
          <w:color w:val="000000" w:themeColor="text1"/>
          <w:sz w:val="24"/>
          <w:szCs w:val="22"/>
          <w:lang w:eastAsia="zh-CN"/>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认证证明文件或国家许可证明文件</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color w:val="auto"/>
          <w:sz w:val="24"/>
          <w:szCs w:val="22"/>
        </w:rPr>
        <w:t>如对磋商文件有异议，已依法进行维权救济，不存在对磋商文件有异议的同时又参加投标以求侥幸成交或者为实现其他非法目的的行为。</w:t>
      </w:r>
    </w:p>
    <w:p>
      <w:pPr>
        <w:ind w:firstLine="480" w:firstLineChars="200"/>
        <w:rPr>
          <w:rFonts w:hint="eastAsia" w:ascii="宋体" w:hAnsi="宋体"/>
          <w:color w:val="auto"/>
          <w:sz w:val="24"/>
          <w:szCs w:val="22"/>
        </w:rPr>
      </w:pPr>
      <w:r>
        <w:rPr>
          <w:rFonts w:hint="eastAsia" w:ascii="宋体" w:hAnsi="宋体"/>
          <w:color w:val="auto"/>
          <w:sz w:val="24"/>
          <w:szCs w:val="22"/>
        </w:rPr>
        <w:t>三、在参加本次采购活动中，不存在与单位负责人为同一人</w:t>
      </w:r>
      <w:r>
        <w:rPr>
          <w:rFonts w:hint="eastAsia" w:hAnsi="宋体"/>
          <w:color w:val="auto"/>
          <w:sz w:val="24"/>
          <w:szCs w:val="22"/>
          <w:lang w:val="en-US" w:eastAsia="zh-CN"/>
        </w:rPr>
        <w:t>而且不</w:t>
      </w:r>
      <w:r>
        <w:rPr>
          <w:rFonts w:hint="eastAsia" w:ascii="宋体" w:hAnsi="宋体"/>
          <w:color w:val="auto"/>
          <w:sz w:val="24"/>
          <w:szCs w:val="22"/>
        </w:rPr>
        <w:t>存在直接控股、管理关系的其他供应商参与同一合同项下的政府采购活动的行为。</w:t>
      </w:r>
    </w:p>
    <w:p>
      <w:pPr>
        <w:ind w:firstLine="480" w:firstLineChars="200"/>
        <w:rPr>
          <w:rFonts w:hint="eastAsia" w:ascii="宋体" w:hAnsi="宋体"/>
          <w:color w:val="auto"/>
          <w:sz w:val="24"/>
          <w:szCs w:val="22"/>
        </w:rPr>
      </w:pPr>
      <w:r>
        <w:rPr>
          <w:rFonts w:hint="eastAsia" w:ascii="宋体" w:hAnsi="宋体"/>
          <w:color w:val="auto"/>
          <w:sz w:val="24"/>
          <w:szCs w:val="22"/>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宋体" w:hAnsi="宋体"/>
          <w:color w:val="auto"/>
          <w:sz w:val="24"/>
          <w:szCs w:val="22"/>
        </w:rPr>
      </w:pPr>
      <w:r>
        <w:rPr>
          <w:rFonts w:hint="eastAsia" w:ascii="宋体" w:hAnsi="宋体"/>
          <w:color w:val="auto"/>
          <w:sz w:val="24"/>
          <w:szCs w:val="22"/>
        </w:rPr>
        <w:t>五、如果有《四川省政府采购当事人诚信管理办法》（川财采[2015]33号）规定的记入诚信档案的失信行为，将在响应文件中全面如实反映。</w:t>
      </w:r>
    </w:p>
    <w:p>
      <w:pPr>
        <w:ind w:firstLine="480" w:firstLineChars="200"/>
        <w:rPr>
          <w:rFonts w:hint="eastAsia" w:ascii="宋体" w:hAnsi="宋体"/>
          <w:color w:val="auto"/>
          <w:sz w:val="24"/>
          <w:szCs w:val="22"/>
        </w:rPr>
      </w:pPr>
      <w:r>
        <w:rPr>
          <w:rFonts w:hint="eastAsia" w:ascii="宋体" w:hAnsi="宋体"/>
          <w:color w:val="auto"/>
          <w:sz w:val="24"/>
          <w:szCs w:val="22"/>
        </w:rPr>
        <w:t>六、响应文件中提供的任何资料和技术、服务、商务等响应承诺情况都是真实的、有效的、合法的。</w:t>
      </w:r>
    </w:p>
    <w:p>
      <w:pPr>
        <w:ind w:firstLine="480" w:firstLineChars="200"/>
        <w:rPr>
          <w:rFonts w:hint="eastAsia" w:ascii="宋体" w:hAnsi="宋体"/>
          <w:color w:val="auto"/>
          <w:sz w:val="24"/>
          <w:szCs w:val="22"/>
        </w:rPr>
      </w:pPr>
      <w:r>
        <w:rPr>
          <w:rFonts w:hint="eastAsia" w:ascii="宋体" w:hAnsi="宋体"/>
          <w:color w:val="auto"/>
          <w:sz w:val="24"/>
          <w:szCs w:val="22"/>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rPr>
          <w:rFonts w:ascii="宋体" w:hAnsi="宋体"/>
          <w:color w:val="auto"/>
          <w:sz w:val="24"/>
        </w:rPr>
      </w:pPr>
      <w:r>
        <w:rPr>
          <w:rFonts w:hint="eastAsia" w:ascii="宋体" w:hAnsi="宋体"/>
          <w:color w:val="auto"/>
          <w:sz w:val="24"/>
          <w:szCs w:val="22"/>
        </w:rPr>
        <w:t>本公司对上述承诺的内容事项真实性负责。如经查实上述承诺的内容事项存在虚假，我公司愿意接受以提供虚假材料谋取成交的法律责任。</w:t>
      </w:r>
    </w:p>
    <w:p>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pPr>
        <w:adjustRightInd w:val="0"/>
        <w:spacing w:line="400" w:lineRule="exact"/>
        <w:jc w:val="left"/>
        <w:rPr>
          <w:bCs/>
          <w:color w:val="auto"/>
          <w:sz w:val="24"/>
        </w:rPr>
      </w:pPr>
      <w:r>
        <w:rPr>
          <w:rFonts w:hint="eastAsia"/>
          <w:bCs/>
          <w:color w:val="auto"/>
          <w:sz w:val="24"/>
        </w:rPr>
        <w:t>法定代表人或授权代表（签字或盖章）：XXX</w:t>
      </w:r>
    </w:p>
    <w:p>
      <w:pPr>
        <w:adjustRightInd w:val="0"/>
        <w:spacing w:line="400" w:lineRule="exact"/>
        <w:jc w:val="left"/>
        <w:rPr>
          <w:rFonts w:hint="eastAsia"/>
        </w:rPr>
      </w:pPr>
      <w:r>
        <w:rPr>
          <w:rFonts w:hint="eastAsia"/>
          <w:bCs/>
          <w:color w:val="auto"/>
          <w:sz w:val="24"/>
        </w:rPr>
        <w:t>日  期：XXX年XXX月XXX日</w:t>
      </w:r>
      <w:bookmarkStart w:id="228" w:name="_Toc514154163"/>
      <w:bookmarkStart w:id="229" w:name="_Toc514154296"/>
      <w:bookmarkStart w:id="230" w:name="_Toc531718426"/>
    </w:p>
    <w:p>
      <w:pPr>
        <w:pStyle w:val="5"/>
        <w:tabs>
          <w:tab w:val="left" w:pos="709"/>
        </w:tabs>
        <w:ind w:left="709" w:firstLine="0" w:firstLineChars="0"/>
        <w:jc w:val="center"/>
        <w:rPr>
          <w:rFonts w:ascii="宋体" w:hAnsi="宋体"/>
          <w:bCs w:val="0"/>
          <w:color w:val="auto"/>
          <w:sz w:val="32"/>
        </w:rPr>
      </w:pPr>
      <w:r>
        <w:rPr>
          <w:rFonts w:hint="eastAsia" w:ascii="宋体" w:hAnsi="宋体"/>
          <w:bCs w:val="0"/>
          <w:color w:val="auto"/>
          <w:sz w:val="32"/>
        </w:rPr>
        <w:t>二、法定代表人身份证明书</w:t>
      </w:r>
      <w:bookmarkEnd w:id="228"/>
      <w:bookmarkEnd w:id="229"/>
      <w:bookmarkEnd w:id="230"/>
    </w:p>
    <w:p>
      <w:pPr>
        <w:rPr>
          <w:color w:val="auto"/>
        </w:rPr>
      </w:pP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u w:val="single"/>
          <w:lang w:val="zh-CN"/>
        </w:rPr>
        <w:t xml:space="preserve">       （法定代表人姓名）       </w:t>
      </w:r>
      <w:r>
        <w:rPr>
          <w:rFonts w:hint="eastAsia" w:ascii="宋体" w:hAnsi="宋体"/>
          <w:color w:val="auto"/>
          <w:sz w:val="28"/>
          <w:szCs w:val="28"/>
          <w:lang w:val="zh-CN"/>
        </w:rPr>
        <w:t>在</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处任</w:t>
      </w:r>
      <w:r>
        <w:rPr>
          <w:rFonts w:hint="eastAsia" w:ascii="宋体" w:hAnsi="宋体"/>
          <w:color w:val="auto"/>
          <w:sz w:val="28"/>
          <w:szCs w:val="28"/>
          <w:u w:val="single"/>
          <w:lang w:val="zh-CN"/>
        </w:rPr>
        <w:t xml:space="preserve">       （职务名称）       </w:t>
      </w:r>
      <w:r>
        <w:rPr>
          <w:rFonts w:hint="eastAsia" w:ascii="宋体" w:hAnsi="宋体"/>
          <w:color w:val="auto"/>
          <w:sz w:val="28"/>
          <w:szCs w:val="28"/>
          <w:lang w:val="zh-CN"/>
        </w:rPr>
        <w:t>职务，是</w:t>
      </w:r>
      <w:r>
        <w:rPr>
          <w:rFonts w:hint="eastAsia" w:ascii="宋体" w:hAnsi="宋体"/>
          <w:color w:val="auto"/>
          <w:sz w:val="28"/>
          <w:szCs w:val="28"/>
          <w:u w:val="single"/>
          <w:lang w:val="zh-CN"/>
        </w:rPr>
        <w:t xml:space="preserve">       （供应商名称）       </w:t>
      </w:r>
      <w:r>
        <w:rPr>
          <w:rFonts w:hint="eastAsia" w:ascii="宋体" w:hAnsi="宋体"/>
          <w:color w:val="auto"/>
          <w:sz w:val="28"/>
          <w:szCs w:val="28"/>
          <w:lang w:val="zh-CN"/>
        </w:rPr>
        <w:t>的法定代表人。</w:t>
      </w:r>
    </w:p>
    <w:p>
      <w:pPr>
        <w:tabs>
          <w:tab w:val="left" w:pos="6300"/>
        </w:tabs>
        <w:spacing w:line="360" w:lineRule="auto"/>
        <w:ind w:firstLine="573"/>
        <w:rPr>
          <w:rFonts w:ascii="宋体" w:hAnsi="宋体"/>
          <w:color w:val="auto"/>
          <w:sz w:val="28"/>
          <w:szCs w:val="28"/>
          <w:lang w:val="zh-CN"/>
        </w:rPr>
      </w:pPr>
      <w:r>
        <w:rPr>
          <w:rFonts w:hint="eastAsia" w:ascii="宋体" w:hAnsi="宋体"/>
          <w:color w:val="auto"/>
          <w:sz w:val="28"/>
          <w:szCs w:val="28"/>
          <w:lang w:val="zh-CN"/>
        </w:rPr>
        <w:t>特此证明。</w:t>
      </w: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tabs>
          <w:tab w:val="left" w:pos="6300"/>
        </w:tabs>
        <w:spacing w:line="360" w:lineRule="auto"/>
        <w:ind w:firstLine="573"/>
        <w:rPr>
          <w:rFonts w:ascii="宋体" w:hAnsi="宋体"/>
          <w:color w:val="auto"/>
          <w:sz w:val="28"/>
          <w:szCs w:val="28"/>
          <w:lang w:val="zh-CN"/>
        </w:rPr>
      </w:pPr>
    </w:p>
    <w:p>
      <w:pPr>
        <w:spacing w:line="560" w:lineRule="exact"/>
        <w:ind w:firstLine="537" w:firstLineChars="192"/>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(加盖公章)</w:t>
      </w:r>
    </w:p>
    <w:p>
      <w:pPr>
        <w:spacing w:line="500" w:lineRule="exact"/>
        <w:ind w:right="560" w:firstLine="560" w:firstLineChars="200"/>
        <w:rPr>
          <w:rFonts w:ascii="宋体" w:hAnsi="宋体"/>
          <w:color w:val="auto"/>
          <w:sz w:val="28"/>
          <w:szCs w:val="28"/>
        </w:rPr>
      </w:pPr>
      <w:r>
        <w:rPr>
          <w:rFonts w:hint="eastAsia" w:ascii="宋体" w:hAnsi="宋体"/>
          <w:bCs/>
          <w:color w:val="auto"/>
          <w:sz w:val="28"/>
          <w:szCs w:val="28"/>
        </w:rPr>
        <w:t>日      期：</w:t>
      </w:r>
      <w:r>
        <w:rPr>
          <w:rFonts w:hint="eastAsia" w:ascii="宋体" w:hAnsi="宋体"/>
          <w:color w:val="auto"/>
          <w:sz w:val="28"/>
          <w:szCs w:val="28"/>
          <w:u w:val="single"/>
        </w:rPr>
        <w:t>　　</w:t>
      </w:r>
      <w:r>
        <w:rPr>
          <w:rFonts w:hint="eastAsia" w:ascii="宋体" w:hAnsi="宋体"/>
          <w:bCs/>
          <w:color w:val="auto"/>
          <w:sz w:val="28"/>
          <w:szCs w:val="28"/>
        </w:rPr>
        <w:t>年</w:t>
      </w:r>
      <w:r>
        <w:rPr>
          <w:rFonts w:hint="eastAsia" w:ascii="宋体" w:hAnsi="宋体"/>
          <w:color w:val="auto"/>
          <w:sz w:val="28"/>
          <w:szCs w:val="28"/>
          <w:u w:val="single"/>
        </w:rPr>
        <w:t>　　</w:t>
      </w:r>
      <w:r>
        <w:rPr>
          <w:rFonts w:hint="eastAsia" w:ascii="宋体" w:hAnsi="宋体"/>
          <w:bCs/>
          <w:color w:val="auto"/>
          <w:sz w:val="28"/>
          <w:szCs w:val="28"/>
        </w:rPr>
        <w:t>月</w:t>
      </w:r>
      <w:r>
        <w:rPr>
          <w:rFonts w:hint="eastAsia" w:ascii="宋体" w:hAnsi="宋体"/>
          <w:color w:val="auto"/>
          <w:sz w:val="28"/>
          <w:szCs w:val="28"/>
          <w:u w:val="single"/>
        </w:rPr>
        <w:t>　　</w:t>
      </w:r>
      <w:r>
        <w:rPr>
          <w:rFonts w:hint="eastAsia" w:ascii="宋体" w:hAnsi="宋体"/>
          <w:bCs/>
          <w:color w:val="auto"/>
          <w:sz w:val="28"/>
          <w:szCs w:val="28"/>
        </w:rPr>
        <w:t>日</w:t>
      </w:r>
    </w:p>
    <w:p>
      <w:pPr>
        <w:spacing w:line="360" w:lineRule="auto"/>
        <w:rPr>
          <w:rFonts w:ascii="宋体" w:hAnsi="宋体"/>
          <w:color w:val="auto"/>
          <w:sz w:val="28"/>
          <w:szCs w:val="28"/>
        </w:rPr>
      </w:pPr>
    </w:p>
    <w:p>
      <w:pPr>
        <w:spacing w:line="360" w:lineRule="auto"/>
        <w:ind w:firstLine="568" w:firstLineChars="202"/>
        <w:rPr>
          <w:rFonts w:hint="eastAsia" w:ascii="宋体" w:hAnsi="宋体"/>
          <w:b/>
          <w:color w:val="auto"/>
          <w:sz w:val="28"/>
          <w:szCs w:val="28"/>
          <w:lang w:val="zh-CN"/>
        </w:rPr>
      </w:pPr>
      <w:r>
        <w:rPr>
          <w:rFonts w:hint="eastAsia" w:ascii="宋体" w:hAnsi="宋体"/>
          <w:b/>
          <w:color w:val="auto"/>
          <w:sz w:val="28"/>
          <w:szCs w:val="28"/>
          <w:lang w:val="zh-CN"/>
        </w:rPr>
        <w:t>说明：上述证明文件在资格性响应文件中附有法定代表人身份证复印件（</w:t>
      </w:r>
      <w:r>
        <w:rPr>
          <w:rFonts w:ascii="宋体" w:hAnsi="宋体"/>
          <w:b/>
          <w:color w:val="auto"/>
          <w:sz w:val="28"/>
          <w:szCs w:val="28"/>
          <w:lang w:val="zh-CN"/>
        </w:rPr>
        <w:t>身份证</w:t>
      </w:r>
      <w:r>
        <w:rPr>
          <w:rFonts w:hint="eastAsia" w:ascii="宋体" w:hAnsi="宋体"/>
          <w:b/>
          <w:color w:val="auto"/>
          <w:sz w:val="28"/>
          <w:szCs w:val="28"/>
          <w:lang w:val="zh-CN"/>
        </w:rPr>
        <w:t>两面均应复印</w:t>
      </w:r>
      <w:r>
        <w:rPr>
          <w:rFonts w:hint="eastAsia" w:ascii="宋体" w:hAnsi="宋体"/>
          <w:b/>
          <w:color w:val="auto"/>
          <w:sz w:val="24"/>
          <w:lang w:val="zh-CN"/>
        </w:rPr>
        <w:t>，</w:t>
      </w:r>
      <w:r>
        <w:rPr>
          <w:rFonts w:hint="eastAsia" w:ascii="宋体" w:hAnsi="宋体"/>
          <w:b/>
          <w:color w:val="auto"/>
          <w:sz w:val="28"/>
          <w:lang w:val="zh-CN"/>
        </w:rPr>
        <w:t>提供身份证有困难的，也可提供户口本或军官证或护照等身份证明材料</w:t>
      </w:r>
      <w:r>
        <w:rPr>
          <w:rFonts w:hint="eastAsia" w:ascii="宋体" w:hAnsi="宋体"/>
          <w:b/>
          <w:color w:val="auto"/>
          <w:sz w:val="28"/>
          <w:szCs w:val="28"/>
          <w:lang w:val="zh-CN"/>
        </w:rPr>
        <w:t>）时才能生效。</w:t>
      </w:r>
    </w:p>
    <w:p>
      <w:pPr>
        <w:spacing w:line="360" w:lineRule="auto"/>
        <w:ind w:firstLine="568" w:firstLineChars="202"/>
        <w:rPr>
          <w:rFonts w:ascii="宋体" w:hAnsi="宋体"/>
          <w:b/>
          <w:color w:val="auto"/>
          <w:sz w:val="28"/>
          <w:szCs w:val="28"/>
          <w:lang w:val="zh-CN"/>
        </w:rPr>
      </w:pPr>
    </w:p>
    <w:p>
      <w:pPr>
        <w:jc w:val="center"/>
        <w:rPr>
          <w:rFonts w:hint="eastAsia"/>
          <w:b/>
          <w:color w:val="auto"/>
          <w:sz w:val="32"/>
          <w:szCs w:val="32"/>
        </w:rPr>
      </w:pPr>
    </w:p>
    <w:p>
      <w:pPr>
        <w:pStyle w:val="5"/>
        <w:tabs>
          <w:tab w:val="left" w:pos="709"/>
        </w:tabs>
        <w:ind w:left="709" w:firstLine="0" w:firstLineChars="0"/>
        <w:jc w:val="center"/>
        <w:rPr>
          <w:rFonts w:ascii="宋体" w:hAnsi="宋体"/>
          <w:bCs w:val="0"/>
          <w:color w:val="auto"/>
          <w:sz w:val="32"/>
        </w:rPr>
      </w:pPr>
      <w:bookmarkStart w:id="231" w:name="_Toc531718427"/>
      <w:r>
        <w:rPr>
          <w:rFonts w:hint="eastAsia" w:ascii="宋体" w:hAnsi="宋体"/>
          <w:bCs w:val="0"/>
          <w:color w:val="auto"/>
          <w:sz w:val="32"/>
        </w:rPr>
        <w:t>三、法定代表人授权书</w:t>
      </w:r>
      <w:bookmarkEnd w:id="231"/>
    </w:p>
    <w:p>
      <w:pPr>
        <w:spacing w:line="400" w:lineRule="exact"/>
        <w:rPr>
          <w:rFonts w:ascii="宋体" w:hAnsi="宋体"/>
          <w:color w:val="auto"/>
          <w:sz w:val="24"/>
        </w:rPr>
      </w:pPr>
      <w:r>
        <w:rPr>
          <w:rFonts w:hint="eastAsia" w:hAnsi="宋体"/>
          <w:color w:val="auto"/>
          <w:sz w:val="24"/>
          <w:lang w:eastAsia="zh-CN"/>
        </w:rPr>
        <w:t>四川映池工程管理有限责任公司</w:t>
      </w:r>
      <w:r>
        <w:rPr>
          <w:rFonts w:hint="eastAsia" w:ascii="宋体" w:hAnsi="宋体"/>
          <w:color w:val="auto"/>
          <w:sz w:val="24"/>
        </w:rPr>
        <w:t>（采购代理机构名称）：</w:t>
      </w:r>
    </w:p>
    <w:p>
      <w:pPr>
        <w:spacing w:line="400" w:lineRule="exact"/>
        <w:ind w:firstLine="480" w:firstLineChars="200"/>
        <w:rPr>
          <w:rFonts w:ascii="宋体" w:hAnsi="宋体"/>
          <w:color w:val="auto"/>
          <w:sz w:val="24"/>
        </w:rPr>
      </w:pPr>
      <w:r>
        <w:rPr>
          <w:rFonts w:hint="eastAsia" w:ascii="宋体" w:hAnsi="宋体"/>
          <w:color w:val="auto"/>
          <w:sz w:val="24"/>
        </w:rPr>
        <w:t>本授权声明：XXX（单位名称）,XXX（法定代表人姓名、职务）授权XXX（被授权人姓名、职务）为我方参加XXX项目（项目编号： XXX）磋商采购活动的合法代表，以我方名义全权处理该项目有关磋商、报价、签订合同以及执行合同等一切事宜。</w:t>
      </w:r>
    </w:p>
    <w:p>
      <w:pPr>
        <w:spacing w:line="400" w:lineRule="exact"/>
        <w:ind w:firstLine="480" w:firstLineChars="200"/>
        <w:rPr>
          <w:rFonts w:ascii="宋体" w:hAnsi="宋体"/>
          <w:color w:val="auto"/>
          <w:sz w:val="24"/>
        </w:rPr>
      </w:pPr>
      <w:r>
        <w:rPr>
          <w:rFonts w:hint="eastAsia" w:ascii="宋体" w:hAnsi="宋体"/>
          <w:color w:val="auto"/>
          <w:sz w:val="24"/>
        </w:rPr>
        <w:t>特此声明。</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供应商名称：XXX（盖单位公章）</w:t>
      </w:r>
    </w:p>
    <w:p>
      <w:pPr>
        <w:spacing w:line="400" w:lineRule="exact"/>
        <w:ind w:firstLine="480" w:firstLineChars="200"/>
        <w:rPr>
          <w:rFonts w:ascii="宋体" w:hAnsi="宋体"/>
          <w:color w:val="auto"/>
          <w:sz w:val="24"/>
        </w:rPr>
      </w:pPr>
      <w:r>
        <w:rPr>
          <w:rFonts w:hint="eastAsia" w:ascii="宋体" w:hAnsi="宋体"/>
          <w:color w:val="auto"/>
          <w:sz w:val="24"/>
        </w:rPr>
        <w:t>法定代表人（签字或盖章）：XXX</w:t>
      </w:r>
    </w:p>
    <w:p>
      <w:pPr>
        <w:spacing w:line="400" w:lineRule="exact"/>
        <w:ind w:firstLine="480" w:firstLineChars="200"/>
        <w:rPr>
          <w:rFonts w:ascii="宋体" w:hAnsi="宋体"/>
          <w:color w:val="auto"/>
          <w:sz w:val="24"/>
        </w:rPr>
      </w:pPr>
      <w:r>
        <w:rPr>
          <w:rFonts w:hint="eastAsia" w:ascii="宋体" w:hAnsi="宋体"/>
          <w:color w:val="auto"/>
          <w:sz w:val="24"/>
        </w:rPr>
        <w:t>职    务：XXX</w:t>
      </w:r>
    </w:p>
    <w:p>
      <w:pPr>
        <w:spacing w:line="400" w:lineRule="exact"/>
        <w:ind w:firstLine="480" w:firstLineChars="200"/>
        <w:rPr>
          <w:rFonts w:ascii="宋体" w:hAnsi="宋体"/>
          <w:color w:val="auto"/>
          <w:sz w:val="24"/>
        </w:rPr>
      </w:pPr>
      <w:r>
        <w:rPr>
          <w:rFonts w:hint="eastAsia" w:ascii="宋体" w:hAnsi="宋体"/>
          <w:color w:val="auto"/>
          <w:sz w:val="24"/>
        </w:rPr>
        <w:t>授权代表签字：XXX</w:t>
      </w:r>
    </w:p>
    <w:p>
      <w:pPr>
        <w:spacing w:line="400" w:lineRule="exact"/>
        <w:ind w:firstLine="480" w:firstLineChars="200"/>
        <w:rPr>
          <w:rFonts w:ascii="宋体" w:hAnsi="宋体"/>
          <w:color w:val="auto"/>
          <w:sz w:val="24"/>
        </w:rPr>
      </w:pPr>
      <w:r>
        <w:rPr>
          <w:rFonts w:hint="eastAsia" w:ascii="宋体" w:hAnsi="宋体"/>
          <w:color w:val="auto"/>
          <w:sz w:val="24"/>
        </w:rPr>
        <w:t>职    务：XXX</w:t>
      </w:r>
    </w:p>
    <w:p>
      <w:pPr>
        <w:spacing w:line="400" w:lineRule="exact"/>
        <w:ind w:firstLine="480" w:firstLineChars="200"/>
        <w:rPr>
          <w:rFonts w:ascii="宋体" w:hAnsi="宋体"/>
          <w:color w:val="auto"/>
          <w:sz w:val="24"/>
        </w:rPr>
      </w:pPr>
      <w:r>
        <w:rPr>
          <w:rFonts w:hint="eastAsia" w:ascii="宋体" w:hAnsi="宋体"/>
          <w:color w:val="auto"/>
          <w:sz w:val="24"/>
        </w:rPr>
        <w:t>日    期：XXX年XXX月XXX日</w:t>
      </w:r>
    </w:p>
    <w:p>
      <w:pPr>
        <w:spacing w:line="400" w:lineRule="exact"/>
        <w:rPr>
          <w:color w:val="auto"/>
          <w:sz w:val="24"/>
        </w:rPr>
      </w:pPr>
    </w:p>
    <w:p>
      <w:pPr>
        <w:spacing w:line="400" w:lineRule="exact"/>
        <w:rPr>
          <w:color w:val="auto"/>
          <w:sz w:val="32"/>
        </w:rPr>
      </w:pPr>
    </w:p>
    <w:p>
      <w:pPr>
        <w:spacing w:line="400" w:lineRule="exact"/>
        <w:rPr>
          <w:color w:val="auto"/>
          <w:sz w:val="32"/>
        </w:rPr>
      </w:pPr>
    </w:p>
    <w:p>
      <w:pPr>
        <w:spacing w:line="360" w:lineRule="auto"/>
        <w:ind w:firstLine="364" w:firstLineChars="151"/>
        <w:rPr>
          <w:rFonts w:ascii="宋体" w:hAnsi="宋体"/>
          <w:b/>
          <w:color w:val="auto"/>
          <w:sz w:val="24"/>
        </w:rPr>
      </w:pPr>
      <w:r>
        <w:rPr>
          <w:rFonts w:hint="eastAsia" w:ascii="宋体" w:hAnsi="宋体"/>
          <w:b/>
          <w:color w:val="auto"/>
          <w:sz w:val="24"/>
        </w:rPr>
        <w:t>说明：</w:t>
      </w:r>
    </w:p>
    <w:p>
      <w:pPr>
        <w:widowControl/>
        <w:numPr>
          <w:ilvl w:val="0"/>
          <w:numId w:val="3"/>
        </w:numPr>
        <w:spacing w:line="360" w:lineRule="auto"/>
        <w:ind w:left="0" w:firstLine="567"/>
        <w:jc w:val="left"/>
        <w:rPr>
          <w:rFonts w:ascii="宋体" w:hAnsi="宋体"/>
          <w:b/>
          <w:color w:val="auto"/>
          <w:sz w:val="24"/>
        </w:rPr>
      </w:pPr>
      <w:r>
        <w:rPr>
          <w:rFonts w:hint="eastAsia" w:ascii="宋体" w:hAnsi="宋体"/>
          <w:b/>
          <w:color w:val="auto"/>
          <w:sz w:val="24"/>
          <w:lang w:val="zh-CN"/>
        </w:rPr>
        <w:t>上述证明文件在资格性响应文件中附有</w:t>
      </w:r>
      <w:r>
        <w:rPr>
          <w:rFonts w:hint="eastAsia" w:ascii="宋体" w:hAnsi="宋体"/>
          <w:b/>
          <w:color w:val="auto"/>
          <w:sz w:val="24"/>
        </w:rPr>
        <w:t>代理人身份证复印件</w:t>
      </w:r>
      <w:r>
        <w:rPr>
          <w:rFonts w:ascii="宋体" w:hAnsi="宋体"/>
          <w:b/>
          <w:color w:val="auto"/>
          <w:sz w:val="24"/>
          <w:lang w:val="zh-CN"/>
        </w:rPr>
        <w:t>（身份证</w:t>
      </w:r>
      <w:r>
        <w:rPr>
          <w:rFonts w:hint="eastAsia" w:ascii="宋体" w:hAnsi="宋体"/>
          <w:b/>
          <w:color w:val="auto"/>
          <w:sz w:val="24"/>
          <w:lang w:val="zh-CN"/>
        </w:rPr>
        <w:t>两面均应复印</w:t>
      </w:r>
      <w:r>
        <w:rPr>
          <w:rFonts w:ascii="宋体" w:hAnsi="宋体"/>
          <w:b/>
          <w:color w:val="auto"/>
          <w:sz w:val="24"/>
          <w:lang w:val="zh-CN"/>
        </w:rPr>
        <w:t>）</w:t>
      </w:r>
      <w:r>
        <w:rPr>
          <w:rFonts w:hint="eastAsia" w:ascii="宋体" w:hAnsi="宋体"/>
          <w:b/>
          <w:color w:val="auto"/>
          <w:sz w:val="24"/>
        </w:rPr>
        <w:t>时才能生效；</w:t>
      </w:r>
    </w:p>
    <w:p>
      <w:pPr>
        <w:widowControl/>
        <w:numPr>
          <w:ilvl w:val="0"/>
          <w:numId w:val="3"/>
        </w:numPr>
        <w:spacing w:line="360" w:lineRule="auto"/>
        <w:ind w:left="0" w:firstLine="567"/>
        <w:jc w:val="left"/>
        <w:rPr>
          <w:rFonts w:ascii="宋体" w:hAnsi="宋体"/>
          <w:b/>
          <w:color w:val="auto"/>
          <w:sz w:val="24"/>
        </w:rPr>
      </w:pPr>
      <w:r>
        <w:rPr>
          <w:rFonts w:hint="eastAsia" w:ascii="宋体" w:hAnsi="宋体"/>
          <w:b/>
          <w:color w:val="auto"/>
          <w:sz w:val="24"/>
        </w:rPr>
        <w:t>供应商法定代表人或其代理人应参加磋商，必须带身份证；</w:t>
      </w:r>
    </w:p>
    <w:p>
      <w:pPr>
        <w:widowControl/>
        <w:numPr>
          <w:ilvl w:val="0"/>
          <w:numId w:val="3"/>
        </w:numPr>
        <w:spacing w:line="360" w:lineRule="auto"/>
        <w:ind w:left="0" w:firstLine="567"/>
        <w:jc w:val="left"/>
        <w:rPr>
          <w:rFonts w:ascii="宋体" w:hAnsi="宋体"/>
          <w:b/>
          <w:color w:val="auto"/>
          <w:sz w:val="24"/>
        </w:rPr>
      </w:pPr>
      <w:r>
        <w:rPr>
          <w:rFonts w:hint="eastAsia" w:ascii="宋体" w:hAnsi="宋体"/>
          <w:b/>
          <w:color w:val="auto"/>
          <w:sz w:val="24"/>
        </w:rPr>
        <w:t>供应商的响应文件均由供应商法定代表人签字的，可不提供该附件的内容。</w:t>
      </w:r>
    </w:p>
    <w:p>
      <w:pPr>
        <w:spacing w:line="400" w:lineRule="exact"/>
        <w:rPr>
          <w:color w:val="auto"/>
          <w:sz w:val="24"/>
        </w:rPr>
      </w:pPr>
    </w:p>
    <w:p>
      <w:pPr>
        <w:spacing w:line="400" w:lineRule="exact"/>
        <w:rPr>
          <w:color w:val="auto"/>
          <w:sz w:val="32"/>
        </w:rPr>
      </w:pPr>
    </w:p>
    <w:p>
      <w:pPr>
        <w:spacing w:line="400" w:lineRule="exact"/>
        <w:rPr>
          <w:color w:val="auto"/>
          <w:sz w:val="32"/>
        </w:rPr>
      </w:pPr>
    </w:p>
    <w:p>
      <w:pPr>
        <w:spacing w:line="400" w:lineRule="exact"/>
        <w:rPr>
          <w:color w:val="auto"/>
          <w:sz w:val="32"/>
        </w:rPr>
      </w:pPr>
    </w:p>
    <w:p>
      <w:pPr>
        <w:spacing w:line="400" w:lineRule="exact"/>
        <w:rPr>
          <w:color w:val="auto"/>
          <w:sz w:val="32"/>
        </w:rPr>
      </w:pPr>
    </w:p>
    <w:p>
      <w:pPr>
        <w:pStyle w:val="11"/>
      </w:pPr>
    </w:p>
    <w:p>
      <w:pPr>
        <w:spacing w:line="400" w:lineRule="exact"/>
        <w:rPr>
          <w:color w:val="auto"/>
          <w:sz w:val="32"/>
        </w:rPr>
      </w:pPr>
    </w:p>
    <w:p>
      <w:pPr>
        <w:rPr>
          <w:rFonts w:hint="eastAsia"/>
        </w:rPr>
      </w:pPr>
      <w:bookmarkStart w:id="232" w:name="_Toc531718428"/>
    </w:p>
    <w:p>
      <w:pPr>
        <w:pStyle w:val="5"/>
        <w:ind w:firstLine="283" w:firstLineChars="88"/>
        <w:jc w:val="center"/>
        <w:rPr>
          <w:rFonts w:ascii="宋体" w:hAnsi="宋体"/>
          <w:bCs w:val="0"/>
          <w:color w:val="auto"/>
          <w:sz w:val="32"/>
        </w:rPr>
      </w:pPr>
      <w:r>
        <w:rPr>
          <w:rFonts w:hint="eastAsia" w:hAnsi="宋体"/>
          <w:bCs w:val="0"/>
          <w:color w:val="auto"/>
          <w:sz w:val="32"/>
          <w:lang w:val="en-US" w:eastAsia="zh-CN"/>
        </w:rPr>
        <w:t>四</w:t>
      </w:r>
      <w:r>
        <w:rPr>
          <w:rFonts w:hint="eastAsia" w:ascii="宋体" w:hAnsi="宋体"/>
          <w:bCs w:val="0"/>
          <w:color w:val="auto"/>
          <w:sz w:val="32"/>
        </w:rPr>
        <w:t>、供应商基本情况表</w:t>
      </w:r>
      <w:bookmarkEnd w:id="232"/>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供应商名称</w:t>
            </w:r>
          </w:p>
        </w:tc>
        <w:tc>
          <w:tcPr>
            <w:tcW w:w="7560" w:type="dxa"/>
            <w:gridSpan w:val="11"/>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注册地址</w:t>
            </w:r>
          </w:p>
        </w:tc>
        <w:tc>
          <w:tcPr>
            <w:tcW w:w="4680" w:type="dxa"/>
            <w:gridSpan w:val="6"/>
            <w:shd w:val="clear" w:color="auto" w:fill="auto"/>
            <w:vAlign w:val="center"/>
          </w:tcPr>
          <w:p>
            <w:pPr>
              <w:jc w:val="center"/>
              <w:rPr>
                <w:rFonts w:ascii="宋体" w:hAnsi="宋体" w:cs="Arial"/>
                <w:bCs/>
                <w:color w:val="auto"/>
                <w:sz w:val="24"/>
                <w:szCs w:val="24"/>
              </w:rPr>
            </w:pPr>
          </w:p>
        </w:tc>
        <w:tc>
          <w:tcPr>
            <w:tcW w:w="126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邮政编码</w:t>
            </w:r>
          </w:p>
        </w:tc>
        <w:tc>
          <w:tcPr>
            <w:tcW w:w="1620" w:type="dxa"/>
            <w:gridSpan w:val="2"/>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auto"/>
                <w:sz w:val="24"/>
                <w:szCs w:val="24"/>
              </w:rPr>
            </w:pPr>
            <w:r>
              <w:rPr>
                <w:rFonts w:hint="eastAsia" w:ascii="宋体" w:hAnsi="宋体" w:cs="Arial"/>
                <w:bCs/>
                <w:color w:val="auto"/>
                <w:sz w:val="24"/>
                <w:szCs w:val="24"/>
              </w:rPr>
              <w:t>联系方式</w:t>
            </w:r>
          </w:p>
        </w:tc>
        <w:tc>
          <w:tcPr>
            <w:tcW w:w="1080" w:type="dxa"/>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联系人</w:t>
            </w:r>
          </w:p>
        </w:tc>
        <w:tc>
          <w:tcPr>
            <w:tcW w:w="3600" w:type="dxa"/>
            <w:gridSpan w:val="5"/>
            <w:shd w:val="clear" w:color="auto" w:fill="auto"/>
            <w:vAlign w:val="center"/>
          </w:tcPr>
          <w:p>
            <w:pPr>
              <w:jc w:val="center"/>
              <w:rPr>
                <w:rFonts w:ascii="宋体" w:hAnsi="宋体" w:cs="Arial"/>
                <w:bCs/>
                <w:color w:val="auto"/>
                <w:sz w:val="24"/>
                <w:szCs w:val="24"/>
              </w:rPr>
            </w:pPr>
          </w:p>
        </w:tc>
        <w:tc>
          <w:tcPr>
            <w:tcW w:w="126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联系电话</w:t>
            </w:r>
          </w:p>
        </w:tc>
        <w:tc>
          <w:tcPr>
            <w:tcW w:w="1620" w:type="dxa"/>
            <w:gridSpan w:val="2"/>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auto"/>
                <w:sz w:val="24"/>
                <w:szCs w:val="24"/>
              </w:rPr>
            </w:pPr>
          </w:p>
        </w:tc>
        <w:tc>
          <w:tcPr>
            <w:tcW w:w="1080" w:type="dxa"/>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传真</w:t>
            </w:r>
          </w:p>
        </w:tc>
        <w:tc>
          <w:tcPr>
            <w:tcW w:w="3600" w:type="dxa"/>
            <w:gridSpan w:val="5"/>
            <w:shd w:val="clear" w:color="auto" w:fill="auto"/>
            <w:vAlign w:val="center"/>
          </w:tcPr>
          <w:p>
            <w:pPr>
              <w:jc w:val="center"/>
              <w:rPr>
                <w:rFonts w:ascii="宋体" w:hAnsi="宋体" w:cs="Arial"/>
                <w:bCs/>
                <w:color w:val="auto"/>
                <w:sz w:val="24"/>
                <w:szCs w:val="24"/>
              </w:rPr>
            </w:pPr>
          </w:p>
        </w:tc>
        <w:tc>
          <w:tcPr>
            <w:tcW w:w="126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网址</w:t>
            </w:r>
          </w:p>
        </w:tc>
        <w:tc>
          <w:tcPr>
            <w:tcW w:w="1620" w:type="dxa"/>
            <w:gridSpan w:val="2"/>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组织结构</w:t>
            </w:r>
          </w:p>
        </w:tc>
        <w:tc>
          <w:tcPr>
            <w:tcW w:w="7560" w:type="dxa"/>
            <w:gridSpan w:val="11"/>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法定代表人</w:t>
            </w:r>
          </w:p>
        </w:tc>
        <w:tc>
          <w:tcPr>
            <w:tcW w:w="1260" w:type="dxa"/>
            <w:gridSpan w:val="2"/>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姓名</w:t>
            </w:r>
          </w:p>
        </w:tc>
        <w:tc>
          <w:tcPr>
            <w:tcW w:w="1260" w:type="dxa"/>
            <w:shd w:val="clear" w:color="auto" w:fill="auto"/>
            <w:vAlign w:val="center"/>
          </w:tcPr>
          <w:p>
            <w:pPr>
              <w:jc w:val="center"/>
              <w:rPr>
                <w:rFonts w:ascii="宋体" w:hAnsi="宋体" w:cs="Arial"/>
                <w:bCs/>
                <w:color w:val="auto"/>
                <w:sz w:val="24"/>
                <w:szCs w:val="24"/>
              </w:rPr>
            </w:pPr>
          </w:p>
        </w:tc>
        <w:tc>
          <w:tcPr>
            <w:tcW w:w="1260" w:type="dxa"/>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技术职称</w:t>
            </w:r>
          </w:p>
        </w:tc>
        <w:tc>
          <w:tcPr>
            <w:tcW w:w="1260" w:type="dxa"/>
            <w:gridSpan w:val="3"/>
            <w:shd w:val="clear" w:color="auto" w:fill="auto"/>
            <w:vAlign w:val="center"/>
          </w:tcPr>
          <w:p>
            <w:pPr>
              <w:jc w:val="center"/>
              <w:rPr>
                <w:rFonts w:ascii="宋体" w:hAnsi="宋体" w:cs="Arial"/>
                <w:bCs/>
                <w:color w:val="auto"/>
                <w:sz w:val="24"/>
                <w:szCs w:val="24"/>
              </w:rPr>
            </w:pPr>
          </w:p>
        </w:tc>
        <w:tc>
          <w:tcPr>
            <w:tcW w:w="126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联系电话</w:t>
            </w:r>
          </w:p>
        </w:tc>
        <w:tc>
          <w:tcPr>
            <w:tcW w:w="1260" w:type="dxa"/>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技术负责人</w:t>
            </w:r>
          </w:p>
        </w:tc>
        <w:tc>
          <w:tcPr>
            <w:tcW w:w="1260" w:type="dxa"/>
            <w:gridSpan w:val="2"/>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姓名</w:t>
            </w:r>
          </w:p>
        </w:tc>
        <w:tc>
          <w:tcPr>
            <w:tcW w:w="1260" w:type="dxa"/>
            <w:shd w:val="clear" w:color="auto" w:fill="auto"/>
            <w:vAlign w:val="center"/>
          </w:tcPr>
          <w:p>
            <w:pPr>
              <w:jc w:val="center"/>
              <w:rPr>
                <w:rFonts w:ascii="宋体" w:hAnsi="宋体" w:cs="Arial"/>
                <w:bCs/>
                <w:color w:val="auto"/>
                <w:sz w:val="24"/>
                <w:szCs w:val="24"/>
              </w:rPr>
            </w:pPr>
          </w:p>
        </w:tc>
        <w:tc>
          <w:tcPr>
            <w:tcW w:w="1260" w:type="dxa"/>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技术职称</w:t>
            </w:r>
          </w:p>
        </w:tc>
        <w:tc>
          <w:tcPr>
            <w:tcW w:w="1260" w:type="dxa"/>
            <w:gridSpan w:val="3"/>
            <w:shd w:val="clear" w:color="auto" w:fill="auto"/>
            <w:vAlign w:val="center"/>
          </w:tcPr>
          <w:p>
            <w:pPr>
              <w:jc w:val="center"/>
              <w:rPr>
                <w:rFonts w:ascii="宋体" w:hAnsi="宋体" w:cs="Arial"/>
                <w:bCs/>
                <w:color w:val="auto"/>
                <w:sz w:val="24"/>
                <w:szCs w:val="24"/>
              </w:rPr>
            </w:pPr>
          </w:p>
        </w:tc>
        <w:tc>
          <w:tcPr>
            <w:tcW w:w="126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联系电话</w:t>
            </w:r>
          </w:p>
        </w:tc>
        <w:tc>
          <w:tcPr>
            <w:tcW w:w="1260" w:type="dxa"/>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成立时间</w:t>
            </w:r>
          </w:p>
        </w:tc>
        <w:tc>
          <w:tcPr>
            <w:tcW w:w="2520" w:type="dxa"/>
            <w:gridSpan w:val="3"/>
            <w:vAlign w:val="center"/>
          </w:tcPr>
          <w:p>
            <w:pPr>
              <w:jc w:val="center"/>
              <w:rPr>
                <w:rFonts w:ascii="宋体" w:hAnsi="宋体" w:cs="Arial"/>
                <w:bCs/>
                <w:color w:val="auto"/>
                <w:sz w:val="24"/>
                <w:szCs w:val="24"/>
              </w:rPr>
            </w:pPr>
          </w:p>
        </w:tc>
        <w:tc>
          <w:tcPr>
            <w:tcW w:w="5040" w:type="dxa"/>
            <w:gridSpan w:val="8"/>
            <w:vAlign w:val="center"/>
          </w:tcPr>
          <w:p>
            <w:pPr>
              <w:jc w:val="center"/>
              <w:rPr>
                <w:rFonts w:ascii="宋体" w:hAnsi="宋体" w:cs="Arial"/>
                <w:bCs/>
                <w:color w:val="auto"/>
                <w:sz w:val="24"/>
                <w:szCs w:val="24"/>
              </w:rPr>
            </w:pPr>
            <w:r>
              <w:rPr>
                <w:rFonts w:hint="eastAsia" w:ascii="宋体" w:hAnsi="宋体" w:cs="Arial"/>
                <w:bCs/>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企业资质等级</w:t>
            </w:r>
          </w:p>
        </w:tc>
        <w:tc>
          <w:tcPr>
            <w:tcW w:w="2520" w:type="dxa"/>
            <w:gridSpan w:val="3"/>
            <w:shd w:val="clear" w:color="auto" w:fill="auto"/>
            <w:vAlign w:val="center"/>
          </w:tcPr>
          <w:p>
            <w:pPr>
              <w:jc w:val="center"/>
              <w:rPr>
                <w:rFonts w:ascii="宋体" w:hAnsi="宋体" w:cs="Arial"/>
                <w:bCs/>
                <w:color w:val="auto"/>
                <w:sz w:val="24"/>
                <w:szCs w:val="24"/>
              </w:rPr>
            </w:pPr>
          </w:p>
        </w:tc>
        <w:tc>
          <w:tcPr>
            <w:tcW w:w="1680" w:type="dxa"/>
            <w:gridSpan w:val="2"/>
            <w:vMerge w:val="restart"/>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其中</w:t>
            </w:r>
          </w:p>
        </w:tc>
        <w:tc>
          <w:tcPr>
            <w:tcW w:w="168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项目经理</w:t>
            </w:r>
          </w:p>
        </w:tc>
        <w:tc>
          <w:tcPr>
            <w:tcW w:w="1680" w:type="dxa"/>
            <w:gridSpan w:val="3"/>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营业执照</w:t>
            </w:r>
            <w:r>
              <w:rPr>
                <w:rFonts w:hint="eastAsia"/>
                <w:color w:val="auto"/>
                <w:sz w:val="24"/>
                <w:szCs w:val="24"/>
              </w:rPr>
              <w:t>号</w:t>
            </w:r>
          </w:p>
        </w:tc>
        <w:tc>
          <w:tcPr>
            <w:tcW w:w="2520" w:type="dxa"/>
            <w:gridSpan w:val="3"/>
            <w:shd w:val="clear" w:color="auto" w:fill="auto"/>
            <w:vAlign w:val="center"/>
          </w:tcPr>
          <w:p>
            <w:pPr>
              <w:jc w:val="center"/>
              <w:rPr>
                <w:rFonts w:ascii="宋体" w:hAnsi="宋体" w:cs="Arial"/>
                <w:bCs/>
                <w:color w:val="auto"/>
                <w:sz w:val="24"/>
                <w:szCs w:val="24"/>
              </w:rPr>
            </w:pPr>
          </w:p>
        </w:tc>
        <w:tc>
          <w:tcPr>
            <w:tcW w:w="1680" w:type="dxa"/>
            <w:gridSpan w:val="2"/>
            <w:vMerge w:val="continue"/>
            <w:shd w:val="clear" w:color="auto" w:fill="auto"/>
            <w:vAlign w:val="center"/>
          </w:tcPr>
          <w:p>
            <w:pPr>
              <w:jc w:val="center"/>
              <w:rPr>
                <w:rFonts w:ascii="宋体" w:hAnsi="宋体" w:cs="Arial"/>
                <w:bCs/>
                <w:color w:val="auto"/>
                <w:sz w:val="24"/>
                <w:szCs w:val="24"/>
              </w:rPr>
            </w:pPr>
          </w:p>
        </w:tc>
        <w:tc>
          <w:tcPr>
            <w:tcW w:w="168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高级职称人员</w:t>
            </w:r>
          </w:p>
        </w:tc>
        <w:tc>
          <w:tcPr>
            <w:tcW w:w="1680" w:type="dxa"/>
            <w:gridSpan w:val="3"/>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注册资金</w:t>
            </w:r>
          </w:p>
        </w:tc>
        <w:tc>
          <w:tcPr>
            <w:tcW w:w="2520" w:type="dxa"/>
            <w:gridSpan w:val="3"/>
            <w:shd w:val="clear" w:color="auto" w:fill="auto"/>
            <w:vAlign w:val="center"/>
          </w:tcPr>
          <w:p>
            <w:pPr>
              <w:jc w:val="center"/>
              <w:rPr>
                <w:rFonts w:ascii="宋体" w:hAnsi="宋体" w:cs="Arial"/>
                <w:bCs/>
                <w:color w:val="auto"/>
                <w:sz w:val="24"/>
                <w:szCs w:val="24"/>
              </w:rPr>
            </w:pPr>
          </w:p>
        </w:tc>
        <w:tc>
          <w:tcPr>
            <w:tcW w:w="1680" w:type="dxa"/>
            <w:gridSpan w:val="2"/>
            <w:vMerge w:val="continue"/>
            <w:shd w:val="clear" w:color="auto" w:fill="auto"/>
            <w:vAlign w:val="center"/>
          </w:tcPr>
          <w:p>
            <w:pPr>
              <w:jc w:val="center"/>
              <w:rPr>
                <w:rFonts w:ascii="宋体" w:hAnsi="宋体" w:cs="Arial"/>
                <w:bCs/>
                <w:color w:val="auto"/>
                <w:sz w:val="24"/>
                <w:szCs w:val="24"/>
              </w:rPr>
            </w:pPr>
          </w:p>
        </w:tc>
        <w:tc>
          <w:tcPr>
            <w:tcW w:w="168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中级职称人员</w:t>
            </w:r>
          </w:p>
        </w:tc>
        <w:tc>
          <w:tcPr>
            <w:tcW w:w="1680" w:type="dxa"/>
            <w:gridSpan w:val="3"/>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开户银行</w:t>
            </w:r>
          </w:p>
        </w:tc>
        <w:tc>
          <w:tcPr>
            <w:tcW w:w="2520" w:type="dxa"/>
            <w:gridSpan w:val="3"/>
            <w:shd w:val="clear" w:color="auto" w:fill="auto"/>
            <w:vAlign w:val="center"/>
          </w:tcPr>
          <w:p>
            <w:pPr>
              <w:jc w:val="center"/>
              <w:rPr>
                <w:rFonts w:ascii="宋体" w:hAnsi="宋体" w:cs="Arial"/>
                <w:bCs/>
                <w:color w:val="auto"/>
                <w:sz w:val="24"/>
                <w:szCs w:val="24"/>
              </w:rPr>
            </w:pPr>
          </w:p>
        </w:tc>
        <w:tc>
          <w:tcPr>
            <w:tcW w:w="1680" w:type="dxa"/>
            <w:gridSpan w:val="2"/>
            <w:vMerge w:val="continue"/>
            <w:shd w:val="clear" w:color="auto" w:fill="auto"/>
            <w:vAlign w:val="center"/>
          </w:tcPr>
          <w:p>
            <w:pPr>
              <w:jc w:val="center"/>
              <w:rPr>
                <w:rFonts w:ascii="宋体" w:hAnsi="宋体" w:cs="Arial"/>
                <w:bCs/>
                <w:color w:val="auto"/>
                <w:sz w:val="24"/>
                <w:szCs w:val="24"/>
              </w:rPr>
            </w:pPr>
          </w:p>
        </w:tc>
        <w:tc>
          <w:tcPr>
            <w:tcW w:w="168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初级职称人员</w:t>
            </w:r>
          </w:p>
        </w:tc>
        <w:tc>
          <w:tcPr>
            <w:tcW w:w="1680" w:type="dxa"/>
            <w:gridSpan w:val="3"/>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账号</w:t>
            </w:r>
          </w:p>
        </w:tc>
        <w:tc>
          <w:tcPr>
            <w:tcW w:w="2520" w:type="dxa"/>
            <w:gridSpan w:val="3"/>
            <w:shd w:val="clear" w:color="auto" w:fill="auto"/>
            <w:vAlign w:val="center"/>
          </w:tcPr>
          <w:p>
            <w:pPr>
              <w:jc w:val="center"/>
              <w:rPr>
                <w:rFonts w:ascii="宋体" w:hAnsi="宋体" w:cs="Arial"/>
                <w:bCs/>
                <w:color w:val="auto"/>
                <w:sz w:val="24"/>
                <w:szCs w:val="24"/>
              </w:rPr>
            </w:pPr>
          </w:p>
        </w:tc>
        <w:tc>
          <w:tcPr>
            <w:tcW w:w="1680" w:type="dxa"/>
            <w:gridSpan w:val="2"/>
            <w:vMerge w:val="continue"/>
            <w:shd w:val="clear" w:color="auto" w:fill="auto"/>
            <w:vAlign w:val="center"/>
          </w:tcPr>
          <w:p>
            <w:pPr>
              <w:jc w:val="center"/>
              <w:rPr>
                <w:rFonts w:ascii="宋体" w:hAnsi="宋体" w:cs="Arial"/>
                <w:bCs/>
                <w:color w:val="auto"/>
                <w:sz w:val="24"/>
                <w:szCs w:val="24"/>
              </w:rPr>
            </w:pPr>
          </w:p>
        </w:tc>
        <w:tc>
          <w:tcPr>
            <w:tcW w:w="1680" w:type="dxa"/>
            <w:gridSpan w:val="3"/>
            <w:shd w:val="clear" w:color="auto" w:fill="auto"/>
            <w:vAlign w:val="center"/>
          </w:tcPr>
          <w:p>
            <w:pPr>
              <w:jc w:val="center"/>
              <w:rPr>
                <w:rFonts w:ascii="宋体" w:hAnsi="宋体" w:cs="Arial"/>
                <w:bCs/>
                <w:color w:val="auto"/>
                <w:sz w:val="24"/>
                <w:szCs w:val="24"/>
              </w:rPr>
            </w:pPr>
            <w:r>
              <w:rPr>
                <w:rFonts w:hint="eastAsia" w:ascii="宋体" w:hAnsi="宋体" w:cs="Arial"/>
                <w:bCs/>
                <w:color w:val="auto"/>
                <w:sz w:val="24"/>
                <w:szCs w:val="24"/>
              </w:rPr>
              <w:t>技工</w:t>
            </w:r>
          </w:p>
        </w:tc>
        <w:tc>
          <w:tcPr>
            <w:tcW w:w="1680" w:type="dxa"/>
            <w:gridSpan w:val="3"/>
            <w:shd w:val="clear" w:color="auto" w:fill="auto"/>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经营范围</w:t>
            </w:r>
          </w:p>
        </w:tc>
        <w:tc>
          <w:tcPr>
            <w:tcW w:w="7560" w:type="dxa"/>
            <w:gridSpan w:val="11"/>
            <w:vAlign w:val="center"/>
          </w:tcPr>
          <w:p>
            <w:pPr>
              <w:jc w:val="center"/>
              <w:rPr>
                <w:rFonts w:ascii="宋体" w:hAnsi="宋体" w:cs="Arial"/>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auto"/>
                <w:sz w:val="24"/>
                <w:szCs w:val="24"/>
              </w:rPr>
            </w:pPr>
            <w:r>
              <w:rPr>
                <w:rFonts w:hint="eastAsia" w:ascii="宋体" w:hAnsi="宋体" w:cs="Arial"/>
                <w:bCs/>
                <w:color w:val="auto"/>
                <w:sz w:val="24"/>
                <w:szCs w:val="24"/>
              </w:rPr>
              <w:t>备注</w:t>
            </w:r>
          </w:p>
        </w:tc>
        <w:tc>
          <w:tcPr>
            <w:tcW w:w="7560" w:type="dxa"/>
            <w:gridSpan w:val="11"/>
            <w:vAlign w:val="center"/>
          </w:tcPr>
          <w:p>
            <w:pPr>
              <w:jc w:val="center"/>
              <w:rPr>
                <w:rFonts w:ascii="宋体" w:hAnsi="宋体" w:cs="Arial"/>
                <w:bCs/>
                <w:color w:val="auto"/>
                <w:sz w:val="24"/>
                <w:szCs w:val="24"/>
              </w:rPr>
            </w:pPr>
          </w:p>
        </w:tc>
      </w:tr>
    </w:tbl>
    <w:p>
      <w:pPr>
        <w:adjustRightInd w:val="0"/>
        <w:spacing w:line="400" w:lineRule="exact"/>
        <w:jc w:val="left"/>
        <w:rPr>
          <w:rFonts w:ascii="宋体" w:hAnsi="宋体"/>
          <w:color w:val="auto"/>
          <w:sz w:val="24"/>
        </w:rPr>
      </w:pPr>
    </w:p>
    <w:p>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pPr>
        <w:adjustRightInd w:val="0"/>
        <w:spacing w:line="400" w:lineRule="exact"/>
        <w:jc w:val="left"/>
        <w:rPr>
          <w:bCs/>
          <w:color w:val="auto"/>
          <w:sz w:val="24"/>
        </w:rPr>
      </w:pPr>
      <w:r>
        <w:rPr>
          <w:rFonts w:hint="eastAsia"/>
          <w:bCs/>
          <w:color w:val="auto"/>
          <w:sz w:val="24"/>
        </w:rPr>
        <w:t>法定代表人或授权代表（签字或盖章）：XXX</w:t>
      </w:r>
    </w:p>
    <w:p>
      <w:pPr>
        <w:adjustRightInd w:val="0"/>
        <w:spacing w:line="400" w:lineRule="exact"/>
        <w:jc w:val="left"/>
        <w:rPr>
          <w:bCs/>
          <w:color w:val="auto"/>
          <w:sz w:val="24"/>
        </w:rPr>
      </w:pPr>
      <w:r>
        <w:rPr>
          <w:rFonts w:hint="eastAsia"/>
          <w:bCs/>
          <w:color w:val="auto"/>
          <w:sz w:val="24"/>
        </w:rPr>
        <w:t>日  期：XXX年XXX月XXX日</w:t>
      </w:r>
      <w:bookmarkStart w:id="233" w:name="_Toc514154297"/>
      <w:bookmarkStart w:id="234" w:name="_Toc514154164"/>
    </w:p>
    <w:p>
      <w:pPr>
        <w:pStyle w:val="2"/>
        <w:rPr>
          <w:bCs/>
          <w:color w:val="auto"/>
          <w:sz w:val="24"/>
        </w:rPr>
      </w:pPr>
    </w:p>
    <w:p>
      <w:pPr>
        <w:rPr>
          <w:color w:val="auto"/>
        </w:rPr>
      </w:pPr>
    </w:p>
    <w:p>
      <w:pPr>
        <w:pStyle w:val="5"/>
        <w:ind w:left="0" w:leftChars="0" w:firstLine="0" w:firstLineChars="0"/>
        <w:jc w:val="both"/>
        <w:rPr>
          <w:rFonts w:ascii="宋体" w:hAnsi="宋体"/>
          <w:bCs w:val="0"/>
          <w:color w:val="auto"/>
          <w:sz w:val="32"/>
        </w:rPr>
      </w:pPr>
      <w:bookmarkStart w:id="235" w:name="_Toc531718429"/>
      <w:r>
        <w:rPr>
          <w:rFonts w:hint="eastAsia" w:hAnsi="宋体"/>
          <w:bCs w:val="0"/>
          <w:color w:val="auto"/>
          <w:sz w:val="32"/>
          <w:lang w:val="en-US" w:eastAsia="zh-CN"/>
        </w:rPr>
        <w:t>五</w:t>
      </w:r>
      <w:r>
        <w:rPr>
          <w:rFonts w:hint="eastAsia" w:ascii="宋体" w:hAnsi="宋体"/>
          <w:bCs w:val="0"/>
          <w:color w:val="auto"/>
          <w:sz w:val="32"/>
        </w:rPr>
        <w:t>、供应商应提供的相关资格证明材料（采购文件第四章 ）</w:t>
      </w:r>
      <w:bookmarkEnd w:id="233"/>
      <w:bookmarkEnd w:id="234"/>
      <w:bookmarkEnd w:id="235"/>
    </w:p>
    <w:p>
      <w:pPr>
        <w:widowControl/>
        <w:jc w:val="left"/>
        <w:rPr>
          <w:rFonts w:ascii="宋体" w:hAnsi="宋体"/>
          <w:color w:val="auto"/>
          <w:sz w:val="24"/>
        </w:rPr>
      </w:pPr>
      <w:r>
        <w:rPr>
          <w:rFonts w:ascii="宋体" w:hAnsi="宋体"/>
          <w:color w:val="auto"/>
          <w:sz w:val="24"/>
        </w:rPr>
        <w:br w:type="page"/>
      </w:r>
    </w:p>
    <w:p>
      <w:pPr>
        <w:pStyle w:val="4"/>
        <w:jc w:val="center"/>
        <w:rPr>
          <w:color w:val="auto"/>
        </w:rPr>
      </w:pPr>
      <w:bookmarkStart w:id="236" w:name="_Toc19915"/>
      <w:bookmarkStart w:id="237" w:name="_Toc514154165"/>
      <w:bookmarkStart w:id="238" w:name="_Toc531718430"/>
      <w:bookmarkStart w:id="239" w:name="_Toc514154298"/>
      <w:bookmarkStart w:id="240" w:name="_Toc448403805"/>
      <w:r>
        <w:rPr>
          <w:rFonts w:hint="eastAsia"/>
          <w:color w:val="auto"/>
        </w:rPr>
        <w:t>第二部分  技术、服务性响应文件格式</w:t>
      </w:r>
      <w:bookmarkEnd w:id="236"/>
      <w:bookmarkEnd w:id="237"/>
      <w:bookmarkEnd w:id="238"/>
      <w:bookmarkEnd w:id="239"/>
      <w:bookmarkEnd w:id="240"/>
    </w:p>
    <w:p>
      <w:pPr>
        <w:rPr>
          <w:b/>
          <w:color w:val="auto"/>
          <w:sz w:val="24"/>
        </w:rPr>
      </w:pPr>
      <w:bookmarkStart w:id="241" w:name="_Toc514154299"/>
      <w:bookmarkStart w:id="242" w:name="_Toc514154166"/>
      <w:r>
        <w:rPr>
          <w:rFonts w:hint="eastAsia"/>
          <w:b/>
          <w:color w:val="auto"/>
          <w:sz w:val="24"/>
        </w:rPr>
        <w:t>技术、服务性响应文件密封包装最外层格式</w:t>
      </w:r>
      <w:bookmarkEnd w:id="241"/>
      <w:bookmarkEnd w:id="242"/>
    </w:p>
    <w:tbl>
      <w:tblPr>
        <w:tblStyle w:val="3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ascii="宋体" w:hAnsi="宋体"/>
                <w:b/>
                <w:color w:val="auto"/>
                <w:sz w:val="28"/>
                <w:szCs w:val="28"/>
              </w:rPr>
            </w:pPr>
            <w:r>
              <w:rPr>
                <w:rFonts w:hint="eastAsia" w:ascii="宋体" w:hAnsi="宋体"/>
                <w:b/>
                <w:color w:val="auto"/>
                <w:sz w:val="28"/>
                <w:szCs w:val="28"/>
              </w:rPr>
              <w:t>项目名称：</w:t>
            </w:r>
          </w:p>
          <w:p>
            <w:pPr>
              <w:spacing w:line="360" w:lineRule="auto"/>
              <w:rPr>
                <w:rFonts w:ascii="宋体" w:hAnsi="宋体"/>
                <w:b/>
                <w:color w:val="auto"/>
                <w:sz w:val="28"/>
                <w:szCs w:val="28"/>
              </w:rPr>
            </w:pPr>
            <w:r>
              <w:rPr>
                <w:rFonts w:hint="eastAsia" w:ascii="宋体" w:hAnsi="宋体"/>
                <w:b/>
                <w:color w:val="auto"/>
                <w:sz w:val="28"/>
              </w:rPr>
              <w:t>项目编号</w:t>
            </w:r>
            <w:r>
              <w:rPr>
                <w:rFonts w:hint="eastAsia" w:ascii="宋体" w:hAnsi="宋体"/>
                <w:b/>
                <w:color w:val="auto"/>
                <w:sz w:val="28"/>
                <w:szCs w:val="28"/>
              </w:rPr>
              <w:t>：</w:t>
            </w:r>
          </w:p>
          <w:p>
            <w:pPr>
              <w:spacing w:line="360" w:lineRule="auto"/>
              <w:jc w:val="center"/>
              <w:rPr>
                <w:rFonts w:ascii="宋体" w:hAnsi="宋体"/>
                <w:color w:val="auto"/>
                <w:sz w:val="32"/>
                <w:szCs w:val="32"/>
              </w:rPr>
            </w:pPr>
            <w:r>
              <w:rPr>
                <w:rFonts w:hint="eastAsia" w:ascii="宋体" w:hAnsi="宋体"/>
                <w:color w:val="auto"/>
                <w:sz w:val="32"/>
                <w:szCs w:val="32"/>
              </w:rPr>
              <w:t>技术、服务性响应文件</w:t>
            </w:r>
          </w:p>
          <w:p>
            <w:pPr>
              <w:spacing w:line="360" w:lineRule="auto"/>
              <w:jc w:val="center"/>
              <w:rPr>
                <w:rFonts w:ascii="宋体" w:hAnsi="宋体"/>
                <w:color w:val="auto"/>
                <w:sz w:val="28"/>
                <w:szCs w:val="28"/>
              </w:rPr>
            </w:pPr>
          </w:p>
          <w:p>
            <w:pPr>
              <w:spacing w:line="360" w:lineRule="auto"/>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（加盖公章）</w:t>
            </w:r>
          </w:p>
          <w:p>
            <w:pPr>
              <w:spacing w:line="360" w:lineRule="auto"/>
              <w:jc w:val="center"/>
              <w:rPr>
                <w:rFonts w:ascii="宋体" w:hAnsi="宋体"/>
                <w:b/>
                <w:color w:val="auto"/>
                <w:sz w:val="28"/>
                <w:szCs w:val="28"/>
              </w:rPr>
            </w:pPr>
          </w:p>
        </w:tc>
      </w:tr>
    </w:tbl>
    <w:p>
      <w:pPr>
        <w:rPr>
          <w:rFonts w:hint="eastAsia"/>
          <w:b/>
          <w:color w:val="auto"/>
          <w:sz w:val="24"/>
        </w:rPr>
      </w:pPr>
      <w:bookmarkStart w:id="243" w:name="_Toc514154167"/>
      <w:bookmarkStart w:id="244" w:name="_Toc514154300"/>
    </w:p>
    <w:p>
      <w:pPr>
        <w:rPr>
          <w:b/>
          <w:color w:val="auto"/>
          <w:sz w:val="24"/>
        </w:rPr>
      </w:pPr>
      <w:r>
        <w:rPr>
          <w:rFonts w:hint="eastAsia"/>
          <w:b/>
          <w:color w:val="auto"/>
          <w:sz w:val="24"/>
        </w:rPr>
        <w:t>技术、服务性响应文件封面格式</w:t>
      </w:r>
      <w:bookmarkEnd w:id="243"/>
      <w:bookmarkEnd w:id="244"/>
    </w:p>
    <w:tbl>
      <w:tblPr>
        <w:tblStyle w:val="32"/>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ascii="宋体" w:hAnsi="宋体"/>
                <w:b/>
                <w:color w:val="auto"/>
                <w:sz w:val="28"/>
                <w:szCs w:val="28"/>
              </w:rPr>
            </w:pPr>
            <w:r>
              <w:rPr>
                <w:rFonts w:hint="eastAsia" w:ascii="宋体" w:hAnsi="宋体"/>
                <w:b/>
                <w:color w:val="auto"/>
                <w:sz w:val="28"/>
                <w:szCs w:val="28"/>
              </w:rPr>
              <w:t>项目名称：</w:t>
            </w:r>
          </w:p>
          <w:p>
            <w:pPr>
              <w:spacing w:line="360" w:lineRule="auto"/>
              <w:rPr>
                <w:rFonts w:ascii="宋体" w:hAnsi="宋体"/>
                <w:color w:val="auto"/>
                <w:sz w:val="28"/>
                <w:szCs w:val="28"/>
              </w:rPr>
            </w:pPr>
            <w:r>
              <w:rPr>
                <w:rFonts w:hint="eastAsia" w:ascii="宋体" w:hAnsi="宋体"/>
                <w:b/>
                <w:color w:val="auto"/>
                <w:sz w:val="28"/>
              </w:rPr>
              <w:t>项目编号</w:t>
            </w:r>
            <w:r>
              <w:rPr>
                <w:rFonts w:hint="eastAsia" w:ascii="宋体" w:hAnsi="宋体"/>
                <w:b/>
                <w:color w:val="auto"/>
                <w:sz w:val="28"/>
                <w:szCs w:val="28"/>
              </w:rPr>
              <w:t>：</w:t>
            </w:r>
          </w:p>
          <w:p>
            <w:pPr>
              <w:spacing w:line="360" w:lineRule="auto"/>
              <w:jc w:val="center"/>
              <w:rPr>
                <w:rFonts w:ascii="宋体" w:hAnsi="宋体"/>
                <w:color w:val="auto"/>
                <w:sz w:val="32"/>
                <w:szCs w:val="32"/>
              </w:rPr>
            </w:pPr>
            <w:r>
              <w:rPr>
                <w:rFonts w:hint="eastAsia" w:ascii="宋体" w:hAnsi="宋体"/>
                <w:color w:val="auto"/>
                <w:sz w:val="32"/>
                <w:szCs w:val="32"/>
              </w:rPr>
              <w:t>技术、服务性响应文件</w:t>
            </w:r>
          </w:p>
          <w:p>
            <w:pPr>
              <w:spacing w:line="360" w:lineRule="auto"/>
              <w:jc w:val="center"/>
              <w:rPr>
                <w:rFonts w:ascii="宋体" w:hAnsi="宋体"/>
                <w:color w:val="auto"/>
                <w:sz w:val="32"/>
                <w:szCs w:val="32"/>
              </w:rPr>
            </w:pPr>
            <w:r>
              <w:rPr>
                <w:rFonts w:hint="eastAsia" w:ascii="宋体" w:hAnsi="宋体"/>
                <w:color w:val="auto"/>
                <w:sz w:val="32"/>
                <w:szCs w:val="32"/>
              </w:rPr>
              <w:t>（正本或副本）</w:t>
            </w:r>
          </w:p>
          <w:p>
            <w:pPr>
              <w:spacing w:line="360" w:lineRule="auto"/>
              <w:ind w:left="2307" w:leftChars="150" w:hanging="1797" w:hangingChars="642"/>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p>
          <w:p>
            <w:pPr>
              <w:spacing w:line="360" w:lineRule="auto"/>
              <w:ind w:firstLine="280" w:firstLineChars="100"/>
              <w:rPr>
                <w:rFonts w:ascii="宋体" w:hAnsi="宋体"/>
                <w:color w:val="auto"/>
                <w:sz w:val="28"/>
                <w:szCs w:val="28"/>
              </w:rPr>
            </w:pPr>
            <w:r>
              <w:rPr>
                <w:rFonts w:hint="eastAsia" w:ascii="宋体" w:hAnsi="宋体"/>
                <w:color w:val="auto"/>
                <w:sz w:val="28"/>
                <w:szCs w:val="28"/>
              </w:rPr>
              <w:t>日期：</w:t>
            </w:r>
            <w:r>
              <w:rPr>
                <w:rFonts w:hint="eastAsia" w:ascii="宋体" w:hAnsi="宋体"/>
                <w:color w:val="auto"/>
                <w:sz w:val="28"/>
                <w:szCs w:val="28"/>
                <w:u w:val="single"/>
              </w:rPr>
              <w:t>　　</w:t>
            </w:r>
            <w:r>
              <w:rPr>
                <w:rFonts w:hint="eastAsia" w:ascii="宋体" w:hAnsi="宋体"/>
                <w:color w:val="auto"/>
                <w:sz w:val="28"/>
                <w:szCs w:val="28"/>
              </w:rPr>
              <w:t>年</w:t>
            </w:r>
            <w:r>
              <w:rPr>
                <w:rFonts w:hint="eastAsia" w:ascii="宋体" w:hAnsi="宋体"/>
                <w:color w:val="auto"/>
                <w:sz w:val="28"/>
                <w:szCs w:val="28"/>
                <w:u w:val="single"/>
              </w:rPr>
              <w:t>　　</w:t>
            </w:r>
            <w:r>
              <w:rPr>
                <w:rFonts w:hint="eastAsia" w:ascii="宋体" w:hAnsi="宋体"/>
                <w:color w:val="auto"/>
                <w:sz w:val="28"/>
                <w:szCs w:val="28"/>
              </w:rPr>
              <w:t>月</w:t>
            </w:r>
            <w:r>
              <w:rPr>
                <w:rFonts w:hint="eastAsia" w:ascii="宋体" w:hAnsi="宋体"/>
                <w:color w:val="auto"/>
                <w:sz w:val="28"/>
                <w:szCs w:val="28"/>
                <w:u w:val="single"/>
              </w:rPr>
              <w:t>　　</w:t>
            </w:r>
            <w:r>
              <w:rPr>
                <w:rFonts w:hint="eastAsia" w:ascii="宋体" w:hAnsi="宋体"/>
                <w:color w:val="auto"/>
                <w:sz w:val="28"/>
                <w:szCs w:val="28"/>
              </w:rPr>
              <w:t>日</w:t>
            </w:r>
          </w:p>
        </w:tc>
      </w:tr>
    </w:tbl>
    <w:p>
      <w:pPr>
        <w:spacing w:line="360" w:lineRule="auto"/>
        <w:rPr>
          <w:rFonts w:ascii="宋体" w:hAnsi="宋体"/>
          <w:b/>
          <w:color w:val="auto"/>
          <w:sz w:val="24"/>
          <w:szCs w:val="28"/>
        </w:rPr>
      </w:pPr>
      <w:r>
        <w:rPr>
          <w:rFonts w:hint="eastAsia" w:ascii="宋体" w:hAnsi="宋体"/>
          <w:b/>
          <w:color w:val="auto"/>
          <w:sz w:val="24"/>
          <w:szCs w:val="28"/>
        </w:rPr>
        <w:t>温馨提示：</w:t>
      </w:r>
    </w:p>
    <w:p>
      <w:pPr>
        <w:spacing w:line="360" w:lineRule="auto"/>
        <w:rPr>
          <w:rFonts w:ascii="宋体" w:hAnsi="宋体"/>
          <w:b/>
          <w:color w:val="auto"/>
          <w:sz w:val="24"/>
          <w:szCs w:val="28"/>
        </w:rPr>
      </w:pPr>
      <w:r>
        <w:rPr>
          <w:rFonts w:hint="eastAsia" w:ascii="宋体" w:hAnsi="宋体"/>
          <w:b/>
          <w:color w:val="auto"/>
          <w:sz w:val="24"/>
          <w:szCs w:val="28"/>
        </w:rPr>
        <w:t>一、技术、服务性响应文件正本一份、副本两份；</w:t>
      </w:r>
    </w:p>
    <w:p>
      <w:pPr>
        <w:spacing w:line="360" w:lineRule="auto"/>
        <w:rPr>
          <w:rFonts w:ascii="宋体" w:hAnsi="宋体"/>
          <w:b/>
          <w:color w:val="auto"/>
          <w:sz w:val="24"/>
          <w:szCs w:val="28"/>
        </w:rPr>
      </w:pPr>
      <w:r>
        <w:rPr>
          <w:rFonts w:hint="eastAsia" w:ascii="宋体" w:hAnsi="宋体"/>
          <w:b/>
          <w:color w:val="auto"/>
          <w:sz w:val="24"/>
          <w:szCs w:val="28"/>
        </w:rPr>
        <w:t>二、技术、服务性响应文件应单独密封包装，并于递交响应文件截止时间前送指定地点；</w:t>
      </w:r>
    </w:p>
    <w:p>
      <w:pPr>
        <w:spacing w:line="360" w:lineRule="auto"/>
        <w:rPr>
          <w:rFonts w:ascii="宋体" w:hAnsi="宋体"/>
          <w:b/>
          <w:color w:val="auto"/>
          <w:sz w:val="24"/>
          <w:szCs w:val="28"/>
        </w:rPr>
      </w:pPr>
      <w:r>
        <w:rPr>
          <w:rFonts w:hint="eastAsia" w:ascii="宋体" w:hAnsi="宋体"/>
          <w:b/>
          <w:color w:val="auto"/>
          <w:sz w:val="24"/>
          <w:szCs w:val="28"/>
        </w:rPr>
        <w:t>三、签字、盖章应符合磋商文件要求。</w:t>
      </w:r>
    </w:p>
    <w:p>
      <w:pPr>
        <w:widowControl/>
        <w:jc w:val="left"/>
        <w:rPr>
          <w:rFonts w:ascii="宋体" w:hAnsi="宋体"/>
          <w:b/>
          <w:color w:val="auto"/>
          <w:sz w:val="24"/>
          <w:szCs w:val="28"/>
        </w:rPr>
      </w:pPr>
      <w:r>
        <w:rPr>
          <w:rFonts w:ascii="宋体" w:hAnsi="宋体"/>
          <w:b/>
          <w:color w:val="auto"/>
          <w:sz w:val="24"/>
          <w:szCs w:val="28"/>
        </w:rPr>
        <w:br w:type="page"/>
      </w:r>
    </w:p>
    <w:p>
      <w:pPr>
        <w:pStyle w:val="5"/>
        <w:tabs>
          <w:tab w:val="left" w:pos="709"/>
        </w:tabs>
        <w:ind w:firstLine="0" w:firstLineChars="0"/>
        <w:jc w:val="center"/>
        <w:rPr>
          <w:rFonts w:ascii="宋体" w:hAnsi="宋体"/>
          <w:bCs w:val="0"/>
          <w:color w:val="auto"/>
          <w:sz w:val="32"/>
        </w:rPr>
      </w:pPr>
      <w:bookmarkStart w:id="245" w:name="_Toc531718431"/>
      <w:r>
        <w:rPr>
          <w:rFonts w:hint="eastAsia" w:ascii="宋体" w:hAnsi="宋体"/>
          <w:bCs w:val="0"/>
          <w:color w:val="auto"/>
          <w:sz w:val="32"/>
        </w:rPr>
        <w:t>一、报价函</w:t>
      </w:r>
      <w:bookmarkEnd w:id="245"/>
    </w:p>
    <w:p>
      <w:pPr>
        <w:spacing w:line="360" w:lineRule="auto"/>
        <w:rPr>
          <w:rFonts w:ascii="宋体" w:hAnsi="宋体"/>
          <w:color w:val="auto"/>
          <w:sz w:val="24"/>
        </w:rPr>
      </w:pPr>
    </w:p>
    <w:p>
      <w:pPr>
        <w:spacing w:line="360" w:lineRule="auto"/>
        <w:rPr>
          <w:rFonts w:ascii="宋体" w:hAnsi="宋体"/>
          <w:color w:val="auto"/>
          <w:sz w:val="24"/>
        </w:rPr>
      </w:pPr>
      <w:r>
        <w:rPr>
          <w:rFonts w:hint="eastAsia" w:hAnsi="宋体"/>
          <w:color w:val="auto"/>
          <w:sz w:val="24"/>
          <w:lang w:eastAsia="zh-CN"/>
        </w:rPr>
        <w:t>四川映池工程管理有限责任公司</w:t>
      </w:r>
      <w:r>
        <w:rPr>
          <w:rFonts w:hint="eastAsia" w:ascii="宋体" w:hAnsi="宋体"/>
          <w:color w:val="auto"/>
          <w:sz w:val="24"/>
        </w:rPr>
        <w:t>（采购代理机构名称）：</w:t>
      </w:r>
    </w:p>
    <w:p>
      <w:pP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1.我方全面研究了“XXXXXX”项目磋商文件（项目编号：XXXX），决定参加贵单位组织的本项目磋商采购。</w:t>
      </w:r>
    </w:p>
    <w:p>
      <w:pPr>
        <w:spacing w:line="360" w:lineRule="auto"/>
        <w:ind w:firstLine="480" w:firstLineChars="200"/>
        <w:jc w:val="left"/>
        <w:rPr>
          <w:rFonts w:ascii="宋体" w:hAnsi="宋体"/>
          <w:color w:val="auto"/>
          <w:sz w:val="24"/>
        </w:rPr>
      </w:pPr>
      <w:r>
        <w:rPr>
          <w:rFonts w:hint="eastAsia" w:ascii="宋体" w:hAnsi="宋体"/>
          <w:color w:val="auto"/>
          <w:sz w:val="24"/>
        </w:rPr>
        <w:t>2.我方自愿按照磋商文件规定的各项要求向采购人提供所需货物/服务，总报价为人民币XX万元（大写：XXXX）。</w:t>
      </w:r>
    </w:p>
    <w:p>
      <w:pPr>
        <w:spacing w:line="360" w:lineRule="auto"/>
        <w:ind w:firstLine="480" w:firstLineChars="200"/>
        <w:jc w:val="left"/>
        <w:rPr>
          <w:rFonts w:ascii="宋体" w:hAnsi="宋体"/>
          <w:color w:val="auto"/>
          <w:sz w:val="24"/>
        </w:rPr>
      </w:pPr>
      <w:r>
        <w:rPr>
          <w:rFonts w:hint="eastAsia" w:ascii="宋体" w:hAnsi="宋体"/>
          <w:color w:val="auto"/>
          <w:sz w:val="24"/>
        </w:rPr>
        <w:t>3.一旦我方成交，我方将严格履行政府采购合同规定的责任和义务。</w:t>
      </w:r>
    </w:p>
    <w:p>
      <w:pPr>
        <w:spacing w:line="360" w:lineRule="auto"/>
        <w:ind w:firstLine="480" w:firstLineChars="200"/>
        <w:jc w:val="left"/>
        <w:rPr>
          <w:rFonts w:ascii="宋体" w:hAnsi="宋体"/>
          <w:color w:val="auto"/>
          <w:sz w:val="24"/>
        </w:rPr>
      </w:pPr>
      <w:r>
        <w:rPr>
          <w:rFonts w:hint="eastAsia" w:ascii="宋体" w:hAnsi="宋体"/>
          <w:color w:val="auto"/>
          <w:sz w:val="24"/>
        </w:rPr>
        <w:t>4.我方同意本磋商文件对我方可能存在的失信行为进行惩戒。</w:t>
      </w:r>
    </w:p>
    <w:p>
      <w:pPr>
        <w:spacing w:line="360" w:lineRule="auto"/>
        <w:ind w:firstLine="480" w:firstLineChars="200"/>
        <w:jc w:val="left"/>
        <w:rPr>
          <w:rFonts w:ascii="宋体" w:hAnsi="宋体"/>
          <w:color w:val="auto"/>
          <w:sz w:val="24"/>
        </w:rPr>
      </w:pPr>
      <w:r>
        <w:rPr>
          <w:rFonts w:hint="eastAsia" w:ascii="宋体" w:hAnsi="宋体"/>
          <w:color w:val="auto"/>
          <w:sz w:val="24"/>
        </w:rPr>
        <w:t>5.我方为本项目提交的响应文件正本1份，副本2份，用于磋商报价。</w:t>
      </w:r>
    </w:p>
    <w:p>
      <w:pPr>
        <w:spacing w:line="360" w:lineRule="auto"/>
        <w:ind w:firstLine="480" w:firstLineChars="200"/>
        <w:jc w:val="left"/>
        <w:rPr>
          <w:rFonts w:ascii="宋体" w:hAnsi="宋体"/>
          <w:color w:val="auto"/>
          <w:sz w:val="24"/>
        </w:rPr>
      </w:pPr>
      <w:r>
        <w:rPr>
          <w:rFonts w:hint="eastAsia" w:ascii="宋体" w:hAnsi="宋体"/>
          <w:color w:val="auto"/>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color w:val="auto"/>
          <w:sz w:val="24"/>
        </w:rPr>
      </w:pPr>
      <w:r>
        <w:rPr>
          <w:rFonts w:hint="eastAsia" w:ascii="宋体" w:hAnsi="宋体"/>
          <w:color w:val="auto"/>
          <w:sz w:val="24"/>
        </w:rPr>
        <w:t>7.本次磋商，我方递交的响应文件有效期为</w:t>
      </w:r>
      <w:r>
        <w:rPr>
          <w:rFonts w:hint="eastAsia"/>
          <w:color w:val="auto"/>
          <w:sz w:val="24"/>
        </w:rPr>
        <w:t>磋商文件规定起算之日起</w:t>
      </w:r>
      <w:r>
        <w:rPr>
          <w:rFonts w:hint="eastAsia"/>
          <w:color w:val="auto"/>
          <w:sz w:val="24"/>
          <w:lang w:val="en-US" w:eastAsia="zh-CN"/>
        </w:rPr>
        <w:t xml:space="preserve"> </w:t>
      </w:r>
      <w:r>
        <w:rPr>
          <w:rFonts w:hint="eastAsia"/>
          <w:color w:val="auto"/>
          <w:sz w:val="24"/>
        </w:rPr>
        <w:t>天。</w:t>
      </w:r>
    </w:p>
    <w:p>
      <w:pPr>
        <w:adjustRightInd w:val="0"/>
        <w:spacing w:line="400" w:lineRule="exact"/>
        <w:ind w:firstLine="480" w:firstLineChars="200"/>
        <w:jc w:val="left"/>
        <w:rPr>
          <w:rFonts w:ascii="宋体" w:hAnsi="宋体"/>
          <w:color w:val="auto"/>
          <w:sz w:val="24"/>
        </w:rPr>
      </w:pPr>
    </w:p>
    <w:p>
      <w:pPr>
        <w:adjustRightInd w:val="0"/>
        <w:spacing w:line="400" w:lineRule="exact"/>
        <w:ind w:firstLine="480" w:firstLineChars="200"/>
        <w:jc w:val="left"/>
        <w:rPr>
          <w:rFonts w:ascii="宋体" w:hAnsi="宋体"/>
          <w:color w:val="auto"/>
          <w:sz w:val="24"/>
        </w:rPr>
      </w:pPr>
    </w:p>
    <w:p>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pP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pPr>
        <w:spacing w:line="400" w:lineRule="exact"/>
        <w:ind w:firstLine="470" w:firstLineChars="196"/>
        <w:rPr>
          <w:rFonts w:ascii="宋体" w:hAnsi="宋体"/>
          <w:color w:val="auto"/>
          <w:sz w:val="24"/>
        </w:rPr>
      </w:pPr>
      <w:r>
        <w:rPr>
          <w:rFonts w:hint="eastAsia" w:ascii="宋体" w:hAnsi="宋体"/>
          <w:color w:val="auto"/>
          <w:sz w:val="24"/>
        </w:rPr>
        <w:t>通讯地址：XXX</w:t>
      </w:r>
    </w:p>
    <w:p>
      <w:pPr>
        <w:spacing w:line="400" w:lineRule="exact"/>
        <w:ind w:firstLine="470" w:firstLineChars="196"/>
        <w:rPr>
          <w:rFonts w:ascii="宋体" w:hAnsi="宋体"/>
          <w:color w:val="auto"/>
          <w:sz w:val="24"/>
        </w:rPr>
      </w:pPr>
      <w:r>
        <w:rPr>
          <w:rFonts w:hint="eastAsia" w:ascii="宋体" w:hAnsi="宋体"/>
          <w:color w:val="auto"/>
          <w:sz w:val="24"/>
        </w:rPr>
        <w:t>邮政编码：XXX</w:t>
      </w:r>
    </w:p>
    <w:p>
      <w:pPr>
        <w:spacing w:line="400" w:lineRule="exact"/>
        <w:ind w:firstLine="470" w:firstLineChars="196"/>
        <w:rPr>
          <w:rFonts w:ascii="宋体" w:hAnsi="宋体"/>
          <w:color w:val="auto"/>
          <w:sz w:val="24"/>
        </w:rPr>
      </w:pPr>
      <w:r>
        <w:rPr>
          <w:rFonts w:hint="eastAsia" w:ascii="宋体" w:hAnsi="宋体"/>
          <w:color w:val="auto"/>
          <w:sz w:val="24"/>
        </w:rPr>
        <w:t>联系电话：XXX</w:t>
      </w:r>
    </w:p>
    <w:p>
      <w:pPr>
        <w:spacing w:line="400" w:lineRule="exact"/>
        <w:ind w:firstLine="470" w:firstLineChars="196"/>
        <w:rPr>
          <w:rFonts w:ascii="宋体" w:hAnsi="宋体"/>
          <w:color w:val="auto"/>
          <w:sz w:val="24"/>
        </w:rPr>
      </w:pPr>
      <w:r>
        <w:rPr>
          <w:rFonts w:hint="eastAsia" w:ascii="宋体" w:hAnsi="宋体"/>
          <w:color w:val="auto"/>
          <w:sz w:val="24"/>
        </w:rPr>
        <w:t>传    真：XXX</w:t>
      </w:r>
    </w:p>
    <w:p>
      <w:pPr>
        <w:spacing w:line="400" w:lineRule="exact"/>
        <w:ind w:firstLine="470" w:firstLineChars="196"/>
        <w:rPr>
          <w:color w:val="auto"/>
          <w:sz w:val="24"/>
        </w:rPr>
      </w:pPr>
      <w:r>
        <w:rPr>
          <w:rFonts w:hint="eastAsia" w:ascii="宋体" w:hAnsi="宋体"/>
          <w:color w:val="auto"/>
          <w:sz w:val="24"/>
        </w:rPr>
        <w:t>日    期：XXX年XXX月XXX日</w:t>
      </w:r>
    </w:p>
    <w:p>
      <w:pPr>
        <w:jc w:val="center"/>
        <w:rPr>
          <w:b/>
          <w:color w:val="auto"/>
          <w:sz w:val="32"/>
          <w:szCs w:val="32"/>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titlePg/>
          <w:docGrid w:linePitch="312" w:charSpace="0"/>
        </w:sectPr>
      </w:pPr>
    </w:p>
    <w:p>
      <w:pPr>
        <w:jc w:val="center"/>
        <w:rPr>
          <w:rFonts w:hint="eastAsia" w:ascii="宋体" w:hAnsi="宋体"/>
          <w:b/>
          <w:color w:val="auto"/>
          <w:sz w:val="28"/>
          <w:szCs w:val="28"/>
        </w:rPr>
      </w:pPr>
      <w:bookmarkStart w:id="246" w:name="_Toc531718433"/>
      <w:r>
        <w:rPr>
          <w:rFonts w:hint="eastAsia" w:ascii="宋体" w:hAnsi="宋体" w:eastAsia="宋体" w:cs="Times New Roman"/>
          <w:b/>
          <w:bCs w:val="0"/>
          <w:color w:val="auto"/>
          <w:sz w:val="32"/>
          <w:szCs w:val="32"/>
          <w:lang w:val="en-US" w:eastAsia="zh-CN" w:bidi="ar-SA"/>
        </w:rPr>
        <w:t>二、报价表</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项</w:t>
      </w:r>
      <w:r>
        <w:rPr>
          <w:rFonts w:hint="eastAsia" w:ascii="宋体" w:hAnsi="宋体"/>
          <w:b/>
          <w:color w:val="auto"/>
          <w:spacing w:val="-20"/>
          <w:sz w:val="28"/>
          <w:szCs w:val="28"/>
        </w:rPr>
        <w:t>目名称：</w:t>
      </w:r>
    </w:p>
    <w:p>
      <w:pPr>
        <w:ind w:firstLine="562" w:firstLineChars="200"/>
        <w:rPr>
          <w:color w:val="auto"/>
          <w:sz w:val="28"/>
        </w:rPr>
      </w:pPr>
      <w:r>
        <w:rPr>
          <w:rFonts w:hint="eastAsia" w:ascii="宋体" w:hAnsi="宋体"/>
          <w:b/>
          <w:color w:val="auto"/>
          <w:sz w:val="28"/>
          <w:szCs w:val="28"/>
        </w:rPr>
        <w:t>项目编号：</w:t>
      </w:r>
    </w:p>
    <w:tbl>
      <w:tblPr>
        <w:tblStyle w:val="32"/>
        <w:tblW w:w="139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365"/>
        <w:gridCol w:w="4928"/>
        <w:gridCol w:w="37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9" w:type="dxa"/>
            <w:noWrap w:val="0"/>
            <w:vAlign w:val="center"/>
          </w:tcPr>
          <w:p>
            <w:pPr>
              <w:widowControl/>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7293" w:type="dxa"/>
            <w:gridSpan w:val="2"/>
            <w:noWrap w:val="0"/>
            <w:vAlign w:val="center"/>
          </w:tcPr>
          <w:p>
            <w:pPr>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名称</w:t>
            </w:r>
          </w:p>
        </w:tc>
        <w:tc>
          <w:tcPr>
            <w:tcW w:w="3720" w:type="dxa"/>
            <w:noWrap w:val="0"/>
            <w:vAlign w:val="center"/>
          </w:tcPr>
          <w:p>
            <w:pPr>
              <w:widowControl/>
              <w:spacing w:line="360" w:lineRule="auto"/>
              <w:jc w:val="center"/>
              <w:rPr>
                <w:rFonts w:hint="eastAsia" w:ascii="宋体" w:hAnsi="宋体" w:eastAsia="宋体" w:cs="宋体"/>
                <w:bCs/>
                <w:color w:val="auto"/>
                <w:kern w:val="0"/>
                <w:sz w:val="24"/>
                <w:szCs w:val="24"/>
              </w:rPr>
            </w:pPr>
            <w:r>
              <w:rPr>
                <w:rFonts w:hint="eastAsia" w:hAnsi="宋体" w:cs="宋体"/>
                <w:bCs/>
                <w:color w:val="auto"/>
                <w:kern w:val="0"/>
                <w:sz w:val="24"/>
                <w:szCs w:val="24"/>
                <w:lang w:val="en-US" w:eastAsia="zh-CN"/>
              </w:rPr>
              <w:t>项目</w:t>
            </w:r>
            <w:r>
              <w:rPr>
                <w:rFonts w:hint="eastAsia" w:ascii="宋体" w:hAnsi="宋体" w:eastAsia="宋体" w:cs="宋体"/>
                <w:bCs/>
                <w:color w:val="auto"/>
                <w:kern w:val="0"/>
                <w:sz w:val="24"/>
                <w:szCs w:val="24"/>
              </w:rPr>
              <w:t>完成时间</w:t>
            </w:r>
          </w:p>
        </w:tc>
        <w:tc>
          <w:tcPr>
            <w:tcW w:w="2085" w:type="dxa"/>
            <w:noWrap w:val="0"/>
            <w:vAlign w:val="center"/>
          </w:tcPr>
          <w:p>
            <w:pPr>
              <w:widowControl/>
              <w:spacing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noWrap w:val="0"/>
            <w:vAlign w:val="center"/>
          </w:tcPr>
          <w:p>
            <w:pPr>
              <w:widowControl/>
              <w:spacing w:after="0" w:line="36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7293" w:type="dxa"/>
            <w:gridSpan w:val="2"/>
            <w:noWrap w:val="0"/>
            <w:vAlign w:val="center"/>
          </w:tcPr>
          <w:p>
            <w:pPr>
              <w:spacing w:after="0" w:line="360" w:lineRule="auto"/>
              <w:jc w:val="left"/>
              <w:rPr>
                <w:rFonts w:hint="eastAsia" w:ascii="宋体" w:hAnsi="宋体" w:eastAsia="宋体" w:cs="宋体"/>
                <w:bCs/>
                <w:color w:val="auto"/>
                <w:kern w:val="0"/>
                <w:sz w:val="24"/>
                <w:szCs w:val="24"/>
              </w:rPr>
            </w:pPr>
          </w:p>
        </w:tc>
        <w:tc>
          <w:tcPr>
            <w:tcW w:w="3720" w:type="dxa"/>
            <w:noWrap w:val="0"/>
            <w:vAlign w:val="center"/>
          </w:tcPr>
          <w:p>
            <w:pPr>
              <w:widowControl/>
              <w:spacing w:after="0" w:line="360" w:lineRule="auto"/>
              <w:jc w:val="center"/>
              <w:rPr>
                <w:rFonts w:hint="eastAsia" w:ascii="宋体" w:hAnsi="宋体" w:eastAsia="宋体" w:cs="宋体"/>
                <w:bCs/>
                <w:color w:val="auto"/>
                <w:kern w:val="0"/>
                <w:sz w:val="24"/>
                <w:szCs w:val="24"/>
              </w:rPr>
            </w:pPr>
          </w:p>
        </w:tc>
        <w:tc>
          <w:tcPr>
            <w:tcW w:w="2085" w:type="dxa"/>
            <w:noWrap w:val="0"/>
            <w:vAlign w:val="center"/>
          </w:tcPr>
          <w:p>
            <w:pPr>
              <w:widowControl/>
              <w:spacing w:after="0" w:line="360" w:lineRule="auto"/>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noWrap w:val="0"/>
            <w:vAlign w:val="center"/>
          </w:tcPr>
          <w:p>
            <w:pPr>
              <w:widowControl/>
              <w:spacing w:after="0" w:line="360" w:lineRule="auto"/>
              <w:jc w:val="center"/>
              <w:rPr>
                <w:rFonts w:hint="eastAsia" w:ascii="宋体" w:hAnsi="宋体" w:eastAsia="宋体" w:cs="宋体"/>
                <w:bCs/>
                <w:color w:val="auto"/>
                <w:kern w:val="0"/>
                <w:sz w:val="24"/>
                <w:szCs w:val="24"/>
                <w:lang w:val="en-US" w:eastAsia="zh-CN"/>
              </w:rPr>
            </w:pPr>
            <w:r>
              <w:rPr>
                <w:rFonts w:hint="eastAsia" w:hAnsi="宋体" w:cs="宋体"/>
                <w:bCs/>
                <w:color w:val="auto"/>
                <w:kern w:val="0"/>
                <w:sz w:val="24"/>
                <w:szCs w:val="24"/>
                <w:lang w:val="en-US" w:eastAsia="zh-CN"/>
              </w:rPr>
              <w:t>2</w:t>
            </w:r>
          </w:p>
        </w:tc>
        <w:tc>
          <w:tcPr>
            <w:tcW w:w="7293" w:type="dxa"/>
            <w:gridSpan w:val="2"/>
            <w:noWrap w:val="0"/>
            <w:vAlign w:val="center"/>
          </w:tcPr>
          <w:p>
            <w:pPr>
              <w:spacing w:after="0" w:line="360" w:lineRule="auto"/>
              <w:jc w:val="left"/>
              <w:rPr>
                <w:rFonts w:hint="eastAsia" w:ascii="宋体" w:hAnsi="宋体" w:eastAsia="宋体" w:cs="宋体"/>
                <w:bCs/>
                <w:color w:val="auto"/>
                <w:kern w:val="0"/>
                <w:sz w:val="24"/>
                <w:szCs w:val="24"/>
              </w:rPr>
            </w:pPr>
          </w:p>
        </w:tc>
        <w:tc>
          <w:tcPr>
            <w:tcW w:w="3720" w:type="dxa"/>
            <w:noWrap w:val="0"/>
            <w:vAlign w:val="center"/>
          </w:tcPr>
          <w:p>
            <w:pPr>
              <w:widowControl/>
              <w:spacing w:after="0" w:line="360" w:lineRule="auto"/>
              <w:jc w:val="center"/>
              <w:rPr>
                <w:rFonts w:hint="eastAsia" w:ascii="宋体" w:hAnsi="宋体" w:eastAsia="宋体" w:cs="宋体"/>
                <w:bCs/>
                <w:color w:val="auto"/>
                <w:kern w:val="0"/>
                <w:sz w:val="24"/>
                <w:szCs w:val="24"/>
              </w:rPr>
            </w:pPr>
          </w:p>
        </w:tc>
        <w:tc>
          <w:tcPr>
            <w:tcW w:w="2085" w:type="dxa"/>
            <w:noWrap w:val="0"/>
            <w:vAlign w:val="center"/>
          </w:tcPr>
          <w:p>
            <w:pPr>
              <w:widowControl/>
              <w:spacing w:after="0" w:line="360" w:lineRule="auto"/>
              <w:jc w:val="center"/>
              <w:rPr>
                <w:rFonts w:hint="eastAsia" w:ascii="宋体" w:hAnsi="宋体" w:eastAsia="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832" w:type="dxa"/>
            <w:gridSpan w:val="4"/>
            <w:noWrap w:val="0"/>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合  计</w:t>
            </w:r>
            <w:r>
              <w:rPr>
                <w:rFonts w:hint="eastAsia" w:ascii="宋体" w:hAnsi="宋体" w:eastAsia="宋体" w:cs="宋体"/>
                <w:color w:val="auto"/>
                <w:kern w:val="0"/>
                <w:sz w:val="24"/>
                <w:szCs w:val="24"/>
                <w:lang w:eastAsia="zh-CN"/>
              </w:rPr>
              <w:t>：</w:t>
            </w:r>
          </w:p>
        </w:tc>
        <w:tc>
          <w:tcPr>
            <w:tcW w:w="2085" w:type="dxa"/>
            <w:noWrap w:val="0"/>
            <w:vAlign w:val="center"/>
          </w:tcPr>
          <w:p>
            <w:pPr>
              <w:widowControl/>
              <w:spacing w:line="360" w:lineRule="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84" w:type="dxa"/>
            <w:gridSpan w:val="2"/>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投标总价</w:t>
            </w:r>
          </w:p>
        </w:tc>
        <w:tc>
          <w:tcPr>
            <w:tcW w:w="10733" w:type="dxa"/>
            <w:gridSpan w:val="3"/>
            <w:noWrap w:val="0"/>
            <w:vAlign w:val="center"/>
          </w:tcPr>
          <w:p>
            <w:pPr>
              <w:widowControl/>
              <w:spacing w:line="360" w:lineRule="auto"/>
              <w:rPr>
                <w:rFonts w:hint="eastAsia" w:ascii="宋体" w:hAnsi="宋体" w:eastAsia="宋体" w:cs="宋体"/>
                <w:color w:val="auto"/>
                <w:kern w:val="0"/>
                <w:sz w:val="24"/>
                <w:szCs w:val="24"/>
              </w:rPr>
            </w:pPr>
            <w:r>
              <w:rPr>
                <w:rFonts w:hint="eastAsia" w:ascii="宋体" w:hAnsi="宋体" w:eastAsia="宋体" w:cs="宋体"/>
                <w:b/>
                <w:color w:val="auto"/>
                <w:sz w:val="24"/>
                <w:szCs w:val="24"/>
              </w:rPr>
              <w:t xml:space="preserve">人民币大写：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（人民币小写：</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w:t>
            </w:r>
          </w:p>
        </w:tc>
      </w:tr>
    </w:tbl>
    <w:p>
      <w:pPr>
        <w:pStyle w:val="94"/>
        <w:ind w:left="0" w:leftChars="0" w:firstLine="480" w:firstLineChars="200"/>
        <w:rPr>
          <w:rFonts w:hint="eastAsia"/>
          <w:color w:val="auto"/>
          <w:sz w:val="24"/>
          <w:szCs w:val="24"/>
        </w:rPr>
      </w:pPr>
    </w:p>
    <w:p>
      <w:pPr>
        <w:pStyle w:val="94"/>
        <w:ind w:left="0" w:leftChars="0" w:firstLine="480" w:firstLineChars="200"/>
        <w:rPr>
          <w:rFonts w:hint="default" w:eastAsia="宋体"/>
          <w:color w:val="auto"/>
          <w:sz w:val="24"/>
          <w:szCs w:val="24"/>
          <w:lang w:val="en-US" w:eastAsia="zh-CN"/>
        </w:rPr>
      </w:pPr>
      <w:r>
        <w:rPr>
          <w:rFonts w:hint="eastAsia"/>
          <w:color w:val="auto"/>
          <w:sz w:val="24"/>
          <w:szCs w:val="24"/>
        </w:rPr>
        <w:t>总报价（大写人民币）：</w:t>
      </w:r>
      <w:r>
        <w:rPr>
          <w:rFonts w:hint="eastAsia" w:ascii="宋体" w:hAnsi="宋体"/>
          <w:color w:val="auto"/>
          <w:sz w:val="24"/>
          <w:szCs w:val="24"/>
          <w:u w:val="single"/>
        </w:rPr>
        <w:t>　　     　　　　　　</w:t>
      </w:r>
    </w:p>
    <w:p>
      <w:pPr>
        <w:pStyle w:val="94"/>
        <w:ind w:firstLine="480" w:firstLineChars="200"/>
        <w:rPr>
          <w:color w:val="auto"/>
          <w:sz w:val="24"/>
          <w:szCs w:val="24"/>
        </w:rPr>
      </w:pPr>
      <w:r>
        <w:rPr>
          <w:rFonts w:hint="eastAsia"/>
          <w:color w:val="auto"/>
          <w:sz w:val="24"/>
          <w:szCs w:val="24"/>
        </w:rPr>
        <w:t>供应商名称：</w:t>
      </w:r>
      <w:r>
        <w:rPr>
          <w:rFonts w:hint="eastAsia" w:ascii="宋体" w:hAnsi="宋体"/>
          <w:color w:val="auto"/>
          <w:sz w:val="24"/>
          <w:szCs w:val="24"/>
          <w:u w:val="single"/>
        </w:rPr>
        <w:t>　　     　　　　　　</w:t>
      </w:r>
      <w:r>
        <w:rPr>
          <w:rFonts w:hint="eastAsia" w:ascii="宋体" w:hAnsi="宋体"/>
          <w:color w:val="auto"/>
          <w:spacing w:val="6"/>
          <w:sz w:val="24"/>
          <w:szCs w:val="24"/>
        </w:rPr>
        <w:t>(加盖公章)</w:t>
      </w:r>
    </w:p>
    <w:p>
      <w:pPr>
        <w:pStyle w:val="94"/>
        <w:ind w:firstLine="480" w:firstLineChars="200"/>
        <w:rPr>
          <w:rFonts w:ascii="宋体" w:hAnsi="宋体"/>
          <w:color w:val="auto"/>
          <w:sz w:val="24"/>
          <w:szCs w:val="24"/>
        </w:rPr>
      </w:pPr>
      <w:r>
        <w:rPr>
          <w:rFonts w:hint="eastAsia"/>
          <w:color w:val="auto"/>
          <w:sz w:val="24"/>
          <w:szCs w:val="24"/>
        </w:rPr>
        <w:t>法定代表人或代理人：</w:t>
      </w:r>
      <w:r>
        <w:rPr>
          <w:rFonts w:hint="eastAsia" w:ascii="宋体" w:hAnsi="宋体"/>
          <w:color w:val="auto"/>
          <w:sz w:val="24"/>
          <w:szCs w:val="24"/>
          <w:u w:val="single"/>
        </w:rPr>
        <w:t>　　     　　　　　　</w:t>
      </w:r>
      <w:r>
        <w:rPr>
          <w:rFonts w:hint="eastAsia" w:ascii="宋体" w:hAnsi="宋体"/>
          <w:color w:val="auto"/>
          <w:sz w:val="24"/>
          <w:szCs w:val="24"/>
        </w:rPr>
        <w:t>（签字）</w:t>
      </w:r>
    </w:p>
    <w:p>
      <w:pPr>
        <w:ind w:firstLine="480" w:firstLineChars="200"/>
        <w:rPr>
          <w:rFonts w:ascii="宋体" w:hAnsi="宋体" w:cs="宋体"/>
          <w:color w:val="auto"/>
          <w:sz w:val="24"/>
          <w:szCs w:val="24"/>
        </w:rPr>
      </w:pPr>
      <w:r>
        <w:rPr>
          <w:rFonts w:hint="eastAsia"/>
          <w:color w:val="auto"/>
          <w:sz w:val="24"/>
          <w:szCs w:val="24"/>
        </w:rPr>
        <w:t>日期：</w:t>
      </w:r>
      <w:r>
        <w:rPr>
          <w:rFonts w:hint="eastAsia" w:ascii="宋体" w:hAnsi="宋体"/>
          <w:color w:val="auto"/>
          <w:sz w:val="24"/>
          <w:szCs w:val="24"/>
          <w:u w:val="single"/>
        </w:rPr>
        <w:t>　　</w:t>
      </w:r>
      <w:r>
        <w:rPr>
          <w:rFonts w:hint="eastAsia" w:ascii="宋体" w:hAnsi="宋体"/>
          <w:color w:val="auto"/>
          <w:sz w:val="24"/>
          <w:szCs w:val="24"/>
        </w:rPr>
        <w:t>年</w:t>
      </w:r>
      <w:r>
        <w:rPr>
          <w:rFonts w:hint="eastAsia" w:ascii="宋体" w:hAnsi="宋体"/>
          <w:color w:val="auto"/>
          <w:sz w:val="24"/>
          <w:szCs w:val="24"/>
          <w:u w:val="single"/>
        </w:rPr>
        <w:tab/>
      </w:r>
      <w:r>
        <w:rPr>
          <w:rFonts w:hint="eastAsia" w:ascii="宋体" w:hAnsi="宋体"/>
          <w:color w:val="auto"/>
          <w:sz w:val="24"/>
          <w:szCs w:val="24"/>
        </w:rPr>
        <w:t>月</w:t>
      </w:r>
      <w:r>
        <w:rPr>
          <w:rFonts w:hint="eastAsia" w:ascii="宋体" w:hAnsi="宋体"/>
          <w:color w:val="auto"/>
          <w:sz w:val="24"/>
          <w:szCs w:val="24"/>
          <w:u w:val="single"/>
        </w:rPr>
        <w:t>　　</w:t>
      </w:r>
      <w:r>
        <w:rPr>
          <w:rFonts w:hint="eastAsia" w:ascii="宋体" w:hAnsi="宋体"/>
          <w:color w:val="auto"/>
          <w:sz w:val="24"/>
          <w:szCs w:val="24"/>
        </w:rPr>
        <w:t>日</w:t>
      </w:r>
    </w:p>
    <w:p>
      <w:pPr>
        <w:rPr>
          <w:color w:val="000000" w:themeColor="text1"/>
          <w14:textFill>
            <w14:solidFill>
              <w14:schemeClr w14:val="tx1"/>
            </w14:solidFill>
          </w14:textFill>
        </w:rPr>
      </w:pPr>
    </w:p>
    <w:p>
      <w:pPr>
        <w:pStyle w:val="94"/>
        <w:ind w:firstLine="0"/>
        <w:rPr>
          <w:rFonts w:hint="eastAsia"/>
          <w:b/>
          <w:color w:val="auto"/>
          <w:sz w:val="24"/>
          <w:szCs w:val="24"/>
        </w:rPr>
      </w:pPr>
      <w:r>
        <w:rPr>
          <w:rFonts w:hint="eastAsia"/>
          <w:b/>
          <w:color w:val="auto"/>
          <w:sz w:val="24"/>
          <w:szCs w:val="24"/>
        </w:rPr>
        <w:t>说明：1、报价应是包括磋商文件规定的全部响应内容的报价（包含成交供应商应承担的物耗）。</w:t>
      </w:r>
    </w:p>
    <w:p>
      <w:pPr>
        <w:pStyle w:val="94"/>
        <w:ind w:firstLine="723" w:firstLineChars="300"/>
        <w:rPr>
          <w:rFonts w:hint="eastAsia" w:ascii="宋体" w:hAnsi="宋体"/>
          <w:bCs w:val="0"/>
          <w:color w:val="auto"/>
          <w:sz w:val="28"/>
          <w:szCs w:val="18"/>
        </w:rPr>
      </w:pPr>
      <w:r>
        <w:rPr>
          <w:rFonts w:hint="eastAsia" w:hAnsi="宋体" w:cs="宋体"/>
          <w:b/>
          <w:color w:val="auto"/>
          <w:sz w:val="24"/>
          <w:szCs w:val="24"/>
          <w:lang w:val="en-US" w:eastAsia="zh-CN"/>
        </w:rPr>
        <w:t>2、</w:t>
      </w:r>
      <w:r>
        <w:rPr>
          <w:rFonts w:hint="eastAsia" w:ascii="宋体" w:hAnsi="宋体" w:cs="宋体"/>
          <w:b/>
          <w:color w:val="auto"/>
          <w:sz w:val="24"/>
          <w:szCs w:val="24"/>
        </w:rPr>
        <w:t>最终报价</w:t>
      </w:r>
      <w:r>
        <w:rPr>
          <w:rFonts w:hint="eastAsia" w:hAnsi="宋体" w:cs="宋体"/>
          <w:b/>
          <w:color w:val="auto"/>
          <w:sz w:val="24"/>
          <w:szCs w:val="24"/>
          <w:lang w:eastAsia="zh-CN"/>
        </w:rPr>
        <w:t>表由采购代理机构提供给通过资格性审查的投标供应商，并且最终报价</w:t>
      </w:r>
      <w:r>
        <w:rPr>
          <w:rFonts w:hint="eastAsia" w:ascii="宋体" w:hAnsi="宋体" w:cs="宋体"/>
          <w:b/>
          <w:color w:val="auto"/>
          <w:sz w:val="24"/>
          <w:szCs w:val="24"/>
        </w:rPr>
        <w:t>不能高于本报价表中的报价。</w:t>
      </w:r>
    </w:p>
    <w:p>
      <w:pPr>
        <w:numPr>
          <w:ilvl w:val="0"/>
          <w:numId w:val="0"/>
        </w:numPr>
        <w:spacing w:line="440" w:lineRule="exact"/>
        <w:ind w:firstLine="560" w:firstLineChars="200"/>
        <w:rPr>
          <w:rFonts w:hint="eastAsia" w:hAnsi="宋体" w:cs="宋体"/>
          <w:b/>
          <w:color w:val="auto"/>
          <w:sz w:val="24"/>
          <w:szCs w:val="24"/>
          <w:lang w:eastAsia="zh-CN"/>
        </w:rPr>
      </w:pPr>
      <w:r>
        <w:rPr>
          <w:rFonts w:hint="eastAsia" w:hAnsi="宋体"/>
          <w:bCs w:val="0"/>
          <w:color w:val="auto"/>
          <w:sz w:val="28"/>
          <w:szCs w:val="18"/>
          <w:lang w:val="en-US" w:eastAsia="zh-CN"/>
        </w:rPr>
        <w:t xml:space="preserve"> </w:t>
      </w:r>
      <w:r>
        <w:rPr>
          <w:rFonts w:hint="eastAsia" w:hAnsi="宋体" w:cs="宋体"/>
          <w:b/>
          <w:color w:val="auto"/>
          <w:sz w:val="24"/>
          <w:szCs w:val="24"/>
          <w:lang w:val="en-US" w:eastAsia="zh-CN"/>
        </w:rPr>
        <w:t>3、</w:t>
      </w:r>
      <w:r>
        <w:rPr>
          <w:rFonts w:hint="eastAsia" w:hAnsi="宋体" w:cs="宋体"/>
          <w:b/>
          <w:color w:val="auto"/>
          <w:sz w:val="24"/>
          <w:szCs w:val="24"/>
          <w:lang w:eastAsia="zh-CN"/>
        </w:rPr>
        <w:t>报价应是最终用户验收合格后的各项总和，是投标人响应招标项目要求的全部工作内容的价格体现，包括人工、交通、保险、代理、培训、税费和竞争性磋商文件规定的完成本项目工作所需的一切相关费用。</w:t>
      </w:r>
    </w:p>
    <w:p>
      <w:pPr>
        <w:pStyle w:val="45"/>
        <w:rPr>
          <w:rFonts w:hint="eastAsia" w:hAnsi="宋体" w:cs="宋体"/>
          <w:b/>
          <w:color w:val="auto"/>
          <w:sz w:val="24"/>
          <w:szCs w:val="24"/>
          <w:lang w:eastAsia="zh-CN"/>
        </w:rPr>
      </w:pPr>
    </w:p>
    <w:p>
      <w:pPr>
        <w:pStyle w:val="45"/>
        <w:rPr>
          <w:rFonts w:hint="eastAsia" w:hAnsi="宋体" w:cs="宋体"/>
          <w:b/>
          <w:color w:val="auto"/>
          <w:sz w:val="24"/>
          <w:szCs w:val="24"/>
          <w:lang w:eastAsia="zh-CN"/>
        </w:rPr>
        <w:sectPr>
          <w:footerReference r:id="rId16" w:type="default"/>
          <w:pgSz w:w="16840" w:h="11907" w:orient="landscape"/>
          <w:pgMar w:top="1474" w:right="1440" w:bottom="1474" w:left="1440" w:header="851" w:footer="992" w:gutter="0"/>
          <w:pgBorders>
            <w:top w:val="none" w:sz="0" w:space="0"/>
            <w:left w:val="none" w:sz="0" w:space="0"/>
            <w:bottom w:val="none" w:sz="0" w:space="0"/>
            <w:right w:val="none" w:sz="0" w:space="0"/>
          </w:pgBorders>
          <w:pgNumType w:fmt="decimal"/>
          <w:cols w:space="425" w:num="1"/>
          <w:docGrid w:linePitch="312" w:charSpace="0"/>
        </w:sectPr>
      </w:pPr>
    </w:p>
    <w:p>
      <w:pPr>
        <w:pStyle w:val="5"/>
        <w:tabs>
          <w:tab w:val="left" w:pos="709"/>
        </w:tabs>
        <w:ind w:left="709" w:firstLine="0" w:firstLineChars="0"/>
        <w:jc w:val="center"/>
        <w:rPr>
          <w:rFonts w:ascii="宋体" w:hAnsi="宋体"/>
          <w:bCs w:val="0"/>
          <w:color w:val="auto"/>
          <w:sz w:val="32"/>
        </w:rPr>
      </w:pPr>
      <w:r>
        <w:rPr>
          <w:rFonts w:hint="eastAsia" w:ascii="宋体" w:hAnsi="宋体"/>
          <w:bCs w:val="0"/>
          <w:color w:val="auto"/>
          <w:sz w:val="32"/>
        </w:rPr>
        <w:t>三、中小企业声明函</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w:t>
      </w:r>
      <w:r>
        <w:rPr>
          <w:rFonts w:hint="eastAsia" w:hAnsi="宋体" w:cs="宋体"/>
          <w:color w:val="auto"/>
          <w:sz w:val="24"/>
          <w:szCs w:val="24"/>
          <w:lang w:val="en-US" w:eastAsia="zh-CN"/>
        </w:rPr>
        <w:t>服务全部由符合政策要求的中小企业承接</w:t>
      </w:r>
      <w:r>
        <w:rPr>
          <w:rFonts w:hint="eastAsia" w:ascii="宋体" w:hAnsi="宋体" w:eastAsia="宋体" w:cs="宋体"/>
          <w:color w:val="auto"/>
          <w:sz w:val="24"/>
          <w:szCs w:val="24"/>
        </w:rPr>
        <w:t>。相关企业（含联合体中的中小企业、签订分包意向协议的中小企业）的具体情况如下：</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w:t>
      </w:r>
      <w:r>
        <w:rPr>
          <w:rFonts w:hint="eastAsia" w:hAnsi="宋体" w:cs="宋体"/>
          <w:color w:val="auto"/>
          <w:sz w:val="24"/>
          <w:szCs w:val="24"/>
          <w:lang w:val="en-US" w:eastAsia="zh-CN"/>
        </w:rPr>
        <w:t>承接企业</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 xml:space="preserve">人，营业收入为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w:t>
      </w:r>
      <w:r>
        <w:rPr>
          <w:rFonts w:hint="eastAsia" w:hAnsi="宋体" w:cs="宋体"/>
          <w:color w:val="auto"/>
          <w:sz w:val="24"/>
          <w:szCs w:val="24"/>
          <w:lang w:val="en-US" w:eastAsia="zh-CN"/>
        </w:rPr>
        <w:t>承接企业</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 xml:space="preserve">人，营业收入为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11"/>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pStyle w:val="11"/>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rPr>
          <w:rFonts w:hint="eastAsia"/>
        </w:rPr>
      </w:pP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rPr>
      </w:pPr>
      <w:r>
        <w:rPr>
          <w:rFonts w:hint="default" w:ascii="宋体" w:hAnsi="宋体" w:eastAsia="宋体" w:cs="宋体"/>
          <w:b/>
          <w:bCs/>
          <w:color w:val="auto"/>
          <w:sz w:val="28"/>
          <w:szCs w:val="28"/>
          <w:vertAlign w:val="superscript"/>
          <w:lang w:val="en-US" w:eastAsia="zh-CN"/>
        </w:rPr>
        <w:t xml:space="preserve">1 </w:t>
      </w:r>
      <w:r>
        <w:rPr>
          <w:rFonts w:hint="eastAsia" w:ascii="宋体" w:hAnsi="宋体" w:eastAsia="宋体" w:cs="宋体"/>
          <w:b/>
          <w:bCs/>
          <w:color w:val="auto"/>
          <w:sz w:val="28"/>
          <w:szCs w:val="28"/>
          <w:lang w:val="en-US" w:eastAsia="zh-CN"/>
        </w:rPr>
        <w:t>从业人员、营业收入、资产总额填报上一年度数据，无上一年度数据的新成立企业可不填报。</w:t>
      </w:r>
    </w:p>
    <w:p>
      <w:pPr>
        <w:rPr>
          <w:rFonts w:hint="eastAsia"/>
          <w:color w:val="auto"/>
        </w:rPr>
      </w:pPr>
    </w:p>
    <w:p>
      <w:pPr>
        <w:pStyle w:val="11"/>
        <w:rPr>
          <w:rFonts w:hint="eastAsia"/>
          <w:color w:val="auto"/>
        </w:rPr>
      </w:pPr>
    </w:p>
    <w:p>
      <w:pPr>
        <w:rPr>
          <w:rFonts w:hint="eastAsia"/>
          <w:color w:val="auto"/>
        </w:rPr>
      </w:pPr>
    </w:p>
    <w:p>
      <w:pPr>
        <w:pStyle w:val="11"/>
        <w:rPr>
          <w:rFonts w:hint="eastAsia"/>
          <w:color w:val="auto"/>
        </w:rPr>
      </w:pPr>
    </w:p>
    <w:p>
      <w:pPr>
        <w:rPr>
          <w:rFonts w:hint="eastAsia"/>
        </w:rPr>
      </w:pPr>
    </w:p>
    <w:p>
      <w:pPr>
        <w:rPr>
          <w:rFonts w:hint="eastAsia"/>
        </w:rPr>
      </w:pPr>
    </w:p>
    <w:p>
      <w:pPr>
        <w:keepNext w:val="0"/>
        <w:keepLines w:val="0"/>
        <w:widowControl/>
        <w:numPr>
          <w:ilvl w:val="0"/>
          <w:numId w:val="4"/>
        </w:numPr>
        <w:suppressLineNumbers w:val="0"/>
        <w:jc w:val="center"/>
        <w:rPr>
          <w:rFonts w:hint="eastAsia" w:ascii="宋体" w:hAnsi="宋体" w:eastAsia="宋体" w:cs="Times New Roman"/>
          <w:b/>
          <w:bCs w:val="0"/>
          <w:color w:val="auto"/>
          <w:sz w:val="32"/>
          <w:szCs w:val="32"/>
          <w:lang w:val="en-US" w:eastAsia="zh-CN" w:bidi="ar-SA"/>
        </w:rPr>
      </w:pPr>
      <w:r>
        <w:rPr>
          <w:rFonts w:hint="eastAsia" w:ascii="宋体" w:hAnsi="宋体" w:eastAsia="宋体" w:cs="Times New Roman"/>
          <w:b/>
          <w:bCs w:val="0"/>
          <w:color w:val="auto"/>
          <w:sz w:val="32"/>
          <w:szCs w:val="32"/>
          <w:lang w:val="en-US" w:eastAsia="zh-CN" w:bidi="ar-SA"/>
        </w:rPr>
        <w:t>监狱企业证明材料</w:t>
      </w:r>
    </w:p>
    <w:p>
      <w:pPr>
        <w:pStyle w:val="11"/>
        <w:widowControl w:val="0"/>
        <w:numPr>
          <w:ilvl w:val="0"/>
          <w:numId w:val="0"/>
        </w:numPr>
        <w:spacing w:after="120"/>
        <w:jc w:val="both"/>
        <w:rPr>
          <w:rFonts w:hint="eastAsia"/>
          <w:lang w:val="en-US" w:eastAsia="zh-CN"/>
        </w:rPr>
      </w:pPr>
    </w:p>
    <w:p>
      <w:pPr>
        <w:rPr>
          <w:rFonts w:hint="eastAsia"/>
          <w:lang w:val="en-US" w:eastAsia="zh-CN"/>
        </w:rPr>
      </w:pPr>
    </w:p>
    <w:p>
      <w:pPr>
        <w:spacing w:line="400" w:lineRule="exact"/>
        <w:ind w:firstLine="504" w:firstLineChars="200"/>
        <w:rPr>
          <w:rFonts w:hint="eastAsia" w:ascii="宋体" w:hAnsi="宋体" w:eastAsia="宋体" w:cs="Times New Roman"/>
          <w:color w:val="auto"/>
          <w:spacing w:val="6"/>
          <w:sz w:val="24"/>
          <w:szCs w:val="22"/>
          <w:lang w:val="en-US" w:eastAsia="zh-CN"/>
        </w:rPr>
      </w:pPr>
      <w:r>
        <w:rPr>
          <w:rFonts w:hint="eastAsia" w:ascii="宋体" w:hAnsi="宋体" w:eastAsia="宋体" w:cs="Times New Roman"/>
          <w:color w:val="auto"/>
          <w:spacing w:val="6"/>
          <w:sz w:val="24"/>
          <w:szCs w:val="22"/>
          <w:lang w:val="en-US" w:eastAsia="zh-CN"/>
        </w:rPr>
        <w:t>监狱企业提供政府采购活动时，应提供由省级以上监狱管理局、戒毒管理局（含新疆生产建设兵团）出具的属于监狱企业的证明文件复印件。</w:t>
      </w:r>
    </w:p>
    <w:p>
      <w:pPr>
        <w:spacing w:line="400" w:lineRule="exact"/>
        <w:ind w:firstLine="504" w:firstLineChars="200"/>
        <w:rPr>
          <w:rFonts w:hint="eastAsia" w:ascii="宋体" w:hAnsi="宋体" w:eastAsia="宋体" w:cs="Times New Roman"/>
          <w:color w:val="auto"/>
          <w:spacing w:val="6"/>
          <w:sz w:val="24"/>
          <w:szCs w:val="22"/>
          <w:lang w:val="en-US" w:eastAsia="zh-CN"/>
        </w:rPr>
      </w:pPr>
    </w:p>
    <w:p>
      <w:pPr>
        <w:spacing w:line="400" w:lineRule="exact"/>
        <w:ind w:firstLine="504" w:firstLineChars="200"/>
        <w:rPr>
          <w:rFonts w:hint="eastAsia" w:ascii="宋体" w:hAnsi="宋体" w:eastAsia="宋体" w:cs="Times New Roman"/>
          <w:color w:val="auto"/>
          <w:spacing w:val="6"/>
          <w:sz w:val="24"/>
          <w:szCs w:val="22"/>
          <w:lang w:val="en-US" w:eastAsia="zh-CN"/>
        </w:rPr>
      </w:pPr>
    </w:p>
    <w:p>
      <w:pPr>
        <w:spacing w:line="40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pPr>
        <w:pStyle w:val="11"/>
        <w:rPr>
          <w:rFonts w:hint="eastAsia" w:ascii="宋体" w:hAnsi="宋体" w:eastAsia="宋体" w:cs="宋体"/>
          <w:color w:val="000000"/>
          <w:kern w:val="0"/>
          <w:sz w:val="24"/>
          <w:szCs w:val="24"/>
          <w:lang w:val="en-US" w:eastAsia="zh-CN" w:bidi="ar"/>
        </w:rPr>
      </w:pPr>
    </w:p>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说明：非监狱企业不提供此证明材料。</w:t>
      </w: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pStyle w:val="5"/>
        <w:tabs>
          <w:tab w:val="left" w:pos="709"/>
        </w:tabs>
        <w:ind w:left="709" w:firstLine="0" w:firstLineChars="0"/>
        <w:jc w:val="center"/>
        <w:rPr>
          <w:rFonts w:ascii="宋体" w:hAnsi="宋体"/>
          <w:bCs w:val="0"/>
          <w:color w:val="auto"/>
          <w:sz w:val="32"/>
        </w:rPr>
      </w:pPr>
      <w:bookmarkStart w:id="247" w:name="_Toc531718434"/>
      <w:r>
        <w:rPr>
          <w:rFonts w:hint="eastAsia" w:hAnsi="宋体"/>
          <w:bCs w:val="0"/>
          <w:color w:val="auto"/>
          <w:sz w:val="32"/>
          <w:lang w:val="en-US" w:eastAsia="zh-CN"/>
        </w:rPr>
        <w:t>五</w:t>
      </w:r>
      <w:r>
        <w:rPr>
          <w:rFonts w:hint="eastAsia" w:ascii="宋体" w:hAnsi="宋体"/>
          <w:bCs w:val="0"/>
          <w:color w:val="auto"/>
          <w:sz w:val="32"/>
        </w:rPr>
        <w:t>、残疾人福利性单位声明函</w:t>
      </w:r>
      <w:bookmarkEnd w:id="247"/>
    </w:p>
    <w:p>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本单位郑重声明，根据《财政部民政部中国残疾人联合会关于促进残疾人就业政府采购政策的通知》（财库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hint="eastAsia" w:hAnsi="宋体"/>
          <w:color w:val="auto"/>
          <w:spacing w:val="6"/>
          <w:sz w:val="24"/>
          <w:u w:val="single"/>
          <w:lang w:val="en-US" w:eastAsia="zh-CN"/>
        </w:rPr>
        <w:t xml:space="preserve">     </w:t>
      </w:r>
      <w:r>
        <w:rPr>
          <w:rFonts w:hint="eastAsia" w:ascii="宋体" w:hAnsi="宋体"/>
          <w:color w:val="auto"/>
          <w:spacing w:val="6"/>
          <w:sz w:val="24"/>
        </w:rPr>
        <w:t>单位的</w:t>
      </w:r>
      <w:r>
        <w:rPr>
          <w:rFonts w:hint="eastAsia" w:ascii="宋体" w:hAnsi="宋体" w:eastAsia="宋体" w:cs="Times New Roman"/>
          <w:color w:val="auto"/>
          <w:spacing w:val="6"/>
          <w:sz w:val="24"/>
          <w:szCs w:val="22"/>
          <w:u w:val="single"/>
          <w:lang w:val="en-US" w:eastAsia="zh-CN"/>
        </w:rPr>
        <w:t xml:space="preserve">     </w:t>
      </w:r>
      <w:r>
        <w:rPr>
          <w:rFonts w:hint="eastAsia" w:ascii="宋体" w:hAnsi="宋体"/>
          <w:color w:val="auto"/>
          <w:spacing w:val="6"/>
          <w:sz w:val="24"/>
        </w:rPr>
        <w:t>项目采购活动由本单位提供服务。</w:t>
      </w:r>
    </w:p>
    <w:p>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p>
    <w:p>
      <w:pPr>
        <w:widowControl/>
        <w:spacing w:line="400" w:lineRule="exact"/>
        <w:jc w:val="left"/>
        <w:rPr>
          <w:rFonts w:hint="eastAsia" w:ascii="ˎ̥" w:hAnsi="ˎ̥" w:cs="宋体"/>
          <w:color w:val="auto"/>
          <w:kern w:val="0"/>
          <w:sz w:val="24"/>
        </w:rPr>
      </w:pPr>
      <w:r>
        <w:rPr>
          <w:rFonts w:hint="eastAsia" w:ascii="ˎ̥" w:hAnsi="ˎ̥" w:cs="宋体"/>
          <w:color w:val="auto"/>
          <w:kern w:val="0"/>
          <w:sz w:val="24"/>
        </w:rPr>
        <w:t>　　</w:t>
      </w:r>
    </w:p>
    <w:p>
      <w:pPr>
        <w:pStyle w:val="11"/>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企业名称（盖章）：</w:t>
      </w:r>
    </w:p>
    <w:p>
      <w:pPr>
        <w:pStyle w:val="11"/>
        <w:keepNext w:val="0"/>
        <w:keepLines w:val="0"/>
        <w:pageBreakBefore w:val="0"/>
        <w:widowControl w:val="0"/>
        <w:kinsoku/>
        <w:wordWrap/>
        <w:overflowPunct/>
        <w:topLinePunct w:val="0"/>
        <w:autoSpaceDE/>
        <w:autoSpaceDN/>
        <w:bidi w:val="0"/>
        <w:adjustRightInd/>
        <w:snapToGrid/>
        <w:spacing w:line="360" w:lineRule="auto"/>
        <w:ind w:firstLine="3640" w:firstLineChars="13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日期：</w:t>
      </w:r>
    </w:p>
    <w:p>
      <w:pPr>
        <w:rPr>
          <w:rFonts w:hint="eastAsia"/>
        </w:rPr>
      </w:pP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注：非残疾人福利性单位不提供此声明</w:t>
      </w:r>
    </w:p>
    <w:p>
      <w:pPr>
        <w:pStyle w:val="11"/>
        <w:rPr>
          <w:rFonts w:hint="eastAsia"/>
          <w:color w:val="auto"/>
        </w:rPr>
        <w:sectPr>
          <w:footerReference r:id="rId17" w:type="default"/>
          <w:pgSz w:w="11907"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bookmarkEnd w:id="246"/>
    <w:p>
      <w:pPr>
        <w:widowControl/>
        <w:jc w:val="center"/>
        <w:rPr>
          <w:rFonts w:hint="eastAsia" w:ascii="宋体" w:hAnsi="宋体"/>
          <w:b/>
          <w:bCs/>
          <w:color w:val="auto"/>
          <w:sz w:val="32"/>
        </w:rPr>
      </w:pPr>
      <w:bookmarkStart w:id="248" w:name="_Toc531718435"/>
      <w:r>
        <w:rPr>
          <w:rFonts w:hint="eastAsia" w:hAnsi="宋体"/>
          <w:b/>
          <w:bCs/>
          <w:color w:val="auto"/>
          <w:sz w:val="32"/>
          <w:lang w:val="en-US" w:eastAsia="zh-CN"/>
        </w:rPr>
        <w:t>六</w:t>
      </w:r>
      <w:r>
        <w:rPr>
          <w:rFonts w:hint="eastAsia" w:ascii="宋体" w:hAnsi="宋体"/>
          <w:b/>
          <w:bCs/>
          <w:color w:val="auto"/>
          <w:sz w:val="32"/>
        </w:rPr>
        <w:t>、技术、服务响应/偏离表</w:t>
      </w:r>
      <w:bookmarkEnd w:id="248"/>
    </w:p>
    <w:p>
      <w:pPr>
        <w:pStyle w:val="11"/>
        <w:rPr>
          <w:color w:val="auto"/>
        </w:rPr>
      </w:pPr>
    </w:p>
    <w:p>
      <w:pPr>
        <w:pStyle w:val="11"/>
        <w:rPr>
          <w:color w:val="auto"/>
        </w:rPr>
      </w:pPr>
    </w:p>
    <w:p>
      <w:pPr>
        <w:pStyle w:val="21"/>
        <w:pBdr>
          <w:bottom w:val="none" w:color="auto" w:sz="0" w:space="0"/>
        </w:pBdr>
        <w:tabs>
          <w:tab w:val="clear" w:pos="4153"/>
          <w:tab w:val="clear" w:pos="8306"/>
        </w:tabs>
        <w:snapToGrid/>
        <w:jc w:val="both"/>
        <w:rPr>
          <w:rFonts w:ascii="宋体" w:hAnsi="宋体"/>
          <w:color w:val="auto"/>
          <w:sz w:val="24"/>
          <w:szCs w:val="24"/>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olor w:val="auto"/>
                <w:sz w:val="24"/>
              </w:rPr>
            </w:pPr>
            <w:r>
              <w:rPr>
                <w:rFonts w:hint="eastAsia" w:ascii="宋体" w:hAnsi="宋体"/>
                <w:color w:val="auto"/>
                <w:sz w:val="24"/>
              </w:rPr>
              <w:t>序号</w:t>
            </w:r>
          </w:p>
        </w:tc>
        <w:tc>
          <w:tcPr>
            <w:tcW w:w="2795" w:type="dxa"/>
            <w:vAlign w:val="center"/>
          </w:tcPr>
          <w:p>
            <w:pPr>
              <w:jc w:val="center"/>
              <w:rPr>
                <w:rFonts w:ascii="宋体" w:hAnsi="宋体"/>
                <w:color w:val="auto"/>
                <w:sz w:val="24"/>
              </w:rPr>
            </w:pPr>
            <w:r>
              <w:rPr>
                <w:rFonts w:hint="eastAsia" w:ascii="宋体" w:hAnsi="宋体"/>
                <w:color w:val="auto"/>
                <w:sz w:val="24"/>
              </w:rPr>
              <w:t>包号（不涉及可不填写）</w:t>
            </w:r>
          </w:p>
        </w:tc>
        <w:tc>
          <w:tcPr>
            <w:tcW w:w="2795" w:type="dxa"/>
            <w:vAlign w:val="center"/>
          </w:tcPr>
          <w:p>
            <w:pPr>
              <w:jc w:val="center"/>
              <w:rPr>
                <w:rFonts w:ascii="宋体" w:hAnsi="宋体"/>
                <w:color w:val="auto"/>
                <w:sz w:val="24"/>
              </w:rPr>
            </w:pPr>
            <w:r>
              <w:rPr>
                <w:rFonts w:hint="eastAsia" w:ascii="宋体" w:hAnsi="宋体"/>
                <w:color w:val="auto"/>
                <w:sz w:val="24"/>
              </w:rPr>
              <w:t>采购文件要求</w:t>
            </w:r>
          </w:p>
        </w:tc>
        <w:tc>
          <w:tcPr>
            <w:tcW w:w="2795" w:type="dxa"/>
            <w:vAlign w:val="center"/>
          </w:tcPr>
          <w:p>
            <w:pPr>
              <w:jc w:val="center"/>
              <w:rPr>
                <w:rFonts w:ascii="宋体" w:hAnsi="宋体"/>
                <w:color w:val="auto"/>
                <w:sz w:val="24"/>
              </w:rPr>
            </w:pPr>
            <w:r>
              <w:rPr>
                <w:rFonts w:hint="eastAsia" w:ascii="宋体" w:hAnsi="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bl>
    <w:p>
      <w:pPr>
        <w:ind w:firstLine="482" w:firstLineChars="200"/>
        <w:rPr>
          <w:rFonts w:ascii="宋体" w:hAnsi="宋体"/>
          <w:b/>
          <w:color w:val="auto"/>
          <w:sz w:val="24"/>
        </w:rPr>
      </w:pPr>
    </w:p>
    <w:p>
      <w:pPr>
        <w:ind w:firstLine="482" w:firstLineChars="200"/>
        <w:rPr>
          <w:rFonts w:ascii="宋体" w:hAnsi="宋体" w:cs="宋体"/>
          <w:b/>
          <w:color w:val="auto"/>
          <w:sz w:val="24"/>
          <w:highlight w:val="none"/>
        </w:rPr>
      </w:pPr>
      <w:r>
        <w:rPr>
          <w:rFonts w:hint="eastAsia" w:ascii="宋体" w:hAnsi="宋体" w:cs="宋体"/>
          <w:b/>
          <w:color w:val="auto"/>
          <w:sz w:val="24"/>
          <w:highlight w:val="none"/>
        </w:rPr>
        <w:t>注：此表用于第</w:t>
      </w:r>
      <w:r>
        <w:rPr>
          <w:rFonts w:hint="eastAsia" w:hAnsi="宋体" w:cs="宋体"/>
          <w:b/>
          <w:color w:val="auto"/>
          <w:sz w:val="24"/>
          <w:highlight w:val="none"/>
          <w:lang w:val="en-US" w:eastAsia="zh-CN"/>
        </w:rPr>
        <w:t>五</w:t>
      </w:r>
      <w:r>
        <w:rPr>
          <w:rFonts w:hint="eastAsia" w:ascii="宋体" w:hAnsi="宋体" w:cs="宋体"/>
          <w:b/>
          <w:color w:val="auto"/>
          <w:sz w:val="24"/>
          <w:highlight w:val="none"/>
        </w:rPr>
        <w:t>章技术、服务条款有偏离（正偏离/负偏离）时填写，无偏离（正偏离/负偏离）可以不用填写此表。但第</w:t>
      </w:r>
      <w:r>
        <w:rPr>
          <w:rFonts w:hint="eastAsia" w:hAnsi="宋体" w:cs="宋体"/>
          <w:b/>
          <w:color w:val="auto"/>
          <w:sz w:val="24"/>
          <w:highlight w:val="none"/>
          <w:lang w:val="en-US" w:eastAsia="zh-CN"/>
        </w:rPr>
        <w:t>五</w:t>
      </w:r>
      <w:r>
        <w:rPr>
          <w:rFonts w:hint="eastAsia" w:ascii="宋体" w:hAnsi="宋体" w:cs="宋体"/>
          <w:b/>
          <w:color w:val="auto"/>
          <w:sz w:val="24"/>
          <w:highlight w:val="none"/>
        </w:rPr>
        <w:t>章技术、服务条款，投标人应在</w:t>
      </w:r>
      <w:r>
        <w:rPr>
          <w:rFonts w:hint="eastAsia" w:hAnsi="宋体" w:cs="宋体"/>
          <w:b/>
          <w:color w:val="auto"/>
          <w:sz w:val="24"/>
          <w:highlight w:val="none"/>
          <w:lang w:eastAsia="zh-CN"/>
        </w:rPr>
        <w:t>响应文件</w:t>
      </w:r>
      <w:r>
        <w:rPr>
          <w:rFonts w:hint="eastAsia" w:ascii="宋体" w:hAnsi="宋体" w:cs="宋体"/>
          <w:b/>
          <w:color w:val="auto"/>
          <w:sz w:val="24"/>
          <w:highlight w:val="none"/>
        </w:rPr>
        <w:t>的其它位置做出响应，如未做出响应其后果由投标人自行承担。</w:t>
      </w:r>
    </w:p>
    <w:p>
      <w:pPr>
        <w:ind w:firstLine="482" w:firstLineChars="200"/>
        <w:rPr>
          <w:rFonts w:asciiTheme="minorEastAsia" w:hAnsiTheme="minorEastAsia" w:eastAsiaTheme="minorEastAsia" w:cstheme="minorEastAsia"/>
          <w:b/>
          <w:color w:val="auto"/>
          <w:sz w:val="24"/>
        </w:rPr>
      </w:pPr>
    </w:p>
    <w:p>
      <w:pPr>
        <w:adjustRightInd w:val="0"/>
        <w:spacing w:line="400" w:lineRule="exact"/>
        <w:ind w:firstLine="480" w:firstLineChars="200"/>
        <w:jc w:val="left"/>
        <w:rPr>
          <w:rFonts w:ascii="宋体" w:hAnsi="宋体"/>
          <w:color w:val="auto"/>
          <w:sz w:val="24"/>
        </w:rPr>
      </w:pPr>
    </w:p>
    <w:p>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pPr>
        <w:adjustRightInd w:val="0"/>
        <w:spacing w:line="400" w:lineRule="exact"/>
        <w:ind w:firstLine="480" w:firstLineChars="200"/>
        <w:jc w:val="left"/>
        <w:rPr>
          <w:bCs/>
          <w:color w:val="auto"/>
          <w:sz w:val="24"/>
        </w:rPr>
      </w:pPr>
      <w:r>
        <w:rPr>
          <w:rFonts w:hint="eastAsia"/>
          <w:bCs/>
          <w:color w:val="auto"/>
          <w:sz w:val="24"/>
        </w:rPr>
        <w:t>法定代表人或授权代表（签字或盖章）：XXX</w:t>
      </w:r>
    </w:p>
    <w:p>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w:t>
      </w:r>
      <w:r>
        <w:rPr>
          <w:rFonts w:hint="eastAsia"/>
          <w:bCs/>
          <w:color w:val="auto"/>
          <w:sz w:val="24"/>
        </w:rPr>
        <w:t>XXX年XXX月XXX日</w:t>
      </w:r>
    </w:p>
    <w:p>
      <w:pPr>
        <w:spacing w:line="400" w:lineRule="exact"/>
        <w:rPr>
          <w:rFonts w:ascii="宋体" w:hAnsi="宋体"/>
          <w:color w:val="auto"/>
        </w:rPr>
      </w:pPr>
    </w:p>
    <w:p>
      <w:pPr>
        <w:spacing w:line="400" w:lineRule="exact"/>
        <w:rPr>
          <w:rFonts w:ascii="宋体" w:hAnsi="宋体"/>
          <w:color w:val="auto"/>
        </w:rPr>
      </w:pPr>
    </w:p>
    <w:p>
      <w:pPr>
        <w:spacing w:line="400" w:lineRule="exact"/>
        <w:rPr>
          <w:rFonts w:ascii="宋体" w:hAnsi="宋体"/>
          <w:color w:val="auto"/>
        </w:rPr>
      </w:pPr>
    </w:p>
    <w:p>
      <w:pPr>
        <w:pStyle w:val="18"/>
        <w:tabs>
          <w:tab w:val="left" w:pos="0"/>
        </w:tabs>
        <w:spacing w:after="0" w:line="400" w:lineRule="exact"/>
        <w:rPr>
          <w:color w:val="auto"/>
        </w:rPr>
      </w:pPr>
    </w:p>
    <w:p>
      <w:pPr>
        <w:pStyle w:val="18"/>
        <w:tabs>
          <w:tab w:val="left" w:pos="0"/>
        </w:tabs>
        <w:rPr>
          <w:color w:val="auto"/>
        </w:rPr>
      </w:pPr>
    </w:p>
    <w:p>
      <w:pPr>
        <w:pStyle w:val="18"/>
        <w:tabs>
          <w:tab w:val="left" w:pos="0"/>
        </w:tabs>
        <w:rPr>
          <w:color w:val="auto"/>
        </w:rPr>
      </w:pPr>
    </w:p>
    <w:p>
      <w:pPr>
        <w:pStyle w:val="5"/>
        <w:tabs>
          <w:tab w:val="left" w:pos="709"/>
        </w:tabs>
        <w:ind w:left="709" w:firstLine="0" w:firstLineChars="0"/>
        <w:jc w:val="center"/>
        <w:rPr>
          <w:rFonts w:ascii="宋体" w:hAnsi="宋体"/>
          <w:bCs w:val="0"/>
          <w:color w:val="auto"/>
          <w:sz w:val="32"/>
        </w:rPr>
      </w:pPr>
      <w:bookmarkStart w:id="249" w:name="_Toc531718436"/>
      <w:r>
        <w:rPr>
          <w:rFonts w:hint="eastAsia" w:hAnsi="宋体"/>
          <w:bCs w:val="0"/>
          <w:color w:val="auto"/>
          <w:sz w:val="32"/>
          <w:lang w:val="en-US" w:eastAsia="zh-CN"/>
        </w:rPr>
        <w:t>七</w:t>
      </w:r>
      <w:r>
        <w:rPr>
          <w:rFonts w:hint="eastAsia" w:ascii="宋体" w:hAnsi="宋体"/>
          <w:bCs w:val="0"/>
          <w:color w:val="auto"/>
          <w:sz w:val="32"/>
        </w:rPr>
        <w:t>、商务要求响应/偏离表</w:t>
      </w:r>
      <w:bookmarkEnd w:id="249"/>
    </w:p>
    <w:p>
      <w:pPr>
        <w:pStyle w:val="21"/>
        <w:pBdr>
          <w:bottom w:val="none" w:color="auto" w:sz="0" w:space="0"/>
        </w:pBdr>
        <w:tabs>
          <w:tab w:val="clear" w:pos="4153"/>
          <w:tab w:val="clear" w:pos="8306"/>
        </w:tabs>
        <w:snapToGrid/>
        <w:jc w:val="both"/>
        <w:rPr>
          <w:rFonts w:ascii="宋体" w:hAnsi="宋体"/>
          <w:color w:val="auto"/>
          <w:sz w:val="24"/>
          <w:szCs w:val="24"/>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olor w:val="auto"/>
                <w:sz w:val="24"/>
              </w:rPr>
            </w:pPr>
            <w:r>
              <w:rPr>
                <w:rFonts w:hint="eastAsia" w:ascii="宋体" w:hAnsi="宋体"/>
                <w:color w:val="auto"/>
                <w:sz w:val="24"/>
              </w:rPr>
              <w:t>序号</w:t>
            </w:r>
          </w:p>
        </w:tc>
        <w:tc>
          <w:tcPr>
            <w:tcW w:w="2795" w:type="dxa"/>
            <w:vAlign w:val="center"/>
          </w:tcPr>
          <w:p>
            <w:pPr>
              <w:jc w:val="center"/>
              <w:rPr>
                <w:rFonts w:ascii="宋体" w:hAnsi="宋体"/>
                <w:color w:val="auto"/>
                <w:sz w:val="24"/>
              </w:rPr>
            </w:pPr>
            <w:r>
              <w:rPr>
                <w:rFonts w:hint="eastAsia" w:ascii="宋体" w:hAnsi="宋体"/>
                <w:color w:val="auto"/>
                <w:sz w:val="24"/>
              </w:rPr>
              <w:t>包号（不涉及可不填写）</w:t>
            </w:r>
          </w:p>
        </w:tc>
        <w:tc>
          <w:tcPr>
            <w:tcW w:w="2795" w:type="dxa"/>
            <w:vAlign w:val="center"/>
          </w:tcPr>
          <w:p>
            <w:pPr>
              <w:jc w:val="center"/>
              <w:rPr>
                <w:rFonts w:ascii="宋体" w:hAnsi="宋体"/>
                <w:color w:val="auto"/>
                <w:sz w:val="24"/>
              </w:rPr>
            </w:pPr>
            <w:r>
              <w:rPr>
                <w:rFonts w:hint="eastAsia" w:ascii="宋体" w:hAnsi="宋体"/>
                <w:color w:val="auto"/>
                <w:sz w:val="24"/>
              </w:rPr>
              <w:t>采购文件要求</w:t>
            </w:r>
          </w:p>
        </w:tc>
        <w:tc>
          <w:tcPr>
            <w:tcW w:w="2795" w:type="dxa"/>
            <w:vAlign w:val="center"/>
          </w:tcPr>
          <w:p>
            <w:pPr>
              <w:jc w:val="center"/>
              <w:rPr>
                <w:rFonts w:ascii="宋体" w:hAnsi="宋体"/>
                <w:color w:val="auto"/>
                <w:sz w:val="24"/>
              </w:rPr>
            </w:pPr>
            <w:r>
              <w:rPr>
                <w:rFonts w:hint="eastAsia" w:ascii="宋体" w:hAnsi="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c>
          <w:tcPr>
            <w:tcW w:w="2795" w:type="dxa"/>
          </w:tcPr>
          <w:p>
            <w:pPr>
              <w:jc w:val="center"/>
              <w:rPr>
                <w:rFonts w:ascii="宋体" w:hAnsi="宋体"/>
                <w:color w:val="auto"/>
                <w:sz w:val="24"/>
              </w:rPr>
            </w:pPr>
          </w:p>
        </w:tc>
      </w:tr>
    </w:tbl>
    <w:p>
      <w:pPr>
        <w:ind w:firstLine="482" w:firstLineChars="200"/>
        <w:rPr>
          <w:rFonts w:ascii="宋体" w:hAnsi="宋体" w:cs="宋体"/>
          <w:b/>
          <w:color w:val="auto"/>
          <w:sz w:val="24"/>
          <w:highlight w:val="none"/>
        </w:rPr>
      </w:pPr>
      <w:r>
        <w:rPr>
          <w:rFonts w:hint="eastAsia" w:ascii="宋体" w:hAnsi="宋体" w:cs="宋体"/>
          <w:b/>
          <w:color w:val="auto"/>
          <w:sz w:val="24"/>
          <w:highlight w:val="none"/>
        </w:rPr>
        <w:t>注：此表用于第</w:t>
      </w:r>
      <w:r>
        <w:rPr>
          <w:rFonts w:hint="eastAsia" w:hAnsi="宋体" w:cs="宋体"/>
          <w:b/>
          <w:color w:val="auto"/>
          <w:sz w:val="24"/>
          <w:highlight w:val="none"/>
          <w:lang w:val="en-US" w:eastAsia="zh-CN"/>
        </w:rPr>
        <w:t>五</w:t>
      </w:r>
      <w:r>
        <w:rPr>
          <w:rFonts w:hint="eastAsia" w:ascii="宋体" w:hAnsi="宋体" w:cs="宋体"/>
          <w:b/>
          <w:color w:val="auto"/>
          <w:sz w:val="24"/>
          <w:highlight w:val="none"/>
        </w:rPr>
        <w:t>章商务要求有偏离（正偏离/负偏离）时填写，无偏离（正偏离/负偏离）可以不用填写此表。但第</w:t>
      </w:r>
      <w:r>
        <w:rPr>
          <w:rFonts w:hint="eastAsia" w:hAnsi="宋体" w:cs="宋体"/>
          <w:b/>
          <w:color w:val="auto"/>
          <w:sz w:val="24"/>
          <w:highlight w:val="none"/>
          <w:lang w:val="en-US" w:eastAsia="zh-CN"/>
        </w:rPr>
        <w:t>五</w:t>
      </w:r>
      <w:r>
        <w:rPr>
          <w:rFonts w:hint="eastAsia" w:ascii="宋体" w:hAnsi="宋体" w:cs="宋体"/>
          <w:b/>
          <w:color w:val="auto"/>
          <w:sz w:val="24"/>
          <w:highlight w:val="none"/>
        </w:rPr>
        <w:t>章商务要求，投标人应在</w:t>
      </w:r>
      <w:r>
        <w:rPr>
          <w:rFonts w:hint="eastAsia" w:hAnsi="宋体" w:cs="宋体"/>
          <w:b/>
          <w:color w:val="auto"/>
          <w:sz w:val="24"/>
          <w:highlight w:val="none"/>
          <w:lang w:eastAsia="zh-CN"/>
        </w:rPr>
        <w:t>响应文件</w:t>
      </w:r>
      <w:r>
        <w:rPr>
          <w:rFonts w:hint="eastAsia" w:ascii="宋体" w:hAnsi="宋体" w:cs="宋体"/>
          <w:b/>
          <w:color w:val="auto"/>
          <w:sz w:val="24"/>
          <w:highlight w:val="none"/>
        </w:rPr>
        <w:t>的其它位置做出响应，如未做出响应其后果由投标人自行承担。</w:t>
      </w:r>
    </w:p>
    <w:p>
      <w:pPr>
        <w:adjustRightInd w:val="0"/>
        <w:spacing w:line="400" w:lineRule="exact"/>
        <w:ind w:firstLine="480" w:firstLineChars="200"/>
        <w:jc w:val="left"/>
        <w:rPr>
          <w:rFonts w:ascii="宋体" w:hAnsi="宋体"/>
          <w:color w:val="auto"/>
          <w:sz w:val="24"/>
        </w:rPr>
      </w:pPr>
    </w:p>
    <w:p>
      <w:pPr>
        <w:adjustRightInd w:val="0"/>
        <w:spacing w:line="400" w:lineRule="exact"/>
        <w:ind w:firstLine="480" w:firstLineChars="200"/>
        <w:jc w:val="left"/>
        <w:rPr>
          <w:rFonts w:ascii="宋体" w:hAnsi="宋体"/>
          <w:color w:val="auto"/>
          <w:sz w:val="24"/>
        </w:rPr>
      </w:pPr>
      <w:r>
        <w:rPr>
          <w:rFonts w:hint="eastAsia"/>
          <w:bCs/>
          <w:color w:val="auto"/>
          <w:sz w:val="24"/>
        </w:rPr>
        <w:t>供应商名称：X</w:t>
      </w:r>
      <w:r>
        <w:rPr>
          <w:rFonts w:hint="eastAsia" w:ascii="宋体" w:hAnsi="宋体"/>
          <w:color w:val="auto"/>
          <w:sz w:val="24"/>
        </w:rPr>
        <w:t>XX（盖单位公章）</w:t>
      </w:r>
    </w:p>
    <w:p>
      <w:pPr>
        <w:adjustRightInd w:val="0"/>
        <w:spacing w:line="400" w:lineRule="exact"/>
        <w:ind w:firstLine="540" w:firstLineChars="225"/>
        <w:jc w:val="left"/>
        <w:rPr>
          <w:bCs/>
          <w:color w:val="auto"/>
          <w:sz w:val="24"/>
        </w:rPr>
      </w:pPr>
      <w:r>
        <w:rPr>
          <w:rFonts w:hint="eastAsia"/>
          <w:bCs/>
          <w:color w:val="auto"/>
          <w:sz w:val="24"/>
        </w:rPr>
        <w:t>法定代表人或授权代表（签字或盖章）：XXX</w:t>
      </w:r>
    </w:p>
    <w:p>
      <w:pPr>
        <w:adjustRightInd w:val="0"/>
        <w:spacing w:line="400" w:lineRule="exact"/>
        <w:ind w:firstLine="540" w:firstLineChars="225"/>
        <w:jc w:val="left"/>
        <w:rPr>
          <w:bCs/>
          <w:color w:val="auto"/>
          <w:sz w:val="24"/>
        </w:rPr>
      </w:pPr>
      <w:r>
        <w:rPr>
          <w:rFonts w:hint="eastAsia"/>
          <w:bCs/>
          <w:color w:val="auto"/>
          <w:sz w:val="24"/>
        </w:rPr>
        <w:t>日  期：XXX年XXX月XXX日</w:t>
      </w:r>
    </w:p>
    <w:p>
      <w:pPr>
        <w:pStyle w:val="18"/>
        <w:tabs>
          <w:tab w:val="left" w:pos="0"/>
        </w:tabs>
        <w:jc w:val="center"/>
        <w:rPr>
          <w:color w:val="auto"/>
        </w:rPr>
      </w:pPr>
    </w:p>
    <w:p>
      <w:pPr>
        <w:pStyle w:val="18"/>
        <w:tabs>
          <w:tab w:val="left" w:pos="0"/>
        </w:tabs>
        <w:jc w:val="center"/>
        <w:rPr>
          <w:color w:val="auto"/>
        </w:rPr>
      </w:pPr>
    </w:p>
    <w:p>
      <w:pPr>
        <w:pStyle w:val="18"/>
        <w:tabs>
          <w:tab w:val="left" w:pos="0"/>
        </w:tabs>
        <w:jc w:val="center"/>
        <w:rPr>
          <w:color w:val="auto"/>
        </w:rPr>
      </w:pPr>
    </w:p>
    <w:p>
      <w:pPr>
        <w:pStyle w:val="18"/>
        <w:tabs>
          <w:tab w:val="left" w:pos="0"/>
        </w:tabs>
        <w:jc w:val="center"/>
        <w:rPr>
          <w:color w:val="auto"/>
        </w:rPr>
      </w:pPr>
    </w:p>
    <w:p>
      <w:pPr>
        <w:pStyle w:val="18"/>
        <w:tabs>
          <w:tab w:val="left" w:pos="0"/>
        </w:tabs>
        <w:ind w:left="0" w:leftChars="0" w:firstLine="0" w:firstLineChars="0"/>
        <w:jc w:val="both"/>
        <w:rPr>
          <w:color w:val="auto"/>
        </w:rPr>
      </w:pPr>
    </w:p>
    <w:p>
      <w:pPr>
        <w:adjustRightInd w:val="0"/>
        <w:spacing w:line="400" w:lineRule="exact"/>
        <w:jc w:val="left"/>
        <w:rPr>
          <w:rFonts w:ascii="宋体" w:hAnsi="宋体"/>
          <w:color w:val="auto"/>
          <w:sz w:val="28"/>
        </w:rPr>
        <w:sectPr>
          <w:pgSz w:w="11907"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5"/>
        <w:tabs>
          <w:tab w:val="left" w:pos="709"/>
        </w:tabs>
        <w:ind w:left="709" w:firstLine="0" w:firstLineChars="0"/>
        <w:jc w:val="center"/>
        <w:rPr>
          <w:rFonts w:ascii="宋体" w:hAnsi="宋体"/>
          <w:bCs w:val="0"/>
          <w:color w:val="auto"/>
          <w:sz w:val="32"/>
        </w:rPr>
      </w:pPr>
      <w:bookmarkStart w:id="250" w:name="_Toc531718437"/>
      <w:r>
        <w:rPr>
          <w:rFonts w:hint="eastAsia" w:hAnsi="宋体"/>
          <w:bCs w:val="0"/>
          <w:color w:val="auto"/>
          <w:sz w:val="32"/>
          <w:lang w:val="en-US" w:eastAsia="zh-CN"/>
        </w:rPr>
        <w:t>八</w:t>
      </w:r>
      <w:r>
        <w:rPr>
          <w:rFonts w:hint="eastAsia" w:ascii="宋体" w:hAnsi="宋体"/>
          <w:bCs w:val="0"/>
          <w:color w:val="auto"/>
          <w:sz w:val="32"/>
        </w:rPr>
        <w:t>、供应商本项目管理、技术、服务人员情况表</w:t>
      </w:r>
      <w:bookmarkEnd w:id="250"/>
    </w:p>
    <w:tbl>
      <w:tblPr>
        <w:tblStyle w:val="3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
        <w:gridCol w:w="924"/>
        <w:gridCol w:w="931"/>
        <w:gridCol w:w="1151"/>
        <w:gridCol w:w="1287"/>
        <w:gridCol w:w="1150"/>
        <w:gridCol w:w="10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类别</w:t>
            </w:r>
          </w:p>
        </w:tc>
        <w:tc>
          <w:tcPr>
            <w:tcW w:w="975"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职务</w:t>
            </w:r>
          </w:p>
        </w:tc>
        <w:tc>
          <w:tcPr>
            <w:tcW w:w="924"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姓名</w:t>
            </w:r>
          </w:p>
        </w:tc>
        <w:tc>
          <w:tcPr>
            <w:tcW w:w="931"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职称</w:t>
            </w:r>
          </w:p>
        </w:tc>
        <w:tc>
          <w:tcPr>
            <w:tcW w:w="1151"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常住地</w:t>
            </w:r>
          </w:p>
        </w:tc>
        <w:tc>
          <w:tcPr>
            <w:tcW w:w="4545" w:type="dxa"/>
            <w:gridSpan w:val="4"/>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55" w:type="dxa"/>
            <w:vMerge w:val="continue"/>
            <w:vAlign w:val="center"/>
          </w:tcPr>
          <w:p>
            <w:pPr>
              <w:adjustRightInd w:val="0"/>
              <w:snapToGrid w:val="0"/>
              <w:spacing w:line="360" w:lineRule="auto"/>
              <w:jc w:val="center"/>
              <w:rPr>
                <w:rFonts w:hAnsi="宋体" w:cs="宋体"/>
                <w:color w:val="auto"/>
                <w:sz w:val="24"/>
              </w:rPr>
            </w:pPr>
          </w:p>
        </w:tc>
        <w:tc>
          <w:tcPr>
            <w:tcW w:w="975" w:type="dxa"/>
            <w:vMerge w:val="continue"/>
            <w:vAlign w:val="center"/>
          </w:tcPr>
          <w:p>
            <w:pPr>
              <w:adjustRightInd w:val="0"/>
              <w:snapToGrid w:val="0"/>
              <w:spacing w:line="360" w:lineRule="auto"/>
              <w:jc w:val="center"/>
              <w:rPr>
                <w:rFonts w:hAnsi="宋体" w:cs="宋体"/>
                <w:color w:val="auto"/>
                <w:sz w:val="24"/>
              </w:rPr>
            </w:pPr>
          </w:p>
        </w:tc>
        <w:tc>
          <w:tcPr>
            <w:tcW w:w="924" w:type="dxa"/>
            <w:vMerge w:val="continue"/>
            <w:vAlign w:val="center"/>
          </w:tcPr>
          <w:p>
            <w:pPr>
              <w:adjustRightInd w:val="0"/>
              <w:snapToGrid w:val="0"/>
              <w:spacing w:line="360" w:lineRule="auto"/>
              <w:jc w:val="center"/>
              <w:rPr>
                <w:rFonts w:hAnsi="宋体" w:cs="宋体"/>
                <w:color w:val="auto"/>
                <w:sz w:val="24"/>
              </w:rPr>
            </w:pPr>
          </w:p>
        </w:tc>
        <w:tc>
          <w:tcPr>
            <w:tcW w:w="931" w:type="dxa"/>
            <w:vMerge w:val="continue"/>
            <w:vAlign w:val="center"/>
          </w:tcPr>
          <w:p>
            <w:pPr>
              <w:adjustRightInd w:val="0"/>
              <w:snapToGrid w:val="0"/>
              <w:spacing w:line="360" w:lineRule="auto"/>
              <w:jc w:val="center"/>
              <w:rPr>
                <w:rFonts w:hAnsi="宋体" w:cs="宋体"/>
                <w:color w:val="auto"/>
                <w:sz w:val="24"/>
              </w:rPr>
            </w:pPr>
          </w:p>
        </w:tc>
        <w:tc>
          <w:tcPr>
            <w:tcW w:w="1151" w:type="dxa"/>
            <w:vMerge w:val="continue"/>
            <w:vAlign w:val="center"/>
          </w:tcPr>
          <w:p>
            <w:pPr>
              <w:adjustRightInd w:val="0"/>
              <w:snapToGrid w:val="0"/>
              <w:spacing w:line="360" w:lineRule="auto"/>
              <w:jc w:val="center"/>
              <w:rPr>
                <w:rFonts w:hAnsi="宋体" w:cs="宋体"/>
                <w:color w:val="auto"/>
                <w:sz w:val="24"/>
              </w:rPr>
            </w:pPr>
          </w:p>
        </w:tc>
        <w:tc>
          <w:tcPr>
            <w:tcW w:w="1287" w:type="dxa"/>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证书名称</w:t>
            </w:r>
          </w:p>
        </w:tc>
        <w:tc>
          <w:tcPr>
            <w:tcW w:w="1150" w:type="dxa"/>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级别</w:t>
            </w:r>
          </w:p>
        </w:tc>
        <w:tc>
          <w:tcPr>
            <w:tcW w:w="1037" w:type="dxa"/>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证号</w:t>
            </w:r>
          </w:p>
        </w:tc>
        <w:tc>
          <w:tcPr>
            <w:tcW w:w="1071" w:type="dxa"/>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管理人员</w:t>
            </w:r>
          </w:p>
        </w:tc>
        <w:tc>
          <w:tcPr>
            <w:tcW w:w="975" w:type="dxa"/>
            <w:vAlign w:val="center"/>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Ansi="宋体" w:cs="宋体"/>
                <w:color w:val="auto"/>
                <w:sz w:val="24"/>
              </w:rPr>
            </w:pPr>
          </w:p>
        </w:tc>
        <w:tc>
          <w:tcPr>
            <w:tcW w:w="975" w:type="dxa"/>
            <w:vAlign w:val="center"/>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Ansi="宋体" w:cs="宋体"/>
                <w:color w:val="auto"/>
                <w:sz w:val="24"/>
              </w:rPr>
            </w:pPr>
          </w:p>
        </w:tc>
        <w:tc>
          <w:tcPr>
            <w:tcW w:w="975" w:type="dxa"/>
            <w:vAlign w:val="center"/>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jc w:val="center"/>
              <w:rPr>
                <w:rFonts w:hAnsi="宋体" w:cs="宋体"/>
                <w:color w:val="auto"/>
                <w:sz w:val="24"/>
              </w:rPr>
            </w:pPr>
            <w:r>
              <w:rPr>
                <w:rFonts w:hint="eastAsia" w:hAnsi="宋体" w:cs="宋体"/>
                <w:color w:val="auto"/>
                <w:sz w:val="24"/>
              </w:rPr>
              <w:t>技术服务</w:t>
            </w:r>
          </w:p>
          <w:p>
            <w:pPr>
              <w:adjustRightInd w:val="0"/>
              <w:snapToGrid w:val="0"/>
              <w:spacing w:line="360" w:lineRule="auto"/>
              <w:jc w:val="center"/>
              <w:rPr>
                <w:rFonts w:hAnsi="宋体" w:cs="宋体"/>
                <w:color w:val="auto"/>
                <w:sz w:val="24"/>
              </w:rPr>
            </w:pPr>
            <w:r>
              <w:rPr>
                <w:rFonts w:hint="eastAsia" w:hAnsi="宋体" w:cs="宋体"/>
                <w:color w:val="auto"/>
                <w:sz w:val="24"/>
              </w:rPr>
              <w:t>人员</w:t>
            </w: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restart"/>
          </w:tcPr>
          <w:p>
            <w:pPr>
              <w:adjustRightInd w:val="0"/>
              <w:snapToGrid w:val="0"/>
              <w:spacing w:line="360" w:lineRule="auto"/>
              <w:jc w:val="center"/>
              <w:rPr>
                <w:rFonts w:hint="default" w:hAnsi="宋体" w:eastAsia="宋体" w:cs="宋体"/>
                <w:color w:val="auto"/>
                <w:sz w:val="24"/>
                <w:lang w:val="en-US" w:eastAsia="zh-CN"/>
              </w:rPr>
            </w:pPr>
            <w:r>
              <w:rPr>
                <w:rFonts w:hint="eastAsia" w:hAnsi="宋体" w:cs="宋体"/>
                <w:color w:val="auto"/>
                <w:sz w:val="24"/>
                <w:lang w:val="en-US" w:eastAsia="zh-CN"/>
              </w:rPr>
              <w:t>售后服务人员</w:t>
            </w: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tcPr>
          <w:p>
            <w:pPr>
              <w:adjustRightInd w:val="0"/>
              <w:snapToGrid w:val="0"/>
              <w:spacing w:line="360" w:lineRule="auto"/>
              <w:jc w:val="center"/>
              <w:rPr>
                <w:rFonts w:hAnsi="宋体" w:cs="宋体"/>
                <w:color w:val="auto"/>
                <w:sz w:val="24"/>
              </w:rPr>
            </w:pPr>
          </w:p>
        </w:tc>
        <w:tc>
          <w:tcPr>
            <w:tcW w:w="975" w:type="dxa"/>
          </w:tcPr>
          <w:p>
            <w:pPr>
              <w:adjustRightInd w:val="0"/>
              <w:snapToGrid w:val="0"/>
              <w:spacing w:line="360" w:lineRule="auto"/>
              <w:jc w:val="center"/>
              <w:rPr>
                <w:rFonts w:hAnsi="宋体" w:cs="宋体"/>
                <w:color w:val="auto"/>
                <w:sz w:val="24"/>
              </w:rPr>
            </w:pPr>
          </w:p>
        </w:tc>
        <w:tc>
          <w:tcPr>
            <w:tcW w:w="924" w:type="dxa"/>
          </w:tcPr>
          <w:p>
            <w:pPr>
              <w:adjustRightInd w:val="0"/>
              <w:snapToGrid w:val="0"/>
              <w:spacing w:line="360" w:lineRule="auto"/>
              <w:jc w:val="center"/>
              <w:rPr>
                <w:rFonts w:hAnsi="宋体" w:cs="宋体"/>
                <w:color w:val="auto"/>
                <w:sz w:val="24"/>
              </w:rPr>
            </w:pPr>
          </w:p>
        </w:tc>
        <w:tc>
          <w:tcPr>
            <w:tcW w:w="931" w:type="dxa"/>
          </w:tcPr>
          <w:p>
            <w:pPr>
              <w:adjustRightInd w:val="0"/>
              <w:snapToGrid w:val="0"/>
              <w:spacing w:line="360" w:lineRule="auto"/>
              <w:jc w:val="center"/>
              <w:rPr>
                <w:rFonts w:hAnsi="宋体" w:cs="宋体"/>
                <w:color w:val="auto"/>
                <w:sz w:val="24"/>
              </w:rPr>
            </w:pPr>
          </w:p>
        </w:tc>
        <w:tc>
          <w:tcPr>
            <w:tcW w:w="1151" w:type="dxa"/>
          </w:tcPr>
          <w:p>
            <w:pPr>
              <w:adjustRightInd w:val="0"/>
              <w:snapToGrid w:val="0"/>
              <w:spacing w:line="360" w:lineRule="auto"/>
              <w:jc w:val="center"/>
              <w:rPr>
                <w:rFonts w:hAnsi="宋体" w:cs="宋体"/>
                <w:color w:val="auto"/>
                <w:sz w:val="24"/>
              </w:rPr>
            </w:pPr>
          </w:p>
        </w:tc>
        <w:tc>
          <w:tcPr>
            <w:tcW w:w="1287" w:type="dxa"/>
          </w:tcPr>
          <w:p>
            <w:pPr>
              <w:adjustRightInd w:val="0"/>
              <w:snapToGrid w:val="0"/>
              <w:spacing w:line="360" w:lineRule="auto"/>
              <w:jc w:val="center"/>
              <w:rPr>
                <w:rFonts w:hAnsi="宋体" w:cs="宋体"/>
                <w:color w:val="auto"/>
                <w:sz w:val="24"/>
              </w:rPr>
            </w:pPr>
          </w:p>
        </w:tc>
        <w:tc>
          <w:tcPr>
            <w:tcW w:w="1150" w:type="dxa"/>
          </w:tcPr>
          <w:p>
            <w:pPr>
              <w:adjustRightInd w:val="0"/>
              <w:snapToGrid w:val="0"/>
              <w:spacing w:line="360" w:lineRule="auto"/>
              <w:jc w:val="center"/>
              <w:rPr>
                <w:rFonts w:hAnsi="宋体" w:cs="宋体"/>
                <w:color w:val="auto"/>
                <w:sz w:val="24"/>
              </w:rPr>
            </w:pPr>
          </w:p>
        </w:tc>
        <w:tc>
          <w:tcPr>
            <w:tcW w:w="1037" w:type="dxa"/>
          </w:tcPr>
          <w:p>
            <w:pPr>
              <w:adjustRightInd w:val="0"/>
              <w:snapToGrid w:val="0"/>
              <w:spacing w:line="360" w:lineRule="auto"/>
              <w:jc w:val="center"/>
              <w:rPr>
                <w:rFonts w:hAnsi="宋体" w:cs="宋体"/>
                <w:color w:val="auto"/>
                <w:sz w:val="24"/>
              </w:rPr>
            </w:pPr>
          </w:p>
        </w:tc>
        <w:tc>
          <w:tcPr>
            <w:tcW w:w="1071" w:type="dxa"/>
          </w:tcPr>
          <w:p>
            <w:pPr>
              <w:adjustRightInd w:val="0"/>
              <w:snapToGrid w:val="0"/>
              <w:spacing w:line="360" w:lineRule="auto"/>
              <w:jc w:val="center"/>
              <w:rPr>
                <w:rFonts w:hAnsi="宋体" w:cs="宋体"/>
                <w:color w:val="auto"/>
                <w:sz w:val="24"/>
              </w:rPr>
            </w:pPr>
          </w:p>
        </w:tc>
      </w:tr>
    </w:tbl>
    <w:p>
      <w:pPr>
        <w:rPr>
          <w:rFonts w:ascii="宋体" w:hAnsi="宋体"/>
          <w:color w:val="auto"/>
          <w:sz w:val="24"/>
        </w:rPr>
      </w:pPr>
    </w:p>
    <w:p>
      <w:pPr>
        <w:rPr>
          <w:rFonts w:ascii="宋体" w:hAnsi="宋体"/>
          <w:color w:val="auto"/>
          <w:sz w:val="24"/>
        </w:rPr>
      </w:pPr>
    </w:p>
    <w:p>
      <w:pPr>
        <w:rPr>
          <w:rFonts w:ascii="宋体" w:hAnsi="宋体"/>
          <w:color w:val="auto"/>
          <w:sz w:val="24"/>
        </w:rPr>
      </w:pPr>
    </w:p>
    <w:p>
      <w:pPr>
        <w:rPr>
          <w:color w:val="auto"/>
          <w:sz w:val="24"/>
        </w:rPr>
      </w:pPr>
      <w:r>
        <w:rPr>
          <w:rFonts w:hint="eastAsia"/>
          <w:color w:val="auto"/>
          <w:sz w:val="24"/>
        </w:rPr>
        <w:t>供应商名称：XXX（盖单位公章）</w:t>
      </w:r>
    </w:p>
    <w:p>
      <w:pPr>
        <w:rPr>
          <w:color w:val="auto"/>
          <w:sz w:val="24"/>
        </w:rPr>
      </w:pPr>
      <w:r>
        <w:rPr>
          <w:rFonts w:hint="eastAsia"/>
          <w:color w:val="auto"/>
          <w:sz w:val="24"/>
        </w:rPr>
        <w:t>法定代表人或授权代表（签字）：XXX</w:t>
      </w:r>
    </w:p>
    <w:p>
      <w:pPr>
        <w:rPr>
          <w:color w:val="auto"/>
          <w:sz w:val="24"/>
        </w:rPr>
      </w:pPr>
      <w:r>
        <w:rPr>
          <w:rFonts w:hint="eastAsia"/>
          <w:color w:val="auto"/>
          <w:sz w:val="24"/>
        </w:rPr>
        <w:t>日      期</w:t>
      </w:r>
      <w:r>
        <w:rPr>
          <w:rFonts w:hint="eastAsia" w:ascii="宋体" w:hAnsi="宋体"/>
          <w:color w:val="auto"/>
          <w:sz w:val="24"/>
        </w:rPr>
        <w:t>：</w:t>
      </w:r>
      <w:r>
        <w:rPr>
          <w:rFonts w:hint="eastAsia"/>
          <w:color w:val="auto"/>
          <w:sz w:val="24"/>
        </w:rPr>
        <w:t xml:space="preserve"> XXX</w:t>
      </w:r>
    </w:p>
    <w:p>
      <w:pPr>
        <w:rPr>
          <w:color w:val="auto"/>
          <w:sz w:val="32"/>
          <w:szCs w:val="32"/>
        </w:rPr>
      </w:pPr>
    </w:p>
    <w:p>
      <w:pPr>
        <w:rPr>
          <w:color w:val="auto"/>
          <w:sz w:val="32"/>
          <w:szCs w:val="32"/>
        </w:rPr>
      </w:pPr>
    </w:p>
    <w:p>
      <w:pPr>
        <w:rPr>
          <w:color w:val="auto"/>
          <w:sz w:val="32"/>
          <w:szCs w:val="32"/>
        </w:rPr>
      </w:pPr>
    </w:p>
    <w:p>
      <w:pPr>
        <w:rPr>
          <w:rFonts w:hint="eastAsia"/>
          <w:color w:val="auto"/>
          <w:sz w:val="32"/>
          <w:szCs w:val="32"/>
        </w:rPr>
      </w:pPr>
    </w:p>
    <w:p>
      <w:pPr>
        <w:pStyle w:val="2"/>
        <w:rPr>
          <w:rFonts w:hint="eastAsia"/>
          <w:color w:val="auto"/>
        </w:rPr>
      </w:pPr>
    </w:p>
    <w:p>
      <w:pPr>
        <w:rPr>
          <w:color w:val="auto"/>
        </w:rPr>
      </w:pPr>
    </w:p>
    <w:p>
      <w:pPr>
        <w:rPr>
          <w:color w:val="auto"/>
          <w:sz w:val="32"/>
          <w:szCs w:val="32"/>
        </w:rPr>
      </w:pPr>
    </w:p>
    <w:p>
      <w:pPr>
        <w:pStyle w:val="5"/>
        <w:tabs>
          <w:tab w:val="left" w:pos="709"/>
        </w:tabs>
        <w:ind w:left="1059" w:leftChars="270" w:hanging="141" w:hangingChars="44"/>
        <w:jc w:val="center"/>
        <w:rPr>
          <w:rFonts w:ascii="宋体" w:hAnsi="宋体"/>
          <w:bCs w:val="0"/>
          <w:color w:val="auto"/>
          <w:sz w:val="32"/>
        </w:rPr>
      </w:pPr>
      <w:bookmarkStart w:id="251" w:name="_Toc514154169"/>
      <w:bookmarkStart w:id="252" w:name="_Toc514154302"/>
      <w:bookmarkStart w:id="253" w:name="_Toc531718438"/>
      <w:r>
        <w:rPr>
          <w:rFonts w:hint="eastAsia" w:hAnsi="宋体"/>
          <w:bCs w:val="0"/>
          <w:color w:val="auto"/>
          <w:sz w:val="32"/>
          <w:lang w:val="en-US" w:eastAsia="zh-CN"/>
        </w:rPr>
        <w:t>九</w:t>
      </w:r>
      <w:r>
        <w:rPr>
          <w:rFonts w:hint="eastAsia" w:ascii="宋体" w:hAnsi="宋体"/>
          <w:bCs w:val="0"/>
          <w:color w:val="auto"/>
          <w:sz w:val="32"/>
        </w:rPr>
        <w:t>、招标代理服务费承诺函</w:t>
      </w:r>
      <w:bookmarkEnd w:id="251"/>
      <w:bookmarkEnd w:id="252"/>
      <w:bookmarkEnd w:id="253"/>
    </w:p>
    <w:p>
      <w:pPr>
        <w:adjustRightInd w:val="0"/>
        <w:spacing w:line="400" w:lineRule="exact"/>
        <w:rPr>
          <w:rFonts w:ascii="宋体" w:hAnsi="宋体" w:cs="宋体"/>
          <w:b/>
          <w:color w:val="auto"/>
          <w:sz w:val="32"/>
          <w:szCs w:val="28"/>
        </w:rPr>
      </w:pPr>
    </w:p>
    <w:p>
      <w:pPr>
        <w:spacing w:line="360" w:lineRule="auto"/>
        <w:rPr>
          <w:rFonts w:ascii="宋体" w:hAnsi="宋体" w:cs="宋体"/>
          <w:color w:val="auto"/>
          <w:sz w:val="24"/>
        </w:rPr>
      </w:pPr>
      <w:r>
        <w:rPr>
          <w:rFonts w:hint="eastAsia" w:hAnsi="宋体"/>
          <w:color w:val="auto"/>
          <w:sz w:val="24"/>
          <w:lang w:eastAsia="zh-CN"/>
        </w:rPr>
        <w:t>四川映池工程管理有限责任公司</w:t>
      </w:r>
      <w:r>
        <w:rPr>
          <w:rFonts w:hint="eastAsia" w:ascii="宋体" w:hAnsi="宋体" w:cs="宋体"/>
          <w:color w:val="auto"/>
          <w:sz w:val="24"/>
        </w:rPr>
        <w:t>：</w:t>
      </w:r>
    </w:p>
    <w:p>
      <w:pPr>
        <w:wordWrap w:val="0"/>
        <w:spacing w:line="360" w:lineRule="auto"/>
        <w:ind w:firstLine="489" w:firstLineChars="204"/>
        <w:rPr>
          <w:rFonts w:ascii="宋体" w:hAnsi="宋体" w:cs="宋体"/>
          <w:color w:val="auto"/>
          <w:sz w:val="24"/>
        </w:rPr>
      </w:pPr>
      <w:r>
        <w:rPr>
          <w:rFonts w:hint="eastAsia" w:ascii="宋体" w:hAnsi="宋体" w:cs="宋体"/>
          <w:color w:val="auto"/>
          <w:sz w:val="24"/>
        </w:rPr>
        <w:t>我公司在贵公司代理的项目</w:t>
      </w:r>
      <w:r>
        <w:rPr>
          <w:rFonts w:hint="eastAsia" w:hAnsi="宋体" w:cs="宋体"/>
          <w:color w:val="auto"/>
          <w:sz w:val="24"/>
          <w:lang w:eastAsia="zh-CN"/>
        </w:rPr>
        <w:t>：</w:t>
      </w:r>
      <w:r>
        <w:rPr>
          <w:rFonts w:hint="eastAsia" w:ascii="宋体" w:hAnsi="宋体" w:cs="宋体"/>
          <w:color w:val="auto"/>
          <w:sz w:val="24"/>
          <w:highlight w:val="none"/>
        </w:rPr>
        <w:t xml:space="preserve"> “” 采购项目（招标编号：）</w:t>
      </w:r>
      <w:r>
        <w:rPr>
          <w:rFonts w:hint="eastAsia" w:ascii="宋体" w:hAnsi="宋体" w:cs="宋体"/>
          <w:color w:val="auto"/>
          <w:sz w:val="24"/>
        </w:rPr>
        <w:t xml:space="preserve"> 竞争性磋商中若获成交，我们保证在收到成交通知后2个工作日内按</w:t>
      </w:r>
      <w:r>
        <w:rPr>
          <w:rFonts w:hint="eastAsia" w:ascii="宋体" w:hAnsi="宋体" w:cs="宋体"/>
          <w:color w:val="auto"/>
          <w:sz w:val="24"/>
          <w:lang w:val="zh-CN"/>
        </w:rPr>
        <w:t>磋商文件</w:t>
      </w:r>
      <w:r>
        <w:rPr>
          <w:rFonts w:hint="eastAsia" w:ascii="宋体" w:hAnsi="宋体" w:cs="宋体"/>
          <w:color w:val="auto"/>
          <w:sz w:val="24"/>
        </w:rPr>
        <w:t>的规定，以支票、银行汇票、电汇、现金或经贵公司认可的一种方式，向贵公司即</w:t>
      </w:r>
      <w:r>
        <w:rPr>
          <w:rFonts w:hint="eastAsia" w:hAnsi="宋体"/>
          <w:color w:val="auto"/>
          <w:sz w:val="24"/>
          <w:lang w:eastAsia="zh-CN"/>
        </w:rPr>
        <w:t>四川映池工程管理有限责任公司</w:t>
      </w:r>
      <w:r>
        <w:rPr>
          <w:rFonts w:hint="eastAsia" w:ascii="宋体" w:hAnsi="宋体" w:cs="宋体"/>
          <w:color w:val="auto"/>
          <w:sz w:val="24"/>
        </w:rPr>
        <w:t>指定的银行帐号，按照</w:t>
      </w:r>
      <w:r>
        <w:rPr>
          <w:rFonts w:hint="eastAsia" w:ascii="宋体" w:hAnsi="宋体" w:cs="宋体"/>
          <w:color w:val="auto"/>
          <w:sz w:val="24"/>
          <w:lang w:val="zh-CN"/>
        </w:rPr>
        <w:t>磋商文件中</w:t>
      </w:r>
      <w:r>
        <w:rPr>
          <w:rFonts w:hint="eastAsia" w:ascii="宋体" w:hAnsi="宋体" w:cs="宋体"/>
          <w:color w:val="auto"/>
          <w:sz w:val="24"/>
        </w:rPr>
        <w:t>招标代理服务费收取标准一次性支付招标代理服务费。</w:t>
      </w:r>
    </w:p>
    <w:p>
      <w:pPr>
        <w:spacing w:line="360" w:lineRule="auto"/>
        <w:ind w:firstLine="435"/>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特此承诺。</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p>
    <w:p>
      <w:pPr>
        <w:spacing w:line="360" w:lineRule="auto"/>
        <w:ind w:firstLine="360" w:firstLineChars="150"/>
        <w:rPr>
          <w:rFonts w:ascii="宋体" w:hAnsi="宋体" w:cs="宋体"/>
          <w:color w:val="auto"/>
          <w:sz w:val="24"/>
        </w:rPr>
      </w:pPr>
      <w:r>
        <w:rPr>
          <w:rFonts w:hint="eastAsia" w:ascii="宋体" w:hAnsi="宋体" w:cs="宋体"/>
          <w:color w:val="auto"/>
          <w:sz w:val="24"/>
        </w:rPr>
        <w:t>承诺方法定名称(承诺方盖章)：</w:t>
      </w:r>
    </w:p>
    <w:p>
      <w:pPr>
        <w:spacing w:line="360" w:lineRule="auto"/>
        <w:ind w:firstLine="360" w:firstLineChars="150"/>
        <w:rPr>
          <w:rFonts w:ascii="宋体" w:hAnsi="宋体" w:cs="宋体"/>
          <w:color w:val="auto"/>
          <w:sz w:val="24"/>
        </w:rPr>
      </w:pPr>
      <w:r>
        <w:rPr>
          <w:rFonts w:hint="eastAsia" w:ascii="宋体" w:hAnsi="宋体" w:cs="宋体"/>
          <w:color w:val="auto"/>
          <w:sz w:val="24"/>
        </w:rPr>
        <w:t>地  址：</w:t>
      </w:r>
    </w:p>
    <w:p>
      <w:pPr>
        <w:spacing w:line="360" w:lineRule="auto"/>
        <w:ind w:firstLine="360" w:firstLineChars="150"/>
        <w:rPr>
          <w:rFonts w:ascii="宋体" w:hAnsi="宋体" w:cs="宋体"/>
          <w:color w:val="auto"/>
          <w:sz w:val="24"/>
        </w:rPr>
      </w:pPr>
      <w:r>
        <w:rPr>
          <w:rFonts w:hint="eastAsia" w:ascii="宋体" w:hAnsi="宋体" w:cs="宋体"/>
          <w:color w:val="auto"/>
          <w:sz w:val="24"/>
        </w:rPr>
        <w:t>电  话：</w:t>
      </w:r>
    </w:p>
    <w:p>
      <w:pPr>
        <w:spacing w:line="360" w:lineRule="auto"/>
        <w:ind w:firstLine="360" w:firstLineChars="150"/>
        <w:rPr>
          <w:rFonts w:ascii="宋体" w:hAnsi="宋体" w:cs="宋体"/>
          <w:color w:val="auto"/>
          <w:sz w:val="24"/>
        </w:rPr>
      </w:pPr>
      <w:r>
        <w:rPr>
          <w:rFonts w:hint="eastAsia" w:ascii="宋体" w:hAnsi="宋体" w:cs="宋体"/>
          <w:color w:val="auto"/>
          <w:sz w:val="24"/>
        </w:rPr>
        <w:t>传  真：</w:t>
      </w:r>
    </w:p>
    <w:p>
      <w:pPr>
        <w:spacing w:line="360" w:lineRule="auto"/>
        <w:ind w:firstLine="360" w:firstLineChars="150"/>
        <w:rPr>
          <w:rFonts w:ascii="宋体" w:hAnsi="宋体" w:cs="宋体"/>
          <w:color w:val="auto"/>
          <w:sz w:val="24"/>
        </w:rPr>
      </w:pPr>
      <w:r>
        <w:rPr>
          <w:rFonts w:hint="eastAsia" w:ascii="宋体" w:hAnsi="宋体" w:cs="宋体"/>
          <w:color w:val="auto"/>
          <w:sz w:val="24"/>
        </w:rPr>
        <w:t>邮  编：</w:t>
      </w:r>
    </w:p>
    <w:p>
      <w:pPr>
        <w:spacing w:line="360" w:lineRule="auto"/>
        <w:ind w:firstLine="360" w:firstLineChars="150"/>
        <w:rPr>
          <w:rFonts w:ascii="宋体" w:hAnsi="宋体" w:cs="宋体"/>
          <w:color w:val="auto"/>
          <w:sz w:val="24"/>
        </w:rPr>
      </w:pPr>
      <w:r>
        <w:rPr>
          <w:rFonts w:hint="eastAsia" w:ascii="宋体" w:hAnsi="宋体" w:cs="宋体"/>
          <w:color w:val="auto"/>
          <w:sz w:val="24"/>
        </w:rPr>
        <w:t>承诺方授权代表签字：</w:t>
      </w:r>
    </w:p>
    <w:p>
      <w:pPr>
        <w:spacing w:line="360" w:lineRule="auto"/>
        <w:ind w:firstLine="360" w:firstLineChars="150"/>
        <w:rPr>
          <w:rFonts w:ascii="宋体" w:hAnsi="宋体" w:cs="宋体"/>
          <w:bCs/>
          <w:color w:val="auto"/>
          <w:sz w:val="24"/>
          <w:u w:val="single"/>
        </w:rPr>
      </w:pPr>
      <w:r>
        <w:rPr>
          <w:rFonts w:hint="eastAsia" w:ascii="宋体" w:hAnsi="宋体" w:cs="宋体"/>
          <w:color w:val="auto"/>
          <w:sz w:val="24"/>
        </w:rPr>
        <w:t>承诺日期：</w:t>
      </w:r>
    </w:p>
    <w:p>
      <w:pPr>
        <w:spacing w:line="360" w:lineRule="auto"/>
        <w:ind w:firstLine="360" w:firstLineChars="150"/>
        <w:rPr>
          <w:rFonts w:ascii="宋体" w:hAnsi="宋体" w:cs="宋体"/>
          <w:bCs/>
          <w:color w:val="auto"/>
          <w:sz w:val="24"/>
          <w:u w:val="single"/>
        </w:rPr>
      </w:pPr>
    </w:p>
    <w:p>
      <w:pPr>
        <w:pStyle w:val="8"/>
        <w:ind w:firstLine="484" w:firstLineChars="202"/>
        <w:rPr>
          <w:rFonts w:ascii="宋体" w:hAnsi="宋体" w:cs="宋体"/>
          <w:color w:val="auto"/>
          <w:sz w:val="24"/>
        </w:rPr>
      </w:pPr>
    </w:p>
    <w:p>
      <w:pPr>
        <w:pStyle w:val="8"/>
        <w:ind w:firstLine="484" w:firstLineChars="202"/>
        <w:rPr>
          <w:rFonts w:ascii="宋体" w:hAnsi="宋体" w:cs="宋体"/>
          <w:color w:val="auto"/>
          <w:sz w:val="24"/>
        </w:rPr>
      </w:pPr>
    </w:p>
    <w:p>
      <w:pPr>
        <w:pStyle w:val="8"/>
        <w:ind w:firstLine="484" w:firstLineChars="202"/>
        <w:rPr>
          <w:rFonts w:ascii="宋体" w:hAnsi="宋体" w:cs="宋体"/>
          <w:color w:val="auto"/>
          <w:sz w:val="24"/>
        </w:rPr>
      </w:pPr>
    </w:p>
    <w:p>
      <w:pPr>
        <w:pStyle w:val="8"/>
        <w:ind w:firstLine="484" w:firstLineChars="202"/>
        <w:rPr>
          <w:rFonts w:ascii="宋体" w:hAnsi="宋体" w:cs="宋体"/>
          <w:color w:val="auto"/>
          <w:sz w:val="24"/>
        </w:rPr>
      </w:pPr>
    </w:p>
    <w:p>
      <w:pPr>
        <w:widowControl/>
        <w:jc w:val="left"/>
        <w:rPr>
          <w:rFonts w:ascii="宋体" w:hAnsi="宋体" w:cs="Arial"/>
          <w:b/>
          <w:bCs/>
          <w:color w:val="auto"/>
          <w:sz w:val="24"/>
        </w:rPr>
      </w:pPr>
      <w:r>
        <w:rPr>
          <w:rFonts w:ascii="宋体" w:hAnsi="宋体" w:cs="Arial"/>
          <w:b/>
          <w:bCs/>
          <w:color w:val="auto"/>
          <w:sz w:val="24"/>
        </w:rPr>
        <w:br w:type="page"/>
      </w:r>
    </w:p>
    <w:p>
      <w:pPr>
        <w:pStyle w:val="5"/>
        <w:tabs>
          <w:tab w:val="left" w:pos="709"/>
        </w:tabs>
        <w:ind w:left="709" w:firstLine="0" w:firstLineChars="0"/>
        <w:jc w:val="center"/>
        <w:rPr>
          <w:rFonts w:ascii="宋体" w:hAnsi="宋体"/>
          <w:bCs w:val="0"/>
          <w:color w:val="auto"/>
          <w:sz w:val="32"/>
        </w:rPr>
      </w:pPr>
      <w:bookmarkStart w:id="254" w:name="_Toc531718439"/>
      <w:r>
        <w:rPr>
          <w:rFonts w:hint="eastAsia" w:hAnsi="宋体"/>
          <w:bCs w:val="0"/>
          <w:color w:val="auto"/>
          <w:sz w:val="32"/>
          <w:lang w:val="en-US" w:eastAsia="zh-CN"/>
        </w:rPr>
        <w:t>十</w:t>
      </w:r>
      <w:r>
        <w:rPr>
          <w:rFonts w:hint="eastAsia" w:ascii="宋体" w:hAnsi="宋体"/>
          <w:bCs w:val="0"/>
          <w:color w:val="auto"/>
          <w:sz w:val="32"/>
        </w:rPr>
        <w:t>、供应商类似项目业绩一览表</w:t>
      </w:r>
      <w:bookmarkEnd w:id="254"/>
    </w:p>
    <w:p>
      <w:pPr>
        <w:spacing w:line="400" w:lineRule="exact"/>
        <w:rPr>
          <w:rFonts w:ascii="宋体" w:hAnsi="宋体" w:cs="Arial"/>
          <w:color w:val="auto"/>
          <w:sz w:val="24"/>
        </w:rPr>
      </w:pPr>
    </w:p>
    <w:tbl>
      <w:tblPr>
        <w:tblStyle w:val="32"/>
        <w:tblW w:w="94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68"/>
        <w:gridCol w:w="1439"/>
        <w:gridCol w:w="1670"/>
        <w:gridCol w:w="1560"/>
        <w:gridCol w:w="1417"/>
        <w:gridCol w:w="17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1568" w:type="dxa"/>
            <w:tcBorders>
              <w:top w:val="single" w:color="auto" w:sz="4" w:space="0"/>
            </w:tcBorders>
            <w:vAlign w:val="center"/>
          </w:tcPr>
          <w:p>
            <w:pPr>
              <w:spacing w:line="400" w:lineRule="exact"/>
              <w:ind w:firstLine="120" w:firstLineChars="50"/>
              <w:jc w:val="center"/>
              <w:rPr>
                <w:rFonts w:ascii="宋体" w:hAnsi="宋体" w:cs="Arial"/>
                <w:b/>
                <w:color w:val="auto"/>
                <w:sz w:val="24"/>
              </w:rPr>
            </w:pPr>
            <w:r>
              <w:rPr>
                <w:rFonts w:hint="eastAsia" w:ascii="宋体" w:hAnsi="宋体" w:cs="Arial"/>
                <w:b/>
                <w:color w:val="auto"/>
                <w:sz w:val="24"/>
              </w:rPr>
              <w:t>年份</w:t>
            </w:r>
          </w:p>
        </w:tc>
        <w:tc>
          <w:tcPr>
            <w:tcW w:w="1439" w:type="dxa"/>
            <w:vAlign w:val="center"/>
          </w:tcPr>
          <w:p>
            <w:pPr>
              <w:spacing w:line="400" w:lineRule="exact"/>
              <w:jc w:val="center"/>
              <w:rPr>
                <w:rFonts w:ascii="宋体" w:hAnsi="宋体" w:cs="Arial"/>
                <w:b/>
                <w:color w:val="auto"/>
                <w:sz w:val="24"/>
              </w:rPr>
            </w:pPr>
            <w:r>
              <w:rPr>
                <w:rFonts w:hint="eastAsia" w:ascii="宋体" w:hAnsi="宋体" w:cs="Arial"/>
                <w:b/>
                <w:color w:val="auto"/>
                <w:sz w:val="24"/>
              </w:rPr>
              <w:t>用户名称</w:t>
            </w:r>
          </w:p>
        </w:tc>
        <w:tc>
          <w:tcPr>
            <w:tcW w:w="1670" w:type="dxa"/>
            <w:vAlign w:val="center"/>
          </w:tcPr>
          <w:p>
            <w:pPr>
              <w:spacing w:line="400" w:lineRule="exact"/>
              <w:jc w:val="center"/>
              <w:rPr>
                <w:rFonts w:ascii="宋体" w:hAnsi="宋体" w:cs="Arial"/>
                <w:b/>
                <w:color w:val="auto"/>
                <w:sz w:val="24"/>
              </w:rPr>
            </w:pPr>
            <w:r>
              <w:rPr>
                <w:rFonts w:ascii="宋体" w:hAnsi="宋体" w:cs="Arial"/>
                <w:b/>
                <w:color w:val="auto"/>
                <w:sz w:val="24"/>
              </w:rPr>
              <w:t>项目名称</w:t>
            </w:r>
          </w:p>
        </w:tc>
        <w:tc>
          <w:tcPr>
            <w:tcW w:w="1560" w:type="dxa"/>
            <w:vAlign w:val="center"/>
          </w:tcPr>
          <w:p>
            <w:pPr>
              <w:spacing w:line="400" w:lineRule="exact"/>
              <w:jc w:val="center"/>
              <w:rPr>
                <w:rFonts w:ascii="宋体" w:hAnsi="宋体" w:cs="Arial"/>
                <w:b/>
                <w:color w:val="auto"/>
                <w:sz w:val="24"/>
              </w:rPr>
            </w:pPr>
            <w:r>
              <w:rPr>
                <w:rFonts w:hint="eastAsia" w:ascii="宋体" w:hAnsi="宋体" w:cs="Arial"/>
                <w:b/>
                <w:color w:val="auto"/>
                <w:sz w:val="24"/>
              </w:rPr>
              <w:t>合同签订时间</w:t>
            </w:r>
          </w:p>
        </w:tc>
        <w:tc>
          <w:tcPr>
            <w:tcW w:w="1417" w:type="dxa"/>
            <w:vAlign w:val="center"/>
          </w:tcPr>
          <w:p>
            <w:pPr>
              <w:spacing w:line="400" w:lineRule="exact"/>
              <w:ind w:firstLine="120" w:firstLineChars="50"/>
              <w:jc w:val="center"/>
              <w:rPr>
                <w:rFonts w:ascii="宋体" w:hAnsi="宋体" w:cs="Arial"/>
                <w:b/>
                <w:color w:val="auto"/>
                <w:sz w:val="24"/>
              </w:rPr>
            </w:pPr>
            <w:r>
              <w:rPr>
                <w:rFonts w:ascii="宋体" w:hAnsi="宋体" w:cs="Arial"/>
                <w:b/>
                <w:color w:val="auto"/>
                <w:sz w:val="24"/>
              </w:rPr>
              <w:t>合同金额</w:t>
            </w:r>
            <w:r>
              <w:rPr>
                <w:rFonts w:hint="eastAsia" w:ascii="宋体" w:hAnsi="宋体" w:cs="Arial"/>
                <w:b/>
                <w:color w:val="auto"/>
                <w:sz w:val="24"/>
              </w:rPr>
              <w:t>（元）</w:t>
            </w:r>
          </w:p>
        </w:tc>
        <w:tc>
          <w:tcPr>
            <w:tcW w:w="1791" w:type="dxa"/>
            <w:tcBorders>
              <w:left w:val="single" w:color="auto" w:sz="4" w:space="0"/>
            </w:tcBorders>
            <w:vAlign w:val="center"/>
          </w:tcPr>
          <w:p>
            <w:pPr>
              <w:spacing w:line="400" w:lineRule="exact"/>
              <w:jc w:val="center"/>
              <w:rPr>
                <w:rFonts w:ascii="宋体" w:hAnsi="宋体" w:cs="Arial"/>
                <w:b/>
                <w:color w:val="auto"/>
                <w:sz w:val="24"/>
              </w:rPr>
            </w:pPr>
            <w:r>
              <w:rPr>
                <w:rFonts w:hint="eastAsia" w:ascii="宋体" w:hAnsi="宋体" w:cs="Arial"/>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vAlign w:val="center"/>
          </w:tcPr>
          <w:p>
            <w:pPr>
              <w:spacing w:line="400" w:lineRule="exact"/>
              <w:jc w:val="center"/>
              <w:rPr>
                <w:rFonts w:ascii="宋体" w:hAnsi="宋体" w:cs="Arial"/>
                <w:color w:val="auto"/>
                <w:sz w:val="24"/>
              </w:rPr>
            </w:pPr>
          </w:p>
        </w:tc>
        <w:tc>
          <w:tcPr>
            <w:tcW w:w="1670" w:type="dxa"/>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vAlign w:val="center"/>
          </w:tcPr>
          <w:p>
            <w:pPr>
              <w:spacing w:line="400" w:lineRule="exact"/>
              <w:jc w:val="center"/>
              <w:rPr>
                <w:rFonts w:ascii="宋体" w:hAnsi="宋体" w:cs="Arial"/>
                <w:color w:val="auto"/>
                <w:sz w:val="24"/>
              </w:rPr>
            </w:pPr>
          </w:p>
        </w:tc>
        <w:tc>
          <w:tcPr>
            <w:tcW w:w="1670" w:type="dxa"/>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vAlign w:val="center"/>
          </w:tcPr>
          <w:p>
            <w:pPr>
              <w:spacing w:line="400" w:lineRule="exact"/>
              <w:jc w:val="center"/>
              <w:rPr>
                <w:rFonts w:ascii="宋体" w:hAnsi="宋体" w:cs="Arial"/>
                <w:color w:val="auto"/>
                <w:sz w:val="24"/>
              </w:rPr>
            </w:pPr>
          </w:p>
        </w:tc>
        <w:tc>
          <w:tcPr>
            <w:tcW w:w="1670" w:type="dxa"/>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tcBorders>
              <w:right w:val="single" w:color="auto" w:sz="4" w:space="0"/>
            </w:tcBorders>
            <w:vAlign w:val="center"/>
          </w:tcPr>
          <w:p>
            <w:pPr>
              <w:spacing w:line="400" w:lineRule="exact"/>
              <w:jc w:val="center"/>
              <w:rPr>
                <w:rFonts w:ascii="宋体" w:hAnsi="宋体" w:cs="Arial"/>
                <w:color w:val="auto"/>
                <w:sz w:val="24"/>
              </w:rPr>
            </w:pPr>
          </w:p>
        </w:tc>
        <w:tc>
          <w:tcPr>
            <w:tcW w:w="1670" w:type="dxa"/>
            <w:tcBorders>
              <w:left w:val="single" w:color="auto" w:sz="4" w:space="0"/>
            </w:tcBorders>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tcBorders>
              <w:right w:val="single" w:color="auto" w:sz="4" w:space="0"/>
            </w:tcBorders>
            <w:vAlign w:val="center"/>
          </w:tcPr>
          <w:p>
            <w:pPr>
              <w:spacing w:line="400" w:lineRule="exact"/>
              <w:rPr>
                <w:rFonts w:ascii="宋体" w:hAnsi="宋体" w:cs="Arial"/>
                <w:color w:val="auto"/>
                <w:sz w:val="24"/>
              </w:rPr>
            </w:pPr>
          </w:p>
        </w:tc>
        <w:tc>
          <w:tcPr>
            <w:tcW w:w="1439" w:type="dxa"/>
            <w:tcBorders>
              <w:left w:val="single" w:color="auto" w:sz="4" w:space="0"/>
              <w:right w:val="single" w:color="auto" w:sz="4" w:space="0"/>
            </w:tcBorders>
            <w:vAlign w:val="center"/>
          </w:tcPr>
          <w:p>
            <w:pPr>
              <w:spacing w:line="400" w:lineRule="exact"/>
              <w:rPr>
                <w:rFonts w:ascii="宋体" w:hAnsi="宋体" w:cs="Arial"/>
                <w:color w:val="auto"/>
                <w:sz w:val="24"/>
              </w:rPr>
            </w:pPr>
          </w:p>
        </w:tc>
        <w:tc>
          <w:tcPr>
            <w:tcW w:w="1670" w:type="dxa"/>
            <w:tcBorders>
              <w:left w:val="single" w:color="auto" w:sz="4" w:space="0"/>
              <w:right w:val="single" w:color="auto" w:sz="4" w:space="0"/>
            </w:tcBorders>
            <w:vAlign w:val="center"/>
          </w:tcPr>
          <w:p>
            <w:pPr>
              <w:spacing w:line="400" w:lineRule="exact"/>
              <w:rPr>
                <w:rFonts w:ascii="宋体" w:hAnsi="宋体" w:cs="Arial"/>
                <w:color w:val="auto"/>
                <w:sz w:val="24"/>
              </w:rPr>
            </w:pPr>
          </w:p>
        </w:tc>
        <w:tc>
          <w:tcPr>
            <w:tcW w:w="1560" w:type="dxa"/>
            <w:tcBorders>
              <w:left w:val="single" w:color="auto" w:sz="4" w:space="0"/>
              <w:right w:val="single" w:color="auto" w:sz="4" w:space="0"/>
            </w:tcBorders>
            <w:vAlign w:val="center"/>
          </w:tcPr>
          <w:p>
            <w:pPr>
              <w:spacing w:line="400" w:lineRule="exact"/>
              <w:rPr>
                <w:rFonts w:ascii="宋体" w:hAnsi="宋体" w:cs="Arial"/>
                <w:color w:val="auto"/>
                <w:sz w:val="24"/>
              </w:rPr>
            </w:pPr>
          </w:p>
        </w:tc>
        <w:tc>
          <w:tcPr>
            <w:tcW w:w="1417" w:type="dxa"/>
            <w:tcBorders>
              <w:left w:val="single" w:color="auto" w:sz="4" w:space="0"/>
              <w:right w:val="single" w:color="auto" w:sz="4" w:space="0"/>
            </w:tcBorders>
            <w:vAlign w:val="center"/>
          </w:tcPr>
          <w:p>
            <w:pPr>
              <w:spacing w:line="400" w:lineRule="exact"/>
              <w:rPr>
                <w:rFonts w:ascii="宋体" w:hAnsi="宋体" w:cs="Arial"/>
                <w:color w:val="auto"/>
                <w:sz w:val="24"/>
              </w:rPr>
            </w:pPr>
          </w:p>
        </w:tc>
        <w:tc>
          <w:tcPr>
            <w:tcW w:w="1791" w:type="dxa"/>
            <w:tcBorders>
              <w:left w:val="single" w:color="auto" w:sz="4" w:space="0"/>
            </w:tcBorders>
            <w:vAlign w:val="center"/>
          </w:tcPr>
          <w:p>
            <w:pPr>
              <w:spacing w:line="400" w:lineRule="exact"/>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rPr>
                <w:rFonts w:ascii="宋体" w:hAnsi="宋体" w:cs="Arial"/>
                <w:color w:val="auto"/>
                <w:sz w:val="24"/>
              </w:rPr>
            </w:pPr>
          </w:p>
        </w:tc>
        <w:tc>
          <w:tcPr>
            <w:tcW w:w="1439" w:type="dxa"/>
            <w:vAlign w:val="center"/>
          </w:tcPr>
          <w:p>
            <w:pPr>
              <w:spacing w:line="400" w:lineRule="exact"/>
              <w:rPr>
                <w:rFonts w:ascii="宋体" w:hAnsi="宋体" w:cs="Arial"/>
                <w:color w:val="auto"/>
                <w:sz w:val="24"/>
              </w:rPr>
            </w:pPr>
          </w:p>
        </w:tc>
        <w:tc>
          <w:tcPr>
            <w:tcW w:w="1670" w:type="dxa"/>
            <w:vAlign w:val="center"/>
          </w:tcPr>
          <w:p>
            <w:pPr>
              <w:spacing w:line="400" w:lineRule="exact"/>
              <w:rPr>
                <w:rFonts w:ascii="宋体" w:hAnsi="宋体" w:cs="Arial"/>
                <w:color w:val="auto"/>
                <w:sz w:val="24"/>
              </w:rPr>
            </w:pPr>
          </w:p>
        </w:tc>
        <w:tc>
          <w:tcPr>
            <w:tcW w:w="1560" w:type="dxa"/>
            <w:vAlign w:val="center"/>
          </w:tcPr>
          <w:p>
            <w:pPr>
              <w:spacing w:line="400" w:lineRule="exact"/>
              <w:rPr>
                <w:rFonts w:ascii="宋体" w:hAnsi="宋体" w:cs="Arial"/>
                <w:color w:val="auto"/>
                <w:sz w:val="24"/>
              </w:rPr>
            </w:pPr>
          </w:p>
        </w:tc>
        <w:tc>
          <w:tcPr>
            <w:tcW w:w="1417" w:type="dxa"/>
            <w:tcBorders>
              <w:right w:val="single" w:color="auto" w:sz="4" w:space="0"/>
            </w:tcBorders>
            <w:vAlign w:val="center"/>
          </w:tcPr>
          <w:p>
            <w:pPr>
              <w:spacing w:line="400" w:lineRule="exact"/>
              <w:rPr>
                <w:rFonts w:ascii="宋体" w:hAnsi="宋体" w:cs="Arial"/>
                <w:color w:val="auto"/>
                <w:sz w:val="24"/>
              </w:rPr>
            </w:pPr>
          </w:p>
        </w:tc>
        <w:tc>
          <w:tcPr>
            <w:tcW w:w="1791" w:type="dxa"/>
            <w:tcBorders>
              <w:left w:val="single" w:color="auto" w:sz="4" w:space="0"/>
            </w:tcBorders>
            <w:vAlign w:val="center"/>
          </w:tcPr>
          <w:p>
            <w:pPr>
              <w:spacing w:line="400" w:lineRule="exact"/>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vAlign w:val="center"/>
          </w:tcPr>
          <w:p>
            <w:pPr>
              <w:spacing w:line="400" w:lineRule="exact"/>
              <w:jc w:val="center"/>
              <w:rPr>
                <w:rFonts w:ascii="宋体" w:hAnsi="宋体" w:cs="Arial"/>
                <w:color w:val="auto"/>
                <w:sz w:val="24"/>
              </w:rPr>
            </w:pPr>
          </w:p>
        </w:tc>
        <w:tc>
          <w:tcPr>
            <w:tcW w:w="1670" w:type="dxa"/>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tcBorders>
              <w:right w:val="single" w:color="auto" w:sz="4" w:space="0"/>
            </w:tcBorders>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ascii="宋体" w:hAnsi="宋体" w:cs="Arial"/>
                <w:color w:val="auto"/>
                <w:sz w:val="24"/>
              </w:rPr>
            </w:pPr>
          </w:p>
        </w:tc>
        <w:tc>
          <w:tcPr>
            <w:tcW w:w="1439" w:type="dxa"/>
            <w:vAlign w:val="center"/>
          </w:tcPr>
          <w:p>
            <w:pPr>
              <w:spacing w:line="400" w:lineRule="exact"/>
              <w:jc w:val="center"/>
              <w:rPr>
                <w:rFonts w:ascii="宋体" w:hAnsi="宋体" w:cs="Arial"/>
                <w:color w:val="auto"/>
                <w:sz w:val="24"/>
              </w:rPr>
            </w:pPr>
          </w:p>
        </w:tc>
        <w:tc>
          <w:tcPr>
            <w:tcW w:w="1670" w:type="dxa"/>
            <w:vAlign w:val="center"/>
          </w:tcPr>
          <w:p>
            <w:pPr>
              <w:spacing w:line="400" w:lineRule="exact"/>
              <w:jc w:val="center"/>
              <w:rPr>
                <w:rFonts w:ascii="宋体" w:hAnsi="宋体" w:cs="Arial"/>
                <w:color w:val="auto"/>
                <w:sz w:val="24"/>
              </w:rPr>
            </w:pPr>
          </w:p>
        </w:tc>
        <w:tc>
          <w:tcPr>
            <w:tcW w:w="1560" w:type="dxa"/>
            <w:vAlign w:val="center"/>
          </w:tcPr>
          <w:p>
            <w:pPr>
              <w:spacing w:line="400" w:lineRule="exact"/>
              <w:jc w:val="center"/>
              <w:rPr>
                <w:rFonts w:ascii="宋体" w:hAnsi="宋体" w:cs="Arial"/>
                <w:color w:val="auto"/>
                <w:sz w:val="24"/>
              </w:rPr>
            </w:pPr>
          </w:p>
        </w:tc>
        <w:tc>
          <w:tcPr>
            <w:tcW w:w="1417" w:type="dxa"/>
            <w:tcBorders>
              <w:right w:val="single" w:color="auto" w:sz="4" w:space="0"/>
            </w:tcBorders>
            <w:vAlign w:val="center"/>
          </w:tcPr>
          <w:p>
            <w:pPr>
              <w:spacing w:line="400" w:lineRule="exact"/>
              <w:jc w:val="center"/>
              <w:rPr>
                <w:rFonts w:ascii="宋体" w:hAnsi="宋体" w:cs="Arial"/>
                <w:color w:val="auto"/>
                <w:sz w:val="24"/>
              </w:rPr>
            </w:pPr>
          </w:p>
        </w:tc>
        <w:tc>
          <w:tcPr>
            <w:tcW w:w="1791" w:type="dxa"/>
            <w:tcBorders>
              <w:left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568" w:type="dxa"/>
            <w:tcBorders>
              <w:bottom w:val="single" w:color="auto" w:sz="4" w:space="0"/>
            </w:tcBorders>
            <w:vAlign w:val="center"/>
          </w:tcPr>
          <w:p>
            <w:pPr>
              <w:spacing w:line="400" w:lineRule="exact"/>
              <w:jc w:val="center"/>
              <w:rPr>
                <w:rFonts w:ascii="宋体" w:hAnsi="宋体" w:cs="Arial"/>
                <w:color w:val="auto"/>
                <w:sz w:val="24"/>
              </w:rPr>
            </w:pPr>
          </w:p>
        </w:tc>
        <w:tc>
          <w:tcPr>
            <w:tcW w:w="1439" w:type="dxa"/>
            <w:tcBorders>
              <w:bottom w:val="single" w:color="auto" w:sz="4" w:space="0"/>
            </w:tcBorders>
            <w:vAlign w:val="center"/>
          </w:tcPr>
          <w:p>
            <w:pPr>
              <w:spacing w:line="400" w:lineRule="exact"/>
              <w:jc w:val="center"/>
              <w:rPr>
                <w:rFonts w:ascii="宋体" w:hAnsi="宋体" w:cs="Arial"/>
                <w:color w:val="auto"/>
                <w:sz w:val="24"/>
              </w:rPr>
            </w:pPr>
          </w:p>
        </w:tc>
        <w:tc>
          <w:tcPr>
            <w:tcW w:w="1670" w:type="dxa"/>
            <w:tcBorders>
              <w:bottom w:val="single" w:color="auto" w:sz="4" w:space="0"/>
            </w:tcBorders>
            <w:vAlign w:val="center"/>
          </w:tcPr>
          <w:p>
            <w:pPr>
              <w:spacing w:line="400" w:lineRule="exact"/>
              <w:jc w:val="center"/>
              <w:rPr>
                <w:rFonts w:ascii="宋体" w:hAnsi="宋体" w:cs="Arial"/>
                <w:color w:val="auto"/>
                <w:sz w:val="24"/>
              </w:rPr>
            </w:pPr>
          </w:p>
        </w:tc>
        <w:tc>
          <w:tcPr>
            <w:tcW w:w="1560" w:type="dxa"/>
            <w:tcBorders>
              <w:bottom w:val="single" w:color="auto" w:sz="4" w:space="0"/>
            </w:tcBorders>
            <w:vAlign w:val="center"/>
          </w:tcPr>
          <w:p>
            <w:pPr>
              <w:spacing w:line="400" w:lineRule="exact"/>
              <w:jc w:val="center"/>
              <w:rPr>
                <w:rFonts w:ascii="宋体" w:hAnsi="宋体" w:cs="Arial"/>
                <w:color w:val="auto"/>
                <w:sz w:val="24"/>
              </w:rPr>
            </w:pPr>
          </w:p>
        </w:tc>
        <w:tc>
          <w:tcPr>
            <w:tcW w:w="1417" w:type="dxa"/>
            <w:tcBorders>
              <w:bottom w:val="single" w:color="auto" w:sz="4" w:space="0"/>
              <w:right w:val="single" w:color="auto" w:sz="4" w:space="0"/>
            </w:tcBorders>
            <w:vAlign w:val="center"/>
          </w:tcPr>
          <w:p>
            <w:pPr>
              <w:spacing w:line="400" w:lineRule="exact"/>
              <w:jc w:val="center"/>
              <w:rPr>
                <w:rFonts w:ascii="宋体" w:hAnsi="宋体" w:cs="Arial"/>
                <w:color w:val="auto"/>
                <w:sz w:val="24"/>
              </w:rPr>
            </w:pPr>
          </w:p>
        </w:tc>
        <w:tc>
          <w:tcPr>
            <w:tcW w:w="1791" w:type="dxa"/>
            <w:tcBorders>
              <w:left w:val="single" w:color="auto" w:sz="4" w:space="0"/>
              <w:bottom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68"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67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56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sz w:val="24"/>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68"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67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56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sz w:val="24"/>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568"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39"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67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560" w:type="dxa"/>
            <w:tcBorders>
              <w:top w:val="single" w:color="auto" w:sz="4" w:space="0"/>
              <w:bottom w:val="single" w:color="auto" w:sz="4" w:space="0"/>
            </w:tcBorders>
            <w:vAlign w:val="center"/>
          </w:tcPr>
          <w:p>
            <w:pPr>
              <w:spacing w:line="400" w:lineRule="exact"/>
              <w:jc w:val="center"/>
              <w:rPr>
                <w:rFonts w:ascii="宋体" w:hAnsi="宋体" w:cs="Arial"/>
                <w:color w:val="auto"/>
                <w:sz w:val="24"/>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auto"/>
                <w:sz w:val="24"/>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568" w:type="dxa"/>
            <w:tcBorders>
              <w:top w:val="single" w:color="auto" w:sz="4" w:space="0"/>
            </w:tcBorders>
            <w:vAlign w:val="center"/>
          </w:tcPr>
          <w:p>
            <w:pPr>
              <w:spacing w:line="400" w:lineRule="exact"/>
              <w:jc w:val="center"/>
              <w:rPr>
                <w:rFonts w:ascii="宋体" w:hAnsi="宋体" w:cs="Arial"/>
                <w:color w:val="auto"/>
                <w:sz w:val="24"/>
              </w:rPr>
            </w:pPr>
          </w:p>
        </w:tc>
        <w:tc>
          <w:tcPr>
            <w:tcW w:w="1439" w:type="dxa"/>
            <w:tcBorders>
              <w:top w:val="single" w:color="auto" w:sz="4" w:space="0"/>
            </w:tcBorders>
            <w:vAlign w:val="center"/>
          </w:tcPr>
          <w:p>
            <w:pPr>
              <w:spacing w:line="400" w:lineRule="exact"/>
              <w:jc w:val="center"/>
              <w:rPr>
                <w:rFonts w:ascii="宋体" w:hAnsi="宋体" w:cs="Arial"/>
                <w:color w:val="auto"/>
                <w:sz w:val="24"/>
              </w:rPr>
            </w:pPr>
          </w:p>
        </w:tc>
        <w:tc>
          <w:tcPr>
            <w:tcW w:w="1670" w:type="dxa"/>
            <w:tcBorders>
              <w:top w:val="single" w:color="auto" w:sz="4" w:space="0"/>
            </w:tcBorders>
            <w:vAlign w:val="center"/>
          </w:tcPr>
          <w:p>
            <w:pPr>
              <w:spacing w:line="400" w:lineRule="exact"/>
              <w:jc w:val="center"/>
              <w:rPr>
                <w:rFonts w:ascii="宋体" w:hAnsi="宋体" w:cs="Arial"/>
                <w:color w:val="auto"/>
                <w:sz w:val="24"/>
              </w:rPr>
            </w:pPr>
          </w:p>
        </w:tc>
        <w:tc>
          <w:tcPr>
            <w:tcW w:w="1560" w:type="dxa"/>
            <w:tcBorders>
              <w:top w:val="single" w:color="auto" w:sz="4" w:space="0"/>
            </w:tcBorders>
            <w:vAlign w:val="center"/>
          </w:tcPr>
          <w:p>
            <w:pPr>
              <w:spacing w:line="400" w:lineRule="exact"/>
              <w:jc w:val="center"/>
              <w:rPr>
                <w:rFonts w:ascii="宋体" w:hAnsi="宋体" w:cs="Arial"/>
                <w:color w:val="auto"/>
                <w:sz w:val="24"/>
              </w:rPr>
            </w:pPr>
          </w:p>
        </w:tc>
        <w:tc>
          <w:tcPr>
            <w:tcW w:w="1417" w:type="dxa"/>
            <w:tcBorders>
              <w:top w:val="single" w:color="auto" w:sz="4" w:space="0"/>
              <w:right w:val="single" w:color="auto" w:sz="4" w:space="0"/>
            </w:tcBorders>
            <w:vAlign w:val="center"/>
          </w:tcPr>
          <w:p>
            <w:pPr>
              <w:spacing w:line="400" w:lineRule="exact"/>
              <w:jc w:val="center"/>
              <w:rPr>
                <w:rFonts w:ascii="宋体" w:hAnsi="宋体" w:cs="Arial"/>
                <w:color w:val="auto"/>
                <w:sz w:val="24"/>
              </w:rPr>
            </w:pPr>
          </w:p>
        </w:tc>
        <w:tc>
          <w:tcPr>
            <w:tcW w:w="1791" w:type="dxa"/>
            <w:tcBorders>
              <w:top w:val="single" w:color="auto" w:sz="4" w:space="0"/>
              <w:left w:val="single" w:color="auto" w:sz="4" w:space="0"/>
            </w:tcBorders>
            <w:vAlign w:val="center"/>
          </w:tcPr>
          <w:p>
            <w:pPr>
              <w:spacing w:line="400" w:lineRule="exact"/>
              <w:jc w:val="center"/>
              <w:rPr>
                <w:rFonts w:ascii="宋体" w:hAnsi="宋体" w:cs="Arial"/>
                <w:color w:val="auto"/>
                <w:sz w:val="24"/>
              </w:rPr>
            </w:pPr>
          </w:p>
        </w:tc>
      </w:tr>
    </w:tbl>
    <w:p>
      <w:pPr>
        <w:adjustRightInd w:val="0"/>
        <w:snapToGrid w:val="0"/>
        <w:spacing w:line="360" w:lineRule="auto"/>
        <w:jc w:val="left"/>
        <w:rPr>
          <w:rFonts w:hAnsi="宋体" w:cs="宋体"/>
          <w:b/>
          <w:bCs/>
          <w:color w:val="auto"/>
          <w:szCs w:val="21"/>
        </w:rPr>
      </w:pPr>
    </w:p>
    <w:p>
      <w:pPr>
        <w:adjustRightInd w:val="0"/>
        <w:snapToGrid w:val="0"/>
        <w:spacing w:line="360" w:lineRule="auto"/>
        <w:jc w:val="left"/>
        <w:rPr>
          <w:rFonts w:hAnsi="宋体" w:cs="宋体"/>
          <w:b/>
          <w:bCs/>
          <w:color w:val="auto"/>
          <w:sz w:val="24"/>
          <w:szCs w:val="24"/>
        </w:rPr>
      </w:pPr>
      <w:r>
        <w:rPr>
          <w:rFonts w:hint="eastAsia" w:hAnsi="宋体" w:cs="宋体"/>
          <w:b/>
          <w:bCs/>
          <w:color w:val="auto"/>
          <w:sz w:val="24"/>
          <w:szCs w:val="24"/>
        </w:rPr>
        <w:t>注：1、供应商（仅限于供应商自己实施的）以上业绩需提供相关证明材料。</w:t>
      </w:r>
    </w:p>
    <w:p>
      <w:pPr>
        <w:adjustRightInd w:val="0"/>
        <w:snapToGrid w:val="0"/>
        <w:spacing w:line="360" w:lineRule="auto"/>
        <w:rPr>
          <w:rFonts w:hAnsi="宋体" w:cs="宋体"/>
          <w:b/>
          <w:bCs/>
          <w:color w:val="auto"/>
          <w:sz w:val="24"/>
        </w:rPr>
      </w:pPr>
      <w:r>
        <w:rPr>
          <w:rFonts w:hint="eastAsia" w:hAnsi="宋体" w:cs="宋体"/>
          <w:b/>
          <w:bCs/>
          <w:color w:val="auto"/>
          <w:sz w:val="24"/>
          <w:szCs w:val="24"/>
        </w:rPr>
        <w:t xml:space="preserve">    2、表格不够供应商可自行增加</w:t>
      </w:r>
      <w:r>
        <w:rPr>
          <w:rFonts w:hint="eastAsia" w:hAnsi="宋体" w:cs="宋体"/>
          <w:b/>
          <w:bCs/>
          <w:color w:val="auto"/>
          <w:szCs w:val="21"/>
        </w:rPr>
        <w:t>。</w:t>
      </w:r>
    </w:p>
    <w:p>
      <w:pPr>
        <w:spacing w:line="400" w:lineRule="exact"/>
        <w:ind w:left="360"/>
        <w:jc w:val="center"/>
        <w:rPr>
          <w:rFonts w:ascii="宋体" w:hAnsi="宋体" w:cs="Arial"/>
          <w:color w:val="auto"/>
          <w:sz w:val="24"/>
        </w:rPr>
      </w:pPr>
    </w:p>
    <w:p>
      <w:pPr>
        <w:jc w:val="left"/>
        <w:rPr>
          <w:rFonts w:ascii="宋体" w:hAnsi="宋体" w:cs="Arial"/>
          <w:color w:val="auto"/>
          <w:sz w:val="24"/>
        </w:rPr>
      </w:pPr>
    </w:p>
    <w:p>
      <w:pPr>
        <w:ind w:firstLine="480" w:firstLineChars="200"/>
        <w:jc w:val="left"/>
        <w:rPr>
          <w:rFonts w:ascii="宋体" w:hAnsi="宋体"/>
          <w:color w:val="auto"/>
          <w:sz w:val="24"/>
        </w:rPr>
      </w:pPr>
      <w:r>
        <w:rPr>
          <w:rFonts w:hint="eastAsia" w:ascii="宋体" w:hAnsi="宋体"/>
          <w:color w:val="auto"/>
          <w:sz w:val="24"/>
        </w:rPr>
        <w:t>供应商名称：XXXX（盖单位公章）</w:t>
      </w:r>
    </w:p>
    <w:p>
      <w:pPr>
        <w:ind w:firstLine="480" w:firstLineChars="200"/>
        <w:jc w:val="left"/>
        <w:rPr>
          <w:rFonts w:ascii="宋体" w:hAnsi="宋体"/>
          <w:color w:val="auto"/>
          <w:sz w:val="24"/>
        </w:rPr>
      </w:pPr>
      <w:r>
        <w:rPr>
          <w:rFonts w:hint="eastAsia" w:ascii="宋体" w:hAnsi="宋体"/>
          <w:color w:val="auto"/>
          <w:sz w:val="24"/>
        </w:rPr>
        <w:t>法定代表人或授权代表（签字）：XXXX</w:t>
      </w:r>
    </w:p>
    <w:p>
      <w:pPr>
        <w:ind w:firstLine="480" w:firstLineChars="200"/>
        <w:jc w:val="left"/>
        <w:rPr>
          <w:rFonts w:ascii="宋体" w:hAnsi="宋体"/>
          <w:color w:val="auto"/>
          <w:sz w:val="24"/>
        </w:rPr>
      </w:pPr>
      <w:r>
        <w:rPr>
          <w:rFonts w:hint="eastAsia" w:ascii="宋体" w:hAnsi="宋体"/>
          <w:color w:val="auto"/>
          <w:sz w:val="24"/>
        </w:rPr>
        <w:t>日期: XXXX</w:t>
      </w:r>
    </w:p>
    <w:p>
      <w:pPr>
        <w:rPr>
          <w:color w:val="auto"/>
        </w:rPr>
      </w:pPr>
    </w:p>
    <w:p>
      <w:pPr>
        <w:rPr>
          <w:color w:val="auto"/>
        </w:rPr>
      </w:pPr>
    </w:p>
    <w:p>
      <w:pPr>
        <w:widowControl/>
        <w:spacing w:line="360" w:lineRule="atLeast"/>
        <w:jc w:val="center"/>
        <w:outlineLvl w:val="1"/>
        <w:rPr>
          <w:rFonts w:hint="eastAsia" w:ascii="黑体" w:eastAsia="黑体"/>
          <w:b/>
          <w:color w:val="auto"/>
          <w:sz w:val="32"/>
          <w:szCs w:val="32"/>
        </w:rPr>
      </w:pPr>
      <w:bookmarkStart w:id="255" w:name="_Toc514154170"/>
      <w:bookmarkStart w:id="256" w:name="_Toc531718440"/>
      <w:bookmarkStart w:id="257" w:name="_Toc514154303"/>
      <w:r>
        <w:rPr>
          <w:rFonts w:hint="eastAsia" w:ascii="黑体" w:eastAsia="黑体"/>
          <w:b/>
          <w:color w:val="auto"/>
          <w:sz w:val="32"/>
          <w:szCs w:val="32"/>
          <w:lang w:eastAsia="zh-CN"/>
        </w:rPr>
        <w:t>十</w:t>
      </w:r>
      <w:r>
        <w:rPr>
          <w:rFonts w:hint="eastAsia" w:ascii="黑体" w:eastAsia="黑体"/>
          <w:b/>
          <w:color w:val="auto"/>
          <w:sz w:val="32"/>
          <w:szCs w:val="32"/>
          <w:lang w:val="en-US" w:eastAsia="zh-CN"/>
        </w:rPr>
        <w:t>一</w:t>
      </w:r>
      <w:r>
        <w:rPr>
          <w:rFonts w:hint="eastAsia" w:ascii="黑体" w:eastAsia="黑体"/>
          <w:b/>
          <w:color w:val="auto"/>
          <w:sz w:val="32"/>
          <w:szCs w:val="32"/>
          <w:lang w:eastAsia="zh-CN"/>
        </w:rPr>
        <w:t>、</w:t>
      </w:r>
      <w:r>
        <w:rPr>
          <w:rFonts w:hint="eastAsia" w:ascii="黑体" w:eastAsia="黑体"/>
          <w:b/>
          <w:color w:val="auto"/>
          <w:sz w:val="32"/>
          <w:szCs w:val="32"/>
        </w:rPr>
        <w:t>供应商诚信情况承诺函</w:t>
      </w:r>
    </w:p>
    <w:p>
      <w:pPr>
        <w:pStyle w:val="11"/>
        <w:rPr>
          <w:color w:val="auto"/>
        </w:rPr>
      </w:pPr>
    </w:p>
    <w:p>
      <w:pPr>
        <w:spacing w:line="360" w:lineRule="auto"/>
        <w:rPr>
          <w:rFonts w:hAnsi="宋体"/>
          <w:bCs/>
          <w:color w:val="auto"/>
          <w:sz w:val="24"/>
        </w:rPr>
      </w:pPr>
      <w:r>
        <w:rPr>
          <w:rFonts w:hint="eastAsia" w:hAnsi="宋体"/>
          <w:bCs/>
          <w:color w:val="auto"/>
          <w:sz w:val="24"/>
        </w:rPr>
        <w:t>致</w:t>
      </w:r>
      <w:r>
        <w:rPr>
          <w:rFonts w:hint="eastAsia" w:hAnsi="宋体"/>
          <w:bCs/>
          <w:color w:val="auto"/>
          <w:sz w:val="24"/>
          <w:lang w:eastAsia="zh-CN"/>
        </w:rPr>
        <w:t>四川映池工程管理有限责任公司</w:t>
      </w:r>
      <w:r>
        <w:rPr>
          <w:rFonts w:hint="eastAsia" w:hAnsi="宋体"/>
          <w:bCs/>
          <w:color w:val="auto"/>
          <w:sz w:val="24"/>
        </w:rPr>
        <w:t>：</w:t>
      </w:r>
    </w:p>
    <w:p>
      <w:pPr>
        <w:spacing w:line="360" w:lineRule="auto"/>
        <w:ind w:firstLine="480" w:firstLineChars="200"/>
        <w:rPr>
          <w:rFonts w:hAnsi="宋体"/>
          <w:color w:val="auto"/>
          <w:sz w:val="24"/>
        </w:rPr>
      </w:pPr>
      <w:r>
        <w:rPr>
          <w:rFonts w:hint="eastAsia" w:hAnsi="宋体"/>
          <w:bCs/>
          <w:color w:val="auto"/>
          <w:sz w:val="24"/>
        </w:rPr>
        <w:t>本单位</w:t>
      </w:r>
      <w:r>
        <w:rPr>
          <w:rFonts w:hint="eastAsia" w:hAnsi="宋体"/>
          <w:bCs/>
          <w:color w:val="auto"/>
          <w:sz w:val="24"/>
          <w:u w:val="single"/>
        </w:rPr>
        <w:t>（供应商名称）</w:t>
      </w:r>
      <w:r>
        <w:rPr>
          <w:rFonts w:hint="eastAsia" w:hAnsi="宋体"/>
          <w:bCs/>
          <w:color w:val="auto"/>
          <w:sz w:val="24"/>
        </w:rPr>
        <w:t>参加</w:t>
      </w:r>
      <w:r>
        <w:rPr>
          <w:rFonts w:hint="eastAsia" w:hAnsi="宋体"/>
          <w:bCs/>
          <w:color w:val="auto"/>
          <w:sz w:val="24"/>
          <w:u w:val="single"/>
        </w:rPr>
        <w:t>（项目名称及采购编号</w:t>
      </w:r>
      <w:r>
        <w:rPr>
          <w:rFonts w:hint="eastAsia" w:hAnsi="宋体"/>
          <w:bCs/>
          <w:color w:val="auto"/>
          <w:sz w:val="24"/>
        </w:rPr>
        <w:t>）的政府采购活动</w:t>
      </w:r>
      <w:r>
        <w:rPr>
          <w:rFonts w:hint="eastAsia" w:hAnsi="宋体"/>
          <w:color w:val="auto"/>
          <w:sz w:val="24"/>
        </w:rPr>
        <w:t>，针</w:t>
      </w:r>
      <w:r>
        <w:rPr>
          <w:rFonts w:hint="eastAsia" w:hAnsi="宋体"/>
          <w:bCs/>
          <w:color w:val="auto"/>
          <w:sz w:val="24"/>
        </w:rPr>
        <w:t>对本单位的诚信情况作出以下承诺：</w:t>
      </w:r>
    </w:p>
    <w:p>
      <w:pPr>
        <w:spacing w:line="360" w:lineRule="auto"/>
        <w:ind w:firstLine="480" w:firstLineChars="200"/>
        <w:rPr>
          <w:rFonts w:hAnsi="宋体"/>
          <w:bCs/>
          <w:color w:val="auto"/>
          <w:sz w:val="24"/>
        </w:rPr>
      </w:pPr>
      <w:r>
        <w:rPr>
          <w:rFonts w:hint="eastAsia" w:hAnsi="宋体"/>
          <w:bCs/>
          <w:color w:val="auto"/>
          <w:sz w:val="24"/>
        </w:rPr>
        <w:t>我单位</w:t>
      </w:r>
      <w:r>
        <w:rPr>
          <w:rFonts w:hint="eastAsia" w:hAnsi="宋体"/>
          <w:color w:val="auto"/>
          <w:sz w:val="24"/>
        </w:rPr>
        <w:t>失信行为次数</w:t>
      </w:r>
      <w:r>
        <w:rPr>
          <w:rFonts w:hint="eastAsia" w:hAnsi="宋体"/>
          <w:color w:val="auto"/>
          <w:sz w:val="24"/>
          <w:u w:val="single"/>
          <w:lang w:val="en-US" w:eastAsia="zh-CN"/>
        </w:rPr>
        <w:t xml:space="preserve">   </w:t>
      </w:r>
      <w:r>
        <w:rPr>
          <w:rFonts w:hint="eastAsia" w:hAnsi="宋体"/>
          <w:color w:val="auto"/>
          <w:sz w:val="24"/>
        </w:rPr>
        <w:t>（填写零、壹、贰、叁、肆等）；</w:t>
      </w:r>
      <w:r>
        <w:rPr>
          <w:rFonts w:hint="eastAsia" w:hAnsi="宋体"/>
          <w:bCs/>
          <w:color w:val="auto"/>
          <w:sz w:val="24"/>
        </w:rPr>
        <w:t>（仅限投标截止当日仍在有效期的次数）</w:t>
      </w:r>
    </w:p>
    <w:p>
      <w:pPr>
        <w:spacing w:line="360" w:lineRule="auto"/>
        <w:ind w:firstLine="480" w:firstLineChars="200"/>
        <w:rPr>
          <w:rFonts w:hAnsi="宋体"/>
          <w:color w:val="auto"/>
          <w:sz w:val="24"/>
        </w:rPr>
      </w:pPr>
      <w:r>
        <w:rPr>
          <w:rFonts w:hint="eastAsia" w:hAnsi="宋体"/>
          <w:color w:val="auto"/>
          <w:sz w:val="24"/>
        </w:rPr>
        <w:t>我</w:t>
      </w:r>
      <w:r>
        <w:rPr>
          <w:rFonts w:hint="eastAsia" w:hAnsi="宋体"/>
          <w:bCs/>
          <w:color w:val="auto"/>
          <w:sz w:val="24"/>
        </w:rPr>
        <w:t>单位</w:t>
      </w:r>
      <w:r>
        <w:rPr>
          <w:rFonts w:hint="eastAsia" w:hAnsi="宋体"/>
          <w:color w:val="auto"/>
          <w:sz w:val="24"/>
        </w:rPr>
        <w:t>对以上填写信息的真实性负责。如有不实，本</w:t>
      </w:r>
      <w:r>
        <w:rPr>
          <w:rFonts w:hint="eastAsia" w:hAnsi="宋体"/>
          <w:bCs/>
          <w:color w:val="auto"/>
          <w:sz w:val="24"/>
        </w:rPr>
        <w:t>单位</w:t>
      </w:r>
      <w:r>
        <w:rPr>
          <w:rFonts w:hint="eastAsia" w:hAnsi="宋体"/>
          <w:color w:val="auto"/>
          <w:sz w:val="24"/>
        </w:rPr>
        <w:t>愿承担由此产生的一切法律责任和后果。</w:t>
      </w:r>
    </w:p>
    <w:p>
      <w:pPr>
        <w:spacing w:line="360" w:lineRule="auto"/>
        <w:rPr>
          <w:rFonts w:hAnsi="宋体"/>
          <w:bCs/>
          <w:color w:val="auto"/>
          <w:sz w:val="24"/>
        </w:rPr>
      </w:pPr>
    </w:p>
    <w:p>
      <w:pPr>
        <w:spacing w:before="156" w:beforeLines="50" w:after="156" w:afterLines="50" w:line="240" w:lineRule="auto"/>
        <w:rPr>
          <w:rFonts w:ascii="宋体" w:hAnsi="宋体" w:cs="宋体"/>
          <w:bCs/>
          <w:color w:val="auto"/>
          <w:sz w:val="24"/>
        </w:rPr>
      </w:pPr>
      <w:r>
        <w:rPr>
          <w:rFonts w:hint="eastAsia" w:hAnsi="宋体"/>
          <w:color w:val="auto"/>
          <w:sz w:val="24"/>
          <w:szCs w:val="22"/>
        </w:rPr>
        <w:t>供应商名称</w:t>
      </w:r>
      <w:r>
        <w:rPr>
          <w:rFonts w:hint="eastAsia" w:ascii="宋体" w:hAnsi="宋体" w:cs="宋体"/>
          <w:bCs/>
          <w:color w:val="auto"/>
          <w:sz w:val="24"/>
        </w:rPr>
        <w:t>：</w:t>
      </w:r>
      <w:r>
        <w:rPr>
          <w:rFonts w:hint="eastAsia" w:hAnsi="宋体"/>
          <w:color w:val="auto"/>
          <w:sz w:val="24"/>
          <w:u w:val="single"/>
        </w:rPr>
        <w:t xml:space="preserve">                     （加盖单位公章）</w:t>
      </w:r>
    </w:p>
    <w:p>
      <w:pPr>
        <w:spacing w:before="156" w:beforeLines="50" w:after="156" w:afterLines="50" w:line="240" w:lineRule="auto"/>
        <w:rPr>
          <w:rFonts w:ascii="宋体" w:hAnsi="宋体" w:cs="宋体"/>
          <w:bCs/>
          <w:color w:val="auto"/>
          <w:sz w:val="24"/>
        </w:rPr>
      </w:pPr>
      <w:r>
        <w:rPr>
          <w:rFonts w:hint="eastAsia" w:ascii="宋体" w:hAnsi="宋体" w:cs="宋体"/>
          <w:bCs/>
          <w:color w:val="auto"/>
          <w:sz w:val="24"/>
        </w:rPr>
        <w:t>法定代表人或代理人（签字或加盖个人名章）：</w:t>
      </w:r>
    </w:p>
    <w:p>
      <w:pPr>
        <w:spacing w:before="156" w:beforeLines="50" w:after="156" w:afterLines="50" w:line="240" w:lineRule="auto"/>
        <w:rPr>
          <w:rFonts w:hAnsi="宋体"/>
          <w:color w:val="auto"/>
          <w:sz w:val="24"/>
        </w:rPr>
      </w:pPr>
      <w:r>
        <w:rPr>
          <w:rFonts w:hint="eastAsia" w:ascii="宋体" w:hAnsi="宋体" w:cs="宋体"/>
          <w:bCs/>
          <w:color w:val="auto"/>
          <w:sz w:val="24"/>
        </w:rPr>
        <w:t>日    期：年月日</w:t>
      </w:r>
    </w:p>
    <w:p>
      <w:pPr>
        <w:spacing w:line="360" w:lineRule="auto"/>
        <w:rPr>
          <w:rFonts w:hAnsi="宋体"/>
          <w:bCs/>
          <w:color w:val="auto"/>
          <w:sz w:val="24"/>
        </w:rPr>
      </w:pPr>
    </w:p>
    <w:p>
      <w:pPr>
        <w:spacing w:line="360" w:lineRule="auto"/>
        <w:rPr>
          <w:rFonts w:hAnsi="宋体"/>
          <w:bCs/>
          <w:color w:val="auto"/>
          <w:sz w:val="24"/>
        </w:rPr>
      </w:pPr>
      <w:r>
        <w:rPr>
          <w:rFonts w:hint="eastAsia" w:hAnsi="宋体"/>
          <w:bCs/>
          <w:color w:val="auto"/>
          <w:sz w:val="24"/>
        </w:rPr>
        <w:t>注：1、本表格式及内容仅供参考，投标人也可提供自己的格式；</w:t>
      </w:r>
    </w:p>
    <w:p>
      <w:pPr>
        <w:rPr>
          <w:rFonts w:hAnsi="宋体"/>
          <w:bCs/>
          <w:color w:val="auto"/>
          <w:sz w:val="24"/>
        </w:rPr>
      </w:pPr>
      <w:r>
        <w:rPr>
          <w:rFonts w:hint="eastAsia" w:hAnsi="宋体"/>
          <w:bCs/>
          <w:color w:val="auto"/>
          <w:sz w:val="24"/>
        </w:rPr>
        <w:t>2、投标人存在以上所述失信行为的，将按照</w:t>
      </w:r>
      <w:r>
        <w:rPr>
          <w:rFonts w:hint="eastAsia" w:hAnsi="宋体"/>
          <w:color w:val="auto"/>
          <w:sz w:val="24"/>
        </w:rPr>
        <w:t>第二章投标人须知附表的要求进行处理；</w:t>
      </w:r>
    </w:p>
    <w:p>
      <w:pPr>
        <w:rPr>
          <w:rFonts w:ascii="宋体" w:hAnsi="宋体"/>
          <w:color w:val="auto"/>
          <w:kern w:val="0"/>
          <w:sz w:val="24"/>
        </w:rPr>
      </w:pPr>
      <w:r>
        <w:rPr>
          <w:rFonts w:hint="eastAsia" w:hAnsi="宋体"/>
          <w:bCs/>
          <w:color w:val="auto"/>
          <w:sz w:val="24"/>
        </w:rPr>
        <w:t>3、</w:t>
      </w:r>
      <w:r>
        <w:rPr>
          <w:rFonts w:hAnsi="宋体"/>
          <w:bCs/>
          <w:color w:val="auto"/>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rPr>
        <w:t>确了有效期的，不再重复计算。</w:t>
      </w:r>
    </w:p>
    <w:p>
      <w:pPr>
        <w:rPr>
          <w:rFonts w:hint="eastAsia" w:hAnsi="宋体"/>
          <w:bCs/>
          <w:color w:val="auto"/>
          <w:sz w:val="24"/>
        </w:rPr>
      </w:pPr>
      <w:r>
        <w:rPr>
          <w:rFonts w:hint="eastAsia" w:ascii="宋体" w:hAnsi="宋体"/>
          <w:color w:val="auto"/>
          <w:kern w:val="0"/>
          <w:sz w:val="24"/>
        </w:rPr>
        <w:t>4、</w:t>
      </w:r>
      <w:r>
        <w:rPr>
          <w:rFonts w:hint="eastAsia" w:hAnsi="宋体"/>
          <w:bCs/>
          <w:color w:val="auto"/>
          <w:sz w:val="24"/>
        </w:rPr>
        <w:t>投标人的失信行为受到行政处罚或司法惩处的，评审时不再对其以价格加成进行惩戒。</w:t>
      </w:r>
    </w:p>
    <w:p>
      <w:pPr>
        <w:pStyle w:val="5"/>
        <w:tabs>
          <w:tab w:val="left" w:pos="709"/>
        </w:tabs>
        <w:ind w:left="709" w:firstLine="0" w:firstLineChars="0"/>
        <w:jc w:val="center"/>
        <w:outlineLvl w:val="9"/>
        <w:rPr>
          <w:rFonts w:hint="eastAsia" w:ascii="宋体" w:hAnsi="宋体"/>
          <w:bCs w:val="0"/>
          <w:color w:val="auto"/>
          <w:sz w:val="32"/>
        </w:rPr>
      </w:pPr>
    </w:p>
    <w:p>
      <w:pPr>
        <w:rPr>
          <w:rFonts w:hint="eastAsia" w:ascii="宋体" w:hAnsi="宋体"/>
          <w:bCs w:val="0"/>
          <w:color w:val="auto"/>
          <w:sz w:val="32"/>
        </w:rPr>
      </w:pPr>
    </w:p>
    <w:p>
      <w:pPr>
        <w:pStyle w:val="45"/>
        <w:rPr>
          <w:rFonts w:hint="eastAsia"/>
        </w:rPr>
      </w:pPr>
    </w:p>
    <w:p>
      <w:pPr>
        <w:rPr>
          <w:rFonts w:hint="eastAsia"/>
        </w:rPr>
      </w:pPr>
    </w:p>
    <w:p>
      <w:pPr>
        <w:pStyle w:val="2"/>
        <w:rPr>
          <w:rFonts w:hint="eastAsia"/>
        </w:rPr>
      </w:pPr>
    </w:p>
    <w:p>
      <w:pPr>
        <w:pStyle w:val="5"/>
        <w:tabs>
          <w:tab w:val="left" w:pos="709"/>
        </w:tabs>
        <w:ind w:left="709" w:firstLine="0" w:firstLineChars="0"/>
        <w:jc w:val="center"/>
        <w:rPr>
          <w:rFonts w:ascii="宋体" w:hAnsi="宋体"/>
          <w:bCs w:val="0"/>
          <w:color w:val="auto"/>
          <w:sz w:val="32"/>
        </w:rPr>
      </w:pPr>
      <w:r>
        <w:rPr>
          <w:rFonts w:hint="eastAsia" w:ascii="宋体" w:hAnsi="宋体"/>
          <w:bCs w:val="0"/>
          <w:color w:val="auto"/>
          <w:sz w:val="32"/>
        </w:rPr>
        <w:t>十</w:t>
      </w:r>
      <w:r>
        <w:rPr>
          <w:rFonts w:hint="eastAsia" w:hAnsi="宋体"/>
          <w:bCs w:val="0"/>
          <w:color w:val="auto"/>
          <w:sz w:val="32"/>
          <w:lang w:val="en-US" w:eastAsia="zh-CN"/>
        </w:rPr>
        <w:t>二</w:t>
      </w:r>
      <w:r>
        <w:rPr>
          <w:rFonts w:hint="eastAsia" w:ascii="宋体" w:hAnsi="宋体"/>
          <w:bCs w:val="0"/>
          <w:color w:val="auto"/>
          <w:sz w:val="32"/>
        </w:rPr>
        <w:t>、其他证明材料装订</w:t>
      </w:r>
      <w:bookmarkEnd w:id="255"/>
      <w:bookmarkEnd w:id="256"/>
      <w:bookmarkEnd w:id="257"/>
    </w:p>
    <w:p>
      <w:pPr>
        <w:spacing w:line="360" w:lineRule="auto"/>
        <w:ind w:firstLine="482" w:firstLineChars="200"/>
        <w:rPr>
          <w:rFonts w:ascii="宋体" w:hAnsi="宋体"/>
          <w:b/>
          <w:color w:val="auto"/>
          <w:sz w:val="24"/>
        </w:rPr>
      </w:pPr>
      <w:r>
        <w:rPr>
          <w:rFonts w:hint="eastAsia" w:ascii="宋体" w:hAnsi="宋体"/>
          <w:b/>
          <w:color w:val="auto"/>
          <w:sz w:val="24"/>
        </w:rPr>
        <w:t>此页装订投标人认为需要提供（包括其他涉及响应资料或证明材料等）但磋商文件未明确装订位置的资料。</w:t>
      </w:r>
    </w:p>
    <w:p>
      <w:pPr>
        <w:rPr>
          <w:color w:val="auto"/>
        </w:rPr>
      </w:pPr>
    </w:p>
    <w:p>
      <w:pPr>
        <w:widowControl/>
        <w:jc w:val="left"/>
        <w:rPr>
          <w:rFonts w:ascii="黑体" w:hAnsi="宋体" w:eastAsia="黑体"/>
          <w:b/>
          <w:bCs/>
          <w:color w:val="auto"/>
          <w:sz w:val="24"/>
        </w:rPr>
      </w:pPr>
      <w:r>
        <w:rPr>
          <w:rFonts w:ascii="黑体" w:hAnsi="宋体" w:eastAsia="黑体"/>
          <w:b/>
          <w:bCs/>
          <w:color w:val="auto"/>
          <w:sz w:val="24"/>
        </w:rPr>
        <w:br w:type="page"/>
      </w:r>
    </w:p>
    <w:p>
      <w:pPr>
        <w:pStyle w:val="3"/>
        <w:spacing w:line="360" w:lineRule="auto"/>
        <w:jc w:val="center"/>
        <w:rPr>
          <w:color w:val="auto"/>
        </w:rPr>
      </w:pPr>
      <w:bookmarkStart w:id="258" w:name="_Toc531718441"/>
      <w:bookmarkStart w:id="259" w:name="_Toc28336"/>
      <w:bookmarkStart w:id="260" w:name="_Toc514154171"/>
      <w:bookmarkStart w:id="261" w:name="_Toc532395211"/>
      <w:r>
        <w:rPr>
          <w:rFonts w:hint="eastAsia"/>
          <w:color w:val="auto"/>
        </w:rPr>
        <w:t>第七章  评审方法</w:t>
      </w:r>
      <w:bookmarkEnd w:id="258"/>
      <w:bookmarkEnd w:id="259"/>
      <w:bookmarkEnd w:id="260"/>
      <w:bookmarkEnd w:id="261"/>
    </w:p>
    <w:p>
      <w:pPr>
        <w:pStyle w:val="4"/>
        <w:keepNext w:val="0"/>
        <w:keepLines w:val="0"/>
        <w:spacing w:before="0" w:after="0" w:line="400" w:lineRule="exact"/>
        <w:ind w:firstLine="551" w:firstLineChars="196"/>
        <w:rPr>
          <w:rFonts w:hint="eastAsia" w:asciiTheme="majorEastAsia" w:hAnsiTheme="majorEastAsia" w:eastAsiaTheme="majorEastAsia" w:cstheme="majorEastAsia"/>
          <w:color w:val="auto"/>
          <w:sz w:val="28"/>
          <w:szCs w:val="22"/>
        </w:rPr>
      </w:pPr>
      <w:bookmarkStart w:id="262" w:name="_Toc514154172"/>
      <w:bookmarkStart w:id="263" w:name="_Toc514154305"/>
      <w:bookmarkStart w:id="264" w:name="_Toc531718442"/>
      <w:bookmarkStart w:id="265" w:name="_Toc101174146"/>
      <w:bookmarkStart w:id="266" w:name="_Toc101338358"/>
      <w:bookmarkStart w:id="267" w:name="_Toc209847065"/>
      <w:bookmarkStart w:id="268" w:name="_Toc101250640"/>
      <w:bookmarkStart w:id="269" w:name="_Toc430773924"/>
      <w:r>
        <w:rPr>
          <w:rFonts w:hint="eastAsia" w:asciiTheme="majorEastAsia" w:hAnsiTheme="majorEastAsia" w:eastAsiaTheme="majorEastAsia" w:cstheme="majorEastAsia"/>
          <w:color w:val="auto"/>
          <w:sz w:val="28"/>
          <w:szCs w:val="22"/>
        </w:rPr>
        <w:t>1.总则</w:t>
      </w:r>
      <w:bookmarkEnd w:id="262"/>
      <w:bookmarkEnd w:id="263"/>
      <w:bookmarkEnd w:id="264"/>
    </w:p>
    <w:p>
      <w:pPr>
        <w:spacing w:line="440" w:lineRule="exact"/>
        <w:ind w:firstLine="480" w:firstLineChars="200"/>
        <w:rPr>
          <w:rFonts w:ascii="宋体" w:hAnsi="宋体"/>
          <w:color w:val="auto"/>
          <w:sz w:val="24"/>
        </w:rPr>
      </w:pPr>
      <w:bookmarkStart w:id="270" w:name="_Toc514154306"/>
      <w:bookmarkStart w:id="271" w:name="_Toc514154173"/>
      <w:r>
        <w:rPr>
          <w:rFonts w:hint="eastAsia" w:ascii="宋体" w:hAnsi="宋体"/>
          <w:color w:val="auto"/>
          <w:sz w:val="24"/>
        </w:rPr>
        <w:t>1.1 根据《中华人民共和国政府采购法》、《中华人民共和国政府采购法实施条例》、《政府采购竞争性磋商采购方式管理暂行办法》等法律制度，结合本采购项目特点制定本磋商方法。</w:t>
      </w:r>
      <w:bookmarkEnd w:id="270"/>
      <w:bookmarkEnd w:id="271"/>
    </w:p>
    <w:p>
      <w:pPr>
        <w:spacing w:line="440" w:lineRule="exact"/>
        <w:ind w:firstLine="480" w:firstLineChars="200"/>
        <w:rPr>
          <w:rFonts w:ascii="宋体" w:hAnsi="宋体"/>
          <w:color w:val="auto"/>
          <w:sz w:val="24"/>
        </w:rPr>
      </w:pPr>
      <w:bookmarkStart w:id="272" w:name="_Toc514154307"/>
      <w:bookmarkStart w:id="273" w:name="_Toc514154174"/>
      <w:r>
        <w:rPr>
          <w:rFonts w:hint="eastAsia" w:ascii="宋体" w:hAnsi="宋体"/>
          <w:color w:val="auto"/>
          <w:sz w:val="24"/>
        </w:rPr>
        <w:t>1.2 磋商工作由采购人/采购代理机构负责组织，具体磋商由采购人/采购代理机构依法组建的磋商小组负责。</w:t>
      </w:r>
      <w:bookmarkEnd w:id="272"/>
      <w:bookmarkEnd w:id="273"/>
    </w:p>
    <w:p>
      <w:pPr>
        <w:spacing w:line="440" w:lineRule="exact"/>
        <w:ind w:firstLine="480" w:firstLineChars="200"/>
        <w:rPr>
          <w:rFonts w:ascii="宋体" w:hAnsi="宋体"/>
          <w:color w:val="auto"/>
          <w:sz w:val="24"/>
        </w:rPr>
      </w:pPr>
      <w:bookmarkStart w:id="274" w:name="_Toc514154308"/>
      <w:bookmarkStart w:id="275" w:name="_Toc514154175"/>
      <w:r>
        <w:rPr>
          <w:rFonts w:hint="eastAsia" w:ascii="宋体" w:hAnsi="宋体"/>
          <w:color w:val="auto"/>
          <w:sz w:val="24"/>
        </w:rPr>
        <w:t>1.3 磋商工作应遵循公平、公正、科学及择优的原则，并以相同的磋商程序和标准对待所有的供应商。</w:t>
      </w:r>
      <w:bookmarkEnd w:id="274"/>
      <w:bookmarkEnd w:id="275"/>
    </w:p>
    <w:p>
      <w:pPr>
        <w:spacing w:line="440" w:lineRule="exact"/>
        <w:ind w:firstLine="480" w:firstLineChars="200"/>
        <w:rPr>
          <w:rFonts w:ascii="宋体" w:hAnsi="宋体"/>
          <w:color w:val="auto"/>
          <w:sz w:val="24"/>
        </w:rPr>
      </w:pPr>
      <w:bookmarkStart w:id="276" w:name="_Toc514154176"/>
      <w:bookmarkStart w:id="277" w:name="_Toc514154309"/>
      <w:r>
        <w:rPr>
          <w:rFonts w:hint="eastAsia" w:ascii="宋体" w:hAnsi="宋体"/>
          <w:color w:val="auto"/>
          <w:sz w:val="24"/>
        </w:rPr>
        <w:t>1.4 磋商小组按照磋商文件规定的磋商程序、评分方法和标准进行评审，并独立履行下列职责：</w:t>
      </w:r>
      <w:bookmarkEnd w:id="276"/>
      <w:bookmarkEnd w:id="277"/>
    </w:p>
    <w:p>
      <w:pPr>
        <w:spacing w:line="440" w:lineRule="exact"/>
        <w:ind w:firstLine="480" w:firstLineChars="200"/>
        <w:rPr>
          <w:rFonts w:ascii="宋体" w:hAnsi="宋体"/>
          <w:color w:val="auto"/>
          <w:sz w:val="24"/>
        </w:rPr>
      </w:pPr>
      <w:bookmarkStart w:id="278" w:name="_Toc514154177"/>
      <w:bookmarkStart w:id="279" w:name="_Toc514154310"/>
      <w:r>
        <w:rPr>
          <w:rFonts w:hint="eastAsia" w:ascii="宋体" w:hAnsi="宋体"/>
          <w:color w:val="auto"/>
          <w:sz w:val="24"/>
        </w:rPr>
        <w:t>（一）熟悉和理解磋商文件，确定磋商文件内容是否违反国家有关强制性规定或者磋商文件存在歧义、重大缺陷，根据需要书面要求采购人、采购代理机构对磋商文件作出解释；</w:t>
      </w:r>
      <w:bookmarkEnd w:id="278"/>
      <w:bookmarkEnd w:id="279"/>
    </w:p>
    <w:p>
      <w:pPr>
        <w:spacing w:line="440" w:lineRule="exact"/>
        <w:ind w:firstLine="480" w:firstLineChars="200"/>
        <w:rPr>
          <w:rFonts w:ascii="宋体" w:hAnsi="宋体"/>
          <w:color w:val="auto"/>
          <w:sz w:val="24"/>
        </w:rPr>
      </w:pPr>
      <w:bookmarkStart w:id="280" w:name="_Toc514154178"/>
      <w:bookmarkStart w:id="281" w:name="_Toc514154311"/>
      <w:r>
        <w:rPr>
          <w:rFonts w:hint="eastAsia" w:ascii="宋体" w:hAnsi="宋体"/>
          <w:color w:val="auto"/>
          <w:sz w:val="24"/>
        </w:rPr>
        <w:t>（二）审查供应商响应文件是否满足磋商文件要求，并作出公正评价；</w:t>
      </w:r>
      <w:bookmarkEnd w:id="280"/>
      <w:bookmarkEnd w:id="281"/>
    </w:p>
    <w:p>
      <w:pPr>
        <w:spacing w:line="440" w:lineRule="exact"/>
        <w:ind w:firstLine="480" w:firstLineChars="200"/>
        <w:rPr>
          <w:rFonts w:ascii="宋体" w:hAnsi="宋体"/>
          <w:color w:val="auto"/>
          <w:sz w:val="24"/>
        </w:rPr>
      </w:pPr>
      <w:bookmarkStart w:id="282" w:name="_Toc514154312"/>
      <w:bookmarkStart w:id="283" w:name="_Toc514154179"/>
      <w:r>
        <w:rPr>
          <w:rFonts w:hint="eastAsia" w:ascii="宋体" w:hAnsi="宋体"/>
          <w:color w:val="auto"/>
          <w:sz w:val="24"/>
        </w:rPr>
        <w:t>（三）根据需要要求供应商对响应文件中含义不明确、同类问题表述不一致或者有明显文字和计算错误的内容等作出必要的澄清、说明或者更正；</w:t>
      </w:r>
      <w:bookmarkEnd w:id="282"/>
      <w:bookmarkEnd w:id="283"/>
    </w:p>
    <w:p>
      <w:pPr>
        <w:spacing w:line="440" w:lineRule="exact"/>
        <w:ind w:firstLine="480" w:firstLineChars="200"/>
        <w:rPr>
          <w:rFonts w:ascii="宋体" w:hAnsi="宋体"/>
          <w:color w:val="auto"/>
          <w:sz w:val="24"/>
        </w:rPr>
      </w:pPr>
      <w:bookmarkStart w:id="284" w:name="_Toc514154180"/>
      <w:bookmarkStart w:id="285" w:name="_Toc514154313"/>
      <w:r>
        <w:rPr>
          <w:rFonts w:hint="eastAsia" w:ascii="宋体" w:hAnsi="宋体"/>
          <w:color w:val="auto"/>
          <w:sz w:val="24"/>
        </w:rPr>
        <w:t>（四）推荐成交供应商，或者受采购人委托确定成交供应商；</w:t>
      </w:r>
      <w:bookmarkEnd w:id="284"/>
      <w:bookmarkEnd w:id="285"/>
    </w:p>
    <w:p>
      <w:pPr>
        <w:spacing w:line="440" w:lineRule="exact"/>
        <w:ind w:firstLine="480" w:firstLineChars="200"/>
        <w:rPr>
          <w:rFonts w:ascii="宋体" w:hAnsi="宋体"/>
          <w:color w:val="auto"/>
          <w:sz w:val="24"/>
        </w:rPr>
      </w:pPr>
      <w:bookmarkStart w:id="286" w:name="_Toc514154181"/>
      <w:bookmarkStart w:id="287" w:name="_Toc514154314"/>
      <w:r>
        <w:rPr>
          <w:rFonts w:hint="eastAsia" w:ascii="宋体" w:hAnsi="宋体"/>
          <w:color w:val="auto"/>
          <w:sz w:val="24"/>
        </w:rPr>
        <w:t>（五）起草评审报告并进行签署；</w:t>
      </w:r>
      <w:bookmarkEnd w:id="286"/>
      <w:bookmarkEnd w:id="287"/>
    </w:p>
    <w:p>
      <w:pPr>
        <w:spacing w:line="440" w:lineRule="exact"/>
        <w:ind w:firstLine="480" w:firstLineChars="200"/>
        <w:rPr>
          <w:rFonts w:ascii="宋体" w:hAnsi="宋体"/>
          <w:color w:val="auto"/>
          <w:sz w:val="24"/>
        </w:rPr>
      </w:pPr>
      <w:bookmarkStart w:id="288" w:name="_Toc514154182"/>
      <w:bookmarkStart w:id="289" w:name="_Toc514154315"/>
      <w:r>
        <w:rPr>
          <w:rFonts w:hint="eastAsia" w:ascii="宋体" w:hAnsi="宋体"/>
          <w:color w:val="auto"/>
          <w:sz w:val="24"/>
        </w:rPr>
        <w:t>（六）向采购人/采购代理机构、财政部门或者其他监督部门报告非法干预评审工作的行为；</w:t>
      </w:r>
      <w:bookmarkEnd w:id="288"/>
      <w:bookmarkEnd w:id="289"/>
    </w:p>
    <w:p>
      <w:pPr>
        <w:spacing w:line="440" w:lineRule="exact"/>
        <w:ind w:firstLine="480" w:firstLineChars="200"/>
        <w:rPr>
          <w:rFonts w:ascii="宋体" w:hAnsi="宋体"/>
          <w:color w:val="auto"/>
          <w:sz w:val="24"/>
        </w:rPr>
      </w:pPr>
      <w:bookmarkStart w:id="290" w:name="_Toc514154183"/>
      <w:bookmarkStart w:id="291" w:name="_Toc514154316"/>
      <w:r>
        <w:rPr>
          <w:rFonts w:hint="eastAsia" w:ascii="宋体" w:hAnsi="宋体"/>
          <w:color w:val="auto"/>
          <w:sz w:val="24"/>
        </w:rPr>
        <w:t>（七）法律、法规和规章规定的其他职责。</w:t>
      </w:r>
      <w:bookmarkEnd w:id="290"/>
      <w:bookmarkEnd w:id="291"/>
    </w:p>
    <w:p>
      <w:pPr>
        <w:spacing w:line="440" w:lineRule="exact"/>
        <w:ind w:firstLine="480" w:firstLineChars="200"/>
        <w:rPr>
          <w:rFonts w:ascii="宋体" w:hAnsi="宋体"/>
          <w:color w:val="auto"/>
          <w:sz w:val="24"/>
        </w:rPr>
      </w:pPr>
      <w:bookmarkStart w:id="292" w:name="_Toc514154317"/>
      <w:bookmarkStart w:id="293" w:name="_Toc514154184"/>
      <w:r>
        <w:rPr>
          <w:rFonts w:hint="eastAsia" w:ascii="宋体" w:hAnsi="宋体"/>
          <w:color w:val="auto"/>
          <w:sz w:val="24"/>
        </w:rPr>
        <w:t>1.5 （实质性要求）磋商过程独立、保密。供应商非法干预磋商过程的，其响应文件作无效处理。</w:t>
      </w:r>
      <w:bookmarkEnd w:id="292"/>
      <w:bookmarkEnd w:id="293"/>
    </w:p>
    <w:p>
      <w:pPr>
        <w:spacing w:line="440" w:lineRule="exact"/>
        <w:ind w:firstLine="480" w:firstLineChars="200"/>
        <w:rPr>
          <w:rFonts w:ascii="宋体" w:hAnsi="宋体"/>
          <w:color w:val="auto"/>
          <w:sz w:val="24"/>
        </w:rPr>
      </w:pPr>
    </w:p>
    <w:p>
      <w:pPr>
        <w:pStyle w:val="4"/>
        <w:keepNext w:val="0"/>
        <w:keepLines w:val="0"/>
        <w:spacing w:before="0" w:after="0" w:line="400" w:lineRule="exact"/>
        <w:ind w:firstLine="551" w:firstLineChars="196"/>
        <w:rPr>
          <w:rFonts w:hint="eastAsia" w:asciiTheme="majorEastAsia" w:hAnsiTheme="majorEastAsia" w:eastAsiaTheme="majorEastAsia" w:cstheme="majorEastAsia"/>
          <w:b/>
          <w:bCs/>
          <w:color w:val="auto"/>
          <w:sz w:val="28"/>
          <w:szCs w:val="22"/>
        </w:rPr>
      </w:pPr>
      <w:bookmarkStart w:id="294" w:name="_Toc514154185"/>
      <w:bookmarkStart w:id="295" w:name="_Toc531718443"/>
      <w:bookmarkStart w:id="296" w:name="_Toc514154318"/>
      <w:r>
        <w:rPr>
          <w:rFonts w:hint="eastAsia" w:asciiTheme="majorEastAsia" w:hAnsiTheme="majorEastAsia" w:eastAsiaTheme="majorEastAsia" w:cstheme="majorEastAsia"/>
          <w:b/>
          <w:bCs/>
          <w:color w:val="auto"/>
          <w:sz w:val="28"/>
          <w:szCs w:val="22"/>
        </w:rPr>
        <w:t>2.磋商程序</w:t>
      </w:r>
      <w:bookmarkEnd w:id="294"/>
      <w:bookmarkEnd w:id="295"/>
      <w:bookmarkEnd w:id="296"/>
    </w:p>
    <w:p>
      <w:pPr>
        <w:spacing w:line="440" w:lineRule="exact"/>
        <w:ind w:firstLine="480" w:firstLineChars="200"/>
        <w:rPr>
          <w:rFonts w:ascii="宋体" w:hAnsi="宋体"/>
          <w:color w:val="auto"/>
          <w:sz w:val="24"/>
        </w:rPr>
      </w:pPr>
      <w:bookmarkStart w:id="297" w:name="_Toc514154186"/>
      <w:bookmarkStart w:id="298" w:name="_Toc514154319"/>
      <w:r>
        <w:rPr>
          <w:rFonts w:hint="eastAsia" w:ascii="宋体" w:hAnsi="宋体"/>
          <w:color w:val="auto"/>
          <w:sz w:val="24"/>
        </w:rPr>
        <w:t>2.1审查磋商文件和停止评审。</w:t>
      </w:r>
      <w:bookmarkEnd w:id="297"/>
      <w:bookmarkEnd w:id="298"/>
    </w:p>
    <w:p>
      <w:pPr>
        <w:spacing w:line="440" w:lineRule="exact"/>
        <w:ind w:firstLine="480" w:firstLineChars="200"/>
        <w:rPr>
          <w:rFonts w:ascii="宋体" w:hAnsi="宋体"/>
          <w:color w:val="auto"/>
          <w:sz w:val="24"/>
        </w:rPr>
      </w:pPr>
      <w:bookmarkStart w:id="299" w:name="_Toc514154320"/>
      <w:bookmarkStart w:id="300" w:name="_Toc514154187"/>
      <w:r>
        <w:rPr>
          <w:rFonts w:hint="eastAsia" w:ascii="宋体" w:hAnsi="宋体"/>
          <w:color w:val="auto"/>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99"/>
      <w:bookmarkEnd w:id="300"/>
    </w:p>
    <w:p>
      <w:pPr>
        <w:spacing w:line="440" w:lineRule="exact"/>
        <w:ind w:firstLine="480" w:firstLineChars="200"/>
        <w:rPr>
          <w:rFonts w:ascii="宋体" w:hAnsi="宋体"/>
          <w:color w:val="auto"/>
          <w:sz w:val="24"/>
        </w:rPr>
      </w:pPr>
      <w:bookmarkStart w:id="301" w:name="_Toc514154321"/>
      <w:bookmarkStart w:id="302" w:name="_Toc514154188"/>
      <w:r>
        <w:rPr>
          <w:rFonts w:hint="eastAsia" w:ascii="宋体" w:hAnsi="宋体"/>
          <w:color w:val="auto"/>
          <w:sz w:val="24"/>
        </w:rPr>
        <w:t>2.1.2 本磋商文件有下列情形之一的，磋商小组应当停止评审：</w:t>
      </w:r>
      <w:bookmarkEnd w:id="301"/>
      <w:bookmarkEnd w:id="302"/>
    </w:p>
    <w:p>
      <w:pPr>
        <w:spacing w:line="440" w:lineRule="exact"/>
        <w:ind w:firstLine="480" w:firstLineChars="200"/>
        <w:rPr>
          <w:rFonts w:ascii="宋体" w:hAnsi="宋体"/>
          <w:color w:val="auto"/>
          <w:sz w:val="24"/>
        </w:rPr>
      </w:pPr>
      <w:bookmarkStart w:id="303" w:name="_Toc514154189"/>
      <w:bookmarkStart w:id="304" w:name="_Toc514154322"/>
      <w:r>
        <w:rPr>
          <w:rFonts w:hint="eastAsia" w:ascii="宋体" w:hAnsi="宋体"/>
          <w:color w:val="auto"/>
          <w:sz w:val="24"/>
        </w:rPr>
        <w:t>（1）磋商文件的规定存在歧义、重大缺陷的；</w:t>
      </w:r>
      <w:bookmarkEnd w:id="303"/>
      <w:bookmarkEnd w:id="304"/>
    </w:p>
    <w:p>
      <w:pPr>
        <w:spacing w:line="440" w:lineRule="exact"/>
        <w:ind w:firstLine="480" w:firstLineChars="200"/>
        <w:rPr>
          <w:rFonts w:ascii="宋体" w:hAnsi="宋体"/>
          <w:color w:val="auto"/>
          <w:sz w:val="24"/>
        </w:rPr>
      </w:pPr>
      <w:bookmarkStart w:id="305" w:name="_Toc514154190"/>
      <w:bookmarkStart w:id="306" w:name="_Toc514154323"/>
      <w:r>
        <w:rPr>
          <w:rFonts w:hint="eastAsia" w:ascii="宋体" w:hAnsi="宋体"/>
          <w:color w:val="auto"/>
          <w:sz w:val="24"/>
        </w:rPr>
        <w:t>（2）磋商文件明显以不合理条件对供应商实行差别待遇或者歧视待遇的；</w:t>
      </w:r>
      <w:bookmarkEnd w:id="305"/>
      <w:bookmarkEnd w:id="306"/>
    </w:p>
    <w:p>
      <w:pPr>
        <w:spacing w:line="440" w:lineRule="exact"/>
        <w:ind w:firstLine="480" w:firstLineChars="200"/>
        <w:rPr>
          <w:rFonts w:ascii="宋体" w:hAnsi="宋体"/>
          <w:color w:val="auto"/>
          <w:sz w:val="24"/>
        </w:rPr>
      </w:pPr>
      <w:bookmarkStart w:id="307" w:name="_Toc514154324"/>
      <w:bookmarkStart w:id="308" w:name="_Toc514154191"/>
      <w:r>
        <w:rPr>
          <w:rFonts w:hint="eastAsia" w:ascii="宋体" w:hAnsi="宋体"/>
          <w:color w:val="auto"/>
          <w:sz w:val="24"/>
        </w:rPr>
        <w:t>（3）采购项目属于国家规定的优先、强制采购范围，但是磋商文件未依法体现优先、强制采购相关规定的；</w:t>
      </w:r>
      <w:bookmarkEnd w:id="307"/>
      <w:bookmarkEnd w:id="308"/>
    </w:p>
    <w:p>
      <w:pPr>
        <w:spacing w:line="440" w:lineRule="exact"/>
        <w:ind w:firstLine="480" w:firstLineChars="200"/>
        <w:rPr>
          <w:rFonts w:ascii="宋体" w:hAnsi="宋体"/>
          <w:color w:val="auto"/>
          <w:sz w:val="24"/>
        </w:rPr>
      </w:pPr>
      <w:bookmarkStart w:id="309" w:name="_Toc514154325"/>
      <w:bookmarkStart w:id="310" w:name="_Toc514154192"/>
      <w:r>
        <w:rPr>
          <w:rFonts w:hint="eastAsia" w:ascii="宋体" w:hAnsi="宋体"/>
          <w:color w:val="auto"/>
          <w:sz w:val="24"/>
        </w:rPr>
        <w:t>（4）采购项目属于政府采购促进中小企业发展的范围，但是磋商文件未依法体现促进中小企业发展相关规定的；</w:t>
      </w:r>
      <w:bookmarkEnd w:id="309"/>
      <w:bookmarkEnd w:id="310"/>
    </w:p>
    <w:p>
      <w:pPr>
        <w:spacing w:line="440" w:lineRule="exact"/>
        <w:ind w:firstLine="480" w:firstLineChars="200"/>
        <w:rPr>
          <w:rFonts w:ascii="宋体" w:hAnsi="宋体"/>
          <w:color w:val="auto"/>
          <w:sz w:val="24"/>
        </w:rPr>
      </w:pPr>
      <w:bookmarkStart w:id="311" w:name="_Toc514154326"/>
      <w:bookmarkStart w:id="312" w:name="_Toc514154193"/>
      <w:r>
        <w:rPr>
          <w:rFonts w:hint="eastAsia" w:ascii="宋体" w:hAnsi="宋体"/>
          <w:color w:val="auto"/>
          <w:sz w:val="24"/>
        </w:rPr>
        <w:t>（5）磋商文件将供应商的资格条件列为评分因素的；</w:t>
      </w:r>
      <w:bookmarkEnd w:id="311"/>
      <w:bookmarkEnd w:id="312"/>
    </w:p>
    <w:p>
      <w:pPr>
        <w:spacing w:line="440" w:lineRule="exact"/>
        <w:ind w:firstLine="480" w:firstLineChars="200"/>
        <w:rPr>
          <w:rFonts w:ascii="宋体" w:hAnsi="宋体"/>
          <w:color w:val="auto"/>
          <w:sz w:val="24"/>
        </w:rPr>
      </w:pPr>
      <w:bookmarkStart w:id="313" w:name="_Toc514154327"/>
      <w:bookmarkStart w:id="314" w:name="_Toc514154194"/>
      <w:r>
        <w:rPr>
          <w:rFonts w:hint="eastAsia" w:ascii="宋体" w:hAnsi="宋体"/>
          <w:color w:val="auto"/>
          <w:sz w:val="24"/>
        </w:rPr>
        <w:t>（6）磋商文件载明的成交原则不合法的；</w:t>
      </w:r>
      <w:bookmarkEnd w:id="313"/>
      <w:bookmarkEnd w:id="314"/>
    </w:p>
    <w:p>
      <w:pPr>
        <w:spacing w:line="440" w:lineRule="exact"/>
        <w:ind w:firstLine="480" w:firstLineChars="200"/>
        <w:rPr>
          <w:rFonts w:ascii="宋体" w:hAnsi="宋体"/>
          <w:color w:val="auto"/>
          <w:sz w:val="24"/>
        </w:rPr>
      </w:pPr>
      <w:bookmarkStart w:id="315" w:name="_Toc514154328"/>
      <w:bookmarkStart w:id="316" w:name="_Toc514154195"/>
      <w:r>
        <w:rPr>
          <w:rFonts w:hint="eastAsia" w:ascii="宋体" w:hAnsi="宋体"/>
          <w:color w:val="auto"/>
          <w:sz w:val="24"/>
        </w:rPr>
        <w:t>（7）磋商文件有违反国家其他有关强制性规定的情形。</w:t>
      </w:r>
      <w:bookmarkEnd w:id="315"/>
      <w:bookmarkEnd w:id="316"/>
    </w:p>
    <w:p>
      <w:pPr>
        <w:spacing w:line="440" w:lineRule="exact"/>
        <w:ind w:firstLine="480" w:firstLineChars="200"/>
        <w:rPr>
          <w:rFonts w:ascii="宋体" w:hAnsi="宋体"/>
          <w:color w:val="auto"/>
          <w:sz w:val="24"/>
        </w:rPr>
      </w:pPr>
      <w:bookmarkStart w:id="317" w:name="_Toc514154196"/>
      <w:bookmarkStart w:id="318" w:name="_Toc514154329"/>
      <w:r>
        <w:rPr>
          <w:rFonts w:hint="eastAsia" w:ascii="宋体" w:hAnsi="宋体"/>
          <w:color w:val="auto"/>
          <w:sz w:val="24"/>
        </w:rPr>
        <w:t>2.1.3 出现本条2.1.2规定应当停止评审情形的，磋商小组应当向采购人书面说明情况。除本条规定的情形外，磋商小组不得以任何方式和理由停止评审。</w:t>
      </w:r>
      <w:bookmarkEnd w:id="317"/>
      <w:bookmarkEnd w:id="318"/>
    </w:p>
    <w:p>
      <w:pPr>
        <w:spacing w:line="440" w:lineRule="exact"/>
        <w:ind w:firstLine="480" w:firstLineChars="200"/>
        <w:rPr>
          <w:rFonts w:ascii="宋体" w:hAnsi="宋体"/>
          <w:color w:val="auto"/>
          <w:sz w:val="24"/>
        </w:rPr>
      </w:pPr>
      <w:bookmarkStart w:id="319" w:name="_Toc514154197"/>
      <w:bookmarkStart w:id="320" w:name="_Toc514154330"/>
      <w:r>
        <w:rPr>
          <w:rFonts w:hint="eastAsia" w:ascii="宋体" w:hAnsi="宋体"/>
          <w:color w:val="auto"/>
          <w:sz w:val="24"/>
        </w:rPr>
        <w:t>2.2资格性审查。</w:t>
      </w:r>
      <w:bookmarkEnd w:id="319"/>
      <w:bookmarkEnd w:id="320"/>
    </w:p>
    <w:p>
      <w:pPr>
        <w:spacing w:line="440" w:lineRule="exact"/>
        <w:ind w:firstLine="480" w:firstLineChars="200"/>
        <w:rPr>
          <w:rFonts w:ascii="宋体" w:hAnsi="宋体"/>
          <w:color w:val="auto"/>
          <w:sz w:val="24"/>
        </w:rPr>
      </w:pPr>
      <w:bookmarkStart w:id="321" w:name="_Toc514154198"/>
      <w:bookmarkStart w:id="322" w:name="_Toc514154331"/>
      <w:r>
        <w:rPr>
          <w:rFonts w:hint="eastAsia" w:ascii="宋体" w:hAnsi="宋体"/>
          <w:color w:val="auto"/>
          <w:sz w:val="24"/>
        </w:rPr>
        <w:t>2.2.1本项目需要磋商小组进行资格性检查。</w:t>
      </w:r>
      <w:bookmarkEnd w:id="321"/>
      <w:bookmarkEnd w:id="322"/>
    </w:p>
    <w:p>
      <w:pPr>
        <w:spacing w:line="440" w:lineRule="exact"/>
        <w:ind w:firstLine="480" w:firstLineChars="200"/>
        <w:rPr>
          <w:rFonts w:ascii="宋体" w:hAnsi="宋体"/>
          <w:color w:val="auto"/>
          <w:sz w:val="24"/>
        </w:rPr>
      </w:pPr>
      <w:bookmarkStart w:id="323" w:name="_Toc514154199"/>
      <w:bookmarkStart w:id="324" w:name="_Toc514154332"/>
      <w:r>
        <w:rPr>
          <w:rFonts w:hint="eastAsia" w:ascii="宋体" w:hAnsi="宋体"/>
          <w:color w:val="auto"/>
          <w:sz w:val="24"/>
        </w:rPr>
        <w:t>磋商小组应依据法律法规和磋商文件的规定，对响应文件是否按照规定要求提供资格性证明材料、是否属于禁止参加磋商的供应商等进行审查，以确定供应商是否具备磋商资格。</w:t>
      </w:r>
      <w:bookmarkEnd w:id="323"/>
      <w:bookmarkEnd w:id="324"/>
    </w:p>
    <w:p>
      <w:pPr>
        <w:spacing w:line="440" w:lineRule="exact"/>
        <w:ind w:firstLine="480" w:firstLineChars="200"/>
        <w:rPr>
          <w:rFonts w:ascii="宋体" w:hAnsi="宋体"/>
          <w:color w:val="auto"/>
          <w:sz w:val="24"/>
        </w:rPr>
      </w:pPr>
      <w:bookmarkStart w:id="325" w:name="_Toc514154333"/>
      <w:bookmarkStart w:id="326" w:name="_Toc514154200"/>
      <w:r>
        <w:rPr>
          <w:rFonts w:hint="eastAsia" w:ascii="宋体" w:hAnsi="宋体"/>
          <w:color w:val="auto"/>
          <w:sz w:val="24"/>
        </w:rPr>
        <w:t>2.2.2资格性审查结束后，磋商小组应当出具资格性审查报告，没有通过资格审查的供应商，磋商小组应当在资格审查报告中说明原因。</w:t>
      </w:r>
      <w:bookmarkEnd w:id="325"/>
      <w:bookmarkEnd w:id="326"/>
    </w:p>
    <w:p>
      <w:pPr>
        <w:spacing w:line="440" w:lineRule="exact"/>
        <w:ind w:firstLine="480" w:firstLineChars="200"/>
        <w:rPr>
          <w:rFonts w:hint="eastAsia" w:ascii="宋体" w:hAnsi="宋体"/>
          <w:color w:val="000000" w:themeColor="text1"/>
          <w:sz w:val="24"/>
          <w14:textFill>
            <w14:solidFill>
              <w14:schemeClr w14:val="tx1"/>
            </w14:solidFill>
          </w14:textFill>
        </w:rPr>
      </w:pPr>
      <w:bookmarkStart w:id="327" w:name="_Toc514154202"/>
      <w:bookmarkStart w:id="328" w:name="_Toc514154335"/>
      <w:r>
        <w:rPr>
          <w:rFonts w:hint="eastAsia" w:ascii="宋体" w:hAnsi="宋体"/>
          <w:color w:val="000000" w:themeColor="text1"/>
          <w:sz w:val="24"/>
          <w14:textFill>
            <w14:solidFill>
              <w14:schemeClr w14:val="tx1"/>
            </w14:solidFill>
          </w14:textFill>
        </w:rPr>
        <w:t>2.2.3磋商小组应依据磋商文件规定的实质性要求，对符合资格和响应文件进行有效性、完整性和实质性要求响应程度审查，以确定参加磋商的供应商名单。</w:t>
      </w:r>
    </w:p>
    <w:p>
      <w:pPr>
        <w:spacing w:line="440" w:lineRule="exact"/>
        <w:ind w:firstLine="480" w:firstLineChars="200"/>
        <w:rPr>
          <w:rFonts w:ascii="宋体" w:hAnsi="宋体"/>
          <w:color w:val="auto"/>
          <w:sz w:val="24"/>
        </w:rPr>
      </w:pPr>
      <w:r>
        <w:rPr>
          <w:rFonts w:hint="eastAsia" w:ascii="宋体" w:hAnsi="宋体"/>
          <w:color w:val="auto"/>
          <w:sz w:val="24"/>
        </w:rPr>
        <w:t>2.2.4采购人或者采购代理机构宣布未通过资格性审查的供应商名单时，应当告知供应商未通过审查的原因。</w:t>
      </w:r>
      <w:bookmarkEnd w:id="327"/>
      <w:bookmarkEnd w:id="328"/>
    </w:p>
    <w:p>
      <w:pPr>
        <w:spacing w:line="440" w:lineRule="exact"/>
        <w:ind w:firstLine="480" w:firstLineChars="200"/>
        <w:rPr>
          <w:rFonts w:hint="eastAsia" w:ascii="宋体" w:hAnsi="宋体" w:eastAsia="宋体"/>
          <w:color w:val="auto"/>
          <w:sz w:val="24"/>
          <w:lang w:eastAsia="zh-CN"/>
        </w:rPr>
      </w:pPr>
      <w:bookmarkStart w:id="329" w:name="_Toc514154336"/>
      <w:bookmarkStart w:id="330" w:name="_Toc514154203"/>
      <w:r>
        <w:rPr>
          <w:rFonts w:hint="eastAsia" w:ascii="宋体" w:hAnsi="宋体"/>
          <w:color w:val="auto"/>
          <w:sz w:val="24"/>
        </w:rPr>
        <w:t>2.3 通过资格性审查的供应商不足3家的，终止本次采购活动，并发布终止采购活动公告</w:t>
      </w:r>
      <w:bookmarkEnd w:id="329"/>
      <w:bookmarkEnd w:id="330"/>
      <w:r>
        <w:rPr>
          <w:rFonts w:hint="eastAsia" w:hAnsi="宋体"/>
          <w:color w:val="auto"/>
          <w:sz w:val="24"/>
          <w:lang w:eastAsia="zh-CN"/>
        </w:rPr>
        <w:t>（本章</w:t>
      </w:r>
      <w:r>
        <w:rPr>
          <w:rFonts w:hint="eastAsia" w:hAnsi="宋体"/>
          <w:color w:val="auto"/>
          <w:sz w:val="24"/>
          <w:lang w:val="en-US" w:eastAsia="zh-CN"/>
        </w:rPr>
        <w:t>2.3.1的情况除外</w:t>
      </w:r>
      <w:r>
        <w:rPr>
          <w:rFonts w:hint="eastAsia" w:hAnsi="宋体"/>
          <w:color w:val="auto"/>
          <w:sz w:val="24"/>
          <w:lang w:eastAsia="zh-CN"/>
        </w:rPr>
        <w:t>）。</w:t>
      </w:r>
    </w:p>
    <w:p>
      <w:pPr>
        <w:spacing w:line="440" w:lineRule="exact"/>
        <w:ind w:firstLine="480" w:firstLineChars="200"/>
        <w:rPr>
          <w:rFonts w:ascii="宋体" w:hAnsi="宋体"/>
          <w:color w:val="auto"/>
          <w:sz w:val="24"/>
        </w:rPr>
      </w:pPr>
      <w:r>
        <w:rPr>
          <w:rFonts w:hint="eastAsia" w:hAnsi="宋体"/>
          <w:color w:val="auto"/>
          <w:sz w:val="24"/>
          <w:lang w:val="en-US" w:eastAsia="zh-CN"/>
        </w:rPr>
        <w:t>2.3.1</w:t>
      </w:r>
      <w:r>
        <w:rPr>
          <w:rFonts w:hint="eastAsia" w:ascii="宋体" w:hAnsi="宋体"/>
          <w:color w:val="auto"/>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40" w:lineRule="exact"/>
        <w:ind w:firstLine="480" w:firstLineChars="200"/>
        <w:rPr>
          <w:rFonts w:ascii="宋体" w:hAnsi="宋体"/>
          <w:color w:val="auto"/>
          <w:sz w:val="24"/>
        </w:rPr>
      </w:pPr>
      <w:bookmarkStart w:id="331" w:name="_Toc514154204"/>
      <w:bookmarkStart w:id="332" w:name="_Toc514154337"/>
      <w:r>
        <w:rPr>
          <w:rFonts w:hint="eastAsia" w:ascii="宋体" w:hAnsi="宋体"/>
          <w:color w:val="auto"/>
          <w:sz w:val="24"/>
        </w:rPr>
        <w:t>2.4磋商。</w:t>
      </w:r>
      <w:bookmarkEnd w:id="331"/>
      <w:bookmarkEnd w:id="332"/>
    </w:p>
    <w:p>
      <w:pPr>
        <w:spacing w:line="440" w:lineRule="exact"/>
        <w:ind w:firstLine="480" w:firstLineChars="200"/>
        <w:rPr>
          <w:rFonts w:ascii="宋体" w:hAnsi="宋体"/>
          <w:color w:val="auto"/>
          <w:sz w:val="24"/>
        </w:rPr>
      </w:pPr>
      <w:bookmarkStart w:id="333" w:name="_Toc514154338"/>
      <w:bookmarkStart w:id="334" w:name="_Toc514154205"/>
      <w:r>
        <w:rPr>
          <w:rFonts w:hint="eastAsia" w:ascii="宋体" w:hAnsi="宋体"/>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333"/>
      <w:bookmarkEnd w:id="334"/>
    </w:p>
    <w:p>
      <w:pPr>
        <w:spacing w:line="440" w:lineRule="exact"/>
        <w:ind w:firstLine="480" w:firstLineChars="200"/>
        <w:rPr>
          <w:rFonts w:ascii="宋体" w:hAnsi="宋体"/>
          <w:color w:val="auto"/>
          <w:sz w:val="24"/>
        </w:rPr>
      </w:pPr>
      <w:bookmarkStart w:id="335" w:name="_Toc514154339"/>
      <w:bookmarkStart w:id="336" w:name="_Toc514154206"/>
      <w:r>
        <w:rPr>
          <w:rFonts w:hint="eastAsia" w:ascii="宋体" w:hAnsi="宋体"/>
          <w:color w:val="auto"/>
          <w:sz w:val="24"/>
        </w:rPr>
        <w:t>2.4.2每轮磋商开始前，磋商小组应根据磋商文件的规定，并结合各供应商的响应文件拟定磋商内容。</w:t>
      </w:r>
      <w:bookmarkEnd w:id="335"/>
      <w:bookmarkEnd w:id="336"/>
    </w:p>
    <w:p>
      <w:pPr>
        <w:spacing w:line="440" w:lineRule="exact"/>
        <w:ind w:firstLine="480" w:firstLineChars="200"/>
        <w:rPr>
          <w:rFonts w:ascii="宋体" w:hAnsi="宋体"/>
          <w:color w:val="auto"/>
          <w:sz w:val="24"/>
        </w:rPr>
      </w:pPr>
      <w:bookmarkStart w:id="337" w:name="_Toc514154207"/>
      <w:bookmarkStart w:id="338" w:name="_Toc514154340"/>
      <w:r>
        <w:rPr>
          <w:rFonts w:hint="eastAsia" w:ascii="宋体" w:hAnsi="宋体"/>
          <w:color w:val="auto"/>
          <w:sz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337"/>
      <w:bookmarkEnd w:id="338"/>
    </w:p>
    <w:p>
      <w:pPr>
        <w:spacing w:line="440" w:lineRule="exact"/>
        <w:ind w:firstLine="480" w:firstLineChars="200"/>
        <w:rPr>
          <w:rFonts w:ascii="宋体" w:hAnsi="宋体"/>
          <w:color w:val="auto"/>
          <w:sz w:val="24"/>
        </w:rPr>
      </w:pPr>
      <w:bookmarkStart w:id="339" w:name="_Toc514154341"/>
      <w:bookmarkStart w:id="340" w:name="_Toc514154208"/>
      <w:r>
        <w:rPr>
          <w:rFonts w:hint="eastAsia" w:ascii="宋体" w:hAnsi="宋体"/>
          <w:color w:val="auto"/>
          <w:sz w:val="24"/>
        </w:rPr>
        <w:t>2.4.4对磋商文件作出的实质性变动是磋商文件的有效组成部分，磋商小组应当及时以书面形式同时通知所有参加磋商的供应商。</w:t>
      </w:r>
      <w:bookmarkEnd w:id="339"/>
      <w:bookmarkEnd w:id="340"/>
    </w:p>
    <w:p>
      <w:pPr>
        <w:spacing w:line="440" w:lineRule="exact"/>
        <w:ind w:firstLine="480" w:firstLineChars="200"/>
        <w:rPr>
          <w:rFonts w:ascii="宋体" w:hAnsi="宋体"/>
          <w:color w:val="auto"/>
          <w:sz w:val="24"/>
        </w:rPr>
      </w:pPr>
      <w:bookmarkStart w:id="341" w:name="_Toc514154342"/>
      <w:bookmarkStart w:id="342" w:name="_Toc514154209"/>
      <w:r>
        <w:rPr>
          <w:rFonts w:hint="eastAsia" w:ascii="宋体" w:hAnsi="宋体"/>
          <w:color w:val="auto"/>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341"/>
      <w:bookmarkEnd w:id="342"/>
    </w:p>
    <w:p>
      <w:pPr>
        <w:spacing w:line="440" w:lineRule="exact"/>
        <w:ind w:firstLine="480" w:firstLineChars="200"/>
        <w:rPr>
          <w:rFonts w:ascii="宋体" w:hAnsi="宋体"/>
          <w:color w:val="auto"/>
          <w:sz w:val="24"/>
        </w:rPr>
      </w:pPr>
      <w:bookmarkStart w:id="343" w:name="_Toc514154343"/>
      <w:bookmarkStart w:id="344" w:name="_Toc514154210"/>
      <w:r>
        <w:rPr>
          <w:rFonts w:hint="eastAsia" w:ascii="宋体" w:hAnsi="宋体"/>
          <w:color w:val="auto"/>
          <w:sz w:val="24"/>
        </w:rPr>
        <w:t>2.4.6磋商过程中，磋商的任何一方不得透露与磋商有关的其他供应商的技术资料、价格和其他信息。</w:t>
      </w:r>
      <w:bookmarkEnd w:id="343"/>
      <w:bookmarkEnd w:id="344"/>
    </w:p>
    <w:p>
      <w:pPr>
        <w:spacing w:line="440" w:lineRule="exact"/>
        <w:ind w:firstLine="480" w:firstLineChars="200"/>
        <w:rPr>
          <w:rFonts w:ascii="宋体" w:hAnsi="宋体"/>
          <w:color w:val="auto"/>
          <w:sz w:val="24"/>
        </w:rPr>
      </w:pPr>
      <w:bookmarkStart w:id="345" w:name="_Toc514154211"/>
      <w:bookmarkStart w:id="346" w:name="_Toc514154344"/>
      <w:r>
        <w:rPr>
          <w:rFonts w:hint="eastAsia" w:ascii="宋体" w:hAnsi="宋体"/>
          <w:color w:val="auto"/>
          <w:sz w:val="24"/>
        </w:rPr>
        <w:t>2.4.7磋商过程中，磋商小组发现或者知晓供应商存在违法、违纪行为的，磋商小组应当将该供应商响应文件作无效处理，不允许其提交最后报价。</w:t>
      </w:r>
      <w:bookmarkEnd w:id="345"/>
      <w:bookmarkEnd w:id="346"/>
    </w:p>
    <w:p>
      <w:pPr>
        <w:spacing w:line="440" w:lineRule="exact"/>
        <w:ind w:firstLine="480" w:firstLineChars="200"/>
        <w:rPr>
          <w:rFonts w:ascii="宋体" w:hAnsi="宋体"/>
          <w:color w:val="auto"/>
          <w:sz w:val="24"/>
        </w:rPr>
      </w:pPr>
      <w:bookmarkStart w:id="347" w:name="_Toc514154212"/>
      <w:bookmarkStart w:id="348" w:name="_Toc514154345"/>
      <w:r>
        <w:rPr>
          <w:rFonts w:hint="eastAsia" w:ascii="宋体" w:hAnsi="宋体"/>
          <w:color w:val="auto"/>
          <w:sz w:val="24"/>
        </w:rPr>
        <w:t>2.4.8磋商完成后，磋商小组应出具磋商情况记录表，磋商情况记录表需包含磋商内容、磋商意见、实质性变动内容等。</w:t>
      </w:r>
      <w:bookmarkEnd w:id="347"/>
      <w:bookmarkEnd w:id="348"/>
    </w:p>
    <w:p>
      <w:pPr>
        <w:spacing w:line="440" w:lineRule="exact"/>
        <w:ind w:firstLine="480" w:firstLineChars="200"/>
        <w:rPr>
          <w:rFonts w:ascii="宋体" w:hAnsi="宋体"/>
          <w:color w:val="auto"/>
          <w:sz w:val="24"/>
        </w:rPr>
      </w:pPr>
      <w:r>
        <w:rPr>
          <w:rFonts w:hint="eastAsia" w:ascii="宋体" w:hAnsi="宋体"/>
          <w:color w:val="auto"/>
          <w:sz w:val="24"/>
        </w:rPr>
        <w:t>2.5最后报价。</w:t>
      </w:r>
    </w:p>
    <w:p>
      <w:pPr>
        <w:spacing w:line="440" w:lineRule="exact"/>
        <w:ind w:firstLine="480" w:firstLineChars="200"/>
        <w:rPr>
          <w:rFonts w:ascii="宋体" w:hAnsi="宋体"/>
          <w:color w:val="auto"/>
          <w:sz w:val="24"/>
        </w:rPr>
      </w:pPr>
      <w:r>
        <w:rPr>
          <w:rFonts w:hint="eastAsia" w:ascii="宋体" w:hAnsi="宋体"/>
          <w:color w:val="auto"/>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符合《政府采购竞争性磋商采购方式管理暂行办法》中的第三条第四项情形，提交最后报价的供应商可以为2家。</w:t>
      </w:r>
    </w:p>
    <w:p>
      <w:pPr>
        <w:spacing w:line="440" w:lineRule="exact"/>
        <w:ind w:firstLine="480" w:firstLineChars="200"/>
        <w:rPr>
          <w:rFonts w:ascii="宋体" w:hAnsi="宋体"/>
          <w:color w:val="auto"/>
          <w:sz w:val="24"/>
        </w:rPr>
      </w:pPr>
      <w:r>
        <w:rPr>
          <w:rFonts w:hint="eastAsia" w:ascii="宋体" w:hAnsi="宋体"/>
          <w:color w:val="auto"/>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40" w:lineRule="exact"/>
        <w:ind w:firstLine="480" w:firstLineChars="200"/>
        <w:rPr>
          <w:rFonts w:ascii="宋体" w:hAnsi="宋体"/>
          <w:color w:val="auto"/>
          <w:sz w:val="24"/>
        </w:rPr>
      </w:pPr>
      <w:r>
        <w:rPr>
          <w:rFonts w:hint="eastAsia" w:ascii="宋体" w:hAnsi="宋体"/>
          <w:color w:val="auto"/>
          <w:sz w:val="24"/>
        </w:rPr>
        <w:t>2.5.3供应商最后报价应当由法定代表人/主要负责人/本人或其授权代表签字确认或加盖公章。最后报价是供应商响应文件的有效组成部分。</w:t>
      </w:r>
    </w:p>
    <w:p>
      <w:pPr>
        <w:spacing w:line="440" w:lineRule="exact"/>
        <w:ind w:firstLine="480" w:firstLineChars="200"/>
        <w:rPr>
          <w:rFonts w:ascii="宋体" w:hAnsi="宋体"/>
          <w:color w:val="auto"/>
          <w:sz w:val="24"/>
        </w:rPr>
      </w:pPr>
      <w:r>
        <w:rPr>
          <w:rFonts w:hint="eastAsia" w:ascii="宋体" w:hAnsi="宋体"/>
          <w:color w:val="auto"/>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40" w:lineRule="exact"/>
        <w:ind w:firstLine="480" w:firstLineChars="200"/>
        <w:rPr>
          <w:rFonts w:ascii="宋体" w:hAnsi="宋体"/>
          <w:color w:val="auto"/>
          <w:sz w:val="24"/>
        </w:rPr>
      </w:pPr>
      <w:r>
        <w:rPr>
          <w:rFonts w:hint="eastAsia" w:ascii="宋体" w:hAnsi="宋体"/>
          <w:color w:val="auto"/>
          <w:sz w:val="24"/>
        </w:rPr>
        <w:t>2.6比较与评价。由磋商小组采用综合评分法对提交最后报价的供应商的响应文件和最后报价进行综合评分，具体要求详见本章综合评分部分。</w:t>
      </w:r>
    </w:p>
    <w:p>
      <w:pPr>
        <w:spacing w:line="440" w:lineRule="exact"/>
        <w:ind w:firstLine="480" w:firstLineChars="200"/>
        <w:rPr>
          <w:rFonts w:ascii="宋体" w:hAnsi="宋体"/>
          <w:color w:val="auto"/>
          <w:sz w:val="24"/>
        </w:rPr>
      </w:pPr>
      <w:r>
        <w:rPr>
          <w:rFonts w:hint="eastAsia" w:ascii="宋体" w:hAnsi="宋体"/>
          <w:color w:val="auto"/>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40" w:lineRule="exact"/>
        <w:ind w:firstLine="480" w:firstLineChars="200"/>
        <w:rPr>
          <w:rFonts w:ascii="宋体" w:hAnsi="宋体"/>
          <w:color w:val="auto"/>
          <w:sz w:val="24"/>
        </w:rPr>
      </w:pPr>
      <w:r>
        <w:rPr>
          <w:rFonts w:hint="eastAsia" w:ascii="宋体" w:hAnsi="宋体"/>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40" w:lineRule="exact"/>
        <w:ind w:firstLine="480" w:firstLineChars="200"/>
        <w:rPr>
          <w:rFonts w:ascii="宋体" w:hAnsi="宋体"/>
          <w:color w:val="auto"/>
          <w:sz w:val="24"/>
        </w:rPr>
      </w:pPr>
      <w:r>
        <w:rPr>
          <w:rFonts w:hint="eastAsia" w:ascii="宋体" w:hAnsi="宋体"/>
          <w:color w:val="auto"/>
          <w:sz w:val="24"/>
        </w:rPr>
        <w:t>2.9采购组织单位现场复核评审结果。</w:t>
      </w:r>
    </w:p>
    <w:p>
      <w:pPr>
        <w:spacing w:line="440" w:lineRule="exact"/>
        <w:ind w:firstLine="480" w:firstLineChars="200"/>
        <w:rPr>
          <w:rFonts w:ascii="宋体" w:hAnsi="宋体"/>
          <w:color w:val="auto"/>
          <w:sz w:val="24"/>
        </w:rPr>
      </w:pPr>
      <w:r>
        <w:rPr>
          <w:rFonts w:hint="eastAsia" w:ascii="宋体" w:hAnsi="宋体"/>
          <w:color w:val="auto"/>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40" w:lineRule="exact"/>
        <w:ind w:firstLine="480" w:firstLineChars="200"/>
        <w:rPr>
          <w:rFonts w:ascii="宋体" w:hAnsi="宋体"/>
          <w:color w:val="auto"/>
          <w:sz w:val="24"/>
        </w:rPr>
      </w:pPr>
      <w:r>
        <w:rPr>
          <w:rFonts w:hint="eastAsia" w:ascii="宋体" w:hAnsi="宋体"/>
          <w:color w:val="auto"/>
          <w:sz w:val="24"/>
        </w:rPr>
        <w:t>（1）资格性审查认定错误的；</w:t>
      </w:r>
    </w:p>
    <w:p>
      <w:pPr>
        <w:spacing w:line="440" w:lineRule="exact"/>
        <w:ind w:firstLine="480" w:firstLineChars="200"/>
        <w:rPr>
          <w:rFonts w:ascii="宋体" w:hAnsi="宋体"/>
          <w:color w:val="auto"/>
          <w:sz w:val="24"/>
        </w:rPr>
      </w:pPr>
      <w:r>
        <w:rPr>
          <w:rFonts w:hint="eastAsia" w:ascii="宋体" w:hAnsi="宋体"/>
          <w:color w:val="auto"/>
          <w:sz w:val="24"/>
        </w:rPr>
        <w:t>（2）分值汇总计算错误的；</w:t>
      </w:r>
    </w:p>
    <w:p>
      <w:pPr>
        <w:spacing w:line="440" w:lineRule="exact"/>
        <w:ind w:firstLine="480" w:firstLineChars="200"/>
        <w:rPr>
          <w:rFonts w:ascii="宋体" w:hAnsi="宋体"/>
          <w:color w:val="auto"/>
          <w:sz w:val="24"/>
        </w:rPr>
      </w:pPr>
      <w:r>
        <w:rPr>
          <w:rFonts w:hint="eastAsia" w:ascii="宋体" w:hAnsi="宋体"/>
          <w:color w:val="auto"/>
          <w:sz w:val="24"/>
        </w:rPr>
        <w:t>（3）分项评分超出评分标准范围的；</w:t>
      </w:r>
    </w:p>
    <w:p>
      <w:pPr>
        <w:spacing w:line="440" w:lineRule="exact"/>
        <w:ind w:firstLine="480" w:firstLineChars="200"/>
        <w:rPr>
          <w:rFonts w:ascii="宋体" w:hAnsi="宋体"/>
          <w:color w:val="auto"/>
          <w:sz w:val="24"/>
        </w:rPr>
      </w:pPr>
      <w:r>
        <w:rPr>
          <w:rFonts w:hint="eastAsia" w:ascii="宋体" w:hAnsi="宋体"/>
          <w:color w:val="auto"/>
          <w:sz w:val="24"/>
        </w:rPr>
        <w:t>（4）客观评分不一致的。</w:t>
      </w:r>
    </w:p>
    <w:p>
      <w:pPr>
        <w:spacing w:line="440" w:lineRule="exact"/>
        <w:ind w:firstLine="480" w:firstLineChars="200"/>
        <w:rPr>
          <w:rFonts w:ascii="宋体" w:hAnsi="宋体"/>
          <w:color w:val="auto"/>
          <w:sz w:val="24"/>
        </w:rPr>
      </w:pPr>
      <w:r>
        <w:rPr>
          <w:rFonts w:hint="eastAsia" w:ascii="宋体" w:hAnsi="宋体"/>
          <w:color w:val="auto"/>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40" w:lineRule="exact"/>
        <w:ind w:firstLine="480" w:firstLineChars="200"/>
        <w:rPr>
          <w:rFonts w:ascii="宋体" w:hAnsi="宋体"/>
          <w:color w:val="auto"/>
          <w:sz w:val="24"/>
        </w:rPr>
      </w:pPr>
      <w:r>
        <w:rPr>
          <w:rFonts w:hint="eastAsia" w:ascii="宋体" w:hAnsi="宋体"/>
          <w:color w:val="auto"/>
          <w:sz w:val="24"/>
        </w:rPr>
        <w:t>采购人/采购代理机构复核过程中，磋商小组成员不得离开评审现场。</w:t>
      </w:r>
    </w:p>
    <w:p>
      <w:pPr>
        <w:spacing w:line="440" w:lineRule="exact"/>
        <w:ind w:firstLine="480" w:firstLineChars="200"/>
        <w:rPr>
          <w:rFonts w:ascii="宋体" w:hAnsi="宋体"/>
          <w:color w:val="auto"/>
          <w:sz w:val="24"/>
        </w:rPr>
      </w:pPr>
      <w:r>
        <w:rPr>
          <w:rFonts w:hint="eastAsia" w:ascii="宋体" w:hAnsi="宋体"/>
          <w:color w:val="auto"/>
          <w:sz w:val="24"/>
        </w:rPr>
        <w:t>2.9.2有下列情形之一的，不得现场修改评审结果：</w:t>
      </w:r>
    </w:p>
    <w:p>
      <w:pPr>
        <w:spacing w:line="440" w:lineRule="exact"/>
        <w:ind w:firstLine="480" w:firstLineChars="200"/>
        <w:rPr>
          <w:rFonts w:ascii="宋体" w:hAnsi="宋体"/>
          <w:color w:val="auto"/>
          <w:sz w:val="24"/>
        </w:rPr>
      </w:pPr>
      <w:r>
        <w:rPr>
          <w:rFonts w:hint="eastAsia" w:ascii="宋体" w:hAnsi="宋体"/>
          <w:color w:val="auto"/>
          <w:sz w:val="24"/>
        </w:rPr>
        <w:t>（1）磋商小组已经出具磋商报告并且离开评审现场的；</w:t>
      </w:r>
    </w:p>
    <w:p>
      <w:pPr>
        <w:spacing w:line="440" w:lineRule="exact"/>
        <w:ind w:firstLine="480" w:firstLineChars="200"/>
        <w:rPr>
          <w:rFonts w:ascii="宋体" w:hAnsi="宋体"/>
          <w:color w:val="auto"/>
          <w:sz w:val="24"/>
        </w:rPr>
      </w:pPr>
      <w:r>
        <w:rPr>
          <w:rFonts w:hint="eastAsia" w:ascii="宋体" w:hAnsi="宋体"/>
          <w:color w:val="auto"/>
          <w:sz w:val="24"/>
        </w:rPr>
        <w:t>（2）采购人/采购代理机构现场复核时，复核工作人员数量不足的；</w:t>
      </w:r>
    </w:p>
    <w:p>
      <w:pPr>
        <w:spacing w:line="440" w:lineRule="exact"/>
        <w:ind w:firstLine="480" w:firstLineChars="200"/>
        <w:rPr>
          <w:rFonts w:ascii="宋体" w:hAnsi="宋体"/>
          <w:color w:val="auto"/>
          <w:sz w:val="24"/>
        </w:rPr>
      </w:pPr>
      <w:r>
        <w:rPr>
          <w:rFonts w:hint="eastAsia" w:ascii="宋体" w:hAnsi="宋体"/>
          <w:color w:val="auto"/>
          <w:sz w:val="24"/>
        </w:rPr>
        <w:t>（3）采购人/采购代理机构现场复核时，没有采购监督人员现场监督的；</w:t>
      </w:r>
    </w:p>
    <w:p>
      <w:pPr>
        <w:spacing w:line="440" w:lineRule="exact"/>
        <w:ind w:firstLine="480" w:firstLineChars="200"/>
        <w:rPr>
          <w:rFonts w:ascii="宋体" w:hAnsi="宋体"/>
          <w:color w:val="auto"/>
          <w:sz w:val="24"/>
        </w:rPr>
      </w:pPr>
      <w:r>
        <w:rPr>
          <w:rFonts w:hint="eastAsia" w:ascii="宋体" w:hAnsi="宋体"/>
          <w:color w:val="auto"/>
          <w:sz w:val="24"/>
        </w:rPr>
        <w:t>（4）采购人/采购代理机构现场复核内容超出规定范围的；</w:t>
      </w:r>
    </w:p>
    <w:p>
      <w:pPr>
        <w:spacing w:line="440" w:lineRule="exact"/>
        <w:ind w:firstLine="480" w:firstLineChars="200"/>
        <w:rPr>
          <w:rFonts w:ascii="宋体" w:hAnsi="宋体"/>
          <w:color w:val="auto"/>
          <w:sz w:val="24"/>
        </w:rPr>
      </w:pPr>
      <w:r>
        <w:rPr>
          <w:rFonts w:hint="eastAsia" w:ascii="宋体" w:hAnsi="宋体"/>
          <w:color w:val="auto"/>
          <w:sz w:val="24"/>
        </w:rPr>
        <w:t>（5）采购人/采购代理机构未提供书面建议的。</w:t>
      </w:r>
    </w:p>
    <w:p>
      <w:pPr>
        <w:spacing w:line="440" w:lineRule="exact"/>
        <w:ind w:firstLine="480" w:firstLineChars="200"/>
        <w:rPr>
          <w:rFonts w:ascii="宋体" w:hAnsi="宋体"/>
          <w:color w:val="auto"/>
          <w:sz w:val="24"/>
        </w:rPr>
      </w:pPr>
      <w:r>
        <w:rPr>
          <w:rFonts w:hint="eastAsia" w:ascii="宋体" w:hAnsi="宋体"/>
          <w:color w:val="auto"/>
          <w:sz w:val="24"/>
        </w:rPr>
        <w:t>2.10编写磋商报告。磋商小组推荐成交候选供应商后，应向采购人/采购代理机构出具磋商报告。磋商报告应当包括以下主要内容：</w:t>
      </w:r>
    </w:p>
    <w:p>
      <w:pPr>
        <w:spacing w:line="440" w:lineRule="exact"/>
        <w:ind w:firstLine="480" w:firstLineChars="200"/>
        <w:rPr>
          <w:rFonts w:ascii="宋体" w:hAnsi="宋体"/>
          <w:color w:val="auto"/>
          <w:sz w:val="24"/>
        </w:rPr>
      </w:pPr>
      <w:r>
        <w:rPr>
          <w:rFonts w:hint="eastAsia" w:ascii="宋体" w:hAnsi="宋体"/>
          <w:color w:val="auto"/>
          <w:sz w:val="24"/>
        </w:rPr>
        <w:t>（1）邀请供应商参加采购活动的具体方式和相关情况；</w:t>
      </w:r>
    </w:p>
    <w:p>
      <w:pPr>
        <w:spacing w:line="440" w:lineRule="exact"/>
        <w:ind w:firstLine="480" w:firstLineChars="200"/>
        <w:rPr>
          <w:rFonts w:ascii="宋体" w:hAnsi="宋体"/>
          <w:color w:val="auto"/>
          <w:sz w:val="24"/>
        </w:rPr>
      </w:pPr>
      <w:r>
        <w:rPr>
          <w:rFonts w:hint="eastAsia" w:ascii="宋体" w:hAnsi="宋体"/>
          <w:color w:val="auto"/>
          <w:sz w:val="24"/>
        </w:rPr>
        <w:t>（2）响应文件开启日期和地点；</w:t>
      </w:r>
    </w:p>
    <w:p>
      <w:pPr>
        <w:spacing w:line="440" w:lineRule="exact"/>
        <w:ind w:firstLine="480" w:firstLineChars="200"/>
        <w:rPr>
          <w:rFonts w:ascii="宋体" w:hAnsi="宋体"/>
          <w:color w:val="auto"/>
          <w:sz w:val="24"/>
        </w:rPr>
      </w:pPr>
      <w:r>
        <w:rPr>
          <w:rFonts w:hint="eastAsia" w:ascii="宋体" w:hAnsi="宋体"/>
          <w:color w:val="auto"/>
          <w:sz w:val="24"/>
        </w:rPr>
        <w:t>（3）获取磋商文件的供应商名单和磋商小组成员名单；</w:t>
      </w:r>
    </w:p>
    <w:p>
      <w:pPr>
        <w:spacing w:line="440" w:lineRule="exact"/>
        <w:ind w:firstLine="480" w:firstLineChars="200"/>
        <w:rPr>
          <w:rFonts w:ascii="宋体" w:hAnsi="宋体"/>
          <w:color w:val="auto"/>
          <w:sz w:val="24"/>
        </w:rPr>
      </w:pPr>
      <w:r>
        <w:rPr>
          <w:rFonts w:hint="eastAsia" w:ascii="宋体" w:hAnsi="宋体"/>
          <w:color w:val="auto"/>
          <w:sz w:val="24"/>
        </w:rPr>
        <w:t>（4）评审情况记录和说明，包括对供应商的资格审查情况、供应商响应文件审查情况、磋商情况、报价情况等；</w:t>
      </w:r>
    </w:p>
    <w:p>
      <w:pPr>
        <w:spacing w:line="440" w:lineRule="exact"/>
        <w:ind w:firstLine="480" w:firstLineChars="200"/>
        <w:rPr>
          <w:rFonts w:ascii="宋体" w:hAnsi="宋体"/>
          <w:color w:val="auto"/>
          <w:sz w:val="24"/>
        </w:rPr>
      </w:pPr>
      <w:r>
        <w:rPr>
          <w:rFonts w:hint="eastAsia" w:ascii="宋体" w:hAnsi="宋体"/>
          <w:color w:val="auto"/>
          <w:sz w:val="24"/>
        </w:rPr>
        <w:t>（5）提出的成交候选供应商的排序名单及理由。</w:t>
      </w:r>
    </w:p>
    <w:p>
      <w:pPr>
        <w:spacing w:line="440" w:lineRule="exact"/>
        <w:ind w:firstLine="480" w:firstLineChars="200"/>
        <w:rPr>
          <w:rFonts w:ascii="宋体" w:hAnsi="宋体"/>
          <w:color w:val="auto"/>
          <w:sz w:val="24"/>
        </w:rPr>
      </w:pPr>
      <w:r>
        <w:rPr>
          <w:rFonts w:hint="eastAsia" w:ascii="宋体" w:hAnsi="宋体"/>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40" w:lineRule="exact"/>
        <w:ind w:firstLine="480" w:firstLineChars="200"/>
        <w:rPr>
          <w:rFonts w:ascii="宋体" w:hAnsi="宋体"/>
          <w:color w:val="auto"/>
          <w:sz w:val="24"/>
        </w:rPr>
      </w:pPr>
      <w:r>
        <w:rPr>
          <w:rFonts w:hint="eastAsia" w:ascii="宋体" w:hAnsi="宋体"/>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40" w:lineRule="exact"/>
        <w:ind w:firstLine="480" w:firstLineChars="200"/>
        <w:rPr>
          <w:rFonts w:ascii="宋体" w:hAnsi="宋体"/>
          <w:color w:val="auto"/>
          <w:sz w:val="24"/>
        </w:rPr>
      </w:pPr>
      <w:r>
        <w:rPr>
          <w:rFonts w:hint="eastAsia" w:ascii="宋体" w:hAnsi="宋体"/>
          <w:color w:val="auto"/>
          <w:sz w:val="24"/>
        </w:rPr>
        <w:t>2.12供应商澄清、说明</w:t>
      </w:r>
    </w:p>
    <w:p>
      <w:pPr>
        <w:spacing w:line="440" w:lineRule="exact"/>
        <w:ind w:firstLine="480" w:firstLineChars="200"/>
        <w:rPr>
          <w:rFonts w:ascii="宋体" w:hAnsi="宋体"/>
          <w:color w:val="auto"/>
          <w:sz w:val="24"/>
        </w:rPr>
      </w:pPr>
      <w:r>
        <w:rPr>
          <w:rFonts w:hint="eastAsia" w:ascii="宋体" w:hAnsi="宋体"/>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olor w:val="auto"/>
          <w:sz w:val="24"/>
        </w:rPr>
      </w:pPr>
      <w:r>
        <w:rPr>
          <w:rFonts w:hint="eastAsia" w:ascii="宋体" w:hAnsi="宋体"/>
          <w:color w:val="auto"/>
          <w:sz w:val="24"/>
        </w:rPr>
        <w:t>2.12.2磋商小组要求供应商澄清、说明或者更正响应文件应当以书面形式作出。供应商的澄清、说明或者更正应当由法定代表人/主要负责人/本人或其授权代表签字或者加盖公章。</w:t>
      </w:r>
    </w:p>
    <w:p>
      <w:pPr>
        <w:spacing w:line="440" w:lineRule="exact"/>
        <w:ind w:firstLine="480" w:firstLineChars="200"/>
        <w:rPr>
          <w:rFonts w:ascii="宋体" w:hAnsi="宋体"/>
          <w:color w:val="auto"/>
          <w:sz w:val="24"/>
        </w:rPr>
      </w:pPr>
      <w:r>
        <w:rPr>
          <w:rFonts w:hint="eastAsia" w:ascii="宋体" w:hAnsi="宋体"/>
          <w:color w:val="auto"/>
          <w:sz w:val="24"/>
        </w:rPr>
        <w:t>2.13终止磋商采购活动。</w:t>
      </w:r>
    </w:p>
    <w:p>
      <w:pPr>
        <w:spacing w:line="440" w:lineRule="exact"/>
        <w:ind w:firstLine="480" w:firstLineChars="200"/>
        <w:rPr>
          <w:rFonts w:ascii="宋体" w:hAnsi="宋体"/>
          <w:color w:val="auto"/>
          <w:sz w:val="24"/>
        </w:rPr>
      </w:pPr>
      <w:r>
        <w:rPr>
          <w:rFonts w:hint="eastAsia" w:ascii="宋体" w:hAnsi="宋体"/>
          <w:color w:val="auto"/>
          <w:sz w:val="24"/>
        </w:rPr>
        <w:t>出现下列情形之一的，采购人或者采购代理机构应当终止竞争性磋商采购活动，发布项目终止公告并说明原因，重新开展采购活动：</w:t>
      </w:r>
    </w:p>
    <w:p>
      <w:pPr>
        <w:spacing w:line="440" w:lineRule="exact"/>
        <w:ind w:firstLine="480" w:firstLineChars="200"/>
        <w:rPr>
          <w:rFonts w:ascii="宋体" w:hAnsi="宋体"/>
          <w:color w:val="auto"/>
          <w:sz w:val="24"/>
        </w:rPr>
      </w:pPr>
      <w:r>
        <w:rPr>
          <w:rFonts w:hint="eastAsia" w:ascii="宋体" w:hAnsi="宋体"/>
          <w:color w:val="auto"/>
          <w:sz w:val="24"/>
        </w:rPr>
        <w:t>（1）因情况变化，不再符合规定的竞争性磋商采购方式适用情形的；</w:t>
      </w:r>
    </w:p>
    <w:p>
      <w:pPr>
        <w:spacing w:line="440" w:lineRule="exact"/>
        <w:ind w:firstLine="480" w:firstLineChars="200"/>
        <w:rPr>
          <w:rFonts w:ascii="宋体" w:hAnsi="宋体"/>
          <w:color w:val="auto"/>
          <w:sz w:val="24"/>
        </w:rPr>
      </w:pPr>
      <w:r>
        <w:rPr>
          <w:rFonts w:hint="eastAsia" w:ascii="宋体" w:hAnsi="宋体"/>
          <w:color w:val="auto"/>
          <w:sz w:val="24"/>
        </w:rPr>
        <w:t>（2）出现影响采购公正的违法、违规行为的；</w:t>
      </w:r>
    </w:p>
    <w:p>
      <w:pPr>
        <w:spacing w:line="440" w:lineRule="exact"/>
        <w:ind w:firstLine="480" w:firstLineChars="200"/>
        <w:rPr>
          <w:rFonts w:ascii="宋体" w:hAnsi="宋体"/>
          <w:color w:val="auto"/>
          <w:sz w:val="24"/>
        </w:rPr>
      </w:pPr>
      <w:r>
        <w:rPr>
          <w:rFonts w:hint="eastAsia" w:ascii="宋体" w:hAnsi="宋体"/>
          <w:color w:val="auto"/>
          <w:sz w:val="24"/>
        </w:rPr>
        <w:t>（3）在采购过程中符合要求的供应商或者报价未超过采购预算的供应商不足3家的。</w:t>
      </w:r>
    </w:p>
    <w:p>
      <w:pPr>
        <w:spacing w:line="400" w:lineRule="exact"/>
        <w:ind w:firstLine="480" w:firstLineChars="200"/>
        <w:rPr>
          <w:rFonts w:ascii="宋体"/>
          <w:color w:val="auto"/>
          <w:sz w:val="24"/>
        </w:rPr>
      </w:pPr>
    </w:p>
    <w:p>
      <w:pPr>
        <w:pStyle w:val="4"/>
        <w:keepNext w:val="0"/>
        <w:keepLines w:val="0"/>
        <w:spacing w:before="0" w:after="0" w:line="400" w:lineRule="exact"/>
        <w:ind w:firstLine="551" w:firstLineChars="196"/>
        <w:rPr>
          <w:rFonts w:hint="eastAsia" w:asciiTheme="majorEastAsia" w:hAnsiTheme="majorEastAsia" w:eastAsiaTheme="majorEastAsia" w:cstheme="majorEastAsia"/>
          <w:b/>
          <w:bCs/>
          <w:color w:val="auto"/>
          <w:sz w:val="28"/>
          <w:szCs w:val="22"/>
        </w:rPr>
      </w:pPr>
      <w:bookmarkStart w:id="349" w:name="_Toc531718444"/>
      <w:r>
        <w:rPr>
          <w:rFonts w:hint="eastAsia" w:asciiTheme="majorEastAsia" w:hAnsiTheme="majorEastAsia" w:eastAsiaTheme="majorEastAsia" w:cstheme="majorEastAsia"/>
          <w:b/>
          <w:bCs/>
          <w:color w:val="auto"/>
          <w:sz w:val="28"/>
          <w:szCs w:val="22"/>
        </w:rPr>
        <w:t>3.综合评分</w:t>
      </w:r>
      <w:bookmarkEnd w:id="349"/>
    </w:p>
    <w:p>
      <w:pPr>
        <w:spacing w:line="440" w:lineRule="exact"/>
        <w:ind w:firstLine="480" w:firstLineChars="200"/>
        <w:rPr>
          <w:rFonts w:ascii="宋体" w:hAnsi="宋体"/>
          <w:color w:val="auto"/>
          <w:sz w:val="24"/>
        </w:rPr>
      </w:pPr>
      <w:r>
        <w:rPr>
          <w:rFonts w:hint="eastAsia" w:ascii="宋体" w:hAnsi="宋体"/>
          <w:color w:val="auto"/>
          <w:sz w:val="24"/>
        </w:rPr>
        <w:t>3.1本次综合评分的因素是：报价、技术、服务、其它商务等。</w:t>
      </w:r>
    </w:p>
    <w:p>
      <w:pPr>
        <w:spacing w:line="440" w:lineRule="exact"/>
        <w:ind w:firstLine="480" w:firstLineChars="200"/>
        <w:rPr>
          <w:rFonts w:ascii="宋体" w:hAnsi="宋体"/>
          <w:color w:val="auto"/>
          <w:sz w:val="24"/>
        </w:rPr>
      </w:pPr>
      <w:r>
        <w:rPr>
          <w:rFonts w:hint="eastAsia" w:ascii="宋体" w:hAnsi="宋体"/>
          <w:color w:val="auto"/>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440" w:lineRule="exact"/>
        <w:ind w:firstLine="480" w:firstLineChars="200"/>
        <w:rPr>
          <w:rFonts w:ascii="宋体" w:hAnsi="宋体"/>
          <w:color w:val="auto"/>
          <w:sz w:val="24"/>
        </w:rPr>
      </w:pPr>
      <w:r>
        <w:rPr>
          <w:rFonts w:hint="eastAsia" w:ascii="宋体" w:hAnsi="宋体"/>
          <w:color w:val="auto"/>
          <w:sz w:val="24"/>
        </w:rPr>
        <w:t>3.3综合评分明细表</w:t>
      </w:r>
    </w:p>
    <w:p>
      <w:pPr>
        <w:spacing w:line="440" w:lineRule="exact"/>
        <w:ind w:firstLine="480" w:firstLineChars="200"/>
        <w:rPr>
          <w:rFonts w:ascii="宋体" w:hAnsi="宋体"/>
          <w:color w:val="auto"/>
          <w:sz w:val="24"/>
        </w:rPr>
        <w:sectPr>
          <w:footerReference r:id="rId18" w:type="default"/>
          <w:pgSz w:w="11907"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olor w:val="auto"/>
          <w:sz w:val="24"/>
        </w:rPr>
        <w:t>3.3.1综合评分明细表的制定以科学合理、降低评委会自由裁量权为原则。</w:t>
      </w:r>
    </w:p>
    <w:p>
      <w:pPr>
        <w:spacing w:line="440" w:lineRule="exact"/>
        <w:ind w:firstLine="480" w:firstLineChars="200"/>
        <w:rPr>
          <w:rFonts w:ascii="宋体" w:hAnsi="宋体"/>
          <w:color w:val="auto"/>
          <w:sz w:val="24"/>
        </w:rPr>
      </w:pPr>
      <w:bookmarkStart w:id="350" w:name="_Toc514154213"/>
      <w:bookmarkStart w:id="351" w:name="_Toc514154346"/>
      <w:r>
        <w:rPr>
          <w:rFonts w:hint="eastAsia" w:ascii="宋体" w:hAnsi="宋体"/>
          <w:color w:val="auto"/>
          <w:sz w:val="24"/>
        </w:rPr>
        <w:t>3.3.2</w:t>
      </w:r>
      <w:bookmarkStart w:id="352" w:name="_Hlk530471247"/>
      <w:r>
        <w:rPr>
          <w:rFonts w:hint="eastAsia" w:ascii="宋体" w:hAnsi="宋体"/>
          <w:color w:val="auto"/>
          <w:sz w:val="24"/>
        </w:rPr>
        <w:t>综合评分明细表</w:t>
      </w:r>
      <w:bookmarkEnd w:id="350"/>
      <w:bookmarkEnd w:id="351"/>
    </w:p>
    <w:bookmarkEnd w:id="352"/>
    <w:tbl>
      <w:tblPr>
        <w:tblStyle w:val="32"/>
        <w:tblW w:w="9225" w:type="dxa"/>
        <w:tblInd w:w="-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1549"/>
        <w:gridCol w:w="945"/>
        <w:gridCol w:w="4155"/>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tcPr>
          <w:p>
            <w:pPr>
              <w:pStyle w:val="107"/>
              <w:rPr>
                <w:rFonts w:hint="eastAsia" w:ascii="宋体" w:hAnsi="宋体" w:eastAsia="宋体" w:cs="宋体"/>
                <w:sz w:val="24"/>
                <w:szCs w:val="24"/>
              </w:rPr>
            </w:pPr>
          </w:p>
          <w:p>
            <w:pPr>
              <w:pStyle w:val="107"/>
              <w:ind w:left="143" w:right="133"/>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49" w:type="dxa"/>
          </w:tcPr>
          <w:p>
            <w:pPr>
              <w:pStyle w:val="107"/>
              <w:spacing w:before="1"/>
              <w:ind w:left="119" w:right="109"/>
              <w:jc w:val="center"/>
              <w:rPr>
                <w:rFonts w:hint="eastAsia" w:ascii="宋体" w:hAnsi="宋体" w:eastAsia="宋体" w:cs="宋体"/>
                <w:b/>
                <w:sz w:val="24"/>
                <w:szCs w:val="24"/>
              </w:rPr>
            </w:pPr>
            <w:r>
              <w:rPr>
                <w:rFonts w:hint="eastAsia" w:ascii="宋体" w:hAnsi="宋体" w:eastAsia="宋体" w:cs="宋体"/>
                <w:b/>
                <w:sz w:val="24"/>
                <w:szCs w:val="24"/>
              </w:rPr>
              <w:t>评分因素</w:t>
            </w:r>
          </w:p>
          <w:p>
            <w:pPr>
              <w:pStyle w:val="107"/>
              <w:spacing w:before="139"/>
              <w:ind w:left="119" w:right="109"/>
              <w:jc w:val="center"/>
              <w:rPr>
                <w:rFonts w:hint="eastAsia" w:ascii="宋体" w:hAnsi="宋体" w:eastAsia="宋体" w:cs="宋体"/>
                <w:b/>
                <w:sz w:val="24"/>
                <w:szCs w:val="24"/>
              </w:rPr>
            </w:pPr>
            <w:r>
              <w:rPr>
                <w:rFonts w:hint="eastAsia" w:ascii="宋体" w:hAnsi="宋体" w:eastAsia="宋体" w:cs="宋体"/>
                <w:b/>
                <w:sz w:val="24"/>
                <w:szCs w:val="24"/>
              </w:rPr>
              <w:t>及权重</w:t>
            </w:r>
          </w:p>
        </w:tc>
        <w:tc>
          <w:tcPr>
            <w:tcW w:w="945" w:type="dxa"/>
          </w:tcPr>
          <w:p>
            <w:pPr>
              <w:pStyle w:val="107"/>
              <w:rPr>
                <w:rFonts w:hint="eastAsia" w:ascii="宋体" w:hAnsi="宋体" w:eastAsia="宋体" w:cs="宋体"/>
                <w:sz w:val="24"/>
                <w:szCs w:val="24"/>
              </w:rPr>
            </w:pPr>
          </w:p>
          <w:p>
            <w:pPr>
              <w:pStyle w:val="107"/>
              <w:ind w:left="171"/>
              <w:rPr>
                <w:rFonts w:hint="eastAsia" w:ascii="宋体" w:hAnsi="宋体" w:eastAsia="宋体" w:cs="宋体"/>
                <w:b/>
                <w:sz w:val="24"/>
                <w:szCs w:val="24"/>
              </w:rPr>
            </w:pPr>
            <w:r>
              <w:rPr>
                <w:rFonts w:hint="eastAsia" w:ascii="宋体" w:hAnsi="宋体" w:eastAsia="宋体" w:cs="宋体"/>
                <w:b/>
                <w:sz w:val="24"/>
                <w:szCs w:val="24"/>
              </w:rPr>
              <w:t>分值</w:t>
            </w:r>
          </w:p>
        </w:tc>
        <w:tc>
          <w:tcPr>
            <w:tcW w:w="4155" w:type="dxa"/>
          </w:tcPr>
          <w:p>
            <w:pPr>
              <w:pStyle w:val="107"/>
              <w:rPr>
                <w:rFonts w:hint="eastAsia" w:ascii="宋体" w:hAnsi="宋体" w:eastAsia="宋体" w:cs="宋体"/>
                <w:sz w:val="24"/>
                <w:szCs w:val="24"/>
              </w:rPr>
            </w:pPr>
          </w:p>
          <w:p>
            <w:pPr>
              <w:pStyle w:val="107"/>
              <w:ind w:left="1696" w:right="1684"/>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2055" w:type="dxa"/>
          </w:tcPr>
          <w:p>
            <w:pPr>
              <w:pStyle w:val="107"/>
              <w:rPr>
                <w:rFonts w:hint="eastAsia" w:ascii="宋体" w:hAnsi="宋体" w:eastAsia="宋体" w:cs="宋体"/>
                <w:sz w:val="24"/>
                <w:szCs w:val="24"/>
              </w:rPr>
            </w:pPr>
          </w:p>
          <w:p>
            <w:pPr>
              <w:pStyle w:val="107"/>
              <w:tabs>
                <w:tab w:val="left" w:pos="1368"/>
              </w:tabs>
              <w:ind w:left="737"/>
              <w:rPr>
                <w:rFonts w:hint="eastAsia" w:ascii="宋体" w:hAnsi="宋体" w:eastAsia="宋体" w:cs="宋体"/>
                <w:b/>
                <w:sz w:val="24"/>
                <w:szCs w:val="24"/>
              </w:rPr>
            </w:pPr>
            <w:r>
              <w:rPr>
                <w:rFonts w:hint="eastAsia" w:ascii="宋体" w:hAnsi="宋体" w:eastAsia="宋体" w:cs="宋体"/>
                <w:b/>
                <w:sz w:val="24"/>
                <w:szCs w:val="24"/>
              </w:rPr>
              <w:t>说</w:t>
            </w:r>
            <w:r>
              <w:rPr>
                <w:rFonts w:hint="eastAsia" w:ascii="宋体" w:hAnsi="宋体" w:eastAsia="宋体" w:cs="宋体"/>
                <w:b/>
                <w:sz w:val="24"/>
                <w:szCs w:val="24"/>
              </w:rPr>
              <w:tab/>
            </w:r>
            <w:r>
              <w:rPr>
                <w:rFonts w:hint="eastAsia" w:ascii="宋体" w:hAnsi="宋体" w:eastAsia="宋体" w:cs="宋体"/>
                <w:b/>
                <w:sz w:val="24"/>
                <w:szCs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9"/>
              <w:rPr>
                <w:rFonts w:hint="eastAsia" w:ascii="宋体" w:hAnsi="宋体" w:eastAsia="宋体" w:cs="宋体"/>
                <w:sz w:val="24"/>
                <w:szCs w:val="24"/>
              </w:rPr>
            </w:pPr>
          </w:p>
          <w:p>
            <w:pPr>
              <w:pStyle w:val="107"/>
              <w:ind w:left="6"/>
              <w:jc w:val="center"/>
              <w:rPr>
                <w:rFonts w:hint="eastAsia" w:ascii="宋体" w:hAnsi="宋体" w:eastAsia="宋体" w:cs="宋体"/>
                <w:sz w:val="24"/>
                <w:szCs w:val="24"/>
              </w:rPr>
            </w:pPr>
            <w:r>
              <w:rPr>
                <w:rFonts w:hint="eastAsia" w:ascii="宋体" w:hAnsi="宋体" w:eastAsia="宋体" w:cs="宋体"/>
                <w:w w:val="99"/>
                <w:sz w:val="24"/>
                <w:szCs w:val="24"/>
              </w:rPr>
              <w:t>1</w:t>
            </w:r>
          </w:p>
        </w:tc>
        <w:tc>
          <w:tcPr>
            <w:tcW w:w="1549"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7"/>
              <w:rPr>
                <w:rFonts w:hint="eastAsia" w:ascii="宋体" w:hAnsi="宋体" w:eastAsia="宋体" w:cs="宋体"/>
                <w:sz w:val="24"/>
                <w:szCs w:val="24"/>
              </w:rPr>
            </w:pPr>
          </w:p>
          <w:p>
            <w:pPr>
              <w:pStyle w:val="107"/>
              <w:spacing w:line="364" w:lineRule="auto"/>
              <w:ind w:left="436" w:right="426"/>
              <w:jc w:val="both"/>
              <w:rPr>
                <w:rFonts w:hint="eastAsia" w:ascii="宋体" w:hAnsi="宋体" w:eastAsia="宋体" w:cs="宋体"/>
                <w:sz w:val="24"/>
                <w:szCs w:val="24"/>
              </w:rPr>
            </w:pPr>
            <w:r>
              <w:rPr>
                <w:rFonts w:hint="eastAsia" w:ascii="宋体" w:hAnsi="宋体" w:eastAsia="宋体" w:cs="宋体"/>
                <w:sz w:val="24"/>
                <w:szCs w:val="24"/>
              </w:rPr>
              <w:t>报价</w:t>
            </w:r>
            <w:r>
              <w:rPr>
                <w:rFonts w:hint="eastAsia" w:cs="宋体"/>
                <w:sz w:val="24"/>
                <w:szCs w:val="24"/>
                <w:lang w:val="en-US" w:eastAsia="zh-CN"/>
              </w:rPr>
              <w:t>10</w:t>
            </w:r>
            <w:r>
              <w:rPr>
                <w:rFonts w:hint="eastAsia" w:ascii="宋体" w:hAnsi="宋体" w:eastAsia="宋体" w:cs="宋体"/>
                <w:sz w:val="24"/>
                <w:szCs w:val="24"/>
              </w:rPr>
              <w:t>%</w:t>
            </w:r>
          </w:p>
        </w:tc>
        <w:tc>
          <w:tcPr>
            <w:tcW w:w="945"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9"/>
              <w:rPr>
                <w:rFonts w:hint="eastAsia" w:ascii="宋体" w:hAnsi="宋体" w:eastAsia="宋体" w:cs="宋体"/>
                <w:sz w:val="24"/>
                <w:szCs w:val="24"/>
              </w:rPr>
            </w:pPr>
          </w:p>
          <w:p>
            <w:pPr>
              <w:pStyle w:val="107"/>
              <w:ind w:left="171"/>
              <w:rPr>
                <w:rFonts w:hint="eastAsia" w:ascii="宋体" w:hAnsi="宋体" w:eastAsia="宋体" w:cs="宋体"/>
                <w:sz w:val="24"/>
                <w:szCs w:val="24"/>
              </w:rPr>
            </w:pPr>
            <w:r>
              <w:rPr>
                <w:rFonts w:hint="eastAsia" w:cs="宋体"/>
                <w:sz w:val="24"/>
                <w:szCs w:val="24"/>
                <w:lang w:val="en-US" w:eastAsia="zh-CN"/>
              </w:rPr>
              <w:t>10</w:t>
            </w:r>
            <w:r>
              <w:rPr>
                <w:rFonts w:hint="eastAsia" w:ascii="宋体" w:hAnsi="宋体" w:eastAsia="宋体" w:cs="宋体"/>
                <w:sz w:val="24"/>
                <w:szCs w:val="24"/>
              </w:rPr>
              <w:t>分</w:t>
            </w:r>
          </w:p>
        </w:tc>
        <w:tc>
          <w:tcPr>
            <w:tcW w:w="4155" w:type="dxa"/>
          </w:tcPr>
          <w:p>
            <w:pPr>
              <w:pStyle w:val="107"/>
              <w:rPr>
                <w:rFonts w:hint="eastAsia" w:ascii="宋体" w:hAnsi="宋体" w:eastAsia="宋体" w:cs="宋体"/>
                <w:sz w:val="24"/>
                <w:szCs w:val="24"/>
              </w:rPr>
            </w:pPr>
          </w:p>
          <w:p>
            <w:pPr>
              <w:pStyle w:val="107"/>
              <w:spacing w:line="364" w:lineRule="auto"/>
              <w:ind w:right="166"/>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满</w:t>
            </w:r>
            <w:r>
              <w:rPr>
                <w:rFonts w:hint="eastAsia" w:ascii="宋体" w:hAnsi="宋体" w:eastAsia="宋体" w:cs="宋体"/>
                <w:color w:val="auto"/>
                <w:sz w:val="24"/>
                <w:szCs w:val="24"/>
                <w:highlight w:val="none"/>
              </w:rPr>
              <w:t xml:space="preserve">足磋商文件要求且最终有效报价最低的投标人的报价为投标基准价，其价格分为满分。其他投标人的价格分统一按照下列公式计算：投标报价得分=(投标基准价／投标报价)* </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2055" w:type="dxa"/>
          </w:tcPr>
          <w:p>
            <w:pPr>
              <w:pStyle w:val="107"/>
              <w:spacing w:line="266" w:lineRule="exact"/>
              <w:rPr>
                <w:rFonts w:hint="eastAsia" w:ascii="宋体" w:hAnsi="宋体" w:eastAsia="宋体" w:cs="宋体"/>
                <w:b/>
                <w:sz w:val="24"/>
                <w:szCs w:val="24"/>
              </w:rPr>
            </w:pPr>
            <w:r>
              <w:rPr>
                <w:rFonts w:hint="eastAsia" w:ascii="宋体" w:hAnsi="宋体" w:eastAsia="宋体" w:cs="宋体"/>
                <w:b/>
                <w:sz w:val="24"/>
                <w:szCs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vAlign w:val="center"/>
          </w:tcPr>
          <w:p>
            <w:pPr>
              <w:pStyle w:val="107"/>
              <w:ind w:left="6"/>
              <w:jc w:val="center"/>
              <w:rPr>
                <w:rFonts w:hint="eastAsia" w:ascii="宋体" w:hAnsi="宋体" w:eastAsia="宋体" w:cs="宋体"/>
                <w:w w:val="99"/>
                <w:sz w:val="24"/>
                <w:szCs w:val="24"/>
                <w:lang w:val="en-US" w:eastAsia="zh-CN"/>
              </w:rPr>
            </w:pPr>
            <w:r>
              <w:rPr>
                <w:rFonts w:hint="eastAsia" w:cs="宋体"/>
                <w:w w:val="99"/>
                <w:sz w:val="24"/>
                <w:szCs w:val="24"/>
                <w:lang w:val="en-US" w:eastAsia="zh-CN"/>
              </w:rPr>
              <w:t>2</w:t>
            </w:r>
          </w:p>
        </w:tc>
        <w:tc>
          <w:tcPr>
            <w:tcW w:w="1549" w:type="dxa"/>
            <w:vAlign w:val="center"/>
          </w:tcPr>
          <w:p>
            <w:pPr>
              <w:autoSpaceDE w:val="0"/>
              <w:jc w:val="center"/>
              <w:rPr>
                <w:rFonts w:hint="eastAsia" w:hAnsi="宋体" w:cs="宋体"/>
                <w:sz w:val="24"/>
                <w:lang w:val="en-US" w:eastAsia="zh-CN"/>
              </w:rPr>
            </w:pPr>
            <w:r>
              <w:rPr>
                <w:rFonts w:hint="eastAsia" w:hAnsi="宋体" w:cs="宋体"/>
                <w:sz w:val="24"/>
                <w:lang w:val="en-US" w:eastAsia="zh-CN"/>
              </w:rPr>
              <w:t>技术参</w:t>
            </w:r>
          </w:p>
          <w:p>
            <w:pPr>
              <w:autoSpaceDE w:val="0"/>
              <w:jc w:val="center"/>
              <w:rPr>
                <w:rFonts w:hint="eastAsia" w:hAnsi="宋体" w:cs="宋体"/>
                <w:sz w:val="24"/>
                <w:lang w:val="en-US" w:eastAsia="zh-CN"/>
              </w:rPr>
            </w:pPr>
            <w:r>
              <w:rPr>
                <w:rFonts w:hint="eastAsia" w:hAnsi="宋体" w:cs="宋体"/>
                <w:sz w:val="24"/>
                <w:lang w:val="en-US" w:eastAsia="zh-CN"/>
              </w:rPr>
              <w:t>数要求</w:t>
            </w:r>
          </w:p>
          <w:p>
            <w:pPr>
              <w:autoSpaceDE w:val="0"/>
              <w:jc w:val="center"/>
              <w:rPr>
                <w:rFonts w:hint="eastAsia" w:ascii="宋体" w:hAnsi="宋体" w:eastAsia="宋体" w:cs="宋体"/>
                <w:sz w:val="24"/>
                <w:szCs w:val="24"/>
              </w:rPr>
            </w:pPr>
            <w:r>
              <w:rPr>
                <w:rFonts w:hint="eastAsia" w:hAnsi="宋体" w:cs="宋体"/>
                <w:sz w:val="24"/>
                <w:lang w:val="en-US" w:eastAsia="zh-CN"/>
              </w:rPr>
              <w:t>21.5</w:t>
            </w:r>
            <w:r>
              <w:rPr>
                <w:rFonts w:hint="eastAsia" w:hAnsi="宋体" w:cs="宋体"/>
                <w:sz w:val="24"/>
              </w:rPr>
              <w:t>%</w:t>
            </w:r>
          </w:p>
        </w:tc>
        <w:tc>
          <w:tcPr>
            <w:tcW w:w="945" w:type="dxa"/>
            <w:vAlign w:val="center"/>
          </w:tcPr>
          <w:p>
            <w:pPr>
              <w:widowControl/>
              <w:spacing w:line="400" w:lineRule="exact"/>
              <w:jc w:val="center"/>
              <w:rPr>
                <w:rFonts w:hint="eastAsia" w:ascii="宋体" w:hAnsi="宋体" w:eastAsia="宋体" w:cs="宋体"/>
                <w:sz w:val="24"/>
                <w:szCs w:val="24"/>
              </w:rPr>
            </w:pPr>
            <w:r>
              <w:rPr>
                <w:rFonts w:hint="eastAsia" w:hAnsi="宋体" w:cs="宋体"/>
                <w:sz w:val="24"/>
                <w:lang w:val="en-US" w:eastAsia="zh-CN"/>
              </w:rPr>
              <w:t>21.5</w:t>
            </w:r>
            <w:r>
              <w:rPr>
                <w:rFonts w:hint="eastAsia" w:hAnsi="宋体" w:cs="宋体"/>
                <w:sz w:val="24"/>
              </w:rPr>
              <w:t>分</w:t>
            </w:r>
          </w:p>
        </w:tc>
        <w:tc>
          <w:tcPr>
            <w:tcW w:w="4155" w:type="dxa"/>
          </w:tcPr>
          <w:p>
            <w:pPr>
              <w:spacing w:line="320" w:lineRule="exact"/>
              <w:rPr>
                <w:rFonts w:hAnsi="宋体" w:cs="宋体"/>
                <w:sz w:val="24"/>
                <w:highlight w:val="none"/>
              </w:rPr>
            </w:pPr>
            <w:r>
              <w:rPr>
                <w:rFonts w:hint="eastAsia" w:hAnsi="宋体" w:cs="宋体"/>
                <w:sz w:val="24"/>
                <w:highlight w:val="none"/>
              </w:rPr>
              <w:t>完全满足本项目招标文件（第五章</w:t>
            </w:r>
            <w:r>
              <w:rPr>
                <w:rFonts w:hint="eastAsia" w:hAnsi="宋体" w:cs="宋体"/>
                <w:sz w:val="24"/>
                <w:highlight w:val="none"/>
                <w:lang w:val="en-US" w:eastAsia="zh-CN"/>
              </w:rPr>
              <w:t>二</w:t>
            </w:r>
            <w:r>
              <w:rPr>
                <w:rFonts w:hint="eastAsia" w:hAnsi="宋体" w:cs="宋体"/>
                <w:sz w:val="24"/>
                <w:highlight w:val="none"/>
              </w:rPr>
              <w:t>、</w:t>
            </w:r>
            <w:r>
              <w:rPr>
                <w:rFonts w:hint="eastAsia" w:hAnsi="宋体" w:cs="宋体"/>
                <w:sz w:val="24"/>
                <w:highlight w:val="none"/>
                <w:lang w:val="en-US" w:eastAsia="zh-CN"/>
              </w:rPr>
              <w:t>采购清单及技术服务要求</w:t>
            </w:r>
            <w:r>
              <w:rPr>
                <w:rFonts w:hint="eastAsia" w:hAnsi="宋体" w:cs="宋体"/>
                <w:sz w:val="24"/>
                <w:highlight w:val="none"/>
              </w:rPr>
              <w:t>）无负偏离得</w:t>
            </w:r>
            <w:r>
              <w:rPr>
                <w:rFonts w:hint="eastAsia" w:hAnsi="宋体" w:cs="宋体"/>
                <w:sz w:val="24"/>
                <w:highlight w:val="none"/>
                <w:lang w:val="en-US" w:eastAsia="zh-CN"/>
              </w:rPr>
              <w:t>21.5</w:t>
            </w:r>
            <w:r>
              <w:rPr>
                <w:rFonts w:hint="eastAsia" w:hAnsi="宋体" w:cs="宋体"/>
                <w:sz w:val="24"/>
                <w:highlight w:val="none"/>
              </w:rPr>
              <w:t>分，（第五章</w:t>
            </w:r>
            <w:r>
              <w:rPr>
                <w:rFonts w:hint="eastAsia" w:hAnsi="宋体" w:cs="宋体"/>
                <w:sz w:val="24"/>
                <w:highlight w:val="none"/>
                <w:lang w:val="en-US" w:eastAsia="zh-CN"/>
              </w:rPr>
              <w:t>二</w:t>
            </w:r>
            <w:r>
              <w:rPr>
                <w:rFonts w:hint="eastAsia" w:hAnsi="宋体" w:cs="宋体"/>
                <w:sz w:val="24"/>
                <w:highlight w:val="none"/>
              </w:rPr>
              <w:t>、</w:t>
            </w:r>
            <w:r>
              <w:rPr>
                <w:rFonts w:hint="eastAsia" w:hAnsi="宋体" w:cs="宋体"/>
                <w:sz w:val="24"/>
                <w:highlight w:val="none"/>
                <w:lang w:val="en-US" w:eastAsia="zh-CN"/>
              </w:rPr>
              <w:t>采购清单及技术服务要求</w:t>
            </w:r>
            <w:r>
              <w:rPr>
                <w:rFonts w:hint="eastAsia" w:hAnsi="宋体" w:cs="宋体"/>
                <w:sz w:val="24"/>
                <w:highlight w:val="none"/>
              </w:rPr>
              <w:t>）要求有负偏离的每有一项扣</w:t>
            </w:r>
            <w:r>
              <w:rPr>
                <w:rFonts w:hint="eastAsia" w:hAnsi="宋体" w:cs="宋体"/>
                <w:sz w:val="24"/>
                <w:highlight w:val="none"/>
                <w:lang w:val="en-US" w:eastAsia="zh-CN"/>
              </w:rPr>
              <w:t>0.1</w:t>
            </w:r>
            <w:r>
              <w:rPr>
                <w:rFonts w:hint="eastAsia" w:hAnsi="宋体" w:cs="宋体"/>
                <w:sz w:val="24"/>
                <w:highlight w:val="none"/>
              </w:rPr>
              <w:t>分；本项最多扣</w:t>
            </w:r>
            <w:r>
              <w:rPr>
                <w:rFonts w:hint="eastAsia" w:hAnsi="宋体" w:cs="宋体"/>
                <w:sz w:val="24"/>
                <w:highlight w:val="none"/>
                <w:lang w:val="en-US" w:eastAsia="zh-CN"/>
              </w:rPr>
              <w:t>21.5</w:t>
            </w:r>
            <w:r>
              <w:rPr>
                <w:rFonts w:hint="eastAsia" w:hAnsi="宋体" w:cs="宋体"/>
                <w:sz w:val="24"/>
                <w:highlight w:val="none"/>
              </w:rPr>
              <w:t>分。（</w:t>
            </w:r>
            <w:r>
              <w:rPr>
                <w:rFonts w:hint="eastAsia" w:hAnsi="宋体" w:cs="宋体"/>
                <w:sz w:val="24"/>
                <w:highlight w:val="none"/>
                <w:lang w:val="en-US" w:eastAsia="zh-CN"/>
              </w:rPr>
              <w:t>共</w:t>
            </w:r>
            <w:r>
              <w:rPr>
                <w:rFonts w:hint="eastAsia" w:hAnsi="宋体" w:cs="宋体"/>
                <w:sz w:val="24"/>
                <w:highlight w:val="none"/>
              </w:rPr>
              <w:t>有</w:t>
            </w:r>
            <w:r>
              <w:rPr>
                <w:rFonts w:hint="eastAsia" w:hAnsi="宋体" w:cs="宋体"/>
                <w:sz w:val="24"/>
                <w:highlight w:val="none"/>
                <w:lang w:val="en-US" w:eastAsia="zh-CN"/>
              </w:rPr>
              <w:t>215</w:t>
            </w:r>
            <w:r>
              <w:rPr>
                <w:rFonts w:hint="eastAsia" w:hAnsi="宋体" w:cs="宋体"/>
                <w:sz w:val="24"/>
                <w:highlight w:val="none"/>
              </w:rPr>
              <w:t>项）</w:t>
            </w:r>
          </w:p>
          <w:p>
            <w:pPr>
              <w:pStyle w:val="107"/>
              <w:spacing w:line="364" w:lineRule="auto"/>
              <w:ind w:right="166"/>
              <w:rPr>
                <w:rFonts w:hint="eastAsia" w:ascii="宋体" w:hAnsi="宋体" w:eastAsia="宋体" w:cs="宋体"/>
                <w:color w:val="auto"/>
                <w:sz w:val="24"/>
                <w:szCs w:val="24"/>
                <w:highlight w:val="none"/>
              </w:rPr>
            </w:pPr>
            <w:r>
              <w:rPr>
                <w:rFonts w:hint="eastAsia" w:hAnsi="宋体" w:cs="宋体"/>
                <w:sz w:val="24"/>
                <w:szCs w:val="24"/>
                <w:highlight w:val="none"/>
              </w:rPr>
              <w:t>注：带“★”符号要求除外。</w:t>
            </w:r>
          </w:p>
        </w:tc>
        <w:tc>
          <w:tcPr>
            <w:tcW w:w="2055" w:type="dxa"/>
          </w:tcPr>
          <w:p>
            <w:pPr>
              <w:pStyle w:val="107"/>
              <w:spacing w:line="364" w:lineRule="auto"/>
              <w:ind w:right="407"/>
              <w:rPr>
                <w:rFonts w:hint="eastAsia" w:ascii="宋体" w:hAnsi="宋体" w:eastAsia="宋体" w:cs="宋体"/>
                <w:b/>
                <w:sz w:val="24"/>
                <w:szCs w:val="24"/>
              </w:rPr>
            </w:pPr>
            <w:r>
              <w:rPr>
                <w:rFonts w:hint="eastAsia" w:ascii="宋体" w:hAnsi="宋体" w:eastAsia="宋体" w:cs="宋体"/>
                <w:b/>
                <w:sz w:val="24"/>
                <w:szCs w:val="24"/>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6"/>
              <w:rPr>
                <w:rFonts w:hint="eastAsia" w:ascii="宋体" w:hAnsi="宋体" w:eastAsia="宋体" w:cs="宋体"/>
                <w:sz w:val="24"/>
                <w:szCs w:val="24"/>
              </w:rPr>
            </w:pPr>
          </w:p>
          <w:p>
            <w:pPr>
              <w:pStyle w:val="107"/>
              <w:ind w:left="6"/>
              <w:jc w:val="center"/>
              <w:rPr>
                <w:rFonts w:hint="eastAsia" w:ascii="宋体" w:hAnsi="宋体" w:eastAsia="宋体" w:cs="宋体"/>
                <w:sz w:val="24"/>
                <w:szCs w:val="24"/>
                <w:lang w:eastAsia="zh-CN"/>
              </w:rPr>
            </w:pPr>
            <w:r>
              <w:rPr>
                <w:rFonts w:hint="eastAsia" w:cs="宋体"/>
                <w:w w:val="99"/>
                <w:sz w:val="24"/>
                <w:szCs w:val="24"/>
                <w:lang w:val="en-US" w:eastAsia="zh-CN"/>
              </w:rPr>
              <w:t>3</w:t>
            </w:r>
          </w:p>
        </w:tc>
        <w:tc>
          <w:tcPr>
            <w:tcW w:w="1549"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5"/>
              <w:rPr>
                <w:rFonts w:hint="eastAsia" w:ascii="宋体" w:hAnsi="宋体" w:eastAsia="宋体" w:cs="宋体"/>
                <w:sz w:val="24"/>
                <w:szCs w:val="24"/>
              </w:rPr>
            </w:pPr>
          </w:p>
          <w:p>
            <w:pPr>
              <w:pStyle w:val="107"/>
              <w:spacing w:line="364" w:lineRule="auto"/>
              <w:ind w:right="217"/>
              <w:rPr>
                <w:rFonts w:hint="eastAsia" w:ascii="宋体" w:hAnsi="宋体" w:eastAsia="宋体" w:cs="宋体"/>
                <w:sz w:val="24"/>
                <w:szCs w:val="24"/>
              </w:rPr>
            </w:pPr>
            <w:r>
              <w:rPr>
                <w:rFonts w:hint="eastAsia" w:ascii="宋体" w:hAnsi="宋体" w:eastAsia="宋体" w:cs="宋体"/>
                <w:sz w:val="24"/>
                <w:szCs w:val="24"/>
              </w:rPr>
              <w:t>实施方案</w:t>
            </w:r>
            <w:r>
              <w:rPr>
                <w:rFonts w:hint="eastAsia" w:cs="宋体"/>
                <w:sz w:val="24"/>
                <w:szCs w:val="24"/>
                <w:lang w:val="en-US" w:eastAsia="zh-CN"/>
              </w:rPr>
              <w:t>42</w:t>
            </w:r>
            <w:r>
              <w:rPr>
                <w:rFonts w:hint="eastAsia" w:ascii="宋体" w:hAnsi="宋体" w:eastAsia="宋体" w:cs="宋体"/>
                <w:sz w:val="24"/>
                <w:szCs w:val="24"/>
              </w:rPr>
              <w:t>%</w:t>
            </w:r>
          </w:p>
        </w:tc>
        <w:tc>
          <w:tcPr>
            <w:tcW w:w="945"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6"/>
              <w:rPr>
                <w:rFonts w:hint="eastAsia" w:ascii="宋体" w:hAnsi="宋体" w:eastAsia="宋体" w:cs="宋体"/>
                <w:sz w:val="24"/>
                <w:szCs w:val="24"/>
              </w:rPr>
            </w:pPr>
          </w:p>
          <w:p>
            <w:pPr>
              <w:pStyle w:val="107"/>
              <w:ind w:left="171"/>
              <w:rPr>
                <w:rFonts w:hint="eastAsia" w:ascii="宋体" w:hAnsi="宋体" w:eastAsia="宋体" w:cs="宋体"/>
                <w:sz w:val="24"/>
                <w:szCs w:val="24"/>
              </w:rPr>
            </w:pPr>
            <w:r>
              <w:rPr>
                <w:rFonts w:hint="eastAsia" w:cs="宋体"/>
                <w:sz w:val="24"/>
                <w:szCs w:val="24"/>
                <w:lang w:val="en-US" w:eastAsia="zh-CN"/>
              </w:rPr>
              <w:t>42</w:t>
            </w:r>
            <w:r>
              <w:rPr>
                <w:rFonts w:hint="eastAsia" w:ascii="宋体" w:hAnsi="宋体" w:eastAsia="宋体" w:cs="宋体"/>
                <w:sz w:val="24"/>
                <w:szCs w:val="24"/>
              </w:rPr>
              <w:t>分</w:t>
            </w:r>
          </w:p>
        </w:tc>
        <w:tc>
          <w:tcPr>
            <w:tcW w:w="4155" w:type="dxa"/>
          </w:tcPr>
          <w:p>
            <w:pPr>
              <w:pStyle w:val="107"/>
              <w:spacing w:line="364" w:lineRule="auto"/>
              <w:ind w:right="166"/>
              <w:rPr>
                <w:rFonts w:hint="eastAsia" w:ascii="宋体" w:hAnsi="宋体" w:eastAsia="宋体" w:cs="宋体"/>
                <w:sz w:val="24"/>
                <w:szCs w:val="24"/>
              </w:rPr>
            </w:pPr>
            <w:r>
              <w:rPr>
                <w:rFonts w:hint="eastAsia" w:ascii="宋体" w:hAnsi="宋体" w:eastAsia="宋体" w:cs="宋体"/>
                <w:color w:val="auto"/>
                <w:sz w:val="24"/>
                <w:szCs w:val="24"/>
                <w:highlight w:val="none"/>
              </w:rPr>
              <w:t>根据投标单位为本项目拟定的实施方案（至少包含①组织机构体系，②技术保证措施，③质量控制措施，④货源组织，⑤进度计划，⑥病虫害防治措施，⑦运输计划，⑧总体实施组织方案，⑨植物养护方案，⑩人力财力配备计划，⑪遵循苗木栽种的立地条件分析，⑫突发事件应急预案及处置措施）进行综合评分：</w:t>
            </w:r>
            <w:r>
              <w:rPr>
                <w:rFonts w:hint="eastAsia" w:hAnsi="宋体" w:cs="宋体"/>
                <w:sz w:val="24"/>
                <w:lang w:eastAsia="zh-CN"/>
              </w:rPr>
              <w:t>方案完整、无缺失项、完全符合采购需求得</w:t>
            </w:r>
            <w:r>
              <w:rPr>
                <w:rFonts w:hint="eastAsia" w:cs="宋体"/>
                <w:sz w:val="24"/>
                <w:lang w:val="en-US" w:eastAsia="zh-CN"/>
              </w:rPr>
              <w:t>42</w:t>
            </w:r>
            <w:r>
              <w:rPr>
                <w:rFonts w:hint="eastAsia" w:hAnsi="宋体" w:cs="宋体"/>
                <w:sz w:val="24"/>
                <w:lang w:eastAsia="zh-CN"/>
              </w:rPr>
              <w:t>分</w:t>
            </w:r>
            <w:r>
              <w:rPr>
                <w:rFonts w:hint="eastAsia" w:hAnsi="宋体" w:cs="宋体"/>
                <w:sz w:val="24"/>
              </w:rPr>
              <w:t>，每有</w:t>
            </w:r>
            <w:r>
              <w:rPr>
                <w:rFonts w:hint="eastAsia" w:hAnsi="宋体" w:cs="宋体"/>
                <w:sz w:val="24"/>
                <w:lang w:val="en-US" w:eastAsia="zh-CN"/>
              </w:rPr>
              <w:t>一</w:t>
            </w:r>
            <w:r>
              <w:rPr>
                <w:rFonts w:hint="eastAsia" w:hAnsi="宋体" w:cs="宋体"/>
                <w:sz w:val="24"/>
              </w:rPr>
              <w:t xml:space="preserve">项缺项扣 </w:t>
            </w:r>
            <w:r>
              <w:rPr>
                <w:rFonts w:hint="eastAsia" w:cs="宋体"/>
                <w:sz w:val="24"/>
                <w:lang w:val="en-US" w:eastAsia="zh-CN"/>
              </w:rPr>
              <w:t>3.5</w:t>
            </w:r>
            <w:r>
              <w:rPr>
                <w:rFonts w:hint="eastAsia" w:hAnsi="宋体" w:cs="宋体"/>
                <w:sz w:val="24"/>
              </w:rPr>
              <w:t xml:space="preserve"> 分，</w:t>
            </w:r>
            <w:r>
              <w:rPr>
                <w:rFonts w:hint="eastAsia" w:hAnsi="宋体" w:cs="宋体"/>
                <w:sz w:val="24"/>
                <w:lang w:val="en-US" w:eastAsia="zh-CN"/>
              </w:rPr>
              <w:t>以上12项每有一</w:t>
            </w:r>
            <w:r>
              <w:rPr>
                <w:rFonts w:hint="eastAsia" w:hAnsi="宋体" w:cs="宋体"/>
                <w:sz w:val="24"/>
              </w:rPr>
              <w:t>处和</w:t>
            </w:r>
            <w:r>
              <w:rPr>
                <w:rFonts w:hint="eastAsia" w:hAnsi="宋体" w:cs="宋体"/>
                <w:sz w:val="24"/>
                <w:lang w:val="en-US" w:eastAsia="zh-CN"/>
              </w:rPr>
              <w:t>本</w:t>
            </w:r>
            <w:r>
              <w:rPr>
                <w:rFonts w:hint="eastAsia" w:hAnsi="宋体" w:cs="宋体"/>
                <w:sz w:val="24"/>
              </w:rPr>
              <w:t xml:space="preserve">项目无关不符合要求或方案描述有缺陷扣 </w:t>
            </w:r>
            <w:r>
              <w:rPr>
                <w:rFonts w:hint="eastAsia" w:cs="宋体"/>
                <w:sz w:val="24"/>
                <w:lang w:val="en-US" w:eastAsia="zh-CN"/>
              </w:rPr>
              <w:t>1.75</w:t>
            </w:r>
            <w:r>
              <w:rPr>
                <w:rFonts w:hint="eastAsia" w:hAnsi="宋体" w:cs="宋体"/>
                <w:sz w:val="24"/>
              </w:rPr>
              <w:t xml:space="preserve">分，本项最多扣 </w:t>
            </w:r>
            <w:r>
              <w:rPr>
                <w:rFonts w:hint="eastAsia" w:cs="宋体"/>
                <w:sz w:val="24"/>
                <w:lang w:val="en-US" w:eastAsia="zh-CN"/>
              </w:rPr>
              <w:t>42</w:t>
            </w:r>
            <w:r>
              <w:rPr>
                <w:rFonts w:hint="eastAsia" w:hAnsi="宋体" w:cs="宋体"/>
                <w:sz w:val="24"/>
              </w:rPr>
              <w:t>分。</w:t>
            </w:r>
          </w:p>
        </w:tc>
        <w:tc>
          <w:tcPr>
            <w:tcW w:w="2055" w:type="dxa"/>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5"/>
              <w:rPr>
                <w:rFonts w:hint="eastAsia" w:ascii="宋体" w:hAnsi="宋体" w:eastAsia="宋体" w:cs="宋体"/>
                <w:sz w:val="24"/>
                <w:szCs w:val="24"/>
              </w:rPr>
            </w:pPr>
          </w:p>
          <w:p>
            <w:pPr>
              <w:pStyle w:val="107"/>
              <w:spacing w:line="364" w:lineRule="auto"/>
              <w:ind w:right="407"/>
              <w:rPr>
                <w:rFonts w:hint="eastAsia" w:ascii="宋体" w:hAnsi="宋体" w:eastAsia="宋体" w:cs="宋体"/>
                <w:b/>
                <w:sz w:val="24"/>
                <w:szCs w:val="24"/>
              </w:rPr>
            </w:pPr>
            <w:r>
              <w:rPr>
                <w:rFonts w:hint="eastAsia" w:ascii="宋体" w:hAnsi="宋体" w:eastAsia="宋体" w:cs="宋体"/>
                <w:b/>
                <w:sz w:val="24"/>
                <w:szCs w:val="24"/>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vAlign w:val="top"/>
          </w:tcPr>
          <w:p>
            <w:pPr>
              <w:pStyle w:val="107"/>
              <w:rPr>
                <w:rFonts w:hint="eastAsia" w:ascii="宋体" w:hAnsi="宋体" w:eastAsia="宋体" w:cs="宋体"/>
                <w:sz w:val="24"/>
                <w:szCs w:val="24"/>
              </w:rPr>
            </w:pPr>
          </w:p>
          <w:p>
            <w:pPr>
              <w:pStyle w:val="107"/>
              <w:spacing w:before="10"/>
              <w:rPr>
                <w:rFonts w:hint="eastAsia" w:ascii="宋体" w:hAnsi="宋体" w:eastAsia="宋体" w:cs="宋体"/>
                <w:sz w:val="24"/>
                <w:szCs w:val="24"/>
              </w:rPr>
            </w:pPr>
          </w:p>
          <w:p>
            <w:pPr>
              <w:pStyle w:val="107"/>
              <w:ind w:left="6" w:leftChars="0"/>
              <w:jc w:val="center"/>
              <w:rPr>
                <w:rFonts w:hint="eastAsia" w:ascii="宋体" w:hAnsi="宋体" w:eastAsia="宋体" w:cs="宋体"/>
                <w:w w:val="99"/>
                <w:sz w:val="24"/>
                <w:szCs w:val="24"/>
                <w:lang w:eastAsia="zh-CN"/>
              </w:rPr>
            </w:pPr>
            <w:r>
              <w:rPr>
                <w:rFonts w:hint="eastAsia" w:cs="宋体"/>
                <w:w w:val="99"/>
                <w:sz w:val="24"/>
                <w:szCs w:val="24"/>
                <w:lang w:val="en-US" w:eastAsia="zh-CN"/>
              </w:rPr>
              <w:t>4</w:t>
            </w:r>
          </w:p>
        </w:tc>
        <w:tc>
          <w:tcPr>
            <w:tcW w:w="1549" w:type="dxa"/>
            <w:vAlign w:val="top"/>
          </w:tcPr>
          <w:p>
            <w:pPr>
              <w:pStyle w:val="107"/>
              <w:rPr>
                <w:rFonts w:hint="eastAsia" w:ascii="宋体" w:hAnsi="宋体" w:eastAsia="宋体" w:cs="宋体"/>
                <w:sz w:val="24"/>
                <w:szCs w:val="24"/>
              </w:rPr>
            </w:pPr>
          </w:p>
          <w:p>
            <w:pPr>
              <w:pStyle w:val="107"/>
              <w:spacing w:before="152" w:line="364" w:lineRule="auto"/>
              <w:ind w:left="541" w:leftChars="0" w:right="217" w:rightChars="0" w:hanging="317" w:firstLineChars="0"/>
              <w:rPr>
                <w:rFonts w:hint="eastAsia" w:ascii="宋体" w:hAnsi="宋体" w:eastAsia="宋体" w:cs="宋体"/>
                <w:sz w:val="24"/>
                <w:szCs w:val="24"/>
              </w:rPr>
            </w:pPr>
            <w:r>
              <w:rPr>
                <w:rFonts w:hint="eastAsia" w:ascii="宋体" w:hAnsi="宋体" w:eastAsia="宋体" w:cs="宋体"/>
                <w:sz w:val="24"/>
                <w:szCs w:val="24"/>
              </w:rPr>
              <w:t>履约能力</w:t>
            </w:r>
            <w:r>
              <w:rPr>
                <w:rFonts w:hint="eastAsia" w:cs="宋体"/>
                <w:sz w:val="24"/>
                <w:szCs w:val="24"/>
                <w:lang w:val="en-US" w:eastAsia="zh-CN"/>
              </w:rPr>
              <w:t>6</w:t>
            </w:r>
            <w:r>
              <w:rPr>
                <w:rFonts w:hint="eastAsia" w:ascii="宋体" w:hAnsi="宋体" w:eastAsia="宋体" w:cs="宋体"/>
                <w:sz w:val="24"/>
                <w:szCs w:val="24"/>
              </w:rPr>
              <w:t>%</w:t>
            </w:r>
          </w:p>
        </w:tc>
        <w:tc>
          <w:tcPr>
            <w:tcW w:w="945" w:type="dxa"/>
            <w:vAlign w:val="top"/>
          </w:tcPr>
          <w:p>
            <w:pPr>
              <w:pStyle w:val="107"/>
              <w:rPr>
                <w:rFonts w:hint="eastAsia" w:ascii="宋体" w:hAnsi="宋体" w:eastAsia="宋体" w:cs="宋体"/>
                <w:sz w:val="24"/>
                <w:szCs w:val="24"/>
              </w:rPr>
            </w:pPr>
          </w:p>
          <w:p>
            <w:pPr>
              <w:pStyle w:val="107"/>
              <w:spacing w:before="10"/>
              <w:rPr>
                <w:rFonts w:hint="eastAsia" w:ascii="宋体" w:hAnsi="宋体" w:eastAsia="宋体" w:cs="宋体"/>
                <w:sz w:val="24"/>
                <w:szCs w:val="24"/>
              </w:rPr>
            </w:pPr>
          </w:p>
          <w:p>
            <w:pPr>
              <w:pStyle w:val="107"/>
              <w:ind w:left="224" w:leftChars="0"/>
              <w:rPr>
                <w:rFonts w:hint="eastAsia" w:ascii="宋体" w:hAnsi="宋体" w:eastAsia="宋体" w:cs="宋体"/>
                <w:sz w:val="24"/>
                <w:szCs w:val="24"/>
              </w:rPr>
            </w:pPr>
            <w:r>
              <w:rPr>
                <w:rFonts w:hint="eastAsia" w:cs="宋体"/>
                <w:sz w:val="24"/>
                <w:szCs w:val="24"/>
                <w:lang w:val="en-US" w:eastAsia="zh-CN"/>
              </w:rPr>
              <w:t>6</w:t>
            </w:r>
            <w:r>
              <w:rPr>
                <w:rFonts w:hint="eastAsia" w:ascii="宋体" w:hAnsi="宋体" w:eastAsia="宋体" w:cs="宋体"/>
                <w:sz w:val="24"/>
                <w:szCs w:val="24"/>
              </w:rPr>
              <w:t>分</w:t>
            </w:r>
          </w:p>
        </w:tc>
        <w:tc>
          <w:tcPr>
            <w:tcW w:w="4155" w:type="dxa"/>
            <w:vAlign w:val="top"/>
          </w:tcPr>
          <w:p>
            <w:pPr>
              <w:pStyle w:val="107"/>
              <w:spacing w:before="12"/>
              <w:rPr>
                <w:rFonts w:hint="eastAsia" w:ascii="宋体" w:hAnsi="宋体" w:eastAsia="宋体" w:cs="宋体"/>
                <w:sz w:val="24"/>
                <w:szCs w:val="24"/>
              </w:rPr>
            </w:pPr>
          </w:p>
          <w:p>
            <w:pPr>
              <w:pStyle w:val="107"/>
              <w:ind w:left="107"/>
              <w:rPr>
                <w:rFonts w:hint="eastAsia" w:ascii="宋体" w:hAnsi="宋体" w:eastAsia="宋体" w:cs="宋体"/>
                <w:w w:val="95"/>
                <w:sz w:val="24"/>
                <w:szCs w:val="24"/>
              </w:rPr>
            </w:pPr>
            <w:r>
              <w:rPr>
                <w:rFonts w:hint="eastAsia" w:ascii="宋体" w:hAnsi="宋体" w:eastAsia="宋体" w:cs="宋体"/>
                <w:sz w:val="24"/>
                <w:szCs w:val="24"/>
              </w:rPr>
              <w:t>自 2017 年 1 月 1 日以来，投标人每提供一个类似业绩得</w:t>
            </w:r>
            <w:r>
              <w:rPr>
                <w:rFonts w:hint="eastAsia" w:cs="宋体"/>
                <w:sz w:val="24"/>
                <w:szCs w:val="24"/>
                <w:lang w:val="en-US" w:eastAsia="zh-CN"/>
              </w:rPr>
              <w:t>2</w:t>
            </w:r>
            <w:r>
              <w:rPr>
                <w:rFonts w:hint="eastAsia" w:ascii="宋体" w:hAnsi="宋体" w:eastAsia="宋体" w:cs="宋体"/>
                <w:sz w:val="24"/>
                <w:szCs w:val="24"/>
              </w:rPr>
              <w:t xml:space="preserve">分，本项最多得 </w:t>
            </w:r>
            <w:r>
              <w:rPr>
                <w:rFonts w:hint="eastAsia" w:cs="宋体"/>
                <w:sz w:val="24"/>
                <w:szCs w:val="24"/>
                <w:lang w:val="en-US" w:eastAsia="zh-CN"/>
              </w:rPr>
              <w:t>6</w:t>
            </w:r>
            <w:r>
              <w:rPr>
                <w:rFonts w:hint="eastAsia" w:ascii="宋体" w:hAnsi="宋体" w:eastAsia="宋体" w:cs="宋体"/>
                <w:sz w:val="24"/>
                <w:szCs w:val="24"/>
              </w:rPr>
              <w:t>分。</w:t>
            </w:r>
          </w:p>
        </w:tc>
        <w:tc>
          <w:tcPr>
            <w:tcW w:w="2055" w:type="dxa"/>
            <w:vAlign w:val="top"/>
          </w:tcPr>
          <w:p>
            <w:pPr>
              <w:pStyle w:val="107"/>
              <w:spacing w:line="364" w:lineRule="auto"/>
              <w:ind w:left="106" w:right="-15"/>
              <w:rPr>
                <w:rFonts w:hint="eastAsia" w:ascii="宋体" w:hAnsi="宋体" w:eastAsia="宋体" w:cs="宋体"/>
                <w:sz w:val="24"/>
                <w:szCs w:val="24"/>
              </w:rPr>
            </w:pPr>
            <w:r>
              <w:rPr>
                <w:rFonts w:hint="eastAsia" w:ascii="宋体" w:hAnsi="宋体" w:eastAsia="宋体" w:cs="宋体"/>
                <w:spacing w:val="-15"/>
                <w:sz w:val="24"/>
                <w:szCs w:val="24"/>
              </w:rPr>
              <w:t>提供合同</w:t>
            </w:r>
            <w:r>
              <w:rPr>
                <w:rFonts w:hint="eastAsia" w:cs="宋体"/>
                <w:spacing w:val="-15"/>
                <w:sz w:val="24"/>
                <w:szCs w:val="24"/>
                <w:lang w:val="en-US" w:eastAsia="zh-CN"/>
              </w:rPr>
              <w:t>或</w:t>
            </w:r>
            <w:r>
              <w:rPr>
                <w:rFonts w:hint="eastAsia" w:ascii="宋体" w:hAnsi="宋体" w:eastAsia="宋体" w:cs="宋体"/>
                <w:spacing w:val="-15"/>
                <w:sz w:val="24"/>
                <w:szCs w:val="24"/>
              </w:rPr>
              <w:t>成交</w:t>
            </w:r>
            <w:r>
              <w:rPr>
                <w:rFonts w:hint="eastAsia" w:ascii="宋体" w:hAnsi="宋体" w:eastAsia="宋体" w:cs="宋体"/>
                <w:sz w:val="24"/>
                <w:szCs w:val="24"/>
              </w:rPr>
              <w:t>（中标）通知书复印件加盖投标单位鲜章。</w:t>
            </w:r>
          </w:p>
          <w:p>
            <w:pPr>
              <w:pStyle w:val="107"/>
              <w:spacing w:line="269" w:lineRule="exact"/>
              <w:rPr>
                <w:rFonts w:hint="eastAsia" w:ascii="宋体" w:hAnsi="宋体" w:eastAsia="宋体" w:cs="宋体"/>
                <w:w w:val="95"/>
                <w:sz w:val="24"/>
                <w:szCs w:val="24"/>
              </w:rPr>
            </w:pPr>
            <w:r>
              <w:rPr>
                <w:rFonts w:hint="eastAsia" w:ascii="宋体" w:hAnsi="宋体" w:eastAsia="宋体" w:cs="宋体"/>
                <w:b/>
                <w:sz w:val="24"/>
                <w:szCs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vAlign w:val="top"/>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7"/>
              <w:rPr>
                <w:rFonts w:hint="eastAsia" w:ascii="宋体" w:hAnsi="宋体" w:eastAsia="宋体" w:cs="宋体"/>
                <w:sz w:val="24"/>
                <w:szCs w:val="24"/>
              </w:rPr>
            </w:pPr>
          </w:p>
          <w:p>
            <w:pPr>
              <w:pStyle w:val="107"/>
              <w:ind w:left="6" w:leftChars="0"/>
              <w:jc w:val="center"/>
              <w:rPr>
                <w:rFonts w:hint="eastAsia" w:ascii="宋体" w:hAnsi="宋体" w:eastAsia="宋体" w:cs="宋体"/>
                <w:w w:val="99"/>
                <w:sz w:val="24"/>
                <w:szCs w:val="24"/>
                <w:lang w:eastAsia="zh-CN"/>
              </w:rPr>
            </w:pPr>
            <w:r>
              <w:rPr>
                <w:rFonts w:hint="eastAsia" w:cs="宋体"/>
                <w:w w:val="99"/>
                <w:sz w:val="24"/>
                <w:szCs w:val="24"/>
                <w:lang w:val="en-US" w:eastAsia="zh-CN"/>
              </w:rPr>
              <w:t>5</w:t>
            </w:r>
          </w:p>
        </w:tc>
        <w:tc>
          <w:tcPr>
            <w:tcW w:w="1549" w:type="dxa"/>
            <w:vAlign w:val="top"/>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9"/>
              <w:rPr>
                <w:rFonts w:hint="eastAsia" w:ascii="宋体" w:hAnsi="宋体" w:eastAsia="宋体" w:cs="宋体"/>
                <w:sz w:val="24"/>
                <w:szCs w:val="24"/>
              </w:rPr>
            </w:pPr>
          </w:p>
          <w:p>
            <w:pPr>
              <w:pStyle w:val="107"/>
              <w:spacing w:line="364" w:lineRule="auto"/>
              <w:ind w:left="224" w:leftChars="0" w:right="217" w:rightChars="0"/>
              <w:jc w:val="center"/>
              <w:rPr>
                <w:rFonts w:hint="eastAsia" w:ascii="宋体" w:hAnsi="宋体" w:eastAsia="宋体" w:cs="宋体"/>
                <w:sz w:val="24"/>
                <w:szCs w:val="24"/>
              </w:rPr>
            </w:pPr>
            <w:r>
              <w:rPr>
                <w:rFonts w:hint="eastAsia" w:ascii="宋体" w:hAnsi="宋体" w:eastAsia="宋体" w:cs="宋体"/>
                <w:spacing w:val="-4"/>
                <w:sz w:val="24"/>
                <w:szCs w:val="24"/>
              </w:rPr>
              <w:t>售后服务</w:t>
            </w:r>
            <w:r>
              <w:rPr>
                <w:rFonts w:hint="eastAsia" w:ascii="宋体" w:hAnsi="宋体" w:eastAsia="宋体" w:cs="宋体"/>
                <w:sz w:val="24"/>
                <w:szCs w:val="24"/>
              </w:rPr>
              <w:t xml:space="preserve">方案 </w:t>
            </w:r>
          </w:p>
          <w:p>
            <w:pPr>
              <w:pStyle w:val="107"/>
              <w:spacing w:line="364" w:lineRule="auto"/>
              <w:ind w:left="224" w:leftChars="0" w:right="217" w:rightChars="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cs="宋体"/>
                <w:sz w:val="24"/>
                <w:szCs w:val="24"/>
                <w:lang w:val="en-US" w:eastAsia="zh-CN"/>
              </w:rPr>
              <w:t>20</w:t>
            </w:r>
            <w:r>
              <w:rPr>
                <w:rFonts w:hint="eastAsia" w:ascii="宋体" w:hAnsi="宋体" w:eastAsia="宋体" w:cs="宋体"/>
                <w:sz w:val="24"/>
                <w:szCs w:val="24"/>
              </w:rPr>
              <w:t>%</w:t>
            </w:r>
          </w:p>
        </w:tc>
        <w:tc>
          <w:tcPr>
            <w:tcW w:w="945" w:type="dxa"/>
            <w:vAlign w:val="top"/>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7"/>
              <w:rPr>
                <w:rFonts w:hint="eastAsia" w:ascii="宋体" w:hAnsi="宋体" w:eastAsia="宋体" w:cs="宋体"/>
                <w:sz w:val="24"/>
                <w:szCs w:val="24"/>
              </w:rPr>
            </w:pPr>
          </w:p>
          <w:p>
            <w:pPr>
              <w:pStyle w:val="107"/>
              <w:ind w:left="171" w:leftChars="0"/>
              <w:rPr>
                <w:rFonts w:hint="eastAsia" w:ascii="宋体" w:hAnsi="宋体" w:eastAsia="宋体" w:cs="宋体"/>
                <w:sz w:val="24"/>
                <w:szCs w:val="24"/>
              </w:rPr>
            </w:pPr>
            <w:r>
              <w:rPr>
                <w:rFonts w:hint="eastAsia" w:cs="宋体"/>
                <w:sz w:val="24"/>
                <w:szCs w:val="24"/>
                <w:lang w:val="en-US" w:eastAsia="zh-CN"/>
              </w:rPr>
              <w:t>20</w:t>
            </w:r>
            <w:r>
              <w:rPr>
                <w:rFonts w:hint="eastAsia" w:ascii="宋体" w:hAnsi="宋体" w:eastAsia="宋体" w:cs="宋体"/>
                <w:sz w:val="24"/>
                <w:szCs w:val="24"/>
              </w:rPr>
              <w:t>分</w:t>
            </w:r>
          </w:p>
        </w:tc>
        <w:tc>
          <w:tcPr>
            <w:tcW w:w="4155" w:type="dxa"/>
            <w:vAlign w:val="top"/>
          </w:tcPr>
          <w:p>
            <w:pPr>
              <w:pStyle w:val="107"/>
              <w:spacing w:line="266" w:lineRule="exact"/>
              <w:ind w:left="107" w:leftChars="0"/>
              <w:jc w:val="both"/>
              <w:rPr>
                <w:rFonts w:hint="eastAsia" w:ascii="宋体" w:hAnsi="宋体" w:eastAsia="宋体" w:cs="宋体"/>
                <w:w w:val="95"/>
                <w:sz w:val="24"/>
                <w:szCs w:val="24"/>
              </w:rPr>
            </w:pPr>
            <w:r>
              <w:rPr>
                <w:rFonts w:hint="eastAsia" w:ascii="宋体" w:hAnsi="宋体" w:eastAsia="宋体" w:cs="宋体"/>
                <w:sz w:val="24"/>
                <w:szCs w:val="24"/>
              </w:rPr>
              <w:t>根据投标人提供的售后服务方案进行综合评审。售后服务方案包含但不限于（①</w:t>
            </w:r>
            <w:r>
              <w:rPr>
                <w:rFonts w:hint="eastAsia" w:cs="宋体"/>
                <w:sz w:val="24"/>
                <w:szCs w:val="24"/>
                <w:lang w:val="en-US" w:eastAsia="zh-CN"/>
              </w:rPr>
              <w:t>售后</w:t>
            </w:r>
            <w:r>
              <w:rPr>
                <w:rFonts w:hint="eastAsia" w:ascii="宋体" w:hAnsi="宋体" w:eastAsia="宋体" w:cs="宋体"/>
                <w:sz w:val="24"/>
                <w:szCs w:val="24"/>
              </w:rPr>
              <w:t>服务目标，②</w:t>
            </w:r>
            <w:r>
              <w:rPr>
                <w:rFonts w:hint="eastAsia" w:cs="宋体"/>
                <w:sz w:val="24"/>
                <w:szCs w:val="24"/>
                <w:lang w:val="en-US" w:eastAsia="zh-CN"/>
              </w:rPr>
              <w:t>售后</w:t>
            </w:r>
            <w:r>
              <w:rPr>
                <w:rFonts w:hint="eastAsia" w:ascii="宋体" w:hAnsi="宋体" w:eastAsia="宋体" w:cs="宋体"/>
                <w:sz w:val="24"/>
                <w:szCs w:val="24"/>
              </w:rPr>
              <w:t>服务承诺，③</w:t>
            </w:r>
            <w:r>
              <w:rPr>
                <w:rFonts w:hint="eastAsia" w:cs="宋体"/>
                <w:sz w:val="24"/>
                <w:szCs w:val="24"/>
                <w:lang w:val="en-US" w:eastAsia="zh-CN"/>
              </w:rPr>
              <w:t>售后</w:t>
            </w:r>
            <w:r>
              <w:rPr>
                <w:rFonts w:hint="eastAsia" w:ascii="宋体" w:hAnsi="宋体" w:eastAsia="宋体" w:cs="宋体"/>
                <w:sz w:val="24"/>
                <w:szCs w:val="24"/>
              </w:rPr>
              <w:t>服务质量保证，④对用户的响应及与用户的沟通和联系，⑤管护指导方案等）进行综合评分：</w:t>
            </w:r>
            <w:r>
              <w:rPr>
                <w:rFonts w:hint="eastAsia" w:ascii="宋体" w:hAnsi="宋体" w:eastAsia="宋体" w:cs="宋体"/>
                <w:sz w:val="24"/>
                <w:szCs w:val="24"/>
                <w:lang w:eastAsia="zh-CN"/>
              </w:rPr>
              <w:t>方案完整、无缺失项、完全符合采购需求得</w:t>
            </w:r>
            <w:r>
              <w:rPr>
                <w:rFonts w:hint="eastAsia" w:cs="宋体"/>
                <w:sz w:val="24"/>
                <w:szCs w:val="24"/>
                <w:lang w:val="en-US" w:eastAsia="zh-CN"/>
              </w:rPr>
              <w:t>20</w:t>
            </w:r>
            <w:r>
              <w:rPr>
                <w:rFonts w:hint="eastAsia" w:ascii="宋体" w:hAnsi="宋体" w:eastAsia="宋体" w:cs="宋体"/>
                <w:sz w:val="24"/>
                <w:szCs w:val="24"/>
                <w:lang w:eastAsia="zh-CN"/>
              </w:rPr>
              <w:t>分</w:t>
            </w:r>
            <w:r>
              <w:rPr>
                <w:rFonts w:hint="eastAsia" w:ascii="宋体" w:hAnsi="宋体" w:eastAsia="宋体" w:cs="宋体"/>
                <w:sz w:val="24"/>
                <w:szCs w:val="24"/>
              </w:rPr>
              <w:t>，每有</w:t>
            </w:r>
            <w:r>
              <w:rPr>
                <w:rFonts w:hint="eastAsia" w:ascii="宋体" w:hAnsi="宋体" w:eastAsia="宋体" w:cs="宋体"/>
                <w:sz w:val="24"/>
                <w:szCs w:val="24"/>
                <w:lang w:val="en-US" w:eastAsia="zh-CN"/>
              </w:rPr>
              <w:t>一</w:t>
            </w:r>
            <w:r>
              <w:rPr>
                <w:rFonts w:hint="eastAsia" w:ascii="宋体" w:hAnsi="宋体" w:eastAsia="宋体" w:cs="宋体"/>
                <w:sz w:val="24"/>
                <w:szCs w:val="24"/>
              </w:rPr>
              <w:t>项缺项扣</w:t>
            </w:r>
            <w:r>
              <w:rPr>
                <w:rFonts w:hint="eastAsia"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US" w:eastAsia="zh-CN"/>
              </w:rPr>
              <w:t>以上5项每有一</w:t>
            </w:r>
            <w:r>
              <w:rPr>
                <w:rFonts w:hint="eastAsia" w:ascii="宋体" w:hAnsi="宋体" w:eastAsia="宋体" w:cs="宋体"/>
                <w:sz w:val="24"/>
                <w:szCs w:val="24"/>
              </w:rPr>
              <w:t>处和</w:t>
            </w:r>
            <w:r>
              <w:rPr>
                <w:rFonts w:hint="eastAsia" w:ascii="宋体" w:hAnsi="宋体" w:eastAsia="宋体" w:cs="宋体"/>
                <w:sz w:val="24"/>
                <w:szCs w:val="24"/>
                <w:lang w:val="en-US" w:eastAsia="zh-CN"/>
              </w:rPr>
              <w:t>本</w:t>
            </w:r>
            <w:r>
              <w:rPr>
                <w:rFonts w:hint="eastAsia" w:ascii="宋体" w:hAnsi="宋体" w:eastAsia="宋体" w:cs="宋体"/>
                <w:sz w:val="24"/>
                <w:szCs w:val="24"/>
              </w:rPr>
              <w:t xml:space="preserve">项目无关不符合要求或方案描述有缺陷扣 </w:t>
            </w:r>
            <w:r>
              <w:rPr>
                <w:rFonts w:hint="eastAsia" w:cs="宋体"/>
                <w:sz w:val="24"/>
                <w:szCs w:val="24"/>
                <w:lang w:val="en-US" w:eastAsia="zh-CN"/>
              </w:rPr>
              <w:t>2</w:t>
            </w:r>
            <w:r>
              <w:rPr>
                <w:rFonts w:hint="eastAsia" w:ascii="宋体" w:hAnsi="宋体" w:eastAsia="宋体" w:cs="宋体"/>
                <w:sz w:val="24"/>
                <w:szCs w:val="24"/>
              </w:rPr>
              <w:t>分，本项最多扣</w:t>
            </w:r>
            <w:r>
              <w:rPr>
                <w:rFonts w:hint="eastAsia" w:cs="宋体"/>
                <w:sz w:val="24"/>
                <w:szCs w:val="24"/>
                <w:lang w:val="en-US" w:eastAsia="zh-CN"/>
              </w:rPr>
              <w:t>20</w:t>
            </w:r>
            <w:r>
              <w:rPr>
                <w:rFonts w:hint="eastAsia" w:ascii="宋体" w:hAnsi="宋体" w:eastAsia="宋体" w:cs="宋体"/>
                <w:sz w:val="24"/>
                <w:szCs w:val="24"/>
              </w:rPr>
              <w:t>分。</w:t>
            </w:r>
          </w:p>
        </w:tc>
        <w:tc>
          <w:tcPr>
            <w:tcW w:w="2055" w:type="dxa"/>
            <w:vAlign w:val="top"/>
          </w:tcPr>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rPr>
                <w:rFonts w:hint="eastAsia" w:ascii="宋体" w:hAnsi="宋体" w:eastAsia="宋体" w:cs="宋体"/>
                <w:sz w:val="24"/>
                <w:szCs w:val="24"/>
              </w:rPr>
            </w:pPr>
          </w:p>
          <w:p>
            <w:pPr>
              <w:pStyle w:val="107"/>
              <w:spacing w:before="149" w:line="364" w:lineRule="auto"/>
              <w:ind w:right="407" w:rightChars="0"/>
              <w:rPr>
                <w:rFonts w:hint="eastAsia" w:ascii="宋体" w:hAnsi="宋体" w:eastAsia="宋体" w:cs="宋体"/>
                <w:w w:val="95"/>
                <w:sz w:val="24"/>
                <w:szCs w:val="24"/>
              </w:rPr>
            </w:pPr>
            <w:r>
              <w:rPr>
                <w:rFonts w:hint="eastAsia" w:ascii="宋体" w:hAnsi="宋体" w:eastAsia="宋体" w:cs="宋体"/>
                <w:b/>
                <w:sz w:val="24"/>
                <w:szCs w:val="24"/>
              </w:rPr>
              <w:t>技术类评分因素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21" w:type="dxa"/>
            <w:vAlign w:val="center"/>
          </w:tcPr>
          <w:p>
            <w:pPr>
              <w:pStyle w:val="107"/>
              <w:ind w:left="6" w:leftChars="0"/>
              <w:jc w:val="center"/>
              <w:rPr>
                <w:rFonts w:hint="default" w:cs="宋体"/>
                <w:w w:val="99"/>
                <w:sz w:val="24"/>
                <w:szCs w:val="24"/>
                <w:lang w:val="en-US" w:eastAsia="zh-CN"/>
              </w:rPr>
            </w:pPr>
            <w:r>
              <w:rPr>
                <w:rFonts w:hint="eastAsia" w:cs="宋体"/>
                <w:w w:val="99"/>
                <w:sz w:val="24"/>
                <w:szCs w:val="24"/>
                <w:lang w:val="en-US" w:eastAsia="zh-CN"/>
              </w:rPr>
              <w:t>6</w:t>
            </w:r>
            <w:bookmarkStart w:id="411" w:name="_GoBack"/>
            <w:bookmarkEnd w:id="411"/>
          </w:p>
        </w:tc>
        <w:tc>
          <w:tcPr>
            <w:tcW w:w="1549" w:type="dxa"/>
            <w:vAlign w:val="center"/>
          </w:tcPr>
          <w:p>
            <w:pPr>
              <w:tabs>
                <w:tab w:val="left" w:pos="7665"/>
              </w:tabs>
              <w:snapToGrid w:val="0"/>
              <w:jc w:val="center"/>
              <w:rPr>
                <w:rFonts w:hint="eastAsia" w:ascii="宋体" w:hAnsi="宋体" w:eastAsia="宋体" w:cs="宋体"/>
                <w:sz w:val="24"/>
                <w:szCs w:val="24"/>
              </w:rPr>
            </w:pPr>
            <w:r>
              <w:rPr>
                <w:rFonts w:hint="eastAsia" w:ascii="宋体" w:hAnsi="宋体" w:eastAsia="宋体" w:cs="宋体"/>
                <w:sz w:val="24"/>
                <w:szCs w:val="24"/>
              </w:rPr>
              <w:t>节能、环境标志产品</w:t>
            </w:r>
          </w:p>
          <w:p>
            <w:pPr>
              <w:tabs>
                <w:tab w:val="left" w:pos="7665"/>
              </w:tabs>
              <w:snapToGrid w:val="0"/>
              <w:jc w:val="center"/>
              <w:rPr>
                <w:rFonts w:hint="eastAsia" w:ascii="宋体" w:hAnsi="宋体" w:eastAsia="宋体" w:cs="宋体"/>
                <w:spacing w:val="-4"/>
                <w:sz w:val="24"/>
                <w:szCs w:val="24"/>
              </w:rPr>
            </w:pPr>
            <w:r>
              <w:rPr>
                <w:rFonts w:hint="eastAsia" w:hAnsi="宋体" w:cs="宋体"/>
                <w:sz w:val="24"/>
                <w:szCs w:val="24"/>
                <w:lang w:val="en-US" w:eastAsia="zh-CN"/>
              </w:rPr>
              <w:t>0.5</w:t>
            </w:r>
            <w:r>
              <w:rPr>
                <w:rFonts w:hint="eastAsia" w:ascii="宋体" w:hAnsi="宋体" w:eastAsia="宋体" w:cs="宋体"/>
                <w:sz w:val="24"/>
                <w:szCs w:val="24"/>
              </w:rPr>
              <w:t>%</w:t>
            </w:r>
          </w:p>
        </w:tc>
        <w:tc>
          <w:tcPr>
            <w:tcW w:w="945" w:type="dxa"/>
            <w:vAlign w:val="center"/>
          </w:tcPr>
          <w:p>
            <w:pPr>
              <w:tabs>
                <w:tab w:val="left" w:pos="7665"/>
              </w:tabs>
              <w:snapToGrid w:val="0"/>
              <w:rPr>
                <w:rFonts w:hint="eastAsia" w:cs="宋体"/>
                <w:sz w:val="24"/>
                <w:szCs w:val="24"/>
                <w:lang w:val="en-US" w:eastAsia="zh-CN"/>
              </w:rPr>
            </w:pPr>
            <w:r>
              <w:rPr>
                <w:rFonts w:hint="eastAsia" w:hAnsi="宋体" w:cs="宋体"/>
                <w:sz w:val="24"/>
                <w:szCs w:val="24"/>
                <w:lang w:val="en-US" w:eastAsia="zh-CN"/>
              </w:rPr>
              <w:t>0.5</w:t>
            </w:r>
            <w:r>
              <w:rPr>
                <w:rFonts w:hint="eastAsia" w:ascii="宋体" w:hAnsi="宋体" w:eastAsia="宋体" w:cs="宋体"/>
                <w:sz w:val="24"/>
                <w:szCs w:val="24"/>
              </w:rPr>
              <w:t>分</w:t>
            </w:r>
          </w:p>
        </w:tc>
        <w:tc>
          <w:tcPr>
            <w:tcW w:w="4155" w:type="dxa"/>
            <w:vAlign w:val="center"/>
          </w:tcPr>
          <w:p>
            <w:pPr>
              <w:rPr>
                <w:rFonts w:hint="eastAsia" w:ascii="宋体" w:hAnsi="宋体" w:eastAsia="宋体" w:cs="宋体"/>
                <w:sz w:val="24"/>
                <w:szCs w:val="24"/>
              </w:rPr>
            </w:pPr>
            <w:r>
              <w:rPr>
                <w:rFonts w:hint="eastAsia" w:ascii="宋体" w:hAnsi="宋体" w:eastAsia="宋体" w:cs="宋体"/>
                <w:sz w:val="24"/>
                <w:szCs w:val="24"/>
              </w:rPr>
              <w:t>投标产品中属于政府采购优先采购范围的，则每有一项为节能产品或者环境标志产品或者无线局域网产品的得</w:t>
            </w:r>
            <w:r>
              <w:rPr>
                <w:rFonts w:hint="eastAsia" w:hAnsi="宋体" w:cs="宋体"/>
                <w:sz w:val="24"/>
                <w:szCs w:val="24"/>
                <w:lang w:val="en-US" w:eastAsia="zh-CN"/>
              </w:rPr>
              <w:t>0.5</w:t>
            </w:r>
            <w:r>
              <w:rPr>
                <w:rFonts w:hint="eastAsia" w:ascii="宋体" w:hAnsi="宋体" w:eastAsia="宋体" w:cs="宋体"/>
                <w:sz w:val="24"/>
                <w:szCs w:val="24"/>
              </w:rPr>
              <w:t>分，非节能、环境标志产品的、无线局域网产品的不得分。本项最多得</w:t>
            </w:r>
            <w:r>
              <w:rPr>
                <w:rFonts w:hint="eastAsia" w:hAnsi="宋体" w:cs="宋体"/>
                <w:sz w:val="24"/>
                <w:szCs w:val="24"/>
                <w:lang w:val="en-US" w:eastAsia="zh-CN"/>
              </w:rPr>
              <w:t>0.5</w:t>
            </w:r>
            <w:r>
              <w:rPr>
                <w:rFonts w:hint="eastAsia" w:ascii="宋体" w:hAnsi="宋体" w:eastAsia="宋体" w:cs="宋体"/>
                <w:sz w:val="24"/>
                <w:szCs w:val="24"/>
              </w:rPr>
              <w:t>分。</w:t>
            </w:r>
          </w:p>
          <w:p>
            <w:pPr>
              <w:rPr>
                <w:rFonts w:hint="eastAsia" w:ascii="宋体" w:hAnsi="宋体" w:eastAsia="宋体" w:cs="宋体"/>
                <w:sz w:val="24"/>
                <w:szCs w:val="24"/>
              </w:rPr>
            </w:pPr>
            <w:r>
              <w:rPr>
                <w:rFonts w:hint="eastAsia" w:ascii="宋体" w:hAnsi="宋体" w:eastAsia="宋体" w:cs="宋体"/>
                <w:sz w:val="24"/>
                <w:szCs w:val="24"/>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rPr>
                <w:rFonts w:hint="eastAsia" w:ascii="宋体" w:hAnsi="宋体" w:eastAsia="宋体" w:cs="宋体"/>
                <w:sz w:val="24"/>
                <w:szCs w:val="24"/>
              </w:rPr>
            </w:pPr>
            <w:r>
              <w:rPr>
                <w:rFonts w:hint="eastAsia" w:ascii="宋体" w:hAnsi="宋体" w:eastAsia="宋体" w:cs="宋体"/>
                <w:sz w:val="24"/>
                <w:szCs w:val="24"/>
              </w:rPr>
              <w:t>2. 投标产品属于优先采购范围内的节能产品或者环境标志产品的，提供国家确定的认证机构出具的、处于有效期之内的节能产品、环境标志产品认证证书复印件加盖供应商公章（鲜章）。</w:t>
            </w:r>
          </w:p>
          <w:p>
            <w:pPr>
              <w:tabs>
                <w:tab w:val="left" w:pos="7665"/>
              </w:tabs>
              <w:snapToGrid w:val="0"/>
              <w:rPr>
                <w:rFonts w:hint="eastAsia" w:ascii="宋体" w:hAnsi="宋体" w:eastAsia="宋体" w:cs="宋体"/>
                <w:sz w:val="24"/>
                <w:szCs w:val="24"/>
              </w:rPr>
            </w:pPr>
            <w:r>
              <w:rPr>
                <w:rFonts w:hint="eastAsia" w:ascii="宋体" w:hAnsi="宋体" w:eastAsia="宋体" w:cs="宋体"/>
                <w:sz w:val="24"/>
                <w:szCs w:val="24"/>
              </w:rPr>
              <w:t>3.投标产品属于优先采购范围内的无线局域网产品的，提供政府采购清单对应页并加盖供应商单位公章（鲜章）</w:t>
            </w:r>
          </w:p>
        </w:tc>
        <w:tc>
          <w:tcPr>
            <w:tcW w:w="2055" w:type="dxa"/>
            <w:vAlign w:val="center"/>
          </w:tcPr>
          <w:p>
            <w:pPr>
              <w:spacing w:line="320" w:lineRule="exact"/>
              <w:ind w:left="-38" w:leftChars="0"/>
              <w:jc w:val="center"/>
              <w:rPr>
                <w:rFonts w:hint="eastAsia" w:ascii="宋体" w:hAnsi="宋体" w:eastAsia="宋体" w:cs="宋体"/>
                <w:b/>
                <w:sz w:val="24"/>
                <w:szCs w:val="24"/>
              </w:rPr>
            </w:pPr>
            <w:r>
              <w:rPr>
                <w:rFonts w:hint="eastAsia" w:ascii="宋体" w:hAnsi="宋体" w:eastAsia="宋体" w:cs="宋体"/>
                <w:b/>
                <w:kern w:val="2"/>
                <w:sz w:val="24"/>
                <w:szCs w:val="24"/>
                <w:lang w:val="en-US" w:eastAsia="zh-CN" w:bidi="zh-CN"/>
              </w:rPr>
              <w:t>共同评分因素</w:t>
            </w:r>
          </w:p>
        </w:tc>
      </w:tr>
    </w:tbl>
    <w:p>
      <w:pPr>
        <w:rPr>
          <w:color w:val="auto"/>
        </w:rPr>
      </w:pPr>
    </w:p>
    <w:p>
      <w:pPr>
        <w:ind w:firstLine="360" w:firstLineChars="150"/>
        <w:rPr>
          <w:color w:val="auto"/>
          <w:sz w:val="24"/>
        </w:rPr>
      </w:pPr>
      <w:r>
        <w:rPr>
          <w:rFonts w:hint="eastAsia"/>
          <w:color w:val="auto"/>
          <w:sz w:val="24"/>
        </w:rPr>
        <w:t>注：1）</w:t>
      </w:r>
      <w:r>
        <w:rPr>
          <w:rFonts w:hint="eastAsia" w:ascii="宋体"/>
          <w:color w:val="auto"/>
          <w:sz w:val="24"/>
        </w:rPr>
        <w:t>采购人/采购代理机构应当根据上表结合具体政府采购项目按照有关规定自行制定综合评分明细表。</w:t>
      </w:r>
    </w:p>
    <w:p>
      <w:pPr>
        <w:ind w:firstLine="720" w:firstLineChars="300"/>
        <w:rPr>
          <w:rFonts w:hint="eastAsia"/>
          <w:color w:val="auto"/>
        </w:rPr>
      </w:pPr>
      <w:r>
        <w:rPr>
          <w:rFonts w:hint="eastAsia"/>
          <w:color w:val="auto"/>
          <w:sz w:val="24"/>
        </w:rPr>
        <w:t>2）评分的取值按四舍五入法，保留小数点后两位。</w:t>
      </w:r>
    </w:p>
    <w:bookmarkEnd w:id="265"/>
    <w:bookmarkEnd w:id="266"/>
    <w:bookmarkEnd w:id="267"/>
    <w:bookmarkEnd w:id="268"/>
    <w:p>
      <w:pPr>
        <w:pStyle w:val="4"/>
        <w:keepNext w:val="0"/>
        <w:keepLines w:val="0"/>
        <w:spacing w:before="0" w:after="0" w:line="400" w:lineRule="exact"/>
        <w:ind w:firstLine="551" w:firstLineChars="196"/>
        <w:rPr>
          <w:rFonts w:hint="eastAsia" w:asciiTheme="majorEastAsia" w:hAnsiTheme="majorEastAsia" w:eastAsiaTheme="majorEastAsia" w:cstheme="majorEastAsia"/>
          <w:b/>
          <w:bCs/>
          <w:color w:val="auto"/>
          <w:sz w:val="28"/>
          <w:szCs w:val="22"/>
        </w:rPr>
      </w:pPr>
      <w:bookmarkStart w:id="353" w:name="_Toc531718445"/>
      <w:r>
        <w:rPr>
          <w:rFonts w:hint="eastAsia" w:asciiTheme="majorEastAsia" w:hAnsiTheme="majorEastAsia" w:eastAsiaTheme="majorEastAsia" w:cstheme="majorEastAsia"/>
          <w:b/>
          <w:bCs/>
          <w:color w:val="auto"/>
          <w:sz w:val="28"/>
          <w:szCs w:val="22"/>
        </w:rPr>
        <w:t>4.磋商纪律及注意事项</w:t>
      </w:r>
      <w:bookmarkEnd w:id="353"/>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4.3</w:t>
      </w:r>
      <w:r>
        <w:rPr>
          <w:rFonts w:hint="eastAsia"/>
          <w:color w:val="auto"/>
          <w:sz w:val="24"/>
        </w:rPr>
        <w:t>对各供应商的商业秘密，磋商小组成员应予以保密，不得泄露给其他供应商。</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4.4 磋商小组独立评判，推荐成交候选人，并写出书面报告。</w:t>
      </w:r>
    </w:p>
    <w:p>
      <w:pPr>
        <w:tabs>
          <w:tab w:val="left" w:pos="851"/>
        </w:tabs>
        <w:spacing w:line="400" w:lineRule="exact"/>
        <w:ind w:firstLine="480" w:firstLineChars="200"/>
        <w:rPr>
          <w:rFonts w:ascii="宋体" w:hAnsi="宋体"/>
          <w:color w:val="auto"/>
          <w:sz w:val="24"/>
        </w:rPr>
      </w:pPr>
      <w:r>
        <w:rPr>
          <w:rFonts w:hint="eastAsia" w:ascii="宋体" w:hAnsi="宋体"/>
          <w:color w:val="auto"/>
          <w:sz w:val="24"/>
        </w:rPr>
        <w:t>4.5 磋商小组可根据需要对供应商进行实地考察。</w:t>
      </w:r>
    </w:p>
    <w:p>
      <w:pPr>
        <w:spacing w:line="400" w:lineRule="exact"/>
        <w:ind w:firstLine="480" w:firstLineChars="200"/>
        <w:rPr>
          <w:rFonts w:ascii="宋体"/>
          <w:color w:val="auto"/>
          <w:sz w:val="24"/>
        </w:rPr>
      </w:pPr>
    </w:p>
    <w:p>
      <w:pPr>
        <w:pStyle w:val="4"/>
        <w:keepNext w:val="0"/>
        <w:keepLines w:val="0"/>
        <w:spacing w:before="0" w:after="0" w:line="400" w:lineRule="exact"/>
        <w:ind w:firstLine="551" w:firstLineChars="196"/>
        <w:rPr>
          <w:rFonts w:hint="eastAsia" w:asciiTheme="majorEastAsia" w:hAnsiTheme="majorEastAsia" w:eastAsiaTheme="majorEastAsia" w:cstheme="majorEastAsia"/>
          <w:b/>
          <w:bCs/>
          <w:color w:val="auto"/>
          <w:sz w:val="28"/>
          <w:szCs w:val="22"/>
        </w:rPr>
      </w:pPr>
      <w:bookmarkStart w:id="354" w:name="_Toc531718446"/>
      <w:r>
        <w:rPr>
          <w:rFonts w:hint="eastAsia" w:asciiTheme="majorEastAsia" w:hAnsiTheme="majorEastAsia" w:eastAsiaTheme="majorEastAsia" w:cstheme="majorEastAsia"/>
          <w:b/>
          <w:bCs/>
          <w:color w:val="auto"/>
          <w:sz w:val="28"/>
          <w:szCs w:val="22"/>
        </w:rPr>
        <w:t>5.</w:t>
      </w:r>
      <w:bookmarkEnd w:id="269"/>
      <w:r>
        <w:rPr>
          <w:rFonts w:hint="eastAsia" w:asciiTheme="majorEastAsia" w:hAnsiTheme="majorEastAsia" w:eastAsiaTheme="majorEastAsia" w:cstheme="majorEastAsia"/>
          <w:b/>
          <w:bCs/>
          <w:color w:val="auto"/>
          <w:sz w:val="28"/>
          <w:szCs w:val="22"/>
        </w:rPr>
        <w:t>磋商小组在政府采购活动中承担以下义务：</w:t>
      </w:r>
      <w:bookmarkEnd w:id="354"/>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（一）遵守评审工作纪律；</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（二）按照客观、公正、审慎的原则，根据磋商文件规定的评审程序、评审方法和评审标准进行独立评审；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（三）不得泄露评审文件、评审情况和在评审过程中获悉的商业秘密；</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（六）及时向财政、监察等部门举报在评审过程中受到非法干预的情况；</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（七）配合答复处理供应商的询问、质疑和投诉等事项；</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（八）法律、法规和规章规定的其他义务。</w:t>
      </w:r>
    </w:p>
    <w:p>
      <w:pPr>
        <w:tabs>
          <w:tab w:val="left" w:pos="7665"/>
        </w:tabs>
        <w:spacing w:line="400" w:lineRule="exact"/>
        <w:rPr>
          <w:rFonts w:ascii="宋体" w:hAnsi="宋体"/>
          <w:color w:val="auto"/>
          <w:sz w:val="24"/>
        </w:rPr>
      </w:pPr>
    </w:p>
    <w:p>
      <w:pPr>
        <w:pStyle w:val="4"/>
        <w:keepNext w:val="0"/>
        <w:keepLines w:val="0"/>
        <w:spacing w:before="0" w:after="0" w:line="400" w:lineRule="exact"/>
        <w:ind w:firstLine="551" w:firstLineChars="196"/>
        <w:rPr>
          <w:rFonts w:hint="eastAsia" w:asciiTheme="majorEastAsia" w:hAnsiTheme="majorEastAsia" w:eastAsiaTheme="majorEastAsia" w:cstheme="majorEastAsia"/>
          <w:b/>
          <w:bCs/>
          <w:color w:val="auto"/>
          <w:sz w:val="28"/>
          <w:szCs w:val="22"/>
        </w:rPr>
      </w:pPr>
      <w:bookmarkStart w:id="355" w:name="_Toc531718447"/>
      <w:r>
        <w:rPr>
          <w:rFonts w:hint="eastAsia" w:asciiTheme="majorEastAsia" w:hAnsiTheme="majorEastAsia" w:eastAsiaTheme="majorEastAsia" w:cstheme="majorEastAsia"/>
          <w:b/>
          <w:bCs/>
          <w:color w:val="auto"/>
          <w:sz w:val="28"/>
          <w:szCs w:val="22"/>
        </w:rPr>
        <w:t>6.评审专家在政府采购活动中应当遵守以下工作纪律：</w:t>
      </w:r>
      <w:bookmarkEnd w:id="355"/>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（二）评审前，应当将通讯工具或者相关电子设备交由采购代理机构统一保管；</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auto"/>
          <w:sz w:val="24"/>
        </w:rPr>
      </w:pPr>
      <w:r>
        <w:rPr>
          <w:rFonts w:hint="eastAsia" w:ascii="宋体" w:hAnsi="宋体"/>
          <w:color w:val="auto"/>
          <w:sz w:val="24"/>
        </w:rPr>
        <w:t>（七）遵守有关廉洁自律规定，不得私下接触供应商，不得收受供应商及有关业务单位和个人的财物或好处，不得接受采购代理机构的请托。</w:t>
      </w:r>
    </w:p>
    <w:p>
      <w:pPr>
        <w:rPr>
          <w:color w:val="auto"/>
        </w:rPr>
      </w:pPr>
    </w:p>
    <w:p>
      <w:pPr>
        <w:widowControl/>
        <w:jc w:val="left"/>
        <w:rPr>
          <w:color w:val="auto"/>
        </w:rPr>
      </w:pPr>
      <w:r>
        <w:rPr>
          <w:color w:val="auto"/>
        </w:rPr>
        <w:br w:type="page"/>
      </w:r>
    </w:p>
    <w:p>
      <w:pPr>
        <w:pStyle w:val="3"/>
        <w:spacing w:line="360" w:lineRule="auto"/>
        <w:jc w:val="center"/>
        <w:rPr>
          <w:color w:val="auto"/>
        </w:rPr>
      </w:pPr>
      <w:bookmarkStart w:id="356" w:name="_Toc21368"/>
      <w:bookmarkStart w:id="357" w:name="_Toc532395212"/>
      <w:bookmarkStart w:id="358" w:name="_Toc531718448"/>
      <w:r>
        <w:rPr>
          <w:rFonts w:hint="eastAsia"/>
          <w:color w:val="auto"/>
        </w:rPr>
        <w:t>第八章  政府采购合同（草案）</w:t>
      </w:r>
      <w:bookmarkEnd w:id="211"/>
      <w:bookmarkEnd w:id="212"/>
      <w:bookmarkEnd w:id="213"/>
      <w:bookmarkEnd w:id="356"/>
      <w:bookmarkEnd w:id="357"/>
      <w:bookmarkEnd w:id="358"/>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采购人（甲方）：</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供应商（乙方）：</w:t>
      </w:r>
    </w:p>
    <w:p>
      <w:pPr>
        <w:spacing w:line="200" w:lineRule="exact"/>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》、《中华人民共和国政府采购法》与项目行业有关的法律法规，以及XXXX项目（项目编号：XXXX）的《</w:t>
      </w:r>
      <w:r>
        <w:rPr>
          <w:rFonts w:hint="eastAsia" w:ascii="宋体" w:hAnsi="宋体" w:eastAsia="宋体" w:cs="宋体"/>
          <w:sz w:val="24"/>
          <w:szCs w:val="24"/>
          <w:lang w:val="en-US" w:eastAsia="zh-CN"/>
        </w:rPr>
        <w:t>竞争性磋商文件</w:t>
      </w:r>
      <w:r>
        <w:rPr>
          <w:rFonts w:hint="eastAsia" w:ascii="宋体" w:hAnsi="宋体" w:eastAsia="宋体" w:cs="宋体"/>
          <w:sz w:val="24"/>
          <w:szCs w:val="24"/>
        </w:rPr>
        <w:t>》，乙方的《</w:t>
      </w:r>
      <w:r>
        <w:rPr>
          <w:rFonts w:hint="eastAsia" w:ascii="宋体" w:hAnsi="宋体" w:eastAsia="宋体" w:cs="宋体"/>
          <w:sz w:val="24"/>
          <w:szCs w:val="24"/>
          <w:lang w:eastAsia="zh-CN"/>
        </w:rPr>
        <w:t>响应文件</w:t>
      </w:r>
      <w:r>
        <w:rPr>
          <w:rFonts w:hint="eastAsia" w:ascii="宋体" w:hAnsi="宋体" w:eastAsia="宋体" w:cs="宋体"/>
          <w:sz w:val="24"/>
          <w:szCs w:val="24"/>
        </w:rPr>
        <w:t>》及《</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通知书》，甲、乙双方同意签订本合同。详细技术说明及其他有关合同项目的特定信息由合同附件予以说明，合同附件及本项目的《</w:t>
      </w:r>
      <w:r>
        <w:rPr>
          <w:rFonts w:hint="eastAsia" w:ascii="宋体" w:hAnsi="宋体" w:eastAsia="宋体" w:cs="宋体"/>
          <w:sz w:val="24"/>
          <w:szCs w:val="24"/>
          <w:lang w:val="en-US" w:eastAsia="zh-CN"/>
        </w:rPr>
        <w:t>竞争性磋商文件</w:t>
      </w:r>
      <w:r>
        <w:rPr>
          <w:rFonts w:hint="eastAsia" w:ascii="宋体" w:hAnsi="宋体" w:eastAsia="宋体" w:cs="宋体"/>
          <w:sz w:val="24"/>
          <w:szCs w:val="24"/>
        </w:rPr>
        <w:t>》、《</w:t>
      </w:r>
      <w:r>
        <w:rPr>
          <w:rFonts w:hint="eastAsia" w:ascii="宋体" w:hAnsi="宋体" w:eastAsia="宋体" w:cs="宋体"/>
          <w:sz w:val="24"/>
          <w:szCs w:val="24"/>
          <w:lang w:eastAsia="zh-CN"/>
        </w:rPr>
        <w:t>响应文件</w:t>
      </w:r>
      <w:r>
        <w:rPr>
          <w:rFonts w:hint="eastAsia" w:ascii="宋体" w:hAnsi="宋体" w:eastAsia="宋体" w:cs="宋体"/>
          <w:sz w:val="24"/>
          <w:szCs w:val="24"/>
        </w:rPr>
        <w:t>》、《</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通知书》等均为本合同的组成部分。</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项目基本情况</w:t>
      </w:r>
    </w:p>
    <w:p>
      <w:pPr>
        <w:spacing w:line="200" w:lineRule="exact"/>
        <w:ind w:firstLine="630"/>
        <w:rPr>
          <w:rFonts w:hint="eastAsia" w:ascii="宋体" w:hAnsi="宋体" w:eastAsia="宋体" w:cs="宋体"/>
          <w:b/>
          <w:sz w:val="24"/>
          <w:szCs w:val="24"/>
        </w:rPr>
      </w:pP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合同期限</w:t>
      </w:r>
    </w:p>
    <w:p>
      <w:pPr>
        <w:spacing w:line="200" w:lineRule="exact"/>
        <w:ind w:firstLine="480" w:firstLineChars="200"/>
        <w:rPr>
          <w:rFonts w:hint="eastAsia" w:ascii="宋体" w:hAnsi="宋体" w:eastAsia="宋体" w:cs="宋体"/>
          <w:sz w:val="24"/>
          <w:szCs w:val="24"/>
        </w:rPr>
      </w:pPr>
    </w:p>
    <w:p>
      <w:pPr>
        <w:numPr>
          <w:ilvl w:val="0"/>
          <w:numId w:val="5"/>
        </w:numPr>
        <w:spacing w:line="440" w:lineRule="exact"/>
        <w:rPr>
          <w:rFonts w:hint="eastAsia" w:ascii="宋体" w:hAnsi="宋体" w:eastAsia="宋体" w:cs="宋体"/>
          <w:b/>
          <w:sz w:val="24"/>
          <w:szCs w:val="24"/>
        </w:rPr>
      </w:pPr>
      <w:bookmarkStart w:id="359" w:name="_Toc238984975"/>
      <w:bookmarkStart w:id="360" w:name="_Toc211911348"/>
      <w:bookmarkStart w:id="361" w:name="_Toc251768862"/>
      <w:bookmarkStart w:id="362" w:name="_Toc239568418"/>
      <w:bookmarkStart w:id="363" w:name="_Toc237145406"/>
      <w:bookmarkStart w:id="364" w:name="_Toc225244852"/>
      <w:bookmarkStart w:id="365" w:name="_Toc283019214"/>
      <w:bookmarkStart w:id="366" w:name="_Toc241833903"/>
      <w:bookmarkStart w:id="367" w:name="_Toc225654644"/>
      <w:bookmarkStart w:id="368" w:name="_Toc211854449"/>
      <w:bookmarkStart w:id="369" w:name="_Toc239233914"/>
      <w:bookmarkStart w:id="370" w:name="_Toc286993786"/>
      <w:bookmarkStart w:id="371" w:name="_Toc212019594"/>
      <w:bookmarkStart w:id="372" w:name="_Toc185395249"/>
      <w:bookmarkStart w:id="373" w:name="_Toc232492928"/>
      <w:bookmarkStart w:id="374" w:name="_Toc282696226"/>
      <w:bookmarkStart w:id="375" w:name="_Toc247334841"/>
      <w:bookmarkStart w:id="376" w:name="_Toc225670751"/>
      <w:r>
        <w:rPr>
          <w:rFonts w:hint="eastAsia" w:ascii="宋体" w:hAnsi="宋体" w:eastAsia="宋体" w:cs="宋体"/>
          <w:b/>
          <w:sz w:val="24"/>
          <w:szCs w:val="24"/>
        </w:rPr>
        <w:t>服务内容与质量标准</w:t>
      </w:r>
    </w:p>
    <w:p>
      <w:pPr>
        <w:spacing w:line="440" w:lineRule="exact"/>
        <w:ind w:left="567"/>
        <w:rPr>
          <w:rFonts w:hint="eastAsia" w:ascii="宋体" w:hAnsi="宋体" w:eastAsia="宋体" w:cs="宋体"/>
          <w:sz w:val="24"/>
          <w:szCs w:val="24"/>
        </w:rPr>
      </w:pPr>
      <w:r>
        <w:rPr>
          <w:rFonts w:hint="eastAsia" w:ascii="宋体" w:hAnsi="宋体" w:eastAsia="宋体" w:cs="宋体"/>
          <w:sz w:val="24"/>
          <w:szCs w:val="24"/>
        </w:rPr>
        <w:t>1、XXXX；</w:t>
      </w:r>
    </w:p>
    <w:p>
      <w:pPr>
        <w:spacing w:line="440" w:lineRule="exact"/>
        <w:ind w:left="567"/>
        <w:rPr>
          <w:rFonts w:hint="eastAsia" w:ascii="宋体" w:hAnsi="宋体" w:eastAsia="宋体" w:cs="宋体"/>
          <w:sz w:val="24"/>
          <w:szCs w:val="24"/>
        </w:rPr>
      </w:pPr>
      <w:r>
        <w:rPr>
          <w:rFonts w:hint="eastAsia" w:ascii="宋体" w:hAnsi="宋体" w:eastAsia="宋体" w:cs="宋体"/>
          <w:sz w:val="24"/>
          <w:szCs w:val="24"/>
        </w:rPr>
        <w:t>2、XXXX；</w:t>
      </w:r>
    </w:p>
    <w:p>
      <w:pPr>
        <w:spacing w:line="440" w:lineRule="exact"/>
        <w:ind w:left="567"/>
        <w:rPr>
          <w:rFonts w:hint="eastAsia" w:ascii="宋体" w:hAnsi="宋体" w:eastAsia="宋体" w:cs="宋体"/>
          <w:sz w:val="24"/>
          <w:szCs w:val="24"/>
        </w:rPr>
      </w:pPr>
      <w:r>
        <w:rPr>
          <w:rFonts w:hint="eastAsia" w:ascii="宋体" w:hAnsi="宋体" w:eastAsia="宋体" w:cs="宋体"/>
          <w:sz w:val="24"/>
          <w:szCs w:val="24"/>
        </w:rPr>
        <w:t>3、XXXX．</w:t>
      </w:r>
    </w:p>
    <w:p>
      <w:pPr>
        <w:spacing w:line="440" w:lineRule="exact"/>
        <w:ind w:firstLine="630"/>
        <w:rPr>
          <w:rFonts w:hint="eastAsia" w:ascii="宋体" w:hAnsi="宋体" w:eastAsia="宋体" w:cs="宋体"/>
          <w:sz w:val="24"/>
          <w:szCs w:val="24"/>
        </w:rPr>
      </w:pPr>
      <w:r>
        <w:rPr>
          <w:rFonts w:hint="eastAsia" w:ascii="宋体" w:hAnsi="宋体" w:eastAsia="宋体" w:cs="宋体"/>
          <w:sz w:val="24"/>
          <w:szCs w:val="24"/>
        </w:rPr>
        <w:t>…</w:t>
      </w:r>
    </w:p>
    <w:p>
      <w:pPr>
        <w:numPr>
          <w:ilvl w:val="0"/>
          <w:numId w:val="5"/>
        </w:numPr>
        <w:spacing w:line="440" w:lineRule="exact"/>
        <w:rPr>
          <w:rFonts w:hint="eastAsia" w:ascii="宋体" w:hAnsi="宋体" w:eastAsia="宋体" w:cs="宋体"/>
          <w:b/>
          <w:sz w:val="24"/>
          <w:szCs w:val="24"/>
        </w:rPr>
      </w:pPr>
      <w:r>
        <w:rPr>
          <w:rFonts w:hint="eastAsia" w:ascii="宋体" w:hAnsi="宋体" w:eastAsia="宋体" w:cs="宋体"/>
          <w:b/>
          <w:sz w:val="24"/>
          <w:szCs w:val="24"/>
        </w:rPr>
        <w:t>服务费用及支付方式</w:t>
      </w:r>
    </w:p>
    <w:p>
      <w:pPr>
        <w:numPr>
          <w:ilvl w:val="0"/>
          <w:numId w:val="6"/>
        </w:numPr>
        <w:spacing w:line="440" w:lineRule="exact"/>
        <w:ind w:left="0" w:firstLine="567"/>
        <w:rPr>
          <w:rFonts w:hint="eastAsia" w:ascii="宋体" w:hAnsi="宋体" w:eastAsia="宋体" w:cs="宋体"/>
          <w:b/>
          <w:sz w:val="24"/>
          <w:szCs w:val="24"/>
        </w:rPr>
      </w:pPr>
      <w:r>
        <w:rPr>
          <w:rFonts w:hint="eastAsia" w:ascii="宋体" w:hAnsi="宋体" w:eastAsia="宋体" w:cs="宋体"/>
          <w:b/>
          <w:sz w:val="24"/>
          <w:szCs w:val="24"/>
        </w:rPr>
        <w:t>本项目服务费用由以下组成：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1、XX万元；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2、XX万元；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3、XX万元。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numPr>
          <w:ilvl w:val="0"/>
          <w:numId w:val="6"/>
        </w:numPr>
        <w:tabs>
          <w:tab w:val="left" w:pos="780"/>
        </w:tabs>
        <w:spacing w:line="440" w:lineRule="exact"/>
        <w:ind w:left="0" w:firstLine="567"/>
        <w:rPr>
          <w:rFonts w:hint="eastAsia" w:ascii="宋体" w:hAnsi="宋体" w:eastAsia="宋体" w:cs="宋体"/>
          <w:b/>
          <w:sz w:val="24"/>
          <w:szCs w:val="24"/>
        </w:rPr>
      </w:pPr>
      <w:r>
        <w:rPr>
          <w:rFonts w:hint="eastAsia" w:ascii="宋体" w:hAnsi="宋体" w:eastAsia="宋体" w:cs="宋体"/>
          <w:b/>
          <w:sz w:val="24"/>
          <w:szCs w:val="24"/>
        </w:rPr>
        <w:t xml:space="preserve">服务费支付方式： </w:t>
      </w:r>
    </w:p>
    <w:p>
      <w:pPr>
        <w:numPr>
          <w:ilvl w:val="0"/>
          <w:numId w:val="5"/>
        </w:numPr>
        <w:spacing w:line="440" w:lineRule="exact"/>
        <w:rPr>
          <w:rFonts w:hint="eastAsia" w:ascii="宋体" w:hAnsi="宋体" w:eastAsia="宋体" w:cs="宋体"/>
          <w:b/>
          <w:sz w:val="24"/>
          <w:szCs w:val="24"/>
        </w:rPr>
      </w:pPr>
      <w:r>
        <w:rPr>
          <w:rFonts w:hint="eastAsia" w:ascii="宋体" w:hAnsi="宋体" w:eastAsia="宋体" w:cs="宋体"/>
          <w:b/>
          <w:sz w:val="24"/>
          <w:szCs w:val="24"/>
        </w:rPr>
        <w:t>知识产权</w:t>
      </w:r>
    </w:p>
    <w:p>
      <w:pPr>
        <w:tabs>
          <w:tab w:val="left" w:pos="14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乙方应保证所提供的服务或其任何一部分均不会侵犯任何第三方的专利权、商标权或著作权。</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无产权瑕疵条款</w:t>
      </w:r>
    </w:p>
    <w:p>
      <w:pPr>
        <w:tabs>
          <w:tab w:val="left" w:pos="14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甲方的权利和义务</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2、甲方有权依据双方签订的考评办法对乙方提供的服务进行定期考评。</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3、负责检查监督乙方管理工作的实施及制度的执行情况。</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4、根据本合同规定，按时向乙方支付应付服务费用。</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5、国家法律、法规所规定由甲方承担的其它责任。</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乙方的权利和义务</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1、对本合同规定的委托服务范围内的项目享有管理权及服务义务。</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2、根据本合同的规定向甲方收取相关服务费用，并有权在本项目管理范围内管理及合理使用。</w:t>
      </w:r>
    </w:p>
    <w:p>
      <w:pPr>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3、及时向甲方通告本项目服务范围内有关服务的重大事项，及时配合处理投诉。</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4、</w:t>
      </w:r>
      <w:r>
        <w:rPr>
          <w:rFonts w:hint="eastAsia" w:ascii="宋体" w:hAnsi="宋体" w:eastAsia="宋体" w:cs="宋体"/>
          <w:bCs/>
          <w:sz w:val="24"/>
          <w:szCs w:val="24"/>
        </w:rPr>
        <w:t>接受项目行业管理部门及政府有关部门的指导，接受甲方的监督。</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5、国家法律、法规所规定由乙方承担的其它责任。</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违约责任</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1、甲乙双方必须遵守本合同并执行合同中的各项规定，保证本合同的正常履行。</w:t>
      </w:r>
    </w:p>
    <w:p>
      <w:pPr>
        <w:adjustRightIn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不可抗力事件处理</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3、不可抗力事件延续XX天以上，双方应通过友好协商，确定是否继续履行合同。</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numPr>
          <w:ilvl w:val="0"/>
          <w:numId w:val="5"/>
        </w:numPr>
        <w:spacing w:line="360" w:lineRule="auto"/>
        <w:rPr>
          <w:rFonts w:hint="eastAsia" w:ascii="宋体" w:hAnsi="宋体" w:eastAsia="宋体" w:cs="宋体"/>
          <w:b/>
          <w:sz w:val="24"/>
          <w:szCs w:val="24"/>
        </w:rPr>
      </w:pPr>
      <w:bookmarkStart w:id="377" w:name="_Toc212019599"/>
      <w:bookmarkStart w:id="378" w:name="_Toc238984980"/>
      <w:bookmarkStart w:id="379" w:name="_Toc239233919"/>
      <w:bookmarkStart w:id="380" w:name="_Toc251768867"/>
      <w:bookmarkStart w:id="381" w:name="_Toc286993792"/>
      <w:bookmarkStart w:id="382" w:name="_Toc185395254"/>
      <w:bookmarkStart w:id="383" w:name="_Toc232492933"/>
      <w:bookmarkStart w:id="384" w:name="_Toc211911353"/>
      <w:bookmarkStart w:id="385" w:name="_Toc225670756"/>
      <w:bookmarkStart w:id="386" w:name="_Toc225654649"/>
      <w:bookmarkStart w:id="387" w:name="_Toc241833908"/>
      <w:bookmarkStart w:id="388" w:name="_Toc225244857"/>
      <w:bookmarkStart w:id="389" w:name="_Toc237145411"/>
      <w:bookmarkStart w:id="390" w:name="_Toc211854454"/>
      <w:bookmarkStart w:id="391" w:name="_Toc239568423"/>
      <w:bookmarkStart w:id="392" w:name="_Toc247334846"/>
      <w:r>
        <w:rPr>
          <w:rFonts w:hint="eastAsia" w:ascii="宋体" w:hAnsi="宋体" w:eastAsia="宋体" w:cs="宋体"/>
          <w:b/>
          <w:sz w:val="24"/>
          <w:szCs w:val="24"/>
        </w:rPr>
        <w:t>解决合同纠纷的方式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2、仲裁裁决应为最终决定，并对双方具有约束力。</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3、除另有裁决外，仲裁费应由败诉方负担。 </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4、在仲裁期间，除正在进行仲裁部分外，合同其他部分继续执行。  </w:t>
      </w:r>
    </w:p>
    <w:p>
      <w:pPr>
        <w:numPr>
          <w:ilvl w:val="0"/>
          <w:numId w:val="5"/>
        </w:numPr>
        <w:spacing w:line="360" w:lineRule="auto"/>
        <w:rPr>
          <w:rFonts w:hint="eastAsia" w:ascii="宋体" w:hAnsi="宋体" w:eastAsia="宋体" w:cs="宋体"/>
          <w:b/>
          <w:sz w:val="24"/>
          <w:szCs w:val="24"/>
        </w:rPr>
      </w:pPr>
      <w:bookmarkStart w:id="393" w:name="_Toc283019219"/>
      <w:bookmarkStart w:id="394" w:name="_Toc286993793"/>
      <w:bookmarkStart w:id="395" w:name="_Toc238984981"/>
      <w:bookmarkStart w:id="396" w:name="_Toc241833909"/>
      <w:bookmarkStart w:id="397" w:name="_Toc282696231"/>
      <w:bookmarkStart w:id="398" w:name="_Toc237145412"/>
      <w:bookmarkStart w:id="399" w:name="_Toc239233920"/>
      <w:bookmarkStart w:id="400" w:name="_Toc251768868"/>
      <w:bookmarkStart w:id="401" w:name="_Toc247334847"/>
      <w:bookmarkStart w:id="402" w:name="_Toc225244858"/>
      <w:bookmarkStart w:id="403" w:name="_Toc225670757"/>
      <w:bookmarkStart w:id="404" w:name="_Toc211911354"/>
      <w:bookmarkStart w:id="405" w:name="_Toc232492934"/>
      <w:bookmarkStart w:id="406" w:name="_Toc185395255"/>
      <w:bookmarkStart w:id="407" w:name="_Toc239568424"/>
      <w:bookmarkStart w:id="408" w:name="_Toc211854455"/>
      <w:bookmarkStart w:id="409" w:name="_Toc212019600"/>
      <w:bookmarkStart w:id="410" w:name="_Toc225654650"/>
      <w:r>
        <w:rPr>
          <w:rFonts w:hint="eastAsia" w:ascii="宋体" w:hAnsi="宋体" w:eastAsia="宋体" w:cs="宋体"/>
          <w:b/>
          <w:sz w:val="24"/>
          <w:szCs w:val="24"/>
        </w:rPr>
        <w:t>合同</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ascii="宋体" w:hAnsi="宋体" w:eastAsia="宋体" w:cs="宋体"/>
          <w:b/>
          <w:sz w:val="24"/>
          <w:szCs w:val="24"/>
        </w:rPr>
        <w:t>生效及其他</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2、合</w:t>
      </w:r>
      <w:r>
        <w:rPr>
          <w:rFonts w:hint="eastAsia" w:ascii="宋体" w:hAnsi="宋体" w:eastAsia="宋体" w:cs="宋体"/>
          <w:spacing w:val="-4"/>
          <w:sz w:val="24"/>
          <w:szCs w:val="24"/>
        </w:rPr>
        <w:t>同执行中涉及采购资金和采购内容修改或补充的，须经政府采购监管部门审批，并签书面补充协议报政府采购监督管理部门备案，方可作为主合同不可分割的一部分。</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3、本合同一式XX份，自双方签章之日起起效。甲方XX份，乙方XX份，政府采购代理机构XX份，同级财政部门备案XX份，具有同等法律效力。</w:t>
      </w:r>
    </w:p>
    <w:p>
      <w:pPr>
        <w:numPr>
          <w:ilvl w:val="0"/>
          <w:numId w:val="5"/>
        </w:num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1、项目</w:t>
      </w:r>
      <w:r>
        <w:rPr>
          <w:rFonts w:hint="eastAsia" w:ascii="宋体" w:hAnsi="宋体" w:eastAsia="宋体" w:cs="宋体"/>
          <w:sz w:val="24"/>
          <w:szCs w:val="24"/>
          <w:lang w:val="en-US" w:eastAsia="zh-CN"/>
        </w:rPr>
        <w:t>竞争性磋商文件</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2、项目修改澄清文件</w:t>
      </w:r>
    </w:p>
    <w:p>
      <w:pPr>
        <w:pStyle w:val="58"/>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3、项目</w:t>
      </w:r>
      <w:r>
        <w:rPr>
          <w:rFonts w:hint="eastAsia" w:ascii="宋体" w:hAnsi="宋体" w:eastAsia="宋体" w:cs="宋体"/>
          <w:sz w:val="24"/>
          <w:szCs w:val="24"/>
          <w:lang w:eastAsia="zh-CN"/>
        </w:rPr>
        <w:t>响应文件</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4、成交通知书</w:t>
      </w:r>
    </w:p>
    <w:p>
      <w:pPr>
        <w:pStyle w:val="58"/>
        <w:spacing w:line="360" w:lineRule="auto"/>
        <w:ind w:firstLine="480"/>
        <w:rPr>
          <w:rFonts w:hint="eastAsia" w:ascii="宋体" w:hAnsi="宋体" w:eastAsia="宋体" w:cs="宋体"/>
          <w:sz w:val="24"/>
          <w:szCs w:val="24"/>
        </w:rPr>
      </w:pPr>
      <w:r>
        <w:rPr>
          <w:rFonts w:hint="eastAsia" w:ascii="宋体" w:hAnsi="宋体" w:eastAsia="宋体" w:cs="宋体"/>
          <w:sz w:val="24"/>
          <w:szCs w:val="24"/>
        </w:rPr>
        <w:t>5、其他</w:t>
      </w: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甲方：   （盖章）</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乙方：（盖章）</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法定代表人（授权代表）：</w:t>
      </w:r>
    </w:p>
    <w:p>
      <w:pPr>
        <w:spacing w:line="400" w:lineRule="exact"/>
        <w:rPr>
          <w:rFonts w:hint="eastAsia" w:ascii="宋体" w:hAnsi="宋体" w:eastAsia="宋体" w:cs="宋体"/>
          <w:sz w:val="24"/>
          <w:szCs w:val="24"/>
        </w:rPr>
      </w:pPr>
      <w:r>
        <w:rPr>
          <w:rFonts w:hint="eastAsia" w:ascii="宋体" w:hAnsi="宋体" w:eastAsia="宋体" w:cs="宋体"/>
          <w:sz w:val="24"/>
          <w:szCs w:val="24"/>
        </w:rPr>
        <w:t>地址：                                  地址：</w:t>
      </w:r>
    </w:p>
    <w:p>
      <w:pPr>
        <w:spacing w:line="400" w:lineRule="exact"/>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400" w:lineRule="exact"/>
        <w:rPr>
          <w:rFonts w:hint="eastAsia" w:ascii="宋体" w:hAnsi="宋体" w:eastAsia="宋体" w:cs="宋体"/>
          <w:sz w:val="24"/>
          <w:szCs w:val="24"/>
        </w:rPr>
      </w:pPr>
      <w:r>
        <w:rPr>
          <w:rFonts w:hint="eastAsia" w:ascii="宋体" w:hAnsi="宋体" w:eastAsia="宋体" w:cs="宋体"/>
          <w:sz w:val="24"/>
          <w:szCs w:val="24"/>
        </w:rPr>
        <w:t>账号：                                  账号：</w:t>
      </w:r>
    </w:p>
    <w:p>
      <w:pPr>
        <w:spacing w:line="400" w:lineRule="exact"/>
        <w:rPr>
          <w:rFonts w:hint="eastAsia" w:ascii="宋体" w:hAnsi="宋体" w:eastAsia="宋体" w:cs="宋体"/>
          <w:sz w:val="24"/>
          <w:szCs w:val="24"/>
        </w:rPr>
      </w:pPr>
      <w:r>
        <w:rPr>
          <w:rFonts w:hint="eastAsia" w:ascii="宋体" w:hAnsi="宋体" w:eastAsia="宋体" w:cs="宋体"/>
          <w:sz w:val="24"/>
          <w:szCs w:val="24"/>
        </w:rPr>
        <w:t>电话：                                  电话：</w:t>
      </w:r>
    </w:p>
    <w:p>
      <w:pPr>
        <w:spacing w:line="400" w:lineRule="exact"/>
        <w:rPr>
          <w:rFonts w:hint="eastAsia" w:ascii="宋体" w:hAnsi="宋体" w:eastAsia="宋体" w:cs="宋体"/>
          <w:sz w:val="24"/>
          <w:szCs w:val="24"/>
        </w:rPr>
      </w:pPr>
      <w:r>
        <w:rPr>
          <w:rFonts w:hint="eastAsia" w:ascii="宋体" w:hAnsi="宋体" w:eastAsia="宋体" w:cs="宋体"/>
          <w:sz w:val="24"/>
          <w:szCs w:val="24"/>
        </w:rPr>
        <w:t>传真：                                  传真：</w:t>
      </w:r>
    </w:p>
    <w:p>
      <w:pPr>
        <w:spacing w:line="400" w:lineRule="exact"/>
        <w:rPr>
          <w:rFonts w:hint="eastAsia" w:ascii="宋体" w:hAnsi="宋体" w:eastAsia="宋体" w:cs="宋体"/>
          <w:sz w:val="24"/>
          <w:szCs w:val="24"/>
        </w:rPr>
      </w:pPr>
      <w:r>
        <w:rPr>
          <w:rFonts w:hint="eastAsia" w:ascii="宋体" w:hAnsi="宋体" w:eastAsia="宋体" w:cs="宋体"/>
          <w:sz w:val="24"/>
          <w:szCs w:val="24"/>
        </w:rPr>
        <w:t>签约日期：XX年XX月XX日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签约日期：XX年XX月XX日</w:t>
      </w:r>
    </w:p>
    <w:p>
      <w:pPr>
        <w:pStyle w:val="11"/>
        <w:rPr>
          <w:rFonts w:hint="eastAsia"/>
        </w:rPr>
      </w:pPr>
    </w:p>
    <w:p>
      <w:pPr>
        <w:rPr>
          <w:rFonts w:hint="eastAsia"/>
        </w:rPr>
      </w:pPr>
    </w:p>
    <w:p>
      <w:pPr>
        <w:rPr>
          <w:rFonts w:hint="eastAsia" w:ascii="宋体" w:hAnsi="宋体" w:eastAsia="宋体" w:cs="宋体"/>
          <w:b/>
          <w:sz w:val="24"/>
          <w:szCs w:val="24"/>
        </w:rPr>
      </w:pPr>
      <w:r>
        <w:rPr>
          <w:rFonts w:hint="eastAsia" w:ascii="宋体" w:hAnsi="宋体" w:eastAsia="宋体" w:cs="宋体"/>
          <w:b/>
          <w:sz w:val="24"/>
          <w:szCs w:val="24"/>
        </w:rPr>
        <w:t>注：本合同为政府采购合同模板，签订合同时可自行修改，但</w:t>
      </w:r>
      <w:r>
        <w:rPr>
          <w:rFonts w:hint="eastAsia" w:ascii="宋体" w:hAnsi="宋体" w:eastAsia="宋体" w:cs="宋体"/>
          <w:b/>
          <w:sz w:val="24"/>
          <w:szCs w:val="24"/>
          <w:lang w:val="en-US" w:eastAsia="zh-CN"/>
        </w:rPr>
        <w:t>竞争性磋商文件</w:t>
      </w:r>
      <w:r>
        <w:rPr>
          <w:rFonts w:hint="eastAsia" w:ascii="宋体" w:hAnsi="宋体" w:eastAsia="宋体" w:cs="宋体"/>
          <w:b/>
          <w:sz w:val="24"/>
          <w:szCs w:val="24"/>
        </w:rPr>
        <w:t>中的技术服务要求不得有遗漏。</w:t>
      </w:r>
    </w:p>
    <w:p>
      <w:pPr>
        <w:spacing w:line="360" w:lineRule="auto"/>
        <w:rPr>
          <w:rFonts w:hint="eastAsia" w:asciiTheme="minorEastAsia" w:hAnsiTheme="minorEastAsia" w:eastAsiaTheme="minorEastAsia" w:cstheme="minorEastAsia"/>
          <w:color w:val="auto"/>
          <w:sz w:val="28"/>
          <w:szCs w:val="28"/>
        </w:rPr>
      </w:pPr>
    </w:p>
    <w:sectPr>
      <w:headerReference r:id="rId19" w:type="default"/>
      <w:footerReference r:id="rId20" w:type="default"/>
      <w:pgSz w:w="11907"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FZFSJW--GB1-0">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hromeSansMM">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rFonts w:ascii="宋体" w:hAns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- 64 -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- 64 -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- 75 -</w:t>
                    </w:r>
                    <w:r>
                      <w:fldChar w:fldCharType="end"/>
                    </w:r>
                  </w:p>
                </w:txbxContent>
              </v:textbox>
            </v:shape>
          </w:pict>
        </mc:Fallback>
      </mc:AlternateContent>
    </w:r>
  </w:p>
  <w:p>
    <w:pPr>
      <w:pStyle w:val="2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- 3 -</w:t>
                    </w:r>
                    <w:r>
                      <w:fldChar w:fldCharType="end"/>
                    </w:r>
                  </w:p>
                </w:txbxContent>
              </v:textbox>
            </v:shape>
          </w:pict>
        </mc:Fallback>
      </mc:AlternateContent>
    </w:r>
  </w:p>
  <w:p>
    <w:pPr>
      <w:pStyle w:val="20"/>
      <w:jc w:val="center"/>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- 1 -</w:t>
                    </w:r>
                    <w:r>
                      <w:fldChar w:fldCharType="end"/>
                    </w:r>
                  </w:p>
                </w:txbxContent>
              </v:textbox>
            </v:shape>
          </w:pict>
        </mc:Fallback>
      </mc:AlternateContent>
    </w:r>
  </w:p>
  <w:p>
    <w:pPr>
      <w:pStyle w:val="20"/>
      <w:jc w:val="center"/>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- 8 -</w:t>
                    </w:r>
                    <w:r>
                      <w:fldChar w:fldCharType="end"/>
                    </w:r>
                  </w:p>
                </w:txbxContent>
              </v:textbox>
            </v:shape>
          </w:pict>
        </mc:Fallback>
      </mc:AlternateContent>
    </w:r>
  </w:p>
  <w:p>
    <w:pPr>
      <w:pStyle w:val="20"/>
      <w:jc w:val="center"/>
      <w:rPr>
        <w:rFonts w:ascii="宋体"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- 7 -</w:t>
                    </w:r>
                    <w:r>
                      <w:fldChar w:fldCharType="end"/>
                    </w:r>
                  </w:p>
                </w:txbxContent>
              </v:textbox>
            </v:shape>
          </w:pict>
        </mc:Fallback>
      </mc:AlternateContent>
    </w:r>
  </w:p>
  <w:p>
    <w:pPr>
      <w:pStyle w:val="20"/>
      <w:jc w:val="center"/>
      <w:rPr>
        <w:rFonts w:ascii="宋体"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0CEDC"/>
    <w:multiLevelType w:val="singleLevel"/>
    <w:tmpl w:val="ABD0CEDC"/>
    <w:lvl w:ilvl="0" w:tentative="0">
      <w:start w:val="5"/>
      <w:numFmt w:val="chineseCounting"/>
      <w:suff w:val="space"/>
      <w:lvlText w:val="第%1章"/>
      <w:lvlJc w:val="left"/>
      <w:rPr>
        <w:rFonts w:hint="eastAsia"/>
      </w:rPr>
    </w:lvl>
  </w:abstractNum>
  <w:abstractNum w:abstractNumId="1">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7B6C80CA"/>
    <w:multiLevelType w:val="singleLevel"/>
    <w:tmpl w:val="7B6C80CA"/>
    <w:lvl w:ilvl="0" w:tentative="0">
      <w:start w:val="4"/>
      <w:numFmt w:val="chineseCounting"/>
      <w:suff w:val="nothing"/>
      <w:lvlText w:val="%1、"/>
      <w:lvlJc w:val="left"/>
      <w:rPr>
        <w:rFonts w:hint="eastAsia"/>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0"/>
    <w:rsid w:val="000042D2"/>
    <w:rsid w:val="00004B89"/>
    <w:rsid w:val="00006CEA"/>
    <w:rsid w:val="00007D34"/>
    <w:rsid w:val="000109B7"/>
    <w:rsid w:val="00011937"/>
    <w:rsid w:val="000135CE"/>
    <w:rsid w:val="00013884"/>
    <w:rsid w:val="00015AD4"/>
    <w:rsid w:val="000164E7"/>
    <w:rsid w:val="000201AB"/>
    <w:rsid w:val="00020C0A"/>
    <w:rsid w:val="00021F2A"/>
    <w:rsid w:val="000222FA"/>
    <w:rsid w:val="00023694"/>
    <w:rsid w:val="00023E17"/>
    <w:rsid w:val="000246A1"/>
    <w:rsid w:val="00024A16"/>
    <w:rsid w:val="0002669F"/>
    <w:rsid w:val="00026E80"/>
    <w:rsid w:val="000274F2"/>
    <w:rsid w:val="00031558"/>
    <w:rsid w:val="00031D73"/>
    <w:rsid w:val="00032335"/>
    <w:rsid w:val="00032783"/>
    <w:rsid w:val="00035948"/>
    <w:rsid w:val="0003743A"/>
    <w:rsid w:val="00037841"/>
    <w:rsid w:val="000408C4"/>
    <w:rsid w:val="000415D6"/>
    <w:rsid w:val="00041FE4"/>
    <w:rsid w:val="00046697"/>
    <w:rsid w:val="0004677D"/>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0C0"/>
    <w:rsid w:val="0006634F"/>
    <w:rsid w:val="0006738D"/>
    <w:rsid w:val="000676DF"/>
    <w:rsid w:val="00070468"/>
    <w:rsid w:val="00070D82"/>
    <w:rsid w:val="0007177D"/>
    <w:rsid w:val="000731F0"/>
    <w:rsid w:val="00074138"/>
    <w:rsid w:val="000743DD"/>
    <w:rsid w:val="0007588A"/>
    <w:rsid w:val="00075F20"/>
    <w:rsid w:val="000812F3"/>
    <w:rsid w:val="00081A37"/>
    <w:rsid w:val="00081A47"/>
    <w:rsid w:val="00082B75"/>
    <w:rsid w:val="000839BF"/>
    <w:rsid w:val="00083C3D"/>
    <w:rsid w:val="00084183"/>
    <w:rsid w:val="0008437F"/>
    <w:rsid w:val="000845D2"/>
    <w:rsid w:val="00085642"/>
    <w:rsid w:val="0008602F"/>
    <w:rsid w:val="000868A9"/>
    <w:rsid w:val="00086A4E"/>
    <w:rsid w:val="000873B3"/>
    <w:rsid w:val="00090600"/>
    <w:rsid w:val="00090A00"/>
    <w:rsid w:val="00092B4C"/>
    <w:rsid w:val="00093ABA"/>
    <w:rsid w:val="00095148"/>
    <w:rsid w:val="000958DC"/>
    <w:rsid w:val="000963B8"/>
    <w:rsid w:val="00097266"/>
    <w:rsid w:val="00097B06"/>
    <w:rsid w:val="000A1518"/>
    <w:rsid w:val="000A1D01"/>
    <w:rsid w:val="000A2A84"/>
    <w:rsid w:val="000A32C6"/>
    <w:rsid w:val="000A3A9F"/>
    <w:rsid w:val="000A4196"/>
    <w:rsid w:val="000A42C7"/>
    <w:rsid w:val="000A4B2E"/>
    <w:rsid w:val="000A4EA5"/>
    <w:rsid w:val="000A4F0C"/>
    <w:rsid w:val="000B07DD"/>
    <w:rsid w:val="000B0F4B"/>
    <w:rsid w:val="000B1C2C"/>
    <w:rsid w:val="000B1DC3"/>
    <w:rsid w:val="000B22AC"/>
    <w:rsid w:val="000B253A"/>
    <w:rsid w:val="000B2DD2"/>
    <w:rsid w:val="000B428C"/>
    <w:rsid w:val="000B58C4"/>
    <w:rsid w:val="000B74B0"/>
    <w:rsid w:val="000B7FD8"/>
    <w:rsid w:val="000C00DD"/>
    <w:rsid w:val="000C0146"/>
    <w:rsid w:val="000C1BCB"/>
    <w:rsid w:val="000C22DB"/>
    <w:rsid w:val="000C3110"/>
    <w:rsid w:val="000C405E"/>
    <w:rsid w:val="000C4129"/>
    <w:rsid w:val="000C4762"/>
    <w:rsid w:val="000C5D2D"/>
    <w:rsid w:val="000D03B4"/>
    <w:rsid w:val="000D0846"/>
    <w:rsid w:val="000D0F0A"/>
    <w:rsid w:val="000D4EFB"/>
    <w:rsid w:val="000D60C5"/>
    <w:rsid w:val="000D705A"/>
    <w:rsid w:val="000D7A45"/>
    <w:rsid w:val="000E3506"/>
    <w:rsid w:val="000E551F"/>
    <w:rsid w:val="000E583C"/>
    <w:rsid w:val="000E7659"/>
    <w:rsid w:val="000F2A83"/>
    <w:rsid w:val="000F422B"/>
    <w:rsid w:val="000F4897"/>
    <w:rsid w:val="000F5C99"/>
    <w:rsid w:val="000F6A76"/>
    <w:rsid w:val="000F739A"/>
    <w:rsid w:val="00100B7D"/>
    <w:rsid w:val="00100C85"/>
    <w:rsid w:val="00100FCD"/>
    <w:rsid w:val="00101565"/>
    <w:rsid w:val="0010167E"/>
    <w:rsid w:val="001033D2"/>
    <w:rsid w:val="001035A5"/>
    <w:rsid w:val="00103969"/>
    <w:rsid w:val="00105039"/>
    <w:rsid w:val="00105212"/>
    <w:rsid w:val="001114EB"/>
    <w:rsid w:val="001116C7"/>
    <w:rsid w:val="001119A8"/>
    <w:rsid w:val="00111F41"/>
    <w:rsid w:val="0011411F"/>
    <w:rsid w:val="00114DE5"/>
    <w:rsid w:val="00114EBA"/>
    <w:rsid w:val="001150A5"/>
    <w:rsid w:val="00116831"/>
    <w:rsid w:val="00116CF4"/>
    <w:rsid w:val="001176BD"/>
    <w:rsid w:val="0012276E"/>
    <w:rsid w:val="001229F8"/>
    <w:rsid w:val="00123E53"/>
    <w:rsid w:val="00126265"/>
    <w:rsid w:val="00126D87"/>
    <w:rsid w:val="00130E82"/>
    <w:rsid w:val="00131F14"/>
    <w:rsid w:val="001329EB"/>
    <w:rsid w:val="00133244"/>
    <w:rsid w:val="001345C8"/>
    <w:rsid w:val="00134668"/>
    <w:rsid w:val="00134DF5"/>
    <w:rsid w:val="00135A93"/>
    <w:rsid w:val="00136485"/>
    <w:rsid w:val="00136D53"/>
    <w:rsid w:val="00140DBF"/>
    <w:rsid w:val="00141626"/>
    <w:rsid w:val="00142470"/>
    <w:rsid w:val="00142B9B"/>
    <w:rsid w:val="0014429A"/>
    <w:rsid w:val="001464DD"/>
    <w:rsid w:val="001500D3"/>
    <w:rsid w:val="00150BFF"/>
    <w:rsid w:val="00151441"/>
    <w:rsid w:val="00152F7F"/>
    <w:rsid w:val="00152F8A"/>
    <w:rsid w:val="00153D4C"/>
    <w:rsid w:val="0015606A"/>
    <w:rsid w:val="0015612A"/>
    <w:rsid w:val="00156466"/>
    <w:rsid w:val="00156852"/>
    <w:rsid w:val="00156D44"/>
    <w:rsid w:val="001575FD"/>
    <w:rsid w:val="0016183B"/>
    <w:rsid w:val="00161AEF"/>
    <w:rsid w:val="00162078"/>
    <w:rsid w:val="001633A3"/>
    <w:rsid w:val="001648CD"/>
    <w:rsid w:val="001651C1"/>
    <w:rsid w:val="001652F8"/>
    <w:rsid w:val="00165833"/>
    <w:rsid w:val="00167ED2"/>
    <w:rsid w:val="00170C8C"/>
    <w:rsid w:val="00173255"/>
    <w:rsid w:val="00175AEB"/>
    <w:rsid w:val="001763A5"/>
    <w:rsid w:val="00177EB9"/>
    <w:rsid w:val="001835B2"/>
    <w:rsid w:val="0018382C"/>
    <w:rsid w:val="0018390E"/>
    <w:rsid w:val="00183F9B"/>
    <w:rsid w:val="0018449A"/>
    <w:rsid w:val="001854B0"/>
    <w:rsid w:val="00185A14"/>
    <w:rsid w:val="00185A39"/>
    <w:rsid w:val="00185F2C"/>
    <w:rsid w:val="00186AEA"/>
    <w:rsid w:val="001876EA"/>
    <w:rsid w:val="00187C36"/>
    <w:rsid w:val="00187D88"/>
    <w:rsid w:val="00190501"/>
    <w:rsid w:val="001909DA"/>
    <w:rsid w:val="0019196C"/>
    <w:rsid w:val="00193802"/>
    <w:rsid w:val="00193E56"/>
    <w:rsid w:val="00194E32"/>
    <w:rsid w:val="00196B7A"/>
    <w:rsid w:val="001974BF"/>
    <w:rsid w:val="0019756E"/>
    <w:rsid w:val="001A0BE4"/>
    <w:rsid w:val="001A183A"/>
    <w:rsid w:val="001A1EDE"/>
    <w:rsid w:val="001A4D34"/>
    <w:rsid w:val="001A67F1"/>
    <w:rsid w:val="001A761A"/>
    <w:rsid w:val="001B1A35"/>
    <w:rsid w:val="001B22E9"/>
    <w:rsid w:val="001B3E78"/>
    <w:rsid w:val="001B4227"/>
    <w:rsid w:val="001B4B2D"/>
    <w:rsid w:val="001C1863"/>
    <w:rsid w:val="001C20D6"/>
    <w:rsid w:val="001C4A5B"/>
    <w:rsid w:val="001C58FE"/>
    <w:rsid w:val="001C5AF6"/>
    <w:rsid w:val="001C695D"/>
    <w:rsid w:val="001C69CF"/>
    <w:rsid w:val="001D09B3"/>
    <w:rsid w:val="001D0F62"/>
    <w:rsid w:val="001D1078"/>
    <w:rsid w:val="001D1D12"/>
    <w:rsid w:val="001D2331"/>
    <w:rsid w:val="001D2AF7"/>
    <w:rsid w:val="001D3913"/>
    <w:rsid w:val="001D51B7"/>
    <w:rsid w:val="001D799A"/>
    <w:rsid w:val="001E012B"/>
    <w:rsid w:val="001E0521"/>
    <w:rsid w:val="001E12C0"/>
    <w:rsid w:val="001E148C"/>
    <w:rsid w:val="001E3B05"/>
    <w:rsid w:val="001E5BB0"/>
    <w:rsid w:val="001E6470"/>
    <w:rsid w:val="001E6EF9"/>
    <w:rsid w:val="001F035E"/>
    <w:rsid w:val="001F561A"/>
    <w:rsid w:val="001F630A"/>
    <w:rsid w:val="001F64F5"/>
    <w:rsid w:val="001F74E9"/>
    <w:rsid w:val="001F7DBD"/>
    <w:rsid w:val="002011D9"/>
    <w:rsid w:val="00202AE6"/>
    <w:rsid w:val="00203068"/>
    <w:rsid w:val="002032C6"/>
    <w:rsid w:val="00206D18"/>
    <w:rsid w:val="0021013C"/>
    <w:rsid w:val="002111A5"/>
    <w:rsid w:val="002119D9"/>
    <w:rsid w:val="002120D0"/>
    <w:rsid w:val="002125E6"/>
    <w:rsid w:val="00213920"/>
    <w:rsid w:val="002169DE"/>
    <w:rsid w:val="00217953"/>
    <w:rsid w:val="002214AE"/>
    <w:rsid w:val="00221F47"/>
    <w:rsid w:val="00222271"/>
    <w:rsid w:val="00224333"/>
    <w:rsid w:val="00224CDC"/>
    <w:rsid w:val="002270B2"/>
    <w:rsid w:val="00230304"/>
    <w:rsid w:val="00230D10"/>
    <w:rsid w:val="002320BC"/>
    <w:rsid w:val="00233212"/>
    <w:rsid w:val="002332EA"/>
    <w:rsid w:val="002342C9"/>
    <w:rsid w:val="002373D5"/>
    <w:rsid w:val="00240448"/>
    <w:rsid w:val="00240784"/>
    <w:rsid w:val="00242277"/>
    <w:rsid w:val="0024316D"/>
    <w:rsid w:val="00243CB8"/>
    <w:rsid w:val="00244015"/>
    <w:rsid w:val="0024518B"/>
    <w:rsid w:val="0024682C"/>
    <w:rsid w:val="002470DA"/>
    <w:rsid w:val="00250692"/>
    <w:rsid w:val="00250A8E"/>
    <w:rsid w:val="00251F35"/>
    <w:rsid w:val="00252DBD"/>
    <w:rsid w:val="0025359C"/>
    <w:rsid w:val="00255D4B"/>
    <w:rsid w:val="00257577"/>
    <w:rsid w:val="002600CE"/>
    <w:rsid w:val="00260E91"/>
    <w:rsid w:val="00262A61"/>
    <w:rsid w:val="00263C90"/>
    <w:rsid w:val="00264935"/>
    <w:rsid w:val="00265F18"/>
    <w:rsid w:val="00267B91"/>
    <w:rsid w:val="002710BB"/>
    <w:rsid w:val="00277B58"/>
    <w:rsid w:val="00280D8F"/>
    <w:rsid w:val="00281347"/>
    <w:rsid w:val="00281907"/>
    <w:rsid w:val="00281EC7"/>
    <w:rsid w:val="00282AC8"/>
    <w:rsid w:val="00282C3E"/>
    <w:rsid w:val="00284251"/>
    <w:rsid w:val="002857AA"/>
    <w:rsid w:val="0028582F"/>
    <w:rsid w:val="00286A27"/>
    <w:rsid w:val="00287687"/>
    <w:rsid w:val="00287FD3"/>
    <w:rsid w:val="0029048E"/>
    <w:rsid w:val="00291539"/>
    <w:rsid w:val="002945D2"/>
    <w:rsid w:val="00294EBC"/>
    <w:rsid w:val="0029626C"/>
    <w:rsid w:val="002962C1"/>
    <w:rsid w:val="00296ACA"/>
    <w:rsid w:val="002A0B7A"/>
    <w:rsid w:val="002A0C82"/>
    <w:rsid w:val="002A6A39"/>
    <w:rsid w:val="002A6DCC"/>
    <w:rsid w:val="002A7224"/>
    <w:rsid w:val="002B067F"/>
    <w:rsid w:val="002B2590"/>
    <w:rsid w:val="002B25EB"/>
    <w:rsid w:val="002B322B"/>
    <w:rsid w:val="002B490B"/>
    <w:rsid w:val="002B6D25"/>
    <w:rsid w:val="002B7D1D"/>
    <w:rsid w:val="002B7E6D"/>
    <w:rsid w:val="002C0964"/>
    <w:rsid w:val="002C16BE"/>
    <w:rsid w:val="002C3905"/>
    <w:rsid w:val="002C7DDE"/>
    <w:rsid w:val="002D0A09"/>
    <w:rsid w:val="002D3AF2"/>
    <w:rsid w:val="002D5D7E"/>
    <w:rsid w:val="002D73AE"/>
    <w:rsid w:val="002E13B6"/>
    <w:rsid w:val="002E1CD7"/>
    <w:rsid w:val="002E2016"/>
    <w:rsid w:val="002E372F"/>
    <w:rsid w:val="002E38A1"/>
    <w:rsid w:val="002E53EC"/>
    <w:rsid w:val="002E60F8"/>
    <w:rsid w:val="002E7B45"/>
    <w:rsid w:val="002F0012"/>
    <w:rsid w:val="002F0D48"/>
    <w:rsid w:val="002F36E7"/>
    <w:rsid w:val="002F3919"/>
    <w:rsid w:val="002F4012"/>
    <w:rsid w:val="002F5A38"/>
    <w:rsid w:val="002F67D0"/>
    <w:rsid w:val="002F69E2"/>
    <w:rsid w:val="002F6EEF"/>
    <w:rsid w:val="002F797B"/>
    <w:rsid w:val="003021E2"/>
    <w:rsid w:val="0030235E"/>
    <w:rsid w:val="00302602"/>
    <w:rsid w:val="0030262F"/>
    <w:rsid w:val="0030413D"/>
    <w:rsid w:val="00305CB0"/>
    <w:rsid w:val="0030638D"/>
    <w:rsid w:val="00306772"/>
    <w:rsid w:val="00306A59"/>
    <w:rsid w:val="00306F89"/>
    <w:rsid w:val="0030729C"/>
    <w:rsid w:val="003075C7"/>
    <w:rsid w:val="00310370"/>
    <w:rsid w:val="0031060A"/>
    <w:rsid w:val="0031253B"/>
    <w:rsid w:val="00314009"/>
    <w:rsid w:val="003147B3"/>
    <w:rsid w:val="00315482"/>
    <w:rsid w:val="00315B90"/>
    <w:rsid w:val="0031795E"/>
    <w:rsid w:val="00321BCE"/>
    <w:rsid w:val="00322BB8"/>
    <w:rsid w:val="003230A0"/>
    <w:rsid w:val="00323546"/>
    <w:rsid w:val="00323A15"/>
    <w:rsid w:val="00324034"/>
    <w:rsid w:val="00324982"/>
    <w:rsid w:val="0032596B"/>
    <w:rsid w:val="00327B03"/>
    <w:rsid w:val="00330499"/>
    <w:rsid w:val="00331FC6"/>
    <w:rsid w:val="0033261E"/>
    <w:rsid w:val="003331D2"/>
    <w:rsid w:val="00333BBC"/>
    <w:rsid w:val="0033430E"/>
    <w:rsid w:val="00334A11"/>
    <w:rsid w:val="00335511"/>
    <w:rsid w:val="00335BD1"/>
    <w:rsid w:val="00336116"/>
    <w:rsid w:val="0033789C"/>
    <w:rsid w:val="00340988"/>
    <w:rsid w:val="003419CA"/>
    <w:rsid w:val="00342AF8"/>
    <w:rsid w:val="00344F74"/>
    <w:rsid w:val="003462FF"/>
    <w:rsid w:val="00346A47"/>
    <w:rsid w:val="0034725A"/>
    <w:rsid w:val="0035067D"/>
    <w:rsid w:val="00350C9C"/>
    <w:rsid w:val="00351228"/>
    <w:rsid w:val="00352BE5"/>
    <w:rsid w:val="003534C0"/>
    <w:rsid w:val="00353C5F"/>
    <w:rsid w:val="00353E81"/>
    <w:rsid w:val="00354318"/>
    <w:rsid w:val="00354A64"/>
    <w:rsid w:val="00355FC0"/>
    <w:rsid w:val="00356EBE"/>
    <w:rsid w:val="00363A2C"/>
    <w:rsid w:val="00364647"/>
    <w:rsid w:val="00365913"/>
    <w:rsid w:val="003665A0"/>
    <w:rsid w:val="0037029D"/>
    <w:rsid w:val="00370925"/>
    <w:rsid w:val="00370C8A"/>
    <w:rsid w:val="003722C5"/>
    <w:rsid w:val="0037288F"/>
    <w:rsid w:val="00372E53"/>
    <w:rsid w:val="0037405F"/>
    <w:rsid w:val="00375C2A"/>
    <w:rsid w:val="00375F5B"/>
    <w:rsid w:val="00376390"/>
    <w:rsid w:val="00376656"/>
    <w:rsid w:val="00376AE8"/>
    <w:rsid w:val="00376D4C"/>
    <w:rsid w:val="00377222"/>
    <w:rsid w:val="00380C57"/>
    <w:rsid w:val="00381E2B"/>
    <w:rsid w:val="00381FD9"/>
    <w:rsid w:val="00383BFA"/>
    <w:rsid w:val="00384FE6"/>
    <w:rsid w:val="00392130"/>
    <w:rsid w:val="0039432D"/>
    <w:rsid w:val="00395323"/>
    <w:rsid w:val="00395A66"/>
    <w:rsid w:val="00396685"/>
    <w:rsid w:val="003B035C"/>
    <w:rsid w:val="003B0785"/>
    <w:rsid w:val="003B07A2"/>
    <w:rsid w:val="003B13FE"/>
    <w:rsid w:val="003B1AB5"/>
    <w:rsid w:val="003B3D0C"/>
    <w:rsid w:val="003B4511"/>
    <w:rsid w:val="003B4C27"/>
    <w:rsid w:val="003B4C57"/>
    <w:rsid w:val="003B6F87"/>
    <w:rsid w:val="003B7B2B"/>
    <w:rsid w:val="003C0054"/>
    <w:rsid w:val="003C0851"/>
    <w:rsid w:val="003C14AB"/>
    <w:rsid w:val="003C1E7C"/>
    <w:rsid w:val="003C23E8"/>
    <w:rsid w:val="003C2A86"/>
    <w:rsid w:val="003C384D"/>
    <w:rsid w:val="003C4046"/>
    <w:rsid w:val="003C4929"/>
    <w:rsid w:val="003C4CE5"/>
    <w:rsid w:val="003C5718"/>
    <w:rsid w:val="003C668B"/>
    <w:rsid w:val="003D0141"/>
    <w:rsid w:val="003D0DE3"/>
    <w:rsid w:val="003D1437"/>
    <w:rsid w:val="003D4B45"/>
    <w:rsid w:val="003D54BF"/>
    <w:rsid w:val="003D629B"/>
    <w:rsid w:val="003D6FFA"/>
    <w:rsid w:val="003E0526"/>
    <w:rsid w:val="003E35F5"/>
    <w:rsid w:val="003E65B1"/>
    <w:rsid w:val="003F1260"/>
    <w:rsid w:val="003F180D"/>
    <w:rsid w:val="003F1B6B"/>
    <w:rsid w:val="003F1F79"/>
    <w:rsid w:val="003F2938"/>
    <w:rsid w:val="003F3CFE"/>
    <w:rsid w:val="003F4F88"/>
    <w:rsid w:val="00400273"/>
    <w:rsid w:val="00400415"/>
    <w:rsid w:val="00400F8F"/>
    <w:rsid w:val="00401075"/>
    <w:rsid w:val="00401CBD"/>
    <w:rsid w:val="00403397"/>
    <w:rsid w:val="00405597"/>
    <w:rsid w:val="004056A0"/>
    <w:rsid w:val="004071DA"/>
    <w:rsid w:val="004079D1"/>
    <w:rsid w:val="00413E13"/>
    <w:rsid w:val="00414AC5"/>
    <w:rsid w:val="0041523A"/>
    <w:rsid w:val="004153E9"/>
    <w:rsid w:val="00420862"/>
    <w:rsid w:val="00420B7D"/>
    <w:rsid w:val="004211D4"/>
    <w:rsid w:val="004233F9"/>
    <w:rsid w:val="00424278"/>
    <w:rsid w:val="004259A8"/>
    <w:rsid w:val="00427793"/>
    <w:rsid w:val="004277FA"/>
    <w:rsid w:val="0043000D"/>
    <w:rsid w:val="004301A5"/>
    <w:rsid w:val="00431CBD"/>
    <w:rsid w:val="004327D3"/>
    <w:rsid w:val="00433FA6"/>
    <w:rsid w:val="004349C5"/>
    <w:rsid w:val="00436108"/>
    <w:rsid w:val="004368E1"/>
    <w:rsid w:val="00436A1E"/>
    <w:rsid w:val="00437F68"/>
    <w:rsid w:val="004407AD"/>
    <w:rsid w:val="00441691"/>
    <w:rsid w:val="0044294C"/>
    <w:rsid w:val="004440D6"/>
    <w:rsid w:val="0044451B"/>
    <w:rsid w:val="00444FD7"/>
    <w:rsid w:val="00446D88"/>
    <w:rsid w:val="00447F5D"/>
    <w:rsid w:val="00450DA9"/>
    <w:rsid w:val="00451934"/>
    <w:rsid w:val="00451DB2"/>
    <w:rsid w:val="004522CD"/>
    <w:rsid w:val="00453DA2"/>
    <w:rsid w:val="00454103"/>
    <w:rsid w:val="00454399"/>
    <w:rsid w:val="00457964"/>
    <w:rsid w:val="00463BA1"/>
    <w:rsid w:val="004643AF"/>
    <w:rsid w:val="00464C62"/>
    <w:rsid w:val="00465A54"/>
    <w:rsid w:val="00466209"/>
    <w:rsid w:val="00466CD3"/>
    <w:rsid w:val="00471F12"/>
    <w:rsid w:val="00473F4F"/>
    <w:rsid w:val="00474121"/>
    <w:rsid w:val="0047453F"/>
    <w:rsid w:val="00474A2F"/>
    <w:rsid w:val="004753B1"/>
    <w:rsid w:val="004760B8"/>
    <w:rsid w:val="00476556"/>
    <w:rsid w:val="00476D49"/>
    <w:rsid w:val="00477AD0"/>
    <w:rsid w:val="00482935"/>
    <w:rsid w:val="004837E8"/>
    <w:rsid w:val="00484A3D"/>
    <w:rsid w:val="004852F6"/>
    <w:rsid w:val="0048581D"/>
    <w:rsid w:val="004859C3"/>
    <w:rsid w:val="00485EDF"/>
    <w:rsid w:val="00487A87"/>
    <w:rsid w:val="004904F7"/>
    <w:rsid w:val="00490A1F"/>
    <w:rsid w:val="0049113E"/>
    <w:rsid w:val="00493201"/>
    <w:rsid w:val="004944A8"/>
    <w:rsid w:val="004953A6"/>
    <w:rsid w:val="004960BF"/>
    <w:rsid w:val="004967DA"/>
    <w:rsid w:val="004A11B8"/>
    <w:rsid w:val="004A1F45"/>
    <w:rsid w:val="004A2B4F"/>
    <w:rsid w:val="004A2F2D"/>
    <w:rsid w:val="004A45CA"/>
    <w:rsid w:val="004A6596"/>
    <w:rsid w:val="004A75CA"/>
    <w:rsid w:val="004A7ED0"/>
    <w:rsid w:val="004B0AAF"/>
    <w:rsid w:val="004B4199"/>
    <w:rsid w:val="004B42C6"/>
    <w:rsid w:val="004B4E67"/>
    <w:rsid w:val="004B58B4"/>
    <w:rsid w:val="004B5A80"/>
    <w:rsid w:val="004B6063"/>
    <w:rsid w:val="004B680F"/>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14E0"/>
    <w:rsid w:val="004E2BA2"/>
    <w:rsid w:val="004E33AA"/>
    <w:rsid w:val="004E4688"/>
    <w:rsid w:val="004E4ECE"/>
    <w:rsid w:val="004E5317"/>
    <w:rsid w:val="004E55B9"/>
    <w:rsid w:val="004E65BC"/>
    <w:rsid w:val="004E6B12"/>
    <w:rsid w:val="004E7C5E"/>
    <w:rsid w:val="004F02F1"/>
    <w:rsid w:val="004F053A"/>
    <w:rsid w:val="004F2A23"/>
    <w:rsid w:val="004F2BA1"/>
    <w:rsid w:val="004F33D4"/>
    <w:rsid w:val="004F6640"/>
    <w:rsid w:val="004F67E4"/>
    <w:rsid w:val="005023EE"/>
    <w:rsid w:val="00506E28"/>
    <w:rsid w:val="005079F4"/>
    <w:rsid w:val="00507A20"/>
    <w:rsid w:val="00512813"/>
    <w:rsid w:val="00512F35"/>
    <w:rsid w:val="005158B7"/>
    <w:rsid w:val="00516884"/>
    <w:rsid w:val="0051796C"/>
    <w:rsid w:val="005207E1"/>
    <w:rsid w:val="0052129A"/>
    <w:rsid w:val="0052149F"/>
    <w:rsid w:val="005215B9"/>
    <w:rsid w:val="005234C2"/>
    <w:rsid w:val="00523933"/>
    <w:rsid w:val="00524715"/>
    <w:rsid w:val="0052522E"/>
    <w:rsid w:val="005257A1"/>
    <w:rsid w:val="0052705A"/>
    <w:rsid w:val="005275DB"/>
    <w:rsid w:val="00531E0F"/>
    <w:rsid w:val="00531EC1"/>
    <w:rsid w:val="00534655"/>
    <w:rsid w:val="0053654A"/>
    <w:rsid w:val="005379D8"/>
    <w:rsid w:val="0054189A"/>
    <w:rsid w:val="0054439D"/>
    <w:rsid w:val="00544435"/>
    <w:rsid w:val="005455D7"/>
    <w:rsid w:val="00545ACC"/>
    <w:rsid w:val="0054613F"/>
    <w:rsid w:val="00546A3F"/>
    <w:rsid w:val="00546F02"/>
    <w:rsid w:val="00547477"/>
    <w:rsid w:val="00550637"/>
    <w:rsid w:val="00551E54"/>
    <w:rsid w:val="00552A5B"/>
    <w:rsid w:val="0055348F"/>
    <w:rsid w:val="0055492F"/>
    <w:rsid w:val="00555666"/>
    <w:rsid w:val="00555D9C"/>
    <w:rsid w:val="0055769A"/>
    <w:rsid w:val="005603D7"/>
    <w:rsid w:val="00560776"/>
    <w:rsid w:val="00560888"/>
    <w:rsid w:val="00560DE2"/>
    <w:rsid w:val="00561401"/>
    <w:rsid w:val="00562180"/>
    <w:rsid w:val="005630C2"/>
    <w:rsid w:val="005651F2"/>
    <w:rsid w:val="00566BF2"/>
    <w:rsid w:val="00567018"/>
    <w:rsid w:val="00567B66"/>
    <w:rsid w:val="00567FBF"/>
    <w:rsid w:val="00573916"/>
    <w:rsid w:val="00573B66"/>
    <w:rsid w:val="00573D6D"/>
    <w:rsid w:val="0057474A"/>
    <w:rsid w:val="00574E6B"/>
    <w:rsid w:val="00575679"/>
    <w:rsid w:val="00575EC8"/>
    <w:rsid w:val="00576528"/>
    <w:rsid w:val="00576F0F"/>
    <w:rsid w:val="005770E1"/>
    <w:rsid w:val="00582877"/>
    <w:rsid w:val="00585C10"/>
    <w:rsid w:val="00585D18"/>
    <w:rsid w:val="005876D8"/>
    <w:rsid w:val="00590091"/>
    <w:rsid w:val="00590122"/>
    <w:rsid w:val="00591410"/>
    <w:rsid w:val="0059168E"/>
    <w:rsid w:val="00591E80"/>
    <w:rsid w:val="00592118"/>
    <w:rsid w:val="005928E4"/>
    <w:rsid w:val="0059553F"/>
    <w:rsid w:val="00597CD5"/>
    <w:rsid w:val="005A5642"/>
    <w:rsid w:val="005A5777"/>
    <w:rsid w:val="005A5A76"/>
    <w:rsid w:val="005A6B6C"/>
    <w:rsid w:val="005B0037"/>
    <w:rsid w:val="005B0EA2"/>
    <w:rsid w:val="005B3818"/>
    <w:rsid w:val="005B52B1"/>
    <w:rsid w:val="005B7EA4"/>
    <w:rsid w:val="005B7F50"/>
    <w:rsid w:val="005C08FA"/>
    <w:rsid w:val="005C10F2"/>
    <w:rsid w:val="005C1D26"/>
    <w:rsid w:val="005C3E17"/>
    <w:rsid w:val="005C6713"/>
    <w:rsid w:val="005D1258"/>
    <w:rsid w:val="005D14FA"/>
    <w:rsid w:val="005D72BC"/>
    <w:rsid w:val="005E0542"/>
    <w:rsid w:val="005E0927"/>
    <w:rsid w:val="005E0EB8"/>
    <w:rsid w:val="005E15BA"/>
    <w:rsid w:val="005E290B"/>
    <w:rsid w:val="005E306B"/>
    <w:rsid w:val="005E4E76"/>
    <w:rsid w:val="005E61DB"/>
    <w:rsid w:val="005E6FE7"/>
    <w:rsid w:val="005F28F4"/>
    <w:rsid w:val="005F39AC"/>
    <w:rsid w:val="005F4AE0"/>
    <w:rsid w:val="005F6406"/>
    <w:rsid w:val="005F6EB7"/>
    <w:rsid w:val="005F760F"/>
    <w:rsid w:val="00605136"/>
    <w:rsid w:val="006063A3"/>
    <w:rsid w:val="0060753A"/>
    <w:rsid w:val="00610DCC"/>
    <w:rsid w:val="00611B73"/>
    <w:rsid w:val="006120A9"/>
    <w:rsid w:val="00612C9E"/>
    <w:rsid w:val="00613084"/>
    <w:rsid w:val="0061393A"/>
    <w:rsid w:val="00614B06"/>
    <w:rsid w:val="00614DE1"/>
    <w:rsid w:val="006160F6"/>
    <w:rsid w:val="006169D0"/>
    <w:rsid w:val="00616C8F"/>
    <w:rsid w:val="00616EAA"/>
    <w:rsid w:val="00620DE2"/>
    <w:rsid w:val="00621870"/>
    <w:rsid w:val="00622EAF"/>
    <w:rsid w:val="00623615"/>
    <w:rsid w:val="00626234"/>
    <w:rsid w:val="00626ADA"/>
    <w:rsid w:val="00627813"/>
    <w:rsid w:val="00632DD6"/>
    <w:rsid w:val="00633B38"/>
    <w:rsid w:val="00633FA7"/>
    <w:rsid w:val="0063436C"/>
    <w:rsid w:val="006373B1"/>
    <w:rsid w:val="00643045"/>
    <w:rsid w:val="006437C9"/>
    <w:rsid w:val="006448B8"/>
    <w:rsid w:val="00645C78"/>
    <w:rsid w:val="00645FE7"/>
    <w:rsid w:val="00646470"/>
    <w:rsid w:val="00646570"/>
    <w:rsid w:val="006467A5"/>
    <w:rsid w:val="006467AE"/>
    <w:rsid w:val="0065007F"/>
    <w:rsid w:val="00650EC4"/>
    <w:rsid w:val="00651142"/>
    <w:rsid w:val="00651D15"/>
    <w:rsid w:val="00651F60"/>
    <w:rsid w:val="00652426"/>
    <w:rsid w:val="00652D66"/>
    <w:rsid w:val="006530CF"/>
    <w:rsid w:val="00654741"/>
    <w:rsid w:val="0065519A"/>
    <w:rsid w:val="006563B5"/>
    <w:rsid w:val="0065793E"/>
    <w:rsid w:val="006616A8"/>
    <w:rsid w:val="00662776"/>
    <w:rsid w:val="00664EE2"/>
    <w:rsid w:val="00665360"/>
    <w:rsid w:val="006666FB"/>
    <w:rsid w:val="0066748C"/>
    <w:rsid w:val="0066773D"/>
    <w:rsid w:val="00667F67"/>
    <w:rsid w:val="006708E4"/>
    <w:rsid w:val="00670BD0"/>
    <w:rsid w:val="006727BE"/>
    <w:rsid w:val="006733AC"/>
    <w:rsid w:val="00673B41"/>
    <w:rsid w:val="00674203"/>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3D5B"/>
    <w:rsid w:val="0068510B"/>
    <w:rsid w:val="00685E9A"/>
    <w:rsid w:val="00687E71"/>
    <w:rsid w:val="00690343"/>
    <w:rsid w:val="00691AAF"/>
    <w:rsid w:val="00692130"/>
    <w:rsid w:val="00692DF5"/>
    <w:rsid w:val="0069397B"/>
    <w:rsid w:val="006959B9"/>
    <w:rsid w:val="006973DA"/>
    <w:rsid w:val="00697D05"/>
    <w:rsid w:val="006A0322"/>
    <w:rsid w:val="006A0C8E"/>
    <w:rsid w:val="006A1FB4"/>
    <w:rsid w:val="006A2572"/>
    <w:rsid w:val="006A45A1"/>
    <w:rsid w:val="006A4E33"/>
    <w:rsid w:val="006A5561"/>
    <w:rsid w:val="006A6791"/>
    <w:rsid w:val="006A7FB3"/>
    <w:rsid w:val="006A7FB6"/>
    <w:rsid w:val="006B3179"/>
    <w:rsid w:val="006B3693"/>
    <w:rsid w:val="006B43B6"/>
    <w:rsid w:val="006B48C5"/>
    <w:rsid w:val="006B4B42"/>
    <w:rsid w:val="006B4D02"/>
    <w:rsid w:val="006B55E6"/>
    <w:rsid w:val="006B5CBA"/>
    <w:rsid w:val="006B5F8C"/>
    <w:rsid w:val="006B6634"/>
    <w:rsid w:val="006B728F"/>
    <w:rsid w:val="006B7390"/>
    <w:rsid w:val="006B73C5"/>
    <w:rsid w:val="006B791C"/>
    <w:rsid w:val="006B7F54"/>
    <w:rsid w:val="006C1C4A"/>
    <w:rsid w:val="006C34E1"/>
    <w:rsid w:val="006C3CD7"/>
    <w:rsid w:val="006C42F4"/>
    <w:rsid w:val="006C434D"/>
    <w:rsid w:val="006C5DBB"/>
    <w:rsid w:val="006C5EA7"/>
    <w:rsid w:val="006C6512"/>
    <w:rsid w:val="006C752A"/>
    <w:rsid w:val="006D00F5"/>
    <w:rsid w:val="006D4E10"/>
    <w:rsid w:val="006D539E"/>
    <w:rsid w:val="006D7665"/>
    <w:rsid w:val="006D7AEE"/>
    <w:rsid w:val="006D7DAD"/>
    <w:rsid w:val="006E0F4A"/>
    <w:rsid w:val="006E1238"/>
    <w:rsid w:val="006E1B6F"/>
    <w:rsid w:val="006E222F"/>
    <w:rsid w:val="006E280B"/>
    <w:rsid w:val="006E2904"/>
    <w:rsid w:val="006E3610"/>
    <w:rsid w:val="006E3819"/>
    <w:rsid w:val="006E3977"/>
    <w:rsid w:val="006E3EA3"/>
    <w:rsid w:val="006E45EC"/>
    <w:rsid w:val="006E56A7"/>
    <w:rsid w:val="006E57C3"/>
    <w:rsid w:val="006E5FAB"/>
    <w:rsid w:val="006E6C7E"/>
    <w:rsid w:val="006E796E"/>
    <w:rsid w:val="006F0A22"/>
    <w:rsid w:val="006F19FC"/>
    <w:rsid w:val="006F6F4D"/>
    <w:rsid w:val="006F7134"/>
    <w:rsid w:val="006F72D9"/>
    <w:rsid w:val="006F7D3A"/>
    <w:rsid w:val="007038FE"/>
    <w:rsid w:val="00706597"/>
    <w:rsid w:val="00706A8D"/>
    <w:rsid w:val="00707AF6"/>
    <w:rsid w:val="00707B59"/>
    <w:rsid w:val="007113D3"/>
    <w:rsid w:val="0071161C"/>
    <w:rsid w:val="007119C7"/>
    <w:rsid w:val="00713216"/>
    <w:rsid w:val="00713603"/>
    <w:rsid w:val="007139F6"/>
    <w:rsid w:val="00716115"/>
    <w:rsid w:val="00720DE0"/>
    <w:rsid w:val="00721582"/>
    <w:rsid w:val="007234D6"/>
    <w:rsid w:val="007236E6"/>
    <w:rsid w:val="0072427E"/>
    <w:rsid w:val="007252FD"/>
    <w:rsid w:val="00730609"/>
    <w:rsid w:val="007313B7"/>
    <w:rsid w:val="00731DA2"/>
    <w:rsid w:val="0073276D"/>
    <w:rsid w:val="0073321A"/>
    <w:rsid w:val="007335AA"/>
    <w:rsid w:val="00734122"/>
    <w:rsid w:val="00737F15"/>
    <w:rsid w:val="0074082A"/>
    <w:rsid w:val="00742305"/>
    <w:rsid w:val="007423F5"/>
    <w:rsid w:val="00742877"/>
    <w:rsid w:val="0074393D"/>
    <w:rsid w:val="00743991"/>
    <w:rsid w:val="00746AD4"/>
    <w:rsid w:val="007513D5"/>
    <w:rsid w:val="007515C4"/>
    <w:rsid w:val="00752714"/>
    <w:rsid w:val="007540CC"/>
    <w:rsid w:val="00755A08"/>
    <w:rsid w:val="00755D10"/>
    <w:rsid w:val="00756231"/>
    <w:rsid w:val="00757287"/>
    <w:rsid w:val="00757D3C"/>
    <w:rsid w:val="00762466"/>
    <w:rsid w:val="00764146"/>
    <w:rsid w:val="007646F7"/>
    <w:rsid w:val="007663CC"/>
    <w:rsid w:val="00766C89"/>
    <w:rsid w:val="007673B6"/>
    <w:rsid w:val="00767E11"/>
    <w:rsid w:val="007707AA"/>
    <w:rsid w:val="00771D67"/>
    <w:rsid w:val="00774962"/>
    <w:rsid w:val="00775160"/>
    <w:rsid w:val="00780DCA"/>
    <w:rsid w:val="007818C9"/>
    <w:rsid w:val="00782920"/>
    <w:rsid w:val="007841D2"/>
    <w:rsid w:val="007865E1"/>
    <w:rsid w:val="007866F2"/>
    <w:rsid w:val="00786C7F"/>
    <w:rsid w:val="00787521"/>
    <w:rsid w:val="00787A3A"/>
    <w:rsid w:val="00787B6B"/>
    <w:rsid w:val="0079064A"/>
    <w:rsid w:val="00791A47"/>
    <w:rsid w:val="0079221D"/>
    <w:rsid w:val="00794130"/>
    <w:rsid w:val="00794382"/>
    <w:rsid w:val="007A009E"/>
    <w:rsid w:val="007A01F7"/>
    <w:rsid w:val="007A0F8C"/>
    <w:rsid w:val="007A13C0"/>
    <w:rsid w:val="007A4490"/>
    <w:rsid w:val="007A4F56"/>
    <w:rsid w:val="007A5F1C"/>
    <w:rsid w:val="007A7069"/>
    <w:rsid w:val="007A70D1"/>
    <w:rsid w:val="007A72A6"/>
    <w:rsid w:val="007A7526"/>
    <w:rsid w:val="007B153E"/>
    <w:rsid w:val="007B283B"/>
    <w:rsid w:val="007B2F12"/>
    <w:rsid w:val="007B6900"/>
    <w:rsid w:val="007B7884"/>
    <w:rsid w:val="007C0294"/>
    <w:rsid w:val="007C12CC"/>
    <w:rsid w:val="007C1322"/>
    <w:rsid w:val="007C3B0F"/>
    <w:rsid w:val="007C563E"/>
    <w:rsid w:val="007C58F6"/>
    <w:rsid w:val="007C6221"/>
    <w:rsid w:val="007C74F4"/>
    <w:rsid w:val="007C7A1B"/>
    <w:rsid w:val="007D243B"/>
    <w:rsid w:val="007D25A6"/>
    <w:rsid w:val="007D425A"/>
    <w:rsid w:val="007D45A9"/>
    <w:rsid w:val="007D4653"/>
    <w:rsid w:val="007D5A19"/>
    <w:rsid w:val="007E193D"/>
    <w:rsid w:val="007E2518"/>
    <w:rsid w:val="007E31A6"/>
    <w:rsid w:val="007E37B8"/>
    <w:rsid w:val="007E4F90"/>
    <w:rsid w:val="007E7741"/>
    <w:rsid w:val="007E79B1"/>
    <w:rsid w:val="007F00ED"/>
    <w:rsid w:val="007F0EB6"/>
    <w:rsid w:val="007F25C1"/>
    <w:rsid w:val="007F447E"/>
    <w:rsid w:val="007F5FAD"/>
    <w:rsid w:val="007F620C"/>
    <w:rsid w:val="007F66EC"/>
    <w:rsid w:val="007F6CB0"/>
    <w:rsid w:val="008004E8"/>
    <w:rsid w:val="00800857"/>
    <w:rsid w:val="00800BB6"/>
    <w:rsid w:val="00800BE0"/>
    <w:rsid w:val="00801B05"/>
    <w:rsid w:val="008025D3"/>
    <w:rsid w:val="00803005"/>
    <w:rsid w:val="00803799"/>
    <w:rsid w:val="00807A32"/>
    <w:rsid w:val="00807BB1"/>
    <w:rsid w:val="008102C8"/>
    <w:rsid w:val="00811A19"/>
    <w:rsid w:val="00811EF3"/>
    <w:rsid w:val="008127C3"/>
    <w:rsid w:val="00813B77"/>
    <w:rsid w:val="008155A8"/>
    <w:rsid w:val="00815697"/>
    <w:rsid w:val="0081715B"/>
    <w:rsid w:val="00817D08"/>
    <w:rsid w:val="00817D26"/>
    <w:rsid w:val="00821A14"/>
    <w:rsid w:val="00825C03"/>
    <w:rsid w:val="008266FA"/>
    <w:rsid w:val="0082752B"/>
    <w:rsid w:val="00830484"/>
    <w:rsid w:val="008306C2"/>
    <w:rsid w:val="00830A98"/>
    <w:rsid w:val="0083100F"/>
    <w:rsid w:val="00831330"/>
    <w:rsid w:val="00831AF4"/>
    <w:rsid w:val="00831D1E"/>
    <w:rsid w:val="008373DB"/>
    <w:rsid w:val="00837946"/>
    <w:rsid w:val="00837CF7"/>
    <w:rsid w:val="00840D1C"/>
    <w:rsid w:val="00841CA6"/>
    <w:rsid w:val="008425B7"/>
    <w:rsid w:val="00842BE8"/>
    <w:rsid w:val="0084362C"/>
    <w:rsid w:val="00845524"/>
    <w:rsid w:val="00847236"/>
    <w:rsid w:val="008510BC"/>
    <w:rsid w:val="008511B8"/>
    <w:rsid w:val="0085131C"/>
    <w:rsid w:val="00851335"/>
    <w:rsid w:val="00851D92"/>
    <w:rsid w:val="00852E08"/>
    <w:rsid w:val="00854F3C"/>
    <w:rsid w:val="00857EA5"/>
    <w:rsid w:val="0086048E"/>
    <w:rsid w:val="0086190B"/>
    <w:rsid w:val="0086322E"/>
    <w:rsid w:val="00864258"/>
    <w:rsid w:val="008649B1"/>
    <w:rsid w:val="00864CF5"/>
    <w:rsid w:val="0087069A"/>
    <w:rsid w:val="00870D3F"/>
    <w:rsid w:val="0087135D"/>
    <w:rsid w:val="00872AA1"/>
    <w:rsid w:val="00873AD3"/>
    <w:rsid w:val="00874451"/>
    <w:rsid w:val="00875714"/>
    <w:rsid w:val="0087715F"/>
    <w:rsid w:val="0087717D"/>
    <w:rsid w:val="008771C5"/>
    <w:rsid w:val="00880C14"/>
    <w:rsid w:val="008834FA"/>
    <w:rsid w:val="00884F4B"/>
    <w:rsid w:val="00887A37"/>
    <w:rsid w:val="00891510"/>
    <w:rsid w:val="008924D8"/>
    <w:rsid w:val="00892DE5"/>
    <w:rsid w:val="008944AF"/>
    <w:rsid w:val="0089587E"/>
    <w:rsid w:val="008970D5"/>
    <w:rsid w:val="008A0734"/>
    <w:rsid w:val="008A3286"/>
    <w:rsid w:val="008A4078"/>
    <w:rsid w:val="008A4D8F"/>
    <w:rsid w:val="008A5B78"/>
    <w:rsid w:val="008A773B"/>
    <w:rsid w:val="008A773E"/>
    <w:rsid w:val="008B0085"/>
    <w:rsid w:val="008B03B6"/>
    <w:rsid w:val="008B0F81"/>
    <w:rsid w:val="008B2B51"/>
    <w:rsid w:val="008B346E"/>
    <w:rsid w:val="008B3545"/>
    <w:rsid w:val="008B3D96"/>
    <w:rsid w:val="008B3F5A"/>
    <w:rsid w:val="008B4E2A"/>
    <w:rsid w:val="008B5136"/>
    <w:rsid w:val="008B68FD"/>
    <w:rsid w:val="008C11F3"/>
    <w:rsid w:val="008C1831"/>
    <w:rsid w:val="008C2AE5"/>
    <w:rsid w:val="008C2E09"/>
    <w:rsid w:val="008C32D0"/>
    <w:rsid w:val="008C3677"/>
    <w:rsid w:val="008C3970"/>
    <w:rsid w:val="008C48F8"/>
    <w:rsid w:val="008C5BEC"/>
    <w:rsid w:val="008C727B"/>
    <w:rsid w:val="008C7417"/>
    <w:rsid w:val="008C74E6"/>
    <w:rsid w:val="008D09BA"/>
    <w:rsid w:val="008D3C61"/>
    <w:rsid w:val="008D6485"/>
    <w:rsid w:val="008D706D"/>
    <w:rsid w:val="008D7542"/>
    <w:rsid w:val="008E1ADA"/>
    <w:rsid w:val="008E1C35"/>
    <w:rsid w:val="008E2427"/>
    <w:rsid w:val="008E39EB"/>
    <w:rsid w:val="008E46ED"/>
    <w:rsid w:val="008E512D"/>
    <w:rsid w:val="008E5891"/>
    <w:rsid w:val="008E5AE4"/>
    <w:rsid w:val="008E5F09"/>
    <w:rsid w:val="008E603A"/>
    <w:rsid w:val="008F1A00"/>
    <w:rsid w:val="008F1C1A"/>
    <w:rsid w:val="008F1DDA"/>
    <w:rsid w:val="008F2063"/>
    <w:rsid w:val="008F39B8"/>
    <w:rsid w:val="008F3ACA"/>
    <w:rsid w:val="008F4222"/>
    <w:rsid w:val="008F4DC3"/>
    <w:rsid w:val="008F6979"/>
    <w:rsid w:val="00901748"/>
    <w:rsid w:val="009018E5"/>
    <w:rsid w:val="00901C1E"/>
    <w:rsid w:val="00902CF4"/>
    <w:rsid w:val="0090478A"/>
    <w:rsid w:val="00904E21"/>
    <w:rsid w:val="009056D3"/>
    <w:rsid w:val="00905841"/>
    <w:rsid w:val="00905D58"/>
    <w:rsid w:val="00907D77"/>
    <w:rsid w:val="00910644"/>
    <w:rsid w:val="00910778"/>
    <w:rsid w:val="00910F99"/>
    <w:rsid w:val="00916557"/>
    <w:rsid w:val="00916B28"/>
    <w:rsid w:val="00920A89"/>
    <w:rsid w:val="00921F6C"/>
    <w:rsid w:val="00922CD9"/>
    <w:rsid w:val="0092358B"/>
    <w:rsid w:val="009235E0"/>
    <w:rsid w:val="009247C4"/>
    <w:rsid w:val="00924A8B"/>
    <w:rsid w:val="0092521F"/>
    <w:rsid w:val="00926E97"/>
    <w:rsid w:val="0092700A"/>
    <w:rsid w:val="00927144"/>
    <w:rsid w:val="00930493"/>
    <w:rsid w:val="009306D2"/>
    <w:rsid w:val="009338C8"/>
    <w:rsid w:val="00933D99"/>
    <w:rsid w:val="009346ED"/>
    <w:rsid w:val="00935053"/>
    <w:rsid w:val="0093790A"/>
    <w:rsid w:val="00937C4B"/>
    <w:rsid w:val="00945A9B"/>
    <w:rsid w:val="00947548"/>
    <w:rsid w:val="009508EB"/>
    <w:rsid w:val="00951D4A"/>
    <w:rsid w:val="009528ED"/>
    <w:rsid w:val="00952B22"/>
    <w:rsid w:val="0095340E"/>
    <w:rsid w:val="00954F7F"/>
    <w:rsid w:val="00956519"/>
    <w:rsid w:val="00956CF5"/>
    <w:rsid w:val="009613EF"/>
    <w:rsid w:val="009618EC"/>
    <w:rsid w:val="00961BBD"/>
    <w:rsid w:val="00962204"/>
    <w:rsid w:val="00962308"/>
    <w:rsid w:val="0096295D"/>
    <w:rsid w:val="00964086"/>
    <w:rsid w:val="00964479"/>
    <w:rsid w:val="00966399"/>
    <w:rsid w:val="00970924"/>
    <w:rsid w:val="009717A5"/>
    <w:rsid w:val="0097195D"/>
    <w:rsid w:val="009721A4"/>
    <w:rsid w:val="0097467D"/>
    <w:rsid w:val="009752EE"/>
    <w:rsid w:val="00975DC2"/>
    <w:rsid w:val="00976204"/>
    <w:rsid w:val="009767AC"/>
    <w:rsid w:val="009816C3"/>
    <w:rsid w:val="00982994"/>
    <w:rsid w:val="00984E58"/>
    <w:rsid w:val="0098561A"/>
    <w:rsid w:val="0098675D"/>
    <w:rsid w:val="009875D7"/>
    <w:rsid w:val="00990E2B"/>
    <w:rsid w:val="00992897"/>
    <w:rsid w:val="00993E2E"/>
    <w:rsid w:val="0099514C"/>
    <w:rsid w:val="00995594"/>
    <w:rsid w:val="0099694C"/>
    <w:rsid w:val="00996CE3"/>
    <w:rsid w:val="009A07C7"/>
    <w:rsid w:val="009A0958"/>
    <w:rsid w:val="009A1FE1"/>
    <w:rsid w:val="009A20D0"/>
    <w:rsid w:val="009A2D6C"/>
    <w:rsid w:val="009A3228"/>
    <w:rsid w:val="009A4BD5"/>
    <w:rsid w:val="009A5259"/>
    <w:rsid w:val="009A6CC8"/>
    <w:rsid w:val="009B0063"/>
    <w:rsid w:val="009B38F6"/>
    <w:rsid w:val="009B5022"/>
    <w:rsid w:val="009C17E0"/>
    <w:rsid w:val="009C2134"/>
    <w:rsid w:val="009C21A8"/>
    <w:rsid w:val="009C3988"/>
    <w:rsid w:val="009C3CAF"/>
    <w:rsid w:val="009C7688"/>
    <w:rsid w:val="009D004A"/>
    <w:rsid w:val="009D0197"/>
    <w:rsid w:val="009D19AE"/>
    <w:rsid w:val="009D1A19"/>
    <w:rsid w:val="009D2109"/>
    <w:rsid w:val="009D2805"/>
    <w:rsid w:val="009D2AFE"/>
    <w:rsid w:val="009D3609"/>
    <w:rsid w:val="009D5637"/>
    <w:rsid w:val="009D6A24"/>
    <w:rsid w:val="009D6ED4"/>
    <w:rsid w:val="009D7994"/>
    <w:rsid w:val="009D7FE0"/>
    <w:rsid w:val="009E3963"/>
    <w:rsid w:val="009E46B1"/>
    <w:rsid w:val="009E4D9F"/>
    <w:rsid w:val="009E7A40"/>
    <w:rsid w:val="009E7AD9"/>
    <w:rsid w:val="009E7F81"/>
    <w:rsid w:val="009F1681"/>
    <w:rsid w:val="009F1FFE"/>
    <w:rsid w:val="009F25D1"/>
    <w:rsid w:val="009F31B2"/>
    <w:rsid w:val="009F37FE"/>
    <w:rsid w:val="009F44BC"/>
    <w:rsid w:val="009F60DF"/>
    <w:rsid w:val="009F7FA1"/>
    <w:rsid w:val="00A04DCF"/>
    <w:rsid w:val="00A066BF"/>
    <w:rsid w:val="00A075EF"/>
    <w:rsid w:val="00A100BF"/>
    <w:rsid w:val="00A101CA"/>
    <w:rsid w:val="00A107A2"/>
    <w:rsid w:val="00A1253B"/>
    <w:rsid w:val="00A130E7"/>
    <w:rsid w:val="00A14C96"/>
    <w:rsid w:val="00A17860"/>
    <w:rsid w:val="00A21609"/>
    <w:rsid w:val="00A227B0"/>
    <w:rsid w:val="00A25B97"/>
    <w:rsid w:val="00A3179E"/>
    <w:rsid w:val="00A31E60"/>
    <w:rsid w:val="00A33051"/>
    <w:rsid w:val="00A331CA"/>
    <w:rsid w:val="00A33805"/>
    <w:rsid w:val="00A33AFF"/>
    <w:rsid w:val="00A347D9"/>
    <w:rsid w:val="00A34AB7"/>
    <w:rsid w:val="00A34DB9"/>
    <w:rsid w:val="00A3546D"/>
    <w:rsid w:val="00A35DEB"/>
    <w:rsid w:val="00A365D7"/>
    <w:rsid w:val="00A36E24"/>
    <w:rsid w:val="00A3731C"/>
    <w:rsid w:val="00A3757E"/>
    <w:rsid w:val="00A40262"/>
    <w:rsid w:val="00A40BCF"/>
    <w:rsid w:val="00A450A0"/>
    <w:rsid w:val="00A467F2"/>
    <w:rsid w:val="00A46D08"/>
    <w:rsid w:val="00A47CB3"/>
    <w:rsid w:val="00A47F4D"/>
    <w:rsid w:val="00A51A79"/>
    <w:rsid w:val="00A52119"/>
    <w:rsid w:val="00A53021"/>
    <w:rsid w:val="00A5544C"/>
    <w:rsid w:val="00A55909"/>
    <w:rsid w:val="00A61881"/>
    <w:rsid w:val="00A61A66"/>
    <w:rsid w:val="00A6271C"/>
    <w:rsid w:val="00A65E47"/>
    <w:rsid w:val="00A667F0"/>
    <w:rsid w:val="00A67908"/>
    <w:rsid w:val="00A708C8"/>
    <w:rsid w:val="00A71F21"/>
    <w:rsid w:val="00A71F44"/>
    <w:rsid w:val="00A72A33"/>
    <w:rsid w:val="00A7376A"/>
    <w:rsid w:val="00A737B7"/>
    <w:rsid w:val="00A77774"/>
    <w:rsid w:val="00A80B2E"/>
    <w:rsid w:val="00A825D1"/>
    <w:rsid w:val="00A825FB"/>
    <w:rsid w:val="00A83208"/>
    <w:rsid w:val="00A8489E"/>
    <w:rsid w:val="00A85309"/>
    <w:rsid w:val="00A858C3"/>
    <w:rsid w:val="00A86048"/>
    <w:rsid w:val="00A865EC"/>
    <w:rsid w:val="00A86930"/>
    <w:rsid w:val="00A87F68"/>
    <w:rsid w:val="00A91E53"/>
    <w:rsid w:val="00A92951"/>
    <w:rsid w:val="00A92F51"/>
    <w:rsid w:val="00A94B75"/>
    <w:rsid w:val="00A97E4D"/>
    <w:rsid w:val="00A97EBF"/>
    <w:rsid w:val="00AA04F9"/>
    <w:rsid w:val="00AA0F1D"/>
    <w:rsid w:val="00AA13B3"/>
    <w:rsid w:val="00AA1A0B"/>
    <w:rsid w:val="00AA1DCF"/>
    <w:rsid w:val="00AA2E6B"/>
    <w:rsid w:val="00AA44FF"/>
    <w:rsid w:val="00AB4071"/>
    <w:rsid w:val="00AB54F4"/>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B73"/>
    <w:rsid w:val="00AC6F1A"/>
    <w:rsid w:val="00AD14D5"/>
    <w:rsid w:val="00AD192B"/>
    <w:rsid w:val="00AD28CD"/>
    <w:rsid w:val="00AD438F"/>
    <w:rsid w:val="00AD7006"/>
    <w:rsid w:val="00AD7780"/>
    <w:rsid w:val="00AE02D5"/>
    <w:rsid w:val="00AE05FB"/>
    <w:rsid w:val="00AE0937"/>
    <w:rsid w:val="00AE0A4F"/>
    <w:rsid w:val="00AE1260"/>
    <w:rsid w:val="00AE2347"/>
    <w:rsid w:val="00AE27B6"/>
    <w:rsid w:val="00AE32A1"/>
    <w:rsid w:val="00AE35F0"/>
    <w:rsid w:val="00AE4129"/>
    <w:rsid w:val="00AE529B"/>
    <w:rsid w:val="00AE6F79"/>
    <w:rsid w:val="00AF02AD"/>
    <w:rsid w:val="00AF1883"/>
    <w:rsid w:val="00AF3936"/>
    <w:rsid w:val="00AF46A0"/>
    <w:rsid w:val="00AF65E3"/>
    <w:rsid w:val="00AF7313"/>
    <w:rsid w:val="00AF77B5"/>
    <w:rsid w:val="00B00943"/>
    <w:rsid w:val="00B00AA8"/>
    <w:rsid w:val="00B01087"/>
    <w:rsid w:val="00B01D46"/>
    <w:rsid w:val="00B03EA2"/>
    <w:rsid w:val="00B03F3C"/>
    <w:rsid w:val="00B04E09"/>
    <w:rsid w:val="00B0539A"/>
    <w:rsid w:val="00B05431"/>
    <w:rsid w:val="00B06E7A"/>
    <w:rsid w:val="00B075E9"/>
    <w:rsid w:val="00B12950"/>
    <w:rsid w:val="00B13F07"/>
    <w:rsid w:val="00B140F6"/>
    <w:rsid w:val="00B154C8"/>
    <w:rsid w:val="00B175EE"/>
    <w:rsid w:val="00B21AC2"/>
    <w:rsid w:val="00B21BC8"/>
    <w:rsid w:val="00B23AF1"/>
    <w:rsid w:val="00B26143"/>
    <w:rsid w:val="00B26B85"/>
    <w:rsid w:val="00B30115"/>
    <w:rsid w:val="00B329DF"/>
    <w:rsid w:val="00B34A5D"/>
    <w:rsid w:val="00B361A5"/>
    <w:rsid w:val="00B36583"/>
    <w:rsid w:val="00B372DE"/>
    <w:rsid w:val="00B4292D"/>
    <w:rsid w:val="00B42D14"/>
    <w:rsid w:val="00B4473F"/>
    <w:rsid w:val="00B47C98"/>
    <w:rsid w:val="00B47E5F"/>
    <w:rsid w:val="00B50B94"/>
    <w:rsid w:val="00B52D46"/>
    <w:rsid w:val="00B54DF2"/>
    <w:rsid w:val="00B5583D"/>
    <w:rsid w:val="00B56527"/>
    <w:rsid w:val="00B56669"/>
    <w:rsid w:val="00B57119"/>
    <w:rsid w:val="00B60727"/>
    <w:rsid w:val="00B62A14"/>
    <w:rsid w:val="00B64DE9"/>
    <w:rsid w:val="00B65206"/>
    <w:rsid w:val="00B65785"/>
    <w:rsid w:val="00B66D3D"/>
    <w:rsid w:val="00B67B6F"/>
    <w:rsid w:val="00B71560"/>
    <w:rsid w:val="00B715B4"/>
    <w:rsid w:val="00B71E95"/>
    <w:rsid w:val="00B73B7D"/>
    <w:rsid w:val="00B7458E"/>
    <w:rsid w:val="00B7599E"/>
    <w:rsid w:val="00B805B7"/>
    <w:rsid w:val="00B80DFC"/>
    <w:rsid w:val="00B80EDE"/>
    <w:rsid w:val="00B81556"/>
    <w:rsid w:val="00B82806"/>
    <w:rsid w:val="00B84254"/>
    <w:rsid w:val="00B859B8"/>
    <w:rsid w:val="00B873D5"/>
    <w:rsid w:val="00B87988"/>
    <w:rsid w:val="00B87B37"/>
    <w:rsid w:val="00B90574"/>
    <w:rsid w:val="00B90CBD"/>
    <w:rsid w:val="00B92E98"/>
    <w:rsid w:val="00B9529C"/>
    <w:rsid w:val="00B9543F"/>
    <w:rsid w:val="00B9553B"/>
    <w:rsid w:val="00BA3397"/>
    <w:rsid w:val="00BA389A"/>
    <w:rsid w:val="00BA3CA3"/>
    <w:rsid w:val="00BA3D2D"/>
    <w:rsid w:val="00BA6D70"/>
    <w:rsid w:val="00BA7DC3"/>
    <w:rsid w:val="00BA7DE8"/>
    <w:rsid w:val="00BB0EBA"/>
    <w:rsid w:val="00BB161B"/>
    <w:rsid w:val="00BB3ECA"/>
    <w:rsid w:val="00BB411A"/>
    <w:rsid w:val="00BB471C"/>
    <w:rsid w:val="00BB4988"/>
    <w:rsid w:val="00BB4BCB"/>
    <w:rsid w:val="00BB573B"/>
    <w:rsid w:val="00BB5D41"/>
    <w:rsid w:val="00BB61E6"/>
    <w:rsid w:val="00BB6415"/>
    <w:rsid w:val="00BB64A1"/>
    <w:rsid w:val="00BB767C"/>
    <w:rsid w:val="00BC1890"/>
    <w:rsid w:val="00BC1EF1"/>
    <w:rsid w:val="00BC229A"/>
    <w:rsid w:val="00BC2B22"/>
    <w:rsid w:val="00BC43A1"/>
    <w:rsid w:val="00BC5C4C"/>
    <w:rsid w:val="00BC6B83"/>
    <w:rsid w:val="00BC6DAD"/>
    <w:rsid w:val="00BD2189"/>
    <w:rsid w:val="00BD25AF"/>
    <w:rsid w:val="00BD40F4"/>
    <w:rsid w:val="00BD5592"/>
    <w:rsid w:val="00BD61F3"/>
    <w:rsid w:val="00BD6381"/>
    <w:rsid w:val="00BD7565"/>
    <w:rsid w:val="00BE174B"/>
    <w:rsid w:val="00BE26DA"/>
    <w:rsid w:val="00BE53FC"/>
    <w:rsid w:val="00BE5860"/>
    <w:rsid w:val="00BE6083"/>
    <w:rsid w:val="00BF0C64"/>
    <w:rsid w:val="00BF12F4"/>
    <w:rsid w:val="00BF15BA"/>
    <w:rsid w:val="00BF3D62"/>
    <w:rsid w:val="00BF5678"/>
    <w:rsid w:val="00BF6518"/>
    <w:rsid w:val="00BF7568"/>
    <w:rsid w:val="00BF7FC6"/>
    <w:rsid w:val="00C0176D"/>
    <w:rsid w:val="00C01DA2"/>
    <w:rsid w:val="00C03A52"/>
    <w:rsid w:val="00C03FE1"/>
    <w:rsid w:val="00C048B1"/>
    <w:rsid w:val="00C0539B"/>
    <w:rsid w:val="00C056EE"/>
    <w:rsid w:val="00C05C8D"/>
    <w:rsid w:val="00C117A2"/>
    <w:rsid w:val="00C137AF"/>
    <w:rsid w:val="00C1401A"/>
    <w:rsid w:val="00C15341"/>
    <w:rsid w:val="00C16AF9"/>
    <w:rsid w:val="00C20E1F"/>
    <w:rsid w:val="00C215E3"/>
    <w:rsid w:val="00C26270"/>
    <w:rsid w:val="00C2636F"/>
    <w:rsid w:val="00C30E92"/>
    <w:rsid w:val="00C332FC"/>
    <w:rsid w:val="00C34221"/>
    <w:rsid w:val="00C37429"/>
    <w:rsid w:val="00C37D0F"/>
    <w:rsid w:val="00C406BA"/>
    <w:rsid w:val="00C411E5"/>
    <w:rsid w:val="00C43F1C"/>
    <w:rsid w:val="00C452B7"/>
    <w:rsid w:val="00C45A12"/>
    <w:rsid w:val="00C46DC8"/>
    <w:rsid w:val="00C5118A"/>
    <w:rsid w:val="00C51F56"/>
    <w:rsid w:val="00C5216B"/>
    <w:rsid w:val="00C53BA5"/>
    <w:rsid w:val="00C53E7F"/>
    <w:rsid w:val="00C53F5E"/>
    <w:rsid w:val="00C55950"/>
    <w:rsid w:val="00C56181"/>
    <w:rsid w:val="00C566A8"/>
    <w:rsid w:val="00C56C4B"/>
    <w:rsid w:val="00C57C53"/>
    <w:rsid w:val="00C60AB3"/>
    <w:rsid w:val="00C60B73"/>
    <w:rsid w:val="00C60BB5"/>
    <w:rsid w:val="00C61719"/>
    <w:rsid w:val="00C62FBC"/>
    <w:rsid w:val="00C630C0"/>
    <w:rsid w:val="00C63D1D"/>
    <w:rsid w:val="00C65BAC"/>
    <w:rsid w:val="00C65FAA"/>
    <w:rsid w:val="00C66CC2"/>
    <w:rsid w:val="00C70023"/>
    <w:rsid w:val="00C7027E"/>
    <w:rsid w:val="00C70E10"/>
    <w:rsid w:val="00C71741"/>
    <w:rsid w:val="00C71EB7"/>
    <w:rsid w:val="00C7317A"/>
    <w:rsid w:val="00C7443C"/>
    <w:rsid w:val="00C74A60"/>
    <w:rsid w:val="00C77B4B"/>
    <w:rsid w:val="00C77FD7"/>
    <w:rsid w:val="00C806E4"/>
    <w:rsid w:val="00C81ECD"/>
    <w:rsid w:val="00C84EF2"/>
    <w:rsid w:val="00C8530A"/>
    <w:rsid w:val="00C87CFF"/>
    <w:rsid w:val="00C9057E"/>
    <w:rsid w:val="00C911DE"/>
    <w:rsid w:val="00C91EEF"/>
    <w:rsid w:val="00C92B04"/>
    <w:rsid w:val="00C93302"/>
    <w:rsid w:val="00C96476"/>
    <w:rsid w:val="00C966E5"/>
    <w:rsid w:val="00C972F4"/>
    <w:rsid w:val="00C97481"/>
    <w:rsid w:val="00C97D01"/>
    <w:rsid w:val="00C97F09"/>
    <w:rsid w:val="00CA1D22"/>
    <w:rsid w:val="00CA71E8"/>
    <w:rsid w:val="00CB0A51"/>
    <w:rsid w:val="00CB53CC"/>
    <w:rsid w:val="00CB596F"/>
    <w:rsid w:val="00CB7A8F"/>
    <w:rsid w:val="00CC02B6"/>
    <w:rsid w:val="00CC0515"/>
    <w:rsid w:val="00CC0AD4"/>
    <w:rsid w:val="00CC1A84"/>
    <w:rsid w:val="00CC1EDA"/>
    <w:rsid w:val="00CC218A"/>
    <w:rsid w:val="00CC2EDE"/>
    <w:rsid w:val="00CC4394"/>
    <w:rsid w:val="00CC44AE"/>
    <w:rsid w:val="00CC5671"/>
    <w:rsid w:val="00CC666E"/>
    <w:rsid w:val="00CC68F4"/>
    <w:rsid w:val="00CD1D5D"/>
    <w:rsid w:val="00CD1E58"/>
    <w:rsid w:val="00CD3365"/>
    <w:rsid w:val="00CD41B0"/>
    <w:rsid w:val="00CD471E"/>
    <w:rsid w:val="00CD482D"/>
    <w:rsid w:val="00CD695D"/>
    <w:rsid w:val="00CD7A14"/>
    <w:rsid w:val="00CE1BD9"/>
    <w:rsid w:val="00CE2561"/>
    <w:rsid w:val="00CE25C8"/>
    <w:rsid w:val="00CE2B99"/>
    <w:rsid w:val="00CE2FCF"/>
    <w:rsid w:val="00CE318F"/>
    <w:rsid w:val="00CE48ED"/>
    <w:rsid w:val="00CE6C4B"/>
    <w:rsid w:val="00CF0797"/>
    <w:rsid w:val="00CF1FF1"/>
    <w:rsid w:val="00CF2CDF"/>
    <w:rsid w:val="00CF36D8"/>
    <w:rsid w:val="00CF4447"/>
    <w:rsid w:val="00CF46D5"/>
    <w:rsid w:val="00CF6803"/>
    <w:rsid w:val="00CF7710"/>
    <w:rsid w:val="00CF7ADB"/>
    <w:rsid w:val="00D0033D"/>
    <w:rsid w:val="00D006B0"/>
    <w:rsid w:val="00D00BE4"/>
    <w:rsid w:val="00D01036"/>
    <w:rsid w:val="00D01F6E"/>
    <w:rsid w:val="00D02560"/>
    <w:rsid w:val="00D03EEB"/>
    <w:rsid w:val="00D04121"/>
    <w:rsid w:val="00D06143"/>
    <w:rsid w:val="00D06953"/>
    <w:rsid w:val="00D11085"/>
    <w:rsid w:val="00D111BB"/>
    <w:rsid w:val="00D12202"/>
    <w:rsid w:val="00D155CF"/>
    <w:rsid w:val="00D170E0"/>
    <w:rsid w:val="00D20BE7"/>
    <w:rsid w:val="00D229F0"/>
    <w:rsid w:val="00D23291"/>
    <w:rsid w:val="00D24B67"/>
    <w:rsid w:val="00D25C54"/>
    <w:rsid w:val="00D26411"/>
    <w:rsid w:val="00D27B62"/>
    <w:rsid w:val="00D3160B"/>
    <w:rsid w:val="00D319BB"/>
    <w:rsid w:val="00D31AC5"/>
    <w:rsid w:val="00D32879"/>
    <w:rsid w:val="00D32F80"/>
    <w:rsid w:val="00D338D3"/>
    <w:rsid w:val="00D33F03"/>
    <w:rsid w:val="00D360C6"/>
    <w:rsid w:val="00D365C0"/>
    <w:rsid w:val="00D40B36"/>
    <w:rsid w:val="00D40B48"/>
    <w:rsid w:val="00D42CB4"/>
    <w:rsid w:val="00D42D0E"/>
    <w:rsid w:val="00D42E1F"/>
    <w:rsid w:val="00D445DC"/>
    <w:rsid w:val="00D45287"/>
    <w:rsid w:val="00D4573D"/>
    <w:rsid w:val="00D45E0E"/>
    <w:rsid w:val="00D46E3F"/>
    <w:rsid w:val="00D46EEB"/>
    <w:rsid w:val="00D47199"/>
    <w:rsid w:val="00D475F2"/>
    <w:rsid w:val="00D4768A"/>
    <w:rsid w:val="00D5094C"/>
    <w:rsid w:val="00D519FF"/>
    <w:rsid w:val="00D5274E"/>
    <w:rsid w:val="00D53693"/>
    <w:rsid w:val="00D537A9"/>
    <w:rsid w:val="00D547AC"/>
    <w:rsid w:val="00D5490A"/>
    <w:rsid w:val="00D55561"/>
    <w:rsid w:val="00D557A0"/>
    <w:rsid w:val="00D567A3"/>
    <w:rsid w:val="00D60A82"/>
    <w:rsid w:val="00D610A8"/>
    <w:rsid w:val="00D61169"/>
    <w:rsid w:val="00D61F43"/>
    <w:rsid w:val="00D63F07"/>
    <w:rsid w:val="00D64252"/>
    <w:rsid w:val="00D664D5"/>
    <w:rsid w:val="00D66C0A"/>
    <w:rsid w:val="00D67F8F"/>
    <w:rsid w:val="00D70C09"/>
    <w:rsid w:val="00D7104E"/>
    <w:rsid w:val="00D71A0B"/>
    <w:rsid w:val="00D72E5B"/>
    <w:rsid w:val="00D745C3"/>
    <w:rsid w:val="00D759B5"/>
    <w:rsid w:val="00D76FB8"/>
    <w:rsid w:val="00D8053D"/>
    <w:rsid w:val="00D828CE"/>
    <w:rsid w:val="00D85C6B"/>
    <w:rsid w:val="00D90CAD"/>
    <w:rsid w:val="00D90E7B"/>
    <w:rsid w:val="00D91186"/>
    <w:rsid w:val="00D91C26"/>
    <w:rsid w:val="00D92A5C"/>
    <w:rsid w:val="00D93747"/>
    <w:rsid w:val="00D93C60"/>
    <w:rsid w:val="00D93FCC"/>
    <w:rsid w:val="00D944F3"/>
    <w:rsid w:val="00D94BEF"/>
    <w:rsid w:val="00D94C70"/>
    <w:rsid w:val="00D97010"/>
    <w:rsid w:val="00D97021"/>
    <w:rsid w:val="00DA0173"/>
    <w:rsid w:val="00DA2236"/>
    <w:rsid w:val="00DA2485"/>
    <w:rsid w:val="00DA3338"/>
    <w:rsid w:val="00DA4D00"/>
    <w:rsid w:val="00DA5080"/>
    <w:rsid w:val="00DA5E9E"/>
    <w:rsid w:val="00DA603B"/>
    <w:rsid w:val="00DB07E5"/>
    <w:rsid w:val="00DB1C75"/>
    <w:rsid w:val="00DB207E"/>
    <w:rsid w:val="00DB24E8"/>
    <w:rsid w:val="00DB307A"/>
    <w:rsid w:val="00DB43C5"/>
    <w:rsid w:val="00DB472C"/>
    <w:rsid w:val="00DB4DA3"/>
    <w:rsid w:val="00DB4DDA"/>
    <w:rsid w:val="00DB5CD0"/>
    <w:rsid w:val="00DC1A6A"/>
    <w:rsid w:val="00DC1D5F"/>
    <w:rsid w:val="00DC1FAD"/>
    <w:rsid w:val="00DC20F9"/>
    <w:rsid w:val="00DC56ED"/>
    <w:rsid w:val="00DC6B89"/>
    <w:rsid w:val="00DC7F24"/>
    <w:rsid w:val="00DD0CFF"/>
    <w:rsid w:val="00DD1485"/>
    <w:rsid w:val="00DD1B25"/>
    <w:rsid w:val="00DD35CA"/>
    <w:rsid w:val="00DD36FD"/>
    <w:rsid w:val="00DD6E27"/>
    <w:rsid w:val="00DE28C4"/>
    <w:rsid w:val="00DE29A8"/>
    <w:rsid w:val="00DE4225"/>
    <w:rsid w:val="00DE7A57"/>
    <w:rsid w:val="00DE7C1A"/>
    <w:rsid w:val="00DF0289"/>
    <w:rsid w:val="00DF1747"/>
    <w:rsid w:val="00DF43EA"/>
    <w:rsid w:val="00DF5FB1"/>
    <w:rsid w:val="00DF781B"/>
    <w:rsid w:val="00E0008B"/>
    <w:rsid w:val="00E009F3"/>
    <w:rsid w:val="00E00DDC"/>
    <w:rsid w:val="00E01FA7"/>
    <w:rsid w:val="00E03507"/>
    <w:rsid w:val="00E039F6"/>
    <w:rsid w:val="00E0432C"/>
    <w:rsid w:val="00E048E5"/>
    <w:rsid w:val="00E05BFB"/>
    <w:rsid w:val="00E06782"/>
    <w:rsid w:val="00E06831"/>
    <w:rsid w:val="00E07B26"/>
    <w:rsid w:val="00E07F21"/>
    <w:rsid w:val="00E10044"/>
    <w:rsid w:val="00E1039C"/>
    <w:rsid w:val="00E114ED"/>
    <w:rsid w:val="00E11B1B"/>
    <w:rsid w:val="00E12E23"/>
    <w:rsid w:val="00E12EE6"/>
    <w:rsid w:val="00E13FB6"/>
    <w:rsid w:val="00E1487A"/>
    <w:rsid w:val="00E16DAB"/>
    <w:rsid w:val="00E179A4"/>
    <w:rsid w:val="00E17D3B"/>
    <w:rsid w:val="00E2006D"/>
    <w:rsid w:val="00E2326F"/>
    <w:rsid w:val="00E23AAC"/>
    <w:rsid w:val="00E24432"/>
    <w:rsid w:val="00E25815"/>
    <w:rsid w:val="00E26F1D"/>
    <w:rsid w:val="00E3140F"/>
    <w:rsid w:val="00E31A51"/>
    <w:rsid w:val="00E31A7B"/>
    <w:rsid w:val="00E322A9"/>
    <w:rsid w:val="00E32620"/>
    <w:rsid w:val="00E3275C"/>
    <w:rsid w:val="00E32769"/>
    <w:rsid w:val="00E33021"/>
    <w:rsid w:val="00E33342"/>
    <w:rsid w:val="00E3344C"/>
    <w:rsid w:val="00E35CC1"/>
    <w:rsid w:val="00E35E7C"/>
    <w:rsid w:val="00E42958"/>
    <w:rsid w:val="00E42B06"/>
    <w:rsid w:val="00E43C88"/>
    <w:rsid w:val="00E44167"/>
    <w:rsid w:val="00E45060"/>
    <w:rsid w:val="00E47625"/>
    <w:rsid w:val="00E503C0"/>
    <w:rsid w:val="00E509C9"/>
    <w:rsid w:val="00E52A52"/>
    <w:rsid w:val="00E543F8"/>
    <w:rsid w:val="00E54438"/>
    <w:rsid w:val="00E5472E"/>
    <w:rsid w:val="00E55DD8"/>
    <w:rsid w:val="00E55F86"/>
    <w:rsid w:val="00E56AB6"/>
    <w:rsid w:val="00E57570"/>
    <w:rsid w:val="00E57F4D"/>
    <w:rsid w:val="00E57FDC"/>
    <w:rsid w:val="00E600D2"/>
    <w:rsid w:val="00E60ED6"/>
    <w:rsid w:val="00E611C6"/>
    <w:rsid w:val="00E62037"/>
    <w:rsid w:val="00E65027"/>
    <w:rsid w:val="00E65773"/>
    <w:rsid w:val="00E65A5A"/>
    <w:rsid w:val="00E6717F"/>
    <w:rsid w:val="00E6719F"/>
    <w:rsid w:val="00E67317"/>
    <w:rsid w:val="00E71A4E"/>
    <w:rsid w:val="00E72946"/>
    <w:rsid w:val="00E744DE"/>
    <w:rsid w:val="00E74DC2"/>
    <w:rsid w:val="00E757E9"/>
    <w:rsid w:val="00E7593F"/>
    <w:rsid w:val="00E768F9"/>
    <w:rsid w:val="00E76AC1"/>
    <w:rsid w:val="00E771B0"/>
    <w:rsid w:val="00E77F8A"/>
    <w:rsid w:val="00E81D19"/>
    <w:rsid w:val="00E829CB"/>
    <w:rsid w:val="00E83971"/>
    <w:rsid w:val="00E83CF2"/>
    <w:rsid w:val="00E849B8"/>
    <w:rsid w:val="00E8554D"/>
    <w:rsid w:val="00E859F8"/>
    <w:rsid w:val="00E86422"/>
    <w:rsid w:val="00E87AD1"/>
    <w:rsid w:val="00E87C9B"/>
    <w:rsid w:val="00E9018A"/>
    <w:rsid w:val="00E90CCC"/>
    <w:rsid w:val="00E9134C"/>
    <w:rsid w:val="00E91731"/>
    <w:rsid w:val="00E93090"/>
    <w:rsid w:val="00E93164"/>
    <w:rsid w:val="00E93C34"/>
    <w:rsid w:val="00E93D2D"/>
    <w:rsid w:val="00E97512"/>
    <w:rsid w:val="00E97AD2"/>
    <w:rsid w:val="00EA0C5A"/>
    <w:rsid w:val="00EA120A"/>
    <w:rsid w:val="00EA2291"/>
    <w:rsid w:val="00EA2450"/>
    <w:rsid w:val="00EA2BCA"/>
    <w:rsid w:val="00EA2C71"/>
    <w:rsid w:val="00EA4DCE"/>
    <w:rsid w:val="00EA60DD"/>
    <w:rsid w:val="00EA7215"/>
    <w:rsid w:val="00EA76A4"/>
    <w:rsid w:val="00EA7D34"/>
    <w:rsid w:val="00EA7E56"/>
    <w:rsid w:val="00EB021E"/>
    <w:rsid w:val="00EB0C4B"/>
    <w:rsid w:val="00EB0E52"/>
    <w:rsid w:val="00EB0FC5"/>
    <w:rsid w:val="00EB1F77"/>
    <w:rsid w:val="00EC06EB"/>
    <w:rsid w:val="00EC0D2F"/>
    <w:rsid w:val="00EC4385"/>
    <w:rsid w:val="00EC4770"/>
    <w:rsid w:val="00EC63A7"/>
    <w:rsid w:val="00EC70E6"/>
    <w:rsid w:val="00ED05B4"/>
    <w:rsid w:val="00ED0D35"/>
    <w:rsid w:val="00ED0E9C"/>
    <w:rsid w:val="00ED1E20"/>
    <w:rsid w:val="00ED1EBA"/>
    <w:rsid w:val="00ED2FB9"/>
    <w:rsid w:val="00ED4D48"/>
    <w:rsid w:val="00ED67DE"/>
    <w:rsid w:val="00ED70B4"/>
    <w:rsid w:val="00EE1866"/>
    <w:rsid w:val="00EE2698"/>
    <w:rsid w:val="00EE2DA4"/>
    <w:rsid w:val="00EE4005"/>
    <w:rsid w:val="00EE4C19"/>
    <w:rsid w:val="00EE513A"/>
    <w:rsid w:val="00EE6433"/>
    <w:rsid w:val="00EE6812"/>
    <w:rsid w:val="00EE784F"/>
    <w:rsid w:val="00EE7DDF"/>
    <w:rsid w:val="00EF171D"/>
    <w:rsid w:val="00EF19BF"/>
    <w:rsid w:val="00EF23AC"/>
    <w:rsid w:val="00EF2ED7"/>
    <w:rsid w:val="00EF36DF"/>
    <w:rsid w:val="00EF428C"/>
    <w:rsid w:val="00EF65C0"/>
    <w:rsid w:val="00EF7534"/>
    <w:rsid w:val="00EF7698"/>
    <w:rsid w:val="00EF7B68"/>
    <w:rsid w:val="00F00972"/>
    <w:rsid w:val="00F03CD9"/>
    <w:rsid w:val="00F03DBA"/>
    <w:rsid w:val="00F04E06"/>
    <w:rsid w:val="00F05511"/>
    <w:rsid w:val="00F06C12"/>
    <w:rsid w:val="00F06C75"/>
    <w:rsid w:val="00F0715F"/>
    <w:rsid w:val="00F071CD"/>
    <w:rsid w:val="00F1067B"/>
    <w:rsid w:val="00F10C7F"/>
    <w:rsid w:val="00F11827"/>
    <w:rsid w:val="00F124CD"/>
    <w:rsid w:val="00F127FE"/>
    <w:rsid w:val="00F1466F"/>
    <w:rsid w:val="00F14DB7"/>
    <w:rsid w:val="00F14F6E"/>
    <w:rsid w:val="00F21AB5"/>
    <w:rsid w:val="00F22ED1"/>
    <w:rsid w:val="00F24866"/>
    <w:rsid w:val="00F2667A"/>
    <w:rsid w:val="00F30258"/>
    <w:rsid w:val="00F32B6C"/>
    <w:rsid w:val="00F34598"/>
    <w:rsid w:val="00F407D9"/>
    <w:rsid w:val="00F41844"/>
    <w:rsid w:val="00F41A2D"/>
    <w:rsid w:val="00F41E24"/>
    <w:rsid w:val="00F4271E"/>
    <w:rsid w:val="00F44ADA"/>
    <w:rsid w:val="00F45A66"/>
    <w:rsid w:val="00F47A5A"/>
    <w:rsid w:val="00F5015B"/>
    <w:rsid w:val="00F504AD"/>
    <w:rsid w:val="00F51E74"/>
    <w:rsid w:val="00F52B82"/>
    <w:rsid w:val="00F54606"/>
    <w:rsid w:val="00F54EDC"/>
    <w:rsid w:val="00F55A71"/>
    <w:rsid w:val="00F60526"/>
    <w:rsid w:val="00F6130E"/>
    <w:rsid w:val="00F61897"/>
    <w:rsid w:val="00F61EE2"/>
    <w:rsid w:val="00F63BD0"/>
    <w:rsid w:val="00F65354"/>
    <w:rsid w:val="00F65C61"/>
    <w:rsid w:val="00F66421"/>
    <w:rsid w:val="00F66635"/>
    <w:rsid w:val="00F7096D"/>
    <w:rsid w:val="00F717C7"/>
    <w:rsid w:val="00F719F1"/>
    <w:rsid w:val="00F72551"/>
    <w:rsid w:val="00F7314F"/>
    <w:rsid w:val="00F73983"/>
    <w:rsid w:val="00F74313"/>
    <w:rsid w:val="00F74605"/>
    <w:rsid w:val="00F748B8"/>
    <w:rsid w:val="00F75123"/>
    <w:rsid w:val="00F76090"/>
    <w:rsid w:val="00F80464"/>
    <w:rsid w:val="00F8342E"/>
    <w:rsid w:val="00F8456D"/>
    <w:rsid w:val="00F847C6"/>
    <w:rsid w:val="00F85C96"/>
    <w:rsid w:val="00F87424"/>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67F"/>
    <w:rsid w:val="00FA37EF"/>
    <w:rsid w:val="00FB0E0E"/>
    <w:rsid w:val="00FB0EBD"/>
    <w:rsid w:val="00FB12C9"/>
    <w:rsid w:val="00FB1795"/>
    <w:rsid w:val="00FB1E97"/>
    <w:rsid w:val="00FB23CD"/>
    <w:rsid w:val="00FB27E2"/>
    <w:rsid w:val="00FB2D03"/>
    <w:rsid w:val="00FB44B4"/>
    <w:rsid w:val="00FB44BC"/>
    <w:rsid w:val="00FB4F69"/>
    <w:rsid w:val="00FB73F4"/>
    <w:rsid w:val="00FB784C"/>
    <w:rsid w:val="00FC26DC"/>
    <w:rsid w:val="00FC271A"/>
    <w:rsid w:val="00FC2C6A"/>
    <w:rsid w:val="00FC3211"/>
    <w:rsid w:val="00FC3252"/>
    <w:rsid w:val="00FC4A60"/>
    <w:rsid w:val="00FC532D"/>
    <w:rsid w:val="00FC5ED7"/>
    <w:rsid w:val="00FC7A2B"/>
    <w:rsid w:val="00FD0FA7"/>
    <w:rsid w:val="00FD1B09"/>
    <w:rsid w:val="00FD2E21"/>
    <w:rsid w:val="00FD3448"/>
    <w:rsid w:val="00FD3C9B"/>
    <w:rsid w:val="00FD3D7B"/>
    <w:rsid w:val="00FD4076"/>
    <w:rsid w:val="00FD5282"/>
    <w:rsid w:val="00FE0B80"/>
    <w:rsid w:val="00FE21DA"/>
    <w:rsid w:val="00FE26B5"/>
    <w:rsid w:val="00FE2D09"/>
    <w:rsid w:val="00FE37C0"/>
    <w:rsid w:val="00FE3E44"/>
    <w:rsid w:val="00FE48BF"/>
    <w:rsid w:val="00FE4E97"/>
    <w:rsid w:val="00FE5364"/>
    <w:rsid w:val="00FE5708"/>
    <w:rsid w:val="00FE5783"/>
    <w:rsid w:val="00FE5D7D"/>
    <w:rsid w:val="00FE5FD6"/>
    <w:rsid w:val="00FF08D0"/>
    <w:rsid w:val="00FF1DE6"/>
    <w:rsid w:val="00FF2B47"/>
    <w:rsid w:val="00FF3EB3"/>
    <w:rsid w:val="00FF44B7"/>
    <w:rsid w:val="00FF5CD6"/>
    <w:rsid w:val="00FF5E86"/>
    <w:rsid w:val="01405B1F"/>
    <w:rsid w:val="017D7424"/>
    <w:rsid w:val="02222B87"/>
    <w:rsid w:val="022B65E7"/>
    <w:rsid w:val="024A2AFB"/>
    <w:rsid w:val="0264744C"/>
    <w:rsid w:val="02865B88"/>
    <w:rsid w:val="029D2E5C"/>
    <w:rsid w:val="03131E05"/>
    <w:rsid w:val="033322D0"/>
    <w:rsid w:val="0339604B"/>
    <w:rsid w:val="03504E50"/>
    <w:rsid w:val="03921FA9"/>
    <w:rsid w:val="04186522"/>
    <w:rsid w:val="041F5E66"/>
    <w:rsid w:val="043936D5"/>
    <w:rsid w:val="04914D71"/>
    <w:rsid w:val="04A95C8C"/>
    <w:rsid w:val="04AC6B30"/>
    <w:rsid w:val="04CC0640"/>
    <w:rsid w:val="05800BC4"/>
    <w:rsid w:val="058C772E"/>
    <w:rsid w:val="05997F1C"/>
    <w:rsid w:val="05CB2624"/>
    <w:rsid w:val="05EF344D"/>
    <w:rsid w:val="06006A0B"/>
    <w:rsid w:val="06334CE3"/>
    <w:rsid w:val="06977FF9"/>
    <w:rsid w:val="06B0609C"/>
    <w:rsid w:val="06CE33E4"/>
    <w:rsid w:val="06D270CF"/>
    <w:rsid w:val="06E851F2"/>
    <w:rsid w:val="072E42A1"/>
    <w:rsid w:val="07466772"/>
    <w:rsid w:val="076120F4"/>
    <w:rsid w:val="07793235"/>
    <w:rsid w:val="078A7F54"/>
    <w:rsid w:val="07963D71"/>
    <w:rsid w:val="07CA2DA9"/>
    <w:rsid w:val="07DF281E"/>
    <w:rsid w:val="07E3154C"/>
    <w:rsid w:val="07E47BD2"/>
    <w:rsid w:val="07EA4131"/>
    <w:rsid w:val="081E1989"/>
    <w:rsid w:val="088B79D4"/>
    <w:rsid w:val="08925A73"/>
    <w:rsid w:val="08A56569"/>
    <w:rsid w:val="09002375"/>
    <w:rsid w:val="093C74FA"/>
    <w:rsid w:val="09763C08"/>
    <w:rsid w:val="098415EF"/>
    <w:rsid w:val="099569E3"/>
    <w:rsid w:val="099A4C83"/>
    <w:rsid w:val="09BD76AE"/>
    <w:rsid w:val="0A563329"/>
    <w:rsid w:val="0A624FBE"/>
    <w:rsid w:val="0ABF5AB4"/>
    <w:rsid w:val="0B5004B1"/>
    <w:rsid w:val="0B65326C"/>
    <w:rsid w:val="0B6A40C2"/>
    <w:rsid w:val="0BB43191"/>
    <w:rsid w:val="0BE12175"/>
    <w:rsid w:val="0C176768"/>
    <w:rsid w:val="0C59093F"/>
    <w:rsid w:val="0C9B3F14"/>
    <w:rsid w:val="0CBF2747"/>
    <w:rsid w:val="0CE47DF2"/>
    <w:rsid w:val="0CF20C30"/>
    <w:rsid w:val="0CF52986"/>
    <w:rsid w:val="0D152C9D"/>
    <w:rsid w:val="0D630946"/>
    <w:rsid w:val="0D832882"/>
    <w:rsid w:val="0D93372C"/>
    <w:rsid w:val="0D996408"/>
    <w:rsid w:val="0DC52814"/>
    <w:rsid w:val="0DE1429D"/>
    <w:rsid w:val="0DE86027"/>
    <w:rsid w:val="0E1A56A1"/>
    <w:rsid w:val="0E392354"/>
    <w:rsid w:val="0E4F7685"/>
    <w:rsid w:val="0E6B3766"/>
    <w:rsid w:val="0E7A7064"/>
    <w:rsid w:val="0E7D3559"/>
    <w:rsid w:val="0E806354"/>
    <w:rsid w:val="0EB5392F"/>
    <w:rsid w:val="0EE25631"/>
    <w:rsid w:val="0F1B2D45"/>
    <w:rsid w:val="0F414AD6"/>
    <w:rsid w:val="0F474FFB"/>
    <w:rsid w:val="0FBC09B3"/>
    <w:rsid w:val="0FD72715"/>
    <w:rsid w:val="1022609C"/>
    <w:rsid w:val="1032597D"/>
    <w:rsid w:val="107C6758"/>
    <w:rsid w:val="10881EDB"/>
    <w:rsid w:val="108A1967"/>
    <w:rsid w:val="10F6511C"/>
    <w:rsid w:val="11282139"/>
    <w:rsid w:val="113D0264"/>
    <w:rsid w:val="116205DB"/>
    <w:rsid w:val="11693ED2"/>
    <w:rsid w:val="11717ED6"/>
    <w:rsid w:val="11825591"/>
    <w:rsid w:val="11832169"/>
    <w:rsid w:val="11872B39"/>
    <w:rsid w:val="11965D40"/>
    <w:rsid w:val="11C43992"/>
    <w:rsid w:val="12264499"/>
    <w:rsid w:val="1251184A"/>
    <w:rsid w:val="1277564D"/>
    <w:rsid w:val="12A50328"/>
    <w:rsid w:val="12B17802"/>
    <w:rsid w:val="12F27F39"/>
    <w:rsid w:val="12FF312F"/>
    <w:rsid w:val="134F1FB4"/>
    <w:rsid w:val="136052B0"/>
    <w:rsid w:val="13DB6DDA"/>
    <w:rsid w:val="13F57C70"/>
    <w:rsid w:val="13F950C7"/>
    <w:rsid w:val="13F966D1"/>
    <w:rsid w:val="141B4381"/>
    <w:rsid w:val="14306516"/>
    <w:rsid w:val="14517BA7"/>
    <w:rsid w:val="147E38A8"/>
    <w:rsid w:val="15533A08"/>
    <w:rsid w:val="15616D05"/>
    <w:rsid w:val="15B10CB3"/>
    <w:rsid w:val="162F51C9"/>
    <w:rsid w:val="165C2D03"/>
    <w:rsid w:val="165E23B8"/>
    <w:rsid w:val="16854A01"/>
    <w:rsid w:val="169036A8"/>
    <w:rsid w:val="16C258E3"/>
    <w:rsid w:val="170754D4"/>
    <w:rsid w:val="17277110"/>
    <w:rsid w:val="173D516F"/>
    <w:rsid w:val="176D7C3E"/>
    <w:rsid w:val="17991A43"/>
    <w:rsid w:val="17CF400B"/>
    <w:rsid w:val="17E84218"/>
    <w:rsid w:val="17F577B5"/>
    <w:rsid w:val="18342485"/>
    <w:rsid w:val="185751E0"/>
    <w:rsid w:val="187618A9"/>
    <w:rsid w:val="18C60E1F"/>
    <w:rsid w:val="19656726"/>
    <w:rsid w:val="19772925"/>
    <w:rsid w:val="1985085F"/>
    <w:rsid w:val="19B636BA"/>
    <w:rsid w:val="1A262A43"/>
    <w:rsid w:val="1A5C4D2B"/>
    <w:rsid w:val="1A8742CF"/>
    <w:rsid w:val="1ABF0378"/>
    <w:rsid w:val="1AD6482F"/>
    <w:rsid w:val="1B0C0392"/>
    <w:rsid w:val="1B7546B4"/>
    <w:rsid w:val="1BAC2A8C"/>
    <w:rsid w:val="1BE51A33"/>
    <w:rsid w:val="1C8E3350"/>
    <w:rsid w:val="1CA6094B"/>
    <w:rsid w:val="1CBD7A7D"/>
    <w:rsid w:val="1CD00539"/>
    <w:rsid w:val="1CEC33E7"/>
    <w:rsid w:val="1D166E9D"/>
    <w:rsid w:val="1D5D05FE"/>
    <w:rsid w:val="1D9D273D"/>
    <w:rsid w:val="1DBC5A5D"/>
    <w:rsid w:val="1DBF2310"/>
    <w:rsid w:val="1E193493"/>
    <w:rsid w:val="1E292F78"/>
    <w:rsid w:val="1E4672B9"/>
    <w:rsid w:val="1E722537"/>
    <w:rsid w:val="1E954C9A"/>
    <w:rsid w:val="1E977EC6"/>
    <w:rsid w:val="1F1A30DF"/>
    <w:rsid w:val="1F4B6686"/>
    <w:rsid w:val="1F5876BB"/>
    <w:rsid w:val="1F816764"/>
    <w:rsid w:val="1F9D7F9E"/>
    <w:rsid w:val="1FDB75E7"/>
    <w:rsid w:val="1FED443C"/>
    <w:rsid w:val="20093C8E"/>
    <w:rsid w:val="205F3FB9"/>
    <w:rsid w:val="206B7561"/>
    <w:rsid w:val="2093227C"/>
    <w:rsid w:val="20DB60E2"/>
    <w:rsid w:val="20DF264D"/>
    <w:rsid w:val="2117796D"/>
    <w:rsid w:val="213957D9"/>
    <w:rsid w:val="216067AC"/>
    <w:rsid w:val="21767A1C"/>
    <w:rsid w:val="217824F0"/>
    <w:rsid w:val="21833BA3"/>
    <w:rsid w:val="21F165D0"/>
    <w:rsid w:val="21F31909"/>
    <w:rsid w:val="21FB4F58"/>
    <w:rsid w:val="222223F8"/>
    <w:rsid w:val="22224A1C"/>
    <w:rsid w:val="229C552A"/>
    <w:rsid w:val="22B83EE2"/>
    <w:rsid w:val="22BA5203"/>
    <w:rsid w:val="232864A8"/>
    <w:rsid w:val="23563767"/>
    <w:rsid w:val="23904B49"/>
    <w:rsid w:val="23AF09FA"/>
    <w:rsid w:val="23DF0615"/>
    <w:rsid w:val="23FA7EDD"/>
    <w:rsid w:val="2425258F"/>
    <w:rsid w:val="247164E3"/>
    <w:rsid w:val="24897951"/>
    <w:rsid w:val="249922CF"/>
    <w:rsid w:val="24B10B0E"/>
    <w:rsid w:val="24C15C8C"/>
    <w:rsid w:val="24CF585E"/>
    <w:rsid w:val="2504767F"/>
    <w:rsid w:val="2527133F"/>
    <w:rsid w:val="2581451C"/>
    <w:rsid w:val="25C316DA"/>
    <w:rsid w:val="25D32AED"/>
    <w:rsid w:val="2608357C"/>
    <w:rsid w:val="26721FBD"/>
    <w:rsid w:val="2677197D"/>
    <w:rsid w:val="26891B12"/>
    <w:rsid w:val="26932CA3"/>
    <w:rsid w:val="26A66B10"/>
    <w:rsid w:val="26A70B60"/>
    <w:rsid w:val="26AB0E1A"/>
    <w:rsid w:val="26DF67F5"/>
    <w:rsid w:val="27390B4B"/>
    <w:rsid w:val="279E56B3"/>
    <w:rsid w:val="27AD0C56"/>
    <w:rsid w:val="27CD3147"/>
    <w:rsid w:val="28084E44"/>
    <w:rsid w:val="28975717"/>
    <w:rsid w:val="28B104E6"/>
    <w:rsid w:val="28B35792"/>
    <w:rsid w:val="29030BFE"/>
    <w:rsid w:val="29283225"/>
    <w:rsid w:val="295145AF"/>
    <w:rsid w:val="2953172C"/>
    <w:rsid w:val="298237C5"/>
    <w:rsid w:val="298C7241"/>
    <w:rsid w:val="29AA404C"/>
    <w:rsid w:val="29C2291C"/>
    <w:rsid w:val="29C94462"/>
    <w:rsid w:val="29E21C33"/>
    <w:rsid w:val="2A134114"/>
    <w:rsid w:val="2A3B2796"/>
    <w:rsid w:val="2A517C13"/>
    <w:rsid w:val="2A641782"/>
    <w:rsid w:val="2A8A7CC6"/>
    <w:rsid w:val="2AE05E39"/>
    <w:rsid w:val="2B345839"/>
    <w:rsid w:val="2B7422C0"/>
    <w:rsid w:val="2BAC3E53"/>
    <w:rsid w:val="2BB84798"/>
    <w:rsid w:val="2BBB4A30"/>
    <w:rsid w:val="2C0B710E"/>
    <w:rsid w:val="2C3960AD"/>
    <w:rsid w:val="2C941DBB"/>
    <w:rsid w:val="2CE9589F"/>
    <w:rsid w:val="2CE95943"/>
    <w:rsid w:val="2D3B7DB8"/>
    <w:rsid w:val="2D5B4D19"/>
    <w:rsid w:val="2DF56473"/>
    <w:rsid w:val="2E213F8F"/>
    <w:rsid w:val="2E4B3277"/>
    <w:rsid w:val="2EBF14CE"/>
    <w:rsid w:val="2ED21F4B"/>
    <w:rsid w:val="2F460354"/>
    <w:rsid w:val="2F4B59E2"/>
    <w:rsid w:val="2F680931"/>
    <w:rsid w:val="2F9943B0"/>
    <w:rsid w:val="300C37CC"/>
    <w:rsid w:val="302B3237"/>
    <w:rsid w:val="306476B3"/>
    <w:rsid w:val="30702B2A"/>
    <w:rsid w:val="3085234A"/>
    <w:rsid w:val="308D1DD1"/>
    <w:rsid w:val="30A45993"/>
    <w:rsid w:val="30A81E17"/>
    <w:rsid w:val="30B77CC5"/>
    <w:rsid w:val="30CE4148"/>
    <w:rsid w:val="30E917C1"/>
    <w:rsid w:val="310D3AD3"/>
    <w:rsid w:val="310E3BB3"/>
    <w:rsid w:val="3118459C"/>
    <w:rsid w:val="312F4187"/>
    <w:rsid w:val="31AB6E0C"/>
    <w:rsid w:val="31BA7DAD"/>
    <w:rsid w:val="31DB5111"/>
    <w:rsid w:val="32816019"/>
    <w:rsid w:val="329F24CB"/>
    <w:rsid w:val="32F94999"/>
    <w:rsid w:val="331B5ED3"/>
    <w:rsid w:val="332B1410"/>
    <w:rsid w:val="333C0BDE"/>
    <w:rsid w:val="334D12E1"/>
    <w:rsid w:val="3364734C"/>
    <w:rsid w:val="33A00598"/>
    <w:rsid w:val="33A55E73"/>
    <w:rsid w:val="33E75EAF"/>
    <w:rsid w:val="33FD41F6"/>
    <w:rsid w:val="34033FC2"/>
    <w:rsid w:val="34083512"/>
    <w:rsid w:val="3467162E"/>
    <w:rsid w:val="346F48D9"/>
    <w:rsid w:val="34AF1FBD"/>
    <w:rsid w:val="34B24F34"/>
    <w:rsid w:val="34C455A3"/>
    <w:rsid w:val="34E60AA7"/>
    <w:rsid w:val="35061603"/>
    <w:rsid w:val="352F6BA6"/>
    <w:rsid w:val="35345B29"/>
    <w:rsid w:val="35420E8C"/>
    <w:rsid w:val="355A5356"/>
    <w:rsid w:val="35756EE9"/>
    <w:rsid w:val="35935A19"/>
    <w:rsid w:val="35C04B26"/>
    <w:rsid w:val="35C82F3C"/>
    <w:rsid w:val="366D577D"/>
    <w:rsid w:val="36813752"/>
    <w:rsid w:val="36990F5D"/>
    <w:rsid w:val="36A3760C"/>
    <w:rsid w:val="36AF4FE6"/>
    <w:rsid w:val="36DF7DF2"/>
    <w:rsid w:val="36F62273"/>
    <w:rsid w:val="372238F9"/>
    <w:rsid w:val="3752034D"/>
    <w:rsid w:val="377152E0"/>
    <w:rsid w:val="379A29A2"/>
    <w:rsid w:val="3819337F"/>
    <w:rsid w:val="38B76DAC"/>
    <w:rsid w:val="38EA0C97"/>
    <w:rsid w:val="38FC3A6A"/>
    <w:rsid w:val="3930518C"/>
    <w:rsid w:val="393B6CED"/>
    <w:rsid w:val="39722CE2"/>
    <w:rsid w:val="39763E66"/>
    <w:rsid w:val="39FA2D81"/>
    <w:rsid w:val="39FC265E"/>
    <w:rsid w:val="3A1020C2"/>
    <w:rsid w:val="3A1528BF"/>
    <w:rsid w:val="3A253E5F"/>
    <w:rsid w:val="3A494A63"/>
    <w:rsid w:val="3A6014EF"/>
    <w:rsid w:val="3A6C2515"/>
    <w:rsid w:val="3AE75F32"/>
    <w:rsid w:val="3AFA1407"/>
    <w:rsid w:val="3AFC120F"/>
    <w:rsid w:val="3B5A28DA"/>
    <w:rsid w:val="3B7E3668"/>
    <w:rsid w:val="3B9319A9"/>
    <w:rsid w:val="3BC70C47"/>
    <w:rsid w:val="3C133175"/>
    <w:rsid w:val="3C154997"/>
    <w:rsid w:val="3C3C43E6"/>
    <w:rsid w:val="3C6F2AB2"/>
    <w:rsid w:val="3C8A0DEE"/>
    <w:rsid w:val="3CC947BA"/>
    <w:rsid w:val="3CDE06EC"/>
    <w:rsid w:val="3CEA43B6"/>
    <w:rsid w:val="3D032F7E"/>
    <w:rsid w:val="3D3A5BFB"/>
    <w:rsid w:val="3D5050ED"/>
    <w:rsid w:val="3D8229B6"/>
    <w:rsid w:val="3DB33701"/>
    <w:rsid w:val="3DB541A4"/>
    <w:rsid w:val="3DD0479B"/>
    <w:rsid w:val="3E1A240E"/>
    <w:rsid w:val="3E202019"/>
    <w:rsid w:val="3E365931"/>
    <w:rsid w:val="3EB074E1"/>
    <w:rsid w:val="3EEF2A85"/>
    <w:rsid w:val="3EF77193"/>
    <w:rsid w:val="3F4B109F"/>
    <w:rsid w:val="3F5479E0"/>
    <w:rsid w:val="3F7B57D2"/>
    <w:rsid w:val="3F8B4259"/>
    <w:rsid w:val="3FAE4C08"/>
    <w:rsid w:val="3FD71EBA"/>
    <w:rsid w:val="3FF80B1D"/>
    <w:rsid w:val="4003327E"/>
    <w:rsid w:val="402058CF"/>
    <w:rsid w:val="40290A0A"/>
    <w:rsid w:val="406444DD"/>
    <w:rsid w:val="40851F33"/>
    <w:rsid w:val="40A239AE"/>
    <w:rsid w:val="40D72507"/>
    <w:rsid w:val="413B48E9"/>
    <w:rsid w:val="413C13AE"/>
    <w:rsid w:val="41406300"/>
    <w:rsid w:val="415D03AA"/>
    <w:rsid w:val="41EF1A57"/>
    <w:rsid w:val="420E4F9F"/>
    <w:rsid w:val="421B7216"/>
    <w:rsid w:val="421F3D3B"/>
    <w:rsid w:val="423154FA"/>
    <w:rsid w:val="42554C12"/>
    <w:rsid w:val="425959E9"/>
    <w:rsid w:val="42B97C2B"/>
    <w:rsid w:val="43046554"/>
    <w:rsid w:val="43552331"/>
    <w:rsid w:val="438200FD"/>
    <w:rsid w:val="439C180F"/>
    <w:rsid w:val="43CC5DEA"/>
    <w:rsid w:val="43EB6ADD"/>
    <w:rsid w:val="43F11DDF"/>
    <w:rsid w:val="440709BD"/>
    <w:rsid w:val="44111A98"/>
    <w:rsid w:val="443F3ADF"/>
    <w:rsid w:val="443F650E"/>
    <w:rsid w:val="45041999"/>
    <w:rsid w:val="4529791D"/>
    <w:rsid w:val="45B57CDC"/>
    <w:rsid w:val="45BE686C"/>
    <w:rsid w:val="45CD4268"/>
    <w:rsid w:val="461302DF"/>
    <w:rsid w:val="463F330B"/>
    <w:rsid w:val="46712931"/>
    <w:rsid w:val="46BF448A"/>
    <w:rsid w:val="47154C69"/>
    <w:rsid w:val="4787476B"/>
    <w:rsid w:val="47C840EC"/>
    <w:rsid w:val="483B168F"/>
    <w:rsid w:val="488B03E9"/>
    <w:rsid w:val="48B52C6F"/>
    <w:rsid w:val="490E0678"/>
    <w:rsid w:val="497F13C4"/>
    <w:rsid w:val="49B33D88"/>
    <w:rsid w:val="49C218F8"/>
    <w:rsid w:val="49C45561"/>
    <w:rsid w:val="49C6054F"/>
    <w:rsid w:val="4A4C4B56"/>
    <w:rsid w:val="4A6275C8"/>
    <w:rsid w:val="4A6C59CF"/>
    <w:rsid w:val="4B0E0CB2"/>
    <w:rsid w:val="4B44577B"/>
    <w:rsid w:val="4BAF0140"/>
    <w:rsid w:val="4C8157FE"/>
    <w:rsid w:val="4CA406D7"/>
    <w:rsid w:val="4D562582"/>
    <w:rsid w:val="4D971EFD"/>
    <w:rsid w:val="4DBD4D68"/>
    <w:rsid w:val="4E0921AE"/>
    <w:rsid w:val="4E173997"/>
    <w:rsid w:val="4F2C5D2F"/>
    <w:rsid w:val="4F951CAE"/>
    <w:rsid w:val="4FA4186B"/>
    <w:rsid w:val="4FAC6FC2"/>
    <w:rsid w:val="4FB12990"/>
    <w:rsid w:val="509C516A"/>
    <w:rsid w:val="50F3513D"/>
    <w:rsid w:val="510E31CB"/>
    <w:rsid w:val="51172595"/>
    <w:rsid w:val="513D6BFA"/>
    <w:rsid w:val="515802E8"/>
    <w:rsid w:val="51900965"/>
    <w:rsid w:val="52377620"/>
    <w:rsid w:val="523D2121"/>
    <w:rsid w:val="524A5FDF"/>
    <w:rsid w:val="52643FA0"/>
    <w:rsid w:val="5266403C"/>
    <w:rsid w:val="52A05885"/>
    <w:rsid w:val="52D0392D"/>
    <w:rsid w:val="53152D10"/>
    <w:rsid w:val="531918D2"/>
    <w:rsid w:val="53214FC5"/>
    <w:rsid w:val="532B2562"/>
    <w:rsid w:val="53A07AA1"/>
    <w:rsid w:val="53A36C50"/>
    <w:rsid w:val="53D026A1"/>
    <w:rsid w:val="53D868E9"/>
    <w:rsid w:val="53DA2CD2"/>
    <w:rsid w:val="53DA6548"/>
    <w:rsid w:val="54213261"/>
    <w:rsid w:val="543508A4"/>
    <w:rsid w:val="543C1F33"/>
    <w:rsid w:val="543F3EBB"/>
    <w:rsid w:val="54914E40"/>
    <w:rsid w:val="54AA4A2D"/>
    <w:rsid w:val="54E60C21"/>
    <w:rsid w:val="55485E3F"/>
    <w:rsid w:val="557C72EF"/>
    <w:rsid w:val="5602482C"/>
    <w:rsid w:val="5621685A"/>
    <w:rsid w:val="566C162E"/>
    <w:rsid w:val="56872A88"/>
    <w:rsid w:val="56930380"/>
    <w:rsid w:val="56A03240"/>
    <w:rsid w:val="56A05F89"/>
    <w:rsid w:val="56AB449A"/>
    <w:rsid w:val="570F5EB0"/>
    <w:rsid w:val="5731172B"/>
    <w:rsid w:val="573162A6"/>
    <w:rsid w:val="57540BE3"/>
    <w:rsid w:val="57CC4AFE"/>
    <w:rsid w:val="57DA2DD0"/>
    <w:rsid w:val="580A6B65"/>
    <w:rsid w:val="58B46AD9"/>
    <w:rsid w:val="58C55A6F"/>
    <w:rsid w:val="58CF10C2"/>
    <w:rsid w:val="58DE4E97"/>
    <w:rsid w:val="58E8355F"/>
    <w:rsid w:val="58EA1647"/>
    <w:rsid w:val="58FA1C42"/>
    <w:rsid w:val="595C65C1"/>
    <w:rsid w:val="59BD1D42"/>
    <w:rsid w:val="59EC76FE"/>
    <w:rsid w:val="5A15050A"/>
    <w:rsid w:val="5A367757"/>
    <w:rsid w:val="5A590786"/>
    <w:rsid w:val="5AFA28C7"/>
    <w:rsid w:val="5B0E7131"/>
    <w:rsid w:val="5B2D63BA"/>
    <w:rsid w:val="5B406BBC"/>
    <w:rsid w:val="5B626EF0"/>
    <w:rsid w:val="5B721BAA"/>
    <w:rsid w:val="5B7F3269"/>
    <w:rsid w:val="5B996E2E"/>
    <w:rsid w:val="5BE3244C"/>
    <w:rsid w:val="5BF44368"/>
    <w:rsid w:val="5C6C35B4"/>
    <w:rsid w:val="5C9B0DE3"/>
    <w:rsid w:val="5CB05311"/>
    <w:rsid w:val="5CF42F63"/>
    <w:rsid w:val="5D777420"/>
    <w:rsid w:val="5DE20B87"/>
    <w:rsid w:val="5E0F4F87"/>
    <w:rsid w:val="5E3C1A73"/>
    <w:rsid w:val="5E6932BF"/>
    <w:rsid w:val="5E91369B"/>
    <w:rsid w:val="5EE84FC4"/>
    <w:rsid w:val="5F1854ED"/>
    <w:rsid w:val="5F6C2CCC"/>
    <w:rsid w:val="5F71476E"/>
    <w:rsid w:val="5F734950"/>
    <w:rsid w:val="5FBA3127"/>
    <w:rsid w:val="5FC3264D"/>
    <w:rsid w:val="5FDA22CB"/>
    <w:rsid w:val="609F196A"/>
    <w:rsid w:val="60E1748C"/>
    <w:rsid w:val="6104297C"/>
    <w:rsid w:val="61225072"/>
    <w:rsid w:val="61693656"/>
    <w:rsid w:val="616E03E1"/>
    <w:rsid w:val="618C0C45"/>
    <w:rsid w:val="61A9764A"/>
    <w:rsid w:val="61AB0BF6"/>
    <w:rsid w:val="61E407AC"/>
    <w:rsid w:val="62044EEA"/>
    <w:rsid w:val="6206138D"/>
    <w:rsid w:val="62232A88"/>
    <w:rsid w:val="62594F06"/>
    <w:rsid w:val="62A54FA3"/>
    <w:rsid w:val="62A922D0"/>
    <w:rsid w:val="62AA0D46"/>
    <w:rsid w:val="62E46F46"/>
    <w:rsid w:val="62FA4D0F"/>
    <w:rsid w:val="63742FA3"/>
    <w:rsid w:val="63D83FA1"/>
    <w:rsid w:val="63F81F0E"/>
    <w:rsid w:val="647B0801"/>
    <w:rsid w:val="64AB452D"/>
    <w:rsid w:val="64D63C5C"/>
    <w:rsid w:val="64D66CA0"/>
    <w:rsid w:val="650510E5"/>
    <w:rsid w:val="6529776B"/>
    <w:rsid w:val="65302B19"/>
    <w:rsid w:val="653A3908"/>
    <w:rsid w:val="65455C87"/>
    <w:rsid w:val="65917A89"/>
    <w:rsid w:val="6624519D"/>
    <w:rsid w:val="668E719F"/>
    <w:rsid w:val="66BA1F94"/>
    <w:rsid w:val="67581A8F"/>
    <w:rsid w:val="67670410"/>
    <w:rsid w:val="678F0653"/>
    <w:rsid w:val="67E04535"/>
    <w:rsid w:val="67EC34E1"/>
    <w:rsid w:val="680263AB"/>
    <w:rsid w:val="681945A4"/>
    <w:rsid w:val="682113AA"/>
    <w:rsid w:val="682C3827"/>
    <w:rsid w:val="68446E5F"/>
    <w:rsid w:val="686F34EF"/>
    <w:rsid w:val="689A44D7"/>
    <w:rsid w:val="68C34960"/>
    <w:rsid w:val="68CE67E9"/>
    <w:rsid w:val="68ED42FC"/>
    <w:rsid w:val="68EF2965"/>
    <w:rsid w:val="695D7506"/>
    <w:rsid w:val="696A0835"/>
    <w:rsid w:val="696C2420"/>
    <w:rsid w:val="69B91594"/>
    <w:rsid w:val="69D0382D"/>
    <w:rsid w:val="6AD33525"/>
    <w:rsid w:val="6B6B2440"/>
    <w:rsid w:val="6B795DF6"/>
    <w:rsid w:val="6B921C10"/>
    <w:rsid w:val="6BA37368"/>
    <w:rsid w:val="6BA442DD"/>
    <w:rsid w:val="6BAA3E57"/>
    <w:rsid w:val="6BD02D63"/>
    <w:rsid w:val="6C220398"/>
    <w:rsid w:val="6C2814C5"/>
    <w:rsid w:val="6C7971BB"/>
    <w:rsid w:val="6C872B01"/>
    <w:rsid w:val="6CB944B1"/>
    <w:rsid w:val="6CDC207A"/>
    <w:rsid w:val="6D5F74F7"/>
    <w:rsid w:val="6D9548F2"/>
    <w:rsid w:val="6EB4491A"/>
    <w:rsid w:val="6F726B79"/>
    <w:rsid w:val="6F7A0667"/>
    <w:rsid w:val="6F8737EE"/>
    <w:rsid w:val="6FCD44DF"/>
    <w:rsid w:val="6FD96538"/>
    <w:rsid w:val="6FE90125"/>
    <w:rsid w:val="7003758C"/>
    <w:rsid w:val="70044DDD"/>
    <w:rsid w:val="700C60E3"/>
    <w:rsid w:val="70481FCD"/>
    <w:rsid w:val="705A2D87"/>
    <w:rsid w:val="70B46933"/>
    <w:rsid w:val="70C80411"/>
    <w:rsid w:val="70FC417A"/>
    <w:rsid w:val="718D46D9"/>
    <w:rsid w:val="71902B5B"/>
    <w:rsid w:val="71AE5873"/>
    <w:rsid w:val="71C11FC1"/>
    <w:rsid w:val="71E11D50"/>
    <w:rsid w:val="72CB32EE"/>
    <w:rsid w:val="72DE1D66"/>
    <w:rsid w:val="72EE651A"/>
    <w:rsid w:val="72F21AA1"/>
    <w:rsid w:val="72F62868"/>
    <w:rsid w:val="72FB50A9"/>
    <w:rsid w:val="72FF02F4"/>
    <w:rsid w:val="7330714B"/>
    <w:rsid w:val="73B50CAC"/>
    <w:rsid w:val="73D3032D"/>
    <w:rsid w:val="74071E46"/>
    <w:rsid w:val="742303A4"/>
    <w:rsid w:val="74373454"/>
    <w:rsid w:val="746A5D62"/>
    <w:rsid w:val="747D5AEA"/>
    <w:rsid w:val="74B83CF9"/>
    <w:rsid w:val="74C42363"/>
    <w:rsid w:val="74D25F7D"/>
    <w:rsid w:val="755D538D"/>
    <w:rsid w:val="75993501"/>
    <w:rsid w:val="76687CC9"/>
    <w:rsid w:val="76C53DC8"/>
    <w:rsid w:val="76CF388D"/>
    <w:rsid w:val="76D37396"/>
    <w:rsid w:val="76FC53D3"/>
    <w:rsid w:val="77293201"/>
    <w:rsid w:val="774537F8"/>
    <w:rsid w:val="774A12A1"/>
    <w:rsid w:val="779B6E6F"/>
    <w:rsid w:val="784F1A4D"/>
    <w:rsid w:val="786342A4"/>
    <w:rsid w:val="789B64CA"/>
    <w:rsid w:val="78A30A7D"/>
    <w:rsid w:val="78E86509"/>
    <w:rsid w:val="79107B52"/>
    <w:rsid w:val="798F5588"/>
    <w:rsid w:val="79BE1619"/>
    <w:rsid w:val="79CE50C1"/>
    <w:rsid w:val="79E472A2"/>
    <w:rsid w:val="79EF6E90"/>
    <w:rsid w:val="79F003E0"/>
    <w:rsid w:val="7A4254EC"/>
    <w:rsid w:val="7A4E2E4F"/>
    <w:rsid w:val="7A4F6A89"/>
    <w:rsid w:val="7A6A41A5"/>
    <w:rsid w:val="7A6F0DFA"/>
    <w:rsid w:val="7A737432"/>
    <w:rsid w:val="7AB01967"/>
    <w:rsid w:val="7ADB426E"/>
    <w:rsid w:val="7B8F1260"/>
    <w:rsid w:val="7B95333D"/>
    <w:rsid w:val="7BB65BA9"/>
    <w:rsid w:val="7BC70EA3"/>
    <w:rsid w:val="7BDD757A"/>
    <w:rsid w:val="7BE625C5"/>
    <w:rsid w:val="7BFA540A"/>
    <w:rsid w:val="7C45529F"/>
    <w:rsid w:val="7C5C0BC5"/>
    <w:rsid w:val="7C84626C"/>
    <w:rsid w:val="7C9F3E7A"/>
    <w:rsid w:val="7DCF58AB"/>
    <w:rsid w:val="7DEE7E45"/>
    <w:rsid w:val="7DF82727"/>
    <w:rsid w:val="7E214828"/>
    <w:rsid w:val="7E8D1A91"/>
    <w:rsid w:val="7E903F4F"/>
    <w:rsid w:val="7EA84E7F"/>
    <w:rsid w:val="7EAB3D95"/>
    <w:rsid w:val="7EB02259"/>
    <w:rsid w:val="7F1856DF"/>
    <w:rsid w:val="7F2E6D62"/>
    <w:rsid w:val="7F425A2A"/>
    <w:rsid w:val="7FC4454A"/>
    <w:rsid w:val="7FDA1127"/>
    <w:rsid w:val="7FDE38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75"/>
    <w:qFormat/>
    <w:uiPriority w:val="0"/>
    <w:pPr>
      <w:keepNext/>
      <w:keepLines/>
      <w:spacing w:before="280" w:after="290" w:line="376" w:lineRule="auto"/>
      <w:outlineLvl w:val="3"/>
    </w:pPr>
    <w:rPr>
      <w:rFonts w:ascii="Cambria" w:hAnsi="Cambria"/>
      <w:b/>
      <w:bCs/>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7">
    <w:name w:val="toc 7"/>
    <w:basedOn w:val="1"/>
    <w:next w:val="1"/>
    <w:unhideWhenUsed/>
    <w:qFormat/>
    <w:uiPriority w:val="39"/>
    <w:pPr>
      <w:ind w:left="2520" w:leftChars="1200"/>
    </w:pPr>
    <w:rPr>
      <w:rFonts w:ascii="Calibri" w:hAnsi="Calibri" w:eastAsia="宋体" w:cs="Times New Roman"/>
      <w:szCs w:val="22"/>
    </w:rPr>
  </w:style>
  <w:style w:type="paragraph" w:styleId="8">
    <w:name w:val="Normal Indent"/>
    <w:basedOn w:val="1"/>
    <w:link w:val="89"/>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annotation text"/>
    <w:basedOn w:val="1"/>
    <w:link w:val="83"/>
    <w:qFormat/>
    <w:uiPriority w:val="0"/>
    <w:pPr>
      <w:jc w:val="left"/>
    </w:pPr>
    <w:rPr>
      <w:sz w:val="18"/>
      <w:szCs w:val="20"/>
    </w:rPr>
  </w:style>
  <w:style w:type="paragraph" w:styleId="11">
    <w:name w:val="Body Text"/>
    <w:basedOn w:val="1"/>
    <w:next w:val="1"/>
    <w:link w:val="78"/>
    <w:qFormat/>
    <w:uiPriority w:val="0"/>
    <w:pPr>
      <w:spacing w:after="120"/>
    </w:pPr>
  </w:style>
  <w:style w:type="paragraph" w:styleId="12">
    <w:name w:val="Body Text Indent"/>
    <w:basedOn w:val="1"/>
    <w:link w:val="69"/>
    <w:qFormat/>
    <w:uiPriority w:val="0"/>
    <w:pPr>
      <w:ind w:firstLine="630"/>
    </w:pPr>
    <w:rPr>
      <w:sz w:val="32"/>
      <w:szCs w:val="20"/>
    </w:rPr>
  </w:style>
  <w:style w:type="paragraph" w:styleId="13">
    <w:name w:val="toc 5"/>
    <w:basedOn w:val="1"/>
    <w:next w:val="1"/>
    <w:unhideWhenUsed/>
    <w:qFormat/>
    <w:uiPriority w:val="39"/>
    <w:pPr>
      <w:ind w:left="1680" w:leftChars="800"/>
    </w:pPr>
    <w:rPr>
      <w:rFonts w:ascii="Calibri" w:hAnsi="Calibri" w:eastAsia="宋体" w:cs="Times New Roman"/>
      <w:szCs w:val="22"/>
    </w:rPr>
  </w:style>
  <w:style w:type="paragraph" w:styleId="14">
    <w:name w:val="toc 3"/>
    <w:basedOn w:val="1"/>
    <w:next w:val="1"/>
    <w:unhideWhenUsed/>
    <w:qFormat/>
    <w:uiPriority w:val="39"/>
    <w:pPr>
      <w:ind w:left="840" w:leftChars="400"/>
    </w:pPr>
  </w:style>
  <w:style w:type="paragraph" w:styleId="15">
    <w:name w:val="Plain Text"/>
    <w:basedOn w:val="1"/>
    <w:next w:val="1"/>
    <w:link w:val="70"/>
    <w:qFormat/>
    <w:uiPriority w:val="99"/>
    <w:pPr>
      <w:autoSpaceDE w:val="0"/>
      <w:autoSpaceDN w:val="0"/>
      <w:adjustRightInd w:val="0"/>
    </w:pPr>
    <w:rPr>
      <w:rFonts w:ascii="宋体" w:hAnsi="Tms Rmn"/>
      <w:kern w:val="0"/>
      <w:szCs w:val="20"/>
    </w:rPr>
  </w:style>
  <w:style w:type="paragraph" w:styleId="16">
    <w:name w:val="toc 8"/>
    <w:basedOn w:val="1"/>
    <w:next w:val="1"/>
    <w:unhideWhenUsed/>
    <w:qFormat/>
    <w:uiPriority w:val="39"/>
    <w:pPr>
      <w:ind w:left="2940" w:leftChars="1400"/>
    </w:pPr>
    <w:rPr>
      <w:rFonts w:ascii="Calibri" w:hAnsi="Calibri" w:eastAsia="宋体" w:cs="Times New Roman"/>
      <w:szCs w:val="22"/>
    </w:rPr>
  </w:style>
  <w:style w:type="paragraph" w:styleId="17">
    <w:name w:val="Date"/>
    <w:basedOn w:val="1"/>
    <w:next w:val="1"/>
    <w:link w:val="79"/>
    <w:qFormat/>
    <w:uiPriority w:val="0"/>
    <w:pPr>
      <w:ind w:left="100" w:leftChars="2500"/>
    </w:pPr>
  </w:style>
  <w:style w:type="paragraph" w:styleId="18">
    <w:name w:val="Body Text Indent 2"/>
    <w:basedOn w:val="1"/>
    <w:link w:val="82"/>
    <w:qFormat/>
    <w:uiPriority w:val="0"/>
    <w:pPr>
      <w:spacing w:after="120" w:line="480" w:lineRule="auto"/>
      <w:ind w:left="420" w:leftChars="200"/>
    </w:pPr>
  </w:style>
  <w:style w:type="paragraph" w:styleId="19">
    <w:name w:val="Balloon Text"/>
    <w:basedOn w:val="1"/>
    <w:link w:val="68"/>
    <w:semiHidden/>
    <w:qFormat/>
    <w:uiPriority w:val="0"/>
    <w:rPr>
      <w:sz w:val="18"/>
      <w:szCs w:val="18"/>
    </w:rPr>
  </w:style>
  <w:style w:type="paragraph" w:styleId="20">
    <w:name w:val="footer"/>
    <w:basedOn w:val="1"/>
    <w:link w:val="88"/>
    <w:qFormat/>
    <w:uiPriority w:val="0"/>
    <w:pPr>
      <w:tabs>
        <w:tab w:val="center" w:pos="4153"/>
        <w:tab w:val="right" w:pos="8306"/>
      </w:tabs>
      <w:snapToGrid w:val="0"/>
      <w:jc w:val="left"/>
    </w:pPr>
    <w:rPr>
      <w:sz w:val="18"/>
      <w:szCs w:val="20"/>
    </w:rPr>
  </w:style>
  <w:style w:type="paragraph" w:styleId="21">
    <w:name w:val="header"/>
    <w:basedOn w:val="1"/>
    <w:link w:val="86"/>
    <w:qFormat/>
    <w:uiPriority w:val="0"/>
    <w:pPr>
      <w:pBdr>
        <w:bottom w:val="single" w:color="auto" w:sz="6" w:space="1"/>
      </w:pBdr>
      <w:tabs>
        <w:tab w:val="center" w:pos="4153"/>
        <w:tab w:val="right" w:pos="8306"/>
      </w:tabs>
      <w:snapToGrid w:val="0"/>
      <w:jc w:val="center"/>
    </w:pPr>
    <w:rPr>
      <w:sz w:val="18"/>
      <w:szCs w:val="20"/>
    </w:rPr>
  </w:style>
  <w:style w:type="paragraph" w:styleId="22">
    <w:name w:val="toc 4"/>
    <w:basedOn w:val="1"/>
    <w:next w:val="1"/>
    <w:unhideWhenUsed/>
    <w:qFormat/>
    <w:uiPriority w:val="39"/>
    <w:pPr>
      <w:ind w:left="1260" w:leftChars="600"/>
    </w:pPr>
    <w:rPr>
      <w:rFonts w:ascii="Calibri" w:hAnsi="Calibri" w:eastAsia="宋体" w:cs="Times New Roman"/>
      <w:szCs w:val="22"/>
    </w:rPr>
  </w:style>
  <w:style w:type="paragraph" w:styleId="23">
    <w:name w:val="footnote text"/>
    <w:basedOn w:val="1"/>
    <w:link w:val="71"/>
    <w:unhideWhenUsed/>
    <w:qFormat/>
    <w:uiPriority w:val="99"/>
    <w:pPr>
      <w:snapToGrid w:val="0"/>
      <w:jc w:val="left"/>
    </w:pPr>
    <w:rPr>
      <w:rFonts w:ascii="Times New Roman" w:hAnsi="Times New Roman"/>
      <w:sz w:val="18"/>
      <w:szCs w:val="18"/>
    </w:rPr>
  </w:style>
  <w:style w:type="paragraph" w:styleId="24">
    <w:name w:val="toc 6"/>
    <w:basedOn w:val="1"/>
    <w:next w:val="1"/>
    <w:unhideWhenUsed/>
    <w:qFormat/>
    <w:uiPriority w:val="39"/>
    <w:pPr>
      <w:ind w:left="2100" w:leftChars="1000"/>
    </w:pPr>
    <w:rPr>
      <w:rFonts w:ascii="Calibri" w:hAnsi="Calibri" w:eastAsia="宋体" w:cs="Times New Roman"/>
      <w:szCs w:val="22"/>
    </w:rPr>
  </w:style>
  <w:style w:type="paragraph" w:styleId="25">
    <w:name w:val="Body Text Indent 3"/>
    <w:basedOn w:val="1"/>
    <w:link w:val="65"/>
    <w:qFormat/>
    <w:uiPriority w:val="0"/>
    <w:pPr>
      <w:spacing w:after="120"/>
      <w:ind w:left="420" w:leftChars="200"/>
    </w:pPr>
    <w:rPr>
      <w:sz w:val="16"/>
      <w:szCs w:val="16"/>
    </w:rPr>
  </w:style>
  <w:style w:type="paragraph" w:styleId="26">
    <w:name w:val="table of figures"/>
    <w:basedOn w:val="1"/>
    <w:next w:val="1"/>
    <w:qFormat/>
    <w:uiPriority w:val="0"/>
    <w:pPr>
      <w:ind w:left="720" w:hanging="720"/>
    </w:pPr>
    <w:rPr>
      <w:rFonts w:eastAsia="黑体"/>
      <w:smallCaps/>
      <w:sz w:val="20"/>
    </w:rPr>
  </w:style>
  <w:style w:type="paragraph" w:styleId="27">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8">
    <w:name w:val="toc 9"/>
    <w:basedOn w:val="1"/>
    <w:next w:val="1"/>
    <w:unhideWhenUsed/>
    <w:qFormat/>
    <w:uiPriority w:val="39"/>
    <w:pPr>
      <w:ind w:left="3360" w:leftChars="1600"/>
    </w:pPr>
    <w:rPr>
      <w:rFonts w:ascii="Calibri" w:hAnsi="Calibri" w:eastAsia="宋体" w:cs="Times New Roman"/>
      <w:szCs w:val="22"/>
    </w:rPr>
  </w:style>
  <w:style w:type="paragraph" w:styleId="2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0">
    <w:name w:val="Title"/>
    <w:basedOn w:val="1"/>
    <w:next w:val="1"/>
    <w:link w:val="67"/>
    <w:qFormat/>
    <w:uiPriority w:val="0"/>
    <w:pPr>
      <w:spacing w:before="240" w:after="60" w:line="360" w:lineRule="auto"/>
      <w:jc w:val="center"/>
      <w:outlineLvl w:val="0"/>
    </w:pPr>
    <w:rPr>
      <w:rFonts w:ascii="Cambria" w:hAnsi="Cambria"/>
      <w:b/>
      <w:bCs/>
      <w:sz w:val="44"/>
      <w:szCs w:val="32"/>
    </w:rPr>
  </w:style>
  <w:style w:type="paragraph" w:styleId="31">
    <w:name w:val="annotation subject"/>
    <w:basedOn w:val="10"/>
    <w:next w:val="10"/>
    <w:link w:val="74"/>
    <w:qFormat/>
    <w:uiPriority w:val="0"/>
    <w:rPr>
      <w:b/>
      <w:bCs/>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unhideWhenUsed/>
    <w:qFormat/>
    <w:uiPriority w:val="0"/>
    <w:rPr>
      <w:color w:val="800080"/>
      <w:u w:val="single"/>
    </w:rPr>
  </w:style>
  <w:style w:type="character" w:styleId="37">
    <w:name w:val="Emphasis"/>
    <w:basedOn w:val="34"/>
    <w:qFormat/>
    <w:uiPriority w:val="0"/>
    <w:rPr>
      <w:i/>
      <w:iCs/>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4"/>
    <w:qFormat/>
    <w:uiPriority w:val="0"/>
  </w:style>
  <w:style w:type="paragraph" w:customStyle="1" w:styleId="4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
    <w:name w:val="_Style 3"/>
    <w:basedOn w:val="1"/>
    <w:qFormat/>
    <w:uiPriority w:val="0"/>
    <w:pPr>
      <w:tabs>
        <w:tab w:val="left" w:pos="0"/>
      </w:tabs>
      <w:ind w:firstLine="420" w:firstLineChars="200"/>
    </w:p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表格"/>
    <w:basedOn w:val="1"/>
    <w:qFormat/>
    <w:uiPriority w:val="0"/>
    <w:pPr>
      <w:spacing w:line="400" w:lineRule="exact"/>
    </w:pPr>
    <w:rPr>
      <w:sz w:val="24"/>
    </w:rPr>
  </w:style>
  <w:style w:type="paragraph" w:customStyle="1" w:styleId="48">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49">
    <w:name w:val="GW-正文"/>
    <w:basedOn w:val="1"/>
    <w:link w:val="92"/>
    <w:qFormat/>
    <w:uiPriority w:val="0"/>
    <w:pPr>
      <w:spacing w:line="360" w:lineRule="auto"/>
      <w:ind w:firstLine="200" w:firstLineChars="200"/>
    </w:pPr>
    <w:rPr>
      <w:rFonts w:eastAsia="仿宋_GB2312"/>
      <w:sz w:val="24"/>
    </w:rPr>
  </w:style>
  <w:style w:type="paragraph" w:customStyle="1" w:styleId="50">
    <w:name w:val="Char1"/>
    <w:basedOn w:val="1"/>
    <w:qFormat/>
    <w:uiPriority w:val="0"/>
    <w:rPr>
      <w:szCs w:val="21"/>
    </w:rPr>
  </w:style>
  <w:style w:type="paragraph" w:customStyle="1" w:styleId="51">
    <w:name w:val="（符号）三标题1.1"/>
    <w:basedOn w:val="1"/>
    <w:link w:val="73"/>
    <w:qFormat/>
    <w:uiPriority w:val="0"/>
    <w:pPr>
      <w:tabs>
        <w:tab w:val="left" w:pos="700"/>
        <w:tab w:val="left" w:pos="840"/>
      </w:tabs>
      <w:spacing w:line="500" w:lineRule="exact"/>
      <w:ind w:left="840" w:hanging="420"/>
    </w:pPr>
    <w:rPr>
      <w:rFonts w:ascii="宋体" w:hAnsi="宋体"/>
      <w:kern w:val="0"/>
      <w:sz w:val="24"/>
    </w:rPr>
  </w:style>
  <w:style w:type="paragraph" w:customStyle="1" w:styleId="5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53">
    <w:name w:val="Char Char Char Char Char Char Char Char Char Char Char Char Char Char1 Char Char Char Char"/>
    <w:basedOn w:val="1"/>
    <w:qFormat/>
    <w:uiPriority w:val="0"/>
    <w:rPr>
      <w:szCs w:val="21"/>
    </w:rPr>
  </w:style>
  <w:style w:type="paragraph" w:customStyle="1" w:styleId="54">
    <w:name w:val="_Style 45"/>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6">
    <w:name w:val="样式 页眉hÒ³Ã¼En-tête 1.1En-tête 1.11 + 宋体 小四 黑色 两端对齐 底端: (无..."/>
    <w:basedOn w:val="21"/>
    <w:qFormat/>
    <w:uiPriority w:val="0"/>
    <w:pPr>
      <w:pBdr>
        <w:top w:val="single" w:color="auto" w:sz="6" w:space="1"/>
        <w:left w:val="single" w:color="auto" w:sz="6" w:space="4"/>
        <w:bottom w:val="single" w:color="auto" w:sz="6" w:space="1"/>
        <w:right w:val="single" w:color="auto" w:sz="6" w:space="4"/>
      </w:pBdr>
      <w:jc w:val="both"/>
    </w:pPr>
    <w:rPr>
      <w:rFonts w:ascii="宋体" w:hAnsi="宋体" w:cs="宋体"/>
      <w:color w:val="000000"/>
      <w:sz w:val="24"/>
    </w:rPr>
  </w:style>
  <w:style w:type="paragraph" w:customStyle="1" w:styleId="57">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58">
    <w:name w:val="List Paragraph"/>
    <w:basedOn w:val="1"/>
    <w:link w:val="81"/>
    <w:qFormat/>
    <w:uiPriority w:val="99"/>
    <w:pPr>
      <w:ind w:firstLine="420" w:firstLineChars="200"/>
    </w:pPr>
  </w:style>
  <w:style w:type="paragraph" w:customStyle="1" w:styleId="5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paragraph" w:customStyle="1" w:styleId="62">
    <w:name w:val=" Char2 Char Char"/>
    <w:basedOn w:val="9"/>
    <w:qFormat/>
    <w:uiPriority w:val="0"/>
    <w:rPr>
      <w:rFonts w:ascii="Tahoma" w:hAnsi="Tahoma"/>
      <w:sz w:val="24"/>
    </w:rPr>
  </w:style>
  <w:style w:type="paragraph" w:customStyle="1" w:styleId="63">
    <w:name w:val="Char2 Char Char"/>
    <w:basedOn w:val="9"/>
    <w:qFormat/>
    <w:uiPriority w:val="0"/>
    <w:rPr>
      <w:rFonts w:ascii="Tahoma" w:hAnsi="Tahoma"/>
      <w:sz w:val="24"/>
    </w:rPr>
  </w:style>
  <w:style w:type="paragraph" w:customStyle="1" w:styleId="6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65">
    <w:name w:val="正文文本缩进 3 Char"/>
    <w:link w:val="25"/>
    <w:semiHidden/>
    <w:qFormat/>
    <w:uiPriority w:val="0"/>
    <w:rPr>
      <w:rFonts w:eastAsia="宋体"/>
      <w:kern w:val="2"/>
      <w:sz w:val="16"/>
      <w:szCs w:val="16"/>
      <w:lang w:val="en-US" w:eastAsia="zh-CN" w:bidi="ar-SA"/>
    </w:rPr>
  </w:style>
  <w:style w:type="character" w:customStyle="1" w:styleId="66">
    <w:name w:val="标题 2 Char"/>
    <w:basedOn w:val="34"/>
    <w:link w:val="4"/>
    <w:qFormat/>
    <w:uiPriority w:val="0"/>
    <w:rPr>
      <w:rFonts w:ascii="Arial" w:hAnsi="Arial" w:eastAsia="黑体"/>
      <w:b/>
      <w:bCs/>
      <w:kern w:val="2"/>
      <w:sz w:val="32"/>
      <w:szCs w:val="32"/>
      <w:lang w:val="en-US" w:eastAsia="zh-CN" w:bidi="ar-SA"/>
    </w:rPr>
  </w:style>
  <w:style w:type="character" w:customStyle="1" w:styleId="67">
    <w:name w:val="标题 Char"/>
    <w:link w:val="30"/>
    <w:qFormat/>
    <w:uiPriority w:val="0"/>
    <w:rPr>
      <w:rFonts w:ascii="Cambria" w:hAnsi="Cambria"/>
      <w:b/>
      <w:bCs/>
      <w:kern w:val="2"/>
      <w:sz w:val="44"/>
      <w:szCs w:val="32"/>
    </w:rPr>
  </w:style>
  <w:style w:type="character" w:customStyle="1" w:styleId="68">
    <w:name w:val="批注框文本 Char"/>
    <w:link w:val="19"/>
    <w:semiHidden/>
    <w:qFormat/>
    <w:uiPriority w:val="0"/>
    <w:rPr>
      <w:rFonts w:eastAsia="宋体"/>
      <w:kern w:val="2"/>
      <w:sz w:val="18"/>
      <w:szCs w:val="18"/>
      <w:lang w:val="en-US" w:eastAsia="zh-CN" w:bidi="ar-SA"/>
    </w:rPr>
  </w:style>
  <w:style w:type="character" w:customStyle="1" w:styleId="69">
    <w:name w:val="正文文本缩进 Char"/>
    <w:link w:val="12"/>
    <w:qFormat/>
    <w:uiPriority w:val="0"/>
    <w:rPr>
      <w:rFonts w:eastAsia="宋体"/>
      <w:kern w:val="2"/>
      <w:sz w:val="32"/>
      <w:lang w:val="en-US" w:eastAsia="zh-CN" w:bidi="ar-SA"/>
    </w:rPr>
  </w:style>
  <w:style w:type="character" w:customStyle="1" w:styleId="70">
    <w:name w:val="纯文本 Char"/>
    <w:link w:val="15"/>
    <w:unhideWhenUsed/>
    <w:qFormat/>
    <w:uiPriority w:val="99"/>
    <w:rPr>
      <w:rFonts w:ascii="宋体" w:hAnsi="Tms Rmn" w:eastAsia="宋体"/>
      <w:sz w:val="21"/>
      <w:lang w:val="en-US" w:eastAsia="zh-CN" w:bidi="ar-SA"/>
    </w:rPr>
  </w:style>
  <w:style w:type="character" w:customStyle="1" w:styleId="71">
    <w:name w:val="脚注文本 Char"/>
    <w:basedOn w:val="34"/>
    <w:link w:val="23"/>
    <w:qFormat/>
    <w:uiPriority w:val="99"/>
    <w:rPr>
      <w:rFonts w:ascii="Times New Roman" w:hAnsi="Times New Roman"/>
      <w:kern w:val="2"/>
      <w:sz w:val="18"/>
      <w:szCs w:val="18"/>
    </w:rPr>
  </w:style>
  <w:style w:type="character" w:customStyle="1" w:styleId="72">
    <w:name w:val="标题 1 Char"/>
    <w:link w:val="3"/>
    <w:qFormat/>
    <w:uiPriority w:val="0"/>
    <w:rPr>
      <w:rFonts w:eastAsia="宋体"/>
      <w:b/>
      <w:bCs/>
      <w:kern w:val="44"/>
      <w:sz w:val="44"/>
      <w:szCs w:val="44"/>
      <w:lang w:val="en-US" w:eastAsia="zh-CN" w:bidi="ar-SA"/>
    </w:rPr>
  </w:style>
  <w:style w:type="character" w:customStyle="1" w:styleId="73">
    <w:name w:val="（符号）三标题1.1 Char"/>
    <w:link w:val="51"/>
    <w:qFormat/>
    <w:locked/>
    <w:uiPriority w:val="0"/>
    <w:rPr>
      <w:rFonts w:ascii="宋体" w:hAnsi="宋体" w:eastAsia="宋体"/>
      <w:sz w:val="24"/>
      <w:szCs w:val="24"/>
      <w:lang w:bidi="ar-SA"/>
    </w:rPr>
  </w:style>
  <w:style w:type="character" w:customStyle="1" w:styleId="74">
    <w:name w:val="批注主题 Char"/>
    <w:link w:val="31"/>
    <w:qFormat/>
    <w:uiPriority w:val="0"/>
    <w:rPr>
      <w:b/>
      <w:bCs/>
      <w:kern w:val="2"/>
      <w:sz w:val="21"/>
      <w:szCs w:val="24"/>
      <w:lang w:bidi="ar-SA"/>
    </w:rPr>
  </w:style>
  <w:style w:type="character" w:customStyle="1" w:styleId="75">
    <w:name w:val="标题 4 Char"/>
    <w:link w:val="6"/>
    <w:qFormat/>
    <w:uiPriority w:val="0"/>
    <w:rPr>
      <w:rFonts w:ascii="Cambria" w:hAnsi="Cambria" w:eastAsia="宋体"/>
      <w:b/>
      <w:bCs/>
      <w:kern w:val="2"/>
      <w:sz w:val="28"/>
      <w:szCs w:val="28"/>
      <w:lang w:val="en-US" w:eastAsia="zh-CN" w:bidi="ar-SA"/>
    </w:rPr>
  </w:style>
  <w:style w:type="character" w:customStyle="1" w:styleId="76">
    <w:name w:val="标题 2 Char Char"/>
    <w:qFormat/>
    <w:uiPriority w:val="0"/>
    <w:rPr>
      <w:rFonts w:ascii="Arial" w:hAnsi="Arial" w:eastAsia="黑体"/>
      <w:b/>
      <w:kern w:val="2"/>
      <w:sz w:val="28"/>
      <w:lang w:val="en-US" w:eastAsia="zh-CN" w:bidi="ar-SA"/>
    </w:rPr>
  </w:style>
  <w:style w:type="character" w:customStyle="1" w:styleId="77">
    <w:name w:val="批注文字 Char"/>
    <w:qFormat/>
    <w:uiPriority w:val="0"/>
    <w:rPr>
      <w:kern w:val="2"/>
      <w:sz w:val="18"/>
    </w:rPr>
  </w:style>
  <w:style w:type="character" w:customStyle="1" w:styleId="78">
    <w:name w:val="正文文本 Char"/>
    <w:link w:val="11"/>
    <w:qFormat/>
    <w:uiPriority w:val="0"/>
    <w:rPr>
      <w:rFonts w:eastAsia="宋体"/>
      <w:kern w:val="2"/>
      <w:sz w:val="21"/>
      <w:szCs w:val="24"/>
      <w:lang w:val="en-US" w:eastAsia="zh-CN" w:bidi="ar-SA"/>
    </w:rPr>
  </w:style>
  <w:style w:type="character" w:customStyle="1" w:styleId="79">
    <w:name w:val="日期 Char"/>
    <w:basedOn w:val="34"/>
    <w:link w:val="17"/>
    <w:qFormat/>
    <w:uiPriority w:val="0"/>
    <w:rPr>
      <w:kern w:val="2"/>
      <w:sz w:val="21"/>
      <w:szCs w:val="24"/>
    </w:rPr>
  </w:style>
  <w:style w:type="character" w:customStyle="1" w:styleId="80">
    <w:name w:val="标题 1 Char1"/>
    <w:qFormat/>
    <w:uiPriority w:val="0"/>
    <w:rPr>
      <w:b/>
      <w:bCs/>
      <w:kern w:val="44"/>
      <w:sz w:val="44"/>
      <w:szCs w:val="44"/>
    </w:rPr>
  </w:style>
  <w:style w:type="character" w:customStyle="1" w:styleId="81">
    <w:name w:val="列出段落 Char"/>
    <w:link w:val="58"/>
    <w:qFormat/>
    <w:uiPriority w:val="99"/>
    <w:rPr>
      <w:rFonts w:eastAsia="宋体"/>
      <w:kern w:val="2"/>
      <w:sz w:val="21"/>
      <w:szCs w:val="24"/>
      <w:lang w:val="en-US" w:eastAsia="zh-CN" w:bidi="ar-SA"/>
    </w:rPr>
  </w:style>
  <w:style w:type="character" w:customStyle="1" w:styleId="82">
    <w:name w:val="正文文本缩进 2 Char"/>
    <w:link w:val="18"/>
    <w:semiHidden/>
    <w:qFormat/>
    <w:uiPriority w:val="0"/>
    <w:rPr>
      <w:rFonts w:eastAsia="宋体"/>
      <w:kern w:val="2"/>
      <w:sz w:val="21"/>
      <w:szCs w:val="24"/>
      <w:lang w:val="en-US" w:eastAsia="zh-CN" w:bidi="ar-SA"/>
    </w:rPr>
  </w:style>
  <w:style w:type="character" w:customStyle="1" w:styleId="83">
    <w:name w:val="批注文字 Char1"/>
    <w:link w:val="10"/>
    <w:qFormat/>
    <w:uiPriority w:val="0"/>
    <w:rPr>
      <w:kern w:val="2"/>
      <w:sz w:val="18"/>
      <w:lang w:bidi="ar-SA"/>
    </w:rPr>
  </w:style>
  <w:style w:type="character" w:customStyle="1" w:styleId="84">
    <w:name w:val="标题 3 Char"/>
    <w:link w:val="5"/>
    <w:semiHidden/>
    <w:qFormat/>
    <w:uiPriority w:val="0"/>
    <w:rPr>
      <w:rFonts w:eastAsia="宋体"/>
      <w:b/>
      <w:bCs/>
      <w:kern w:val="2"/>
      <w:sz w:val="32"/>
      <w:szCs w:val="32"/>
      <w:lang w:val="en-US" w:eastAsia="zh-CN" w:bidi="ar-SA"/>
    </w:rPr>
  </w:style>
  <w:style w:type="character" w:customStyle="1" w:styleId="85">
    <w:name w:val="页眉 Char"/>
    <w:qFormat/>
    <w:uiPriority w:val="99"/>
    <w:rPr>
      <w:rFonts w:eastAsia="宋体"/>
      <w:sz w:val="18"/>
      <w:szCs w:val="18"/>
      <w:lang w:val="en-US" w:eastAsia="zh-CN" w:bidi="ar-SA"/>
    </w:rPr>
  </w:style>
  <w:style w:type="character" w:customStyle="1" w:styleId="86">
    <w:name w:val="页眉 Char1"/>
    <w:link w:val="21"/>
    <w:qFormat/>
    <w:uiPriority w:val="0"/>
    <w:rPr>
      <w:kern w:val="2"/>
      <w:sz w:val="18"/>
    </w:rPr>
  </w:style>
  <w:style w:type="character" w:customStyle="1" w:styleId="87">
    <w:name w:val="（符号）邀请函中一、"/>
    <w:qFormat/>
    <w:uiPriority w:val="0"/>
    <w:rPr>
      <w:rFonts w:ascii="黑体" w:hAnsi="黑体" w:eastAsia="黑体"/>
      <w:b/>
      <w:bCs/>
      <w:sz w:val="24"/>
    </w:rPr>
  </w:style>
  <w:style w:type="character" w:customStyle="1" w:styleId="88">
    <w:name w:val="页脚 Char1"/>
    <w:link w:val="20"/>
    <w:qFormat/>
    <w:uiPriority w:val="0"/>
    <w:rPr>
      <w:rFonts w:eastAsia="宋体"/>
      <w:kern w:val="2"/>
      <w:sz w:val="18"/>
      <w:lang w:val="en-US" w:eastAsia="zh-CN" w:bidi="ar-SA"/>
    </w:rPr>
  </w:style>
  <w:style w:type="character" w:customStyle="1" w:styleId="89">
    <w:name w:val="正文缩进 Char"/>
    <w:link w:val="8"/>
    <w:qFormat/>
    <w:uiPriority w:val="0"/>
    <w:rPr>
      <w:rFonts w:eastAsia="宋体"/>
      <w:kern w:val="2"/>
      <w:sz w:val="21"/>
      <w:szCs w:val="24"/>
      <w:lang w:val="en-US" w:eastAsia="zh-CN" w:bidi="ar-SA"/>
    </w:rPr>
  </w:style>
  <w:style w:type="character" w:customStyle="1" w:styleId="90">
    <w:name w:val=" Char Char9"/>
    <w:qFormat/>
    <w:uiPriority w:val="0"/>
    <w:rPr>
      <w:kern w:val="2"/>
      <w:sz w:val="21"/>
    </w:rPr>
  </w:style>
  <w:style w:type="character" w:customStyle="1" w:styleId="91">
    <w:name w:val="页脚 Char"/>
    <w:qFormat/>
    <w:uiPriority w:val="99"/>
    <w:rPr>
      <w:sz w:val="18"/>
      <w:szCs w:val="18"/>
    </w:rPr>
  </w:style>
  <w:style w:type="character" w:customStyle="1" w:styleId="92">
    <w:name w:val="GW-正文 Char"/>
    <w:link w:val="49"/>
    <w:qFormat/>
    <w:uiPriority w:val="0"/>
    <w:rPr>
      <w:rFonts w:eastAsia="仿宋_GB2312"/>
      <w:kern w:val="2"/>
      <w:sz w:val="24"/>
      <w:szCs w:val="24"/>
      <w:lang w:val="en-US" w:eastAsia="zh-CN" w:bidi="ar-SA"/>
    </w:rPr>
  </w:style>
  <w:style w:type="paragraph" w:customStyle="1" w:styleId="9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4">
    <w:name w:val="CD正文"/>
    <w:basedOn w:val="1"/>
    <w:qFormat/>
    <w:uiPriority w:val="0"/>
    <w:pPr>
      <w:widowControl/>
      <w:spacing w:line="360" w:lineRule="auto"/>
      <w:ind w:firstLine="493"/>
      <w:jc w:val="left"/>
    </w:pPr>
    <w:rPr>
      <w:kern w:val="0"/>
      <w:sz w:val="30"/>
      <w:szCs w:val="28"/>
      <w:lang w:val="zh-CN"/>
    </w:rPr>
  </w:style>
  <w:style w:type="paragraph" w:styleId="95">
    <w:name w:val="No Spacing"/>
    <w:qFormat/>
    <w:uiPriority w:val="1"/>
    <w:rPr>
      <w:rFonts w:asciiTheme="minorHAnsi" w:hAnsiTheme="minorHAnsi" w:eastAsiaTheme="minorEastAsia" w:cstheme="minorBidi"/>
      <w:kern w:val="0"/>
      <w:sz w:val="22"/>
      <w:szCs w:val="22"/>
      <w:lang w:val="en-US" w:eastAsia="zh-CN" w:bidi="ar-SA"/>
    </w:rPr>
  </w:style>
  <w:style w:type="paragraph" w:customStyle="1" w:styleId="96">
    <w:name w:val="List Paragraph1"/>
    <w:basedOn w:val="1"/>
    <w:qFormat/>
    <w:uiPriority w:val="0"/>
    <w:pPr>
      <w:ind w:firstLine="420" w:firstLineChars="200"/>
    </w:pPr>
    <w:rPr>
      <w:rFonts w:ascii="宋体" w:hAnsi="Times New Roman" w:eastAsia="宋体" w:cs="Times New Roman"/>
    </w:rPr>
  </w:style>
  <w:style w:type="paragraph" w:customStyle="1" w:styleId="97">
    <w:name w:val="正文4"/>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8">
    <w:name w:val="标题 5（有编号）（绿盟科技）"/>
    <w:basedOn w:val="1"/>
    <w:next w:val="99"/>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9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00">
    <w:name w:val="WPSOffice手动目录 1"/>
    <w:qFormat/>
    <w:uiPriority w:val="0"/>
    <w:pPr>
      <w:ind w:leftChars="0"/>
    </w:pPr>
    <w:rPr>
      <w:rFonts w:ascii="Times New Roman" w:hAnsi="Times New Roman" w:eastAsia="宋体" w:cs="Times New Roman"/>
      <w:sz w:val="20"/>
      <w:szCs w:val="20"/>
    </w:rPr>
  </w:style>
  <w:style w:type="character" w:customStyle="1" w:styleId="101">
    <w:name w:val="fontstyle21"/>
    <w:qFormat/>
    <w:uiPriority w:val="99"/>
    <w:rPr>
      <w:rFonts w:ascii="FZFSJW--GB1-0" w:hAnsi="FZFSJW--GB1-0" w:cs="FZFSJW--GB1-0"/>
      <w:color w:val="000000"/>
      <w:sz w:val="36"/>
      <w:szCs w:val="36"/>
    </w:rPr>
  </w:style>
  <w:style w:type="character" w:customStyle="1" w:styleId="102">
    <w:name w:val="img"/>
    <w:basedOn w:val="34"/>
    <w:qFormat/>
    <w:uiPriority w:val="0"/>
  </w:style>
  <w:style w:type="character" w:customStyle="1" w:styleId="103">
    <w:name w:val="img1"/>
    <w:basedOn w:val="34"/>
    <w:qFormat/>
    <w:uiPriority w:val="0"/>
  </w:style>
  <w:style w:type="paragraph" w:customStyle="1" w:styleId="104">
    <w:name w:val="Blockquote"/>
    <w:basedOn w:val="1"/>
    <w:qFormat/>
    <w:uiPriority w:val="0"/>
    <w:pPr>
      <w:autoSpaceDE w:val="0"/>
      <w:autoSpaceDN w:val="0"/>
      <w:adjustRightInd w:val="0"/>
      <w:spacing w:before="100" w:after="100"/>
      <w:ind w:left="360" w:right="360"/>
      <w:jc w:val="left"/>
    </w:pPr>
    <w:rPr>
      <w:rFonts w:ascii="Calibri" w:hAnsi="Calibri" w:eastAsia="宋体" w:cs="Times New Roman"/>
      <w:kern w:val="0"/>
      <w:sz w:val="24"/>
      <w:szCs w:val="20"/>
    </w:rPr>
  </w:style>
  <w:style w:type="paragraph" w:customStyle="1" w:styleId="105">
    <w:name w:val="正文文本123"/>
    <w:basedOn w:val="1"/>
    <w:qFormat/>
    <w:uiPriority w:val="0"/>
    <w:pPr>
      <w:spacing w:line="500" w:lineRule="exact"/>
      <w:ind w:firstLine="480" w:firstLineChars="200"/>
    </w:pPr>
    <w:rPr>
      <w:rFonts w:ascii="Times New Roman" w:hAnsi="Times New Roman" w:eastAsia="宋体" w:cs="Times New Roman"/>
      <w:sz w:val="24"/>
      <w:szCs w:val="24"/>
    </w:rPr>
  </w:style>
  <w:style w:type="paragraph" w:customStyle="1" w:styleId="106">
    <w:name w:val="my正文"/>
    <w:basedOn w:val="1"/>
    <w:qFormat/>
    <w:uiPriority w:val="0"/>
    <w:pPr>
      <w:adjustRightInd w:val="0"/>
      <w:spacing w:beforeLines="30" w:afterLines="30" w:line="360" w:lineRule="auto"/>
      <w:ind w:firstLine="200" w:firstLineChars="200"/>
      <w:jc w:val="left"/>
    </w:pPr>
    <w:rPr>
      <w:rFonts w:ascii="宋体" w:hAnsi="宋体"/>
      <w:sz w:val="24"/>
    </w:rPr>
  </w:style>
  <w:style w:type="paragraph" w:customStyle="1" w:styleId="107">
    <w:name w:val="Table Paragraph"/>
    <w:basedOn w:val="1"/>
    <w:qFormat/>
    <w:uiPriority w:val="1"/>
    <w:rPr>
      <w:rFonts w:ascii="宋体" w:hAnsi="宋体" w:eastAsia="宋体" w:cs="宋体"/>
      <w:lang w:val="zh-CN" w:eastAsia="zh-CN" w:bidi="zh-CN"/>
    </w:rPr>
  </w:style>
  <w:style w:type="character" w:customStyle="1" w:styleId="108">
    <w:name w:val="font31"/>
    <w:basedOn w:val="34"/>
    <w:qFormat/>
    <w:uiPriority w:val="0"/>
    <w:rPr>
      <w:rFonts w:hint="eastAsia" w:ascii="宋体" w:hAnsi="宋体" w:eastAsia="宋体" w:cs="宋体"/>
      <w:color w:val="000000"/>
      <w:sz w:val="24"/>
      <w:szCs w:val="24"/>
      <w:u w:val="none"/>
    </w:rPr>
  </w:style>
  <w:style w:type="character" w:customStyle="1" w:styleId="109">
    <w:name w:val="font01"/>
    <w:basedOn w:val="34"/>
    <w:qFormat/>
    <w:uiPriority w:val="0"/>
    <w:rPr>
      <w:rFonts w:hint="eastAsia" w:ascii="微软雅黑" w:hAnsi="微软雅黑" w:eastAsia="微软雅黑" w:cs="微软雅黑"/>
      <w:color w:val="000000"/>
      <w:sz w:val="24"/>
      <w:szCs w:val="24"/>
      <w:u w:val="none"/>
    </w:rPr>
  </w:style>
  <w:style w:type="character" w:customStyle="1" w:styleId="110">
    <w:name w:val="font41"/>
    <w:basedOn w:val="34"/>
    <w:qFormat/>
    <w:uiPriority w:val="0"/>
    <w:rPr>
      <w:rFonts w:hint="eastAsia" w:ascii="宋体" w:hAnsi="宋体" w:eastAsia="宋体" w:cs="宋体"/>
      <w:color w:val="000000"/>
      <w:sz w:val="24"/>
      <w:szCs w:val="24"/>
      <w:u w:val="none"/>
    </w:rPr>
  </w:style>
  <w:style w:type="character" w:customStyle="1" w:styleId="111">
    <w:name w:val="font71"/>
    <w:basedOn w:val="34"/>
    <w:uiPriority w:val="0"/>
    <w:rPr>
      <w:rFonts w:hint="eastAsia" w:ascii="微软雅黑" w:hAnsi="微软雅黑" w:eastAsia="微软雅黑" w:cs="微软雅黑"/>
      <w:color w:val="000000"/>
      <w:sz w:val="22"/>
      <w:szCs w:val="22"/>
      <w:u w:val="none"/>
    </w:rPr>
  </w:style>
  <w:style w:type="character" w:customStyle="1" w:styleId="112">
    <w:name w:val="font81"/>
    <w:basedOn w:val="34"/>
    <w:uiPriority w:val="0"/>
    <w:rPr>
      <w:rFonts w:hint="eastAsia" w:ascii="微软雅黑" w:hAnsi="微软雅黑" w:eastAsia="微软雅黑" w:cs="微软雅黑"/>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农业农村局钾肥50W 谈判.doc</Template>
  <Pages>58</Pages>
  <Words>29617</Words>
  <Characters>30812</Characters>
  <Lines>276</Lines>
  <Paragraphs>77</Paragraphs>
  <TotalTime>23</TotalTime>
  <ScaleCrop>false</ScaleCrop>
  <LinksUpToDate>false</LinksUpToDate>
  <CharactersWithSpaces>31743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2019-04-26T02:31:00Z</dcterms:created>
  <dc:creator>你的名字1406713706</dc:creator>
  <cp:lastModifiedBy>Denny</cp:lastModifiedBy>
  <cp:lastPrinted>2019-05-28T03:33:00Z</cp:lastPrinted>
  <dcterms:modified xsi:type="dcterms:W3CDTF">2021-12-17T03:15:24Z</dcterms:modified>
  <dc:title>招标编号：xx政采招[xxxx] xxx号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5C7E9E0973B24ACB9E1D1BAAFED74A30</vt:lpwstr>
  </property>
</Properties>
</file>