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 xml:space="preserve">          </w:t>
      </w:r>
    </w:p>
    <w:p>
      <w:pPr>
        <w:jc w:val="center"/>
        <w:rPr>
          <w:rFonts w:hint="default" w:ascii="宋体" w:hAnsi="宋体" w:eastAsia="宋体" w:cs="宋体"/>
          <w:color w:val="auto"/>
          <w:sz w:val="36"/>
          <w:szCs w:val="36"/>
          <w:highlight w:val="none"/>
          <w:lang w:val="en-US" w:eastAsia="zh-CN"/>
        </w:rPr>
      </w:pPr>
      <w:r>
        <w:rPr>
          <w:rFonts w:hint="eastAsia" w:ascii="宋体" w:hAnsi="宋体" w:eastAsia="宋体" w:cs="宋体"/>
          <w:color w:val="auto"/>
          <w:sz w:val="36"/>
          <w:szCs w:val="36"/>
          <w:highlight w:val="none"/>
        </w:rPr>
        <w:t>招标编号：510132202100144</w:t>
      </w:r>
    </w:p>
    <w:p>
      <w:pPr>
        <w:jc w:val="center"/>
        <w:rPr>
          <w:rFonts w:hint="eastAsia" w:ascii="宋体" w:hAnsi="宋体" w:eastAsia="宋体" w:cs="宋体"/>
          <w:color w:val="auto"/>
          <w:sz w:val="36"/>
          <w:szCs w:val="36"/>
          <w:highlight w:val="none"/>
        </w:rPr>
      </w:pPr>
    </w:p>
    <w:p>
      <w:pPr>
        <w:jc w:val="center"/>
        <w:rPr>
          <w:rFonts w:hint="eastAsia" w:ascii="宋体" w:hAnsi="宋体" w:eastAsia="宋体" w:cs="宋体"/>
          <w:b/>
          <w:color w:val="auto"/>
          <w:sz w:val="40"/>
          <w:szCs w:val="40"/>
          <w:lang w:val="en-US" w:eastAsia="zh-CN"/>
        </w:rPr>
      </w:pPr>
      <w:r>
        <w:rPr>
          <w:rFonts w:hint="eastAsia" w:ascii="宋体" w:hAnsi="宋体" w:eastAsia="宋体" w:cs="宋体"/>
          <w:b/>
          <w:color w:val="auto"/>
          <w:sz w:val="40"/>
          <w:szCs w:val="40"/>
          <w:lang w:val="en-US" w:eastAsia="zh-CN"/>
        </w:rPr>
        <w:t>成都市新津区公园城市建设局</w:t>
      </w:r>
    </w:p>
    <w:p>
      <w:pPr>
        <w:jc w:val="center"/>
        <w:rPr>
          <w:rFonts w:hint="eastAsia" w:ascii="宋体" w:hAnsi="宋体" w:eastAsia="宋体" w:cs="宋体"/>
          <w:b/>
          <w:color w:val="auto"/>
          <w:sz w:val="32"/>
          <w:szCs w:val="32"/>
        </w:rPr>
      </w:pPr>
      <w:r>
        <w:rPr>
          <w:rFonts w:hint="eastAsia" w:ascii="宋体" w:hAnsi="宋体" w:eastAsia="宋体" w:cs="宋体"/>
          <w:b/>
          <w:color w:val="auto"/>
          <w:sz w:val="40"/>
          <w:szCs w:val="40"/>
          <w:lang w:val="en-US" w:eastAsia="zh-CN"/>
        </w:rPr>
        <w:t>成都市新津区城市更新总体规划及五津站、游河心(五津长岛)更新片区实施规划项目</w:t>
      </w:r>
    </w:p>
    <w:p>
      <w:pPr>
        <w:jc w:val="center"/>
        <w:rPr>
          <w:rFonts w:hint="eastAsia" w:ascii="宋体" w:hAnsi="宋体" w:eastAsia="宋体" w:cs="宋体"/>
          <w:color w:val="auto"/>
          <w:sz w:val="36"/>
          <w:szCs w:val="36"/>
          <w:highlight w:val="none"/>
        </w:rPr>
      </w:pPr>
    </w:p>
    <w:p>
      <w:pPr>
        <w:pStyle w:val="20"/>
        <w:ind w:left="0" w:leftChars="0" w:firstLine="0" w:firstLineChars="0"/>
        <w:rPr>
          <w:rFonts w:hint="eastAsia" w:ascii="宋体" w:hAnsi="宋体" w:eastAsia="宋体" w:cs="宋体"/>
          <w:color w:val="auto"/>
          <w:sz w:val="52"/>
          <w:szCs w:val="52"/>
          <w:highlight w:val="none"/>
        </w:rPr>
      </w:pPr>
    </w:p>
    <w:p>
      <w:pPr>
        <w:pStyle w:val="20"/>
        <w:ind w:left="0" w:leftChars="0" w:firstLine="0" w:firstLineChars="0"/>
        <w:rPr>
          <w:rFonts w:hint="eastAsia" w:ascii="宋体" w:hAnsi="宋体" w:eastAsia="宋体" w:cs="宋体"/>
          <w:color w:val="auto"/>
          <w:sz w:val="52"/>
          <w:szCs w:val="52"/>
          <w:highlight w:val="none"/>
        </w:rPr>
      </w:pPr>
    </w:p>
    <w:p>
      <w:pPr>
        <w:jc w:val="center"/>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lang w:val="en-US" w:eastAsia="zh-CN"/>
        </w:rPr>
        <w:t>公开</w:t>
      </w:r>
      <w:r>
        <w:rPr>
          <w:rFonts w:hint="eastAsia" w:ascii="宋体" w:hAnsi="宋体" w:eastAsia="宋体" w:cs="宋体"/>
          <w:b/>
          <w:bCs/>
          <w:color w:val="auto"/>
          <w:sz w:val="72"/>
          <w:szCs w:val="72"/>
          <w:highlight w:val="none"/>
        </w:rPr>
        <w:t>招标文件</w:t>
      </w:r>
    </w:p>
    <w:p>
      <w:pPr>
        <w:pStyle w:val="20"/>
        <w:ind w:left="680"/>
        <w:rPr>
          <w:rFonts w:hint="eastAsia" w:ascii="宋体" w:hAnsi="宋体" w:eastAsia="宋体" w:cs="宋体"/>
          <w:color w:val="auto"/>
          <w:highlight w:val="none"/>
        </w:rPr>
      </w:pPr>
    </w:p>
    <w:p>
      <w:pPr>
        <w:pStyle w:val="20"/>
        <w:ind w:left="680"/>
        <w:rPr>
          <w:rFonts w:hint="eastAsia" w:ascii="宋体" w:hAnsi="宋体" w:eastAsia="宋体" w:cs="宋体"/>
          <w:color w:val="auto"/>
          <w:highlight w:val="none"/>
        </w:rPr>
      </w:pPr>
    </w:p>
    <w:p>
      <w:pPr>
        <w:pStyle w:val="20"/>
        <w:ind w:left="0" w:leftChars="0" w:firstLine="0" w:firstLineChars="0"/>
        <w:rPr>
          <w:rFonts w:hint="eastAsia" w:ascii="宋体" w:hAnsi="宋体" w:eastAsia="宋体" w:cs="宋体"/>
          <w:color w:val="auto"/>
          <w:highlight w:val="none"/>
        </w:rPr>
      </w:pPr>
    </w:p>
    <w:p>
      <w:pPr>
        <w:spacing w:line="360" w:lineRule="auto"/>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采购人：</w:t>
      </w:r>
      <w:r>
        <w:rPr>
          <w:rFonts w:hint="eastAsia" w:ascii="宋体" w:hAnsi="宋体" w:eastAsia="宋体" w:cs="宋体"/>
          <w:color w:val="auto"/>
          <w:sz w:val="36"/>
          <w:szCs w:val="36"/>
          <w:highlight w:val="none"/>
          <w:lang w:val="en-US" w:eastAsia="zh-CN"/>
        </w:rPr>
        <w:t>成都市新津区公园城市建设局</w:t>
      </w:r>
    </w:p>
    <w:p>
      <w:pPr>
        <w:spacing w:line="360" w:lineRule="auto"/>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采购代理机构：四川重德招标有限责任公司</w:t>
      </w:r>
    </w:p>
    <w:p>
      <w:pPr>
        <w:spacing w:line="360" w:lineRule="auto"/>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共同编制</w:t>
      </w:r>
    </w:p>
    <w:p>
      <w:pPr>
        <w:spacing w:line="360" w:lineRule="auto"/>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中国·四川（成都）</w:t>
      </w:r>
    </w:p>
    <w:p>
      <w:pPr>
        <w:spacing w:line="360" w:lineRule="auto"/>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36"/>
          <w:szCs w:val="36"/>
          <w:highlight w:val="none"/>
          <w:lang w:val="en-US" w:eastAsia="zh-CN"/>
        </w:rPr>
        <w:t>2021</w:t>
      </w:r>
      <w:r>
        <w:rPr>
          <w:rFonts w:hint="eastAsia" w:ascii="宋体" w:hAnsi="宋体" w:eastAsia="宋体" w:cs="宋体"/>
          <w:color w:val="auto"/>
          <w:sz w:val="36"/>
          <w:szCs w:val="36"/>
          <w:highlight w:val="none"/>
          <w:lang w:val="zh-CN"/>
        </w:rPr>
        <w:t>年</w:t>
      </w:r>
      <w:r>
        <w:rPr>
          <w:rFonts w:hint="eastAsia" w:hAnsi="宋体" w:cs="宋体"/>
          <w:color w:val="auto"/>
          <w:sz w:val="36"/>
          <w:szCs w:val="36"/>
          <w:highlight w:val="none"/>
          <w:lang w:val="en-US" w:eastAsia="zh-CN"/>
        </w:rPr>
        <w:t>10</w:t>
      </w:r>
      <w:r>
        <w:rPr>
          <w:rFonts w:hint="eastAsia" w:ascii="宋体" w:hAnsi="宋体" w:eastAsia="宋体" w:cs="宋体"/>
          <w:color w:val="auto"/>
          <w:sz w:val="36"/>
          <w:szCs w:val="36"/>
          <w:highlight w:val="none"/>
          <w:lang w:val="zh-CN"/>
        </w:rPr>
        <w:t>月</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 xml:space="preserve">                </w:t>
      </w:r>
    </w:p>
    <w:p>
      <w:pPr>
        <w:spacing w:line="440" w:lineRule="exact"/>
        <w:jc w:val="center"/>
        <w:rPr>
          <w:rFonts w:hint="eastAsia" w:ascii="宋体" w:hAnsi="宋体" w:eastAsia="宋体" w:cs="宋体"/>
          <w:b/>
          <w:bCs/>
          <w:color w:val="auto"/>
          <w:sz w:val="36"/>
          <w:szCs w:val="36"/>
          <w:highlight w:val="none"/>
          <w:lang w:val="en-US" w:eastAsia="zh-CN"/>
        </w:rPr>
      </w:pPr>
      <w:bookmarkStart w:id="0" w:name="_Toc32403_WPSOffice_Type3"/>
    </w:p>
    <w:p>
      <w:pPr>
        <w:spacing w:line="440" w:lineRule="exact"/>
        <w:jc w:val="center"/>
        <w:rPr>
          <w:rFonts w:hint="eastAsia" w:ascii="宋体" w:hAnsi="宋体" w:eastAsia="宋体" w:cs="宋体"/>
          <w:b/>
          <w:bCs/>
          <w:color w:val="auto"/>
          <w:sz w:val="36"/>
          <w:szCs w:val="36"/>
          <w:highlight w:val="none"/>
          <w:lang w:val="en-US" w:eastAsia="zh-CN"/>
        </w:rPr>
      </w:pPr>
    </w:p>
    <w:p>
      <w:pPr>
        <w:spacing w:line="440" w:lineRule="exact"/>
        <w:jc w:val="center"/>
        <w:rPr>
          <w:rFonts w:hint="eastAsia" w:ascii="宋体" w:hAnsi="宋体" w:eastAsia="宋体" w:cs="宋体"/>
          <w:b/>
          <w:bCs/>
          <w:color w:val="auto"/>
          <w:sz w:val="36"/>
          <w:szCs w:val="36"/>
          <w:highlight w:val="none"/>
          <w:lang w:val="en-US" w:eastAsia="zh-CN"/>
        </w:rPr>
      </w:pPr>
      <w:r>
        <w:rPr>
          <w:rFonts w:hint="eastAsia" w:ascii="宋体" w:hAnsi="宋体" w:eastAsia="宋体" w:cs="宋体"/>
          <w:b/>
          <w:bCs/>
          <w:color w:val="auto"/>
          <w:sz w:val="36"/>
          <w:szCs w:val="36"/>
          <w:highlight w:val="none"/>
          <w:lang w:val="en-US" w:eastAsia="zh-CN"/>
        </w:rPr>
        <w:t>廉洁自律承诺书</w:t>
      </w:r>
    </w:p>
    <w:p>
      <w:pPr>
        <w:pStyle w:val="9"/>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为进一步规范</w:t>
      </w:r>
      <w:r>
        <w:rPr>
          <w:rFonts w:hint="eastAsia" w:ascii="宋体" w:hAnsi="宋体" w:eastAsia="宋体" w:cs="宋体"/>
          <w:color w:val="auto"/>
          <w:sz w:val="24"/>
          <w:szCs w:val="24"/>
          <w:highlight w:val="none"/>
          <w:lang w:val="en-US" w:eastAsia="zh-CN"/>
        </w:rPr>
        <w:t>四川重德招标有限责任公司的</w:t>
      </w:r>
      <w:r>
        <w:rPr>
          <w:rFonts w:hint="eastAsia" w:ascii="宋体" w:hAnsi="宋体" w:eastAsia="宋体" w:cs="宋体"/>
          <w:color w:val="auto"/>
          <w:sz w:val="24"/>
          <w:szCs w:val="24"/>
          <w:highlight w:val="none"/>
        </w:rPr>
        <w:t>政府采购行为，为采购人、供应商营造公平竞争的政府采购市场环境，维护政府采购制度。</w:t>
      </w:r>
      <w:r>
        <w:rPr>
          <w:rFonts w:hint="eastAsia" w:ascii="宋体" w:hAnsi="宋体" w:eastAsia="宋体" w:cs="宋体"/>
          <w:color w:val="auto"/>
          <w:sz w:val="24"/>
          <w:szCs w:val="24"/>
          <w:highlight w:val="none"/>
          <w:lang w:val="en-US" w:eastAsia="zh-CN"/>
        </w:rPr>
        <w:t>四川重德招标有限责任公司全体工作人员</w:t>
      </w:r>
      <w:r>
        <w:rPr>
          <w:rFonts w:hint="eastAsia" w:ascii="宋体" w:hAnsi="宋体" w:eastAsia="宋体" w:cs="宋体"/>
          <w:color w:val="auto"/>
          <w:sz w:val="24"/>
          <w:szCs w:val="24"/>
          <w:highlight w:val="none"/>
        </w:rPr>
        <w:t>在代理政府采购事务过程中郑重承诺：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二、公司员工遵纪守法，不得以不正当手段争取、承揽代理政府采购事务和向任何单位和个人支付现金、实物或其他利益的行为。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三、公司员工自觉抵制商业贿赂，不得接受供应商的礼金、有价证券和贵重物品，不得在供应商</w:t>
      </w:r>
      <w:r>
        <w:rPr>
          <w:rFonts w:hint="eastAsia" w:ascii="宋体" w:hAnsi="宋体" w:eastAsia="宋体" w:cs="宋体"/>
          <w:color w:val="auto"/>
          <w:sz w:val="24"/>
          <w:szCs w:val="24"/>
          <w:highlight w:val="none"/>
          <w:lang w:val="en-US" w:eastAsia="zh-CN"/>
        </w:rPr>
        <w:t>处</w:t>
      </w:r>
      <w:r>
        <w:rPr>
          <w:rFonts w:hint="eastAsia" w:ascii="宋体" w:hAnsi="宋体" w:eastAsia="宋体" w:cs="宋体"/>
          <w:color w:val="auto"/>
          <w:sz w:val="24"/>
          <w:szCs w:val="24"/>
          <w:highlight w:val="none"/>
        </w:rPr>
        <w:t>报销任何应由个人支付的费用，不得以任何形式向供应商索要和收受回扣或变相收受贿赂，不得参加可能对公正执行采购工作有影响的宴请或娱乐活动。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四、公司员工不得与供应商存在任何商业上的利害关系，不得在供应商单位兼职和任职，不得泄漏政府采购过程中的机密。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pStyle w:val="9"/>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举报</w:t>
      </w:r>
      <w:r>
        <w:rPr>
          <w:rFonts w:hint="eastAsia" w:ascii="宋体" w:hAnsi="宋体" w:eastAsia="宋体" w:cs="宋体"/>
          <w:color w:val="auto"/>
          <w:sz w:val="24"/>
          <w:szCs w:val="24"/>
          <w:highlight w:val="none"/>
        </w:rPr>
        <w:t>电话：028-</w:t>
      </w:r>
      <w:r>
        <w:rPr>
          <w:rFonts w:hint="eastAsia" w:ascii="宋体" w:hAnsi="宋体" w:eastAsia="宋体" w:cs="宋体"/>
          <w:color w:val="auto"/>
          <w:sz w:val="24"/>
          <w:szCs w:val="24"/>
          <w:highlight w:val="none"/>
          <w:lang w:val="en-US" w:eastAsia="zh-CN"/>
        </w:rPr>
        <w:t>81144458-8001</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电子邮箱：sczdzb@sczdzbtender.com</w:t>
      </w:r>
    </w:p>
    <w:p>
      <w:pPr>
        <w:spacing w:line="480" w:lineRule="auto"/>
        <w:ind w:firstLine="480" w:firstLineChars="200"/>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四川重德招标有限责任公司</w:t>
      </w:r>
    </w:p>
    <w:p>
      <w:pPr>
        <w:pStyle w:val="9"/>
        <w:rPr>
          <w:rFonts w:hint="eastAsia" w:ascii="宋体" w:hAnsi="宋体" w:eastAsia="宋体" w:cs="宋体"/>
          <w:color w:val="auto"/>
          <w:sz w:val="24"/>
          <w:szCs w:val="24"/>
          <w:highlight w:val="none"/>
        </w:rPr>
      </w:pPr>
    </w:p>
    <w:p>
      <w:pPr>
        <w:spacing w:line="440" w:lineRule="exact"/>
        <w:jc w:val="center"/>
        <w:rPr>
          <w:rFonts w:hint="eastAsia" w:ascii="宋体" w:hAnsi="宋体" w:eastAsia="宋体" w:cs="宋体"/>
          <w:b/>
          <w:bCs/>
          <w:color w:val="auto"/>
          <w:sz w:val="36"/>
          <w:szCs w:val="36"/>
          <w:highlight w:val="none"/>
          <w:lang w:val="en-US" w:eastAsia="zh-CN"/>
        </w:rPr>
      </w:pPr>
    </w:p>
    <w:p>
      <w:pPr>
        <w:spacing w:line="440" w:lineRule="exact"/>
        <w:jc w:val="center"/>
        <w:rPr>
          <w:rFonts w:hint="eastAsia" w:ascii="宋体" w:hAnsi="宋体" w:eastAsia="宋体" w:cs="宋体"/>
          <w:b/>
          <w:bCs/>
          <w:color w:val="auto"/>
          <w:sz w:val="36"/>
          <w:szCs w:val="36"/>
          <w:highlight w:val="none"/>
          <w:lang w:val="en-US" w:eastAsia="zh-CN"/>
        </w:rPr>
      </w:pPr>
    </w:p>
    <w:p>
      <w:pPr>
        <w:pStyle w:val="9"/>
        <w:rPr>
          <w:rFonts w:hint="eastAsia" w:ascii="宋体" w:hAnsi="宋体" w:eastAsia="宋体" w:cs="宋体"/>
          <w:color w:val="auto"/>
          <w:highlight w:val="none"/>
          <w:lang w:val="en-US" w:eastAsia="zh-CN"/>
        </w:rPr>
      </w:pPr>
    </w:p>
    <w:p>
      <w:pPr>
        <w:spacing w:line="440" w:lineRule="exact"/>
        <w:jc w:val="center"/>
        <w:rPr>
          <w:rFonts w:hint="eastAsia" w:ascii="宋体" w:hAnsi="宋体" w:eastAsia="宋体" w:cs="宋体"/>
          <w:b/>
          <w:bCs/>
          <w:color w:val="auto"/>
          <w:sz w:val="36"/>
          <w:szCs w:val="36"/>
          <w:highlight w:val="none"/>
          <w:lang w:val="en-US" w:eastAsia="zh-CN"/>
        </w:rPr>
      </w:pPr>
    </w:p>
    <w:p>
      <w:pPr>
        <w:spacing w:line="440" w:lineRule="exact"/>
        <w:jc w:val="center"/>
        <w:rPr>
          <w:rFonts w:hint="eastAsia" w:ascii="宋体" w:hAnsi="宋体" w:eastAsia="宋体" w:cs="宋体"/>
          <w:b/>
          <w:bCs/>
          <w:color w:val="auto"/>
          <w:sz w:val="36"/>
          <w:szCs w:val="36"/>
          <w:highlight w:val="none"/>
          <w:lang w:val="en-US" w:eastAsia="zh-CN"/>
        </w:rPr>
      </w:pPr>
      <w:r>
        <w:rPr>
          <w:rFonts w:hint="eastAsia" w:ascii="宋体" w:hAnsi="宋体" w:eastAsia="宋体" w:cs="宋体"/>
          <w:b/>
          <w:bCs/>
          <w:color w:val="auto"/>
          <w:sz w:val="36"/>
          <w:szCs w:val="36"/>
          <w:highlight w:val="none"/>
          <w:lang w:val="en-US" w:eastAsia="zh-CN"/>
        </w:rPr>
        <w:t>温馨提示</w:t>
      </w:r>
    </w:p>
    <w:p>
      <w:pPr>
        <w:pStyle w:val="95"/>
        <w:rPr>
          <w:rFonts w:hint="eastAsia" w:ascii="宋体" w:hAnsi="宋体" w:eastAsia="宋体" w:cs="宋体"/>
          <w:color w:val="auto"/>
          <w:highlight w:val="none"/>
          <w:lang w:val="en-US" w:eastAsia="zh-CN"/>
        </w:rPr>
      </w:pPr>
    </w:p>
    <w:p>
      <w:pPr>
        <w:pStyle w:val="95"/>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我公司电梯高峰时段为8：40-9:40；12：30-13：30；此时间段内电梯需要排队等候约20分钟，请投标人预留合理时间，避免因交通、电梯等问题导致的迟到等情况。如因以上原因造成投标人迟到、因迟到导致的投标无效等情况，采购代理机构不承担任何责任。</w:t>
      </w: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p>
      <w:pPr>
        <w:pStyle w:val="84"/>
        <w:rPr>
          <w:rFonts w:hint="eastAsia" w:ascii="宋体" w:hAnsi="宋体" w:eastAsia="宋体" w:cs="宋体"/>
          <w:color w:val="auto"/>
          <w:highlight w:val="none"/>
          <w:lang w:val="en-US" w:eastAsia="zh-CN"/>
        </w:rPr>
      </w:pPr>
    </w:p>
    <w:bookmarkEnd w:id="0"/>
    <w:p>
      <w:pPr>
        <w:pStyle w:val="24"/>
        <w:keepNext w:val="0"/>
        <w:keepLines w:val="0"/>
        <w:pageBreakBefore w:val="0"/>
        <w:widowControl w:val="0"/>
        <w:tabs>
          <w:tab w:val="right" w:leader="dot" w:pos="8304"/>
        </w:tabs>
        <w:kinsoku/>
        <w:wordWrap/>
        <w:overflowPunct/>
        <w:topLinePunct w:val="0"/>
        <w:autoSpaceDE/>
        <w:autoSpaceDN/>
        <w:bidi w:val="0"/>
        <w:adjustRightInd/>
        <w:snapToGrid/>
        <w:spacing w:line="440" w:lineRule="exact"/>
        <w:jc w:val="center"/>
        <w:textAlignment w:val="auto"/>
        <w:outlineLvl w:val="9"/>
        <w:rPr>
          <w:rFonts w:hint="eastAsia" w:ascii="宋体" w:hAnsi="宋体" w:eastAsia="宋体" w:cs="宋体"/>
          <w:b/>
          <w:bCs/>
          <w:color w:val="auto"/>
          <w:sz w:val="32"/>
          <w:szCs w:val="32"/>
          <w:highlight w:val="none"/>
          <w:lang w:val="en-US" w:eastAsia="zh-CN"/>
        </w:rPr>
      </w:pPr>
      <w:bookmarkStart w:id="1" w:name="_Toc8063_WPSOffice_Level1"/>
      <w:bookmarkStart w:id="2" w:name="_Toc14476"/>
      <w:r>
        <w:rPr>
          <w:rFonts w:hint="eastAsia" w:ascii="宋体" w:hAnsi="宋体" w:eastAsia="宋体" w:cs="宋体"/>
          <w:b/>
          <w:bCs/>
          <w:color w:val="auto"/>
          <w:sz w:val="32"/>
          <w:szCs w:val="32"/>
          <w:highlight w:val="none"/>
          <w:lang w:val="en-US" w:eastAsia="zh-CN"/>
        </w:rPr>
        <w:t>目 录</w:t>
      </w:r>
    </w:p>
    <w:p>
      <w:pPr>
        <w:rPr>
          <w:rFonts w:hint="eastAsia" w:ascii="宋体" w:hAnsi="宋体" w:eastAsia="宋体" w:cs="宋体"/>
          <w:color w:val="auto"/>
          <w:highlight w:val="none"/>
          <w:lang w:val="en-US" w:eastAsia="zh-CN"/>
        </w:rPr>
      </w:pPr>
    </w:p>
    <w:p>
      <w:pPr>
        <w:pStyle w:val="24"/>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bookmarkStart w:id="3" w:name="_Toc29703"/>
      <w:bookmarkStart w:id="4" w:name="_Toc12576"/>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\z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_Toc2395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第一章 投标邀请</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_Toc2395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4"/>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_Toc23936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第二章 投标人须知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_Toc23936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4"/>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_Toc4935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第三章 投标文件格式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_Toc4935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4"/>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_Toc10399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val="0"/>
          <w:color w:val="auto"/>
          <w:sz w:val="24"/>
          <w:szCs w:val="24"/>
          <w:highlight w:val="none"/>
        </w:rPr>
        <w:t>第</w:t>
      </w:r>
      <w:r>
        <w:rPr>
          <w:rFonts w:hint="eastAsia" w:ascii="宋体" w:hAnsi="宋体" w:eastAsia="宋体" w:cs="宋体"/>
          <w:bCs w:val="0"/>
          <w:color w:val="auto"/>
          <w:sz w:val="24"/>
          <w:szCs w:val="24"/>
          <w:highlight w:val="none"/>
          <w:lang w:val="en-US" w:eastAsia="zh-CN"/>
        </w:rPr>
        <w:t>四</w:t>
      </w:r>
      <w:r>
        <w:rPr>
          <w:rFonts w:hint="eastAsia" w:ascii="宋体" w:hAnsi="宋体" w:eastAsia="宋体" w:cs="宋体"/>
          <w:bCs w:val="0"/>
          <w:color w:val="auto"/>
          <w:sz w:val="24"/>
          <w:szCs w:val="24"/>
          <w:highlight w:val="none"/>
        </w:rPr>
        <w:t>章 投标人和投标产品的资格、资质性及其他类似效力要求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_Toc10399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4"/>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_Toc21336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val="0"/>
          <w:color w:val="auto"/>
          <w:sz w:val="24"/>
          <w:szCs w:val="24"/>
          <w:highlight w:val="none"/>
        </w:rPr>
        <w:t>第</w:t>
      </w:r>
      <w:r>
        <w:rPr>
          <w:rFonts w:hint="eastAsia" w:ascii="宋体" w:hAnsi="宋体" w:eastAsia="宋体" w:cs="宋体"/>
          <w:bCs w:val="0"/>
          <w:color w:val="auto"/>
          <w:sz w:val="24"/>
          <w:szCs w:val="24"/>
          <w:highlight w:val="none"/>
          <w:lang w:val="en-US" w:eastAsia="zh-CN"/>
        </w:rPr>
        <w:t>五</w:t>
      </w:r>
      <w:r>
        <w:rPr>
          <w:rFonts w:hint="eastAsia" w:ascii="宋体" w:hAnsi="宋体" w:eastAsia="宋体" w:cs="宋体"/>
          <w:bCs w:val="0"/>
          <w:color w:val="auto"/>
          <w:sz w:val="24"/>
          <w:szCs w:val="24"/>
          <w:highlight w:val="none"/>
        </w:rPr>
        <w:t>章</w:t>
      </w:r>
      <w:r>
        <w:rPr>
          <w:rFonts w:hint="eastAsia" w:ascii="宋体" w:hAnsi="宋体" w:eastAsia="宋体" w:cs="宋体"/>
          <w:bCs w:val="0"/>
          <w:color w:val="auto"/>
          <w:sz w:val="24"/>
          <w:szCs w:val="24"/>
          <w:highlight w:val="none"/>
          <w:lang w:val="en-US" w:eastAsia="zh-CN"/>
        </w:rPr>
        <w:t xml:space="preserve"> </w:t>
      </w:r>
      <w:r>
        <w:rPr>
          <w:rFonts w:hint="eastAsia" w:ascii="宋体" w:hAnsi="宋体" w:eastAsia="宋体" w:cs="宋体"/>
          <w:bCs w:val="0"/>
          <w:color w:val="auto"/>
          <w:sz w:val="24"/>
          <w:szCs w:val="24"/>
          <w:highlight w:val="none"/>
        </w:rPr>
        <w:t>投标人应当提供的资格、资质性及其他类似效力要求的相关证明材料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_Toc21336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4"/>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_Toc20104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第</w:t>
      </w:r>
      <w:r>
        <w:rPr>
          <w:rFonts w:hint="eastAsia" w:ascii="宋体" w:hAnsi="宋体" w:eastAsia="宋体" w:cs="宋体"/>
          <w:bCs/>
          <w:color w:val="auto"/>
          <w:sz w:val="24"/>
          <w:szCs w:val="24"/>
          <w:highlight w:val="none"/>
          <w:lang w:val="en-US" w:eastAsia="zh-CN"/>
        </w:rPr>
        <w:t>六</w:t>
      </w:r>
      <w:r>
        <w:rPr>
          <w:rFonts w:hint="eastAsia" w:ascii="宋体" w:hAnsi="宋体" w:eastAsia="宋体" w:cs="宋体"/>
          <w:bCs/>
          <w:color w:val="auto"/>
          <w:sz w:val="24"/>
          <w:szCs w:val="24"/>
          <w:highlight w:val="none"/>
        </w:rPr>
        <w:t xml:space="preserve">章 </w:t>
      </w:r>
      <w:r>
        <w:rPr>
          <w:rFonts w:hint="eastAsia" w:ascii="宋体" w:hAnsi="宋体" w:eastAsia="宋体" w:cs="宋体"/>
          <w:bCs/>
          <w:color w:val="auto"/>
          <w:sz w:val="24"/>
          <w:szCs w:val="24"/>
          <w:highlight w:val="none"/>
          <w:lang w:eastAsia="zh-CN"/>
        </w:rPr>
        <w:t>采购项目</w:t>
      </w:r>
      <w:r>
        <w:rPr>
          <w:rFonts w:hint="eastAsia" w:ascii="宋体" w:hAnsi="宋体" w:eastAsia="宋体" w:cs="宋体"/>
          <w:bCs/>
          <w:color w:val="auto"/>
          <w:sz w:val="24"/>
          <w:szCs w:val="24"/>
          <w:highlight w:val="none"/>
        </w:rPr>
        <w:t>技术、服务、政府采购合同内容条款及其他商务要求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_Toc20104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4"/>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_Toc10971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第</w:t>
      </w:r>
      <w:r>
        <w:rPr>
          <w:rFonts w:hint="eastAsia" w:ascii="宋体" w:hAnsi="宋体" w:eastAsia="宋体" w:cs="宋体"/>
          <w:bCs/>
          <w:color w:val="auto"/>
          <w:sz w:val="24"/>
          <w:szCs w:val="24"/>
          <w:highlight w:val="none"/>
          <w:lang w:val="en-US" w:eastAsia="zh-CN"/>
        </w:rPr>
        <w:t>七</w:t>
      </w:r>
      <w:r>
        <w:rPr>
          <w:rFonts w:hint="eastAsia" w:ascii="宋体" w:hAnsi="宋体" w:eastAsia="宋体" w:cs="宋体"/>
          <w:bCs/>
          <w:color w:val="auto"/>
          <w:sz w:val="24"/>
          <w:szCs w:val="24"/>
          <w:highlight w:val="none"/>
        </w:rPr>
        <w:t>章 评标办法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_Toc10971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4"/>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_Toc13558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第</w:t>
      </w:r>
      <w:r>
        <w:rPr>
          <w:rFonts w:hint="eastAsia" w:ascii="宋体" w:hAnsi="宋体" w:eastAsia="宋体" w:cs="宋体"/>
          <w:bCs/>
          <w:color w:val="auto"/>
          <w:sz w:val="24"/>
          <w:szCs w:val="24"/>
          <w:highlight w:val="none"/>
          <w:lang w:val="en-US" w:eastAsia="zh-CN"/>
        </w:rPr>
        <w:t>八</w:t>
      </w:r>
      <w:r>
        <w:rPr>
          <w:rFonts w:hint="eastAsia" w:ascii="宋体" w:hAnsi="宋体" w:eastAsia="宋体" w:cs="宋体"/>
          <w:bCs/>
          <w:color w:val="auto"/>
          <w:sz w:val="24"/>
          <w:szCs w:val="24"/>
          <w:highlight w:val="none"/>
        </w:rPr>
        <w:t>章 政府采购合同须知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_Toc13558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4"/>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_Toc12868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第</w:t>
      </w:r>
      <w:r>
        <w:rPr>
          <w:rFonts w:hint="eastAsia" w:ascii="宋体" w:hAnsi="宋体" w:eastAsia="宋体" w:cs="宋体"/>
          <w:bCs/>
          <w:color w:val="auto"/>
          <w:sz w:val="24"/>
          <w:szCs w:val="24"/>
          <w:highlight w:val="none"/>
          <w:lang w:val="en-US" w:eastAsia="zh-CN"/>
        </w:rPr>
        <w:t>九</w:t>
      </w:r>
      <w:r>
        <w:rPr>
          <w:rFonts w:hint="eastAsia" w:ascii="宋体" w:hAnsi="宋体" w:eastAsia="宋体" w:cs="宋体"/>
          <w:bCs/>
          <w:color w:val="auto"/>
          <w:sz w:val="24"/>
          <w:szCs w:val="24"/>
          <w:highlight w:val="none"/>
        </w:rPr>
        <w:t>章 政府采购合同（参考）</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_Toc12868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8"/>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_Toc25623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附件一：川财采【2018】123号</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_Toc25623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8"/>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_Toc30471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附件二：成财采【2019】17号文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_Toc30471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8"/>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_Toc25538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lang w:val="en-US" w:eastAsia="zh-CN" w:bidi="ar-SA"/>
        </w:rPr>
        <w:t>附件三</w:t>
      </w:r>
      <w:r>
        <w:rPr>
          <w:rFonts w:hint="eastAsia" w:ascii="宋体" w:hAnsi="宋体" w:eastAsia="宋体" w:cs="宋体"/>
          <w:bCs/>
          <w:color w:val="auto"/>
          <w:sz w:val="24"/>
          <w:szCs w:val="24"/>
          <w:highlight w:val="none"/>
          <w:lang w:val="en-US" w:eastAsia="zh-CN"/>
        </w:rPr>
        <w:t>：成财采发【2020】20号</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_Toc25538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8"/>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_Toc17266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lang w:val="en-US" w:eastAsia="zh-CN"/>
        </w:rPr>
        <w:t>附件四：</w:t>
      </w:r>
      <w:r>
        <w:rPr>
          <w:rFonts w:hint="eastAsia" w:ascii="宋体" w:hAnsi="宋体" w:eastAsia="宋体" w:cs="宋体"/>
          <w:bCs/>
          <w:color w:val="auto"/>
          <w:sz w:val="24"/>
          <w:szCs w:val="24"/>
          <w:highlight w:val="none"/>
        </w:rPr>
        <w:t>各行政监管领域“较大数额罚款"标准一览表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_Toc17266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8"/>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_Toc9404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lang w:val="en-US" w:eastAsia="zh-CN" w:bidi="ar-SA"/>
        </w:rPr>
        <w:t>附件</w:t>
      </w:r>
      <w:r>
        <w:rPr>
          <w:rFonts w:hint="eastAsia" w:hAnsi="宋体" w:eastAsia="宋体" w:cs="宋体"/>
          <w:bCs/>
          <w:color w:val="auto"/>
          <w:sz w:val="24"/>
          <w:szCs w:val="24"/>
          <w:highlight w:val="none"/>
          <w:lang w:val="en-US" w:eastAsia="zh-CN" w:bidi="ar-SA"/>
        </w:rPr>
        <w:t>五：</w:t>
      </w:r>
      <w:r>
        <w:rPr>
          <w:rFonts w:hint="eastAsia" w:ascii="宋体" w:hAnsi="宋体" w:eastAsia="宋体" w:cs="宋体"/>
          <w:bCs/>
          <w:color w:val="auto"/>
          <w:sz w:val="24"/>
          <w:szCs w:val="24"/>
          <w:highlight w:val="none"/>
          <w:lang w:val="en-US" w:eastAsia="zh-CN" w:bidi="ar-SA"/>
        </w:rPr>
        <w:t xml:space="preserve"> 政府采购云平台使用介绍</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_Toc9404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r>
        <w:rPr>
          <w:rFonts w:hint="eastAsia" w:hAnsi="宋体" w:eastAsia="宋体" w:cs="宋体"/>
          <w:color w:val="auto"/>
          <w:sz w:val="24"/>
          <w:szCs w:val="24"/>
          <w:highlight w:val="none"/>
          <w:lang w:val="en-US" w:eastAsia="zh-CN"/>
        </w:rPr>
        <w:t>5</w:t>
      </w:r>
    </w:p>
    <w:p>
      <w:pPr>
        <w:pStyle w:val="3"/>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end"/>
      </w:r>
    </w:p>
    <w:p>
      <w:pPr>
        <w:pStyle w:val="3"/>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Cs w:val="24"/>
          <w:highlight w:val="none"/>
        </w:rPr>
      </w:pPr>
    </w:p>
    <w:p>
      <w:pPr>
        <w:rPr>
          <w:rFonts w:hint="eastAsia" w:ascii="宋体" w:hAnsi="宋体" w:eastAsia="宋体" w:cs="宋体"/>
          <w:color w:val="auto"/>
          <w:highlight w:val="none"/>
        </w:rPr>
      </w:pPr>
    </w:p>
    <w:p>
      <w:pPr>
        <w:pStyle w:val="20"/>
        <w:rPr>
          <w:rFonts w:hint="eastAsia" w:ascii="宋体" w:hAnsi="宋体" w:eastAsia="宋体" w:cs="宋体"/>
          <w:color w:val="auto"/>
          <w:highlight w:val="none"/>
        </w:rPr>
      </w:pPr>
    </w:p>
    <w:p>
      <w:pPr>
        <w:pStyle w:val="20"/>
        <w:rPr>
          <w:rFonts w:hint="eastAsia" w:ascii="宋体" w:hAnsi="宋体" w:eastAsia="宋体" w:cs="宋体"/>
          <w:color w:val="auto"/>
          <w:highlight w:val="none"/>
        </w:rPr>
      </w:pPr>
    </w:p>
    <w:p>
      <w:pPr>
        <w:pStyle w:val="20"/>
        <w:rPr>
          <w:rFonts w:hint="eastAsia" w:ascii="宋体" w:hAnsi="宋体" w:eastAsia="宋体" w:cs="宋体"/>
          <w:color w:val="auto"/>
          <w:highlight w:val="none"/>
        </w:rPr>
      </w:pPr>
    </w:p>
    <w:p>
      <w:pPr>
        <w:pStyle w:val="20"/>
        <w:rPr>
          <w:rFonts w:hint="eastAsia" w:ascii="宋体" w:hAnsi="宋体" w:eastAsia="宋体" w:cs="宋体"/>
          <w:color w:val="auto"/>
          <w:highlight w:val="none"/>
        </w:rPr>
      </w:pPr>
    </w:p>
    <w:p>
      <w:pPr>
        <w:pStyle w:val="3"/>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highlight w:val="none"/>
        </w:rPr>
      </w:pPr>
      <w:bookmarkStart w:id="5" w:name="_Toc2395"/>
      <w:r>
        <w:rPr>
          <w:rFonts w:hint="eastAsia" w:ascii="宋体" w:hAnsi="宋体" w:eastAsia="宋体" w:cs="宋体"/>
          <w:color w:val="auto"/>
          <w:highlight w:val="none"/>
        </w:rPr>
        <w:t>第一章  投标邀请</w:t>
      </w:r>
      <w:bookmarkEnd w:id="1"/>
      <w:bookmarkEnd w:id="2"/>
      <w:bookmarkEnd w:id="3"/>
      <w:bookmarkEnd w:id="4"/>
      <w:bookmarkEnd w:id="5"/>
    </w:p>
    <w:p>
      <w:pPr>
        <w:pStyle w:val="9"/>
        <w:rPr>
          <w:rFonts w:hint="eastAsia" w:ascii="宋体" w:hAnsi="宋体" w:eastAsia="宋体" w:cs="宋体"/>
          <w:color w:val="auto"/>
          <w:highlight w:val="none"/>
        </w:rPr>
      </w:pPr>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四川重德招标有限责任公司</w:t>
      </w:r>
      <w:r>
        <w:rPr>
          <w:rFonts w:hint="eastAsia" w:ascii="宋体" w:hAnsi="宋体" w:eastAsia="宋体" w:cs="宋体"/>
          <w:color w:val="auto"/>
          <w:sz w:val="24"/>
          <w:szCs w:val="24"/>
          <w:highlight w:val="none"/>
        </w:rPr>
        <w:t>受</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成都市新津区公园城市建设局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color w:val="auto"/>
          <w:sz w:val="24"/>
          <w:szCs w:val="24"/>
          <w:highlight w:val="none"/>
        </w:rPr>
        <w:t>委托，拟对</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成都市新津区公园城市建设局成都市新津区城市更新总体规划及五津站、游河心(五津长岛)更新片区实施规划</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color w:val="auto"/>
          <w:sz w:val="24"/>
          <w:szCs w:val="24"/>
          <w:highlight w:val="none"/>
        </w:rPr>
        <w:t>项目进行国内</w:t>
      </w:r>
      <w:r>
        <w:rPr>
          <w:rFonts w:hint="eastAsia" w:ascii="宋体" w:hAnsi="宋体" w:eastAsia="宋体" w:cs="宋体"/>
          <w:bCs/>
          <w:color w:val="auto"/>
          <w:sz w:val="24"/>
          <w:szCs w:val="24"/>
          <w:highlight w:val="none"/>
        </w:rPr>
        <w:t>公开</w:t>
      </w:r>
      <w:r>
        <w:rPr>
          <w:rFonts w:hint="eastAsia" w:ascii="宋体" w:hAnsi="宋体" w:eastAsia="宋体" w:cs="宋体"/>
          <w:color w:val="auto"/>
          <w:sz w:val="24"/>
          <w:szCs w:val="24"/>
          <w:highlight w:val="none"/>
        </w:rPr>
        <w:t>招标，兹邀请符合本次招标要求的供应商参加投标。</w:t>
      </w:r>
    </w:p>
    <w:p>
      <w:pPr>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一、采购项目基本情况：</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color w:val="auto"/>
          <w:sz w:val="24"/>
          <w:szCs w:val="24"/>
          <w:highlight w:val="none"/>
          <w:lang w:val="en-US" w:eastAsia="zh-CN"/>
        </w:rPr>
      </w:pPr>
      <w:bookmarkStart w:id="6" w:name="_Toc13332_WPSOffice_Level2"/>
      <w:bookmarkStart w:id="7" w:name="_Toc23581_WPSOffice_Level2"/>
      <w:r>
        <w:rPr>
          <w:rFonts w:hint="eastAsia" w:ascii="宋体" w:hAnsi="宋体" w:eastAsia="宋体" w:cs="宋体"/>
          <w:color w:val="auto"/>
          <w:sz w:val="24"/>
          <w:szCs w:val="24"/>
          <w:highlight w:val="none"/>
        </w:rPr>
        <w:t>1.招标编号：</w:t>
      </w:r>
      <w:bookmarkEnd w:id="6"/>
      <w:bookmarkEnd w:id="7"/>
      <w:r>
        <w:rPr>
          <w:rFonts w:hint="eastAsia" w:ascii="宋体" w:hAnsi="宋体" w:eastAsia="宋体" w:cs="宋体"/>
          <w:color w:val="auto"/>
          <w:sz w:val="24"/>
          <w:szCs w:val="24"/>
          <w:highlight w:val="none"/>
        </w:rPr>
        <w:t>510132202100144</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bookmarkStart w:id="8" w:name="_Toc28898_WPSOffice_Level2"/>
      <w:bookmarkStart w:id="9" w:name="_Toc8105_WPSOffice_Level2"/>
      <w:r>
        <w:rPr>
          <w:rFonts w:hint="eastAsia" w:ascii="宋体" w:hAnsi="宋体" w:eastAsia="宋体" w:cs="宋体"/>
          <w:color w:val="auto"/>
          <w:sz w:val="24"/>
          <w:szCs w:val="24"/>
          <w:highlight w:val="none"/>
        </w:rPr>
        <w:t>2.项目名称：</w:t>
      </w:r>
      <w:bookmarkEnd w:id="8"/>
      <w:bookmarkEnd w:id="9"/>
      <w:r>
        <w:rPr>
          <w:rFonts w:hint="eastAsia" w:ascii="宋体" w:hAnsi="宋体" w:eastAsia="宋体" w:cs="宋体"/>
          <w:color w:val="auto"/>
          <w:sz w:val="24"/>
          <w:szCs w:val="24"/>
          <w:highlight w:val="none"/>
          <w:lang w:val="en-US" w:eastAsia="zh-CN"/>
        </w:rPr>
        <w:t>成都市新津区公园城市建设局成都市新津区城市更新总体规划及五津站、游河心(五津长岛)更新片区实施规划项目</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bookmarkStart w:id="10" w:name="_Toc14555_WPSOffice_Level2"/>
      <w:bookmarkStart w:id="11" w:name="_Toc14617_WPSOffice_Level2"/>
      <w:r>
        <w:rPr>
          <w:rFonts w:hint="eastAsia" w:ascii="宋体" w:hAnsi="宋体" w:eastAsia="宋体" w:cs="宋体"/>
          <w:color w:val="auto"/>
          <w:sz w:val="24"/>
          <w:szCs w:val="24"/>
          <w:highlight w:val="none"/>
        </w:rPr>
        <w:t>3.采购人：</w:t>
      </w:r>
      <w:bookmarkEnd w:id="10"/>
      <w:bookmarkEnd w:id="11"/>
      <w:r>
        <w:rPr>
          <w:rFonts w:hint="eastAsia" w:ascii="宋体" w:hAnsi="宋体" w:eastAsia="宋体" w:cs="宋体"/>
          <w:color w:val="auto"/>
          <w:sz w:val="24"/>
          <w:szCs w:val="24"/>
          <w:highlight w:val="none"/>
          <w:lang w:val="en-US" w:eastAsia="zh-CN"/>
        </w:rPr>
        <w:t>成都市新津区公园城市建设局</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bookmarkStart w:id="12" w:name="_Toc4516_WPSOffice_Level2"/>
      <w:bookmarkStart w:id="13" w:name="_Toc17809_WPSOffice_Level2"/>
      <w:r>
        <w:rPr>
          <w:rFonts w:hint="eastAsia" w:ascii="宋体" w:hAnsi="宋体" w:eastAsia="宋体" w:cs="宋体"/>
          <w:color w:val="auto"/>
          <w:sz w:val="24"/>
          <w:szCs w:val="24"/>
          <w:highlight w:val="none"/>
        </w:rPr>
        <w:t>4.采购代理机构：四川重德招标有限责任公司</w:t>
      </w:r>
      <w:bookmarkEnd w:id="12"/>
      <w:bookmarkEnd w:id="13"/>
    </w:p>
    <w:p>
      <w:pPr>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二、资金来源及预算金额</w:t>
      </w:r>
      <w:r>
        <w:rPr>
          <w:rFonts w:hint="eastAsia" w:ascii="宋体" w:hAnsi="宋体" w:eastAsia="宋体" w:cs="宋体"/>
          <w:b/>
          <w:bCs/>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bookmarkStart w:id="14" w:name="_Toc18114_WPSOffice_Level2"/>
      <w:bookmarkStart w:id="15" w:name="_Toc12699_WPSOffice_Level2"/>
      <w:r>
        <w:rPr>
          <w:rFonts w:hint="eastAsia" w:ascii="宋体" w:hAnsi="宋体" w:eastAsia="宋体" w:cs="宋体"/>
          <w:color w:val="auto"/>
          <w:sz w:val="24"/>
          <w:szCs w:val="24"/>
          <w:highlight w:val="none"/>
        </w:rPr>
        <w:t>1.资金来源：财政性资金，已落实；</w:t>
      </w:r>
      <w:bookmarkEnd w:id="14"/>
      <w:bookmarkEnd w:id="15"/>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bookmarkStart w:id="16" w:name="_Toc3474_WPSOffice_Level2"/>
      <w:bookmarkStart w:id="17" w:name="_Toc19566_WPSOffice_Level2"/>
      <w:r>
        <w:rPr>
          <w:rFonts w:hint="eastAsia" w:ascii="宋体" w:hAnsi="宋体" w:eastAsia="宋体" w:cs="宋体"/>
          <w:color w:val="auto"/>
          <w:sz w:val="24"/>
          <w:szCs w:val="24"/>
          <w:highlight w:val="none"/>
        </w:rPr>
        <w:t>2.预算金额：人民币</w:t>
      </w:r>
      <w:r>
        <w:rPr>
          <w:rFonts w:hint="eastAsia" w:hAnsi="宋体" w:eastAsia="宋体" w:cs="宋体"/>
          <w:color w:val="auto"/>
          <w:sz w:val="24"/>
          <w:szCs w:val="24"/>
          <w:highlight w:val="none"/>
          <w:lang w:val="en-US" w:eastAsia="zh-CN"/>
        </w:rPr>
        <w:t>514</w:t>
      </w:r>
      <w:r>
        <w:rPr>
          <w:rFonts w:hint="eastAsia" w:ascii="宋体" w:hAnsi="宋体" w:eastAsia="宋体" w:cs="宋体"/>
          <w:color w:val="auto"/>
          <w:sz w:val="24"/>
          <w:szCs w:val="24"/>
          <w:highlight w:val="none"/>
        </w:rPr>
        <w:t>万元；最高限价：人民币</w:t>
      </w:r>
      <w:r>
        <w:rPr>
          <w:rFonts w:hint="eastAsia" w:hAnsi="宋体" w:eastAsia="宋体" w:cs="宋体"/>
          <w:color w:val="auto"/>
          <w:sz w:val="24"/>
          <w:szCs w:val="24"/>
          <w:highlight w:val="none"/>
          <w:lang w:val="en-US" w:eastAsia="zh-CN"/>
        </w:rPr>
        <w:t>514</w:t>
      </w:r>
      <w:r>
        <w:rPr>
          <w:rFonts w:hint="eastAsia" w:ascii="宋体" w:hAnsi="宋体" w:eastAsia="宋体" w:cs="宋体"/>
          <w:color w:val="auto"/>
          <w:sz w:val="24"/>
          <w:szCs w:val="24"/>
          <w:highlight w:val="none"/>
        </w:rPr>
        <w:t>万元；</w:t>
      </w:r>
      <w:bookmarkEnd w:id="16"/>
      <w:bookmarkEnd w:id="17"/>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color w:val="auto"/>
          <w:sz w:val="24"/>
          <w:szCs w:val="24"/>
          <w:highlight w:val="none"/>
          <w:lang w:val="en-US" w:eastAsia="zh-CN"/>
        </w:rPr>
      </w:pPr>
      <w:bookmarkStart w:id="18" w:name="_Toc24424_WPSOffice_Level2"/>
      <w:bookmarkStart w:id="19" w:name="_Toc24253_WPSOffice_Level2"/>
      <w:r>
        <w:rPr>
          <w:rFonts w:hint="eastAsia" w:ascii="宋体" w:hAnsi="宋体" w:eastAsia="宋体" w:cs="宋体"/>
          <w:color w:val="auto"/>
          <w:sz w:val="24"/>
          <w:szCs w:val="24"/>
          <w:highlight w:val="none"/>
        </w:rPr>
        <w:t>3.新津区政府采购实施计划备案表编号：：</w:t>
      </w:r>
      <w:bookmarkEnd w:id="18"/>
      <w:bookmarkEnd w:id="19"/>
      <w:r>
        <w:rPr>
          <w:rFonts w:hint="eastAsia" w:hAnsi="宋体" w:eastAsia="宋体" w:cs="宋体"/>
          <w:color w:val="auto"/>
          <w:sz w:val="24"/>
          <w:szCs w:val="24"/>
          <w:highlight w:val="none"/>
          <w:lang w:val="en-US" w:eastAsia="zh-CN"/>
        </w:rPr>
        <w:t>0000935</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采购标的：</w:t>
      </w:r>
      <w:r>
        <w:rPr>
          <w:rFonts w:hint="eastAsia" w:ascii="宋体" w:hAnsi="宋体" w:eastAsia="宋体" w:cs="宋体"/>
          <w:color w:val="auto"/>
          <w:sz w:val="24"/>
          <w:szCs w:val="24"/>
          <w:highlight w:val="none"/>
          <w:lang w:val="en-US" w:eastAsia="zh-CN"/>
        </w:rPr>
        <w:t>成都市新津区城市更新总体规划及五津站、游河心(五津长岛)更新片区实施规划</w:t>
      </w:r>
      <w:r>
        <w:rPr>
          <w:rFonts w:hint="eastAsia" w:ascii="宋体" w:hAnsi="宋体" w:eastAsia="宋体" w:cs="宋体"/>
          <w:color w:val="auto"/>
          <w:sz w:val="24"/>
          <w:szCs w:val="24"/>
          <w:highlight w:val="none"/>
        </w:rPr>
        <w:t>；</w:t>
      </w:r>
      <w:r>
        <w:rPr>
          <w:rFonts w:hint="eastAsia"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所属行业：</w:t>
      </w:r>
      <w:r>
        <w:rPr>
          <w:rFonts w:hint="eastAsia" w:hAnsi="宋体" w:eastAsia="宋体" w:cs="宋体"/>
          <w:color w:val="auto"/>
          <w:sz w:val="24"/>
          <w:szCs w:val="24"/>
          <w:highlight w:val="none"/>
          <w:lang w:eastAsia="zh-CN"/>
        </w:rPr>
        <w:t>其他未列明行业</w:t>
      </w:r>
      <w:r>
        <w:rPr>
          <w:rFonts w:hint="eastAsia" w:ascii="宋体" w:hAnsi="宋体" w:eastAsia="宋体" w:cs="宋体"/>
          <w:color w:val="auto"/>
          <w:sz w:val="24"/>
          <w:szCs w:val="24"/>
          <w:highlight w:val="none"/>
        </w:rPr>
        <w:t>。</w:t>
      </w:r>
    </w:p>
    <w:p>
      <w:pPr>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三、采购项目简介：</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bookmarkStart w:id="20" w:name="_Toc18089_WPSOffice_Level2"/>
      <w:bookmarkStart w:id="21" w:name="_Toc9918_WPSOffice_Level2"/>
      <w:r>
        <w:rPr>
          <w:rFonts w:hint="eastAsia" w:ascii="宋体" w:hAnsi="宋体" w:eastAsia="宋体" w:cs="宋体"/>
          <w:color w:val="auto"/>
          <w:sz w:val="24"/>
          <w:szCs w:val="24"/>
          <w:highlight w:val="none"/>
        </w:rPr>
        <w:t>1.本项目共</w:t>
      </w:r>
      <w:r>
        <w:rPr>
          <w:rFonts w:hint="eastAsia"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个包（预算品目：城市规划和设计服务(C1301)），采购</w:t>
      </w:r>
      <w:r>
        <w:rPr>
          <w:rFonts w:hint="eastAsia" w:ascii="宋体" w:hAnsi="宋体" w:eastAsia="宋体" w:cs="宋体"/>
          <w:color w:val="auto"/>
          <w:sz w:val="24"/>
          <w:szCs w:val="24"/>
          <w:highlight w:val="none"/>
          <w:lang w:val="en-US" w:eastAsia="zh-CN"/>
        </w:rPr>
        <w:t>成都市新津区城市更新总体规划及五津站、游河心(五津长岛)更新片区实施规划</w:t>
      </w:r>
      <w:r>
        <w:rPr>
          <w:rFonts w:hint="eastAsia" w:ascii="宋体" w:hAnsi="宋体" w:eastAsia="宋体" w:cs="宋体"/>
          <w:color w:val="auto"/>
          <w:sz w:val="24"/>
          <w:szCs w:val="24"/>
          <w:highlight w:val="none"/>
        </w:rPr>
        <w:t>服务商一名；</w:t>
      </w:r>
      <w:bookmarkEnd w:id="20"/>
      <w:bookmarkEnd w:id="21"/>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lang w:eastAsia="zh-CN"/>
        </w:rPr>
      </w:pPr>
      <w:bookmarkStart w:id="22" w:name="_Toc7374_WPSOffice_Level2"/>
      <w:bookmarkStart w:id="23" w:name="_Toc19239_WPSOffice_Level2"/>
      <w:r>
        <w:rPr>
          <w:rFonts w:hint="eastAsia" w:ascii="宋体" w:hAnsi="宋体" w:eastAsia="宋体" w:cs="宋体"/>
          <w:color w:val="auto"/>
          <w:sz w:val="24"/>
          <w:szCs w:val="24"/>
          <w:highlight w:val="none"/>
        </w:rPr>
        <w:t>2.项目性质：政府采购</w:t>
      </w:r>
      <w:bookmarkEnd w:id="22"/>
      <w:bookmarkEnd w:id="23"/>
      <w:r>
        <w:rPr>
          <w:rFonts w:hint="eastAsia" w:ascii="宋体" w:hAnsi="宋体" w:eastAsia="宋体" w:cs="宋体"/>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（详见招标文件第</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章）</w:t>
      </w:r>
    </w:p>
    <w:p>
      <w:pPr>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四、供应商参加本次政府采购活动，应当在提交投标文件前具备下列条件：  </w:t>
      </w:r>
    </w:p>
    <w:p>
      <w:pPr>
        <w:keepNext w:val="0"/>
        <w:keepLines w:val="0"/>
        <w:pageBreakBefore w:val="0"/>
        <w:kinsoku/>
        <w:wordWrap/>
        <w:overflowPunct/>
        <w:topLinePunct w:val="0"/>
        <w:autoSpaceDE/>
        <w:autoSpaceDN/>
        <w:bidi w:val="0"/>
        <w:adjustRightInd/>
        <w:snapToGrid/>
        <w:spacing w:after="50" w:line="440" w:lineRule="exact"/>
        <w:ind w:firstLine="480" w:firstLineChars="200"/>
        <w:textAlignment w:val="auto"/>
        <w:rPr>
          <w:rFonts w:hint="eastAsia" w:ascii="宋体" w:hAnsi="宋体" w:eastAsia="宋体" w:cs="宋体"/>
          <w:color w:val="auto"/>
          <w:sz w:val="24"/>
          <w:szCs w:val="24"/>
          <w:highlight w:val="none"/>
          <w:lang w:val="en-US" w:eastAsia="zh-CN"/>
        </w:rPr>
      </w:pPr>
      <w:bookmarkStart w:id="24" w:name="_Toc7672_WPSOffice_Level2"/>
      <w:bookmarkStart w:id="25" w:name="_Toc21872_WPSOffice_Level2"/>
      <w:r>
        <w:rPr>
          <w:rFonts w:hint="eastAsia" w:ascii="宋体" w:hAnsi="宋体" w:eastAsia="宋体" w:cs="宋体"/>
          <w:color w:val="auto"/>
          <w:sz w:val="24"/>
          <w:szCs w:val="24"/>
          <w:highlight w:val="none"/>
          <w:lang w:val="en-US" w:eastAsia="zh-CN"/>
        </w:rPr>
        <w:t xml:space="preserve">1.满足《中华人民共和国政府采购法》第二十二条规定；                                                                  </w:t>
      </w:r>
    </w:p>
    <w:p>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textAlignment w:val="auto"/>
        <w:rPr>
          <w:rFonts w:hint="eastAsia" w:ascii="新宋体" w:hAnsi="新宋体" w:eastAsia="新宋体" w:cs="新宋体"/>
          <w:b w:val="0"/>
          <w:bCs w:val="0"/>
          <w:color w:val="auto"/>
          <w:sz w:val="24"/>
          <w:szCs w:val="28"/>
          <w:highlight w:val="none"/>
          <w:lang w:val="en-US" w:eastAsia="zh-CN"/>
        </w:rPr>
      </w:pPr>
      <w:r>
        <w:rPr>
          <w:rFonts w:hint="eastAsia" w:ascii="新宋体" w:hAnsi="新宋体" w:eastAsia="新宋体" w:cs="新宋体"/>
          <w:b w:val="0"/>
          <w:bCs w:val="0"/>
          <w:color w:val="auto"/>
          <w:sz w:val="24"/>
          <w:szCs w:val="28"/>
          <w:highlight w:val="none"/>
          <w:lang w:val="en-US" w:eastAsia="zh-CN"/>
        </w:rPr>
        <w:t xml:space="preserve">2.落实政府采购政策需满足的资格要求：无。；                                                         </w:t>
      </w:r>
    </w:p>
    <w:p>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textAlignment w:val="auto"/>
        <w:rPr>
          <w:rFonts w:hint="eastAsia" w:ascii="新宋体" w:hAnsi="新宋体" w:eastAsia="新宋体" w:cs="新宋体"/>
          <w:b w:val="0"/>
          <w:bCs w:val="0"/>
          <w:color w:val="auto"/>
          <w:sz w:val="24"/>
          <w:szCs w:val="28"/>
          <w:highlight w:val="none"/>
          <w:lang w:val="en-US" w:eastAsia="zh-CN"/>
        </w:rPr>
      </w:pPr>
      <w:r>
        <w:rPr>
          <w:rFonts w:hint="eastAsia" w:ascii="新宋体" w:hAnsi="新宋体" w:eastAsia="新宋体" w:cs="新宋体"/>
          <w:b w:val="0"/>
          <w:bCs w:val="0"/>
          <w:color w:val="auto"/>
          <w:sz w:val="24"/>
          <w:szCs w:val="28"/>
          <w:highlight w:val="none"/>
          <w:lang w:val="en-US" w:eastAsia="zh-CN"/>
        </w:rPr>
        <w:t>3.根据采购项目提出的特殊条件：无。</w:t>
      </w:r>
    </w:p>
    <w:bookmarkEnd w:id="24"/>
    <w:bookmarkEnd w:id="25"/>
    <w:p>
      <w:pPr>
        <w:keepNext w:val="0"/>
        <w:keepLines w:val="0"/>
        <w:pageBreakBefore w:val="0"/>
        <w:kinsoku/>
        <w:wordWrap/>
        <w:overflowPunct/>
        <w:topLinePunct w:val="0"/>
        <w:autoSpaceDE/>
        <w:autoSpaceDN/>
        <w:bidi w:val="0"/>
        <w:adjustRightInd/>
        <w:snapToGrid/>
        <w:spacing w:after="50" w:line="440" w:lineRule="exact"/>
        <w:ind w:firstLine="482"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五、限制投标情形：</w:t>
      </w:r>
    </w:p>
    <w:p>
      <w:pPr>
        <w:keepNext w:val="0"/>
        <w:keepLines w:val="0"/>
        <w:pageBreakBefore w:val="0"/>
        <w:kinsoku/>
        <w:wordWrap/>
        <w:overflowPunct/>
        <w:topLinePunct w:val="0"/>
        <w:autoSpaceDE/>
        <w:autoSpaceDN/>
        <w:bidi w:val="0"/>
        <w:adjustRightInd/>
        <w:snapToGrid/>
        <w:spacing w:after="50" w:line="440" w:lineRule="exact"/>
        <w:ind w:firstLine="480" w:firstLineChars="200"/>
        <w:jc w:val="left"/>
        <w:textAlignment w:val="auto"/>
        <w:outlineLvl w:val="9"/>
        <w:rPr>
          <w:rFonts w:hint="eastAsia" w:ascii="宋体" w:hAnsi="宋体" w:eastAsia="宋体" w:cs="宋体"/>
          <w:color w:val="auto"/>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根据《关于在政府采购活动中查询及使用信用记录有关问题的通知》（财库〔2016〕125号）文件要求，采购人、采购代理机构应当通过“信用中国”网站（www.creditchina.gov.cn）、中国政府采购网（www.ccgp.gov.cn）渠道查询供应商在参加</w:t>
      </w:r>
      <w:r>
        <w:rPr>
          <w:rFonts w:hint="eastAsia" w:ascii="宋体" w:hAnsi="宋体" w:eastAsia="宋体" w:cs="宋体"/>
          <w:color w:val="auto"/>
          <w:sz w:val="24"/>
          <w:szCs w:val="24"/>
          <w:highlight w:val="none"/>
          <w:lang w:val="en-US" w:eastAsia="zh-CN"/>
        </w:rPr>
        <w:t>本次</w:t>
      </w:r>
      <w:r>
        <w:rPr>
          <w:rFonts w:hint="eastAsia" w:ascii="宋体" w:hAnsi="宋体" w:eastAsia="宋体" w:cs="宋体"/>
          <w:color w:val="auto"/>
          <w:sz w:val="24"/>
          <w:szCs w:val="24"/>
          <w:highlight w:val="none"/>
        </w:rPr>
        <w:t>政府采购活动前的信用记录，并保存信用记录结果网页截图，对列入失信被执行人、重大税收违法案件当事人名单、政府采购严重违法失信行为记录名单及其他不符合《中华人民共和国政府采购法》第二十二条规定条件的供应商，应当拒绝其参与</w:t>
      </w:r>
      <w:r>
        <w:rPr>
          <w:rFonts w:hint="eastAsia" w:ascii="宋体" w:hAnsi="宋体" w:eastAsia="宋体" w:cs="宋体"/>
          <w:color w:val="auto"/>
          <w:sz w:val="24"/>
          <w:szCs w:val="24"/>
          <w:highlight w:val="none"/>
          <w:lang w:val="en-US" w:eastAsia="zh-CN"/>
        </w:rPr>
        <w:t>本次</w:t>
      </w:r>
      <w:r>
        <w:rPr>
          <w:rFonts w:hint="eastAsia" w:ascii="宋体" w:hAnsi="宋体" w:eastAsia="宋体" w:cs="宋体"/>
          <w:color w:val="auto"/>
          <w:sz w:val="24"/>
          <w:szCs w:val="24"/>
          <w:highlight w:val="none"/>
        </w:rPr>
        <w:t>政府采购活动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信息查询来源：“</w:t>
      </w:r>
      <w:r>
        <w:rPr>
          <w:rFonts w:hint="eastAsia" w:ascii="宋体" w:hAnsi="宋体" w:eastAsia="宋体" w:cs="宋体"/>
          <w:color w:val="auto"/>
          <w:sz w:val="24"/>
          <w:szCs w:val="24"/>
          <w:highlight w:val="none"/>
        </w:rPr>
        <w:t>信用中国”www.creditchina.gov.cn、中国政府采购网www.ccgp.gov.cn</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pPr>
        <w:spacing w:after="50" w:line="440" w:lineRule="exact"/>
        <w:ind w:firstLine="480" w:firstLineChars="200"/>
        <w:jc w:val="left"/>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2.根据《企业信息公示暂行条例》（国务院令第654号）第十八条规定，投标供应商被列入经营异常名录或者严重违法企业名单的，禁止参与本次政府采购活动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信息查询来源：国家企业信用信息公示系统http://www.gsxt.gov.cn/index.html</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p>
    <w:p>
      <w:pPr>
        <w:keepNext w:val="0"/>
        <w:keepLines w:val="0"/>
        <w:pageBreakBefore w:val="0"/>
        <w:kinsoku/>
        <w:wordWrap/>
        <w:overflowPunct/>
        <w:topLinePunct w:val="0"/>
        <w:autoSpaceDE/>
        <w:autoSpaceDN/>
        <w:bidi w:val="0"/>
        <w:adjustRightInd/>
        <w:snapToGrid/>
        <w:spacing w:after="50" w:line="44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六</w:t>
      </w:r>
      <w:r>
        <w:rPr>
          <w:rFonts w:hint="eastAsia" w:ascii="宋体" w:hAnsi="宋体" w:eastAsia="宋体" w:cs="宋体"/>
          <w:b/>
          <w:color w:val="auto"/>
          <w:sz w:val="24"/>
          <w:szCs w:val="24"/>
          <w:highlight w:val="none"/>
        </w:rPr>
        <w:t>、招标文件发售时间、地点：</w:t>
      </w:r>
    </w:p>
    <w:p>
      <w:pPr>
        <w:keepNext w:val="0"/>
        <w:keepLines w:val="0"/>
        <w:pageBreakBefore w:val="0"/>
        <w:kinsoku/>
        <w:wordWrap/>
        <w:overflowPunct/>
        <w:topLinePunct w:val="0"/>
        <w:autoSpaceDE/>
        <w:autoSpaceDN/>
        <w:bidi w:val="0"/>
        <w:adjustRightInd/>
        <w:snapToGrid/>
        <w:spacing w:after="50" w:line="440" w:lineRule="exact"/>
        <w:ind w:firstLine="480" w:firstLineChars="200"/>
        <w:textAlignment w:val="auto"/>
        <w:rPr>
          <w:rFonts w:hint="eastAsia" w:ascii="宋体" w:hAnsi="宋体" w:eastAsia="宋体" w:cs="宋体"/>
          <w:color w:val="auto"/>
          <w:sz w:val="24"/>
          <w:highlight w:val="none"/>
        </w:rPr>
      </w:pPr>
      <w:bookmarkStart w:id="26" w:name="_Toc25885"/>
      <w:bookmarkStart w:id="27" w:name="_Toc14506"/>
      <w:bookmarkStart w:id="28" w:name="_Toc30675_WPSOffice_Level1"/>
      <w:bookmarkStart w:id="29" w:name="_Toc30720"/>
      <w:bookmarkStart w:id="30" w:name="_Toc6116"/>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 xml:space="preserve">招标文件获取时间： </w:t>
      </w:r>
      <w:r>
        <w:rPr>
          <w:rFonts w:hint="eastAsia" w:ascii="宋体" w:hAnsi="宋体" w:eastAsia="宋体" w:cs="宋体"/>
          <w:color w:val="auto"/>
          <w:sz w:val="24"/>
          <w:szCs w:val="24"/>
          <w:highlight w:val="none"/>
          <w:lang w:val="en-US" w:eastAsia="zh-CN"/>
        </w:rPr>
        <w:t>2021</w:t>
      </w:r>
      <w:r>
        <w:rPr>
          <w:rFonts w:hint="eastAsia" w:ascii="宋体" w:hAnsi="宋体" w:eastAsia="宋体" w:cs="宋体"/>
          <w:color w:val="auto"/>
          <w:sz w:val="24"/>
          <w:szCs w:val="24"/>
          <w:highlight w:val="none"/>
        </w:rPr>
        <w:t>年</w:t>
      </w:r>
      <w:r>
        <w:rPr>
          <w:rFonts w:hint="eastAsia" w:hAnsi="宋体" w:cs="宋体"/>
          <w:color w:val="auto"/>
          <w:sz w:val="24"/>
          <w:szCs w:val="24"/>
          <w:highlight w:val="none"/>
          <w:lang w:val="en-US" w:eastAsia="zh-CN"/>
        </w:rPr>
        <w:t>10</w:t>
      </w:r>
      <w:r>
        <w:rPr>
          <w:rFonts w:hint="eastAsia" w:ascii="宋体" w:hAnsi="宋体" w:eastAsia="宋体" w:cs="宋体"/>
          <w:color w:val="auto"/>
          <w:sz w:val="24"/>
          <w:szCs w:val="24"/>
          <w:highlight w:val="none"/>
        </w:rPr>
        <w:t>月</w:t>
      </w:r>
      <w:r>
        <w:rPr>
          <w:rFonts w:hint="eastAsia" w:hAnsi="宋体" w:cs="宋体"/>
          <w:color w:val="auto"/>
          <w:sz w:val="24"/>
          <w:szCs w:val="24"/>
          <w:highlight w:val="none"/>
          <w:lang w:val="en-US" w:eastAsia="zh-CN"/>
        </w:rPr>
        <w:t>13</w:t>
      </w:r>
      <w:r>
        <w:rPr>
          <w:rFonts w:hint="eastAsia" w:ascii="宋体" w:hAnsi="宋体" w:eastAsia="宋体" w:cs="宋体"/>
          <w:color w:val="auto"/>
          <w:sz w:val="24"/>
          <w:szCs w:val="24"/>
          <w:highlight w:val="none"/>
        </w:rPr>
        <w:t>日至</w:t>
      </w:r>
      <w:r>
        <w:rPr>
          <w:rFonts w:hint="eastAsia" w:ascii="宋体" w:hAnsi="宋体" w:eastAsia="宋体" w:cs="宋体"/>
          <w:color w:val="auto"/>
          <w:sz w:val="24"/>
          <w:szCs w:val="24"/>
          <w:highlight w:val="none"/>
          <w:lang w:val="en-US" w:eastAsia="zh-CN"/>
        </w:rPr>
        <w:t>2021</w:t>
      </w:r>
      <w:r>
        <w:rPr>
          <w:rFonts w:hint="eastAsia" w:ascii="宋体" w:hAnsi="宋体" w:eastAsia="宋体" w:cs="宋体"/>
          <w:color w:val="auto"/>
          <w:sz w:val="24"/>
          <w:szCs w:val="24"/>
          <w:highlight w:val="none"/>
        </w:rPr>
        <w:t>年</w:t>
      </w:r>
      <w:r>
        <w:rPr>
          <w:rFonts w:hint="eastAsia" w:hAnsi="宋体" w:cs="宋体"/>
          <w:color w:val="auto"/>
          <w:sz w:val="24"/>
          <w:szCs w:val="24"/>
          <w:highlight w:val="none"/>
          <w:lang w:val="en-US" w:eastAsia="zh-CN"/>
        </w:rPr>
        <w:t>10</w:t>
      </w:r>
      <w:r>
        <w:rPr>
          <w:rFonts w:hint="eastAsia" w:ascii="宋体" w:hAnsi="宋体" w:eastAsia="宋体" w:cs="宋体"/>
          <w:color w:val="auto"/>
          <w:sz w:val="24"/>
          <w:szCs w:val="24"/>
          <w:highlight w:val="none"/>
        </w:rPr>
        <w:t>月</w:t>
      </w:r>
      <w:r>
        <w:rPr>
          <w:rFonts w:hint="eastAsia" w:hAnsi="宋体" w:cs="宋体"/>
          <w:color w:val="auto"/>
          <w:sz w:val="24"/>
          <w:szCs w:val="24"/>
          <w:highlight w:val="none"/>
          <w:lang w:val="en-US" w:eastAsia="zh-CN"/>
        </w:rPr>
        <w:t>19</w:t>
      </w:r>
      <w:r>
        <w:rPr>
          <w:rFonts w:hint="eastAsia" w:ascii="宋体" w:hAnsi="宋体" w:eastAsia="宋体" w:cs="宋体"/>
          <w:color w:val="auto"/>
          <w:sz w:val="24"/>
          <w:szCs w:val="24"/>
          <w:highlight w:val="none"/>
        </w:rPr>
        <w:t>日9:</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 xml:space="preserve">0- </w:t>
      </w: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0（北京时间，节假日除外）</w:t>
      </w:r>
      <w:r>
        <w:rPr>
          <w:rFonts w:hint="eastAsia" w:ascii="宋体" w:hAnsi="宋体" w:eastAsia="宋体" w:cs="宋体"/>
          <w:color w:val="auto"/>
          <w:sz w:val="24"/>
          <w:szCs w:val="24"/>
          <w:highlight w:val="none"/>
          <w:lang w:eastAsia="zh-CN"/>
        </w:rPr>
        <w:t>。</w:t>
      </w:r>
    </w:p>
    <w:p>
      <w:pPr>
        <w:keepNext w:val="0"/>
        <w:keepLines w:val="0"/>
        <w:pageBreakBefore w:val="0"/>
        <w:kinsoku/>
        <w:wordWrap/>
        <w:overflowPunct/>
        <w:topLinePunct w:val="0"/>
        <w:autoSpaceDE/>
        <w:autoSpaceDN/>
        <w:bidi w:val="0"/>
        <w:adjustRightInd/>
        <w:snapToGrid/>
        <w:spacing w:after="50"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招标文件获取方式：投标人从“政府采购云平台”获取采购文件（网址：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"https://www.zcygov.cn）项目采购—获取采购文件—申请获取采购文件。_x0005_"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highlight w:val="none"/>
        </w:rPr>
        <w:t>https://www.zcygov.cn）。登录政府采购云平台—项目采购—获取采购文件—申请获取采购文件</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w:t>
      </w:r>
    </w:p>
    <w:p>
      <w:pPr>
        <w:keepNext w:val="0"/>
        <w:keepLines w:val="0"/>
        <w:pageBreakBefore w:val="0"/>
        <w:kinsoku/>
        <w:wordWrap/>
        <w:overflowPunct/>
        <w:topLinePunct w:val="0"/>
        <w:autoSpaceDE/>
        <w:autoSpaceDN/>
        <w:bidi w:val="0"/>
        <w:adjustRightInd/>
        <w:snapToGrid/>
        <w:spacing w:after="50"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提示：</w:t>
      </w:r>
    </w:p>
    <w:p>
      <w:pPr>
        <w:keepNext w:val="0"/>
        <w:keepLines w:val="0"/>
        <w:pageBreakBefore w:val="0"/>
        <w:kinsoku/>
        <w:wordWrap/>
        <w:overflowPunct/>
        <w:topLinePunct w:val="0"/>
        <w:autoSpaceDE/>
        <w:autoSpaceDN/>
        <w:bidi w:val="0"/>
        <w:adjustRightInd/>
        <w:snapToGrid/>
        <w:spacing w:after="50"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（1）本项目招标文件免费获取。</w:t>
      </w:r>
    </w:p>
    <w:p>
      <w:pPr>
        <w:keepNext w:val="0"/>
        <w:keepLines w:val="0"/>
        <w:pageBreakBefore w:val="0"/>
        <w:kinsoku/>
        <w:wordWrap/>
        <w:overflowPunct/>
        <w:topLinePunct w:val="0"/>
        <w:autoSpaceDE/>
        <w:autoSpaceDN/>
        <w:bidi w:val="0"/>
        <w:adjustRightInd/>
        <w:snapToGrid/>
        <w:spacing w:after="50"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（2）投标人只有在“政府采购云平台”完成获取招标文件申请并下载招标文件后才视作依法参与本项目。如未在“政府采购云平台”内完成相关流程，引起的投标无效责任自负。</w:t>
      </w:r>
    </w:p>
    <w:p>
      <w:pPr>
        <w:keepNext w:val="0"/>
        <w:keepLines w:val="0"/>
        <w:pageBreakBefore w:val="0"/>
        <w:kinsoku/>
        <w:wordWrap/>
        <w:overflowPunct/>
        <w:topLinePunct w:val="0"/>
        <w:autoSpaceDE/>
        <w:autoSpaceDN/>
        <w:bidi w:val="0"/>
        <w:adjustRightInd/>
        <w:snapToGrid/>
        <w:spacing w:after="50" w:line="440" w:lineRule="exact"/>
        <w:ind w:firstLine="480" w:firstLineChars="20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3）本项目为电子招标投标项目，投标人参与本项目全过程中凡涉及系统操作请详见《供应商政府采购项目电子交易操作指南》。（操作指南以政府采购云平台网站发布为准，获取方式详见附件三-政府采购云平台使用介绍）</w:t>
      </w:r>
    </w:p>
    <w:p>
      <w:pPr>
        <w:keepNext w:val="0"/>
        <w:keepLines w:val="0"/>
        <w:pageBreakBefore w:val="0"/>
        <w:kinsoku/>
        <w:wordWrap/>
        <w:overflowPunct/>
        <w:topLinePunct w:val="0"/>
        <w:autoSpaceDE/>
        <w:autoSpaceDN/>
        <w:bidi w:val="0"/>
        <w:adjustRightInd/>
        <w:snapToGrid/>
        <w:spacing w:after="50"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（4）政府采购云平台投标人注册地址：</w:t>
      </w:r>
    </w:p>
    <w:p>
      <w:pPr>
        <w:keepNext w:val="0"/>
        <w:keepLines w:val="0"/>
        <w:pageBreakBefore w:val="0"/>
        <w:kinsoku/>
        <w:wordWrap/>
        <w:overflowPunct/>
        <w:topLinePunct w:val="0"/>
        <w:autoSpaceDE/>
        <w:autoSpaceDN/>
        <w:bidi w:val="0"/>
        <w:adjustRightInd/>
        <w:snapToGrid/>
        <w:spacing w:after="50" w:line="440" w:lineRule="exact"/>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https://middle.zcygov.cn/v-settle-front/registry</w:t>
      </w:r>
    </w:p>
    <w:p>
      <w:pPr>
        <w:keepNext w:val="0"/>
        <w:keepLines w:val="0"/>
        <w:pageBreakBefore w:val="0"/>
        <w:numPr>
          <w:ilvl w:val="0"/>
          <w:numId w:val="2"/>
        </w:numPr>
        <w:kinsoku/>
        <w:wordWrap/>
        <w:overflowPunct/>
        <w:topLinePunct w:val="0"/>
        <w:autoSpaceDE/>
        <w:autoSpaceDN/>
        <w:bidi w:val="0"/>
        <w:adjustRightInd/>
        <w:snapToGrid/>
        <w:spacing w:after="50" w:line="440" w:lineRule="exact"/>
        <w:ind w:left="-482" w:firstLine="482" w:firstLineChars="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递交投标文件截止时间及开标时间：</w:t>
      </w:r>
      <w:r>
        <w:rPr>
          <w:rFonts w:hint="eastAsia" w:hAnsi="宋体" w:cs="宋体"/>
          <w:b/>
          <w:bCs w:val="0"/>
          <w:color w:val="auto"/>
          <w:sz w:val="24"/>
          <w:szCs w:val="24"/>
          <w:highlight w:val="none"/>
          <w:lang w:val="en-US" w:eastAsia="zh-CN"/>
        </w:rPr>
        <w:t>2021</w:t>
      </w:r>
      <w:r>
        <w:rPr>
          <w:rFonts w:hint="eastAsia" w:ascii="宋体" w:hAnsi="宋体" w:eastAsia="宋体" w:cs="宋体"/>
          <w:b/>
          <w:bCs w:val="0"/>
          <w:color w:val="auto"/>
          <w:sz w:val="24"/>
          <w:szCs w:val="24"/>
          <w:highlight w:val="none"/>
          <w:lang w:val="en-US" w:eastAsia="zh-CN"/>
        </w:rPr>
        <w:t>年</w:t>
      </w:r>
      <w:r>
        <w:rPr>
          <w:rFonts w:hint="eastAsia" w:hAnsi="宋体" w:cs="宋体"/>
          <w:b/>
          <w:bCs w:val="0"/>
          <w:color w:val="auto"/>
          <w:sz w:val="24"/>
          <w:szCs w:val="24"/>
          <w:highlight w:val="none"/>
          <w:lang w:val="en-US" w:eastAsia="zh-CN"/>
        </w:rPr>
        <w:t>11</w:t>
      </w:r>
      <w:r>
        <w:rPr>
          <w:rFonts w:hint="eastAsia" w:ascii="宋体" w:hAnsi="宋体" w:eastAsia="宋体" w:cs="宋体"/>
          <w:b/>
          <w:bCs w:val="0"/>
          <w:color w:val="auto"/>
          <w:sz w:val="24"/>
          <w:szCs w:val="24"/>
          <w:highlight w:val="none"/>
          <w:lang w:val="en-US" w:eastAsia="zh-CN"/>
        </w:rPr>
        <w:t>月</w:t>
      </w:r>
      <w:r>
        <w:rPr>
          <w:rFonts w:hint="eastAsia" w:hAnsi="宋体" w:cs="宋体"/>
          <w:b/>
          <w:bCs w:val="0"/>
          <w:color w:val="auto"/>
          <w:sz w:val="24"/>
          <w:szCs w:val="24"/>
          <w:highlight w:val="none"/>
          <w:lang w:val="en-US" w:eastAsia="zh-CN"/>
        </w:rPr>
        <w:t>3</w:t>
      </w:r>
      <w:r>
        <w:rPr>
          <w:rFonts w:hint="eastAsia" w:ascii="宋体" w:hAnsi="宋体" w:eastAsia="宋体" w:cs="宋体"/>
          <w:b/>
          <w:bCs w:val="0"/>
          <w:color w:val="auto"/>
          <w:sz w:val="24"/>
          <w:szCs w:val="24"/>
          <w:highlight w:val="none"/>
          <w:lang w:val="en-US" w:eastAsia="zh-CN"/>
        </w:rPr>
        <w:t>日</w:t>
      </w:r>
      <w:r>
        <w:rPr>
          <w:rFonts w:hint="eastAsia" w:hAnsi="宋体" w:cs="宋体"/>
          <w:b/>
          <w:bCs w:val="0"/>
          <w:color w:val="auto"/>
          <w:sz w:val="24"/>
          <w:szCs w:val="24"/>
          <w:highlight w:val="none"/>
          <w:lang w:val="en-US" w:eastAsia="zh-CN"/>
        </w:rPr>
        <w:t>10</w:t>
      </w:r>
      <w:r>
        <w:rPr>
          <w:rFonts w:hint="eastAsia" w:ascii="宋体" w:hAnsi="宋体" w:eastAsia="宋体" w:cs="宋体"/>
          <w:b/>
          <w:bCs w:val="0"/>
          <w:color w:val="auto"/>
          <w:sz w:val="24"/>
          <w:szCs w:val="24"/>
          <w:highlight w:val="none"/>
          <w:lang w:val="en-US" w:eastAsia="zh-CN"/>
        </w:rPr>
        <w:t>:</w:t>
      </w:r>
      <w:r>
        <w:rPr>
          <w:rFonts w:hint="eastAsia" w:hAnsi="宋体" w:cs="宋体"/>
          <w:b/>
          <w:bCs w:val="0"/>
          <w:color w:val="auto"/>
          <w:sz w:val="24"/>
          <w:szCs w:val="24"/>
          <w:highlight w:val="none"/>
          <w:lang w:val="en-US" w:eastAsia="zh-CN"/>
        </w:rPr>
        <w:t>30</w:t>
      </w:r>
      <w:r>
        <w:rPr>
          <w:rFonts w:hint="eastAsia" w:ascii="宋体" w:hAnsi="宋体" w:eastAsia="宋体" w:cs="宋体"/>
          <w:b/>
          <w:bCs w:val="0"/>
          <w:color w:val="auto"/>
          <w:sz w:val="24"/>
          <w:szCs w:val="24"/>
          <w:highlight w:val="none"/>
          <w:lang w:val="en-US" w:eastAsia="zh-CN"/>
        </w:rPr>
        <w:t>分（北京时间、以系统显示时间为准）。递交投标文件截止时间前，投标人应将加密的电子投标文件递交至“政府采购云平台”对应项目（包件）。</w:t>
      </w:r>
    </w:p>
    <w:p>
      <w:pPr>
        <w:keepNext w:val="0"/>
        <w:keepLines w:val="0"/>
        <w:pageBreakBefore w:val="0"/>
        <w:numPr>
          <w:ilvl w:val="0"/>
          <w:numId w:val="2"/>
        </w:numPr>
        <w:kinsoku/>
        <w:wordWrap/>
        <w:overflowPunct/>
        <w:topLinePunct w:val="0"/>
        <w:autoSpaceDE/>
        <w:autoSpaceDN/>
        <w:bidi w:val="0"/>
        <w:adjustRightInd/>
        <w:snapToGrid/>
        <w:spacing w:after="50" w:line="440" w:lineRule="exact"/>
        <w:ind w:left="-482" w:leftChars="0" w:firstLine="482"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开标地点：</w:t>
      </w:r>
    </w:p>
    <w:p>
      <w:pPr>
        <w:keepNext w:val="0"/>
        <w:keepLines w:val="0"/>
        <w:pageBreakBefore w:val="0"/>
        <w:numPr>
          <w:ilvl w:val="0"/>
          <w:numId w:val="0"/>
        </w:numPr>
        <w:kinsoku/>
        <w:wordWrap/>
        <w:overflowPunct/>
        <w:topLinePunct w:val="0"/>
        <w:autoSpaceDE/>
        <w:autoSpaceDN/>
        <w:bidi w:val="0"/>
        <w:adjustRightInd/>
        <w:snapToGrid/>
        <w:spacing w:after="50" w:line="440" w:lineRule="exact"/>
        <w:ind w:firstLine="480" w:firstLineChars="20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（1）本项目为不见面开标项目。</w:t>
      </w:r>
    </w:p>
    <w:p>
      <w:pPr>
        <w:keepNext w:val="0"/>
        <w:keepLines w:val="0"/>
        <w:pageBreakBefore w:val="0"/>
        <w:kinsoku/>
        <w:wordWrap/>
        <w:overflowPunct/>
        <w:topLinePunct w:val="0"/>
        <w:autoSpaceDE/>
        <w:autoSpaceDN/>
        <w:bidi w:val="0"/>
        <w:adjustRightInd/>
        <w:snapToGrid/>
        <w:spacing w:after="50" w:line="440" w:lineRule="exact"/>
        <w:ind w:firstLine="487" w:firstLineChars="203"/>
        <w:textAlignment w:val="auto"/>
        <w:rPr>
          <w:rFonts w:hint="eastAsia" w:ascii="宋体" w:hAnsi="宋体" w:eastAsia="宋体" w:cs="宋体"/>
          <w:color w:val="auto"/>
          <w:sz w:val="24"/>
          <w:szCs w:val="28"/>
          <w:highlight w:val="none"/>
          <w:lang w:val="en-US" w:eastAsia="zh-CN"/>
        </w:rPr>
      </w:pPr>
      <w:r>
        <w:rPr>
          <w:rFonts w:hint="eastAsia" w:ascii="宋体" w:hAnsi="宋体" w:eastAsia="宋体" w:cs="宋体"/>
          <w:color w:val="auto"/>
          <w:sz w:val="24"/>
          <w:szCs w:val="28"/>
          <w:highlight w:val="none"/>
        </w:rPr>
        <w:t>（2）开标地点：政府采购云平台(https://www.zcygov.cn)。</w:t>
      </w:r>
    </w:p>
    <w:p>
      <w:pPr>
        <w:keepNext w:val="0"/>
        <w:keepLines w:val="0"/>
        <w:pageBreakBefore w:val="0"/>
        <w:kinsoku/>
        <w:wordWrap/>
        <w:overflowPunct/>
        <w:topLinePunct w:val="0"/>
        <w:autoSpaceDE/>
        <w:autoSpaceDN/>
        <w:bidi w:val="0"/>
        <w:adjustRightInd/>
        <w:snapToGrid/>
        <w:spacing w:after="50" w:line="440" w:lineRule="exact"/>
        <w:ind w:firstLine="487" w:firstLineChars="203"/>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8"/>
          <w:highlight w:val="none"/>
        </w:rPr>
        <w:t>（3）本项目只接受投标人加密并递交至“政府采购云平台”的投标文件。</w:t>
      </w:r>
      <w:r>
        <w:rPr>
          <w:rFonts w:hint="eastAsia" w:ascii="宋体" w:hAnsi="宋体" w:eastAsia="宋体" w:cs="宋体"/>
          <w:b/>
          <w:color w:val="auto"/>
          <w:sz w:val="24"/>
          <w:szCs w:val="24"/>
          <w:highlight w:val="none"/>
        </w:rPr>
        <w:t xml:space="preserve">                                </w:t>
      </w:r>
    </w:p>
    <w:p>
      <w:pPr>
        <w:pStyle w:val="86"/>
        <w:keepNext w:val="0"/>
        <w:keepLines w:val="0"/>
        <w:pageBreakBefore w:val="0"/>
        <w:kinsoku/>
        <w:wordWrap/>
        <w:overflowPunct/>
        <w:topLinePunct w:val="0"/>
        <w:autoSpaceDE/>
        <w:autoSpaceDN/>
        <w:bidi w:val="0"/>
        <w:adjustRightInd/>
        <w:snapToGrid/>
        <w:spacing w:line="440" w:lineRule="exact"/>
        <w:ind w:firstLine="482"/>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九</w:t>
      </w:r>
      <w:r>
        <w:rPr>
          <w:rFonts w:hint="eastAsia" w:ascii="宋体" w:hAnsi="宋体" w:eastAsia="宋体" w:cs="宋体"/>
          <w:b/>
          <w:color w:val="auto"/>
          <w:sz w:val="24"/>
          <w:szCs w:val="24"/>
          <w:highlight w:val="none"/>
        </w:rPr>
        <w:t xml:space="preserve">、本投标邀请在四川政府采购网上以公告形式发布。 </w:t>
      </w:r>
    </w:p>
    <w:p>
      <w:pPr>
        <w:pStyle w:val="86"/>
        <w:keepNext w:val="0"/>
        <w:keepLines w:val="0"/>
        <w:pageBreakBefore w:val="0"/>
        <w:kinsoku/>
        <w:wordWrap/>
        <w:overflowPunct/>
        <w:topLinePunct w:val="0"/>
        <w:autoSpaceDE/>
        <w:autoSpaceDN/>
        <w:bidi w:val="0"/>
        <w:adjustRightInd/>
        <w:snapToGrid/>
        <w:spacing w:line="440" w:lineRule="exact"/>
        <w:ind w:firstLine="482"/>
        <w:jc w:val="left"/>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十、供应商信用担保融资：</w:t>
      </w:r>
    </w:p>
    <w:p>
      <w:pPr>
        <w:pStyle w:val="86"/>
        <w:spacing w:line="4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86"/>
        <w:spacing w:line="4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（具体内容详见招标文件附件“成财采〔2019〕17号”、“成财采发〔2020〕20号”）。</w:t>
      </w:r>
    </w:p>
    <w:p>
      <w:pPr>
        <w:pStyle w:val="86"/>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w:t>
      </w:r>
      <w:r>
        <w:rPr>
          <w:rFonts w:hint="eastAsia" w:ascii="宋体" w:hAnsi="宋体" w:eastAsia="宋体" w:cs="宋体"/>
          <w:b/>
          <w:color w:val="auto"/>
          <w:sz w:val="24"/>
          <w:szCs w:val="24"/>
          <w:highlight w:val="none"/>
          <w:lang w:val="en-US" w:eastAsia="zh-CN"/>
        </w:rPr>
        <w:t>一</w:t>
      </w:r>
      <w:r>
        <w:rPr>
          <w:rFonts w:hint="eastAsia" w:ascii="宋体" w:hAnsi="宋体" w:eastAsia="宋体" w:cs="宋体"/>
          <w:b/>
          <w:color w:val="auto"/>
          <w:sz w:val="24"/>
          <w:szCs w:val="24"/>
          <w:highlight w:val="none"/>
        </w:rPr>
        <w:t>、联系方式</w:t>
      </w:r>
    </w:p>
    <w:p>
      <w:pPr>
        <w:pStyle w:val="86"/>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采</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购</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人：</w:t>
      </w:r>
      <w:r>
        <w:rPr>
          <w:rFonts w:hint="eastAsia" w:ascii="宋体" w:hAnsi="宋体" w:eastAsia="宋体" w:cs="宋体"/>
          <w:color w:val="auto"/>
          <w:sz w:val="24"/>
          <w:szCs w:val="24"/>
          <w:highlight w:val="none"/>
          <w:lang w:val="en-US" w:eastAsia="zh-CN"/>
        </w:rPr>
        <w:t>成都市新津区公园城市建设局</w:t>
      </w:r>
    </w:p>
    <w:p>
      <w:pPr>
        <w:pStyle w:val="86"/>
        <w:spacing w:line="440" w:lineRule="exact"/>
        <w:ind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通讯地址：</w:t>
      </w:r>
      <w:r>
        <w:rPr>
          <w:rFonts w:hint="eastAsia" w:ascii="新宋体" w:hAnsi="新宋体" w:eastAsia="新宋体" w:cs="新宋体"/>
          <w:bCs/>
          <w:color w:val="auto"/>
          <w:sz w:val="24"/>
        </w:rPr>
        <w:t>成都市新津区迎宾大道234号</w:t>
      </w:r>
      <w:bookmarkStart w:id="1746" w:name="_GoBack"/>
      <w:bookmarkEnd w:id="1746"/>
    </w:p>
    <w:p>
      <w:pPr>
        <w:pStyle w:val="86"/>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人：</w:t>
      </w:r>
      <w:r>
        <w:rPr>
          <w:rFonts w:hint="eastAsia" w:hAnsi="宋体" w:cs="宋体"/>
          <w:color w:val="auto"/>
          <w:sz w:val="24"/>
          <w:szCs w:val="24"/>
          <w:highlight w:val="none"/>
          <w:lang w:val="en-US" w:eastAsia="zh-CN"/>
        </w:rPr>
        <w:t>罗老师</w:t>
      </w:r>
      <w:r>
        <w:rPr>
          <w:rFonts w:hint="eastAsia" w:ascii="宋体" w:hAnsi="宋体" w:eastAsia="宋体" w:cs="宋体"/>
          <w:color w:val="auto"/>
          <w:sz w:val="24"/>
          <w:szCs w:val="24"/>
          <w:highlight w:val="none"/>
        </w:rPr>
        <w:t xml:space="preserve"> </w:t>
      </w:r>
    </w:p>
    <w:p>
      <w:pPr>
        <w:pStyle w:val="86"/>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宋体" w:hAnsi="宋体" w:eastAsia="宋体" w:cs="宋体"/>
          <w:b/>
          <w:color w:val="auto"/>
          <w:sz w:val="24"/>
          <w:szCs w:val="24"/>
          <w:highlight w:val="none"/>
          <w:lang w:val="en-US" w:eastAsia="zh-CN"/>
        </w:rPr>
      </w:pPr>
      <w:r>
        <w:rPr>
          <w:rFonts w:hint="eastAsia" w:ascii="宋体" w:hAnsi="宋体" w:eastAsia="宋体" w:cs="宋体"/>
          <w:color w:val="auto"/>
          <w:sz w:val="24"/>
          <w:szCs w:val="24"/>
          <w:highlight w:val="none"/>
        </w:rPr>
        <w:t>联系电话：</w:t>
      </w:r>
      <w:r>
        <w:rPr>
          <w:rFonts w:hint="eastAsia" w:hAnsi="宋体" w:cs="宋体"/>
          <w:color w:val="auto"/>
          <w:sz w:val="24"/>
          <w:szCs w:val="24"/>
          <w:highlight w:val="none"/>
          <w:lang w:val="en-US" w:eastAsia="zh-CN"/>
        </w:rPr>
        <w:t>82518637</w:t>
      </w:r>
    </w:p>
    <w:p>
      <w:pPr>
        <w:pStyle w:val="86"/>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采购代理机构：四川重德招标有限责任公司 </w:t>
      </w:r>
    </w:p>
    <w:p>
      <w:pPr>
        <w:pStyle w:val="86"/>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开户银行：中国民生银行成都分行</w:t>
      </w:r>
    </w:p>
    <w:p>
      <w:pPr>
        <w:pStyle w:val="86"/>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银行账号：696227043</w:t>
      </w:r>
    </w:p>
    <w:p>
      <w:pPr>
        <w:pStyle w:val="86"/>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通讯地址：成都市高新区天府三街69号新希望国际B座</w:t>
      </w:r>
      <w:r>
        <w:rPr>
          <w:rFonts w:hint="eastAsia" w:ascii="宋体" w:hAnsi="宋体" w:eastAsia="宋体" w:cs="宋体"/>
          <w:color w:val="auto"/>
          <w:sz w:val="24"/>
          <w:szCs w:val="24"/>
          <w:highlight w:val="none"/>
          <w:lang w:val="en-US" w:eastAsia="zh-CN"/>
        </w:rPr>
        <w:t>1栋2</w:t>
      </w:r>
      <w:r>
        <w:rPr>
          <w:rFonts w:hint="eastAsia"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楼210</w:t>
      </w:r>
      <w:r>
        <w:rPr>
          <w:rFonts w:hint="eastAsia"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-2109</w:t>
      </w:r>
    </w:p>
    <w:p>
      <w:pPr>
        <w:pStyle w:val="86"/>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项目询问：</w:t>
      </w:r>
      <w:r>
        <w:rPr>
          <w:rFonts w:hint="eastAsia" w:hAnsi="宋体" w:eastAsia="宋体" w:cs="宋体"/>
          <w:color w:val="auto"/>
          <w:sz w:val="24"/>
          <w:szCs w:val="24"/>
          <w:highlight w:val="none"/>
          <w:lang w:val="en-US" w:eastAsia="zh-CN"/>
        </w:rPr>
        <w:t>朱</w:t>
      </w:r>
      <w:r>
        <w:rPr>
          <w:rFonts w:hint="eastAsia" w:ascii="宋体" w:hAnsi="宋体" w:eastAsia="宋体" w:cs="宋体"/>
          <w:color w:val="auto"/>
          <w:sz w:val="24"/>
          <w:szCs w:val="24"/>
          <w:highlight w:val="none"/>
        </w:rPr>
        <w:t>女士</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联系电话：028-</w:t>
      </w:r>
      <w:r>
        <w:rPr>
          <w:rFonts w:hint="eastAsia" w:ascii="宋体" w:hAnsi="宋体" w:eastAsia="宋体" w:cs="宋体"/>
          <w:color w:val="auto"/>
          <w:sz w:val="24"/>
          <w:szCs w:val="24"/>
          <w:highlight w:val="none"/>
          <w:lang w:val="en-US" w:eastAsia="zh-CN"/>
        </w:rPr>
        <w:t>86045446、81144469</w:t>
      </w:r>
      <w:r>
        <w:rPr>
          <w:rFonts w:hint="eastAsia" w:ascii="宋体" w:hAnsi="宋体" w:eastAsia="宋体" w:cs="宋体"/>
          <w:color w:val="auto"/>
          <w:sz w:val="24"/>
          <w:szCs w:val="24"/>
          <w:highlight w:val="none"/>
        </w:rPr>
        <w:t>—</w:t>
      </w:r>
      <w:r>
        <w:rPr>
          <w:rFonts w:hint="eastAsia" w:hAnsi="宋体" w:eastAsia="宋体" w:cs="宋体"/>
          <w:color w:val="auto"/>
          <w:sz w:val="24"/>
          <w:szCs w:val="24"/>
          <w:highlight w:val="none"/>
          <w:lang w:val="en-US" w:eastAsia="zh-CN"/>
        </w:rPr>
        <w:t>8009</w:t>
      </w:r>
    </w:p>
    <w:p>
      <w:pPr>
        <w:pStyle w:val="86"/>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标书售卖：林女士；</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028-</w:t>
      </w:r>
      <w:r>
        <w:rPr>
          <w:rFonts w:hint="eastAsia" w:ascii="宋体" w:hAnsi="宋体" w:eastAsia="宋体" w:cs="宋体"/>
          <w:color w:val="auto"/>
          <w:sz w:val="24"/>
          <w:szCs w:val="24"/>
          <w:highlight w:val="none"/>
          <w:lang w:val="en-US" w:eastAsia="zh-CN"/>
        </w:rPr>
        <w:t>86045446、81144487、81144458、81144469</w:t>
      </w:r>
    </w:p>
    <w:p>
      <w:pPr>
        <w:pStyle w:val="86"/>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电子邮件：</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"mailto:2433209952@qq.com" </w:instrText>
      </w:r>
      <w:r>
        <w:rPr>
          <w:rFonts w:hint="eastAsia" w:ascii="宋体" w:hAnsi="宋体" w:eastAsia="宋体" w:cs="宋体"/>
          <w:color w:val="auto"/>
          <w:sz w:val="24"/>
          <w:szCs w:val="24"/>
          <w:highlight w:val="none"/>
        </w:rPr>
        <w:fldChar w:fldCharType="separate"/>
      </w:r>
      <w:r>
        <w:rPr>
          <w:rStyle w:val="43"/>
          <w:rFonts w:hint="eastAsia" w:ascii="宋体" w:hAnsi="宋体" w:eastAsia="宋体" w:cs="宋体"/>
          <w:color w:val="auto"/>
          <w:sz w:val="24"/>
          <w:szCs w:val="24"/>
          <w:highlight w:val="none"/>
        </w:rPr>
        <w:t>2433209952@qq.com</w:t>
      </w:r>
      <w:r>
        <w:rPr>
          <w:rFonts w:hint="eastAsia" w:ascii="宋体" w:hAnsi="宋体" w:eastAsia="宋体" w:cs="宋体"/>
          <w:color w:val="auto"/>
          <w:sz w:val="24"/>
          <w:szCs w:val="24"/>
          <w:highlight w:val="none"/>
        </w:rPr>
        <w:fldChar w:fldCharType="end"/>
      </w:r>
    </w:p>
    <w:p>
      <w:pPr>
        <w:pStyle w:val="3"/>
        <w:numPr>
          <w:ilvl w:val="0"/>
          <w:numId w:val="0"/>
        </w:numPr>
        <w:jc w:val="center"/>
        <w:outlineLvl w:val="0"/>
        <w:rPr>
          <w:rFonts w:hint="eastAsia" w:ascii="宋体" w:hAnsi="宋体" w:eastAsia="宋体" w:cs="宋体"/>
          <w:b/>
          <w:bCs w:val="0"/>
          <w:color w:val="auto"/>
          <w:highlight w:val="none"/>
        </w:rPr>
      </w:pPr>
      <w:bookmarkStart w:id="31" w:name="_Toc23936"/>
      <w:r>
        <w:rPr>
          <w:rFonts w:hint="eastAsia" w:hAnsi="宋体" w:eastAsia="宋体" w:cs="宋体"/>
          <w:b/>
          <w:bCs w:val="0"/>
          <w:color w:val="auto"/>
          <w:highlight w:val="none"/>
          <w:lang w:val="en-US" w:eastAsia="zh-CN"/>
        </w:rPr>
        <w:t xml:space="preserve">第二章 </w:t>
      </w:r>
      <w:r>
        <w:rPr>
          <w:rFonts w:hint="eastAsia" w:ascii="宋体" w:hAnsi="宋体" w:eastAsia="宋体" w:cs="宋体"/>
          <w:b/>
          <w:bCs w:val="0"/>
          <w:color w:val="auto"/>
          <w:highlight w:val="none"/>
        </w:rPr>
        <w:t>投标人须知</w:t>
      </w:r>
      <w:bookmarkEnd w:id="26"/>
      <w:bookmarkEnd w:id="27"/>
      <w:bookmarkEnd w:id="28"/>
      <w:bookmarkEnd w:id="29"/>
      <w:bookmarkEnd w:id="30"/>
      <w:bookmarkEnd w:id="31"/>
      <w:bookmarkStart w:id="32" w:name="_Toc13701"/>
    </w:p>
    <w:p>
      <w:pPr>
        <w:pStyle w:val="4"/>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highlight w:val="none"/>
        </w:rPr>
      </w:pPr>
      <w:bookmarkStart w:id="33" w:name="_Toc29563_WPSOffice_Level2"/>
      <w:bookmarkStart w:id="34" w:name="_Toc31082"/>
      <w:bookmarkStart w:id="35" w:name="_Toc9716"/>
      <w:bookmarkStart w:id="36" w:name="_Toc6601"/>
      <w:bookmarkStart w:id="37" w:name="_Toc23947"/>
      <w:bookmarkStart w:id="38" w:name="_Toc4193"/>
      <w:bookmarkStart w:id="39" w:name="_Toc26262"/>
      <w:bookmarkStart w:id="40" w:name="_Toc10287"/>
      <w:r>
        <w:rPr>
          <w:rFonts w:hint="eastAsia" w:ascii="宋体" w:hAnsi="宋体" w:eastAsia="宋体" w:cs="宋体"/>
          <w:color w:val="auto"/>
          <w:highlight w:val="none"/>
        </w:rPr>
        <w:t>一、投标人须知前附表</w:t>
      </w:r>
      <w:bookmarkEnd w:id="33"/>
      <w:bookmarkEnd w:id="34"/>
      <w:bookmarkEnd w:id="35"/>
      <w:bookmarkEnd w:id="36"/>
      <w:bookmarkEnd w:id="37"/>
      <w:bookmarkEnd w:id="38"/>
      <w:bookmarkEnd w:id="39"/>
      <w:bookmarkEnd w:id="40"/>
    </w:p>
    <w:tbl>
      <w:tblPr>
        <w:tblStyle w:val="34"/>
        <w:tblW w:w="854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75"/>
        <w:gridCol w:w="1693"/>
        <w:gridCol w:w="627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1" w:hRule="exact"/>
          <w:tblHeader/>
          <w:jc w:val="center"/>
        </w:trPr>
        <w:tc>
          <w:tcPr>
            <w:tcW w:w="575" w:type="dxa"/>
            <w:tcBorders>
              <w:top w:val="single" w:color="auto" w:sz="12" w:space="0"/>
            </w:tcBorders>
            <w:noWrap w:val="0"/>
            <w:vAlign w:val="center"/>
          </w:tcPr>
          <w:p>
            <w:pPr>
              <w:pStyle w:val="77"/>
              <w:ind w:left="9"/>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xml:space="preserve">序号 </w:t>
            </w:r>
          </w:p>
        </w:tc>
        <w:tc>
          <w:tcPr>
            <w:tcW w:w="1693" w:type="dxa"/>
            <w:tcBorders>
              <w:top w:val="single" w:color="auto" w:sz="12" w:space="0"/>
            </w:tcBorders>
            <w:noWrap w:val="0"/>
            <w:vAlign w:val="center"/>
          </w:tcPr>
          <w:p>
            <w:pPr>
              <w:pStyle w:val="77"/>
              <w:ind w:left="38"/>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xml:space="preserve">应知事项 </w:t>
            </w:r>
          </w:p>
        </w:tc>
        <w:tc>
          <w:tcPr>
            <w:tcW w:w="6279" w:type="dxa"/>
            <w:tcBorders>
              <w:top w:val="single" w:color="auto" w:sz="12" w:space="0"/>
            </w:tcBorders>
            <w:noWrap w:val="0"/>
            <w:vAlign w:val="center"/>
          </w:tcPr>
          <w:p>
            <w:pPr>
              <w:pStyle w:val="77"/>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说明和要求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09" w:hRule="exact"/>
          <w:jc w:val="center"/>
        </w:trPr>
        <w:tc>
          <w:tcPr>
            <w:tcW w:w="575" w:type="dxa"/>
            <w:vMerge w:val="restart"/>
            <w:noWrap w:val="0"/>
            <w:vAlign w:val="center"/>
          </w:tcPr>
          <w:p>
            <w:pPr>
              <w:pStyle w:val="77"/>
              <w:ind w:right="23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93" w:type="dxa"/>
            <w:noWrap w:val="0"/>
            <w:vAlign w:val="center"/>
          </w:tcPr>
          <w:p>
            <w:pPr>
              <w:pStyle w:val="77"/>
              <w:ind w:left="38"/>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采购预算</w:t>
            </w:r>
          </w:p>
          <w:p>
            <w:pPr>
              <w:pStyle w:val="77"/>
              <w:ind w:left="38"/>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（实质性要求）</w:t>
            </w:r>
          </w:p>
        </w:tc>
        <w:tc>
          <w:tcPr>
            <w:tcW w:w="6279" w:type="dxa"/>
            <w:noWrap w:val="0"/>
            <w:vAlign w:val="center"/>
          </w:tcPr>
          <w:p>
            <w:pPr>
              <w:spacing w:line="340" w:lineRule="exact"/>
              <w:ind w:left="207" w:leftChars="61" w:right="170" w:rightChars="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采购预算：</w:t>
            </w:r>
            <w:r>
              <w:rPr>
                <w:rFonts w:hint="eastAsia" w:hAnsi="宋体" w:eastAsia="宋体" w:cs="宋体"/>
                <w:color w:val="auto"/>
                <w:sz w:val="21"/>
                <w:szCs w:val="21"/>
                <w:highlight w:val="none"/>
                <w:lang w:val="en-US" w:eastAsia="zh-CN"/>
              </w:rPr>
              <w:t>514</w:t>
            </w:r>
            <w:r>
              <w:rPr>
                <w:rFonts w:hint="eastAsia" w:ascii="宋体" w:hAnsi="宋体" w:eastAsia="宋体" w:cs="宋体"/>
                <w:color w:val="auto"/>
                <w:sz w:val="21"/>
                <w:szCs w:val="21"/>
                <w:highlight w:val="none"/>
                <w:lang w:val="zh-CN"/>
              </w:rPr>
              <w:t>万元；</w:t>
            </w:r>
          </w:p>
          <w:p>
            <w:pPr>
              <w:spacing w:line="340" w:lineRule="exact"/>
              <w:ind w:left="207" w:leftChars="61" w:right="170" w:rightChars="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超过采购预算的</w:t>
            </w:r>
            <w:r>
              <w:rPr>
                <w:rFonts w:hint="eastAsia" w:ascii="宋体" w:hAnsi="宋体" w:eastAsia="宋体" w:cs="宋体"/>
                <w:color w:val="auto"/>
                <w:sz w:val="21"/>
                <w:szCs w:val="21"/>
                <w:highlight w:val="none"/>
                <w:lang w:val="en-US" w:eastAsia="zh-CN"/>
              </w:rPr>
              <w:t>报价视</w:t>
            </w:r>
            <w:r>
              <w:rPr>
                <w:rFonts w:hint="eastAsia" w:ascii="宋体" w:hAnsi="宋体" w:eastAsia="宋体" w:cs="宋体"/>
                <w:color w:val="auto"/>
                <w:sz w:val="21"/>
                <w:szCs w:val="21"/>
                <w:highlight w:val="none"/>
                <w:lang w:val="zh-CN"/>
              </w:rPr>
              <w:t>为无效投标。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53" w:hRule="exact"/>
          <w:jc w:val="center"/>
        </w:trPr>
        <w:tc>
          <w:tcPr>
            <w:tcW w:w="575" w:type="dxa"/>
            <w:vMerge w:val="continue"/>
            <w:noWrap w:val="0"/>
            <w:vAlign w:val="center"/>
          </w:tcPr>
          <w:p>
            <w:pPr>
              <w:pStyle w:val="77"/>
              <w:ind w:right="230"/>
              <w:jc w:val="center"/>
              <w:rPr>
                <w:rFonts w:hint="eastAsia" w:ascii="宋体" w:hAnsi="宋体" w:eastAsia="宋体" w:cs="宋体"/>
                <w:color w:val="auto"/>
                <w:sz w:val="21"/>
                <w:szCs w:val="21"/>
                <w:highlight w:val="none"/>
                <w:lang w:val="en-US" w:eastAsia="zh-CN"/>
              </w:rPr>
            </w:pPr>
          </w:p>
        </w:tc>
        <w:tc>
          <w:tcPr>
            <w:tcW w:w="1693" w:type="dxa"/>
            <w:noWrap w:val="0"/>
            <w:vAlign w:val="center"/>
          </w:tcPr>
          <w:p>
            <w:pPr>
              <w:pStyle w:val="77"/>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最高限价</w:t>
            </w:r>
          </w:p>
          <w:p>
            <w:pPr>
              <w:pStyle w:val="77"/>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（实质性要求）</w:t>
            </w:r>
          </w:p>
        </w:tc>
        <w:tc>
          <w:tcPr>
            <w:tcW w:w="6279" w:type="dxa"/>
            <w:noWrap w:val="0"/>
            <w:vAlign w:val="center"/>
          </w:tcPr>
          <w:p>
            <w:pPr>
              <w:spacing w:line="340" w:lineRule="exact"/>
              <w:ind w:left="207" w:leftChars="61" w:right="170" w:rightChar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最高限价</w:t>
            </w: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lang w:val="en-US" w:eastAsia="zh-CN"/>
              </w:rPr>
              <w:t>514</w:t>
            </w:r>
            <w:r>
              <w:rPr>
                <w:rFonts w:hint="eastAsia" w:ascii="宋体" w:hAnsi="宋体" w:eastAsia="宋体" w:cs="宋体"/>
                <w:color w:val="auto"/>
                <w:sz w:val="21"/>
                <w:szCs w:val="21"/>
                <w:highlight w:val="none"/>
                <w:lang w:val="zh-CN"/>
              </w:rPr>
              <w:t>万元</w:t>
            </w:r>
            <w:r>
              <w:rPr>
                <w:rFonts w:hint="eastAsia" w:ascii="宋体" w:hAnsi="宋体" w:eastAsia="宋体" w:cs="宋体"/>
                <w:color w:val="auto"/>
                <w:sz w:val="21"/>
                <w:szCs w:val="21"/>
                <w:highlight w:val="none"/>
              </w:rPr>
              <w:t>；</w:t>
            </w:r>
          </w:p>
          <w:p>
            <w:pPr>
              <w:spacing w:line="340" w:lineRule="exact"/>
              <w:ind w:left="207" w:leftChars="61" w:right="170" w:rightChars="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超过最高限价的</w:t>
            </w:r>
            <w:r>
              <w:rPr>
                <w:rFonts w:hint="eastAsia" w:ascii="宋体" w:hAnsi="宋体" w:eastAsia="宋体" w:cs="宋体"/>
                <w:color w:val="auto"/>
                <w:sz w:val="21"/>
                <w:szCs w:val="21"/>
                <w:highlight w:val="none"/>
                <w:lang w:val="en-US" w:eastAsia="zh-CN"/>
              </w:rPr>
              <w:t>报价视</w:t>
            </w:r>
            <w:r>
              <w:rPr>
                <w:rFonts w:hint="eastAsia" w:ascii="宋体" w:hAnsi="宋体" w:eastAsia="宋体" w:cs="宋体"/>
                <w:color w:val="auto"/>
                <w:sz w:val="21"/>
                <w:szCs w:val="21"/>
                <w:highlight w:val="none"/>
                <w:lang w:val="zh-CN"/>
              </w:rPr>
              <w:t>为无效投标。</w:t>
            </w:r>
          </w:p>
          <w:p>
            <w:pPr>
              <w:spacing w:line="340" w:lineRule="exact"/>
              <w:ind w:left="207" w:leftChars="61" w:right="170" w:rightChars="50" w:firstLine="0" w:firstLineChars="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采购项目分包采购的，在采购金额未超过采购项目总采购预算前提下，采购人可以在评标过程中临时调剂各包采购限价（预算金额不得调整；财政预算明确到各包的不得调整），临时调剂的内容，在评标报告中记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225" w:hRule="exact"/>
          <w:jc w:val="center"/>
        </w:trPr>
        <w:tc>
          <w:tcPr>
            <w:tcW w:w="575" w:type="dxa"/>
            <w:noWrap w:val="0"/>
            <w:vAlign w:val="center"/>
          </w:tcPr>
          <w:p>
            <w:pPr>
              <w:pStyle w:val="77"/>
              <w:ind w:right="23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93" w:type="dxa"/>
            <w:noWrap w:val="0"/>
            <w:vAlign w:val="center"/>
          </w:tcPr>
          <w:p>
            <w:pPr>
              <w:pStyle w:val="77"/>
              <w:ind w:left="38"/>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不正当</w:t>
            </w:r>
          </w:p>
          <w:p>
            <w:pPr>
              <w:pStyle w:val="77"/>
              <w:ind w:left="38"/>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竞争预防措施</w:t>
            </w:r>
          </w:p>
          <w:p>
            <w:pPr>
              <w:pStyle w:val="77"/>
              <w:ind w:left="38" w:leftChars="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（实质性要求</w:t>
            </w:r>
            <w:r>
              <w:rPr>
                <w:rFonts w:hint="eastAsia" w:ascii="宋体" w:hAnsi="宋体" w:eastAsia="宋体" w:cs="宋体"/>
                <w:color w:val="auto"/>
                <w:sz w:val="21"/>
                <w:szCs w:val="21"/>
                <w:highlight w:val="none"/>
              </w:rPr>
              <w:t>）</w:t>
            </w:r>
          </w:p>
        </w:tc>
        <w:tc>
          <w:tcPr>
            <w:tcW w:w="6279" w:type="dxa"/>
            <w:noWrap w:val="0"/>
            <w:vAlign w:val="center"/>
          </w:tcPr>
          <w:p>
            <w:pPr>
              <w:spacing w:line="340" w:lineRule="exact"/>
              <w:ind w:left="207" w:leftChars="61" w:right="170" w:rightChars="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评标委员会认为投标人的报价明显低于其他通过符合性审查投标人的报价，有可能影响产品质量或者不能诚信履约的，应当要求其在评标现场合理的时间内</w:t>
            </w:r>
            <w:r>
              <w:rPr>
                <w:rFonts w:hint="eastAsia" w:ascii="宋体" w:hAnsi="宋体" w:eastAsia="宋体" w:cs="宋体"/>
                <w:color w:val="auto"/>
                <w:sz w:val="21"/>
                <w:szCs w:val="21"/>
                <w:highlight w:val="none"/>
                <w:lang w:val="en-US" w:eastAsia="zh-CN"/>
              </w:rPr>
              <w:t>一次性</w:t>
            </w:r>
            <w:r>
              <w:rPr>
                <w:rFonts w:hint="eastAsia" w:ascii="宋体" w:hAnsi="宋体" w:eastAsia="宋体" w:cs="宋体"/>
                <w:color w:val="auto"/>
                <w:sz w:val="21"/>
                <w:szCs w:val="21"/>
                <w:highlight w:val="none"/>
                <w:lang w:val="zh-CN"/>
              </w:rPr>
              <w:t>提供书面说明，必要时提交相关证明材料；投标人不能证明其报价合理性的，评标委员会应当将其作为无效投标处理。</w:t>
            </w:r>
          </w:p>
          <w:p>
            <w:pPr>
              <w:spacing w:line="340" w:lineRule="exact"/>
              <w:ind w:left="207" w:leftChars="61" w:right="170" w:rightChars="50"/>
              <w:rPr>
                <w:rFonts w:hint="eastAsia" w:ascii="宋体" w:hAnsi="宋体" w:eastAsia="宋体" w:cs="宋体"/>
                <w:color w:val="auto"/>
                <w:highlight w:val="none"/>
              </w:rPr>
            </w:pPr>
            <w:r>
              <w:rPr>
                <w:rFonts w:hint="eastAsia" w:ascii="宋体" w:hAnsi="宋体" w:eastAsia="宋体" w:cs="宋体"/>
                <w:b/>
                <w:bCs/>
                <w:color w:val="auto"/>
                <w:sz w:val="21"/>
                <w:szCs w:val="21"/>
                <w:highlight w:val="none"/>
                <w:lang w:val="zh-CN"/>
              </w:rPr>
              <w:t>注：投标人提交的书面说明、相关证明材料（如涉及），应当加盖投标人（法定名称）电子签章，在评标委员会要求的时间内</w:t>
            </w:r>
            <w:r>
              <w:rPr>
                <w:rFonts w:hint="eastAsia" w:ascii="宋体" w:hAnsi="宋体" w:eastAsia="宋体" w:cs="宋体"/>
                <w:b/>
                <w:bCs/>
                <w:color w:val="auto"/>
                <w:sz w:val="21"/>
                <w:szCs w:val="21"/>
                <w:highlight w:val="none"/>
                <w:lang w:val="en-US" w:eastAsia="zh-CN"/>
              </w:rPr>
              <w:t>一次性</w:t>
            </w:r>
            <w:r>
              <w:rPr>
                <w:rFonts w:hint="eastAsia" w:ascii="宋体" w:hAnsi="宋体" w:eastAsia="宋体" w:cs="宋体"/>
                <w:b/>
                <w:bCs/>
                <w:color w:val="auto"/>
                <w:sz w:val="21"/>
                <w:szCs w:val="21"/>
                <w:highlight w:val="none"/>
                <w:lang w:val="zh-CN"/>
              </w:rPr>
              <w:t>通过政府采购云平台进行递交，否则无效（给予供应商澄清、说明的时间不得少于30分钟，供应商已明确表示澄清、说明完毕的除外）。如因系统故障或其他不可抗力等因素，导致系统无法使用的，由投标人按评标委员会的要求进行澄清或者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exact"/>
          <w:jc w:val="center"/>
        </w:trPr>
        <w:tc>
          <w:tcPr>
            <w:tcW w:w="575" w:type="dxa"/>
            <w:noWrap w:val="0"/>
            <w:vAlign w:val="center"/>
          </w:tcPr>
          <w:p>
            <w:pPr>
              <w:pStyle w:val="77"/>
              <w:ind w:right="23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93" w:type="dxa"/>
            <w:noWrap w:val="0"/>
            <w:vAlign w:val="center"/>
          </w:tcPr>
          <w:p>
            <w:pPr>
              <w:pStyle w:val="77"/>
              <w:ind w:left="9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投标</w:t>
            </w:r>
            <w:r>
              <w:rPr>
                <w:rFonts w:hint="eastAsia" w:ascii="宋体" w:hAnsi="宋体" w:eastAsia="宋体" w:cs="宋体"/>
                <w:color w:val="auto"/>
                <w:sz w:val="21"/>
                <w:szCs w:val="21"/>
                <w:highlight w:val="none"/>
              </w:rPr>
              <w:t>有效期</w:t>
            </w:r>
          </w:p>
          <w:p>
            <w:pPr>
              <w:pStyle w:val="77"/>
              <w:ind w:left="96"/>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zh-CN"/>
              </w:rPr>
              <w:t>（</w:t>
            </w:r>
            <w:r>
              <w:rPr>
                <w:rFonts w:hint="eastAsia" w:ascii="宋体" w:hAnsi="宋体" w:eastAsia="宋体" w:cs="宋体"/>
                <w:b/>
                <w:bCs/>
                <w:color w:val="auto"/>
                <w:sz w:val="21"/>
                <w:szCs w:val="21"/>
                <w:highlight w:val="none"/>
              </w:rPr>
              <w:t>实质性要求</w:t>
            </w:r>
            <w:r>
              <w:rPr>
                <w:rFonts w:hint="eastAsia" w:ascii="宋体" w:hAnsi="宋体" w:eastAsia="宋体" w:cs="宋体"/>
                <w:b/>
                <w:bCs/>
                <w:color w:val="auto"/>
                <w:sz w:val="21"/>
                <w:szCs w:val="21"/>
                <w:highlight w:val="none"/>
                <w:lang w:val="zh-CN"/>
              </w:rPr>
              <w:t>）</w:t>
            </w:r>
          </w:p>
        </w:tc>
        <w:tc>
          <w:tcPr>
            <w:tcW w:w="6279" w:type="dxa"/>
            <w:noWrap w:val="0"/>
            <w:vAlign w:val="center"/>
          </w:tcPr>
          <w:p>
            <w:pPr>
              <w:pStyle w:val="77"/>
              <w:ind w:left="207" w:leftChars="61" w:right="23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投标截止时间届满后</w:t>
            </w:r>
            <w:r>
              <w:rPr>
                <w:rFonts w:hint="eastAsia" w:ascii="宋体" w:hAnsi="宋体" w:eastAsia="宋体" w:cs="宋体"/>
                <w:b/>
                <w:bCs/>
                <w:color w:val="auto"/>
                <w:sz w:val="21"/>
                <w:szCs w:val="21"/>
                <w:highlight w:val="none"/>
              </w:rPr>
              <w:t>90</w:t>
            </w:r>
            <w:r>
              <w:rPr>
                <w:rFonts w:hint="eastAsia" w:ascii="宋体" w:hAnsi="宋体" w:eastAsia="宋体" w:cs="宋体"/>
                <w:color w:val="auto"/>
                <w:sz w:val="21"/>
                <w:szCs w:val="21"/>
                <w:highlight w:val="none"/>
              </w:rPr>
              <w:t>天（投标有效期从递交投标文件截止之日起算，有效期短于该规定期限的投标无效）。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7" w:hRule="exact"/>
          <w:jc w:val="center"/>
        </w:trPr>
        <w:tc>
          <w:tcPr>
            <w:tcW w:w="575" w:type="dxa"/>
            <w:noWrap w:val="0"/>
            <w:vAlign w:val="center"/>
          </w:tcPr>
          <w:p>
            <w:pPr>
              <w:pStyle w:val="77"/>
              <w:ind w:right="230"/>
              <w:jc w:val="center"/>
              <w:rPr>
                <w:rFonts w:hint="default" w:ascii="宋体" w:hAnsi="宋体" w:eastAsia="宋体" w:cs="宋体"/>
                <w:color w:val="auto"/>
                <w:sz w:val="21"/>
                <w:szCs w:val="21"/>
                <w:highlight w:val="none"/>
                <w:lang w:val="en-US" w:eastAsia="zh-CN"/>
              </w:rPr>
            </w:pPr>
            <w:r>
              <w:rPr>
                <w:rFonts w:hint="eastAsia" w:eastAsia="宋体" w:cs="宋体"/>
                <w:color w:val="auto"/>
                <w:sz w:val="21"/>
                <w:szCs w:val="21"/>
                <w:highlight w:val="none"/>
                <w:lang w:val="en-US" w:eastAsia="zh-CN"/>
              </w:rPr>
              <w:t>4</w:t>
            </w:r>
          </w:p>
        </w:tc>
        <w:tc>
          <w:tcPr>
            <w:tcW w:w="1693" w:type="dxa"/>
            <w:noWrap w:val="0"/>
            <w:vAlign w:val="center"/>
          </w:tcPr>
          <w:p>
            <w:pPr>
              <w:pStyle w:val="77"/>
              <w:ind w:left="96"/>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联合体</w:t>
            </w:r>
          </w:p>
          <w:p>
            <w:pPr>
              <w:pStyle w:val="77"/>
              <w:ind w:left="96"/>
              <w:jc w:val="center"/>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zh-CN"/>
              </w:rPr>
              <w:t>（</w:t>
            </w:r>
            <w:r>
              <w:rPr>
                <w:rFonts w:hint="eastAsia" w:ascii="宋体" w:hAnsi="宋体" w:eastAsia="宋体" w:cs="宋体"/>
                <w:b/>
                <w:bCs/>
                <w:color w:val="auto"/>
                <w:sz w:val="21"/>
                <w:szCs w:val="21"/>
                <w:highlight w:val="none"/>
              </w:rPr>
              <w:t>实质性要求</w:t>
            </w:r>
            <w:r>
              <w:rPr>
                <w:rFonts w:hint="eastAsia" w:ascii="宋体" w:hAnsi="宋体" w:eastAsia="宋体" w:cs="宋体"/>
                <w:b/>
                <w:bCs/>
                <w:color w:val="auto"/>
                <w:sz w:val="21"/>
                <w:szCs w:val="21"/>
                <w:highlight w:val="none"/>
                <w:lang w:val="zh-CN"/>
              </w:rPr>
              <w:t>）</w:t>
            </w:r>
          </w:p>
        </w:tc>
        <w:tc>
          <w:tcPr>
            <w:tcW w:w="6279" w:type="dxa"/>
            <w:noWrap w:val="0"/>
            <w:vAlign w:val="center"/>
          </w:tcPr>
          <w:p>
            <w:pPr>
              <w:pStyle w:val="77"/>
              <w:ind w:left="207" w:leftChars="61" w:right="230"/>
              <w:rPr>
                <w:rFonts w:hint="default" w:ascii="宋体" w:hAnsi="宋体" w:eastAsia="宋体" w:cs="宋体"/>
                <w:color w:val="auto"/>
                <w:sz w:val="21"/>
                <w:szCs w:val="21"/>
                <w:highlight w:val="none"/>
                <w:lang w:val="en-US" w:eastAsia="zh-CN"/>
              </w:rPr>
            </w:pPr>
            <w:r>
              <w:rPr>
                <w:rFonts w:hint="eastAsia" w:eastAsia="宋体" w:cs="宋体"/>
                <w:color w:val="auto"/>
                <w:sz w:val="21"/>
                <w:szCs w:val="21"/>
                <w:highlight w:val="none"/>
                <w:lang w:val="en-US" w:eastAsia="zh-CN"/>
              </w:rPr>
              <w:t>本项目不接受联合体参加投标。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236" w:hRule="exact"/>
          <w:jc w:val="center"/>
        </w:trPr>
        <w:tc>
          <w:tcPr>
            <w:tcW w:w="575" w:type="dxa"/>
            <w:noWrap w:val="0"/>
            <w:vAlign w:val="center"/>
          </w:tcPr>
          <w:p>
            <w:pPr>
              <w:pStyle w:val="77"/>
              <w:ind w:right="230" w:rightChars="0"/>
              <w:jc w:val="center"/>
              <w:rPr>
                <w:rFonts w:hint="eastAsia" w:ascii="宋体" w:hAnsi="宋体" w:eastAsia="宋体" w:cs="宋体"/>
                <w:color w:val="auto"/>
                <w:sz w:val="21"/>
                <w:szCs w:val="21"/>
                <w:highlight w:val="none"/>
                <w:lang w:val="en-US" w:eastAsia="zh-CN"/>
              </w:rPr>
            </w:pPr>
            <w:r>
              <w:rPr>
                <w:rFonts w:hint="eastAsia" w:eastAsia="宋体" w:cs="宋体"/>
                <w:color w:val="auto"/>
                <w:sz w:val="21"/>
                <w:szCs w:val="21"/>
                <w:highlight w:val="none"/>
                <w:lang w:val="en-US" w:eastAsia="zh-CN"/>
              </w:rPr>
              <w:t>5</w:t>
            </w:r>
          </w:p>
        </w:tc>
        <w:tc>
          <w:tcPr>
            <w:tcW w:w="1693" w:type="dxa"/>
            <w:noWrap w:val="0"/>
            <w:vAlign w:val="center"/>
          </w:tcPr>
          <w:p>
            <w:pPr>
              <w:pStyle w:val="77"/>
              <w:jc w:val="center"/>
              <w:rPr>
                <w:rFonts w:hint="default" w:ascii="宋体" w:hAnsi="宋体" w:eastAsia="宋体" w:cs="宋体"/>
                <w:b/>
                <w:bCs/>
                <w:color w:val="auto"/>
                <w:sz w:val="21"/>
                <w:szCs w:val="21"/>
                <w:highlight w:val="none"/>
                <w:lang w:val="en-US" w:eastAsia="zh-CN"/>
              </w:rPr>
            </w:pPr>
            <w:r>
              <w:rPr>
                <w:rFonts w:hint="eastAsia" w:eastAsia="宋体" w:cs="宋体"/>
                <w:b w:val="0"/>
                <w:bCs w:val="0"/>
                <w:color w:val="auto"/>
                <w:sz w:val="21"/>
                <w:szCs w:val="21"/>
                <w:highlight w:val="none"/>
                <w:lang w:val="en-US" w:eastAsia="zh-CN"/>
              </w:rPr>
              <w:t>促进中小企业发展政策</w:t>
            </w:r>
          </w:p>
        </w:tc>
        <w:tc>
          <w:tcPr>
            <w:tcW w:w="6279" w:type="dxa"/>
            <w:noWrap w:val="0"/>
            <w:vAlign w:val="center"/>
          </w:tcPr>
          <w:p>
            <w:pPr>
              <w:spacing w:line="340" w:lineRule="exact"/>
              <w:ind w:left="207" w:leftChars="61" w:right="170" w:rightChars="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小微企业（监狱企业、残疾人福利性单位视同小微企业）价格扣除</w:t>
            </w:r>
            <w:r>
              <w:rPr>
                <w:rFonts w:hint="eastAsia" w:ascii="宋体" w:hAnsi="宋体" w:eastAsia="宋体" w:cs="宋体"/>
                <w:color w:val="auto"/>
                <w:sz w:val="21"/>
                <w:szCs w:val="21"/>
                <w:highlight w:val="none"/>
                <w:lang w:val="zh-CN"/>
              </w:rPr>
              <w:t>：</w:t>
            </w:r>
          </w:p>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1</w:t>
            </w:r>
            <w:r>
              <w:rPr>
                <w:rFonts w:hint="eastAsia"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val="zh-CN" w:eastAsia="zh-CN"/>
              </w:rPr>
              <w:t>《政府采购促进中小企业发展管理办法》（财库[</w:t>
            </w:r>
            <w:r>
              <w:rPr>
                <w:rFonts w:hint="eastAsia" w:ascii="宋体" w:hAnsi="宋体" w:eastAsia="宋体" w:cs="宋体"/>
                <w:color w:val="auto"/>
                <w:sz w:val="21"/>
                <w:szCs w:val="21"/>
                <w:highlight w:val="none"/>
                <w:lang w:val="en-US" w:eastAsia="zh-CN"/>
              </w:rPr>
              <w:t>2020</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46</w:t>
            </w:r>
            <w:r>
              <w:rPr>
                <w:rFonts w:hint="eastAsia" w:ascii="宋体" w:hAnsi="宋体" w:eastAsia="宋体" w:cs="宋体"/>
                <w:color w:val="auto"/>
                <w:sz w:val="21"/>
                <w:szCs w:val="21"/>
                <w:highlight w:val="none"/>
                <w:lang w:val="zh-CN" w:eastAsia="zh-CN"/>
              </w:rPr>
              <w:t>号）规定：对于经主管预算单位统筹后未预留份额专门面向中小企业采购的项目，以及预留份额项目中的非预留部分采购包，对符合规定的小微企业报价给予10%的扣除，用扣除后的价格参加评审。</w:t>
            </w:r>
          </w:p>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2</w:t>
            </w:r>
            <w:r>
              <w:rPr>
                <w:rFonts w:hint="eastAsia"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zh-CN" w:eastAsia="zh-CN"/>
              </w:rPr>
              <w:t>接受大中型企业与小微企业组成联合体或者允许大中型企业向一家或者多家小微企业分包的采购项目，对于联合体协议或者分包意向协议约定小微企业的合同份额占到合同总金额 30%以上的，采购人、采购代理机构应当对联合体或者大中型企业的报价给予3%的扣除，用扣除后的价格参加评审。</w:t>
            </w:r>
          </w:p>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3</w:t>
            </w:r>
            <w:r>
              <w:rPr>
                <w:rFonts w:hint="eastAsia"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zh-CN" w:eastAsia="zh-CN"/>
              </w:rPr>
              <w:t>联合体各方均为小型、微型企业的，联合体视同为小型、微型企业享受规定的扶持政策。组成联合体的大中型企业和其他自然人、法人或者其他组织，与小型、微型企业之间不得存在投资关系。</w:t>
            </w:r>
          </w:p>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4</w:t>
            </w:r>
            <w:r>
              <w:rPr>
                <w:rFonts w:hint="eastAsia"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zh-CN" w:eastAsia="zh-CN"/>
              </w:rPr>
              <w:t>参加政府采购活动的残疾人福利性单位应当提供《残疾人福利性单位声明函》原件，未提供的，视为放弃享受小微企业价格扣除优惠政策。</w:t>
            </w:r>
          </w:p>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5</w:t>
            </w:r>
            <w:r>
              <w:rPr>
                <w:rFonts w:hint="eastAsia"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zh-CN" w:eastAsia="zh-CN"/>
              </w:rPr>
              <w:t>参加政府采购活动的监狱企业提供由省级以上监狱管理局、戒毒管理局(含新疆生产建设兵团)出具的属于监狱企业的证明文件，未提供的，视为放弃享受小微企业价格扣除优惠政策。</w:t>
            </w:r>
          </w:p>
          <w:p>
            <w:pPr>
              <w:spacing w:line="340" w:lineRule="exact"/>
              <w:ind w:left="207" w:leftChars="61" w:right="170" w:rightChars="50"/>
              <w:rPr>
                <w:rFonts w:hint="eastAsia" w:ascii="宋体" w:hAnsi="宋体" w:eastAsia="宋体" w:cs="宋体"/>
                <w:color w:val="auto"/>
                <w:highlight w:val="none"/>
                <w:lang w:val="zh-CN" w:eastAsia="zh-CN"/>
              </w:rPr>
            </w:pPr>
            <w:r>
              <w:rPr>
                <w:rFonts w:hint="eastAsia" w:ascii="宋体" w:hAnsi="宋体" w:eastAsia="宋体" w:cs="宋体"/>
                <w:color w:val="auto"/>
                <w:sz w:val="21"/>
                <w:szCs w:val="21"/>
                <w:highlight w:val="none"/>
                <w:lang w:val="zh-CN" w:eastAsia="zh-CN"/>
              </w:rPr>
              <w:t>6</w:t>
            </w:r>
            <w:r>
              <w:rPr>
                <w:rFonts w:hint="eastAsia"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zh-CN" w:eastAsia="zh-CN"/>
              </w:rPr>
              <w:t>符合中小企业划分标准的个体工商户，在政府采购活动中视同中小企业。</w:t>
            </w:r>
          </w:p>
          <w:p>
            <w:pPr>
              <w:spacing w:line="340" w:lineRule="exact"/>
              <w:ind w:left="207" w:leftChars="61" w:right="170" w:rightChars="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说明：</w:t>
            </w:r>
            <w:r>
              <w:rPr>
                <w:rFonts w:hint="eastAsia" w:ascii="宋体" w:hAnsi="宋体" w:eastAsia="宋体" w:cs="宋体"/>
                <w:color w:val="auto"/>
                <w:sz w:val="21"/>
                <w:szCs w:val="21"/>
                <w:highlight w:val="none"/>
                <w:lang w:val="zh-CN" w:eastAsia="zh-CN"/>
              </w:rPr>
              <w:t>本办法所称中小企业，是指在中华人民共和国境内依法设立，依据国务院批准的中小企业划分标准确定的中型企业、小型企业和微型企业，但与大企业的负责人为同一人，或者与大企业存在直接控股、管理关系的除外。 符合中小企业划分标准的个体工商户，在政府采购活动中视同中小企业。</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val="zh-CN" w:eastAsia="zh-CN"/>
              </w:rPr>
              <w:t>关于政府采购支持监狱企业发展有关问题的通知》财库〔2014〕68号</w:t>
            </w:r>
            <w:r>
              <w:rPr>
                <w:rFonts w:hint="eastAsia" w:ascii="宋体" w:hAnsi="宋体" w:eastAsia="宋体" w:cs="宋体"/>
                <w:color w:val="auto"/>
                <w:sz w:val="21"/>
                <w:szCs w:val="21"/>
                <w:highlight w:val="none"/>
                <w:lang w:val="en-US" w:eastAsia="zh-CN"/>
              </w:rPr>
              <w:t>相关规定：</w:t>
            </w:r>
            <w:r>
              <w:rPr>
                <w:rFonts w:hint="eastAsia" w:ascii="宋体" w:hAnsi="宋体" w:eastAsia="宋体" w:cs="宋体"/>
                <w:color w:val="auto"/>
                <w:sz w:val="21"/>
                <w:szCs w:val="21"/>
                <w:highlight w:val="none"/>
                <w:lang w:val="zh-CN" w:eastAsia="zh-CN"/>
              </w:rPr>
              <w:t>在政府采购活动中，监狱企业视同小型、微型企业，享受预留份额、评审中价格扣除等政府采购促进中小企业发展的政府采购政策。</w:t>
            </w:r>
            <w:r>
              <w:rPr>
                <w:rFonts w:hint="eastAsia" w:ascii="宋体" w:hAnsi="宋体" w:eastAsia="宋体" w:cs="宋体"/>
                <w:color w:val="auto"/>
                <w:sz w:val="21"/>
                <w:szCs w:val="21"/>
                <w:highlight w:val="none"/>
                <w:lang w:val="en-US" w:eastAsia="zh-CN"/>
              </w:rPr>
              <w:t>根据《关于促进残疾人就业政府采购政策的通知》财库〔2017〕141号相关规定：在政府采购活动中，残疾人福利性单位视同小型、微型企业，享受预留份额、评审中价格扣除等促进中小企业发展的政府采购政策。</w:t>
            </w:r>
          </w:p>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说明：同时满足以上一项或几项的，只作一次价格扣除。中小企业参加政府采购活动，应当出具《中小企业声明函》</w:t>
            </w:r>
            <w:r>
              <w:rPr>
                <w:rFonts w:hint="eastAsia" w:ascii="宋体" w:hAnsi="宋体" w:eastAsia="宋体" w:cs="宋体"/>
                <w:color w:val="auto"/>
                <w:sz w:val="21"/>
                <w:szCs w:val="21"/>
                <w:highlight w:val="none"/>
                <w:lang w:val="en-US" w:eastAsia="zh-CN"/>
              </w:rPr>
              <w:t>原件</w:t>
            </w:r>
            <w:r>
              <w:rPr>
                <w:rFonts w:hint="eastAsia" w:ascii="宋体" w:hAnsi="宋体" w:eastAsia="宋体" w:cs="宋体"/>
                <w:color w:val="auto"/>
                <w:sz w:val="21"/>
                <w:szCs w:val="21"/>
                <w:highlight w:val="none"/>
                <w:lang w:val="zh-CN" w:eastAsia="zh-CN"/>
              </w:rPr>
              <w:t>，未提供的，视为放弃享受小微企业价格扣除优惠政策。</w:t>
            </w:r>
          </w:p>
          <w:p>
            <w:pPr>
              <w:spacing w:line="340" w:lineRule="exact"/>
              <w:ind w:left="207" w:leftChars="61" w:right="170" w:rightChars="5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zh-CN" w:eastAsia="zh-CN"/>
              </w:rPr>
              <w:t>注：专门面向中小微企业的政府采购项目不再进行价格扣除。</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84" w:hRule="exact"/>
          <w:jc w:val="center"/>
        </w:trPr>
        <w:tc>
          <w:tcPr>
            <w:tcW w:w="575" w:type="dxa"/>
            <w:noWrap w:val="0"/>
            <w:vAlign w:val="center"/>
          </w:tcPr>
          <w:p>
            <w:pPr>
              <w:pStyle w:val="77"/>
              <w:ind w:right="230" w:rightChars="0"/>
              <w:jc w:val="center"/>
              <w:rPr>
                <w:rFonts w:hint="eastAsia" w:ascii="宋体" w:hAnsi="宋体" w:eastAsia="宋体" w:cs="宋体"/>
                <w:color w:val="auto"/>
                <w:sz w:val="21"/>
                <w:szCs w:val="21"/>
                <w:highlight w:val="none"/>
                <w:lang w:val="en-US" w:eastAsia="zh-CN"/>
              </w:rPr>
            </w:pPr>
            <w:r>
              <w:rPr>
                <w:rFonts w:hint="eastAsia" w:eastAsia="宋体" w:cs="宋体"/>
                <w:color w:val="auto"/>
                <w:sz w:val="21"/>
                <w:szCs w:val="21"/>
                <w:highlight w:val="none"/>
                <w:lang w:val="en-US" w:eastAsia="zh-CN"/>
              </w:rPr>
              <w:t>6</w:t>
            </w:r>
          </w:p>
        </w:tc>
        <w:tc>
          <w:tcPr>
            <w:tcW w:w="1693" w:type="dxa"/>
            <w:noWrap w:val="0"/>
            <w:vAlign w:val="center"/>
          </w:tcPr>
          <w:p>
            <w:pPr>
              <w:spacing w:line="340" w:lineRule="exact"/>
              <w:ind w:left="207" w:leftChars="61" w:right="170" w:rightChars="50"/>
              <w:jc w:val="center"/>
              <w:rPr>
                <w:rFonts w:hint="eastAsia" w:ascii="宋体" w:hAnsi="宋体" w:eastAsia="宋体" w:cs="宋体"/>
                <w:b/>
                <w:bCs/>
                <w:color w:val="auto"/>
                <w:kern w:val="2"/>
                <w:sz w:val="21"/>
                <w:szCs w:val="21"/>
                <w:highlight w:val="none"/>
                <w:lang w:val="zh-CN"/>
              </w:rPr>
            </w:pPr>
            <w:r>
              <w:rPr>
                <w:rFonts w:hint="eastAsia" w:ascii="宋体" w:hAnsi="宋体" w:eastAsia="宋体" w:cs="宋体"/>
                <w:color w:val="auto"/>
                <w:sz w:val="21"/>
                <w:szCs w:val="21"/>
                <w:highlight w:val="none"/>
                <w:lang w:val="zh-CN"/>
              </w:rPr>
              <w:t>扶持不发达地区和少数民族地区</w:t>
            </w:r>
          </w:p>
        </w:tc>
        <w:tc>
          <w:tcPr>
            <w:tcW w:w="6279" w:type="dxa"/>
            <w:noWrap w:val="0"/>
            <w:vAlign w:val="center"/>
          </w:tcPr>
          <w:p>
            <w:pPr>
              <w:spacing w:line="340" w:lineRule="exact"/>
              <w:ind w:left="207" w:leftChars="61" w:right="170" w:rightChars="50"/>
              <w:rPr>
                <w:rFonts w:hint="eastAsia" w:ascii="宋体" w:hAnsi="宋体" w:eastAsia="宋体" w:cs="宋体"/>
                <w:b/>
                <w:bCs/>
                <w:color w:val="auto"/>
                <w:sz w:val="21"/>
                <w:szCs w:val="21"/>
                <w:highlight w:val="none"/>
                <w:lang w:val="zh-CN" w:eastAsia="zh-CN"/>
              </w:rPr>
            </w:pPr>
            <w:r>
              <w:rPr>
                <w:rFonts w:hint="eastAsia" w:ascii="宋体" w:hAnsi="宋体" w:eastAsia="宋体" w:cs="宋体"/>
                <w:color w:val="auto"/>
                <w:sz w:val="21"/>
                <w:szCs w:val="21"/>
                <w:highlight w:val="none"/>
                <w:lang w:val="en-US" w:eastAsia="zh-CN"/>
              </w:rPr>
              <w:t>投标供应商</w:t>
            </w:r>
            <w:r>
              <w:rPr>
                <w:rFonts w:hint="eastAsia" w:ascii="宋体" w:hAnsi="宋体" w:eastAsia="宋体" w:cs="宋体"/>
                <w:color w:val="auto"/>
                <w:sz w:val="21"/>
                <w:szCs w:val="21"/>
                <w:highlight w:val="none"/>
                <w:lang w:val="zh-CN"/>
              </w:rPr>
              <w:t>符合扶持不发达地区和少数民族地区政策条件的，在同等条件下享有优先采购的机会。得分且投标报价相同的，不发达地区或少数民族地区的供应商排列顺序在非不发达地区或少数民族地区的供应商之前；得分且投标报价相同、均为不发达地区或少数民族地区的供应商并列；得分且投标报价相同、不能判定为不发达地区或少数民族地区的供应商并列</w:t>
            </w:r>
            <w:r>
              <w:rPr>
                <w:rFonts w:hint="eastAsia" w:ascii="宋体" w:hAnsi="宋体" w:eastAsia="宋体" w:cs="宋体"/>
                <w:color w:val="auto"/>
                <w:sz w:val="21"/>
                <w:szCs w:val="21"/>
                <w:highlight w:val="none"/>
                <w:lang w:val="en-US" w:eastAsia="zh-CN"/>
              </w:rPr>
              <w:t>；由采购人采取随机抽取方式确定一个投标人；由采购人采取随机抽取方式确定一个投标人。</w:t>
            </w:r>
            <w:r>
              <w:rPr>
                <w:rFonts w:hint="eastAsia" w:ascii="宋体" w:hAnsi="宋体" w:eastAsia="宋体" w:cs="宋体"/>
                <w:color w:val="auto"/>
                <w:sz w:val="21"/>
                <w:szCs w:val="21"/>
                <w:highlight w:val="none"/>
                <w:lang w:val="zh-CN"/>
              </w:rPr>
              <w:t>（不发达地区或少数民族地区的供应商需提供属于不发达地区或少数民族地区企业的相关证明材料，或供应商注册地为少数民族地区）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86" w:hRule="exact"/>
          <w:jc w:val="center"/>
        </w:trPr>
        <w:tc>
          <w:tcPr>
            <w:tcW w:w="575" w:type="dxa"/>
            <w:noWrap w:val="0"/>
            <w:vAlign w:val="center"/>
          </w:tcPr>
          <w:p>
            <w:pPr>
              <w:pStyle w:val="77"/>
              <w:ind w:right="230" w:rightChars="0"/>
              <w:jc w:val="center"/>
              <w:rPr>
                <w:rFonts w:hint="eastAsia" w:ascii="宋体" w:hAnsi="宋体" w:eastAsia="宋体" w:cs="宋体"/>
                <w:color w:val="auto"/>
                <w:sz w:val="21"/>
                <w:szCs w:val="21"/>
                <w:highlight w:val="none"/>
                <w:lang w:val="en-US" w:eastAsia="zh-CN" w:bidi="ar-SA"/>
              </w:rPr>
            </w:pPr>
            <w:r>
              <w:rPr>
                <w:rFonts w:hint="eastAsia" w:eastAsia="宋体" w:cs="宋体"/>
                <w:color w:val="auto"/>
                <w:sz w:val="21"/>
                <w:szCs w:val="21"/>
                <w:highlight w:val="none"/>
                <w:lang w:val="en-US" w:eastAsia="zh-CN" w:bidi="ar-SA"/>
              </w:rPr>
              <w:t>7</w:t>
            </w:r>
          </w:p>
        </w:tc>
        <w:tc>
          <w:tcPr>
            <w:tcW w:w="1693" w:type="dxa"/>
            <w:noWrap w:val="0"/>
            <w:vAlign w:val="center"/>
          </w:tcPr>
          <w:p>
            <w:pPr>
              <w:spacing w:line="340" w:lineRule="exact"/>
              <w:ind w:left="170" w:leftChars="50" w:right="170" w:rightChars="50"/>
              <w:jc w:val="center"/>
              <w:rPr>
                <w:rFonts w:hint="eastAsia" w:ascii="宋体" w:hAnsi="宋体" w:eastAsia="宋体" w:cs="宋体"/>
                <w:color w:val="auto"/>
                <w:sz w:val="21"/>
                <w:szCs w:val="21"/>
                <w:highlight w:val="none"/>
                <w:lang w:val="zh-CN" w:eastAsia="zh-CN" w:bidi="ar-SA"/>
              </w:rPr>
            </w:pPr>
            <w:r>
              <w:rPr>
                <w:rFonts w:hint="eastAsia" w:ascii="宋体" w:hAnsi="宋体" w:eastAsia="宋体" w:cs="宋体"/>
                <w:color w:val="auto"/>
                <w:sz w:val="21"/>
                <w:szCs w:val="21"/>
                <w:highlight w:val="none"/>
              </w:rPr>
              <w:t>评标情况公告</w:t>
            </w:r>
          </w:p>
        </w:tc>
        <w:tc>
          <w:tcPr>
            <w:tcW w:w="6279" w:type="dxa"/>
            <w:noWrap w:val="0"/>
            <w:vAlign w:val="center"/>
          </w:tcPr>
          <w:p>
            <w:pPr>
              <w:spacing w:line="340" w:lineRule="exact"/>
              <w:ind w:left="207" w:leftChars="61" w:right="170" w:rightChars="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所有供应商投标文件资格性、符合性</w:t>
            </w:r>
            <w:r>
              <w:rPr>
                <w:rFonts w:hint="eastAsia" w:ascii="宋体" w:hAnsi="宋体" w:eastAsia="宋体" w:cs="宋体"/>
                <w:color w:val="auto"/>
                <w:sz w:val="21"/>
                <w:szCs w:val="21"/>
                <w:highlight w:val="none"/>
                <w:lang w:val="en-US" w:eastAsia="zh-CN"/>
              </w:rPr>
              <w:t>审</w:t>
            </w:r>
            <w:r>
              <w:rPr>
                <w:rFonts w:hint="eastAsia" w:ascii="宋体" w:hAnsi="宋体" w:eastAsia="宋体" w:cs="宋体"/>
                <w:color w:val="auto"/>
                <w:sz w:val="21"/>
                <w:szCs w:val="21"/>
                <w:highlight w:val="none"/>
                <w:lang w:val="zh-CN"/>
              </w:rPr>
              <w:t>查情况、采用综合评分法时的总得分和评标结果等将在四川政府采购网上采购结果公告栏中予以公告。</w:t>
            </w:r>
          </w:p>
          <w:p>
            <w:pPr>
              <w:spacing w:line="340" w:lineRule="exact"/>
              <w:ind w:left="207" w:leftChars="61" w:right="170" w:rightChars="50"/>
              <w:rPr>
                <w:rFonts w:hint="eastAsia" w:ascii="宋体" w:hAnsi="宋体" w:eastAsia="宋体" w:cs="宋体"/>
                <w:color w:val="auto"/>
                <w:sz w:val="34"/>
                <w:highlight w:val="none"/>
                <w:lang w:val="zh-CN" w:eastAsia="zh-CN" w:bidi="ar-SA"/>
              </w:rPr>
            </w:pPr>
            <w:r>
              <w:rPr>
                <w:rFonts w:hint="eastAsia" w:ascii="宋体" w:hAnsi="宋体" w:eastAsia="宋体" w:cs="宋体"/>
                <w:b/>
                <w:bCs/>
                <w:color w:val="auto"/>
                <w:sz w:val="21"/>
                <w:szCs w:val="21"/>
                <w:highlight w:val="none"/>
                <w:u w:val="single"/>
              </w:rPr>
              <w:t>说明：</w:t>
            </w:r>
            <w:r>
              <w:rPr>
                <w:rFonts w:hint="eastAsia" w:ascii="宋体" w:hAnsi="宋体" w:eastAsia="宋体" w:cs="宋体"/>
                <w:b/>
                <w:bCs/>
                <w:color w:val="auto"/>
                <w:sz w:val="21"/>
                <w:szCs w:val="21"/>
                <w:highlight w:val="none"/>
                <w:u w:val="single"/>
                <w:lang w:val="zh-CN"/>
              </w:rPr>
              <w:t>根据《中华人民共和国政府采购法实施条例》第四十三条的规定：</w:t>
            </w:r>
            <w:r>
              <w:rPr>
                <w:rFonts w:hint="eastAsia" w:ascii="宋体" w:hAnsi="宋体" w:eastAsia="宋体" w:cs="宋体"/>
                <w:b/>
                <w:bCs/>
                <w:color w:val="auto"/>
                <w:sz w:val="21"/>
                <w:szCs w:val="21"/>
                <w:highlight w:val="none"/>
                <w:u w:val="single"/>
                <w:lang w:val="en-US" w:eastAsia="zh-CN"/>
              </w:rPr>
              <w:t>结果公告应该公示</w:t>
            </w:r>
            <w:r>
              <w:rPr>
                <w:rFonts w:hint="eastAsia" w:ascii="宋体" w:hAnsi="宋体" w:eastAsia="宋体" w:cs="宋体"/>
                <w:b/>
                <w:bCs/>
                <w:color w:val="auto"/>
                <w:sz w:val="21"/>
                <w:szCs w:val="21"/>
                <w:highlight w:val="none"/>
                <w:u w:val="single"/>
                <w:lang w:val="zh-CN"/>
              </w:rPr>
              <w:t>中标或者成交供应商名称、地址和中标或者成交金额、主要中标或者成交标的名称、数量、服务要求以及评审专家名单。投标人需将投标文件中涉及商业秘密和知识产权的内容进行标注和说明，若未进行标注和说明的，视为全部内容均可公布，采购人或者采购代理机构对此不承担任何责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40" w:hRule="exact"/>
          <w:jc w:val="center"/>
        </w:trPr>
        <w:tc>
          <w:tcPr>
            <w:tcW w:w="575" w:type="dxa"/>
            <w:noWrap w:val="0"/>
            <w:vAlign w:val="center"/>
          </w:tcPr>
          <w:p>
            <w:pPr>
              <w:pStyle w:val="77"/>
              <w:ind w:right="264" w:rightChars="0"/>
              <w:jc w:val="center"/>
              <w:rPr>
                <w:rFonts w:hint="eastAsia" w:ascii="宋体" w:hAnsi="宋体" w:eastAsia="宋体" w:cs="宋体"/>
                <w:color w:val="auto"/>
                <w:sz w:val="21"/>
                <w:szCs w:val="21"/>
                <w:highlight w:val="none"/>
                <w:lang w:val="en-US" w:eastAsia="zh-CN"/>
              </w:rPr>
            </w:pPr>
            <w:r>
              <w:rPr>
                <w:rFonts w:hint="eastAsia" w:eastAsia="宋体" w:cs="宋体"/>
                <w:color w:val="auto"/>
                <w:sz w:val="21"/>
                <w:szCs w:val="21"/>
                <w:highlight w:val="none"/>
                <w:lang w:val="en-US" w:eastAsia="zh-CN"/>
              </w:rPr>
              <w:t>8</w:t>
            </w:r>
          </w:p>
        </w:tc>
        <w:tc>
          <w:tcPr>
            <w:tcW w:w="1693" w:type="dxa"/>
            <w:noWrap w:val="0"/>
            <w:vAlign w:val="center"/>
          </w:tcPr>
          <w:p>
            <w:pPr>
              <w:spacing w:line="340" w:lineRule="exact"/>
              <w:ind w:left="170" w:leftChars="50" w:right="170" w:rightChars="5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zh-CN"/>
              </w:rPr>
              <w:t>构成</w:t>
            </w:r>
            <w:r>
              <w:rPr>
                <w:rFonts w:hint="eastAsia" w:ascii="宋体" w:hAnsi="宋体" w:eastAsia="宋体" w:cs="宋体"/>
                <w:color w:val="auto"/>
                <w:kern w:val="2"/>
                <w:sz w:val="21"/>
                <w:szCs w:val="21"/>
                <w:highlight w:val="none"/>
              </w:rPr>
              <w:t>采购文件</w:t>
            </w:r>
            <w:r>
              <w:rPr>
                <w:rFonts w:hint="eastAsia" w:ascii="宋体" w:hAnsi="宋体" w:eastAsia="宋体" w:cs="宋体"/>
                <w:color w:val="auto"/>
                <w:kern w:val="2"/>
                <w:sz w:val="21"/>
                <w:szCs w:val="21"/>
                <w:highlight w:val="none"/>
                <w:lang w:val="zh-CN"/>
              </w:rPr>
              <w:t>的其他文件</w:t>
            </w:r>
          </w:p>
        </w:tc>
        <w:tc>
          <w:tcPr>
            <w:tcW w:w="6279" w:type="dxa"/>
            <w:noWrap w:val="0"/>
            <w:vAlign w:val="center"/>
          </w:tcPr>
          <w:p>
            <w:pPr>
              <w:pStyle w:val="77"/>
              <w:ind w:left="207" w:leftChars="61" w:right="23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val="zh-CN"/>
              </w:rPr>
              <w:t>的澄清</w:t>
            </w:r>
            <w:r>
              <w:rPr>
                <w:rFonts w:hint="eastAsia" w:ascii="宋体" w:hAnsi="宋体" w:eastAsia="宋体" w:cs="宋体"/>
                <w:color w:val="auto"/>
                <w:sz w:val="21"/>
                <w:szCs w:val="21"/>
                <w:highlight w:val="none"/>
              </w:rPr>
              <w:t>、修改书及有关补充通知为采购文件的有效组成部分。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74" w:hRule="exact"/>
          <w:jc w:val="center"/>
        </w:trPr>
        <w:tc>
          <w:tcPr>
            <w:tcW w:w="575" w:type="dxa"/>
            <w:noWrap w:val="0"/>
            <w:vAlign w:val="center"/>
          </w:tcPr>
          <w:p>
            <w:pPr>
              <w:pStyle w:val="77"/>
              <w:ind w:right="264" w:rightChars="0"/>
              <w:jc w:val="center"/>
              <w:rPr>
                <w:rFonts w:hint="eastAsia" w:ascii="宋体" w:hAnsi="宋体" w:eastAsia="宋体" w:cs="宋体"/>
                <w:color w:val="auto"/>
                <w:sz w:val="21"/>
                <w:szCs w:val="21"/>
                <w:highlight w:val="none"/>
                <w:lang w:val="en-US" w:eastAsia="zh-CN"/>
              </w:rPr>
            </w:pPr>
            <w:r>
              <w:rPr>
                <w:rFonts w:hint="eastAsia" w:eastAsia="宋体" w:cs="宋体"/>
                <w:color w:val="auto"/>
                <w:sz w:val="21"/>
                <w:szCs w:val="21"/>
                <w:highlight w:val="none"/>
                <w:lang w:val="en-US" w:eastAsia="zh-CN"/>
              </w:rPr>
              <w:t>9</w:t>
            </w:r>
          </w:p>
        </w:tc>
        <w:tc>
          <w:tcPr>
            <w:tcW w:w="1693" w:type="dxa"/>
            <w:noWrap w:val="0"/>
            <w:vAlign w:val="center"/>
          </w:tcPr>
          <w:p>
            <w:pPr>
              <w:spacing w:line="340" w:lineRule="exact"/>
              <w:ind w:left="170" w:leftChars="50" w:right="170" w:rightChars="5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采购文件</w:t>
            </w:r>
          </w:p>
          <w:p>
            <w:pPr>
              <w:spacing w:line="340" w:lineRule="exact"/>
              <w:ind w:left="170" w:leftChars="50" w:right="170" w:rightChars="5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咨询</w:t>
            </w:r>
          </w:p>
        </w:tc>
        <w:tc>
          <w:tcPr>
            <w:tcW w:w="6279" w:type="dxa"/>
            <w:noWrap w:val="0"/>
            <w:vAlign w:val="center"/>
          </w:tcPr>
          <w:p>
            <w:pPr>
              <w:spacing w:line="340" w:lineRule="exact"/>
              <w:ind w:left="207" w:leftChars="61" w:right="170" w:rightChars="5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联系人：</w:t>
            </w:r>
            <w:r>
              <w:rPr>
                <w:rFonts w:hint="eastAsia" w:hAnsi="宋体" w:eastAsia="宋体" w:cs="宋体"/>
                <w:color w:val="auto"/>
                <w:sz w:val="21"/>
                <w:szCs w:val="21"/>
                <w:highlight w:val="none"/>
                <w:lang w:val="en-US" w:eastAsia="zh-CN"/>
              </w:rPr>
              <w:t>朱女士</w:t>
            </w:r>
            <w:r>
              <w:rPr>
                <w:rFonts w:hint="eastAsia" w:ascii="宋体" w:hAnsi="宋体" w:eastAsia="宋体" w:cs="宋体"/>
                <w:color w:val="auto"/>
                <w:sz w:val="21"/>
                <w:szCs w:val="21"/>
                <w:highlight w:val="none"/>
              </w:rPr>
              <w:t xml:space="preserve">      联系电话：028-86045446、81144469—</w:t>
            </w:r>
            <w:r>
              <w:rPr>
                <w:rFonts w:hint="eastAsia" w:hAnsi="宋体" w:eastAsia="宋体" w:cs="宋体"/>
                <w:color w:val="auto"/>
                <w:sz w:val="21"/>
                <w:szCs w:val="21"/>
                <w:highlight w:val="none"/>
                <w:lang w:val="en-US" w:eastAsia="zh-CN"/>
              </w:rPr>
              <w:t>8009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59" w:hRule="exact"/>
          <w:jc w:val="center"/>
        </w:trPr>
        <w:tc>
          <w:tcPr>
            <w:tcW w:w="575" w:type="dxa"/>
            <w:noWrap w:val="0"/>
            <w:vAlign w:val="center"/>
          </w:tcPr>
          <w:p>
            <w:pPr>
              <w:pStyle w:val="77"/>
              <w:ind w:right="264" w:rightChars="0"/>
              <w:jc w:val="center"/>
              <w:rPr>
                <w:rFonts w:hint="default" w:ascii="宋体" w:hAnsi="宋体" w:eastAsia="宋体" w:cs="宋体"/>
                <w:color w:val="auto"/>
                <w:sz w:val="21"/>
                <w:szCs w:val="21"/>
                <w:highlight w:val="none"/>
                <w:lang w:val="en-US" w:eastAsia="zh-CN"/>
              </w:rPr>
            </w:pPr>
            <w:r>
              <w:rPr>
                <w:rFonts w:hint="eastAsia" w:eastAsia="宋体" w:cs="宋体"/>
                <w:color w:val="auto"/>
                <w:sz w:val="21"/>
                <w:szCs w:val="21"/>
                <w:highlight w:val="none"/>
                <w:lang w:val="en-US" w:eastAsia="zh-CN"/>
              </w:rPr>
              <w:t>10</w:t>
            </w:r>
          </w:p>
        </w:tc>
        <w:tc>
          <w:tcPr>
            <w:tcW w:w="1693" w:type="dxa"/>
            <w:noWrap w:val="0"/>
            <w:vAlign w:val="center"/>
          </w:tcPr>
          <w:p>
            <w:pPr>
              <w:spacing w:line="340" w:lineRule="exact"/>
              <w:ind w:left="170" w:leftChars="50" w:right="170" w:rightChars="5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开标、评标工作咨询</w:t>
            </w:r>
          </w:p>
        </w:tc>
        <w:tc>
          <w:tcPr>
            <w:tcW w:w="6279" w:type="dxa"/>
            <w:noWrap w:val="0"/>
            <w:vAlign w:val="center"/>
          </w:tcPr>
          <w:p>
            <w:pPr>
              <w:spacing w:line="340" w:lineRule="exact"/>
              <w:ind w:left="207" w:leftChars="61" w:right="170" w:rightChars="5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联系人：</w:t>
            </w:r>
            <w:r>
              <w:rPr>
                <w:rFonts w:hint="eastAsia" w:hAnsi="宋体" w:eastAsia="宋体" w:cs="宋体"/>
                <w:color w:val="auto"/>
                <w:sz w:val="21"/>
                <w:szCs w:val="21"/>
                <w:highlight w:val="none"/>
                <w:lang w:val="en-US" w:eastAsia="zh-CN"/>
              </w:rPr>
              <w:t>邓女士</w:t>
            </w:r>
            <w:r>
              <w:rPr>
                <w:rFonts w:hint="eastAsia" w:ascii="宋体" w:hAnsi="宋体" w:eastAsia="宋体" w:cs="宋体"/>
                <w:color w:val="auto"/>
                <w:sz w:val="21"/>
                <w:szCs w:val="21"/>
                <w:highlight w:val="none"/>
              </w:rPr>
              <w:t xml:space="preserve">     联系电话：028-86045446、81144469—</w:t>
            </w:r>
            <w:r>
              <w:rPr>
                <w:rFonts w:hint="eastAsia" w:hAnsi="宋体" w:eastAsia="宋体" w:cs="宋体"/>
                <w:color w:val="auto"/>
                <w:sz w:val="21"/>
                <w:szCs w:val="21"/>
                <w:highlight w:val="none"/>
                <w:lang w:val="en-US" w:eastAsia="zh-CN"/>
              </w:rPr>
              <w:t>8014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45" w:hRule="exact"/>
          <w:jc w:val="center"/>
        </w:trPr>
        <w:tc>
          <w:tcPr>
            <w:tcW w:w="575" w:type="dxa"/>
            <w:noWrap w:val="0"/>
            <w:vAlign w:val="center"/>
          </w:tcPr>
          <w:p>
            <w:pPr>
              <w:pStyle w:val="77"/>
              <w:ind w:right="264" w:rightChars="0"/>
              <w:jc w:val="center"/>
              <w:rPr>
                <w:rFonts w:hint="default" w:ascii="宋体" w:hAnsi="宋体" w:eastAsia="宋体" w:cs="宋体"/>
                <w:color w:val="auto"/>
                <w:sz w:val="21"/>
                <w:szCs w:val="21"/>
                <w:highlight w:val="none"/>
                <w:lang w:val="en-US" w:eastAsia="zh-CN"/>
              </w:rPr>
            </w:pPr>
            <w:r>
              <w:rPr>
                <w:rFonts w:hint="eastAsia" w:eastAsia="宋体" w:cs="宋体"/>
                <w:color w:val="auto"/>
                <w:sz w:val="21"/>
                <w:szCs w:val="21"/>
                <w:highlight w:val="none"/>
                <w:lang w:val="en-US" w:eastAsia="zh-CN"/>
              </w:rPr>
              <w:t>11</w:t>
            </w:r>
          </w:p>
        </w:tc>
        <w:tc>
          <w:tcPr>
            <w:tcW w:w="1693" w:type="dxa"/>
            <w:noWrap w:val="0"/>
            <w:vAlign w:val="center"/>
          </w:tcPr>
          <w:p>
            <w:pPr>
              <w:pStyle w:val="94"/>
              <w:ind w:right="66" w:rightChars="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定标</w:t>
            </w:r>
          </w:p>
        </w:tc>
        <w:tc>
          <w:tcPr>
            <w:tcW w:w="6279" w:type="dxa"/>
            <w:noWrap w:val="0"/>
            <w:vAlign w:val="center"/>
          </w:tcPr>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由评标委员会推荐中标候选人,由采购人按顺序确定中标人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39" w:hRule="exact"/>
          <w:jc w:val="center"/>
        </w:trPr>
        <w:tc>
          <w:tcPr>
            <w:tcW w:w="575" w:type="dxa"/>
            <w:noWrap w:val="0"/>
            <w:vAlign w:val="center"/>
          </w:tcPr>
          <w:p>
            <w:pPr>
              <w:pStyle w:val="77"/>
              <w:ind w:right="264" w:rightChars="0"/>
              <w:jc w:val="center"/>
              <w:rPr>
                <w:rFonts w:hint="default" w:ascii="宋体" w:hAnsi="宋体" w:eastAsia="宋体" w:cs="宋体"/>
                <w:color w:val="auto"/>
                <w:sz w:val="21"/>
                <w:szCs w:val="21"/>
                <w:highlight w:val="none"/>
                <w:lang w:val="en-US" w:eastAsia="zh-CN"/>
              </w:rPr>
            </w:pPr>
            <w:r>
              <w:rPr>
                <w:rFonts w:hint="eastAsia" w:eastAsia="宋体" w:cs="宋体"/>
                <w:color w:val="auto"/>
                <w:sz w:val="21"/>
                <w:szCs w:val="21"/>
                <w:highlight w:val="none"/>
                <w:lang w:val="en-US" w:eastAsia="zh-CN"/>
              </w:rPr>
              <w:t>12</w:t>
            </w:r>
          </w:p>
        </w:tc>
        <w:tc>
          <w:tcPr>
            <w:tcW w:w="1693" w:type="dxa"/>
            <w:noWrap w:val="0"/>
            <w:vAlign w:val="center"/>
          </w:tcPr>
          <w:p>
            <w:pPr>
              <w:pStyle w:val="94"/>
              <w:ind w:right="66"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拟推荐中标候选人数量</w:t>
            </w:r>
          </w:p>
        </w:tc>
        <w:tc>
          <w:tcPr>
            <w:tcW w:w="6279" w:type="dxa"/>
            <w:noWrap w:val="0"/>
            <w:vAlign w:val="center"/>
          </w:tcPr>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 xml:space="preserve">3 个。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55" w:hRule="exact"/>
          <w:jc w:val="center"/>
        </w:trPr>
        <w:tc>
          <w:tcPr>
            <w:tcW w:w="575" w:type="dxa"/>
            <w:noWrap w:val="0"/>
            <w:vAlign w:val="center"/>
          </w:tcPr>
          <w:p>
            <w:pPr>
              <w:pStyle w:val="77"/>
              <w:ind w:right="264" w:rightChars="0"/>
              <w:jc w:val="center"/>
              <w:rPr>
                <w:rFonts w:hint="default" w:ascii="宋体" w:hAnsi="宋体" w:eastAsia="宋体" w:cs="宋体"/>
                <w:color w:val="auto"/>
                <w:sz w:val="21"/>
                <w:szCs w:val="21"/>
                <w:highlight w:val="none"/>
                <w:lang w:val="en-US" w:eastAsia="zh-CN"/>
              </w:rPr>
            </w:pPr>
            <w:r>
              <w:rPr>
                <w:rFonts w:hint="eastAsia" w:eastAsia="宋体" w:cs="宋体"/>
                <w:color w:val="auto"/>
                <w:sz w:val="21"/>
                <w:szCs w:val="21"/>
                <w:highlight w:val="none"/>
                <w:lang w:val="en-US" w:eastAsia="zh-CN"/>
              </w:rPr>
              <w:t>13</w:t>
            </w:r>
          </w:p>
        </w:tc>
        <w:tc>
          <w:tcPr>
            <w:tcW w:w="1693" w:type="dxa"/>
            <w:noWrap w:val="0"/>
            <w:vAlign w:val="center"/>
          </w:tcPr>
          <w:p>
            <w:pPr>
              <w:spacing w:line="340" w:lineRule="exact"/>
              <w:ind w:left="170" w:leftChars="50" w:right="17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bidi="ar-SA"/>
              </w:rPr>
              <w:t>中标通知书领取</w:t>
            </w:r>
          </w:p>
        </w:tc>
        <w:tc>
          <w:tcPr>
            <w:tcW w:w="6279" w:type="dxa"/>
            <w:noWrap w:val="0"/>
            <w:vAlign w:val="center"/>
          </w:tcPr>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中标结果</w:t>
            </w:r>
            <w:r>
              <w:rPr>
                <w:rFonts w:hint="eastAsia" w:ascii="宋体" w:hAnsi="宋体" w:eastAsia="宋体" w:cs="宋体"/>
                <w:color w:val="auto"/>
                <w:sz w:val="21"/>
                <w:szCs w:val="21"/>
                <w:highlight w:val="none"/>
                <w:lang w:val="zh-CN" w:eastAsia="zh-CN"/>
              </w:rPr>
              <w:t>公告在四川政府采购网上发布后，请</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lang w:val="zh-CN" w:eastAsia="zh-CN"/>
              </w:rPr>
              <w:t>供应商凭有效身份证明证件到</w:t>
            </w:r>
            <w:r>
              <w:rPr>
                <w:rFonts w:hint="eastAsia" w:ascii="宋体" w:hAnsi="宋体" w:eastAsia="宋体" w:cs="宋体"/>
                <w:color w:val="auto"/>
                <w:sz w:val="21"/>
                <w:szCs w:val="21"/>
                <w:highlight w:val="none"/>
                <w:lang w:val="en-US" w:eastAsia="zh-CN"/>
              </w:rPr>
              <w:t>四川重德招标有限责任公司</w:t>
            </w:r>
            <w:r>
              <w:rPr>
                <w:rFonts w:hint="eastAsia" w:ascii="宋体" w:hAnsi="宋体" w:eastAsia="宋体" w:cs="宋体"/>
                <w:color w:val="auto"/>
                <w:sz w:val="21"/>
                <w:szCs w:val="21"/>
                <w:highlight w:val="none"/>
                <w:lang w:val="zh-CN" w:eastAsia="zh-CN"/>
              </w:rPr>
              <w:t>领取成交通知书。</w:t>
            </w:r>
          </w:p>
          <w:p>
            <w:pPr>
              <w:spacing w:line="340" w:lineRule="exact"/>
              <w:ind w:left="207" w:leftChars="61" w:right="170" w:rightChars="5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联系人：</w:t>
            </w:r>
            <w:r>
              <w:rPr>
                <w:rFonts w:hint="eastAsia" w:hAnsi="宋体" w:eastAsia="宋体" w:cs="宋体"/>
                <w:color w:val="auto"/>
                <w:sz w:val="21"/>
                <w:szCs w:val="21"/>
                <w:highlight w:val="none"/>
                <w:lang w:val="en-US" w:eastAsia="zh-CN"/>
              </w:rPr>
              <w:t>邓女士</w:t>
            </w:r>
            <w:r>
              <w:rPr>
                <w:rFonts w:hint="eastAsia" w:ascii="宋体" w:hAnsi="宋体" w:eastAsia="宋体" w:cs="宋体"/>
                <w:color w:val="auto"/>
                <w:sz w:val="21"/>
                <w:szCs w:val="21"/>
                <w:highlight w:val="none"/>
                <w:lang w:val="en-US" w:eastAsia="zh-CN"/>
              </w:rPr>
              <w:t xml:space="preserve">     028-86045446、81144469—</w:t>
            </w:r>
            <w:r>
              <w:rPr>
                <w:rFonts w:hint="eastAsia" w:hAnsi="宋体" w:eastAsia="宋体" w:cs="宋体"/>
                <w:color w:val="auto"/>
                <w:sz w:val="21"/>
                <w:szCs w:val="21"/>
                <w:highlight w:val="none"/>
                <w:lang w:val="en-US" w:eastAsia="zh-CN"/>
              </w:rPr>
              <w:t>8014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479" w:hRule="exact"/>
          <w:jc w:val="center"/>
        </w:trPr>
        <w:tc>
          <w:tcPr>
            <w:tcW w:w="575" w:type="dxa"/>
            <w:noWrap w:val="0"/>
            <w:vAlign w:val="center"/>
          </w:tcPr>
          <w:p>
            <w:pPr>
              <w:pStyle w:val="77"/>
              <w:ind w:right="230"/>
              <w:jc w:val="center"/>
              <w:rPr>
                <w:rFonts w:hint="default" w:ascii="宋体" w:hAnsi="宋体" w:eastAsia="宋体" w:cs="宋体"/>
                <w:color w:val="auto"/>
                <w:sz w:val="21"/>
                <w:szCs w:val="21"/>
                <w:highlight w:val="none"/>
                <w:lang w:val="en-US" w:eastAsia="zh-CN"/>
              </w:rPr>
            </w:pPr>
            <w:r>
              <w:rPr>
                <w:rFonts w:hint="eastAsia" w:eastAsia="宋体" w:cs="宋体"/>
                <w:color w:val="auto"/>
                <w:sz w:val="21"/>
                <w:szCs w:val="21"/>
                <w:highlight w:val="none"/>
                <w:lang w:val="en-US" w:eastAsia="zh-CN"/>
              </w:rPr>
              <w:t>14</w:t>
            </w:r>
          </w:p>
        </w:tc>
        <w:tc>
          <w:tcPr>
            <w:tcW w:w="1693" w:type="dxa"/>
            <w:noWrap w:val="0"/>
            <w:vAlign w:val="center"/>
          </w:tcPr>
          <w:p>
            <w:pPr>
              <w:pStyle w:val="77"/>
              <w:jc w:val="center"/>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rPr>
              <w:t>供应商询问</w:t>
            </w:r>
          </w:p>
        </w:tc>
        <w:tc>
          <w:tcPr>
            <w:tcW w:w="6279" w:type="dxa"/>
            <w:noWrap w:val="0"/>
            <w:vAlign w:val="center"/>
          </w:tcPr>
          <w:p>
            <w:pPr>
              <w:spacing w:line="340" w:lineRule="exact"/>
              <w:ind w:left="207" w:leftChars="61" w:right="170" w:rightChars="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根据委托代理协议约定，采购人负责对采购文件技术参数部分及评分办法部分的询问，采购代理机构负责采购文件技术参数部分、评分办法以外的询问。</w:t>
            </w:r>
          </w:p>
          <w:p>
            <w:pPr>
              <w:spacing w:line="340" w:lineRule="exact"/>
              <w:ind w:left="207" w:leftChars="61" w:right="170" w:rightChars="5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联系人：</w:t>
            </w:r>
            <w:r>
              <w:rPr>
                <w:rFonts w:hint="eastAsia" w:hAnsi="宋体" w:eastAsia="宋体" w:cs="宋体"/>
                <w:color w:val="auto"/>
                <w:sz w:val="21"/>
                <w:szCs w:val="21"/>
                <w:highlight w:val="none"/>
                <w:lang w:val="en-US" w:eastAsia="zh-CN"/>
              </w:rPr>
              <w:t>朱女士</w:t>
            </w:r>
            <w:r>
              <w:rPr>
                <w:rFonts w:hint="eastAsia" w:ascii="宋体" w:hAnsi="宋体" w:eastAsia="宋体" w:cs="宋体"/>
                <w:color w:val="auto"/>
                <w:sz w:val="21"/>
                <w:szCs w:val="21"/>
                <w:highlight w:val="none"/>
                <w:lang w:val="en-US" w:eastAsia="zh-CN"/>
              </w:rPr>
              <w:t xml:space="preserve">     联系电话：028-86045446、81144469—</w:t>
            </w:r>
            <w:r>
              <w:rPr>
                <w:rFonts w:hint="eastAsia" w:hAnsi="宋体" w:eastAsia="宋体" w:cs="宋体"/>
                <w:color w:val="auto"/>
                <w:sz w:val="21"/>
                <w:szCs w:val="21"/>
                <w:highlight w:val="none"/>
                <w:lang w:val="en-US" w:eastAsia="zh-CN"/>
              </w:rPr>
              <w:t>80</w:t>
            </w:r>
            <w:r>
              <w:rPr>
                <w:rFonts w:hint="eastAsia" w:hAnsi="宋体" w:cs="宋体"/>
                <w:color w:val="auto"/>
                <w:sz w:val="21"/>
                <w:szCs w:val="21"/>
                <w:highlight w:val="none"/>
                <w:lang w:val="en-US" w:eastAsia="zh-CN"/>
              </w:rPr>
              <w:t>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367" w:hRule="exact"/>
          <w:jc w:val="center"/>
        </w:trPr>
        <w:tc>
          <w:tcPr>
            <w:tcW w:w="575" w:type="dxa"/>
            <w:noWrap w:val="0"/>
            <w:vAlign w:val="center"/>
          </w:tcPr>
          <w:p>
            <w:pPr>
              <w:pStyle w:val="77"/>
              <w:ind w:right="264" w:rightChars="0"/>
              <w:jc w:val="center"/>
              <w:rPr>
                <w:rFonts w:hint="default" w:ascii="宋体" w:hAnsi="宋体" w:eastAsia="宋体" w:cs="宋体"/>
                <w:color w:val="auto"/>
                <w:sz w:val="21"/>
                <w:szCs w:val="21"/>
                <w:highlight w:val="none"/>
                <w:lang w:val="en-US" w:eastAsia="zh-CN"/>
              </w:rPr>
            </w:pPr>
            <w:r>
              <w:rPr>
                <w:rFonts w:hint="eastAsia" w:eastAsia="宋体" w:cs="宋体"/>
                <w:color w:val="auto"/>
                <w:sz w:val="21"/>
                <w:szCs w:val="21"/>
                <w:highlight w:val="none"/>
                <w:lang w:val="en-US" w:eastAsia="zh-CN"/>
              </w:rPr>
              <w:t>15</w:t>
            </w:r>
          </w:p>
        </w:tc>
        <w:tc>
          <w:tcPr>
            <w:tcW w:w="1693" w:type="dxa"/>
            <w:noWrap w:val="0"/>
            <w:vAlign w:val="center"/>
          </w:tcPr>
          <w:p>
            <w:pPr>
              <w:pStyle w:val="77"/>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lang w:val="zh-CN"/>
              </w:rPr>
              <w:t>供应商质疑</w:t>
            </w:r>
          </w:p>
        </w:tc>
        <w:tc>
          <w:tcPr>
            <w:tcW w:w="6279" w:type="dxa"/>
            <w:noWrap w:val="0"/>
            <w:vAlign w:val="center"/>
          </w:tcPr>
          <w:p>
            <w:pPr>
              <w:spacing w:line="340" w:lineRule="exact"/>
              <w:ind w:left="207" w:leftChars="61" w:right="170" w:rightChars="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1.根据委托代理协议约定，采购人负责对采购文件技术参数部分及评分办法部分的</w:t>
            </w:r>
            <w:r>
              <w:rPr>
                <w:rFonts w:hint="eastAsia" w:ascii="宋体" w:hAnsi="宋体" w:eastAsia="宋体" w:cs="宋体"/>
                <w:color w:val="auto"/>
                <w:sz w:val="21"/>
                <w:szCs w:val="21"/>
                <w:highlight w:val="none"/>
                <w:lang w:val="zh-CN" w:eastAsia="zh-CN"/>
              </w:rPr>
              <w:t>质疑</w:t>
            </w:r>
            <w:r>
              <w:rPr>
                <w:rFonts w:hint="eastAsia" w:ascii="宋体" w:hAnsi="宋体" w:eastAsia="宋体" w:cs="宋体"/>
                <w:color w:val="auto"/>
                <w:sz w:val="21"/>
                <w:szCs w:val="21"/>
                <w:highlight w:val="none"/>
                <w:lang w:val="en-US" w:eastAsia="zh-CN"/>
              </w:rPr>
              <w:t>答复，采购代理机构负责采购文件技术参数部分、评分办法以外的</w:t>
            </w:r>
            <w:r>
              <w:rPr>
                <w:rFonts w:hint="eastAsia" w:ascii="宋体" w:hAnsi="宋体" w:eastAsia="宋体" w:cs="宋体"/>
                <w:color w:val="auto"/>
                <w:sz w:val="21"/>
                <w:szCs w:val="21"/>
                <w:highlight w:val="none"/>
                <w:lang w:val="zh-CN" w:eastAsia="zh-CN"/>
              </w:rPr>
              <w:t>质疑</w:t>
            </w:r>
            <w:r>
              <w:rPr>
                <w:rFonts w:hint="eastAsia" w:ascii="宋体" w:hAnsi="宋体" w:eastAsia="宋体" w:cs="宋体"/>
                <w:color w:val="auto"/>
                <w:sz w:val="21"/>
                <w:szCs w:val="21"/>
                <w:highlight w:val="none"/>
                <w:lang w:val="en-US" w:eastAsia="zh-CN"/>
              </w:rPr>
              <w:t xml:space="preserve">答复。 </w:t>
            </w:r>
          </w:p>
          <w:p>
            <w:pPr>
              <w:spacing w:line="340" w:lineRule="exact"/>
              <w:ind w:left="207" w:leftChars="61" w:right="170" w:rightChars="5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联系人：</w:t>
            </w:r>
            <w:r>
              <w:rPr>
                <w:rFonts w:hint="eastAsia" w:hAnsi="宋体" w:eastAsia="宋体" w:cs="宋体"/>
                <w:color w:val="auto"/>
                <w:sz w:val="21"/>
                <w:szCs w:val="21"/>
                <w:highlight w:val="none"/>
                <w:lang w:val="en-US" w:eastAsia="zh-CN"/>
              </w:rPr>
              <w:t>朱女士</w:t>
            </w:r>
            <w:r>
              <w:rPr>
                <w:rFonts w:hint="eastAsia" w:ascii="宋体" w:hAnsi="宋体" w:eastAsia="宋体" w:cs="宋体"/>
                <w:color w:val="auto"/>
                <w:sz w:val="21"/>
                <w:szCs w:val="21"/>
                <w:highlight w:val="none"/>
              </w:rPr>
              <w:t xml:space="preserve">   联系电话：028-86045446、81144469—</w:t>
            </w:r>
            <w:r>
              <w:rPr>
                <w:rFonts w:hint="eastAsia" w:hAnsi="宋体" w:eastAsia="宋体" w:cs="宋体"/>
                <w:color w:val="auto"/>
                <w:sz w:val="21"/>
                <w:szCs w:val="21"/>
                <w:highlight w:val="none"/>
                <w:lang w:val="en-US" w:eastAsia="zh-CN"/>
              </w:rPr>
              <w:t>80</w:t>
            </w:r>
            <w:r>
              <w:rPr>
                <w:rFonts w:hint="eastAsia" w:hAnsi="宋体" w:cs="宋体"/>
                <w:color w:val="auto"/>
                <w:sz w:val="21"/>
                <w:szCs w:val="21"/>
                <w:highlight w:val="none"/>
                <w:lang w:val="en-US" w:eastAsia="zh-CN"/>
              </w:rPr>
              <w:t>11</w:t>
            </w:r>
          </w:p>
          <w:p>
            <w:pPr>
              <w:spacing w:line="340" w:lineRule="exact"/>
              <w:ind w:left="207" w:leftChars="61" w:right="170" w:rightChars="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eastAsia="zh-CN"/>
              </w:rPr>
              <w:t>联系地址：成都市高新区天府大道天府三街69号新希望国际B座1栋21楼2107-2109号</w:t>
            </w:r>
          </w:p>
          <w:p>
            <w:pPr>
              <w:spacing w:line="340" w:lineRule="exact"/>
              <w:ind w:left="207" w:leftChars="61" w:right="170" w:rightChars="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eastAsia="zh-CN"/>
              </w:rPr>
              <w:t>接收质疑函的方式：供应商在法定时间内以书面形式现场提交</w:t>
            </w:r>
            <w:r>
              <w:rPr>
                <w:rFonts w:hint="eastAsia" w:ascii="宋体" w:hAnsi="宋体" w:eastAsia="宋体" w:cs="宋体"/>
                <w:color w:val="auto"/>
                <w:sz w:val="21"/>
                <w:szCs w:val="21"/>
                <w:highlight w:val="none"/>
                <w:lang w:val="en-US" w:eastAsia="zh-CN"/>
              </w:rPr>
              <w:t>(以书面签收日期为准)</w:t>
            </w:r>
            <w:r>
              <w:rPr>
                <w:rFonts w:hint="eastAsia" w:ascii="宋体" w:hAnsi="宋体" w:eastAsia="宋体" w:cs="宋体"/>
                <w:color w:val="auto"/>
                <w:sz w:val="21"/>
                <w:szCs w:val="21"/>
                <w:highlight w:val="none"/>
                <w:lang w:val="zh-CN" w:eastAsia="zh-CN"/>
              </w:rPr>
              <w:t>、邮寄（以寄出的</w:t>
            </w:r>
            <w:r>
              <w:rPr>
                <w:rFonts w:hint="eastAsia" w:ascii="宋体" w:hAnsi="宋体" w:eastAsia="宋体" w:cs="宋体"/>
                <w:color w:val="auto"/>
                <w:sz w:val="21"/>
                <w:szCs w:val="21"/>
                <w:highlight w:val="none"/>
                <w:lang w:val="en-US" w:eastAsia="zh-CN"/>
              </w:rPr>
              <w:t>邮戳日期为准</w:t>
            </w:r>
            <w:r>
              <w:rPr>
                <w:rFonts w:hint="eastAsia" w:ascii="宋体" w:hAnsi="宋体" w:eastAsia="宋体" w:cs="宋体"/>
                <w:color w:val="auto"/>
                <w:sz w:val="21"/>
                <w:szCs w:val="21"/>
                <w:highlight w:val="none"/>
                <w:lang w:val="zh-CN" w:eastAsia="zh-CN"/>
              </w:rPr>
              <w:t>）或快递(</w:t>
            </w:r>
            <w:r>
              <w:rPr>
                <w:rFonts w:hint="eastAsia" w:ascii="宋体" w:hAnsi="宋体" w:eastAsia="宋体" w:cs="宋体"/>
                <w:color w:val="auto"/>
                <w:sz w:val="21"/>
                <w:szCs w:val="21"/>
                <w:highlight w:val="none"/>
                <w:lang w:val="en-US" w:eastAsia="zh-CN"/>
              </w:rPr>
              <w:t>以</w:t>
            </w:r>
            <w:r>
              <w:rPr>
                <w:rFonts w:hint="eastAsia" w:ascii="宋体" w:hAnsi="宋体" w:eastAsia="宋体" w:cs="宋体"/>
                <w:color w:val="auto"/>
                <w:sz w:val="21"/>
                <w:szCs w:val="21"/>
                <w:highlight w:val="none"/>
                <w:lang w:val="zh-CN" w:eastAsia="zh-CN"/>
              </w:rPr>
              <w:t xml:space="preserve">送达人在签收单上签收之日为准)提交质疑函，逾期提交不予受理。 </w:t>
            </w:r>
          </w:p>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5.提出质疑函的时限要求：对采购文件提出质疑的时间：报名成功并获取采购文件之日起七个工作日内。</w:t>
            </w:r>
            <w:r>
              <w:rPr>
                <w:rFonts w:hint="eastAsia" w:ascii="宋体" w:hAnsi="宋体" w:eastAsia="宋体" w:cs="宋体"/>
                <w:color w:val="auto"/>
                <w:sz w:val="21"/>
                <w:szCs w:val="21"/>
                <w:highlight w:val="none"/>
                <w:lang w:val="zh-CN" w:eastAsia="zh-CN"/>
              </w:rPr>
              <w:t>对</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lang w:val="zh-CN" w:eastAsia="zh-CN"/>
              </w:rPr>
              <w:t>过程提出质疑时间：为各采购程序环节结束之日起七个工作日内</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zh-CN" w:eastAsia="zh-CN"/>
              </w:rPr>
              <w:t>对</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val="zh-CN" w:eastAsia="zh-CN"/>
              </w:rPr>
              <w:t>结果提出质疑时间：为</w:t>
            </w:r>
            <w:r>
              <w:rPr>
                <w:rFonts w:hint="eastAsia" w:ascii="宋体" w:hAnsi="宋体" w:eastAsia="宋体" w:cs="宋体"/>
                <w:color w:val="auto"/>
                <w:sz w:val="21"/>
                <w:szCs w:val="21"/>
                <w:highlight w:val="none"/>
                <w:lang w:val="en-US" w:eastAsia="zh-CN"/>
              </w:rPr>
              <w:t>成交标</w:t>
            </w:r>
            <w:r>
              <w:rPr>
                <w:rFonts w:hint="eastAsia" w:ascii="宋体" w:hAnsi="宋体" w:eastAsia="宋体" w:cs="宋体"/>
                <w:color w:val="auto"/>
                <w:sz w:val="21"/>
                <w:szCs w:val="21"/>
                <w:highlight w:val="none"/>
                <w:lang w:val="zh-CN" w:eastAsia="zh-CN"/>
              </w:rPr>
              <w:t>结果公告有效期结束之日起七个工作日内。</w:t>
            </w:r>
          </w:p>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eastAsia="zh-CN"/>
              </w:rPr>
              <w:t>根据《中华人民共和国政府采购法》等规定，供应商质疑不得超出采购文件、采购过程、采购结果的范围,供应商针对同一采购程序环节的质疑应在法定质疑期内一次性提出。</w:t>
            </w:r>
          </w:p>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注：采购人无正当理由不按照依法推荐的</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lang w:val="zh-CN" w:eastAsia="zh-CN"/>
              </w:rPr>
              <w:t>候选人顺序确定</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lang w:val="zh-CN" w:eastAsia="zh-CN"/>
              </w:rPr>
              <w:t>的，或者在</w:t>
            </w:r>
            <w:r>
              <w:rPr>
                <w:rFonts w:hint="eastAsia" w:ascii="宋体" w:hAnsi="宋体" w:eastAsia="宋体" w:cs="宋体"/>
                <w:color w:val="auto"/>
                <w:sz w:val="21"/>
                <w:szCs w:val="21"/>
                <w:highlight w:val="none"/>
                <w:lang w:val="en-US" w:eastAsia="zh-CN"/>
              </w:rPr>
              <w:t>磋商小组</w:t>
            </w:r>
            <w:r>
              <w:rPr>
                <w:rFonts w:hint="eastAsia" w:ascii="宋体" w:hAnsi="宋体" w:eastAsia="宋体" w:cs="宋体"/>
                <w:color w:val="auto"/>
                <w:sz w:val="21"/>
                <w:szCs w:val="21"/>
                <w:highlight w:val="none"/>
                <w:lang w:val="zh-CN" w:eastAsia="zh-CN"/>
              </w:rPr>
              <w:t>依法推荐的</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lang w:val="zh-CN" w:eastAsia="zh-CN"/>
              </w:rPr>
              <w:t>候选人以外确定。</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lang w:val="zh-CN" w:eastAsia="zh-CN"/>
              </w:rPr>
              <w:t>的质疑由采购人受理。</w:t>
            </w:r>
          </w:p>
          <w:p>
            <w:pPr>
              <w:spacing w:line="340" w:lineRule="exact"/>
              <w:ind w:left="207" w:leftChars="61" w:right="170" w:rightChars="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7.投标人的质疑应严格按照《政府采购质疑和投诉办法》（财政部第94号令）规定，并使用财政部下发的《质疑函》范本。</w:t>
            </w:r>
          </w:p>
          <w:p>
            <w:pPr>
              <w:spacing w:line="340" w:lineRule="exact"/>
              <w:ind w:left="207" w:leftChars="61" w:right="170" w:rightChar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如供应商提出的质疑函不符合《政府采购质疑和投诉办法》（财政部第94号令）第十二条的要求，招标代理机构将会要求供应商在法定质疑期内进行补正，未进行补正或在法定质疑期内未进行补正的，其不利后果由供应商自行承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691" w:hRule="exact"/>
          <w:jc w:val="center"/>
        </w:trPr>
        <w:tc>
          <w:tcPr>
            <w:tcW w:w="575" w:type="dxa"/>
            <w:noWrap w:val="0"/>
            <w:vAlign w:val="center"/>
          </w:tcPr>
          <w:p>
            <w:pPr>
              <w:pStyle w:val="77"/>
              <w:ind w:right="264"/>
              <w:jc w:val="center"/>
              <w:rPr>
                <w:rFonts w:hint="default" w:ascii="宋体" w:hAnsi="宋体" w:eastAsia="宋体" w:cs="宋体"/>
                <w:color w:val="auto"/>
                <w:sz w:val="21"/>
                <w:szCs w:val="21"/>
                <w:highlight w:val="none"/>
                <w:lang w:val="en-US" w:eastAsia="zh-CN"/>
              </w:rPr>
            </w:pPr>
            <w:r>
              <w:rPr>
                <w:rFonts w:hint="eastAsia" w:eastAsia="宋体" w:cs="宋体"/>
                <w:color w:val="auto"/>
                <w:sz w:val="21"/>
                <w:szCs w:val="21"/>
                <w:highlight w:val="none"/>
                <w:lang w:val="en-US" w:eastAsia="zh-CN"/>
              </w:rPr>
              <w:t>16</w:t>
            </w:r>
          </w:p>
        </w:tc>
        <w:tc>
          <w:tcPr>
            <w:tcW w:w="1693" w:type="dxa"/>
            <w:noWrap w:val="0"/>
            <w:vAlign w:val="center"/>
          </w:tcPr>
          <w:p>
            <w:pPr>
              <w:pStyle w:val="77"/>
              <w:jc w:val="center"/>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rPr>
              <w:t>供应商投诉</w:t>
            </w:r>
          </w:p>
        </w:tc>
        <w:tc>
          <w:tcPr>
            <w:tcW w:w="6279" w:type="dxa"/>
            <w:noWrap w:val="0"/>
            <w:vAlign w:val="center"/>
          </w:tcPr>
          <w:p>
            <w:pPr>
              <w:spacing w:line="340" w:lineRule="exact"/>
              <w:ind w:left="207" w:leftChars="61" w:right="170" w:rightChars="50"/>
              <w:jc w:val="both"/>
              <w:rPr>
                <w:rFonts w:hint="eastAsia" w:ascii="新宋体" w:hAnsi="新宋体" w:eastAsia="新宋体" w:cs="新宋体"/>
                <w:color w:val="auto"/>
                <w:sz w:val="21"/>
                <w:szCs w:val="21"/>
                <w:lang w:val="zh-CN"/>
              </w:rPr>
            </w:pPr>
            <w:r>
              <w:rPr>
                <w:rFonts w:hint="eastAsia" w:ascii="新宋体" w:hAnsi="新宋体" w:eastAsia="新宋体" w:cs="新宋体"/>
                <w:color w:val="auto"/>
                <w:sz w:val="21"/>
                <w:szCs w:val="21"/>
                <w:lang w:val="zh-CN"/>
              </w:rPr>
              <w:t>投诉受理单位：本项目同级财政部门，即成都市新津区财政和金融工作局。</w:t>
            </w:r>
          </w:p>
          <w:p>
            <w:pPr>
              <w:spacing w:line="340" w:lineRule="exact"/>
              <w:ind w:left="207" w:leftChars="61" w:right="170" w:rightChars="50"/>
              <w:rPr>
                <w:rFonts w:hint="eastAsia" w:ascii="新宋体" w:hAnsi="新宋体" w:eastAsia="新宋体" w:cs="新宋体"/>
                <w:color w:val="auto"/>
                <w:sz w:val="21"/>
                <w:szCs w:val="21"/>
                <w:lang w:val="zh-CN"/>
              </w:rPr>
            </w:pPr>
            <w:r>
              <w:rPr>
                <w:rFonts w:hint="eastAsia" w:ascii="新宋体" w:hAnsi="新宋体" w:eastAsia="新宋体" w:cs="新宋体"/>
                <w:color w:val="auto"/>
                <w:sz w:val="21"/>
                <w:szCs w:val="21"/>
                <w:lang w:val="zh-CN"/>
              </w:rPr>
              <w:t>联系电话：028-82520054</w:t>
            </w:r>
          </w:p>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新宋体" w:hAnsi="新宋体" w:eastAsia="新宋体" w:cs="新宋体"/>
                <w:color w:val="auto"/>
                <w:sz w:val="21"/>
                <w:szCs w:val="21"/>
                <w:lang w:val="zh-CN"/>
              </w:rPr>
              <w:t>联系地址：成都市新津区武阳西路163号</w:t>
            </w:r>
          </w:p>
          <w:p>
            <w:pPr>
              <w:spacing w:line="340" w:lineRule="exact"/>
              <w:ind w:left="207" w:leftChars="61" w:right="170" w:rightChars="50"/>
              <w:rPr>
                <w:rFonts w:hint="eastAsia" w:ascii="宋体" w:hAnsi="宋体" w:eastAsia="宋体" w:cs="宋体"/>
                <w:color w:val="auto"/>
                <w:highlight w:val="none"/>
              </w:rPr>
            </w:pPr>
            <w:r>
              <w:rPr>
                <w:rFonts w:hint="eastAsia" w:ascii="宋体" w:hAnsi="宋体" w:eastAsia="宋体" w:cs="宋体"/>
                <w:color w:val="auto"/>
                <w:sz w:val="21"/>
                <w:szCs w:val="21"/>
                <w:highlight w:val="none"/>
                <w:lang w:val="zh-CN" w:eastAsia="zh-CN"/>
              </w:rPr>
              <w:t>注：根据《中华人民共和国政府采购法实施条例》的规定，供应商投诉事项不得超出已质疑事项的范围。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91" w:hRule="exact"/>
          <w:jc w:val="center"/>
        </w:trPr>
        <w:tc>
          <w:tcPr>
            <w:tcW w:w="575" w:type="dxa"/>
            <w:noWrap w:val="0"/>
            <w:vAlign w:val="center"/>
          </w:tcPr>
          <w:p>
            <w:pPr>
              <w:jc w:val="both"/>
              <w:rPr>
                <w:rFonts w:hint="default" w:ascii="宋体"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17</w:t>
            </w:r>
          </w:p>
        </w:tc>
        <w:tc>
          <w:tcPr>
            <w:tcW w:w="1693" w:type="dxa"/>
            <w:noWrap w:val="0"/>
            <w:vAlign w:val="center"/>
          </w:tcPr>
          <w:p>
            <w:pPr>
              <w:pStyle w:val="77"/>
              <w:ind w:left="96"/>
              <w:jc w:val="center"/>
              <w:rPr>
                <w:rFonts w:hint="eastAsia" w:ascii="宋体" w:hAnsi="宋体" w:eastAsia="宋体" w:cs="宋体"/>
                <w:color w:val="auto"/>
                <w:sz w:val="21"/>
                <w:szCs w:val="21"/>
                <w:highlight w:val="none"/>
                <w:lang w:val="zh-CN"/>
              </w:rPr>
            </w:pPr>
          </w:p>
          <w:p>
            <w:pPr>
              <w:pStyle w:val="77"/>
              <w:ind w:left="96"/>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政府采购合同</w:t>
            </w:r>
          </w:p>
          <w:p>
            <w:pPr>
              <w:pStyle w:val="77"/>
              <w:ind w:left="96"/>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公告、备案</w:t>
            </w:r>
          </w:p>
        </w:tc>
        <w:tc>
          <w:tcPr>
            <w:tcW w:w="6279" w:type="dxa"/>
            <w:noWrap w:val="0"/>
            <w:vAlign w:val="center"/>
          </w:tcPr>
          <w:p>
            <w:pPr>
              <w:spacing w:line="340" w:lineRule="exact"/>
              <w:ind w:left="207" w:leftChars="61" w:right="170" w:rightChars="5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采购人应当自政府采购合同签订（双方当事人均已签字盖章）之日起2个工作日内，将政府采购合同在省级以上人民政府财政部门指定的媒体上公告（四川政府采购网</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zh-CN" w:eastAsia="zh-CN"/>
              </w:rPr>
              <w:t>政府采购云平台）</w:t>
            </w:r>
            <w:r>
              <w:rPr>
                <w:rFonts w:hint="eastAsia" w:ascii="宋体" w:hAnsi="宋体" w:eastAsia="宋体" w:cs="宋体"/>
                <w:color w:val="auto"/>
                <w:sz w:val="21"/>
                <w:szCs w:val="21"/>
                <w:highlight w:val="none"/>
                <w:lang w:val="zh-CN"/>
              </w:rPr>
              <w:t>），但政府采购合同中涉及国家秘密、商业秘密的内容除外。</w:t>
            </w:r>
          </w:p>
          <w:p>
            <w:pPr>
              <w:spacing w:line="340" w:lineRule="exact"/>
              <w:ind w:left="207" w:leftChars="61" w:right="170" w:rightChars="5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采购人应当将政府采购合同副本自签订（双方当事人均已签字盖章）之日起</w:t>
            </w:r>
            <w:r>
              <w:rPr>
                <w:rFonts w:hint="eastAsia"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zh-CN"/>
              </w:rPr>
              <w:t>个工作日内通过四川政府采购网报同级财政部门备案。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695" w:hRule="atLeast"/>
          <w:jc w:val="center"/>
        </w:trPr>
        <w:tc>
          <w:tcPr>
            <w:tcW w:w="575" w:type="dxa"/>
            <w:noWrap w:val="0"/>
            <w:vAlign w:val="center"/>
          </w:tcPr>
          <w:p>
            <w:pPr>
              <w:pStyle w:val="77"/>
              <w:ind w:right="230"/>
              <w:jc w:val="center"/>
              <w:rPr>
                <w:rFonts w:hint="default" w:ascii="宋体" w:hAnsi="宋体" w:eastAsia="宋体" w:cs="宋体"/>
                <w:color w:val="auto"/>
                <w:sz w:val="21"/>
                <w:szCs w:val="21"/>
                <w:highlight w:val="none"/>
                <w:lang w:val="en-US" w:eastAsia="zh-CN"/>
              </w:rPr>
            </w:pPr>
            <w:r>
              <w:rPr>
                <w:rFonts w:hint="eastAsia" w:eastAsia="宋体" w:cs="宋体"/>
                <w:color w:val="auto"/>
                <w:sz w:val="21"/>
                <w:szCs w:val="21"/>
                <w:highlight w:val="none"/>
                <w:lang w:val="en-US" w:eastAsia="zh-CN"/>
              </w:rPr>
              <w:t>18</w:t>
            </w:r>
          </w:p>
        </w:tc>
        <w:tc>
          <w:tcPr>
            <w:tcW w:w="1693" w:type="dxa"/>
            <w:noWrap w:val="0"/>
            <w:vAlign w:val="center"/>
          </w:tcPr>
          <w:p>
            <w:pPr>
              <w:pStyle w:val="77"/>
              <w:ind w:left="96"/>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关于</w:t>
            </w:r>
            <w:r>
              <w:rPr>
                <w:rFonts w:hint="eastAsia" w:ascii="宋体" w:hAnsi="宋体" w:eastAsia="宋体" w:cs="宋体"/>
                <w:color w:val="auto"/>
                <w:sz w:val="21"/>
                <w:szCs w:val="21"/>
                <w:highlight w:val="none"/>
                <w:lang w:val="zh-CN"/>
              </w:rPr>
              <w:t>重大违法记录</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zh-CN"/>
              </w:rPr>
              <w:t>重大违法记录</w:t>
            </w:r>
            <w:r>
              <w:rPr>
                <w:rFonts w:hint="eastAsia" w:ascii="宋体" w:hAnsi="宋体" w:eastAsia="宋体" w:cs="宋体"/>
                <w:color w:val="auto"/>
                <w:sz w:val="21"/>
                <w:szCs w:val="21"/>
                <w:highlight w:val="none"/>
                <w:lang w:val="en-US" w:eastAsia="zh-CN"/>
              </w:rPr>
              <w:t>中</w:t>
            </w:r>
            <w:r>
              <w:rPr>
                <w:rFonts w:hint="eastAsia" w:ascii="宋体" w:hAnsi="宋体" w:eastAsia="宋体" w:cs="宋体"/>
                <w:color w:val="auto"/>
                <w:sz w:val="21"/>
                <w:szCs w:val="21"/>
                <w:highlight w:val="none"/>
                <w:lang w:val="zh-CN"/>
              </w:rPr>
              <w:t>较大数额罚款的</w:t>
            </w:r>
            <w:r>
              <w:rPr>
                <w:rFonts w:hint="eastAsia" w:ascii="宋体" w:hAnsi="宋体" w:eastAsia="宋体" w:cs="宋体"/>
                <w:color w:val="auto"/>
                <w:sz w:val="21"/>
                <w:szCs w:val="21"/>
                <w:highlight w:val="none"/>
                <w:lang w:val="en-US" w:eastAsia="zh-CN"/>
              </w:rPr>
              <w:t>说明</w:t>
            </w:r>
          </w:p>
        </w:tc>
        <w:tc>
          <w:tcPr>
            <w:tcW w:w="6279" w:type="dxa"/>
            <w:noWrap w:val="0"/>
            <w:vAlign w:val="center"/>
          </w:tcPr>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1.政府采购法第二十二条第一款第五项所称重大违法记录，是指供应商因违法经营受到刑事处罚或者责令停产停业、吊销许可证或者执照、较大数额罚款等行政处罚</w:t>
            </w:r>
            <w:r>
              <w:rPr>
                <w:rFonts w:hint="eastAsia" w:ascii="宋体" w:hAnsi="宋体" w:eastAsia="宋体" w:cs="宋体"/>
                <w:color w:val="auto"/>
                <w:sz w:val="21"/>
                <w:szCs w:val="21"/>
                <w:highlight w:val="none"/>
                <w:lang w:val="zh-CN" w:eastAsia="zh-CN"/>
              </w:rPr>
              <w:t>。</w:t>
            </w:r>
          </w:p>
          <w:p>
            <w:pPr>
              <w:spacing w:line="340" w:lineRule="exact"/>
              <w:ind w:left="207" w:leftChars="61" w:right="170" w:rightChars="5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2.重大违法记录中的较大数额罚款的具体金额标准，采购项目所属行业行政主管部门对较大数额罚款金额标准有明文规定的按规定执行；采购项目所属行业行政主管部门对较大数额罚款金额标准未明文规定的，以</w:t>
            </w:r>
            <w:r>
              <w:rPr>
                <w:rFonts w:hint="eastAsia" w:ascii="宋体" w:hAnsi="宋体" w:eastAsia="宋体" w:cs="宋体"/>
                <w:color w:val="auto"/>
                <w:sz w:val="21"/>
                <w:szCs w:val="21"/>
                <w:highlight w:val="none"/>
                <w:lang w:val="zh-CN" w:eastAsia="zh-CN"/>
              </w:rPr>
              <w:t>《四川省行政处罚听证程序暂行规定》四川省人民政府令第317号</w:t>
            </w:r>
            <w:r>
              <w:rPr>
                <w:rFonts w:hint="eastAsia" w:ascii="宋体" w:hAnsi="宋体" w:eastAsia="宋体" w:cs="宋体"/>
                <w:color w:val="auto"/>
                <w:sz w:val="21"/>
                <w:szCs w:val="21"/>
                <w:highlight w:val="none"/>
                <w:lang w:val="en-US" w:eastAsia="zh-CN"/>
              </w:rPr>
              <w:t>内规定的标准金额执行。详见附件四。</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98" w:hRule="atLeast"/>
          <w:jc w:val="center"/>
        </w:trPr>
        <w:tc>
          <w:tcPr>
            <w:tcW w:w="575" w:type="dxa"/>
            <w:noWrap w:val="0"/>
            <w:vAlign w:val="center"/>
          </w:tcPr>
          <w:p>
            <w:pPr>
              <w:pStyle w:val="77"/>
              <w:ind w:right="230"/>
              <w:jc w:val="center"/>
              <w:rPr>
                <w:rFonts w:hint="default" w:ascii="宋体" w:hAnsi="宋体" w:eastAsia="宋体" w:cs="宋体"/>
                <w:color w:val="auto"/>
                <w:sz w:val="21"/>
                <w:szCs w:val="21"/>
                <w:highlight w:val="none"/>
                <w:lang w:val="en-US" w:eastAsia="zh-CN"/>
              </w:rPr>
            </w:pPr>
            <w:r>
              <w:rPr>
                <w:rFonts w:hint="eastAsia" w:eastAsia="宋体" w:cs="宋体"/>
                <w:color w:val="auto"/>
                <w:sz w:val="21"/>
                <w:szCs w:val="21"/>
                <w:highlight w:val="none"/>
                <w:lang w:val="en-US" w:eastAsia="zh-CN"/>
              </w:rPr>
              <w:t>19</w:t>
            </w:r>
          </w:p>
        </w:tc>
        <w:tc>
          <w:tcPr>
            <w:tcW w:w="1693" w:type="dxa"/>
            <w:noWrap w:val="0"/>
            <w:vAlign w:val="center"/>
          </w:tcPr>
          <w:p>
            <w:pPr>
              <w:pStyle w:val="77"/>
              <w:ind w:left="96"/>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履约保证金</w:t>
            </w:r>
          </w:p>
          <w:p>
            <w:pPr>
              <w:jc w:val="both"/>
              <w:rPr>
                <w:rFonts w:hint="eastAsia" w:ascii="宋体" w:hAnsi="宋体" w:eastAsia="宋体" w:cs="宋体"/>
                <w:color w:val="auto"/>
                <w:sz w:val="21"/>
                <w:szCs w:val="21"/>
                <w:highlight w:val="none"/>
              </w:rPr>
            </w:pPr>
            <w:r>
              <w:rPr>
                <w:rFonts w:hint="eastAsia" w:eastAsia="宋体" w:cs="宋体"/>
                <w:color w:val="auto"/>
                <w:sz w:val="21"/>
                <w:szCs w:val="21"/>
                <w:highlight w:val="none"/>
                <w:lang w:val="zh-CN"/>
              </w:rPr>
              <w:t>（</w:t>
            </w:r>
            <w:r>
              <w:rPr>
                <w:rFonts w:hint="eastAsia" w:eastAsia="宋体" w:cs="宋体"/>
                <w:color w:val="auto"/>
                <w:sz w:val="21"/>
                <w:szCs w:val="21"/>
                <w:highlight w:val="none"/>
                <w:lang w:val="en-US" w:eastAsia="zh-CN"/>
              </w:rPr>
              <w:t>实质性要求</w:t>
            </w:r>
            <w:r>
              <w:rPr>
                <w:rFonts w:hint="eastAsia" w:eastAsia="宋体" w:cs="宋体"/>
                <w:color w:val="auto"/>
                <w:sz w:val="21"/>
                <w:szCs w:val="21"/>
                <w:highlight w:val="none"/>
                <w:lang w:val="zh-CN"/>
              </w:rPr>
              <w:t>）</w:t>
            </w:r>
          </w:p>
        </w:tc>
        <w:tc>
          <w:tcPr>
            <w:tcW w:w="6279" w:type="dxa"/>
            <w:noWrap w:val="0"/>
            <w:vAlign w:val="center"/>
          </w:tcPr>
          <w:p>
            <w:pPr>
              <w:spacing w:line="340" w:lineRule="exact"/>
              <w:ind w:left="207" w:leftChars="61" w:right="170" w:rightChars="50"/>
              <w:rPr>
                <w:rFonts w:hint="default" w:ascii="宋体" w:hAnsi="宋体" w:eastAsia="宋体" w:cs="宋体"/>
                <w:color w:val="auto"/>
                <w:kern w:val="2"/>
                <w:sz w:val="21"/>
                <w:szCs w:val="21"/>
                <w:highlight w:val="none"/>
                <w:lang w:val="en-US" w:eastAsia="zh-CN"/>
              </w:rPr>
            </w:pPr>
            <w:r>
              <w:rPr>
                <w:rFonts w:hint="eastAsia" w:hAnsi="宋体" w:eastAsia="宋体" w:cs="宋体"/>
                <w:color w:val="auto"/>
                <w:kern w:val="2"/>
                <w:sz w:val="21"/>
                <w:szCs w:val="21"/>
                <w:highlight w:val="none"/>
                <w:lang w:val="en-US" w:eastAsia="zh-CN"/>
              </w:rPr>
              <w:t>本项目不收取履约保证金。</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17" w:hRule="atLeast"/>
          <w:jc w:val="center"/>
        </w:trPr>
        <w:tc>
          <w:tcPr>
            <w:tcW w:w="575" w:type="dxa"/>
            <w:noWrap w:val="0"/>
            <w:vAlign w:val="center"/>
          </w:tcPr>
          <w:p>
            <w:pPr>
              <w:pStyle w:val="77"/>
              <w:ind w:right="230"/>
              <w:jc w:val="center"/>
              <w:rPr>
                <w:rFonts w:hint="default" w:ascii="宋体" w:hAnsi="宋体" w:eastAsia="宋体" w:cs="宋体"/>
                <w:color w:val="auto"/>
                <w:sz w:val="21"/>
                <w:szCs w:val="21"/>
                <w:highlight w:val="none"/>
                <w:lang w:val="en-US" w:eastAsia="zh-CN"/>
              </w:rPr>
            </w:pPr>
            <w:r>
              <w:rPr>
                <w:rFonts w:hint="eastAsia" w:eastAsia="宋体" w:cs="宋体"/>
                <w:color w:val="auto"/>
                <w:sz w:val="21"/>
                <w:szCs w:val="21"/>
                <w:highlight w:val="none"/>
                <w:lang w:val="en-US" w:eastAsia="zh-CN"/>
              </w:rPr>
              <w:t>20</w:t>
            </w:r>
          </w:p>
        </w:tc>
        <w:tc>
          <w:tcPr>
            <w:tcW w:w="1693" w:type="dxa"/>
            <w:noWrap w:val="0"/>
            <w:vAlign w:val="center"/>
          </w:tcPr>
          <w:p>
            <w:pPr>
              <w:pStyle w:val="77"/>
              <w:ind w:left="96"/>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代理</w:t>
            </w:r>
            <w:r>
              <w:rPr>
                <w:rFonts w:hint="eastAsia" w:ascii="宋体" w:hAnsi="宋体" w:eastAsia="宋体" w:cs="宋体"/>
                <w:color w:val="auto"/>
                <w:sz w:val="21"/>
                <w:szCs w:val="21"/>
                <w:highlight w:val="none"/>
                <w:lang w:val="zh-CN"/>
              </w:rPr>
              <w:t>服务费</w:t>
            </w:r>
          </w:p>
        </w:tc>
        <w:tc>
          <w:tcPr>
            <w:tcW w:w="6279" w:type="dxa"/>
            <w:noWrap w:val="0"/>
            <w:vAlign w:val="center"/>
          </w:tcPr>
          <w:p>
            <w:pPr>
              <w:spacing w:line="340" w:lineRule="exact"/>
              <w:ind w:left="207" w:leftChars="61" w:right="170" w:rightChars="50"/>
              <w:rPr>
                <w:rFonts w:hint="eastAsia" w:ascii="宋体" w:hAnsi="宋体" w:eastAsia="宋体" w:cs="宋体"/>
                <w:color w:val="auto"/>
                <w:sz w:val="21"/>
                <w:szCs w:val="21"/>
                <w:highlight w:val="none"/>
                <w:lang w:val="zh-CN" w:eastAsia="zh-CN"/>
              </w:rPr>
            </w:pPr>
            <w:bookmarkStart w:id="41" w:name="_Hlk67911260"/>
            <w:r>
              <w:rPr>
                <w:rFonts w:hint="eastAsia" w:ascii="宋体" w:hAnsi="宋体" w:eastAsia="宋体" w:cs="宋体"/>
                <w:color w:val="auto"/>
                <w:sz w:val="21"/>
                <w:szCs w:val="21"/>
                <w:highlight w:val="none"/>
                <w:lang w:val="zh-CN" w:eastAsia="zh-CN"/>
              </w:rPr>
              <w:t>以成交金额为计费基数，参照原国家计委《关于印发招标代理服务收费管理暂行办法的通知》（计价格[2002]1980号）和国家发展改革委办公厅《关于招标代理服务收费有关问题的通知》（发改办价格［2003］857号）文件规定的收费标准下浮10％收取。</w:t>
            </w:r>
            <w:bookmarkEnd w:id="41"/>
          </w:p>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代理服务费可使用银行转账或采购代理机构认可的方式在领取成交通知书前支付。</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835" w:hRule="atLeast"/>
          <w:jc w:val="center"/>
        </w:trPr>
        <w:tc>
          <w:tcPr>
            <w:tcW w:w="575" w:type="dxa"/>
            <w:noWrap w:val="0"/>
            <w:vAlign w:val="center"/>
          </w:tcPr>
          <w:p>
            <w:pPr>
              <w:pStyle w:val="77"/>
              <w:ind w:right="23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1693" w:type="dxa"/>
            <w:noWrap w:val="0"/>
            <w:vAlign w:val="center"/>
          </w:tcPr>
          <w:p>
            <w:pPr>
              <w:adjustRightInd w:val="0"/>
              <w:snapToGrid w:val="0"/>
              <w:ind w:firstLine="105" w:firstLineChars="50"/>
              <w:jc w:val="center"/>
              <w:rPr>
                <w:rFonts w:hint="eastAsia" w:ascii="宋体" w:hAnsi="宋体" w:eastAsia="宋体" w:cs="宋体"/>
                <w:color w:val="auto"/>
                <w:sz w:val="21"/>
                <w:highlight w:val="none"/>
              </w:rPr>
            </w:pPr>
            <w:r>
              <w:rPr>
                <w:rFonts w:hint="eastAsia" w:ascii="宋体" w:hAnsi="宋体" w:eastAsia="宋体" w:cs="宋体"/>
                <w:color w:val="auto"/>
                <w:sz w:val="21"/>
                <w:szCs w:val="21"/>
                <w:highlight w:val="none"/>
                <w:lang w:val="zh-CN"/>
              </w:rPr>
              <w:t>承诺提醒</w:t>
            </w:r>
          </w:p>
        </w:tc>
        <w:tc>
          <w:tcPr>
            <w:tcW w:w="6279" w:type="dxa"/>
            <w:noWrap w:val="0"/>
            <w:vAlign w:val="center"/>
          </w:tcPr>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835" w:hRule="atLeast"/>
          <w:jc w:val="center"/>
        </w:trPr>
        <w:tc>
          <w:tcPr>
            <w:tcW w:w="575" w:type="dxa"/>
            <w:noWrap w:val="0"/>
            <w:vAlign w:val="center"/>
          </w:tcPr>
          <w:p>
            <w:pPr>
              <w:pStyle w:val="77"/>
              <w:ind w:right="23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1693" w:type="dxa"/>
            <w:noWrap w:val="0"/>
            <w:vAlign w:val="center"/>
          </w:tcPr>
          <w:p>
            <w:pPr>
              <w:pStyle w:val="94"/>
              <w:spacing w:before="46" w:line="253" w:lineRule="exact"/>
              <w:ind w:left="114" w:leftChars="0" w:right="82"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highlight w:val="none"/>
              </w:rPr>
              <w:t>备注</w:t>
            </w:r>
          </w:p>
        </w:tc>
        <w:tc>
          <w:tcPr>
            <w:tcW w:w="6279" w:type="dxa"/>
            <w:noWrap w:val="0"/>
            <w:vAlign w:val="center"/>
          </w:tcPr>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若</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lang w:val="zh-CN" w:eastAsia="zh-CN"/>
              </w:rPr>
              <w:t>文件中其他内容与</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须知</w:t>
            </w:r>
            <w:r>
              <w:rPr>
                <w:rFonts w:hint="eastAsia" w:ascii="宋体" w:hAnsi="宋体" w:eastAsia="宋体" w:cs="宋体"/>
                <w:color w:val="auto"/>
                <w:sz w:val="21"/>
                <w:szCs w:val="21"/>
                <w:highlight w:val="none"/>
                <w:lang w:val="en-US" w:eastAsia="zh-CN"/>
              </w:rPr>
              <w:t>前</w:t>
            </w:r>
            <w:r>
              <w:rPr>
                <w:rFonts w:hint="eastAsia" w:ascii="宋体" w:hAnsi="宋体" w:eastAsia="宋体" w:cs="宋体"/>
                <w:color w:val="auto"/>
                <w:sz w:val="21"/>
                <w:szCs w:val="21"/>
                <w:highlight w:val="none"/>
                <w:lang w:val="zh-CN" w:eastAsia="zh-CN"/>
              </w:rPr>
              <w:t>附表内容不一致的，以</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须知</w:t>
            </w:r>
            <w:r>
              <w:rPr>
                <w:rFonts w:hint="eastAsia" w:ascii="宋体" w:hAnsi="宋体" w:eastAsia="宋体" w:cs="宋体"/>
                <w:color w:val="auto"/>
                <w:sz w:val="21"/>
                <w:szCs w:val="21"/>
                <w:highlight w:val="none"/>
                <w:lang w:val="en-US" w:eastAsia="zh-CN"/>
              </w:rPr>
              <w:t>前</w:t>
            </w:r>
            <w:r>
              <w:rPr>
                <w:rFonts w:hint="eastAsia" w:ascii="宋体" w:hAnsi="宋体" w:eastAsia="宋体" w:cs="宋体"/>
                <w:color w:val="auto"/>
                <w:sz w:val="21"/>
                <w:szCs w:val="21"/>
                <w:highlight w:val="none"/>
                <w:lang w:val="zh-CN" w:eastAsia="zh-CN"/>
              </w:rPr>
              <w:t>附表为准。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835" w:hRule="atLeast"/>
          <w:jc w:val="center"/>
        </w:trPr>
        <w:tc>
          <w:tcPr>
            <w:tcW w:w="575" w:type="dxa"/>
            <w:noWrap w:val="0"/>
            <w:vAlign w:val="center"/>
          </w:tcPr>
          <w:p>
            <w:pPr>
              <w:pStyle w:val="77"/>
              <w:ind w:right="230" w:rightChars="0"/>
              <w:jc w:val="center"/>
              <w:rPr>
                <w:rFonts w:hint="eastAsia" w:ascii="宋体" w:hAnsi="宋体" w:eastAsia="宋体" w:cs="宋体"/>
                <w:color w:val="auto"/>
                <w:sz w:val="21"/>
                <w:szCs w:val="21"/>
                <w:highlight w:val="none"/>
                <w:lang w:val="en-US" w:eastAsia="zh-CN"/>
              </w:rPr>
            </w:pPr>
            <w:bookmarkStart w:id="42" w:name="_Toc28926_WPSOffice_Level2"/>
            <w:bookmarkStart w:id="43" w:name="_Toc7663"/>
            <w:bookmarkStart w:id="44" w:name="_Toc8368"/>
            <w:bookmarkStart w:id="45" w:name="_Toc23102"/>
            <w:bookmarkStart w:id="46" w:name="_Toc9494"/>
            <w:bookmarkStart w:id="47" w:name="_Toc23292"/>
            <w:bookmarkStart w:id="48" w:name="_Toc3424"/>
            <w:bookmarkStart w:id="49" w:name="_Toc21197"/>
            <w:bookmarkStart w:id="50" w:name="_Toc2363"/>
            <w:bookmarkStart w:id="51" w:name="_Toc26043"/>
            <w:bookmarkStart w:id="52" w:name="_Toc3243"/>
            <w:bookmarkStart w:id="53" w:name="_Toc217446034"/>
            <w:bookmarkStart w:id="54" w:name="_Toc183682342"/>
            <w:bookmarkStart w:id="55" w:name="_Toc183582205"/>
            <w:r>
              <w:rPr>
                <w:rFonts w:hint="eastAsia" w:ascii="宋体" w:hAnsi="宋体" w:eastAsia="宋体" w:cs="宋体"/>
                <w:color w:val="auto"/>
                <w:sz w:val="21"/>
                <w:szCs w:val="21"/>
                <w:highlight w:val="none"/>
                <w:lang w:val="en-US" w:eastAsia="zh-CN"/>
              </w:rPr>
              <w:t>22</w:t>
            </w:r>
          </w:p>
        </w:tc>
        <w:tc>
          <w:tcPr>
            <w:tcW w:w="1693" w:type="dxa"/>
            <w:noWrap w:val="0"/>
            <w:vAlign w:val="center"/>
          </w:tcPr>
          <w:p>
            <w:pPr>
              <w:pStyle w:val="77"/>
              <w:ind w:left="96" w:leftChars="0"/>
              <w:jc w:val="center"/>
              <w:rPr>
                <w:rFonts w:hint="eastAsia" w:ascii="宋体" w:hAnsi="宋体" w:eastAsia="宋体" w:cs="宋体"/>
                <w:color w:val="auto"/>
                <w:sz w:val="21"/>
                <w:highlight w:val="none"/>
              </w:rPr>
            </w:pPr>
            <w:r>
              <w:rPr>
                <w:rFonts w:hint="eastAsia" w:ascii="宋体" w:hAnsi="宋体" w:eastAsia="宋体" w:cs="宋体"/>
                <w:color w:val="auto"/>
                <w:sz w:val="21"/>
                <w:szCs w:val="21"/>
                <w:highlight w:val="none"/>
                <w:lang w:val="zh-CN"/>
              </w:rPr>
              <w:t>温馨提示</w:t>
            </w:r>
          </w:p>
        </w:tc>
        <w:tc>
          <w:tcPr>
            <w:tcW w:w="6279" w:type="dxa"/>
            <w:noWrap w:val="0"/>
            <w:vAlign w:val="center"/>
          </w:tcPr>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eastAsia="zh-CN"/>
              </w:rPr>
              <w:t>供应商需准备全流程所必需的硬件设备包括电脑（版本 win7 64位及以上）、麦克风、摄像头、CA证书等。建议使用同一台电脑完成投标、评标相关事宜，推荐安装 chrome 浏览器，且解密CA必须和加密CA为同一把。</w:t>
            </w:r>
          </w:p>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2.政府采购云平台供应商注册地址：</w:t>
            </w:r>
          </w:p>
          <w:p>
            <w:pPr>
              <w:spacing w:line="340" w:lineRule="exact"/>
              <w:ind w:left="207" w:leftChars="61" w:right="170" w:rightChars="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https://middle.zcygov.cn/v-settle-front/registry?settleCategory=1&amp;entranceType=119&amp;utm=a0017.b1347.cl50.3.c0de9400b91b11eb870ad7da87d69c97</w:t>
            </w:r>
          </w:p>
        </w:tc>
      </w:tr>
      <w:bookmarkEnd w:id="32"/>
    </w:tbl>
    <w:p>
      <w:pPr>
        <w:pStyle w:val="4"/>
        <w:spacing w:line="400" w:lineRule="exact"/>
        <w:jc w:val="center"/>
        <w:rPr>
          <w:rFonts w:hint="eastAsia" w:ascii="宋体" w:hAnsi="宋体" w:eastAsia="宋体" w:cs="宋体"/>
          <w:bCs w:val="0"/>
          <w:color w:val="auto"/>
          <w:highlight w:val="none"/>
        </w:rPr>
      </w:pPr>
      <w:bookmarkStart w:id="56" w:name="_Toc29175"/>
      <w:r>
        <w:rPr>
          <w:rFonts w:hint="eastAsia" w:ascii="宋体" w:hAnsi="宋体" w:eastAsia="宋体" w:cs="宋体"/>
          <w:bCs w:val="0"/>
          <w:color w:val="auto"/>
          <w:highlight w:val="none"/>
        </w:rPr>
        <w:t>二、总  则</w:t>
      </w:r>
      <w:bookmarkEnd w:id="42"/>
      <w:bookmarkEnd w:id="43"/>
      <w:bookmarkEnd w:id="44"/>
      <w:bookmarkEnd w:id="45"/>
      <w:bookmarkEnd w:id="46"/>
      <w:bookmarkEnd w:id="47"/>
      <w:bookmarkEnd w:id="48"/>
      <w:bookmarkEnd w:id="49"/>
      <w:bookmarkEnd w:id="50"/>
      <w:bookmarkEnd w:id="51"/>
      <w:bookmarkEnd w:id="52"/>
      <w:bookmarkEnd w:id="56"/>
    </w:p>
    <w:bookmarkEnd w:id="53"/>
    <w:bookmarkEnd w:id="54"/>
    <w:bookmarkEnd w:id="55"/>
    <w:p>
      <w:pPr>
        <w:pStyle w:val="5"/>
        <w:keepNext w:val="0"/>
        <w:keepLines w:val="0"/>
        <w:spacing w:before="0" w:after="0" w:line="360" w:lineRule="auto"/>
        <w:ind w:firstLine="482" w:firstLineChars="200"/>
        <w:rPr>
          <w:rFonts w:hint="eastAsia" w:ascii="宋体" w:hAnsi="宋体" w:eastAsia="宋体" w:cs="宋体"/>
          <w:color w:val="auto"/>
          <w:sz w:val="24"/>
          <w:highlight w:val="none"/>
        </w:rPr>
      </w:pPr>
      <w:bookmarkStart w:id="57" w:name="_Toc29687"/>
      <w:bookmarkStart w:id="58" w:name="_Toc15140"/>
      <w:bookmarkStart w:id="59" w:name="_Toc16643"/>
      <w:bookmarkStart w:id="60" w:name="_Toc24503"/>
      <w:bookmarkStart w:id="61" w:name="_Toc2545"/>
      <w:bookmarkStart w:id="62" w:name="_Toc30296"/>
      <w:bookmarkStart w:id="63" w:name="_Toc217390843"/>
      <w:bookmarkStart w:id="64" w:name="_Toc183682344"/>
      <w:bookmarkStart w:id="65" w:name="_Toc217446036"/>
      <w:bookmarkStart w:id="66" w:name="_Toc183582207"/>
      <w:bookmarkStart w:id="67" w:name="_Toc18738"/>
      <w:bookmarkStart w:id="68" w:name="_Toc14434"/>
      <w:bookmarkStart w:id="69" w:name="_Toc16559"/>
      <w:bookmarkStart w:id="70" w:name="_Toc17537"/>
      <w:bookmarkStart w:id="71" w:name="_Toc24058"/>
      <w:bookmarkStart w:id="72" w:name="_Toc183582209"/>
      <w:bookmarkStart w:id="73" w:name="_Toc217446038"/>
      <w:bookmarkStart w:id="74" w:name="_Toc183682346"/>
      <w:bookmarkStart w:id="75" w:name="_Toc77400779"/>
      <w:bookmarkStart w:id="76" w:name="_Toc89075875"/>
      <w:r>
        <w:rPr>
          <w:rFonts w:hint="eastAsia" w:ascii="宋体" w:hAnsi="宋体" w:eastAsia="宋体" w:cs="宋体"/>
          <w:color w:val="auto"/>
          <w:sz w:val="24"/>
          <w:highlight w:val="none"/>
        </w:rPr>
        <w:t>1.</w:t>
      </w:r>
      <w:r>
        <w:rPr>
          <w:rFonts w:hint="eastAsia" w:ascii="宋体" w:hAnsi="宋体" w:eastAsia="宋体" w:cs="宋体"/>
          <w:color w:val="auto"/>
          <w:sz w:val="24"/>
          <w:szCs w:val="24"/>
          <w:highlight w:val="none"/>
        </w:rPr>
        <w:t>适用范围</w:t>
      </w:r>
      <w:bookmarkEnd w:id="57"/>
      <w:bookmarkEnd w:id="58"/>
      <w:bookmarkEnd w:id="59"/>
      <w:bookmarkEnd w:id="60"/>
      <w:bookmarkEnd w:id="61"/>
      <w:bookmarkEnd w:id="62"/>
    </w:p>
    <w:p>
      <w:pPr>
        <w:tabs>
          <w:tab w:val="left" w:pos="7665"/>
        </w:tabs>
        <w:spacing w:line="360" w:lineRule="auto"/>
        <w:ind w:firstLine="480" w:firstLineChars="200"/>
        <w:rPr>
          <w:rFonts w:hint="eastAsia" w:ascii="宋体" w:hAnsi="宋体" w:eastAsia="宋体" w:cs="宋体"/>
          <w:color w:val="auto"/>
          <w:sz w:val="24"/>
          <w:highlight w:val="none"/>
        </w:rPr>
      </w:pPr>
      <w:bookmarkStart w:id="77" w:name="_Toc7217_WPSOffice_Level3"/>
      <w:bookmarkStart w:id="78" w:name="_Toc9376_WPSOffice_Level3"/>
      <w:r>
        <w:rPr>
          <w:rFonts w:hint="eastAsia" w:ascii="宋体" w:hAnsi="宋体" w:eastAsia="宋体" w:cs="宋体"/>
          <w:color w:val="auto"/>
          <w:sz w:val="24"/>
          <w:highlight w:val="none"/>
        </w:rPr>
        <w:t>1.1 本招标文件仅适用于本次项目所叙述的服务采购。</w:t>
      </w:r>
      <w:bookmarkEnd w:id="77"/>
      <w:bookmarkEnd w:id="78"/>
    </w:p>
    <w:p>
      <w:pPr>
        <w:tabs>
          <w:tab w:val="left" w:pos="7665"/>
        </w:tabs>
        <w:spacing w:line="360" w:lineRule="auto"/>
        <w:ind w:firstLine="480" w:firstLineChars="200"/>
        <w:rPr>
          <w:rFonts w:hint="eastAsia" w:ascii="宋体" w:hAnsi="宋体" w:eastAsia="宋体" w:cs="宋体"/>
          <w:color w:val="auto"/>
          <w:sz w:val="24"/>
          <w:highlight w:val="none"/>
        </w:rPr>
      </w:pPr>
      <w:bookmarkStart w:id="79" w:name="_Toc22715_WPSOffice_Level3"/>
      <w:bookmarkStart w:id="80" w:name="_Toc4050_WPSOffice_Level3"/>
      <w:r>
        <w:rPr>
          <w:rFonts w:hint="eastAsia" w:ascii="宋体" w:hAnsi="宋体" w:eastAsia="宋体" w:cs="宋体"/>
          <w:color w:val="auto"/>
          <w:sz w:val="24"/>
          <w:highlight w:val="none"/>
        </w:rPr>
        <w:t>1.2 本招标文件的解释权归采购人和采购代理机构所有。</w:t>
      </w:r>
      <w:bookmarkEnd w:id="79"/>
      <w:bookmarkEnd w:id="80"/>
    </w:p>
    <w:p>
      <w:pPr>
        <w:tabs>
          <w:tab w:val="left" w:pos="7665"/>
        </w:tabs>
        <w:spacing w:line="360" w:lineRule="auto"/>
        <w:ind w:firstLine="480" w:firstLineChars="200"/>
        <w:rPr>
          <w:rFonts w:hint="eastAsia" w:ascii="宋体" w:hAnsi="宋体" w:eastAsia="宋体" w:cs="宋体"/>
          <w:color w:val="auto"/>
          <w:sz w:val="24"/>
          <w:highlight w:val="none"/>
        </w:rPr>
      </w:pPr>
    </w:p>
    <w:p>
      <w:pPr>
        <w:pStyle w:val="5"/>
        <w:keepNext w:val="0"/>
        <w:keepLines w:val="0"/>
        <w:numPr>
          <w:ilvl w:val="2"/>
          <w:numId w:val="0"/>
        </w:numPr>
        <w:spacing w:before="0" w:after="0" w:line="360" w:lineRule="auto"/>
        <w:ind w:firstLine="482" w:firstLineChars="200"/>
        <w:rPr>
          <w:rFonts w:hint="eastAsia" w:ascii="宋体" w:hAnsi="宋体" w:eastAsia="宋体" w:cs="宋体"/>
          <w:color w:val="auto"/>
          <w:sz w:val="24"/>
          <w:highlight w:val="none"/>
        </w:rPr>
      </w:pPr>
      <w:bookmarkStart w:id="81" w:name="_Toc183682343"/>
      <w:bookmarkStart w:id="82" w:name="_Toc183582206"/>
      <w:bookmarkStart w:id="83" w:name="_Toc217446035"/>
      <w:bookmarkStart w:id="84" w:name="_Toc9368"/>
      <w:bookmarkStart w:id="85" w:name="_Toc26200"/>
      <w:bookmarkStart w:id="86" w:name="_Toc11635"/>
      <w:bookmarkStart w:id="87" w:name="_Toc14762"/>
      <w:bookmarkStart w:id="88" w:name="_Toc16933"/>
      <w:bookmarkStart w:id="89" w:name="_Toc18083"/>
      <w:r>
        <w:rPr>
          <w:rFonts w:hint="eastAsia" w:ascii="宋体" w:hAnsi="宋体" w:eastAsia="宋体" w:cs="宋体"/>
          <w:color w:val="auto"/>
          <w:sz w:val="24"/>
          <w:highlight w:val="none"/>
        </w:rPr>
        <w:t>2.</w:t>
      </w:r>
      <w:bookmarkEnd w:id="81"/>
      <w:bookmarkEnd w:id="82"/>
      <w:bookmarkEnd w:id="83"/>
      <w:r>
        <w:rPr>
          <w:rFonts w:hint="eastAsia" w:ascii="宋体" w:hAnsi="宋体" w:eastAsia="宋体" w:cs="宋体"/>
          <w:color w:val="auto"/>
          <w:sz w:val="24"/>
          <w:highlight w:val="none"/>
        </w:rPr>
        <w:t>采购主体</w:t>
      </w:r>
      <w:bookmarkEnd w:id="84"/>
      <w:bookmarkEnd w:id="85"/>
      <w:bookmarkEnd w:id="86"/>
      <w:bookmarkEnd w:id="87"/>
      <w:bookmarkEnd w:id="88"/>
      <w:bookmarkEnd w:id="89"/>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w:t>
      </w:r>
      <w:r>
        <w:rPr>
          <w:rFonts w:hint="eastAsia" w:ascii="宋体" w:hAnsi="宋体" w:eastAsia="宋体" w:cs="宋体"/>
          <w:color w:val="auto"/>
          <w:sz w:val="24"/>
          <w:highlight w:val="none"/>
          <w:lang w:val="en-US" w:eastAsia="zh-CN"/>
        </w:rPr>
        <w:t>项目的</w:t>
      </w:r>
      <w:r>
        <w:rPr>
          <w:rFonts w:hint="eastAsia" w:ascii="宋体" w:hAnsi="宋体" w:eastAsia="宋体" w:cs="宋体"/>
          <w:color w:val="auto"/>
          <w:sz w:val="24"/>
          <w:highlight w:val="none"/>
        </w:rPr>
        <w:t>采购人是</w:t>
      </w:r>
      <w:r>
        <w:rPr>
          <w:rFonts w:hint="eastAsia" w:ascii="宋体" w:hAnsi="宋体" w:eastAsia="宋体" w:cs="宋体"/>
          <w:color w:val="auto"/>
          <w:sz w:val="24"/>
          <w:highlight w:val="none"/>
          <w:u w:val="single"/>
        </w:rPr>
        <w:t xml:space="preserve">  成都市新津区公园城市建设局 </w:t>
      </w:r>
      <w:r>
        <w:rPr>
          <w:rFonts w:hint="eastAsia" w:ascii="宋体" w:hAnsi="宋体" w:eastAsia="宋体" w:cs="宋体"/>
          <w:color w:val="auto"/>
          <w:sz w:val="24"/>
          <w:highlight w:val="none"/>
        </w:rPr>
        <w:t xml:space="preserve"> 。</w:t>
      </w:r>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2.2本</w:t>
      </w:r>
      <w:r>
        <w:rPr>
          <w:rFonts w:hint="eastAsia" w:ascii="宋体" w:hAnsi="宋体" w:eastAsia="宋体" w:cs="宋体"/>
          <w:color w:val="auto"/>
          <w:sz w:val="24"/>
          <w:highlight w:val="none"/>
          <w:lang w:val="en-US" w:eastAsia="zh-CN"/>
        </w:rPr>
        <w:t>项目的</w:t>
      </w:r>
      <w:r>
        <w:rPr>
          <w:rFonts w:hint="eastAsia" w:ascii="宋体" w:hAnsi="宋体" w:eastAsia="宋体" w:cs="宋体"/>
          <w:color w:val="auto"/>
          <w:sz w:val="24"/>
          <w:highlight w:val="none"/>
        </w:rPr>
        <w:t>采购代理机构是</w:t>
      </w:r>
      <w:r>
        <w:rPr>
          <w:rFonts w:hint="eastAsia" w:ascii="宋体" w:hAnsi="宋体" w:eastAsia="宋体" w:cs="宋体"/>
          <w:color w:val="auto"/>
          <w:sz w:val="24"/>
          <w:highlight w:val="none"/>
          <w:u w:val="single"/>
        </w:rPr>
        <w:t xml:space="preserve"> 四川重德招标有限责任公司 </w:t>
      </w:r>
      <w:r>
        <w:rPr>
          <w:rFonts w:hint="eastAsia" w:ascii="宋体" w:hAnsi="宋体" w:eastAsia="宋体" w:cs="宋体"/>
          <w:color w:val="auto"/>
          <w:sz w:val="24"/>
          <w:highlight w:val="none"/>
        </w:rPr>
        <w:t>。</w:t>
      </w:r>
    </w:p>
    <w:p>
      <w:pPr>
        <w:tabs>
          <w:tab w:val="left" w:pos="7665"/>
        </w:tabs>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2.3“招标采购单位”系指“采购人”和“采购代理机构”的统称。</w:t>
      </w:r>
    </w:p>
    <w:p>
      <w:pPr>
        <w:tabs>
          <w:tab w:val="left" w:pos="7665"/>
        </w:tabs>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2.4“投标人”系指在政府采购云平台中成功</w:t>
      </w:r>
      <w:r>
        <w:rPr>
          <w:rFonts w:hint="eastAsia" w:hAnsi="宋体" w:eastAsia="宋体" w:cs="宋体"/>
          <w:color w:val="auto"/>
          <w:sz w:val="24"/>
          <w:szCs w:val="22"/>
          <w:highlight w:val="none"/>
          <w:lang w:val="en-US" w:eastAsia="zh-CN"/>
        </w:rPr>
        <w:t>报名、获取招标文件</w:t>
      </w:r>
      <w:r>
        <w:rPr>
          <w:rFonts w:hint="eastAsia" w:ascii="宋体" w:hAnsi="宋体" w:eastAsia="宋体" w:cs="宋体"/>
          <w:color w:val="auto"/>
          <w:sz w:val="24"/>
          <w:szCs w:val="22"/>
          <w:highlight w:val="none"/>
        </w:rPr>
        <w:t>拟参加投标和向采购人提供货物</w:t>
      </w:r>
      <w:r>
        <w:rPr>
          <w:rFonts w:hint="eastAsia" w:hAnsi="宋体" w:eastAsia="宋体" w:cs="宋体"/>
          <w:color w:val="auto"/>
          <w:sz w:val="24"/>
          <w:szCs w:val="22"/>
          <w:highlight w:val="none"/>
          <w:lang w:val="en-US" w:eastAsia="zh-CN"/>
        </w:rPr>
        <w:t>或</w:t>
      </w:r>
      <w:r>
        <w:rPr>
          <w:rFonts w:hint="eastAsia" w:ascii="宋体" w:hAnsi="宋体" w:eastAsia="宋体" w:cs="宋体"/>
          <w:color w:val="auto"/>
          <w:sz w:val="24"/>
          <w:szCs w:val="22"/>
          <w:highlight w:val="none"/>
        </w:rPr>
        <w:t>服务的供应商。</w:t>
      </w:r>
    </w:p>
    <w:p>
      <w:pPr>
        <w:tabs>
          <w:tab w:val="left" w:pos="7665"/>
        </w:tabs>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2.5</w:t>
      </w:r>
      <w:r>
        <w:rPr>
          <w:rFonts w:hint="eastAsia" w:ascii="宋体" w:hAnsi="宋体" w:eastAsia="宋体" w:cs="宋体"/>
          <w:color w:val="auto"/>
          <w:sz w:val="24"/>
          <w:szCs w:val="22"/>
          <w:highlight w:val="none"/>
          <w:lang w:val="en-US" w:eastAsia="zh-CN"/>
        </w:rPr>
        <w:t>时间计算：</w:t>
      </w:r>
      <w:r>
        <w:rPr>
          <w:rFonts w:hint="eastAsia" w:ascii="宋体" w:hAnsi="宋体" w:eastAsia="宋体" w:cs="宋体"/>
          <w:color w:val="auto"/>
          <w:sz w:val="24"/>
          <w:szCs w:val="22"/>
          <w:highlight w:val="none"/>
        </w:rPr>
        <w:t>本招标文件</w:t>
      </w:r>
      <w:r>
        <w:rPr>
          <w:rFonts w:hint="eastAsia" w:ascii="宋体" w:hAnsi="宋体" w:eastAsia="宋体" w:cs="宋体"/>
          <w:color w:val="auto"/>
          <w:sz w:val="24"/>
          <w:szCs w:val="22"/>
          <w:highlight w:val="none"/>
          <w:lang w:val="en-US" w:eastAsia="zh-CN"/>
        </w:rPr>
        <w:t>规定按日计算期间的，开始当天不计入</w:t>
      </w:r>
      <w:r>
        <w:rPr>
          <w:rFonts w:hint="eastAsia" w:ascii="宋体" w:hAnsi="宋体" w:eastAsia="宋体" w:cs="宋体"/>
          <w:color w:val="auto"/>
          <w:sz w:val="24"/>
          <w:szCs w:val="22"/>
          <w:highlight w:val="none"/>
        </w:rPr>
        <w:t>而从次日开始计算。期间届满的最后一天是</w:t>
      </w:r>
      <w:r>
        <w:rPr>
          <w:rFonts w:hint="eastAsia" w:ascii="宋体" w:hAnsi="宋体" w:eastAsia="宋体" w:cs="宋体"/>
          <w:color w:val="auto"/>
          <w:sz w:val="24"/>
          <w:szCs w:val="22"/>
          <w:highlight w:val="none"/>
          <w:lang w:val="en-US" w:eastAsia="zh-CN"/>
        </w:rPr>
        <w:t>国家法定</w:t>
      </w:r>
      <w:r>
        <w:rPr>
          <w:rFonts w:hint="eastAsia" w:ascii="宋体" w:hAnsi="宋体" w:eastAsia="宋体" w:cs="宋体"/>
          <w:color w:val="auto"/>
          <w:sz w:val="24"/>
          <w:szCs w:val="22"/>
          <w:highlight w:val="none"/>
        </w:rPr>
        <w:t>节假日的，以节假日后的第一日为期间届满的日期。</w:t>
      </w:r>
    </w:p>
    <w:p>
      <w:pPr>
        <w:tabs>
          <w:tab w:val="left" w:pos="7665"/>
        </w:tabs>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2.6本招标文件各部分规定的时间均以北京时间为准。</w:t>
      </w:r>
    </w:p>
    <w:p>
      <w:pPr>
        <w:tabs>
          <w:tab w:val="left" w:pos="7665"/>
        </w:tabs>
        <w:spacing w:line="360" w:lineRule="auto"/>
        <w:ind w:firstLine="480" w:firstLineChars="200"/>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2.7本数计算：本招标文件所称的“以上”、“以下”、“内”、“以内”均包括本数；所称的“不足”不包括本数。</w:t>
      </w:r>
    </w:p>
    <w:p>
      <w:pPr>
        <w:tabs>
          <w:tab w:val="left" w:pos="7665"/>
        </w:tabs>
        <w:spacing w:line="360" w:lineRule="auto"/>
        <w:ind w:firstLine="480" w:firstLineChars="200"/>
        <w:rPr>
          <w:rFonts w:hint="eastAsia" w:ascii="宋体" w:hAnsi="宋体" w:eastAsia="宋体" w:cs="宋体"/>
          <w:color w:val="auto"/>
          <w:sz w:val="24"/>
          <w:szCs w:val="22"/>
          <w:highlight w:val="none"/>
          <w:lang w:val="en-US" w:eastAsia="zh-CN"/>
        </w:rPr>
      </w:pPr>
    </w:p>
    <w:p>
      <w:pPr>
        <w:pStyle w:val="5"/>
        <w:spacing w:line="360" w:lineRule="auto"/>
        <w:ind w:firstLine="482" w:firstLineChars="200"/>
        <w:rPr>
          <w:rFonts w:hint="eastAsia" w:ascii="宋体" w:hAnsi="宋体" w:eastAsia="宋体" w:cs="宋体"/>
          <w:color w:val="auto"/>
          <w:sz w:val="24"/>
          <w:highlight w:val="none"/>
          <w:lang w:val="en-US" w:eastAsia="zh-CN"/>
        </w:rPr>
      </w:pPr>
      <w:bookmarkStart w:id="90" w:name="_Toc10182"/>
      <w:bookmarkStart w:id="91" w:name="_Toc11927"/>
      <w:bookmarkStart w:id="92" w:name="_Toc27125"/>
      <w:bookmarkStart w:id="93" w:name="_Toc3297"/>
      <w:bookmarkStart w:id="94" w:name="_Toc29962"/>
      <w:bookmarkStart w:id="95" w:name="_Toc1516"/>
      <w:r>
        <w:rPr>
          <w:rFonts w:hint="eastAsia" w:ascii="宋体" w:hAnsi="宋体" w:eastAsia="宋体" w:cs="宋体"/>
          <w:color w:val="auto"/>
          <w:sz w:val="24"/>
          <w:highlight w:val="none"/>
        </w:rPr>
        <w:t>3.合格的投标人</w:t>
      </w:r>
      <w:bookmarkEnd w:id="63"/>
      <w:bookmarkEnd w:id="64"/>
      <w:bookmarkEnd w:id="65"/>
      <w:bookmarkEnd w:id="66"/>
      <w:r>
        <w:rPr>
          <w:rFonts w:hint="eastAsia" w:ascii="宋体" w:hAnsi="宋体" w:eastAsia="宋体" w:cs="宋体"/>
          <w:color w:val="auto"/>
          <w:sz w:val="24"/>
          <w:szCs w:val="24"/>
          <w:highlight w:val="none"/>
        </w:rPr>
        <w:t>（实质性要求）</w:t>
      </w:r>
      <w:bookmarkEnd w:id="67"/>
      <w:bookmarkEnd w:id="68"/>
      <w:bookmarkEnd w:id="69"/>
      <w:bookmarkEnd w:id="90"/>
      <w:bookmarkEnd w:id="91"/>
      <w:bookmarkEnd w:id="92"/>
      <w:bookmarkEnd w:id="93"/>
      <w:bookmarkEnd w:id="94"/>
      <w:bookmarkEnd w:id="95"/>
    </w:p>
    <w:p>
      <w:pPr>
        <w:tabs>
          <w:tab w:val="left" w:pos="7665"/>
        </w:tabs>
        <w:spacing w:line="360" w:lineRule="auto"/>
        <w:ind w:firstLine="480" w:firstLineChars="200"/>
        <w:rPr>
          <w:rFonts w:hint="eastAsia" w:ascii="宋体" w:hAnsi="宋体" w:eastAsia="宋体" w:cs="宋体"/>
          <w:color w:val="auto"/>
          <w:sz w:val="24"/>
          <w:highlight w:val="none"/>
        </w:rPr>
      </w:pPr>
      <w:bookmarkStart w:id="96" w:name="_Toc183582208"/>
      <w:bookmarkStart w:id="97" w:name="_Toc183682345"/>
      <w:bookmarkStart w:id="98" w:name="_Toc217446037"/>
      <w:bookmarkStart w:id="99" w:name="_Toc15601"/>
      <w:bookmarkStart w:id="100" w:name="_Toc11930"/>
      <w:bookmarkStart w:id="101" w:name="_Toc16902"/>
      <w:bookmarkStart w:id="102" w:name="_Toc28872"/>
      <w:bookmarkStart w:id="103" w:name="_Toc23485"/>
      <w:bookmarkStart w:id="104" w:name="_Toc26238"/>
      <w:bookmarkStart w:id="105" w:name="_Toc3751"/>
      <w:bookmarkStart w:id="106" w:name="_Toc25579"/>
      <w:r>
        <w:rPr>
          <w:rFonts w:hint="eastAsia" w:ascii="宋体" w:hAnsi="宋体" w:eastAsia="宋体" w:cs="宋体"/>
          <w:color w:val="auto"/>
          <w:sz w:val="24"/>
          <w:highlight w:val="none"/>
        </w:rPr>
        <w:t>合格供应商应具备以下条件：</w:t>
      </w:r>
    </w:p>
    <w:p>
      <w:pPr>
        <w:tabs>
          <w:tab w:val="left" w:pos="7665"/>
        </w:tabs>
        <w:spacing w:line="360" w:lineRule="auto"/>
        <w:ind w:firstLine="480" w:firstLineChars="200"/>
        <w:rPr>
          <w:rFonts w:hint="eastAsia" w:ascii="宋体" w:hAnsi="宋体" w:eastAsia="宋体" w:cs="宋体"/>
          <w:color w:val="auto"/>
          <w:spacing w:val="-4"/>
          <w:sz w:val="24"/>
          <w:highlight w:val="none"/>
        </w:rPr>
      </w:pPr>
      <w:r>
        <w:rPr>
          <w:rFonts w:hint="eastAsia" w:ascii="宋体" w:hAnsi="宋体" w:eastAsia="宋体" w:cs="宋体"/>
          <w:color w:val="auto"/>
          <w:sz w:val="24"/>
          <w:highlight w:val="none"/>
        </w:rPr>
        <w:t>3.1具备法律法规和本采购文件规定的资格条件</w:t>
      </w:r>
      <w:r>
        <w:rPr>
          <w:rFonts w:hint="eastAsia" w:ascii="宋体" w:hAnsi="宋体" w:eastAsia="宋体" w:cs="宋体"/>
          <w:color w:val="auto"/>
          <w:spacing w:val="-4"/>
          <w:sz w:val="24"/>
          <w:highlight w:val="none"/>
        </w:rPr>
        <w:t>；</w:t>
      </w:r>
    </w:p>
    <w:p>
      <w:pPr>
        <w:tabs>
          <w:tab w:val="left" w:pos="7665"/>
        </w:tabs>
        <w:spacing w:line="360" w:lineRule="auto"/>
        <w:ind w:firstLine="464" w:firstLineChars="200"/>
        <w:rPr>
          <w:rFonts w:hint="eastAsia" w:ascii="宋体" w:hAnsi="宋体" w:eastAsia="宋体" w:cs="宋体"/>
          <w:color w:val="auto"/>
          <w:sz w:val="24"/>
          <w:highlight w:val="none"/>
        </w:rPr>
      </w:pPr>
      <w:r>
        <w:rPr>
          <w:rFonts w:hint="eastAsia" w:ascii="宋体" w:hAnsi="宋体" w:eastAsia="宋体" w:cs="宋体"/>
          <w:color w:val="auto"/>
          <w:spacing w:val="-4"/>
          <w:sz w:val="24"/>
          <w:highlight w:val="none"/>
          <w:lang w:val="en-US" w:eastAsia="zh-CN"/>
        </w:rPr>
        <w:t>3.2按招标文件规定的方式成功报名并</w:t>
      </w:r>
      <w:r>
        <w:rPr>
          <w:rFonts w:hint="eastAsia" w:ascii="宋体" w:hAnsi="宋体" w:eastAsia="宋体" w:cs="宋体"/>
          <w:color w:val="auto"/>
          <w:sz w:val="24"/>
          <w:highlight w:val="none"/>
        </w:rPr>
        <w:t>获取了</w:t>
      </w:r>
      <w:r>
        <w:rPr>
          <w:rFonts w:hint="eastAsia" w:ascii="宋体" w:hAnsi="宋体" w:eastAsia="宋体" w:cs="宋体"/>
          <w:color w:val="auto"/>
          <w:sz w:val="24"/>
          <w:highlight w:val="none"/>
          <w:lang w:val="en-US" w:eastAsia="zh-CN"/>
        </w:rPr>
        <w:t>招</w:t>
      </w:r>
      <w:r>
        <w:rPr>
          <w:rFonts w:hint="eastAsia" w:ascii="宋体" w:hAnsi="宋体" w:eastAsia="宋体" w:cs="宋体"/>
          <w:color w:val="auto"/>
          <w:sz w:val="24"/>
          <w:highlight w:val="none"/>
        </w:rPr>
        <w:t>标文件，属于实质性参加政府采购活动的供应商。</w:t>
      </w:r>
    </w:p>
    <w:p>
      <w:pPr>
        <w:pStyle w:val="5"/>
        <w:spacing w:line="360" w:lineRule="auto"/>
        <w:ind w:firstLine="482" w:firstLineChars="200"/>
        <w:rPr>
          <w:rFonts w:hint="eastAsia" w:ascii="宋体" w:hAnsi="宋体" w:eastAsia="宋体" w:cs="宋体"/>
          <w:color w:val="auto"/>
          <w:sz w:val="24"/>
          <w:highlight w:val="none"/>
        </w:rPr>
      </w:pPr>
      <w:bookmarkStart w:id="107" w:name="_Toc11230"/>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.投标费用</w:t>
      </w:r>
      <w:bookmarkEnd w:id="96"/>
      <w:bookmarkEnd w:id="97"/>
      <w:bookmarkEnd w:id="98"/>
      <w:r>
        <w:rPr>
          <w:rFonts w:hint="eastAsia" w:ascii="宋体" w:hAnsi="宋体" w:eastAsia="宋体" w:cs="宋体"/>
          <w:color w:val="auto"/>
          <w:sz w:val="24"/>
          <w:szCs w:val="24"/>
          <w:highlight w:val="none"/>
        </w:rPr>
        <w:t>（实质性要求）</w:t>
      </w:r>
      <w:bookmarkEnd w:id="99"/>
      <w:bookmarkEnd w:id="100"/>
      <w:bookmarkEnd w:id="101"/>
      <w:bookmarkEnd w:id="102"/>
      <w:bookmarkEnd w:id="103"/>
      <w:bookmarkEnd w:id="104"/>
      <w:bookmarkEnd w:id="105"/>
      <w:bookmarkEnd w:id="106"/>
      <w:bookmarkEnd w:id="107"/>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投标人参加投标的有关费用由投标人自行承担。</w:t>
      </w:r>
    </w:p>
    <w:bookmarkEnd w:id="70"/>
    <w:bookmarkEnd w:id="71"/>
    <w:bookmarkEnd w:id="72"/>
    <w:bookmarkEnd w:id="73"/>
    <w:bookmarkEnd w:id="74"/>
    <w:bookmarkEnd w:id="75"/>
    <w:bookmarkEnd w:id="76"/>
    <w:p>
      <w:pPr>
        <w:pStyle w:val="5"/>
        <w:spacing w:line="360" w:lineRule="auto"/>
        <w:ind w:firstLine="482" w:firstLineChars="200"/>
        <w:rPr>
          <w:rFonts w:hint="eastAsia" w:ascii="宋体" w:hAnsi="宋体" w:eastAsia="宋体" w:cs="宋体"/>
          <w:b/>
          <w:bCs/>
          <w:color w:val="auto"/>
          <w:sz w:val="24"/>
          <w:highlight w:val="none"/>
          <w:lang w:val="en-US" w:eastAsia="zh-CN"/>
        </w:rPr>
      </w:pPr>
      <w:bookmarkStart w:id="108" w:name="_Toc26716"/>
      <w:bookmarkStart w:id="109" w:name="_Toc19976"/>
      <w:bookmarkStart w:id="110" w:name="_Toc21485"/>
      <w:bookmarkStart w:id="111" w:name="_Toc4311"/>
      <w:bookmarkStart w:id="112" w:name="_Toc15386"/>
      <w:bookmarkStart w:id="113" w:name="_Toc24404"/>
      <w:bookmarkStart w:id="114" w:name="_Toc21193"/>
      <w:bookmarkStart w:id="115" w:name="_Toc20797"/>
      <w:bookmarkStart w:id="116" w:name="_Toc7297"/>
      <w:bookmarkStart w:id="117" w:name="_Toc1024"/>
      <w:bookmarkStart w:id="118" w:name="_Toc28003"/>
      <w:bookmarkStart w:id="119" w:name="_Toc417904355"/>
      <w:r>
        <w:rPr>
          <w:rFonts w:hint="eastAsia" w:ascii="宋体" w:hAnsi="宋体" w:eastAsia="宋体" w:cs="宋体"/>
          <w:b/>
          <w:bCs/>
          <w:color w:val="auto"/>
          <w:sz w:val="24"/>
          <w:highlight w:val="none"/>
          <w:lang w:val="en-US" w:eastAsia="zh-CN"/>
        </w:rPr>
        <w:t>5</w:t>
      </w:r>
      <w:r>
        <w:rPr>
          <w:rFonts w:hint="eastAsia" w:ascii="宋体" w:hAnsi="宋体" w:eastAsia="宋体" w:cs="宋体"/>
          <w:color w:val="auto"/>
          <w:sz w:val="24"/>
          <w:highlight w:val="none"/>
        </w:rPr>
        <w:t>.</w:t>
      </w:r>
      <w:r>
        <w:rPr>
          <w:rFonts w:hint="eastAsia" w:ascii="宋体" w:hAnsi="宋体" w:eastAsia="宋体" w:cs="宋体"/>
          <w:b/>
          <w:bCs/>
          <w:color w:val="auto"/>
          <w:sz w:val="24"/>
          <w:highlight w:val="none"/>
          <w:lang w:val="en-US" w:eastAsia="zh-CN"/>
        </w:rPr>
        <w:t>充分、公平竞争保障措施（实质性要求）</w:t>
      </w:r>
      <w:bookmarkEnd w:id="108"/>
      <w:bookmarkEnd w:id="109"/>
      <w:bookmarkEnd w:id="110"/>
      <w:bookmarkEnd w:id="111"/>
      <w:bookmarkEnd w:id="112"/>
      <w:bookmarkEnd w:id="113"/>
      <w:bookmarkEnd w:id="114"/>
      <w:bookmarkEnd w:id="115"/>
      <w:bookmarkEnd w:id="116"/>
    </w:p>
    <w:p>
      <w:pPr>
        <w:tabs>
          <w:tab w:val="left" w:pos="1134"/>
        </w:tabs>
        <w:spacing w:line="360" w:lineRule="auto"/>
        <w:ind w:firstLine="482" w:firstLineChars="200"/>
        <w:jc w:val="left"/>
        <w:rPr>
          <w:rFonts w:hint="eastAsia" w:ascii="宋体" w:hAnsi="宋体" w:eastAsia="宋体" w:cs="宋体"/>
          <w:color w:val="auto"/>
          <w:sz w:val="24"/>
          <w:highlight w:val="none"/>
        </w:rPr>
      </w:pPr>
      <w:bookmarkStart w:id="120" w:name="_Toc11370"/>
      <w:bookmarkStart w:id="121" w:name="_Toc12354"/>
      <w:bookmarkStart w:id="122" w:name="_Toc12382"/>
      <w:bookmarkStart w:id="123" w:name="_Toc29686_WPSOffice_Level2"/>
      <w:bookmarkStart w:id="124" w:name="_Toc12651"/>
      <w:bookmarkStart w:id="125" w:name="_Toc10274"/>
      <w:bookmarkStart w:id="126" w:name="_Toc11605"/>
      <w:bookmarkStart w:id="127" w:name="_Toc14065"/>
      <w:r>
        <w:rPr>
          <w:rFonts w:hint="eastAsia" w:ascii="宋体" w:hAnsi="宋体" w:eastAsia="宋体" w:cs="宋体"/>
          <w:b/>
          <w:bCs/>
          <w:color w:val="auto"/>
          <w:sz w:val="24"/>
          <w:highlight w:val="none"/>
          <w:lang w:val="en-US" w:eastAsia="zh-CN"/>
        </w:rPr>
        <w:t>5.1</w:t>
      </w:r>
      <w:r>
        <w:rPr>
          <w:rFonts w:hint="eastAsia" w:ascii="宋体" w:hAnsi="宋体" w:eastAsia="宋体" w:cs="宋体"/>
          <w:color w:val="auto"/>
          <w:sz w:val="24"/>
          <w:highlight w:val="none"/>
        </w:rPr>
        <w:t>利害关系供应商处理。单位负责人为同一人或者存在直接控股、管理关系的不同供应商不得参加同一合同项下的政府采购活动。同一集团、总公司或母公司等，连同其下属的全资子公司或（持股50%以上的）绝对控股子公司等（非控股子公司除外），只能由一家参加同一分包的投标。否则，其投标文件</w:t>
      </w:r>
      <w:r>
        <w:rPr>
          <w:rFonts w:hint="eastAsia" w:ascii="宋体" w:hAnsi="宋体" w:eastAsia="宋体" w:cs="宋体"/>
          <w:color w:val="auto"/>
          <w:sz w:val="24"/>
          <w:highlight w:val="none"/>
          <w:lang w:val="en-US" w:eastAsia="zh-CN"/>
        </w:rPr>
        <w:t>均</w:t>
      </w:r>
      <w:r>
        <w:rPr>
          <w:rFonts w:hint="eastAsia" w:ascii="宋体" w:hAnsi="宋体" w:eastAsia="宋体" w:cs="宋体"/>
          <w:color w:val="auto"/>
          <w:sz w:val="24"/>
          <w:highlight w:val="none"/>
        </w:rPr>
        <w:t>作为无效</w:t>
      </w:r>
      <w:r>
        <w:rPr>
          <w:rFonts w:hint="eastAsia" w:ascii="宋体" w:hAnsi="宋体" w:eastAsia="宋体" w:cs="宋体"/>
          <w:color w:val="auto"/>
          <w:sz w:val="24"/>
          <w:highlight w:val="none"/>
          <w:lang w:val="en-US" w:eastAsia="zh-CN"/>
        </w:rPr>
        <w:t>投标文件</w:t>
      </w:r>
      <w:r>
        <w:rPr>
          <w:rFonts w:hint="eastAsia" w:ascii="宋体" w:hAnsi="宋体" w:eastAsia="宋体" w:cs="宋体"/>
          <w:color w:val="auto"/>
          <w:sz w:val="24"/>
          <w:highlight w:val="none"/>
        </w:rPr>
        <w:t>处理。</w:t>
      </w:r>
    </w:p>
    <w:p>
      <w:pPr>
        <w:pStyle w:val="98"/>
        <w:spacing w:line="460" w:lineRule="exact"/>
        <w:ind w:left="1" w:firstLine="482" w:firstLineChars="200"/>
        <w:rPr>
          <w:rFonts w:hint="eastAsia" w:ascii="宋体" w:hAnsi="宋体" w:eastAsia="宋体" w:cs="宋体"/>
          <w:b w:val="0"/>
          <w:bCs/>
          <w:color w:val="auto"/>
          <w:sz w:val="24"/>
          <w:highlight w:val="none"/>
        </w:rPr>
      </w:pPr>
      <w:r>
        <w:rPr>
          <w:rFonts w:hint="eastAsia" w:ascii="宋体" w:hAnsi="宋体" w:eastAsia="宋体" w:cs="宋体"/>
          <w:b/>
          <w:color w:val="auto"/>
          <w:sz w:val="24"/>
          <w:highlight w:val="none"/>
          <w:lang w:val="en-US" w:eastAsia="zh-CN"/>
        </w:rPr>
        <w:t>5.2</w:t>
      </w:r>
      <w:r>
        <w:rPr>
          <w:rFonts w:hint="eastAsia" w:ascii="宋体" w:hAnsi="宋体" w:eastAsia="宋体" w:cs="宋体"/>
          <w:b/>
          <w:color w:val="auto"/>
          <w:sz w:val="24"/>
          <w:highlight w:val="none"/>
        </w:rPr>
        <w:t>前期参与供应商处理。</w:t>
      </w:r>
      <w:r>
        <w:rPr>
          <w:rFonts w:hint="eastAsia" w:ascii="宋体" w:hAnsi="宋体" w:eastAsia="宋体" w:cs="宋体"/>
          <w:b w:val="0"/>
          <w:bCs/>
          <w:color w:val="auto"/>
          <w:sz w:val="24"/>
          <w:highlight w:val="none"/>
        </w:rPr>
        <w:t>除单一来源采购项目外，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98"/>
        <w:spacing w:line="460" w:lineRule="exact"/>
        <w:ind w:left="1"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lang w:val="en-US" w:eastAsia="zh-CN"/>
        </w:rPr>
        <w:t>5.3</w:t>
      </w:r>
      <w:r>
        <w:rPr>
          <w:rFonts w:hint="eastAsia" w:ascii="宋体" w:hAnsi="宋体" w:eastAsia="宋体" w:cs="宋体"/>
          <w:b/>
          <w:color w:val="auto"/>
          <w:sz w:val="24"/>
          <w:highlight w:val="none"/>
        </w:rPr>
        <w:t>利害关系代理人处理。</w:t>
      </w:r>
      <w:r>
        <w:rPr>
          <w:rFonts w:hint="eastAsia" w:ascii="宋体" w:hAnsi="宋体" w:eastAsia="宋体" w:cs="宋体"/>
          <w:color w:val="auto"/>
          <w:sz w:val="24"/>
          <w:highlight w:val="none"/>
        </w:rPr>
        <w:t>2家以上的供应商不得在同一合同项下的采购项目中，同时委托同一个自然人、同一家庭的人员、同一单位的人员作为其代理人，否则，其投标文件</w:t>
      </w:r>
      <w:r>
        <w:rPr>
          <w:rFonts w:hint="eastAsia" w:ascii="宋体" w:hAnsi="宋体" w:eastAsia="宋体" w:cs="宋体"/>
          <w:color w:val="auto"/>
          <w:sz w:val="24"/>
          <w:highlight w:val="none"/>
          <w:lang w:val="en-US" w:eastAsia="zh-CN"/>
        </w:rPr>
        <w:t>均</w:t>
      </w:r>
      <w:r>
        <w:rPr>
          <w:rFonts w:hint="eastAsia" w:ascii="宋体" w:hAnsi="宋体" w:eastAsia="宋体" w:cs="宋体"/>
          <w:color w:val="auto"/>
          <w:sz w:val="24"/>
          <w:highlight w:val="none"/>
        </w:rPr>
        <w:t>作为无效</w:t>
      </w:r>
      <w:r>
        <w:rPr>
          <w:rFonts w:hint="eastAsia" w:ascii="宋体" w:hAnsi="宋体" w:eastAsia="宋体" w:cs="宋体"/>
          <w:color w:val="auto"/>
          <w:sz w:val="24"/>
          <w:highlight w:val="none"/>
          <w:lang w:val="en-US" w:eastAsia="zh-CN"/>
        </w:rPr>
        <w:t>投标文件</w:t>
      </w:r>
      <w:r>
        <w:rPr>
          <w:rFonts w:hint="eastAsia" w:ascii="宋体" w:hAnsi="宋体" w:eastAsia="宋体" w:cs="宋体"/>
          <w:color w:val="auto"/>
          <w:sz w:val="24"/>
          <w:highlight w:val="none"/>
        </w:rPr>
        <w:t>处理。</w:t>
      </w:r>
    </w:p>
    <w:p>
      <w:pPr>
        <w:pStyle w:val="4"/>
        <w:spacing w:line="360" w:lineRule="auto"/>
        <w:jc w:val="center"/>
        <w:rPr>
          <w:rFonts w:hint="eastAsia" w:ascii="宋体" w:hAnsi="宋体" w:eastAsia="宋体" w:cs="宋体"/>
          <w:bCs w:val="0"/>
          <w:color w:val="auto"/>
          <w:highlight w:val="none"/>
        </w:rPr>
      </w:pPr>
      <w:bookmarkStart w:id="128" w:name="_Toc24549"/>
      <w:r>
        <w:rPr>
          <w:rFonts w:hint="eastAsia" w:ascii="宋体" w:hAnsi="宋体" w:eastAsia="宋体" w:cs="宋体"/>
          <w:bCs w:val="0"/>
          <w:color w:val="auto"/>
          <w:highlight w:val="none"/>
        </w:rPr>
        <w:t>三、招标文件</w:t>
      </w:r>
      <w:bookmarkEnd w:id="117"/>
      <w:bookmarkEnd w:id="120"/>
      <w:bookmarkEnd w:id="121"/>
      <w:bookmarkEnd w:id="122"/>
      <w:bookmarkEnd w:id="123"/>
      <w:bookmarkEnd w:id="124"/>
      <w:bookmarkEnd w:id="125"/>
      <w:bookmarkEnd w:id="126"/>
      <w:bookmarkEnd w:id="127"/>
      <w:bookmarkEnd w:id="128"/>
    </w:p>
    <w:p>
      <w:pPr>
        <w:pStyle w:val="5"/>
        <w:spacing w:line="360" w:lineRule="auto"/>
        <w:ind w:firstLine="482" w:firstLineChars="200"/>
        <w:rPr>
          <w:rFonts w:hint="eastAsia" w:ascii="宋体" w:hAnsi="宋体" w:eastAsia="宋体" w:cs="宋体"/>
          <w:color w:val="auto"/>
          <w:sz w:val="24"/>
          <w:highlight w:val="none"/>
        </w:rPr>
      </w:pPr>
      <w:bookmarkStart w:id="129" w:name="_Toc183682347"/>
      <w:bookmarkStart w:id="130" w:name="_Toc2790"/>
      <w:bookmarkStart w:id="131" w:name="_Toc15835"/>
      <w:bookmarkStart w:id="132" w:name="_Toc183582210"/>
      <w:bookmarkStart w:id="133" w:name="_Toc217446039"/>
      <w:bookmarkStart w:id="134" w:name="_Toc9922"/>
      <w:bookmarkStart w:id="135" w:name="_Toc31896"/>
      <w:bookmarkStart w:id="136" w:name="_Toc10998"/>
      <w:bookmarkStart w:id="137" w:name="_Toc24129"/>
      <w:bookmarkStart w:id="138" w:name="_Toc26772"/>
      <w:bookmarkStart w:id="139" w:name="_Toc19807"/>
      <w:bookmarkStart w:id="140" w:name="_Toc20129"/>
      <w:bookmarkStart w:id="141" w:name="_Toc21733"/>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.招标文件的构成</w:t>
      </w:r>
      <w:bookmarkEnd w:id="129"/>
      <w:bookmarkEnd w:id="130"/>
      <w:bookmarkEnd w:id="131"/>
      <w:bookmarkEnd w:id="132"/>
      <w:bookmarkEnd w:id="133"/>
      <w:bookmarkEnd w:id="134"/>
      <w:bookmarkEnd w:id="135"/>
      <w:bookmarkEnd w:id="136"/>
      <w:bookmarkEnd w:id="137"/>
      <w:bookmarkEnd w:id="138"/>
      <w:bookmarkEnd w:id="139"/>
      <w:bookmarkEnd w:id="140"/>
      <w:bookmarkEnd w:id="141"/>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.1招标文件是供应商准备投标文件和参加投标的依据，同时也是评标的重要依据，具有准法律文件性质。招标文件用以阐明</w:t>
      </w:r>
      <w:r>
        <w:rPr>
          <w:rFonts w:hint="eastAsia" w:ascii="宋体" w:hAnsi="宋体" w:eastAsia="宋体" w:cs="宋体"/>
          <w:color w:val="auto"/>
          <w:sz w:val="24"/>
          <w:highlight w:val="none"/>
          <w:lang w:eastAsia="zh-CN"/>
        </w:rPr>
        <w:t>采购项目</w:t>
      </w:r>
      <w:r>
        <w:rPr>
          <w:rFonts w:hint="eastAsia" w:ascii="宋体" w:hAnsi="宋体" w:eastAsia="宋体" w:cs="宋体"/>
          <w:color w:val="auto"/>
          <w:sz w:val="24"/>
          <w:highlight w:val="none"/>
        </w:rPr>
        <w:t>所需的资质、技术、服务及报价等要求、招标投标程序、有关规定和注意事项以及合同主要条款等。本招标文件包括以下内容：</w:t>
      </w:r>
    </w:p>
    <w:p>
      <w:pPr>
        <w:tabs>
          <w:tab w:val="left" w:pos="7665"/>
        </w:tabs>
        <w:spacing w:line="360" w:lineRule="auto"/>
        <w:ind w:firstLine="480" w:firstLineChars="200"/>
        <w:rPr>
          <w:rFonts w:hint="eastAsia" w:ascii="宋体" w:hAnsi="宋体" w:eastAsia="宋体" w:cs="宋体"/>
          <w:color w:val="auto"/>
          <w:sz w:val="24"/>
          <w:highlight w:val="none"/>
        </w:rPr>
      </w:pPr>
      <w:bookmarkStart w:id="142" w:name="_Toc183682348"/>
      <w:bookmarkStart w:id="143" w:name="_Toc183582211"/>
      <w:bookmarkStart w:id="144" w:name="_Toc16634"/>
      <w:bookmarkStart w:id="145" w:name="_Toc217446040"/>
      <w:bookmarkStart w:id="146" w:name="_Toc15542"/>
      <w:bookmarkStart w:id="147" w:name="_Toc13267"/>
      <w:bookmarkStart w:id="148" w:name="_Toc16317"/>
      <w:r>
        <w:rPr>
          <w:rFonts w:hint="eastAsia" w:ascii="宋体" w:hAnsi="宋体" w:eastAsia="宋体" w:cs="宋体"/>
          <w:color w:val="auto"/>
          <w:sz w:val="24"/>
          <w:highlight w:val="none"/>
        </w:rPr>
        <w:t>（一）投标邀请；</w:t>
      </w:r>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（二）投标人须知；</w:t>
      </w:r>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（三）投标文件格式；</w:t>
      </w:r>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（四）投标人和投标产品的资格、资质性及其他类似效力要求；</w:t>
      </w:r>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（五）投标人应当提供的资格、资质性及其他类似效力要求的相关证明材料；</w:t>
      </w:r>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（六）招标项目技术、商务及其他要求；</w:t>
      </w:r>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（七）评标办法；</w:t>
      </w:r>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（八）合同主要条款。</w:t>
      </w:r>
    </w:p>
    <w:p>
      <w:pPr>
        <w:tabs>
          <w:tab w:val="left" w:pos="7665"/>
        </w:tabs>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6</w:t>
      </w:r>
      <w:r>
        <w:rPr>
          <w:rFonts w:hint="eastAsia" w:ascii="宋体" w:hAnsi="宋体" w:eastAsia="宋体" w:cs="宋体"/>
          <w:color w:val="auto"/>
          <w:sz w:val="24"/>
          <w:szCs w:val="22"/>
          <w:highlight w:val="none"/>
        </w:rPr>
        <w:t>.2投标人应认真阅读和充分理解招标文件中所有的事项、格式条款和规范要求。投标人没有对招标文件全面做出实质性响应是投标人的风险。没有按照招标文件要求作出实质性响应的投标文件将被拒绝。</w:t>
      </w:r>
    </w:p>
    <w:p>
      <w:pPr>
        <w:tabs>
          <w:tab w:val="left" w:pos="7665"/>
        </w:tabs>
        <w:spacing w:line="360" w:lineRule="auto"/>
        <w:rPr>
          <w:rFonts w:hint="eastAsia" w:ascii="宋体" w:hAnsi="宋体" w:eastAsia="宋体" w:cs="宋体"/>
          <w:color w:val="auto"/>
          <w:sz w:val="24"/>
          <w:highlight w:val="none"/>
        </w:rPr>
      </w:pPr>
    </w:p>
    <w:p>
      <w:pPr>
        <w:pStyle w:val="5"/>
        <w:spacing w:line="360" w:lineRule="auto"/>
        <w:ind w:firstLine="482" w:firstLineChars="200"/>
        <w:rPr>
          <w:rFonts w:hint="eastAsia" w:ascii="宋体" w:hAnsi="宋体" w:eastAsia="宋体" w:cs="宋体"/>
          <w:b/>
          <w:bCs/>
          <w:color w:val="auto"/>
          <w:sz w:val="24"/>
          <w:highlight w:val="none"/>
        </w:rPr>
      </w:pPr>
      <w:bookmarkStart w:id="149" w:name="_Toc29975"/>
      <w:bookmarkStart w:id="150" w:name="_Toc15688"/>
      <w:bookmarkStart w:id="151" w:name="_Toc12069"/>
      <w:bookmarkStart w:id="152" w:name="_Toc9507"/>
      <w:bookmarkStart w:id="153" w:name="_Toc12518"/>
      <w:bookmarkStart w:id="154" w:name="_Toc3897"/>
      <w:r>
        <w:rPr>
          <w:rFonts w:hint="eastAsia" w:ascii="宋体" w:hAnsi="宋体" w:eastAsia="宋体" w:cs="宋体"/>
          <w:b/>
          <w:bCs/>
          <w:color w:val="auto"/>
          <w:sz w:val="24"/>
          <w:highlight w:val="none"/>
          <w:lang w:val="en-US" w:eastAsia="zh-CN"/>
        </w:rPr>
        <w:t>7</w:t>
      </w:r>
      <w:r>
        <w:rPr>
          <w:rFonts w:hint="eastAsia" w:ascii="宋体" w:hAnsi="宋体" w:eastAsia="宋体" w:cs="宋体"/>
          <w:color w:val="auto"/>
          <w:sz w:val="24"/>
          <w:highlight w:val="none"/>
        </w:rPr>
        <w:t>.</w:t>
      </w:r>
      <w:r>
        <w:rPr>
          <w:rFonts w:hint="eastAsia" w:ascii="宋体" w:hAnsi="宋体" w:eastAsia="宋体" w:cs="宋体"/>
          <w:b/>
          <w:bCs/>
          <w:color w:val="auto"/>
          <w:sz w:val="24"/>
          <w:highlight w:val="none"/>
        </w:rPr>
        <w:t>招标文件的澄清</w:t>
      </w:r>
      <w:bookmarkEnd w:id="142"/>
      <w:bookmarkEnd w:id="143"/>
      <w:r>
        <w:rPr>
          <w:rFonts w:hint="eastAsia" w:ascii="宋体" w:hAnsi="宋体" w:eastAsia="宋体" w:cs="宋体"/>
          <w:b/>
          <w:bCs/>
          <w:color w:val="auto"/>
          <w:sz w:val="24"/>
          <w:highlight w:val="none"/>
        </w:rPr>
        <w:t>和修改</w:t>
      </w:r>
      <w:bookmarkEnd w:id="144"/>
      <w:bookmarkEnd w:id="145"/>
      <w:bookmarkEnd w:id="146"/>
      <w:bookmarkEnd w:id="147"/>
      <w:bookmarkEnd w:id="148"/>
      <w:bookmarkEnd w:id="149"/>
      <w:bookmarkEnd w:id="150"/>
      <w:bookmarkEnd w:id="151"/>
      <w:bookmarkEnd w:id="152"/>
      <w:bookmarkEnd w:id="153"/>
      <w:bookmarkEnd w:id="154"/>
    </w:p>
    <w:p>
      <w:pPr>
        <w:tabs>
          <w:tab w:val="left" w:pos="7665"/>
        </w:tabs>
        <w:spacing w:line="360" w:lineRule="auto"/>
        <w:ind w:firstLine="480" w:firstLineChars="200"/>
        <w:rPr>
          <w:rFonts w:hint="eastAsia" w:ascii="宋体" w:hAnsi="宋体" w:eastAsia="宋体" w:cs="宋体"/>
          <w:b w:val="0"/>
          <w:bCs w:val="0"/>
          <w:color w:val="auto"/>
          <w:sz w:val="24"/>
          <w:highlight w:val="none"/>
        </w:rPr>
      </w:pPr>
      <w:bookmarkStart w:id="155" w:name="_Toc18931"/>
      <w:bookmarkStart w:id="156" w:name="_Toc217446041"/>
      <w:bookmarkStart w:id="157" w:name="_Toc30712"/>
      <w:bookmarkStart w:id="158" w:name="_Toc191"/>
      <w:bookmarkStart w:id="159" w:name="_Toc15822"/>
      <w:bookmarkStart w:id="160" w:name="_Toc11319"/>
      <w:bookmarkStart w:id="161" w:name="_Toc13862"/>
      <w:bookmarkStart w:id="162" w:name="_Toc31099"/>
      <w:bookmarkStart w:id="163" w:name="_Toc208848971"/>
      <w:bookmarkStart w:id="164" w:name="_Toc29938"/>
      <w:bookmarkStart w:id="165" w:name="_Toc29957"/>
      <w:r>
        <w:rPr>
          <w:rFonts w:hint="eastAsia" w:ascii="宋体" w:hAnsi="宋体" w:eastAsia="宋体" w:cs="宋体"/>
          <w:b w:val="0"/>
          <w:bCs w:val="0"/>
          <w:color w:val="auto"/>
          <w:sz w:val="24"/>
          <w:highlight w:val="none"/>
          <w:lang w:val="en-US" w:eastAsia="zh-CN"/>
        </w:rPr>
        <w:t>7</w:t>
      </w:r>
      <w:r>
        <w:rPr>
          <w:rFonts w:hint="eastAsia" w:ascii="宋体" w:hAnsi="宋体" w:eastAsia="宋体" w:cs="宋体"/>
          <w:b w:val="0"/>
          <w:bCs w:val="0"/>
          <w:color w:val="auto"/>
          <w:sz w:val="24"/>
          <w:highlight w:val="none"/>
        </w:rPr>
        <w:t>.1采购人或者采购代理机构可以依法对招标文件进行澄清或者修改。</w:t>
      </w:r>
    </w:p>
    <w:p>
      <w:pPr>
        <w:tabs>
          <w:tab w:val="left" w:pos="7665"/>
        </w:tabs>
        <w:spacing w:line="360" w:lineRule="auto"/>
        <w:ind w:firstLine="480" w:firstLineChars="200"/>
        <w:jc w:val="lef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7</w:t>
      </w:r>
      <w:r>
        <w:rPr>
          <w:rFonts w:hint="eastAsia" w:ascii="宋体" w:hAnsi="宋体" w:eastAsia="宋体" w:cs="宋体"/>
          <w:b w:val="0"/>
          <w:bCs w:val="0"/>
          <w:color w:val="auto"/>
          <w:sz w:val="24"/>
          <w:highlight w:val="none"/>
        </w:rPr>
        <w:t>.2 采购人或者采购代理机构对已发出的招标文件进行澄清或者修改，将在四川政府采购网</w:t>
      </w:r>
      <w:r>
        <w:rPr>
          <w:rFonts w:hint="eastAsia" w:ascii="宋体" w:hAnsi="宋体" w:eastAsia="宋体" w:cs="宋体"/>
          <w:b w:val="0"/>
          <w:bCs w:val="0"/>
          <w:color w:val="auto"/>
          <w:sz w:val="24"/>
          <w:highlight w:val="none"/>
          <w:lang w:val="en-US" w:eastAsia="zh-CN"/>
        </w:rPr>
        <w:t>或</w:t>
      </w:r>
      <w:r>
        <w:rPr>
          <w:rFonts w:hint="eastAsia" w:ascii="宋体" w:hAnsi="宋体" w:eastAsia="宋体" w:cs="宋体"/>
          <w:b w:val="0"/>
          <w:bCs w:val="0"/>
          <w:color w:val="auto"/>
          <w:sz w:val="24"/>
          <w:highlight w:val="none"/>
        </w:rPr>
        <w:t>政府采购云平台上发布更正公告。同时通过政府采购云平台将澄清或者修改的内容告知所有在系统中成功获取招标文件的潜在投标人（投标人通过账号或CA证书登录云平台查看）</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该澄清或者修改的内容为招标文件的组成部分，澄清或者修改的内容可能影响投标文</w:t>
      </w:r>
      <w:r>
        <w:rPr>
          <w:rFonts w:hint="eastAsia" w:ascii="宋体" w:hAnsi="宋体" w:eastAsia="宋体" w:cs="宋体"/>
          <w:b w:val="0"/>
          <w:bCs w:val="0"/>
          <w:color w:val="auto"/>
          <w:sz w:val="24"/>
          <w:highlight w:val="none"/>
          <w:lang w:val="en-US" w:eastAsia="zh-CN"/>
        </w:rPr>
        <w:t>或</w:t>
      </w:r>
      <w:r>
        <w:rPr>
          <w:rFonts w:hint="eastAsia" w:ascii="宋体" w:hAnsi="宋体" w:eastAsia="宋体" w:cs="宋体"/>
          <w:b w:val="0"/>
          <w:bCs w:val="0"/>
          <w:color w:val="auto"/>
          <w:sz w:val="24"/>
          <w:highlight w:val="none"/>
        </w:rPr>
        <w:t>资格预审申请文件编制的，应当在投标截止时间至少15日前</w:t>
      </w:r>
      <w:r>
        <w:rPr>
          <w:rFonts w:hint="eastAsia" w:ascii="宋体" w:hAnsi="宋体" w:eastAsia="宋体" w:cs="宋体"/>
          <w:b w:val="0"/>
          <w:bCs w:val="0"/>
          <w:color w:val="auto"/>
          <w:sz w:val="24"/>
          <w:highlight w:val="none"/>
          <w:lang w:val="en-US" w:eastAsia="zh-CN"/>
        </w:rPr>
        <w:t>或</w:t>
      </w:r>
      <w:r>
        <w:rPr>
          <w:rFonts w:hint="eastAsia" w:ascii="宋体" w:hAnsi="宋体" w:eastAsia="宋体" w:cs="宋体"/>
          <w:b w:val="0"/>
          <w:bCs w:val="0"/>
          <w:color w:val="auto"/>
          <w:sz w:val="24"/>
          <w:highlight w:val="none"/>
        </w:rPr>
        <w:t>提交资格预审申请文件截止时间至少3日前；不足上述时间的，应当顺延提交投标文件</w:t>
      </w:r>
      <w:r>
        <w:rPr>
          <w:rFonts w:hint="eastAsia" w:ascii="宋体" w:hAnsi="宋体" w:eastAsia="宋体" w:cs="宋体"/>
          <w:b w:val="0"/>
          <w:bCs w:val="0"/>
          <w:color w:val="auto"/>
          <w:sz w:val="24"/>
          <w:highlight w:val="none"/>
          <w:lang w:val="en-US" w:eastAsia="zh-CN"/>
        </w:rPr>
        <w:t>或</w:t>
      </w:r>
      <w:r>
        <w:rPr>
          <w:rFonts w:hint="eastAsia" w:ascii="宋体" w:hAnsi="宋体" w:eastAsia="宋体" w:cs="宋体"/>
          <w:b w:val="0"/>
          <w:bCs w:val="0"/>
          <w:color w:val="auto"/>
          <w:sz w:val="24"/>
          <w:highlight w:val="none"/>
        </w:rPr>
        <w:t>资格预审申请文件的截止时间。</w:t>
      </w:r>
    </w:p>
    <w:p>
      <w:pPr>
        <w:tabs>
          <w:tab w:val="left" w:pos="7665"/>
        </w:tabs>
        <w:spacing w:line="360" w:lineRule="auto"/>
        <w:ind w:firstLine="480" w:firstLineChars="200"/>
        <w:jc w:val="lef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7</w:t>
      </w:r>
      <w:r>
        <w:rPr>
          <w:rFonts w:hint="eastAsia" w:ascii="宋体" w:hAnsi="宋体" w:eastAsia="宋体" w:cs="宋体"/>
          <w:b w:val="0"/>
          <w:bCs w:val="0"/>
          <w:color w:val="auto"/>
          <w:sz w:val="24"/>
          <w:highlight w:val="none"/>
        </w:rPr>
        <w:t>.3 供应商应于投标文件递交截止时间之前在四川政府采购网</w:t>
      </w:r>
      <w:r>
        <w:rPr>
          <w:rFonts w:hint="eastAsia" w:ascii="宋体" w:hAnsi="宋体" w:eastAsia="宋体" w:cs="宋体"/>
          <w:b w:val="0"/>
          <w:bCs w:val="0"/>
          <w:color w:val="auto"/>
          <w:sz w:val="24"/>
          <w:highlight w:val="none"/>
          <w:lang w:val="en-US" w:eastAsia="zh-CN"/>
        </w:rPr>
        <w:t>或</w:t>
      </w:r>
      <w:r>
        <w:rPr>
          <w:rFonts w:hint="eastAsia" w:ascii="宋体" w:hAnsi="宋体" w:eastAsia="宋体" w:cs="宋体"/>
          <w:b w:val="0"/>
          <w:bCs w:val="0"/>
          <w:color w:val="auto"/>
          <w:sz w:val="24"/>
          <w:highlight w:val="none"/>
        </w:rPr>
        <w:t>政府采购云平台查询本项目的更正公告，以保证其对招标文件做出正确的响应。供应商未按要求下载相关文件或由于未及时关注更正公告的信息造成的后果，其责任由供应商自行负责。</w:t>
      </w:r>
    </w:p>
    <w:p>
      <w:pPr>
        <w:tabs>
          <w:tab w:val="left" w:pos="7665"/>
        </w:tabs>
        <w:spacing w:line="360" w:lineRule="auto"/>
        <w:ind w:firstLine="480" w:firstLineChars="200"/>
        <w:rPr>
          <w:rFonts w:hint="eastAsia" w:ascii="宋体" w:hAnsi="宋体" w:eastAsia="宋体" w:cs="宋体"/>
          <w:b w:val="0"/>
          <w:bCs w:val="0"/>
          <w:color w:val="auto"/>
          <w:sz w:val="24"/>
          <w:highlight w:val="none"/>
        </w:rPr>
      </w:pPr>
      <w:bookmarkStart w:id="166" w:name="_Toc852"/>
      <w:bookmarkStart w:id="167" w:name="_Toc25619"/>
      <w:bookmarkStart w:id="168" w:name="_Toc10332"/>
      <w:bookmarkStart w:id="169" w:name="_Toc18145"/>
      <w:bookmarkStart w:id="170" w:name="_Toc18319"/>
      <w:r>
        <w:rPr>
          <w:rFonts w:hint="eastAsia" w:ascii="宋体" w:hAnsi="宋体" w:eastAsia="宋体" w:cs="宋体"/>
          <w:b w:val="0"/>
          <w:bCs w:val="0"/>
          <w:color w:val="auto"/>
          <w:sz w:val="24"/>
          <w:highlight w:val="none"/>
          <w:lang w:val="en-US" w:eastAsia="zh-CN"/>
        </w:rPr>
        <w:t>7</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highlight w:val="none"/>
          <w:lang w:val="en-US" w:eastAsia="zh-CN"/>
        </w:rPr>
        <w:t>4</w:t>
      </w:r>
      <w:r>
        <w:rPr>
          <w:rFonts w:hint="eastAsia" w:ascii="宋体" w:hAnsi="宋体" w:eastAsia="宋体" w:cs="宋体"/>
          <w:b w:val="0"/>
          <w:bCs w:val="0"/>
          <w:color w:val="auto"/>
          <w:sz w:val="24"/>
          <w:highlight w:val="none"/>
        </w:rPr>
        <w:t>投标人认为需要对招标文件进行澄清或者修改的，可以以书面形式向采购人或者采购代理机构提出申请，但采购人或者采购代理机构</w:t>
      </w:r>
      <w:r>
        <w:rPr>
          <w:rFonts w:hint="eastAsia" w:ascii="宋体" w:hAnsi="宋体" w:eastAsia="宋体" w:cs="宋体"/>
          <w:b w:val="0"/>
          <w:bCs w:val="0"/>
          <w:color w:val="auto"/>
          <w:sz w:val="24"/>
          <w:highlight w:val="none"/>
          <w:lang w:val="en-US" w:eastAsia="zh-CN"/>
        </w:rPr>
        <w:t>有权</w:t>
      </w:r>
      <w:r>
        <w:rPr>
          <w:rFonts w:hint="eastAsia" w:ascii="宋体" w:hAnsi="宋体" w:eastAsia="宋体" w:cs="宋体"/>
          <w:b w:val="0"/>
          <w:bCs w:val="0"/>
          <w:color w:val="auto"/>
          <w:sz w:val="24"/>
          <w:highlight w:val="none"/>
        </w:rPr>
        <w:t>决定是否采纳投标人的申请事项。</w:t>
      </w:r>
      <w:bookmarkEnd w:id="166"/>
      <w:bookmarkEnd w:id="167"/>
      <w:bookmarkEnd w:id="168"/>
      <w:bookmarkEnd w:id="169"/>
      <w:bookmarkEnd w:id="170"/>
    </w:p>
    <w:p>
      <w:pPr>
        <w:pStyle w:val="5"/>
        <w:spacing w:line="360" w:lineRule="auto"/>
        <w:ind w:firstLine="482" w:firstLineChars="200"/>
        <w:rPr>
          <w:rFonts w:hint="eastAsia" w:ascii="宋体" w:hAnsi="宋体" w:eastAsia="宋体" w:cs="宋体"/>
          <w:b/>
          <w:bCs/>
          <w:color w:val="auto"/>
          <w:sz w:val="24"/>
          <w:highlight w:val="none"/>
        </w:rPr>
      </w:pPr>
      <w:bookmarkStart w:id="171" w:name="_Toc9065"/>
      <w:r>
        <w:rPr>
          <w:rFonts w:hint="eastAsia" w:ascii="宋体" w:hAnsi="宋体" w:eastAsia="宋体" w:cs="宋体"/>
          <w:b/>
          <w:bCs/>
          <w:color w:val="auto"/>
          <w:sz w:val="24"/>
          <w:highlight w:val="none"/>
          <w:lang w:val="en-US" w:eastAsia="zh-CN"/>
        </w:rPr>
        <w:t>8</w:t>
      </w:r>
      <w:r>
        <w:rPr>
          <w:rFonts w:hint="eastAsia" w:ascii="宋体" w:hAnsi="宋体" w:eastAsia="宋体" w:cs="宋体"/>
          <w:color w:val="auto"/>
          <w:sz w:val="24"/>
          <w:highlight w:val="none"/>
        </w:rPr>
        <w:t>.</w:t>
      </w:r>
      <w:r>
        <w:rPr>
          <w:rFonts w:hint="eastAsia" w:ascii="宋体" w:hAnsi="宋体" w:eastAsia="宋体" w:cs="宋体"/>
          <w:b/>
          <w:bCs/>
          <w:color w:val="auto"/>
          <w:sz w:val="24"/>
          <w:highlight w:val="none"/>
        </w:rPr>
        <w:t>答疑会和现场考察</w:t>
      </w:r>
      <w:bookmarkEnd w:id="155"/>
      <w:bookmarkEnd w:id="156"/>
      <w:bookmarkEnd w:id="157"/>
      <w:bookmarkEnd w:id="158"/>
      <w:bookmarkEnd w:id="159"/>
      <w:bookmarkEnd w:id="160"/>
      <w:bookmarkEnd w:id="161"/>
      <w:bookmarkEnd w:id="162"/>
      <w:bookmarkEnd w:id="163"/>
      <w:bookmarkEnd w:id="164"/>
      <w:bookmarkEnd w:id="165"/>
      <w:bookmarkEnd w:id="171"/>
    </w:p>
    <w:p>
      <w:pPr>
        <w:tabs>
          <w:tab w:val="left" w:pos="7665"/>
        </w:tabs>
        <w:spacing w:line="360" w:lineRule="auto"/>
        <w:ind w:firstLine="480" w:firstLineChars="200"/>
        <w:rPr>
          <w:rFonts w:hint="eastAsia" w:ascii="宋体" w:hAnsi="宋体" w:eastAsia="宋体" w:cs="宋体"/>
          <w:color w:val="auto"/>
          <w:sz w:val="24"/>
          <w:highlight w:val="none"/>
        </w:rPr>
      </w:pPr>
      <w:bookmarkStart w:id="172" w:name="_Toc2190"/>
      <w:bookmarkStart w:id="173" w:name="_Toc183682351"/>
      <w:bookmarkStart w:id="174" w:name="_Toc89075876"/>
      <w:bookmarkStart w:id="175" w:name="_Toc183582214"/>
      <w:bookmarkStart w:id="176" w:name="_Toc77400780"/>
      <w:bookmarkStart w:id="177" w:name="_Toc217446042"/>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现场考察或标前答疑会：</w:t>
      </w:r>
      <w:r>
        <w:rPr>
          <w:rFonts w:hint="eastAsia" w:ascii="宋体" w:hAnsi="宋体" w:eastAsia="宋体" w:cs="宋体"/>
          <w:b/>
          <w:bCs/>
          <w:color w:val="auto"/>
          <w:sz w:val="24"/>
          <w:highlight w:val="none"/>
          <w:lang w:val="en-US" w:eastAsia="zh-CN"/>
        </w:rPr>
        <w:t>本项目不组织</w:t>
      </w:r>
      <w:r>
        <w:rPr>
          <w:rFonts w:hint="eastAsia" w:ascii="宋体" w:hAnsi="宋体" w:eastAsia="宋体" w:cs="宋体"/>
          <w:b/>
          <w:bCs/>
          <w:color w:val="auto"/>
          <w:sz w:val="24"/>
          <w:highlight w:val="none"/>
        </w:rPr>
        <w:t>。</w:t>
      </w:r>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现场考察或标前答疑会时间</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地点：</w:t>
      </w:r>
      <w:r>
        <w:rPr>
          <w:rFonts w:hint="eastAsia" w:ascii="宋体" w:hAnsi="宋体" w:eastAsia="宋体" w:cs="宋体"/>
          <w:b/>
          <w:bCs/>
          <w:color w:val="auto"/>
          <w:sz w:val="24"/>
          <w:highlight w:val="none"/>
        </w:rPr>
        <w:t>本项目不组织。</w:t>
      </w:r>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lang w:val="en-US" w:eastAsia="zh-CN"/>
        </w:rPr>
        <w:t>自行</w:t>
      </w:r>
      <w:r>
        <w:rPr>
          <w:rFonts w:hint="eastAsia" w:ascii="宋体" w:hAnsi="宋体" w:eastAsia="宋体" w:cs="宋体"/>
          <w:color w:val="auto"/>
          <w:sz w:val="24"/>
          <w:highlight w:val="none"/>
        </w:rPr>
        <w:t>考察现场所发生的一切费用由供应商自己承担。</w:t>
      </w:r>
    </w:p>
    <w:p>
      <w:pPr>
        <w:pStyle w:val="4"/>
        <w:jc w:val="center"/>
        <w:rPr>
          <w:rFonts w:hint="eastAsia" w:ascii="宋体" w:hAnsi="宋体" w:eastAsia="宋体" w:cs="宋体"/>
          <w:color w:val="auto"/>
          <w:highlight w:val="none"/>
        </w:rPr>
      </w:pPr>
      <w:bookmarkStart w:id="178" w:name="_Toc24793"/>
      <w:bookmarkStart w:id="179" w:name="_Toc1606"/>
      <w:bookmarkStart w:id="180" w:name="_Toc4861"/>
      <w:bookmarkStart w:id="181" w:name="_Toc31142"/>
      <w:bookmarkStart w:id="182" w:name="_Toc5743"/>
      <w:bookmarkStart w:id="183" w:name="_Toc6868"/>
      <w:bookmarkStart w:id="184" w:name="_Toc26812"/>
      <w:bookmarkStart w:id="185" w:name="_Toc5200"/>
      <w:bookmarkStart w:id="186" w:name="_Toc28257_WPSOffice_Level2"/>
      <w:r>
        <w:rPr>
          <w:rFonts w:hint="eastAsia" w:ascii="宋体" w:hAnsi="宋体" w:eastAsia="宋体" w:cs="宋体"/>
          <w:color w:val="auto"/>
          <w:highlight w:val="none"/>
        </w:rPr>
        <w:t>四、投标文件</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pPr>
        <w:pStyle w:val="5"/>
        <w:spacing w:line="360" w:lineRule="auto"/>
        <w:ind w:firstLine="482" w:firstLineChars="200"/>
        <w:rPr>
          <w:rFonts w:hint="eastAsia" w:ascii="宋体" w:hAnsi="宋体" w:eastAsia="宋体" w:cs="宋体"/>
          <w:b/>
          <w:bCs/>
          <w:color w:val="auto"/>
          <w:sz w:val="24"/>
          <w:highlight w:val="none"/>
        </w:rPr>
      </w:pPr>
      <w:bookmarkStart w:id="187" w:name="_Toc15032"/>
      <w:bookmarkStart w:id="188" w:name="_Toc183682352"/>
      <w:bookmarkStart w:id="189" w:name="_Toc10942"/>
      <w:bookmarkStart w:id="190" w:name="_Toc16974"/>
      <w:bookmarkStart w:id="191" w:name="_Toc10645"/>
      <w:bookmarkStart w:id="192" w:name="_Toc6244"/>
      <w:bookmarkStart w:id="193" w:name="_Toc14129"/>
      <w:bookmarkStart w:id="194" w:name="_Toc183582215"/>
      <w:bookmarkStart w:id="195" w:name="_Toc217446043"/>
      <w:bookmarkStart w:id="196" w:name="_Toc26122"/>
      <w:bookmarkStart w:id="197" w:name="_Toc18627"/>
      <w:bookmarkStart w:id="198" w:name="_Toc9023"/>
      <w:bookmarkStart w:id="199" w:name="_Toc7022"/>
      <w:r>
        <w:rPr>
          <w:rFonts w:hint="eastAsia" w:ascii="宋体" w:hAnsi="宋体" w:eastAsia="宋体" w:cs="宋体"/>
          <w:b/>
          <w:bCs/>
          <w:color w:val="auto"/>
          <w:sz w:val="24"/>
          <w:highlight w:val="none"/>
          <w:lang w:val="en-US" w:eastAsia="zh-CN"/>
        </w:rPr>
        <w:t>9</w:t>
      </w:r>
      <w:r>
        <w:rPr>
          <w:rFonts w:hint="eastAsia" w:ascii="宋体" w:hAnsi="宋体" w:eastAsia="宋体" w:cs="宋体"/>
          <w:color w:val="auto"/>
          <w:sz w:val="24"/>
          <w:highlight w:val="none"/>
        </w:rPr>
        <w:t>.</w:t>
      </w:r>
      <w:r>
        <w:rPr>
          <w:rFonts w:hint="eastAsia" w:ascii="宋体" w:hAnsi="宋体" w:eastAsia="宋体" w:cs="宋体"/>
          <w:b/>
          <w:bCs/>
          <w:color w:val="auto"/>
          <w:sz w:val="24"/>
          <w:highlight w:val="none"/>
        </w:rPr>
        <w:t>投标文件的语言</w:t>
      </w:r>
      <w:bookmarkEnd w:id="187"/>
      <w:bookmarkEnd w:id="188"/>
      <w:bookmarkEnd w:id="189"/>
      <w:bookmarkEnd w:id="190"/>
      <w:bookmarkEnd w:id="191"/>
      <w:bookmarkEnd w:id="192"/>
      <w:bookmarkEnd w:id="193"/>
      <w:bookmarkEnd w:id="194"/>
      <w:bookmarkEnd w:id="195"/>
      <w:bookmarkEnd w:id="196"/>
      <w:bookmarkEnd w:id="197"/>
      <w:bookmarkEnd w:id="198"/>
      <w:bookmarkEnd w:id="199"/>
    </w:p>
    <w:p>
      <w:pPr>
        <w:tabs>
          <w:tab w:val="left" w:pos="1134"/>
        </w:tabs>
        <w:spacing w:line="360" w:lineRule="auto"/>
        <w:ind w:firstLine="480" w:firstLineChars="200"/>
        <w:jc w:val="left"/>
        <w:rPr>
          <w:rFonts w:hint="eastAsia" w:ascii="宋体" w:hAnsi="宋体" w:eastAsia="宋体" w:cs="宋体"/>
          <w:color w:val="auto"/>
          <w:sz w:val="24"/>
          <w:highlight w:val="none"/>
        </w:rPr>
      </w:pPr>
      <w:bookmarkStart w:id="200" w:name="_Toc183582216"/>
      <w:bookmarkStart w:id="201" w:name="_Toc183682353"/>
      <w:bookmarkStart w:id="202" w:name="_Toc217446044"/>
      <w:r>
        <w:rPr>
          <w:rFonts w:hint="eastAsia" w:ascii="宋体" w:hAnsi="宋体" w:eastAsia="宋体" w:cs="宋体"/>
          <w:color w:val="auto"/>
          <w:sz w:val="24"/>
          <w:szCs w:val="22"/>
          <w:highlight w:val="none"/>
          <w:lang w:val="en-US" w:eastAsia="zh-CN"/>
        </w:rPr>
        <w:t>9.1 供应商递交的投标文件以及供应商与采购人或者采购代理机构就有关投标的所有来往书面文件均须使用中文。</w:t>
      </w:r>
      <w:r>
        <w:rPr>
          <w:rFonts w:hint="eastAsia" w:ascii="宋体" w:hAnsi="宋体" w:eastAsia="宋体" w:cs="宋体"/>
          <w:color w:val="auto"/>
          <w:sz w:val="24"/>
          <w:highlight w:val="none"/>
        </w:rPr>
        <w:t>投标文件中如附有外文资料，主要部分</w:t>
      </w:r>
      <w:r>
        <w:rPr>
          <w:rFonts w:hint="eastAsia" w:ascii="宋体" w:hAnsi="宋体" w:eastAsia="宋体" w:cs="宋体"/>
          <w:color w:val="auto"/>
          <w:sz w:val="24"/>
          <w:highlight w:val="none"/>
          <w:lang w:val="en-US" w:eastAsia="zh-CN"/>
        </w:rPr>
        <w:t>需</w:t>
      </w:r>
      <w:r>
        <w:rPr>
          <w:rFonts w:hint="eastAsia" w:ascii="宋体" w:hAnsi="宋体" w:eastAsia="宋体" w:cs="宋体"/>
          <w:color w:val="auto"/>
          <w:sz w:val="24"/>
          <w:highlight w:val="none"/>
        </w:rPr>
        <w:t>对应翻译成中文并加盖投标人公章后附在相关外文资料后面</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未</w:t>
      </w:r>
      <w:r>
        <w:rPr>
          <w:rFonts w:hint="eastAsia" w:ascii="宋体" w:hAnsi="宋体" w:eastAsia="宋体" w:cs="宋体"/>
          <w:color w:val="auto"/>
          <w:sz w:val="24"/>
          <w:highlight w:val="none"/>
        </w:rPr>
        <w:t>翻译</w:t>
      </w:r>
      <w:r>
        <w:rPr>
          <w:rFonts w:hint="eastAsia" w:ascii="宋体" w:hAnsi="宋体" w:eastAsia="宋体" w:cs="宋体"/>
          <w:color w:val="auto"/>
          <w:sz w:val="24"/>
          <w:highlight w:val="none"/>
          <w:lang w:val="en-US" w:eastAsia="zh-CN"/>
        </w:rPr>
        <w:t>的视为未提供</w:t>
      </w:r>
      <w:r>
        <w:rPr>
          <w:rFonts w:hint="eastAsia" w:ascii="宋体" w:hAnsi="宋体" w:eastAsia="宋体" w:cs="宋体"/>
          <w:color w:val="auto"/>
          <w:sz w:val="24"/>
          <w:highlight w:val="none"/>
        </w:rPr>
        <w:t>（说明：供应商的法定代表人为外籍人士的，法定代表人的签字和护照除外）</w:t>
      </w:r>
      <w:r>
        <w:rPr>
          <w:rFonts w:hint="eastAsia" w:ascii="宋体" w:hAnsi="宋体" w:eastAsia="宋体" w:cs="宋体"/>
          <w:color w:val="auto"/>
          <w:sz w:val="24"/>
          <w:highlight w:val="none"/>
          <w:lang w:eastAsia="zh-CN"/>
        </w:rPr>
        <w:t>。</w:t>
      </w:r>
    </w:p>
    <w:p>
      <w:pPr>
        <w:tabs>
          <w:tab w:val="left" w:pos="1134"/>
        </w:tabs>
        <w:spacing w:line="360" w:lineRule="auto"/>
        <w:ind w:firstLine="480" w:firstLineChars="200"/>
        <w:jc w:val="left"/>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9.2 翻译的中文资料与外文资料如果出现差异和矛盾时，以中文为准。涉嫌虚假响应的按照相关法律法规处理。</w:t>
      </w:r>
    </w:p>
    <w:p>
      <w:pPr>
        <w:tabs>
          <w:tab w:val="left" w:pos="1134"/>
        </w:tabs>
        <w:spacing w:line="360" w:lineRule="auto"/>
        <w:ind w:firstLine="480" w:firstLineChars="200"/>
        <w:jc w:val="left"/>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9.3如因未翻译或故意错误翻译而造成的废标，由供应商自行承担相应责任。</w:t>
      </w:r>
    </w:p>
    <w:p>
      <w:pPr>
        <w:pStyle w:val="5"/>
        <w:spacing w:line="360" w:lineRule="auto"/>
        <w:ind w:firstLine="482" w:firstLineChars="200"/>
        <w:rPr>
          <w:rFonts w:hint="eastAsia" w:ascii="宋体" w:hAnsi="宋体" w:eastAsia="宋体" w:cs="宋体"/>
          <w:b/>
          <w:bCs/>
          <w:color w:val="auto"/>
          <w:sz w:val="24"/>
          <w:highlight w:val="none"/>
        </w:rPr>
      </w:pPr>
      <w:bookmarkStart w:id="203" w:name="_Toc18100"/>
      <w:bookmarkStart w:id="204" w:name="_Toc25233"/>
      <w:bookmarkStart w:id="205" w:name="_Toc6006"/>
      <w:bookmarkStart w:id="206" w:name="_Toc6719"/>
      <w:bookmarkStart w:id="207" w:name="_Toc1685"/>
      <w:bookmarkStart w:id="208" w:name="_Toc7296"/>
      <w:bookmarkStart w:id="209" w:name="_Toc6376"/>
      <w:bookmarkStart w:id="210" w:name="_Toc2118"/>
      <w:bookmarkStart w:id="211" w:name="_Toc25834"/>
      <w:bookmarkStart w:id="212" w:name="_Toc29727"/>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val="en-US" w:eastAsia="zh-CN"/>
        </w:rPr>
        <w:t>0</w:t>
      </w:r>
      <w:r>
        <w:rPr>
          <w:rFonts w:hint="eastAsia" w:ascii="宋体" w:hAnsi="宋体" w:eastAsia="宋体" w:cs="宋体"/>
          <w:color w:val="auto"/>
          <w:sz w:val="24"/>
          <w:highlight w:val="none"/>
        </w:rPr>
        <w:t>.</w:t>
      </w:r>
      <w:r>
        <w:rPr>
          <w:rFonts w:hint="eastAsia" w:ascii="宋体" w:hAnsi="宋体" w:eastAsia="宋体" w:cs="宋体"/>
          <w:b/>
          <w:bCs/>
          <w:color w:val="auto"/>
          <w:sz w:val="24"/>
          <w:highlight w:val="none"/>
        </w:rPr>
        <w:t>计量单位</w:t>
      </w:r>
      <w:bookmarkEnd w:id="200"/>
      <w:bookmarkEnd w:id="201"/>
      <w:bookmarkEnd w:id="202"/>
      <w:r>
        <w:rPr>
          <w:rFonts w:hint="eastAsia" w:ascii="宋体" w:hAnsi="宋体" w:eastAsia="宋体" w:cs="宋体"/>
          <w:b/>
          <w:bCs/>
          <w:color w:val="auto"/>
          <w:sz w:val="24"/>
          <w:highlight w:val="none"/>
        </w:rPr>
        <w:t>（实质性要求）</w:t>
      </w:r>
      <w:bookmarkEnd w:id="203"/>
      <w:bookmarkEnd w:id="204"/>
      <w:bookmarkEnd w:id="205"/>
      <w:bookmarkEnd w:id="206"/>
      <w:bookmarkEnd w:id="207"/>
      <w:bookmarkEnd w:id="208"/>
      <w:bookmarkEnd w:id="209"/>
      <w:bookmarkEnd w:id="210"/>
      <w:bookmarkEnd w:id="211"/>
      <w:bookmarkEnd w:id="212"/>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除招标文件另有规定外，本次采购项目所有合同项下的投标均采用国家法定的计量单位。</w:t>
      </w:r>
    </w:p>
    <w:p>
      <w:pPr>
        <w:pStyle w:val="5"/>
        <w:spacing w:line="360" w:lineRule="auto"/>
        <w:ind w:firstLine="482" w:firstLineChars="200"/>
        <w:rPr>
          <w:rFonts w:hint="eastAsia" w:ascii="宋体" w:hAnsi="宋体" w:eastAsia="宋体" w:cs="宋体"/>
          <w:b/>
          <w:bCs/>
          <w:color w:val="auto"/>
          <w:sz w:val="24"/>
          <w:highlight w:val="none"/>
        </w:rPr>
      </w:pPr>
      <w:bookmarkStart w:id="213" w:name="_Toc217446045"/>
      <w:bookmarkStart w:id="214" w:name="_Toc30201"/>
      <w:bookmarkStart w:id="215" w:name="_Toc14456"/>
      <w:bookmarkStart w:id="216" w:name="_Toc16977"/>
      <w:bookmarkStart w:id="217" w:name="_Toc30506"/>
      <w:bookmarkStart w:id="218" w:name="_Toc24810"/>
      <w:bookmarkStart w:id="219" w:name="_Toc24604"/>
      <w:bookmarkStart w:id="220" w:name="_Toc12957"/>
      <w:bookmarkStart w:id="221" w:name="_Toc23689"/>
      <w:bookmarkStart w:id="222" w:name="_Toc11441"/>
      <w:bookmarkStart w:id="223" w:name="_Toc32588"/>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b/>
          <w:bCs/>
          <w:color w:val="auto"/>
          <w:sz w:val="24"/>
          <w:highlight w:val="none"/>
        </w:rPr>
        <w:t>投标货币</w:t>
      </w:r>
      <w:bookmarkEnd w:id="213"/>
      <w:r>
        <w:rPr>
          <w:rFonts w:hint="eastAsia" w:ascii="宋体" w:hAnsi="宋体" w:eastAsia="宋体" w:cs="宋体"/>
          <w:b/>
          <w:bCs/>
          <w:color w:val="auto"/>
          <w:sz w:val="24"/>
          <w:highlight w:val="none"/>
        </w:rPr>
        <w:t>（实质性要求）</w:t>
      </w:r>
      <w:bookmarkEnd w:id="214"/>
      <w:bookmarkEnd w:id="215"/>
      <w:bookmarkEnd w:id="216"/>
      <w:bookmarkEnd w:id="217"/>
      <w:bookmarkEnd w:id="218"/>
      <w:bookmarkEnd w:id="219"/>
      <w:bookmarkEnd w:id="220"/>
      <w:bookmarkEnd w:id="221"/>
      <w:bookmarkEnd w:id="222"/>
      <w:bookmarkEnd w:id="223"/>
    </w:p>
    <w:p>
      <w:pPr>
        <w:tabs>
          <w:tab w:val="left" w:pos="7665"/>
        </w:tabs>
        <w:spacing w:line="360" w:lineRule="auto"/>
        <w:ind w:left="13"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本次采购项目所有合同项下的投标均以人民币报价。</w:t>
      </w:r>
    </w:p>
    <w:p>
      <w:pPr>
        <w:pStyle w:val="5"/>
        <w:spacing w:line="360" w:lineRule="auto"/>
        <w:ind w:firstLine="482" w:firstLineChars="200"/>
        <w:rPr>
          <w:rFonts w:hint="eastAsia" w:ascii="宋体" w:hAnsi="宋体" w:eastAsia="宋体" w:cs="宋体"/>
          <w:b/>
          <w:bCs/>
          <w:color w:val="auto"/>
          <w:sz w:val="24"/>
          <w:highlight w:val="none"/>
        </w:rPr>
      </w:pPr>
      <w:bookmarkStart w:id="224" w:name="_Toc217446046"/>
      <w:bookmarkStart w:id="225" w:name="_Toc26629"/>
      <w:bookmarkStart w:id="226" w:name="_Toc3865"/>
      <w:bookmarkStart w:id="227" w:name="_Toc20629"/>
      <w:bookmarkStart w:id="228" w:name="_Toc20932"/>
      <w:bookmarkStart w:id="229" w:name="_Toc6381"/>
      <w:bookmarkStart w:id="230" w:name="_Toc29890"/>
      <w:bookmarkStart w:id="231" w:name="_Toc14557"/>
      <w:bookmarkStart w:id="232" w:name="_Toc22662"/>
      <w:bookmarkStart w:id="233" w:name="_Toc11942"/>
      <w:bookmarkStart w:id="234" w:name="_Toc2372"/>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val="en-US" w:eastAsia="zh-CN"/>
        </w:rPr>
        <w:t>2</w:t>
      </w:r>
      <w:r>
        <w:rPr>
          <w:rFonts w:hint="eastAsia" w:ascii="宋体" w:hAnsi="宋体" w:eastAsia="宋体" w:cs="宋体"/>
          <w:color w:val="auto"/>
          <w:sz w:val="24"/>
          <w:highlight w:val="none"/>
        </w:rPr>
        <w:t>.</w:t>
      </w:r>
      <w:r>
        <w:rPr>
          <w:rFonts w:hint="eastAsia" w:ascii="宋体" w:hAnsi="宋体" w:eastAsia="宋体" w:cs="宋体"/>
          <w:b/>
          <w:bCs/>
          <w:color w:val="auto"/>
          <w:sz w:val="24"/>
          <w:highlight w:val="none"/>
        </w:rPr>
        <w:t>联合体投标</w:t>
      </w:r>
      <w:bookmarkEnd w:id="224"/>
      <w:r>
        <w:rPr>
          <w:rFonts w:hint="eastAsia" w:ascii="宋体" w:hAnsi="宋体" w:eastAsia="宋体" w:cs="宋体"/>
          <w:b/>
          <w:bCs/>
          <w:color w:val="auto"/>
          <w:sz w:val="24"/>
          <w:highlight w:val="none"/>
        </w:rPr>
        <w:t>（实质性要求）</w:t>
      </w:r>
      <w:bookmarkEnd w:id="225"/>
      <w:bookmarkEnd w:id="226"/>
      <w:bookmarkEnd w:id="227"/>
      <w:bookmarkEnd w:id="228"/>
      <w:bookmarkEnd w:id="229"/>
      <w:bookmarkEnd w:id="230"/>
      <w:bookmarkEnd w:id="231"/>
      <w:bookmarkEnd w:id="232"/>
      <w:bookmarkEnd w:id="233"/>
      <w:bookmarkEnd w:id="234"/>
    </w:p>
    <w:p>
      <w:pPr>
        <w:spacing w:line="360" w:lineRule="auto"/>
        <w:ind w:firstLine="480" w:firstLineChars="200"/>
        <w:rPr>
          <w:rFonts w:hint="eastAsia" w:ascii="宋体" w:hAnsi="宋体" w:eastAsia="宋体" w:cs="宋体"/>
          <w:b w:val="0"/>
          <w:bCs/>
          <w:color w:val="auto"/>
          <w:sz w:val="24"/>
          <w:highlight w:val="none"/>
        </w:rPr>
      </w:pPr>
      <w:bookmarkStart w:id="235" w:name="_Toc217446047"/>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.1 两个以上法人或者其他组织可以组成一个联合体，以一个投标人的身份共同投标。以联合体形式参加投标的，联合体各方均应当符合《</w:t>
      </w:r>
      <w:r>
        <w:rPr>
          <w:rFonts w:hint="eastAsia" w:hAnsi="宋体" w:eastAsia="宋体" w:cs="宋体"/>
          <w:color w:val="auto"/>
          <w:sz w:val="24"/>
          <w:highlight w:val="none"/>
          <w:lang w:val="en-US" w:eastAsia="zh-CN"/>
        </w:rPr>
        <w:t>中华人民共和国</w:t>
      </w:r>
      <w:r>
        <w:rPr>
          <w:rFonts w:hint="eastAsia" w:ascii="宋体" w:hAnsi="宋体" w:eastAsia="宋体" w:cs="宋体"/>
          <w:color w:val="auto"/>
          <w:sz w:val="24"/>
          <w:highlight w:val="none"/>
        </w:rPr>
        <w:t>政府采购法》第二十二条规定的条件。采购人根据采购项目的特殊要求规定投标人</w:t>
      </w:r>
      <w:r>
        <w:rPr>
          <w:rFonts w:hint="eastAsia" w:ascii="宋体" w:hAnsi="宋体" w:eastAsia="宋体" w:cs="宋体"/>
          <w:color w:val="auto"/>
          <w:sz w:val="24"/>
          <w:highlight w:val="none"/>
          <w:lang w:val="en-US" w:eastAsia="zh-CN"/>
        </w:rPr>
        <w:t>特殊</w:t>
      </w:r>
      <w:r>
        <w:rPr>
          <w:rFonts w:hint="eastAsia" w:ascii="宋体" w:hAnsi="宋体" w:eastAsia="宋体" w:cs="宋体"/>
          <w:color w:val="auto"/>
          <w:sz w:val="24"/>
          <w:highlight w:val="none"/>
        </w:rPr>
        <w:t>条件的，联合体各方中至少应当有一方符合采购人规定的</w:t>
      </w:r>
      <w:r>
        <w:rPr>
          <w:rFonts w:hint="eastAsia" w:ascii="宋体" w:hAnsi="宋体" w:eastAsia="宋体" w:cs="宋体"/>
          <w:color w:val="auto"/>
          <w:sz w:val="24"/>
          <w:highlight w:val="none"/>
          <w:lang w:val="en-US" w:eastAsia="zh-CN"/>
        </w:rPr>
        <w:t>特殊</w:t>
      </w:r>
      <w:r>
        <w:rPr>
          <w:rFonts w:hint="eastAsia" w:ascii="宋体" w:hAnsi="宋体" w:eastAsia="宋体" w:cs="宋体"/>
          <w:color w:val="auto"/>
          <w:sz w:val="24"/>
          <w:highlight w:val="none"/>
        </w:rPr>
        <w:t>条件。</w:t>
      </w:r>
      <w:r>
        <w:rPr>
          <w:rFonts w:hint="eastAsia" w:ascii="宋体" w:hAnsi="宋体" w:eastAsia="宋体" w:cs="宋体"/>
          <w:b w:val="0"/>
          <w:bCs/>
          <w:color w:val="auto"/>
          <w:sz w:val="24"/>
          <w:highlight w:val="none"/>
        </w:rPr>
        <w:t>联合体中有同类资质的供应商按照联合体分工承担相同工作的，应当按照资质等级较低的供应商确定资质等级</w:t>
      </w:r>
      <w:r>
        <w:rPr>
          <w:rFonts w:hint="eastAsia" w:ascii="宋体" w:hAnsi="宋体" w:eastAsia="宋体" w:cs="宋体"/>
          <w:b w:val="0"/>
          <w:bCs/>
          <w:color w:val="auto"/>
          <w:sz w:val="24"/>
          <w:szCs w:val="22"/>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.2 联合体各方之间应当签订联合体协议，明确约定联合体各方承担的工作和相应的责任，并将联合体协议连同投标文件一并</w:t>
      </w:r>
      <w:r>
        <w:rPr>
          <w:rFonts w:hint="eastAsia" w:ascii="宋体" w:hAnsi="宋体" w:eastAsia="宋体" w:cs="宋体"/>
          <w:color w:val="auto"/>
          <w:sz w:val="24"/>
          <w:highlight w:val="none"/>
          <w:lang w:val="en-US" w:eastAsia="zh-CN"/>
        </w:rPr>
        <w:t>递交</w:t>
      </w:r>
      <w:r>
        <w:rPr>
          <w:rFonts w:hint="eastAsia" w:ascii="宋体" w:hAnsi="宋体" w:eastAsia="宋体" w:cs="宋体"/>
          <w:color w:val="auto"/>
          <w:sz w:val="24"/>
          <w:highlight w:val="none"/>
        </w:rPr>
        <w:t>招标采购单位。</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.3 联合体应当确定其中一个单位为投标的全权代表，负责参加投标的一切事务，并承担投标及履约中应承担的全部责任与义务。</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szCs w:val="22"/>
          <w:highlight w:val="none"/>
        </w:rPr>
        <w:t>.4以联合体形式参加政府采购活动</w:t>
      </w:r>
      <w:r>
        <w:rPr>
          <w:rFonts w:hint="eastAsia" w:ascii="宋体" w:hAnsi="宋体" w:eastAsia="宋体" w:cs="宋体"/>
          <w:color w:val="auto"/>
          <w:sz w:val="24"/>
          <w:szCs w:val="22"/>
          <w:highlight w:val="none"/>
          <w:lang w:val="en-US" w:eastAsia="zh-CN"/>
        </w:rPr>
        <w:t>的</w:t>
      </w:r>
      <w:r>
        <w:rPr>
          <w:rFonts w:hint="eastAsia" w:ascii="宋体" w:hAnsi="宋体" w:eastAsia="宋体" w:cs="宋体"/>
          <w:color w:val="auto"/>
          <w:sz w:val="24"/>
          <w:szCs w:val="22"/>
          <w:highlight w:val="none"/>
        </w:rPr>
        <w:t>，联合体各方均为中小企业的，联合体视同中小企业。其中，联合体各方均为小微企业的，联合体视同小微企业。</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szCs w:val="22"/>
          <w:highlight w:val="none"/>
        </w:rPr>
        <w:t>.5接受大中型企业与小微企业组成联合体或者允许大中型企业向一家或者多家小微企业分包的采购项目，对于联合协议或者分包意向协议约定小微企业的合同份额占到合同总金额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 者大中型企业的报价给予 3%的扣除，用扣除后的价格参加评审。组成联合体的大中型企业和其他法人或者其他组织，与小型、微型企业之间不得存在投资关系。</w:t>
      </w:r>
    </w:p>
    <w:p>
      <w:pPr>
        <w:spacing w:line="360" w:lineRule="auto"/>
        <w:ind w:firstLine="480" w:firstLineChars="200"/>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szCs w:val="22"/>
          <w:highlight w:val="none"/>
        </w:rPr>
        <w:t>.6以联合体形式参加采购活动的，联合体各方不得再单独参加或者与其他供应商另外组成联合体参加同一合同项下的采购活动</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lang w:val="en-US" w:eastAsia="zh-CN"/>
        </w:rPr>
        <w:t>否则均视为无效投标。</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.7 联合体各方应当共同与采购人签订采购合同，就采购合同约定的事项对采购人承担连带责任。</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szCs w:val="24"/>
          <w:highlight w:val="none"/>
        </w:rPr>
        <w:t>本项目不接受联合体投标。</w:t>
      </w:r>
    </w:p>
    <w:p>
      <w:pPr>
        <w:pStyle w:val="5"/>
        <w:spacing w:line="360" w:lineRule="auto"/>
        <w:ind w:firstLine="482" w:firstLineChars="200"/>
        <w:rPr>
          <w:rFonts w:hint="eastAsia" w:ascii="宋体" w:hAnsi="宋体" w:eastAsia="宋体" w:cs="宋体"/>
          <w:b/>
          <w:bCs/>
          <w:color w:val="auto"/>
          <w:sz w:val="24"/>
          <w:highlight w:val="none"/>
        </w:rPr>
      </w:pPr>
      <w:bookmarkStart w:id="236" w:name="_Toc308164797"/>
      <w:bookmarkStart w:id="237" w:name="_Toc22889"/>
      <w:bookmarkStart w:id="238" w:name="_Toc24726"/>
      <w:bookmarkStart w:id="239" w:name="_Toc11393"/>
      <w:bookmarkStart w:id="240" w:name="_Toc20330"/>
      <w:bookmarkStart w:id="241" w:name="_Toc27173"/>
      <w:bookmarkStart w:id="242" w:name="_Toc28189"/>
      <w:bookmarkStart w:id="243" w:name="_Toc12061"/>
      <w:bookmarkStart w:id="244" w:name="_Toc14902"/>
      <w:bookmarkStart w:id="245" w:name="_Toc11808"/>
      <w:bookmarkStart w:id="246" w:name="_Toc22377"/>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b/>
          <w:bCs/>
          <w:color w:val="auto"/>
          <w:sz w:val="24"/>
          <w:highlight w:val="none"/>
        </w:rPr>
        <w:t>知识产权</w:t>
      </w:r>
      <w:bookmarkEnd w:id="235"/>
      <w:bookmarkEnd w:id="236"/>
      <w:r>
        <w:rPr>
          <w:rFonts w:hint="eastAsia" w:ascii="宋体" w:hAnsi="宋体" w:eastAsia="宋体" w:cs="宋体"/>
          <w:b/>
          <w:bCs/>
          <w:color w:val="auto"/>
          <w:sz w:val="24"/>
          <w:highlight w:val="none"/>
        </w:rPr>
        <w:t>（实质性要求）</w:t>
      </w:r>
      <w:bookmarkEnd w:id="237"/>
      <w:bookmarkEnd w:id="238"/>
      <w:bookmarkEnd w:id="239"/>
      <w:bookmarkEnd w:id="240"/>
      <w:bookmarkEnd w:id="241"/>
      <w:bookmarkEnd w:id="242"/>
      <w:bookmarkEnd w:id="243"/>
      <w:bookmarkEnd w:id="244"/>
      <w:bookmarkEnd w:id="245"/>
      <w:bookmarkEnd w:id="246"/>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.2 采购人享有本项目实施过程中产生的知识成果及知识产权。</w:t>
      </w:r>
    </w:p>
    <w:p>
      <w:pPr>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val="en-US" w:eastAsia="zh-CN"/>
        </w:rPr>
        <w:t>3</w:t>
      </w:r>
      <w:r>
        <w:rPr>
          <w:rFonts w:hint="eastAsia" w:ascii="宋体" w:hAnsi="宋体" w:eastAsia="宋体" w:cs="宋体"/>
          <w:b/>
          <w:bCs/>
          <w:color w:val="auto"/>
          <w:sz w:val="24"/>
          <w:highlight w:val="none"/>
        </w:rPr>
        <w:t>.4 如采用投标人所不拥有的知识产权，则在投标报价中必须包括合法获取该知识产权的相关费用。</w:t>
      </w:r>
      <w:r>
        <w:rPr>
          <w:rFonts w:hint="eastAsia" w:ascii="宋体" w:hAnsi="宋体" w:eastAsia="宋体" w:cs="宋体"/>
          <w:color w:val="auto"/>
          <w:sz w:val="24"/>
          <w:highlight w:val="none"/>
        </w:rPr>
        <w:t xml:space="preserve">  </w:t>
      </w:r>
    </w:p>
    <w:p>
      <w:pPr>
        <w:pStyle w:val="5"/>
        <w:spacing w:line="360" w:lineRule="auto"/>
        <w:ind w:firstLine="482" w:firstLineChars="200"/>
        <w:rPr>
          <w:rFonts w:hint="eastAsia" w:ascii="宋体" w:hAnsi="宋体" w:eastAsia="宋体" w:cs="宋体"/>
          <w:color w:val="auto"/>
          <w:sz w:val="24"/>
          <w:highlight w:val="none"/>
        </w:rPr>
      </w:pPr>
      <w:bookmarkStart w:id="247" w:name="_Toc183582217"/>
      <w:bookmarkStart w:id="248" w:name="_Toc15874"/>
      <w:bookmarkStart w:id="249" w:name="_Toc18075"/>
      <w:bookmarkStart w:id="250" w:name="_Toc217446048"/>
      <w:bookmarkStart w:id="251" w:name="_Toc27346"/>
      <w:bookmarkStart w:id="252" w:name="_Toc13517"/>
      <w:bookmarkStart w:id="253" w:name="_Toc9559"/>
      <w:bookmarkStart w:id="254" w:name="_Toc308164798"/>
      <w:bookmarkStart w:id="255" w:name="_Toc32220"/>
      <w:bookmarkStart w:id="256" w:name="_Toc15512"/>
      <w:bookmarkStart w:id="257" w:name="_Toc3054"/>
      <w:bookmarkStart w:id="258" w:name="_Toc22108"/>
      <w:bookmarkStart w:id="259" w:name="_Toc183682354"/>
      <w:bookmarkStart w:id="260" w:name="_Toc17800"/>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.投标文件的组成</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highlight w:val="none"/>
        </w:rPr>
      </w:pPr>
      <w:bookmarkStart w:id="261" w:name="_Toc22109"/>
      <w:r>
        <w:rPr>
          <w:rFonts w:hint="eastAsia" w:ascii="宋体" w:hAnsi="宋体" w:eastAsia="宋体" w:cs="宋体"/>
          <w:color w:val="auto"/>
          <w:sz w:val="24"/>
          <w:szCs w:val="22"/>
          <w:highlight w:val="none"/>
        </w:rPr>
        <w:t>投标人应按照招标文件的规定和要求编制投标文件。投标人编写的投标文件应包括下列部分：</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color w:val="auto"/>
          <w:sz w:val="24"/>
          <w:szCs w:val="22"/>
          <w:highlight w:val="none"/>
        </w:rPr>
      </w:pPr>
      <w:bookmarkStart w:id="262" w:name="_Toc7884_WPSOffice_Level3"/>
      <w:bookmarkStart w:id="263" w:name="_Toc3287_WPSOffice_Level3"/>
      <w:r>
        <w:rPr>
          <w:rFonts w:hint="eastAsia" w:ascii="宋体" w:hAnsi="宋体" w:eastAsia="宋体" w:cs="宋体"/>
          <w:b/>
          <w:bCs/>
          <w:color w:val="auto"/>
          <w:sz w:val="24"/>
          <w:szCs w:val="22"/>
          <w:highlight w:val="none"/>
        </w:rPr>
        <w:t>1</w:t>
      </w:r>
      <w:r>
        <w:rPr>
          <w:rFonts w:hint="eastAsia" w:ascii="宋体" w:hAnsi="宋体" w:eastAsia="宋体" w:cs="宋体"/>
          <w:b/>
          <w:bCs/>
          <w:color w:val="auto"/>
          <w:sz w:val="24"/>
          <w:szCs w:val="22"/>
          <w:highlight w:val="none"/>
          <w:lang w:val="en-US" w:eastAsia="zh-CN"/>
        </w:rPr>
        <w:t>4</w:t>
      </w:r>
      <w:r>
        <w:rPr>
          <w:rFonts w:hint="eastAsia" w:ascii="宋体" w:hAnsi="宋体" w:eastAsia="宋体" w:cs="宋体"/>
          <w:b/>
          <w:bCs/>
          <w:color w:val="auto"/>
          <w:sz w:val="24"/>
          <w:szCs w:val="22"/>
          <w:highlight w:val="none"/>
        </w:rPr>
        <w:t>.1第一部分：资格、资质性及其他类似效力投标文件(用于资格审查)</w:t>
      </w:r>
      <w:bookmarkEnd w:id="262"/>
      <w:bookmarkEnd w:id="263"/>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rPr>
        <w:t>按照招标文件第四章</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lang w:val="en-US" w:eastAsia="zh-CN"/>
        </w:rPr>
        <w:t>第五章</w:t>
      </w:r>
      <w:r>
        <w:rPr>
          <w:rFonts w:hint="eastAsia" w:ascii="宋体" w:hAnsi="宋体" w:eastAsia="宋体" w:cs="宋体"/>
          <w:color w:val="auto"/>
          <w:sz w:val="24"/>
          <w:szCs w:val="22"/>
          <w:highlight w:val="none"/>
        </w:rPr>
        <w:t>要求提供相关资格、资质性及其他类似效力要求的相关证明材料</w:t>
      </w:r>
      <w:r>
        <w:rPr>
          <w:rFonts w:hint="eastAsia" w:ascii="宋体" w:hAnsi="宋体" w:eastAsia="宋体" w:cs="宋体"/>
          <w:color w:val="auto"/>
          <w:sz w:val="24"/>
          <w:szCs w:val="22"/>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w:t>
      </w:r>
      <w:r>
        <w:rPr>
          <w:rFonts w:hint="eastAsia" w:ascii="宋体" w:hAnsi="宋体" w:eastAsia="宋体" w:cs="宋体"/>
          <w:b/>
          <w:bCs/>
          <w:color w:val="auto"/>
          <w:sz w:val="24"/>
          <w:szCs w:val="22"/>
          <w:highlight w:val="none"/>
          <w:lang w:val="en-US" w:eastAsia="zh-CN"/>
        </w:rPr>
        <w:t>4</w:t>
      </w:r>
      <w:r>
        <w:rPr>
          <w:rFonts w:hint="eastAsia" w:ascii="宋体" w:hAnsi="宋体" w:eastAsia="宋体" w:cs="宋体"/>
          <w:b/>
          <w:bCs/>
          <w:color w:val="auto"/>
          <w:sz w:val="24"/>
          <w:szCs w:val="22"/>
          <w:highlight w:val="none"/>
        </w:rPr>
        <w:t>.</w:t>
      </w:r>
      <w:r>
        <w:rPr>
          <w:rFonts w:hint="eastAsia" w:ascii="宋体" w:hAnsi="宋体" w:eastAsia="宋体" w:cs="宋体"/>
          <w:b/>
          <w:bCs/>
          <w:color w:val="auto"/>
          <w:sz w:val="24"/>
          <w:szCs w:val="22"/>
          <w:highlight w:val="none"/>
          <w:lang w:val="en-US" w:eastAsia="zh-CN"/>
        </w:rPr>
        <w:t>2</w:t>
      </w:r>
      <w:r>
        <w:rPr>
          <w:rFonts w:hint="eastAsia" w:ascii="宋体" w:hAnsi="宋体" w:eastAsia="宋体" w:cs="宋体"/>
          <w:b/>
          <w:bCs/>
          <w:color w:val="auto"/>
          <w:sz w:val="24"/>
          <w:szCs w:val="22"/>
          <w:highlight w:val="none"/>
        </w:rPr>
        <w:t>第</w:t>
      </w:r>
      <w:r>
        <w:rPr>
          <w:rFonts w:hint="eastAsia" w:ascii="宋体" w:hAnsi="宋体" w:eastAsia="宋体" w:cs="宋体"/>
          <w:b/>
          <w:bCs/>
          <w:color w:val="auto"/>
          <w:sz w:val="24"/>
          <w:szCs w:val="22"/>
          <w:highlight w:val="none"/>
          <w:lang w:val="en-US" w:eastAsia="zh-CN"/>
        </w:rPr>
        <w:t>二</w:t>
      </w:r>
      <w:r>
        <w:rPr>
          <w:rFonts w:hint="eastAsia" w:ascii="宋体" w:hAnsi="宋体" w:eastAsia="宋体" w:cs="宋体"/>
          <w:b/>
          <w:bCs/>
          <w:color w:val="auto"/>
          <w:sz w:val="24"/>
          <w:szCs w:val="22"/>
          <w:highlight w:val="none"/>
        </w:rPr>
        <w:t xml:space="preserve">部分：其它投标文件(用于资格审查以外的评标)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lang w:val="en-US" w:eastAsia="zh-CN"/>
        </w:rPr>
        <w:t>1</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rPr>
        <w:t>投标函</w:t>
      </w:r>
      <w:r>
        <w:rPr>
          <w:rFonts w:hint="eastAsia" w:ascii="宋体" w:hAnsi="宋体" w:eastAsia="宋体" w:cs="宋体"/>
          <w:color w:val="auto"/>
          <w:sz w:val="24"/>
          <w:szCs w:val="2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（2）承诺函；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w:t>
      </w:r>
      <w:r>
        <w:rPr>
          <w:rFonts w:hint="eastAsia" w:hAnsi="宋体" w:eastAsia="宋体" w:cs="宋体"/>
          <w:color w:val="auto"/>
          <w:sz w:val="24"/>
          <w:szCs w:val="22"/>
          <w:highlight w:val="none"/>
          <w:lang w:val="en-US" w:eastAsia="zh-CN"/>
        </w:rPr>
        <w:t>3</w:t>
      </w:r>
      <w:r>
        <w:rPr>
          <w:rFonts w:hint="eastAsia" w:ascii="宋体" w:hAnsi="宋体" w:eastAsia="宋体" w:cs="宋体"/>
          <w:color w:val="auto"/>
          <w:sz w:val="24"/>
          <w:szCs w:val="22"/>
          <w:highlight w:val="none"/>
          <w:lang w:val="en-US" w:eastAsia="zh-CN"/>
        </w:rPr>
        <w:t>）开标一览表</w:t>
      </w:r>
      <w:r>
        <w:rPr>
          <w:rFonts w:hint="eastAsia" w:ascii="宋体" w:hAnsi="宋体" w:eastAsia="宋体" w:cs="宋体"/>
          <w:color w:val="auto"/>
          <w:sz w:val="24"/>
          <w:szCs w:val="22"/>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eastAsia="zh-CN"/>
        </w:rPr>
        <w:t>（</w:t>
      </w:r>
      <w:r>
        <w:rPr>
          <w:rFonts w:hint="eastAsia" w:hAnsi="宋体" w:eastAsia="宋体" w:cs="宋体"/>
          <w:color w:val="auto"/>
          <w:sz w:val="24"/>
          <w:szCs w:val="22"/>
          <w:highlight w:val="none"/>
          <w:lang w:val="en-US" w:eastAsia="zh-CN"/>
        </w:rPr>
        <w:t>4</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rPr>
        <w:t>分项报价明细表；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w:t>
      </w:r>
      <w:r>
        <w:rPr>
          <w:rFonts w:hint="eastAsia"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lang w:val="en-US" w:eastAsia="zh-CN"/>
        </w:rPr>
        <w:t>）技术服务要求应答表；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w:t>
      </w:r>
      <w:r>
        <w:rPr>
          <w:rFonts w:hint="eastAsia" w:hAnsi="宋体" w:eastAsia="宋体" w:cs="宋体"/>
          <w:color w:val="auto"/>
          <w:sz w:val="24"/>
          <w:szCs w:val="22"/>
          <w:highlight w:val="none"/>
          <w:lang w:val="en-US" w:eastAsia="zh-CN"/>
        </w:rPr>
        <w:t>6</w:t>
      </w:r>
      <w:r>
        <w:rPr>
          <w:rFonts w:hint="eastAsia" w:ascii="宋体" w:hAnsi="宋体" w:eastAsia="宋体" w:cs="宋体"/>
          <w:color w:val="auto"/>
          <w:sz w:val="24"/>
          <w:szCs w:val="22"/>
          <w:highlight w:val="none"/>
          <w:lang w:val="en-US" w:eastAsia="zh-CN"/>
        </w:rPr>
        <w:t>）商务要求应答表；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w:t>
      </w:r>
      <w:r>
        <w:rPr>
          <w:rFonts w:hint="eastAsia" w:hAnsi="宋体" w:eastAsia="宋体" w:cs="宋体"/>
          <w:color w:val="auto"/>
          <w:sz w:val="24"/>
          <w:szCs w:val="22"/>
          <w:highlight w:val="none"/>
          <w:lang w:val="en-US" w:eastAsia="zh-CN"/>
        </w:rPr>
        <w:t>7</w:t>
      </w:r>
      <w:r>
        <w:rPr>
          <w:rFonts w:hint="eastAsia" w:ascii="宋体" w:hAnsi="宋体" w:eastAsia="宋体" w:cs="宋体"/>
          <w:color w:val="auto"/>
          <w:sz w:val="24"/>
          <w:szCs w:val="22"/>
          <w:highlight w:val="none"/>
          <w:lang w:val="en-US" w:eastAsia="zh-CN"/>
        </w:rPr>
        <w:t xml:space="preserve">）类似项目业绩一览表；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w:t>
      </w:r>
      <w:r>
        <w:rPr>
          <w:rFonts w:hint="eastAsia" w:hAnsi="宋体" w:eastAsia="宋体" w:cs="宋体"/>
          <w:color w:val="auto"/>
          <w:sz w:val="24"/>
          <w:szCs w:val="22"/>
          <w:highlight w:val="none"/>
          <w:lang w:val="en-US" w:eastAsia="zh-CN"/>
        </w:rPr>
        <w:t>8</w:t>
      </w:r>
      <w:r>
        <w:rPr>
          <w:rFonts w:hint="eastAsia" w:ascii="宋体" w:hAnsi="宋体" w:eastAsia="宋体" w:cs="宋体"/>
          <w:color w:val="auto"/>
          <w:sz w:val="24"/>
          <w:szCs w:val="22"/>
          <w:highlight w:val="none"/>
          <w:lang w:val="en-US" w:eastAsia="zh-CN"/>
        </w:rPr>
        <w:t xml:space="preserve">）投标人基本情况表；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eastAsia="zh-CN"/>
        </w:rPr>
        <w:t>（</w:t>
      </w:r>
      <w:r>
        <w:rPr>
          <w:rFonts w:hint="eastAsia" w:hAnsi="宋体" w:eastAsia="宋体" w:cs="宋体"/>
          <w:color w:val="auto"/>
          <w:sz w:val="24"/>
          <w:szCs w:val="22"/>
          <w:highlight w:val="none"/>
          <w:lang w:val="en-US" w:eastAsia="zh-CN"/>
        </w:rPr>
        <w:t>9</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rPr>
        <w:t>供应商拟投入本项目人员情况表</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color w:val="auto"/>
          <w:sz w:val="24"/>
          <w:szCs w:val="22"/>
          <w:highlight w:val="none"/>
          <w:lang w:val="en-US" w:eastAsia="zh-CN"/>
        </w:rPr>
        <w:t>（</w:t>
      </w:r>
      <w:r>
        <w:rPr>
          <w:rFonts w:hint="eastAsia" w:hAnsi="宋体" w:eastAsia="宋体" w:cs="宋体"/>
          <w:color w:val="auto"/>
          <w:sz w:val="24"/>
          <w:szCs w:val="22"/>
          <w:highlight w:val="none"/>
          <w:lang w:val="en-US" w:eastAsia="zh-CN"/>
        </w:rPr>
        <w:t>10</w:t>
      </w:r>
      <w:r>
        <w:rPr>
          <w:rFonts w:hint="eastAsia" w:ascii="宋体" w:hAnsi="宋体" w:eastAsia="宋体" w:cs="宋体"/>
          <w:color w:val="auto"/>
          <w:sz w:val="24"/>
          <w:szCs w:val="22"/>
          <w:highlight w:val="none"/>
          <w:lang w:val="en-US" w:eastAsia="zh-CN"/>
        </w:rPr>
        <w:t>）投标人认为需要提供的文件和资料：</w:t>
      </w:r>
      <w:bookmarkStart w:id="264" w:name="_Toc21060_WPSOffice_Level3"/>
      <w:bookmarkStart w:id="265" w:name="_Toc23109_WPSOffice_Level3"/>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w:t>
      </w:r>
      <w:r>
        <w:rPr>
          <w:rFonts w:hint="eastAsia" w:ascii="宋体" w:hAnsi="宋体" w:eastAsia="宋体" w:cs="宋体"/>
          <w:b/>
          <w:bCs/>
          <w:color w:val="auto"/>
          <w:sz w:val="24"/>
          <w:szCs w:val="22"/>
          <w:highlight w:val="none"/>
          <w:lang w:val="en-US" w:eastAsia="zh-CN"/>
        </w:rPr>
        <w:t>4</w:t>
      </w:r>
      <w:r>
        <w:rPr>
          <w:rFonts w:hint="eastAsia" w:ascii="宋体" w:hAnsi="宋体" w:eastAsia="宋体" w:cs="宋体"/>
          <w:b/>
          <w:bCs/>
          <w:color w:val="auto"/>
          <w:sz w:val="24"/>
          <w:szCs w:val="22"/>
          <w:highlight w:val="none"/>
        </w:rPr>
        <w:t>.</w:t>
      </w:r>
      <w:r>
        <w:rPr>
          <w:rFonts w:hint="eastAsia" w:ascii="宋体" w:hAnsi="宋体" w:eastAsia="宋体" w:cs="宋体"/>
          <w:b/>
          <w:bCs/>
          <w:color w:val="auto"/>
          <w:sz w:val="24"/>
          <w:szCs w:val="22"/>
          <w:highlight w:val="none"/>
          <w:lang w:val="en-US" w:eastAsia="zh-CN"/>
        </w:rPr>
        <w:t>3</w:t>
      </w:r>
      <w:r>
        <w:rPr>
          <w:rFonts w:hint="eastAsia" w:ascii="宋体" w:hAnsi="宋体" w:eastAsia="宋体" w:cs="宋体"/>
          <w:b/>
          <w:bCs/>
          <w:color w:val="auto"/>
          <w:sz w:val="24"/>
          <w:szCs w:val="22"/>
          <w:highlight w:val="none"/>
        </w:rPr>
        <w:t>本次招标关于报价要求：</w:t>
      </w:r>
      <w:bookmarkEnd w:id="264"/>
      <w:bookmarkEnd w:id="265"/>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（1）投标人的报价是投标人响应</w:t>
      </w:r>
      <w:r>
        <w:rPr>
          <w:rFonts w:hint="eastAsia" w:ascii="宋体" w:hAnsi="宋体" w:eastAsia="宋体" w:cs="宋体"/>
          <w:color w:val="auto"/>
          <w:sz w:val="24"/>
          <w:highlight w:val="none"/>
          <w:lang w:val="en-US" w:eastAsia="zh-CN"/>
        </w:rPr>
        <w:t>本次</w:t>
      </w:r>
      <w:r>
        <w:rPr>
          <w:rFonts w:hint="eastAsia" w:ascii="宋体" w:hAnsi="宋体" w:eastAsia="宋体" w:cs="宋体"/>
          <w:color w:val="auto"/>
          <w:sz w:val="24"/>
          <w:highlight w:val="none"/>
          <w:lang w:eastAsia="zh-CN"/>
        </w:rPr>
        <w:t>采购项目</w:t>
      </w:r>
      <w:r>
        <w:rPr>
          <w:rFonts w:hint="eastAsia" w:ascii="宋体" w:hAnsi="宋体" w:eastAsia="宋体" w:cs="宋体"/>
          <w:color w:val="auto"/>
          <w:sz w:val="24"/>
          <w:highlight w:val="none"/>
        </w:rPr>
        <w:t>要求的全部工作内容的价格体现，包括投标人完成本项目所需的一切费用</w:t>
      </w:r>
      <w:r>
        <w:rPr>
          <w:rFonts w:hint="eastAsia" w:ascii="宋体" w:hAnsi="宋体" w:eastAsia="宋体" w:cs="宋体"/>
          <w:b/>
          <w:bCs/>
          <w:color w:val="auto"/>
          <w:sz w:val="24"/>
          <w:highlight w:val="none"/>
        </w:rPr>
        <w:t>（实质性要求）</w:t>
      </w:r>
      <w:r>
        <w:rPr>
          <w:rFonts w:hint="eastAsia" w:ascii="宋体" w:hAnsi="宋体" w:eastAsia="宋体" w:cs="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left="2" w:firstLine="480" w:firstLineChars="200"/>
        <w:textAlignment w:val="auto"/>
        <w:rPr>
          <w:rFonts w:hint="eastAsia" w:ascii="宋体" w:hAnsi="宋体" w:eastAsia="宋体" w:cs="宋体"/>
          <w:b/>
          <w:bCs/>
          <w:color w:val="auto"/>
          <w:sz w:val="24"/>
          <w:highlight w:val="none"/>
        </w:rPr>
      </w:pPr>
      <w:r>
        <w:rPr>
          <w:rFonts w:hint="eastAsia" w:ascii="宋体" w:hAnsi="宋体" w:eastAsia="宋体" w:cs="宋体"/>
          <w:b w:val="0"/>
          <w:bCs w:val="0"/>
          <w:color w:val="auto"/>
          <w:sz w:val="24"/>
          <w:highlight w:val="none"/>
        </w:rPr>
        <w:t>（2）投标人只允许有一个报价，并且在合同履行过程中是固定不变的，任何有选择或可调整的报价将不予接受，</w:t>
      </w:r>
      <w:r>
        <w:rPr>
          <w:rFonts w:hint="eastAsia" w:ascii="宋体" w:hAnsi="宋体" w:eastAsia="宋体" w:cs="宋体"/>
          <w:b w:val="0"/>
          <w:bCs w:val="0"/>
          <w:color w:val="auto"/>
          <w:sz w:val="24"/>
          <w:highlight w:val="none"/>
          <w:lang w:val="en-US" w:eastAsia="zh-CN"/>
        </w:rPr>
        <w:t>其投标文件</w:t>
      </w:r>
      <w:r>
        <w:rPr>
          <w:rFonts w:hint="eastAsia" w:ascii="宋体" w:hAnsi="宋体" w:eastAsia="宋体" w:cs="宋体"/>
          <w:b w:val="0"/>
          <w:bCs w:val="0"/>
          <w:color w:val="auto"/>
          <w:sz w:val="24"/>
          <w:highlight w:val="none"/>
        </w:rPr>
        <w:t>按无效投标处理</w:t>
      </w:r>
      <w:r>
        <w:rPr>
          <w:rFonts w:hint="eastAsia" w:ascii="宋体" w:hAnsi="宋体" w:eastAsia="宋体" w:cs="宋体"/>
          <w:b/>
          <w:bCs/>
          <w:color w:val="auto"/>
          <w:sz w:val="24"/>
          <w:highlight w:val="none"/>
        </w:rPr>
        <w:t>（实质性要求）。</w:t>
      </w:r>
    </w:p>
    <w:p>
      <w:pPr>
        <w:pStyle w:val="5"/>
        <w:tabs>
          <w:tab w:val="left" w:pos="3480"/>
        </w:tabs>
        <w:spacing w:line="360" w:lineRule="auto"/>
        <w:ind w:firstLine="482" w:firstLineChars="200"/>
        <w:rPr>
          <w:rFonts w:hint="eastAsia" w:ascii="宋体" w:hAnsi="宋体" w:eastAsia="宋体" w:cs="宋体"/>
          <w:color w:val="auto"/>
          <w:sz w:val="24"/>
          <w:highlight w:val="none"/>
        </w:rPr>
      </w:pPr>
      <w:bookmarkStart w:id="266" w:name="_Toc16144"/>
      <w:bookmarkStart w:id="267" w:name="_Toc1771"/>
      <w:bookmarkStart w:id="268" w:name="_Toc27584"/>
      <w:bookmarkStart w:id="269" w:name="_Toc19036"/>
      <w:bookmarkStart w:id="270" w:name="_Toc20258"/>
      <w:bookmarkStart w:id="271" w:name="_Toc19872"/>
      <w:bookmarkStart w:id="272" w:name="_Toc23396"/>
      <w:bookmarkStart w:id="273" w:name="_Toc7537"/>
      <w:bookmarkStart w:id="274" w:name="_Toc16458"/>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.投标文件格式</w:t>
      </w:r>
      <w:bookmarkEnd w:id="266"/>
      <w:bookmarkEnd w:id="267"/>
      <w:bookmarkEnd w:id="268"/>
      <w:bookmarkEnd w:id="269"/>
      <w:bookmarkEnd w:id="270"/>
      <w:bookmarkEnd w:id="271"/>
      <w:bookmarkEnd w:id="272"/>
      <w:bookmarkEnd w:id="273"/>
      <w:bookmarkEnd w:id="274"/>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.1 供应商应执行招标文件第三章的规定要求。第三章格式中“注”的内容，供应商可自行决定是否保留在投标文件中，未保留的视为供应商默认接受“注”的内容。未保留的不影响其投标文件的有效性。</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.2 对于没有格式要求的投标文件由供应商自行编写。</w:t>
      </w:r>
    </w:p>
    <w:p>
      <w:pPr>
        <w:pStyle w:val="5"/>
        <w:spacing w:line="360" w:lineRule="auto"/>
        <w:ind w:firstLine="482" w:firstLineChars="200"/>
        <w:rPr>
          <w:rFonts w:hint="eastAsia" w:ascii="宋体" w:hAnsi="宋体" w:eastAsia="宋体" w:cs="宋体"/>
          <w:bCs w:val="0"/>
          <w:color w:val="auto"/>
          <w:sz w:val="24"/>
          <w:highlight w:val="none"/>
        </w:rPr>
      </w:pPr>
      <w:bookmarkStart w:id="275" w:name="_Toc217446051"/>
      <w:bookmarkStart w:id="276" w:name="_Toc183582224"/>
      <w:bookmarkStart w:id="277" w:name="_Toc183682361"/>
      <w:bookmarkStart w:id="278" w:name="_Toc308164801"/>
      <w:bookmarkStart w:id="279" w:name="_Toc4983"/>
      <w:bookmarkStart w:id="280" w:name="_Toc19158"/>
      <w:bookmarkStart w:id="281" w:name="_Toc30815"/>
      <w:bookmarkStart w:id="282" w:name="_Toc28268"/>
      <w:bookmarkStart w:id="283" w:name="_Toc12682"/>
      <w:bookmarkStart w:id="284" w:name="_Toc6636"/>
      <w:bookmarkStart w:id="285" w:name="_Toc22238"/>
      <w:bookmarkStart w:id="286" w:name="_Toc73"/>
      <w:bookmarkStart w:id="287" w:name="_Toc18027"/>
      <w:r>
        <w:rPr>
          <w:rFonts w:hint="eastAsia" w:ascii="宋体" w:hAnsi="宋体" w:eastAsia="宋体" w:cs="宋体"/>
          <w:bCs w:val="0"/>
          <w:color w:val="auto"/>
          <w:sz w:val="24"/>
          <w:highlight w:val="none"/>
        </w:rPr>
        <w:t>1</w:t>
      </w:r>
      <w:r>
        <w:rPr>
          <w:rFonts w:hint="eastAsia" w:ascii="宋体" w:hAnsi="宋体" w:eastAsia="宋体" w:cs="宋体"/>
          <w:bCs w:val="0"/>
          <w:color w:val="auto"/>
          <w:sz w:val="24"/>
          <w:highlight w:val="none"/>
          <w:lang w:val="en-US" w:eastAsia="zh-CN"/>
        </w:rPr>
        <w:t>6</w:t>
      </w:r>
      <w:r>
        <w:rPr>
          <w:rFonts w:hint="eastAsia" w:ascii="宋体" w:hAnsi="宋体" w:eastAsia="宋体" w:cs="宋体"/>
          <w:color w:val="auto"/>
          <w:sz w:val="24"/>
          <w:highlight w:val="none"/>
        </w:rPr>
        <w:t>.</w:t>
      </w:r>
      <w:r>
        <w:rPr>
          <w:rFonts w:hint="eastAsia" w:ascii="宋体" w:hAnsi="宋体" w:eastAsia="宋体" w:cs="宋体"/>
          <w:bCs w:val="0"/>
          <w:color w:val="auto"/>
          <w:sz w:val="24"/>
          <w:highlight w:val="none"/>
        </w:rPr>
        <w:t>投标有效期</w:t>
      </w:r>
      <w:bookmarkEnd w:id="275"/>
      <w:bookmarkEnd w:id="276"/>
      <w:bookmarkEnd w:id="277"/>
      <w:bookmarkEnd w:id="278"/>
      <w:r>
        <w:rPr>
          <w:rFonts w:hint="eastAsia" w:ascii="宋体" w:hAnsi="宋体" w:eastAsia="宋体" w:cs="宋体"/>
          <w:color w:val="auto"/>
          <w:sz w:val="24"/>
          <w:szCs w:val="24"/>
          <w:highlight w:val="none"/>
        </w:rPr>
        <w:t>（实质性要求）</w:t>
      </w:r>
      <w:bookmarkEnd w:id="279"/>
      <w:bookmarkEnd w:id="280"/>
      <w:bookmarkEnd w:id="281"/>
      <w:bookmarkEnd w:id="282"/>
      <w:bookmarkEnd w:id="283"/>
      <w:bookmarkEnd w:id="284"/>
      <w:bookmarkEnd w:id="285"/>
      <w:bookmarkEnd w:id="286"/>
      <w:bookmarkEnd w:id="287"/>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.1 本项目投标有效期为投标截止时间届满后</w:t>
      </w:r>
      <w:r>
        <w:rPr>
          <w:rFonts w:hint="eastAsia" w:ascii="宋体" w:hAnsi="宋体" w:eastAsia="宋体" w:cs="宋体"/>
          <w:b/>
          <w:bCs/>
          <w:color w:val="auto"/>
          <w:sz w:val="24"/>
          <w:highlight w:val="none"/>
        </w:rPr>
        <w:t>90</w:t>
      </w:r>
      <w:r>
        <w:rPr>
          <w:rFonts w:hint="eastAsia" w:ascii="宋体" w:hAnsi="宋体" w:eastAsia="宋体" w:cs="宋体"/>
          <w:color w:val="auto"/>
          <w:sz w:val="24"/>
          <w:highlight w:val="none"/>
        </w:rPr>
        <w:t>天（投标有效期从递交投标文件的截止之日起算）。投标人</w:t>
      </w:r>
      <w:r>
        <w:rPr>
          <w:rFonts w:hint="eastAsia" w:ascii="宋体" w:hAnsi="宋体" w:eastAsia="宋体" w:cs="宋体"/>
          <w:color w:val="auto"/>
          <w:sz w:val="24"/>
          <w:highlight w:val="none"/>
          <w:lang w:val="en-US" w:eastAsia="zh-CN"/>
        </w:rPr>
        <w:t>在</w:t>
      </w:r>
      <w:r>
        <w:rPr>
          <w:rFonts w:hint="eastAsia" w:ascii="宋体" w:hAnsi="宋体" w:eastAsia="宋体" w:cs="宋体"/>
          <w:color w:val="auto"/>
          <w:sz w:val="24"/>
          <w:highlight w:val="none"/>
        </w:rPr>
        <w:t>投标文件中必须载明投标有效期，投标文件中载明的投标有效期可以长于招标文件规定的期限，但不得短于招标文件规定的期限。否则，其投标文件将作为无效</w:t>
      </w:r>
      <w:r>
        <w:rPr>
          <w:rFonts w:hint="eastAsia" w:ascii="宋体" w:hAnsi="宋体" w:eastAsia="宋体" w:cs="宋体"/>
          <w:color w:val="auto"/>
          <w:sz w:val="24"/>
          <w:highlight w:val="none"/>
          <w:lang w:val="en-US" w:eastAsia="zh-CN"/>
        </w:rPr>
        <w:t>文件</w:t>
      </w:r>
      <w:r>
        <w:rPr>
          <w:rFonts w:hint="eastAsia" w:ascii="宋体" w:hAnsi="宋体" w:eastAsia="宋体" w:cs="宋体"/>
          <w:color w:val="auto"/>
          <w:sz w:val="24"/>
          <w:highlight w:val="none"/>
        </w:rPr>
        <w:t>处理。</w:t>
      </w:r>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 xml:space="preserve">.2 因不可抗力事件，采购人可于投标有效期届满之前与投标人协商延长投标有效期。投标人拒绝延长投标有效期的，不得再参与该项目后续采购活动，但由此给投标人造成的损失，采购人可以自主决定是否给予适当补偿。投标人同意延长投标有效期的，不能修改投标文件。 </w:t>
      </w:r>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hint="eastAsia" w:ascii="宋体" w:hAnsi="宋体" w:eastAsia="宋体" w:cs="宋体"/>
          <w:bCs w:val="0"/>
          <w:color w:val="auto"/>
          <w:sz w:val="24"/>
          <w:highlight w:val="none"/>
        </w:rPr>
      </w:pPr>
      <w:bookmarkStart w:id="288" w:name="_Toc183682362"/>
      <w:bookmarkStart w:id="289" w:name="_Toc183582225"/>
      <w:bookmarkStart w:id="290" w:name="_Toc308164802"/>
      <w:bookmarkStart w:id="291" w:name="_Toc217446052"/>
      <w:bookmarkStart w:id="292" w:name="_Toc1562"/>
      <w:bookmarkStart w:id="293" w:name="_Toc11203"/>
      <w:bookmarkStart w:id="294" w:name="_Toc1180"/>
      <w:bookmarkStart w:id="295" w:name="_Toc13790"/>
      <w:bookmarkStart w:id="296" w:name="_Toc31092"/>
      <w:bookmarkStart w:id="297" w:name="_Toc308164803"/>
      <w:bookmarkStart w:id="298" w:name="_Toc217446053"/>
      <w:bookmarkStart w:id="299" w:name="_Toc77400781"/>
      <w:bookmarkStart w:id="300" w:name="_Toc24036"/>
      <w:bookmarkStart w:id="301" w:name="_Toc26875"/>
      <w:bookmarkStart w:id="302" w:name="_Toc183682363"/>
      <w:bookmarkStart w:id="303" w:name="_Toc183582226"/>
      <w:bookmarkStart w:id="304" w:name="_Toc15289"/>
      <w:bookmarkStart w:id="305" w:name="_Toc25506"/>
      <w:bookmarkStart w:id="306" w:name="_Toc89075877"/>
      <w:bookmarkStart w:id="307" w:name="_Toc27941"/>
      <w:bookmarkStart w:id="308" w:name="_Toc27408"/>
      <w:bookmarkStart w:id="309" w:name="_Toc89075878"/>
      <w:bookmarkStart w:id="310" w:name="_Toc22373"/>
      <w:bookmarkStart w:id="311" w:name="_Toc30705"/>
      <w:bookmarkStart w:id="312" w:name="_Toc183582231"/>
      <w:bookmarkStart w:id="313" w:name="_Toc16880"/>
      <w:bookmarkStart w:id="314" w:name="_Toc183682368"/>
      <w:bookmarkStart w:id="315" w:name="_Toc8029_WPSOffice_Level2"/>
      <w:bookmarkStart w:id="316" w:name="_Toc217446056"/>
      <w:bookmarkStart w:id="317" w:name="_Toc308164805"/>
      <w:bookmarkStart w:id="318" w:name="_Toc77400782"/>
      <w:bookmarkStart w:id="319" w:name="_Toc12992"/>
      <w:bookmarkStart w:id="320" w:name="_Toc24599"/>
      <w:r>
        <w:rPr>
          <w:rFonts w:hint="eastAsia" w:ascii="宋体" w:hAnsi="宋体" w:eastAsia="宋体" w:cs="宋体"/>
          <w:bCs w:val="0"/>
          <w:color w:val="auto"/>
          <w:sz w:val="24"/>
          <w:highlight w:val="none"/>
          <w:lang w:val="en-US" w:eastAsia="zh-CN"/>
        </w:rPr>
        <w:t>17</w:t>
      </w:r>
      <w:r>
        <w:rPr>
          <w:rFonts w:hint="eastAsia" w:ascii="宋体" w:hAnsi="宋体" w:eastAsia="宋体" w:cs="宋体"/>
          <w:bCs w:val="0"/>
          <w:color w:val="auto"/>
          <w:sz w:val="24"/>
          <w:highlight w:val="none"/>
        </w:rPr>
        <w:t>．</w:t>
      </w:r>
      <w:bookmarkEnd w:id="288"/>
      <w:bookmarkEnd w:id="289"/>
      <w:bookmarkEnd w:id="290"/>
      <w:bookmarkEnd w:id="291"/>
      <w:r>
        <w:rPr>
          <w:rFonts w:hint="eastAsia" w:ascii="宋体" w:hAnsi="宋体" w:eastAsia="宋体" w:cs="宋体"/>
          <w:bCs w:val="0"/>
          <w:color w:val="auto"/>
          <w:sz w:val="24"/>
          <w:highlight w:val="none"/>
        </w:rPr>
        <w:t>投标文件的制作和签章、加密</w:t>
      </w:r>
      <w:bookmarkEnd w:id="292"/>
      <w:bookmarkEnd w:id="293"/>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.1 本项目实行电子投标。投标人应先安装“政采云投标客户端”。（政府采购云平台—CA管理—绑定CA—下载驱动—“政采云投标客户端”立即下载）。投标人应按招标文件要求，通过“政采云投标客户端”制作、加密并提交投标文件。</w:t>
      </w:r>
    </w:p>
    <w:p>
      <w:pPr>
        <w:tabs>
          <w:tab w:val="left" w:pos="7665"/>
        </w:tabs>
        <w:spacing w:line="360" w:lineRule="auto"/>
        <w:ind w:left="20" w:leftChars="6" w:firstLine="480" w:firstLineChars="200"/>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.2 </w:t>
      </w:r>
      <w:r>
        <w:rPr>
          <w:rFonts w:hint="eastAsia" w:hAnsi="宋体" w:eastAsia="宋体" w:cs="宋体"/>
          <w:color w:val="auto"/>
          <w:sz w:val="24"/>
          <w:highlight w:val="none"/>
          <w:lang w:val="en-US" w:eastAsia="zh-CN"/>
        </w:rPr>
        <w:t>资格性</w:t>
      </w:r>
      <w:r>
        <w:rPr>
          <w:rFonts w:hint="eastAsia" w:ascii="宋体" w:hAnsi="宋体" w:eastAsia="宋体" w:cs="宋体"/>
          <w:color w:val="auto"/>
          <w:sz w:val="24"/>
          <w:highlight w:val="none"/>
        </w:rPr>
        <w:t>投标文件</w:t>
      </w:r>
      <w:r>
        <w:rPr>
          <w:rFonts w:hint="eastAsia" w:hAnsi="宋体" w:eastAsia="宋体" w:cs="宋体"/>
          <w:color w:val="auto"/>
          <w:sz w:val="24"/>
          <w:highlight w:val="none"/>
          <w:lang w:eastAsia="zh-CN"/>
        </w:rPr>
        <w:t>、</w:t>
      </w:r>
      <w:r>
        <w:rPr>
          <w:rFonts w:hint="eastAsia" w:hAnsi="宋体" w:eastAsia="宋体" w:cs="宋体"/>
          <w:color w:val="auto"/>
          <w:sz w:val="24"/>
          <w:highlight w:val="none"/>
          <w:lang w:val="en-US" w:eastAsia="zh-CN"/>
        </w:rPr>
        <w:t>其他响应性投标文件按投标文件格式要求加盖</w:t>
      </w:r>
      <w:r>
        <w:rPr>
          <w:rFonts w:hint="eastAsia" w:ascii="宋体" w:hAnsi="宋体" w:eastAsia="宋体" w:cs="宋体"/>
          <w:color w:val="auto"/>
          <w:sz w:val="24"/>
          <w:highlight w:val="none"/>
        </w:rPr>
        <w:t>投标人（法定名称）电子签章，不得使用投标人专用章（如经济合同章、投标专用章等）或下属单位印章代替。</w:t>
      </w:r>
      <w:r>
        <w:rPr>
          <w:rFonts w:hint="eastAsia" w:ascii="宋体" w:hAnsi="宋体" w:eastAsia="宋体" w:cs="宋体"/>
          <w:b/>
          <w:bCs/>
          <w:color w:val="auto"/>
          <w:sz w:val="24"/>
          <w:highlight w:val="none"/>
        </w:rPr>
        <w:t>（实质性要求）</w:t>
      </w:r>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.3 投标人应使用本企业CA数字证书对投标文件进行加密。</w:t>
      </w:r>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.4 招标文件若有修改，投标人根据修改后的招标文件制作或修改并递交投标文件。</w:t>
      </w:r>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.5 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bookmarkEnd w:id="294"/>
    <w:bookmarkEnd w:id="295"/>
    <w:bookmarkEnd w:id="296"/>
    <w:bookmarkEnd w:id="297"/>
    <w:bookmarkEnd w:id="298"/>
    <w:bookmarkEnd w:id="299"/>
    <w:bookmarkEnd w:id="300"/>
    <w:bookmarkEnd w:id="301"/>
    <w:bookmarkEnd w:id="302"/>
    <w:bookmarkEnd w:id="303"/>
    <w:bookmarkEnd w:id="304"/>
    <w:bookmarkEnd w:id="305"/>
    <w:bookmarkEnd w:id="306"/>
    <w:p>
      <w:pPr>
        <w:pStyle w:val="5"/>
        <w:spacing w:line="400" w:lineRule="exact"/>
        <w:ind w:firstLine="482" w:firstLineChars="200"/>
        <w:rPr>
          <w:rFonts w:hint="eastAsia" w:ascii="宋体" w:hAnsi="宋体" w:eastAsia="宋体" w:cs="宋体"/>
          <w:b/>
          <w:bCs w:val="0"/>
          <w:color w:val="auto"/>
          <w:sz w:val="24"/>
          <w:highlight w:val="none"/>
          <w:lang w:val="en-US" w:eastAsia="zh-CN"/>
        </w:rPr>
      </w:pPr>
      <w:bookmarkStart w:id="321" w:name="_Toc4397"/>
      <w:bookmarkStart w:id="322" w:name="_Toc7071"/>
      <w:bookmarkStart w:id="323" w:name="_Toc25719"/>
      <w:bookmarkStart w:id="324" w:name="_Toc217446055"/>
      <w:bookmarkStart w:id="325" w:name="_Toc25625"/>
      <w:bookmarkStart w:id="326" w:name="_Toc1437"/>
      <w:bookmarkStart w:id="327" w:name="_Toc13449"/>
      <w:bookmarkStart w:id="328" w:name="_Toc183682365"/>
      <w:bookmarkStart w:id="329" w:name="_Toc183582228"/>
      <w:bookmarkStart w:id="330" w:name="_Toc22774"/>
      <w:bookmarkStart w:id="331" w:name="_Toc17746"/>
      <w:bookmarkStart w:id="332" w:name="_Toc12325"/>
      <w:r>
        <w:rPr>
          <w:rFonts w:hint="eastAsia" w:ascii="宋体" w:hAnsi="宋体" w:eastAsia="宋体" w:cs="宋体"/>
          <w:b/>
          <w:bCs w:val="0"/>
          <w:color w:val="auto"/>
          <w:sz w:val="24"/>
          <w:highlight w:val="none"/>
          <w:lang w:val="en-US" w:eastAsia="zh-CN"/>
        </w:rPr>
        <w:t>18．投标文件的递交</w:t>
      </w:r>
      <w:bookmarkEnd w:id="321"/>
      <w:bookmarkEnd w:id="322"/>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.1 投标人应当在投标文件递交截止时间前，将生成的已加密的电子投标文件成功递交至“政府采购云平台”。</w:t>
      </w:r>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.2投标人应充分考虑递交文件的不可预见因素，在投标截止时间后将无法递交。</w:t>
      </w:r>
    </w:p>
    <w:bookmarkEnd w:id="323"/>
    <w:bookmarkEnd w:id="324"/>
    <w:bookmarkEnd w:id="325"/>
    <w:bookmarkEnd w:id="326"/>
    <w:bookmarkEnd w:id="327"/>
    <w:bookmarkEnd w:id="328"/>
    <w:bookmarkEnd w:id="329"/>
    <w:bookmarkEnd w:id="330"/>
    <w:bookmarkEnd w:id="331"/>
    <w:bookmarkEnd w:id="332"/>
    <w:p>
      <w:pPr>
        <w:pStyle w:val="5"/>
        <w:spacing w:line="400" w:lineRule="exact"/>
        <w:ind w:firstLine="482" w:firstLineChars="200"/>
        <w:rPr>
          <w:rFonts w:hint="eastAsia" w:ascii="宋体" w:hAnsi="宋体" w:eastAsia="宋体" w:cs="宋体"/>
          <w:b/>
          <w:bCs w:val="0"/>
          <w:color w:val="auto"/>
          <w:sz w:val="24"/>
          <w:highlight w:val="none"/>
          <w:lang w:val="en-US" w:eastAsia="zh-CN"/>
        </w:rPr>
      </w:pPr>
      <w:bookmarkStart w:id="333" w:name="_Toc7165"/>
      <w:bookmarkStart w:id="334" w:name="_Toc18836"/>
      <w:r>
        <w:rPr>
          <w:rFonts w:hint="eastAsia" w:ascii="宋体" w:hAnsi="宋体" w:eastAsia="宋体" w:cs="宋体"/>
          <w:b/>
          <w:bCs w:val="0"/>
          <w:color w:val="auto"/>
          <w:sz w:val="24"/>
          <w:highlight w:val="none"/>
          <w:lang w:val="en-US" w:eastAsia="zh-CN"/>
        </w:rPr>
        <w:t>19.投标文件的补充、修改或撤回</w:t>
      </w:r>
      <w:bookmarkEnd w:id="333"/>
      <w:bookmarkEnd w:id="334"/>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19</w:t>
      </w:r>
      <w:r>
        <w:rPr>
          <w:rFonts w:hint="eastAsia" w:ascii="宋体" w:hAnsi="宋体" w:eastAsia="宋体" w:cs="宋体"/>
          <w:color w:val="auto"/>
          <w:sz w:val="24"/>
          <w:highlight w:val="none"/>
        </w:rPr>
        <w:t>.1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19</w:t>
      </w:r>
      <w:r>
        <w:rPr>
          <w:rFonts w:hint="eastAsia" w:ascii="宋体" w:hAnsi="宋体" w:eastAsia="宋体" w:cs="宋体"/>
          <w:color w:val="auto"/>
          <w:sz w:val="24"/>
          <w:highlight w:val="none"/>
        </w:rPr>
        <w:t>.2投标截止时间后，投标人不得对其递交的投标文件做任何补充、修改。</w:t>
      </w:r>
    </w:p>
    <w:p>
      <w:pPr>
        <w:pStyle w:val="5"/>
        <w:spacing w:line="400" w:lineRule="exact"/>
        <w:ind w:firstLine="482" w:firstLineChars="200"/>
        <w:rPr>
          <w:rFonts w:hint="eastAsia" w:ascii="宋体" w:hAnsi="宋体" w:eastAsia="宋体" w:cs="宋体"/>
          <w:b/>
          <w:bCs w:val="0"/>
          <w:color w:val="auto"/>
          <w:sz w:val="24"/>
          <w:highlight w:val="none"/>
          <w:lang w:val="en-US" w:eastAsia="zh-CN"/>
        </w:rPr>
      </w:pPr>
      <w:bookmarkStart w:id="335" w:name="_Toc6687"/>
      <w:bookmarkStart w:id="336" w:name="_Toc23500"/>
      <w:r>
        <w:rPr>
          <w:rFonts w:hint="eastAsia" w:ascii="宋体" w:hAnsi="宋体" w:eastAsia="宋体" w:cs="宋体"/>
          <w:b/>
          <w:bCs w:val="0"/>
          <w:color w:val="auto"/>
          <w:sz w:val="24"/>
          <w:highlight w:val="none"/>
          <w:lang w:val="en-US" w:eastAsia="zh-CN"/>
        </w:rPr>
        <w:t>20.投标文件的解密</w:t>
      </w:r>
      <w:bookmarkEnd w:id="335"/>
      <w:bookmarkEnd w:id="336"/>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登录政府采购云平台，点击“项目采购—开标评标”模块，进入本项目“开标大厅”，等待代理机构开启解密后，进行线上解密。除因系统故障或其他不可抗力等因素，导致系统无法使用外，投标人在规定的解密时间内，未成功解密的投标文件将视为无效投标文件。</w:t>
      </w:r>
    </w:p>
    <w:p>
      <w:pPr>
        <w:pStyle w:val="4"/>
        <w:spacing w:line="360" w:lineRule="auto"/>
        <w:jc w:val="center"/>
        <w:rPr>
          <w:rFonts w:hint="eastAsia" w:ascii="宋体" w:hAnsi="宋体" w:eastAsia="宋体" w:cs="宋体"/>
          <w:color w:val="auto"/>
          <w:highlight w:val="none"/>
        </w:rPr>
      </w:pPr>
      <w:bookmarkStart w:id="337" w:name="_Toc19168"/>
      <w:r>
        <w:rPr>
          <w:rFonts w:hint="eastAsia" w:ascii="宋体" w:hAnsi="宋体" w:eastAsia="宋体" w:cs="宋体"/>
          <w:color w:val="auto"/>
          <w:highlight w:val="none"/>
        </w:rPr>
        <w:t>五、开标和中标</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37"/>
    </w:p>
    <w:p>
      <w:pPr>
        <w:pStyle w:val="5"/>
        <w:spacing w:line="360" w:lineRule="auto"/>
        <w:ind w:firstLine="482" w:firstLineChars="200"/>
        <w:rPr>
          <w:rFonts w:hint="eastAsia" w:ascii="宋体" w:hAnsi="宋体" w:eastAsia="宋体" w:cs="宋体"/>
          <w:bCs w:val="0"/>
          <w:color w:val="auto"/>
          <w:sz w:val="24"/>
          <w:highlight w:val="none"/>
        </w:rPr>
      </w:pPr>
      <w:bookmarkStart w:id="338" w:name="_Toc308164806"/>
      <w:bookmarkStart w:id="339" w:name="_Toc183682369"/>
      <w:bookmarkStart w:id="340" w:name="_Toc16583"/>
      <w:bookmarkStart w:id="341" w:name="_Toc17986"/>
      <w:bookmarkStart w:id="342" w:name="_Toc21855"/>
      <w:bookmarkStart w:id="343" w:name="_Toc22179"/>
      <w:bookmarkStart w:id="344" w:name="_Toc217446057"/>
      <w:bookmarkStart w:id="345" w:name="_Toc21445"/>
      <w:bookmarkStart w:id="346" w:name="_Toc11282"/>
      <w:bookmarkStart w:id="347" w:name="_Toc4854"/>
      <w:bookmarkStart w:id="348" w:name="_Toc15958"/>
      <w:bookmarkStart w:id="349" w:name="_Toc183582232"/>
      <w:bookmarkStart w:id="350" w:name="_Toc21428"/>
      <w:bookmarkStart w:id="351" w:name="_Toc18583"/>
      <w:bookmarkStart w:id="352" w:name="_Toc5608"/>
      <w:bookmarkStart w:id="353" w:name="_Toc597"/>
      <w:bookmarkStart w:id="354" w:name="_Toc2083"/>
      <w:bookmarkStart w:id="355" w:name="_Toc32353"/>
      <w:bookmarkStart w:id="356" w:name="_Toc217446063"/>
      <w:bookmarkStart w:id="357" w:name="_Toc308164809"/>
      <w:bookmarkStart w:id="358" w:name="_Toc183682375"/>
      <w:bookmarkStart w:id="359" w:name="_Toc183582238"/>
      <w:r>
        <w:rPr>
          <w:rFonts w:hint="eastAsia" w:ascii="宋体" w:hAnsi="宋体" w:eastAsia="宋体" w:cs="宋体"/>
          <w:bCs w:val="0"/>
          <w:color w:val="auto"/>
          <w:sz w:val="24"/>
          <w:highlight w:val="none"/>
        </w:rPr>
        <w:t>2</w:t>
      </w:r>
      <w:r>
        <w:rPr>
          <w:rFonts w:hint="eastAsia" w:ascii="宋体" w:hAnsi="宋体" w:eastAsia="宋体" w:cs="宋体"/>
          <w:bCs w:val="0"/>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bCs w:val="0"/>
          <w:color w:val="auto"/>
          <w:sz w:val="24"/>
          <w:highlight w:val="none"/>
        </w:rPr>
        <w:t>开标</w:t>
      </w:r>
      <w:bookmarkEnd w:id="338"/>
      <w:bookmarkEnd w:id="339"/>
      <w:bookmarkEnd w:id="340"/>
      <w:bookmarkEnd w:id="341"/>
      <w:bookmarkEnd w:id="342"/>
      <w:bookmarkEnd w:id="343"/>
      <w:bookmarkEnd w:id="344"/>
      <w:bookmarkEnd w:id="345"/>
      <w:bookmarkEnd w:id="346"/>
      <w:bookmarkEnd w:id="347"/>
      <w:bookmarkEnd w:id="348"/>
      <w:bookmarkEnd w:id="349"/>
      <w:bookmarkEnd w:id="350"/>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.1本项目为不见面开标项目。（递交电子投标文件的投标人不足3家的，不予开标。）</w:t>
      </w:r>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开标准备工作。投标人需在开标当日、投标截止时间前登录“政府采购云平台”，通过本项目“开标大厅”参与不见面开标。登录政府采购云平台—项目采购—开标评标—开标大厅（确保进入本项目开标大厅）。</w:t>
      </w:r>
    </w:p>
    <w:p>
      <w:pPr>
        <w:tabs>
          <w:tab w:val="left" w:pos="7665"/>
        </w:tabs>
        <w:spacing w:line="360" w:lineRule="auto"/>
        <w:ind w:left="20" w:leftChars="6"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提示：投标人未按时登录不见面开标系统，错过开标解密时间的，由投标人自行承担不利后果。</w:t>
      </w:r>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21</w:t>
      </w:r>
      <w:r>
        <w:rPr>
          <w:rFonts w:hint="eastAsia" w:ascii="宋体" w:hAnsi="宋体" w:eastAsia="宋体" w:cs="宋体"/>
          <w:color w:val="auto"/>
          <w:sz w:val="24"/>
          <w:highlight w:val="none"/>
        </w:rPr>
        <w:t>.3解密投标文件。等待代理机构开启解密后，投标人进行线上解密。开启解密后，投标人应在60分钟内，使用加密该投标文件的CA数字证书在线完成投标文件的解密。投标人在规定的解密时间内，未成功解密的投标文件将视为无效投标文件。</w:t>
      </w:r>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4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.5投标人电脑终端等硬件设备和软件系统配置：投标人电脑终端等硬件设备和软件系统配置应符合电子投标（含不见面开标大厅）投标人电脑终端配置要求并运行正常，投标人承担因未尽职责产生的不利后果。</w:t>
      </w:r>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.6因断电、断网、系统故障或其他不可抗力等因素导致不见面开标系统无法正常运行的，开标活动中止或延迟，待系统恢复正常后继续进行开标活动。</w:t>
      </w:r>
    </w:p>
    <w:p>
      <w:pPr>
        <w:tabs>
          <w:tab w:val="left" w:pos="7665"/>
        </w:tabs>
        <w:spacing w:line="360" w:lineRule="auto"/>
        <w:ind w:left="20" w:leftChars="6"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.7不见面开标过程中，各方主体均应遵守互联网有关规定，不得发表与交易活动无关的言论。</w:t>
      </w:r>
    </w:p>
    <w:p>
      <w:pPr>
        <w:pStyle w:val="5"/>
        <w:spacing w:line="360" w:lineRule="auto"/>
        <w:ind w:firstLine="482" w:firstLineChars="200"/>
        <w:rPr>
          <w:rFonts w:hint="eastAsia" w:ascii="宋体" w:hAnsi="宋体" w:eastAsia="宋体" w:cs="宋体"/>
          <w:b w:val="0"/>
          <w:color w:val="auto"/>
          <w:sz w:val="24"/>
          <w:highlight w:val="none"/>
        </w:rPr>
      </w:pPr>
      <w:bookmarkStart w:id="360" w:name="_Toc32526"/>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2</w:t>
      </w:r>
      <w:r>
        <w:rPr>
          <w:rFonts w:hint="eastAsia" w:ascii="宋体" w:hAnsi="宋体" w:eastAsia="宋体" w:cs="宋体"/>
          <w:color w:val="auto"/>
          <w:sz w:val="24"/>
          <w:highlight w:val="none"/>
        </w:rPr>
        <w:t>.</w:t>
      </w:r>
      <w:r>
        <w:rPr>
          <w:rFonts w:hint="eastAsia" w:ascii="宋体" w:hAnsi="宋体" w:eastAsia="宋体" w:cs="宋体"/>
          <w:b/>
          <w:bCs/>
          <w:color w:val="auto"/>
          <w:sz w:val="24"/>
          <w:highlight w:val="none"/>
        </w:rPr>
        <w:t>开评标过程存档</w:t>
      </w:r>
      <w:bookmarkEnd w:id="351"/>
      <w:bookmarkEnd w:id="352"/>
      <w:bookmarkEnd w:id="353"/>
      <w:bookmarkEnd w:id="354"/>
      <w:bookmarkEnd w:id="355"/>
      <w:bookmarkEnd w:id="360"/>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开标和评标过程进行全过程电子监控，并将电子监控资料存储介质留存归档。</w:t>
      </w:r>
    </w:p>
    <w:p>
      <w:pPr>
        <w:pStyle w:val="5"/>
        <w:spacing w:line="360" w:lineRule="auto"/>
        <w:ind w:firstLine="482" w:firstLineChars="200"/>
        <w:rPr>
          <w:rFonts w:hint="eastAsia" w:ascii="宋体" w:hAnsi="宋体" w:eastAsia="宋体" w:cs="宋体"/>
          <w:b w:val="0"/>
          <w:color w:val="auto"/>
          <w:sz w:val="24"/>
          <w:highlight w:val="none"/>
        </w:rPr>
      </w:pPr>
      <w:bookmarkStart w:id="361" w:name="_Toc18293"/>
      <w:bookmarkStart w:id="362" w:name="_Toc2091"/>
      <w:bookmarkStart w:id="363" w:name="_Toc20301"/>
      <w:bookmarkStart w:id="364" w:name="_Toc24902"/>
      <w:bookmarkStart w:id="365" w:name="_Toc22974"/>
      <w:bookmarkStart w:id="366" w:name="_Toc26042"/>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3</w:t>
      </w:r>
      <w:r>
        <w:rPr>
          <w:rFonts w:hint="eastAsia" w:ascii="宋体" w:hAnsi="宋体" w:eastAsia="宋体" w:cs="宋体"/>
          <w:b/>
          <w:bCs/>
          <w:color w:val="auto"/>
          <w:sz w:val="24"/>
          <w:highlight w:val="none"/>
        </w:rPr>
        <w:t>.评标情况公告</w:t>
      </w:r>
      <w:bookmarkEnd w:id="361"/>
      <w:bookmarkEnd w:id="362"/>
      <w:bookmarkEnd w:id="363"/>
      <w:bookmarkEnd w:id="364"/>
      <w:bookmarkEnd w:id="365"/>
      <w:bookmarkEnd w:id="366"/>
    </w:p>
    <w:p>
      <w:pPr>
        <w:spacing w:line="360" w:lineRule="auto"/>
        <w:ind w:firstLine="480" w:firstLineChars="200"/>
        <w:jc w:val="left"/>
        <w:rPr>
          <w:rFonts w:hint="eastAsia" w:ascii="宋体" w:hAnsi="宋体" w:eastAsia="宋体" w:cs="宋体"/>
          <w:color w:val="auto"/>
          <w:sz w:val="24"/>
          <w:szCs w:val="22"/>
          <w:highlight w:val="none"/>
        </w:rPr>
      </w:pPr>
      <w:r>
        <w:rPr>
          <w:rFonts w:hint="eastAsia" w:ascii="宋体" w:hAnsi="宋体" w:eastAsia="宋体" w:cs="宋体"/>
          <w:color w:val="auto"/>
          <w:sz w:val="24"/>
          <w:highlight w:val="none"/>
        </w:rPr>
        <w:t>所有供应商投标文件资格性、符合性</w:t>
      </w:r>
      <w:r>
        <w:rPr>
          <w:rFonts w:hint="eastAsia" w:ascii="宋体" w:hAnsi="宋体" w:eastAsia="宋体" w:cs="宋体"/>
          <w:color w:val="auto"/>
          <w:sz w:val="24"/>
          <w:highlight w:val="none"/>
          <w:lang w:val="en-US" w:eastAsia="zh-CN"/>
        </w:rPr>
        <w:t>审</w:t>
      </w:r>
      <w:r>
        <w:rPr>
          <w:rFonts w:hint="eastAsia" w:ascii="宋体" w:hAnsi="宋体" w:eastAsia="宋体" w:cs="宋体"/>
          <w:color w:val="auto"/>
          <w:sz w:val="24"/>
          <w:highlight w:val="none"/>
        </w:rPr>
        <w:t>查情况、采用综合评分法时的总得分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评标结果等将在四川政府采购网上予以公告。</w:t>
      </w:r>
    </w:p>
    <w:bookmarkEnd w:id="356"/>
    <w:bookmarkEnd w:id="357"/>
    <w:bookmarkEnd w:id="358"/>
    <w:bookmarkEnd w:id="359"/>
    <w:p>
      <w:pPr>
        <w:pStyle w:val="5"/>
        <w:spacing w:line="360" w:lineRule="auto"/>
        <w:ind w:firstLine="482" w:firstLineChars="200"/>
        <w:rPr>
          <w:rFonts w:hint="eastAsia" w:ascii="宋体" w:hAnsi="宋体" w:eastAsia="宋体" w:cs="宋体"/>
          <w:bCs w:val="0"/>
          <w:color w:val="auto"/>
          <w:sz w:val="24"/>
          <w:szCs w:val="24"/>
          <w:highlight w:val="none"/>
        </w:rPr>
      </w:pPr>
      <w:bookmarkStart w:id="367" w:name="_Toc24707"/>
      <w:bookmarkStart w:id="368" w:name="_Toc28507"/>
      <w:bookmarkStart w:id="369" w:name="_Toc13554"/>
      <w:bookmarkStart w:id="370" w:name="_Toc18098"/>
      <w:bookmarkStart w:id="371" w:name="_Toc4803"/>
      <w:bookmarkStart w:id="372" w:name="_Toc8230"/>
      <w:bookmarkStart w:id="373" w:name="_Toc29227"/>
      <w:bookmarkStart w:id="374" w:name="_Toc19164"/>
      <w:bookmarkStart w:id="375" w:name="_Toc30023"/>
      <w:r>
        <w:rPr>
          <w:rFonts w:hint="eastAsia" w:ascii="宋体" w:hAnsi="宋体" w:eastAsia="宋体" w:cs="宋体"/>
          <w:bCs w:val="0"/>
          <w:color w:val="auto"/>
          <w:sz w:val="24"/>
          <w:szCs w:val="24"/>
          <w:highlight w:val="none"/>
        </w:rPr>
        <w:t>2</w:t>
      </w:r>
      <w:r>
        <w:rPr>
          <w:rFonts w:hint="eastAsia" w:ascii="宋体" w:hAnsi="宋体" w:eastAsia="宋体" w:cs="宋体"/>
          <w:bCs w:val="0"/>
          <w:color w:val="auto"/>
          <w:sz w:val="24"/>
          <w:szCs w:val="24"/>
          <w:highlight w:val="none"/>
          <w:lang w:val="en-US" w:eastAsia="zh-CN"/>
        </w:rPr>
        <w:t>4</w:t>
      </w:r>
      <w:r>
        <w:rPr>
          <w:rFonts w:hint="eastAsia" w:ascii="宋体" w:hAnsi="宋体" w:eastAsia="宋体" w:cs="宋体"/>
          <w:bCs w:val="0"/>
          <w:color w:val="auto"/>
          <w:sz w:val="24"/>
          <w:szCs w:val="24"/>
          <w:highlight w:val="none"/>
        </w:rPr>
        <w:t>.中标通知书</w:t>
      </w:r>
      <w:bookmarkEnd w:id="367"/>
      <w:bookmarkEnd w:id="368"/>
      <w:bookmarkEnd w:id="369"/>
      <w:bookmarkEnd w:id="370"/>
      <w:bookmarkEnd w:id="371"/>
      <w:bookmarkEnd w:id="372"/>
      <w:bookmarkEnd w:id="373"/>
      <w:bookmarkEnd w:id="374"/>
      <w:bookmarkEnd w:id="375"/>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eastAsia="宋体" w:cs="宋体"/>
          <w:bCs/>
          <w:color w:val="auto"/>
          <w:sz w:val="24"/>
          <w:highlight w:val="none"/>
        </w:rPr>
        <w:t>.</w:t>
      </w:r>
      <w:r>
        <w:rPr>
          <w:rFonts w:hint="eastAsia" w:ascii="宋体" w:hAnsi="宋体" w:eastAsia="宋体" w:cs="宋体"/>
          <w:color w:val="auto"/>
          <w:sz w:val="24"/>
          <w:highlight w:val="none"/>
        </w:rPr>
        <w:t>1 中标通知书为签订政府采购合同的依据之一，是合同的有效组成部分。</w:t>
      </w:r>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.2 中标通知书对采购人和中标人均具有法律效力。中标通知书发出后，采购人改变中标结果，或者中标人无正当理由放弃中标的，应当承担相应的法律责任。</w:t>
      </w:r>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3中标人的投标文件本应作为无效投标处理或者有政府采购法律法规规章制度规定的中标无效情形的，采购人或采购代理机构在取得有权主体的认定以后，将宣布发出的中标通知书无效，并收回发出的中标通知书（中标人也应当缴回），依法重新确定中标人或者重新开展采购活动。</w:t>
      </w:r>
    </w:p>
    <w:p>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en-US" w:eastAsia="zh-CN"/>
        </w:rPr>
        <w:t>采购代理机构</w:t>
      </w:r>
      <w:r>
        <w:rPr>
          <w:rFonts w:hint="eastAsia" w:ascii="宋体" w:hAnsi="宋体" w:eastAsia="宋体" w:cs="宋体"/>
          <w:color w:val="auto"/>
          <w:sz w:val="24"/>
          <w:highlight w:val="none"/>
        </w:rPr>
        <w:t>在四川政府采购网公告中标结果同时发出中标通知书。</w:t>
      </w:r>
    </w:p>
    <w:p>
      <w:pPr>
        <w:tabs>
          <w:tab w:val="left" w:pos="7665"/>
        </w:tabs>
        <w:spacing w:line="360" w:lineRule="auto"/>
        <w:ind w:firstLine="480" w:firstLineChars="200"/>
        <w:rPr>
          <w:rFonts w:hint="eastAsia" w:ascii="宋体" w:hAnsi="宋体" w:eastAsia="宋体" w:cs="宋体"/>
          <w:color w:val="auto"/>
          <w:sz w:val="24"/>
          <w:highlight w:val="none"/>
        </w:rPr>
      </w:pPr>
    </w:p>
    <w:p>
      <w:pPr>
        <w:pStyle w:val="4"/>
        <w:spacing w:line="360" w:lineRule="auto"/>
        <w:ind w:firstLine="643" w:firstLineChars="200"/>
        <w:jc w:val="center"/>
        <w:rPr>
          <w:rFonts w:hint="eastAsia" w:ascii="宋体" w:hAnsi="宋体" w:eastAsia="宋体" w:cs="宋体"/>
          <w:color w:val="auto"/>
          <w:szCs w:val="28"/>
          <w:highlight w:val="none"/>
        </w:rPr>
      </w:pPr>
      <w:bookmarkStart w:id="376" w:name="_Toc21208"/>
      <w:bookmarkStart w:id="377" w:name="_Toc15366"/>
      <w:bookmarkStart w:id="378" w:name="_Toc971"/>
      <w:bookmarkStart w:id="379" w:name="_Toc19108"/>
      <w:bookmarkStart w:id="380" w:name="_Toc10696"/>
      <w:bookmarkStart w:id="381" w:name="_Toc308164810"/>
      <w:bookmarkStart w:id="382" w:name="_Toc217446064"/>
      <w:bookmarkStart w:id="383" w:name="_Toc29665"/>
      <w:bookmarkStart w:id="384" w:name="_Toc12748_WPSOffice_Level2"/>
      <w:bookmarkStart w:id="385" w:name="_Toc5073"/>
      <w:bookmarkStart w:id="386" w:name="_Toc541"/>
      <w:bookmarkStart w:id="387" w:name="_Toc183682377"/>
      <w:bookmarkStart w:id="388" w:name="_Toc183582240"/>
      <w:r>
        <w:rPr>
          <w:rFonts w:hint="eastAsia" w:ascii="宋体" w:hAnsi="宋体" w:eastAsia="宋体" w:cs="宋体"/>
          <w:color w:val="auto"/>
          <w:szCs w:val="28"/>
          <w:highlight w:val="none"/>
        </w:rPr>
        <w:t>六、签订及履行合同和验收</w:t>
      </w:r>
      <w:bookmarkEnd w:id="376"/>
      <w:bookmarkEnd w:id="377"/>
      <w:bookmarkEnd w:id="378"/>
      <w:bookmarkEnd w:id="379"/>
      <w:bookmarkEnd w:id="380"/>
      <w:bookmarkEnd w:id="381"/>
      <w:bookmarkEnd w:id="382"/>
      <w:bookmarkEnd w:id="383"/>
      <w:bookmarkEnd w:id="384"/>
      <w:bookmarkEnd w:id="385"/>
      <w:bookmarkEnd w:id="386"/>
    </w:p>
    <w:p>
      <w:pPr>
        <w:pStyle w:val="5"/>
        <w:spacing w:line="360" w:lineRule="auto"/>
        <w:ind w:firstLine="482" w:firstLineChars="200"/>
        <w:rPr>
          <w:rFonts w:hint="eastAsia" w:ascii="宋体" w:hAnsi="宋体" w:eastAsia="宋体" w:cs="宋体"/>
          <w:b w:val="0"/>
          <w:color w:val="auto"/>
          <w:sz w:val="24"/>
          <w:szCs w:val="24"/>
          <w:highlight w:val="none"/>
        </w:rPr>
      </w:pPr>
      <w:bookmarkStart w:id="389" w:name="_Toc8113"/>
      <w:bookmarkStart w:id="390" w:name="_Toc308164811"/>
      <w:bookmarkStart w:id="391" w:name="_Toc32461"/>
      <w:bookmarkStart w:id="392" w:name="_Toc18721"/>
      <w:bookmarkStart w:id="393" w:name="_Toc21326"/>
      <w:bookmarkStart w:id="394" w:name="_Toc28497"/>
      <w:bookmarkStart w:id="395" w:name="_Toc217446065"/>
      <w:bookmarkStart w:id="396" w:name="_Toc24145"/>
      <w:bookmarkStart w:id="397" w:name="_Toc14598"/>
      <w:bookmarkStart w:id="398" w:name="_Toc17895"/>
      <w:bookmarkStart w:id="399" w:name="_Toc3082"/>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签订合同</w:t>
      </w:r>
      <w:bookmarkEnd w:id="389"/>
      <w:bookmarkEnd w:id="390"/>
      <w:bookmarkEnd w:id="391"/>
      <w:bookmarkEnd w:id="392"/>
      <w:bookmarkEnd w:id="393"/>
      <w:bookmarkEnd w:id="394"/>
      <w:bookmarkEnd w:id="395"/>
      <w:bookmarkEnd w:id="396"/>
      <w:bookmarkEnd w:id="397"/>
      <w:bookmarkEnd w:id="398"/>
      <w:bookmarkEnd w:id="399"/>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.1中标通知书发出后，采购人不得违法改变中标结果，中标人无正当理由不得放弃中标。</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.2 中标人应在中标通知书发出之日起30个日历日内与采购人签订采购合同。由于中标人的原因逾期未与采购人签订采购合同的，将视为放弃中标，取消其中标资格并将按相关规定进行处理。</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.3 采购人不得向中标人提出任何不合理的要求，作为签订合同的条件，不得与中标人私下订立背离合同实质性内容的任何协议，所签订的合同不得对招标文件和中标人投标文件确定的事项进行修改。</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.4排名第一的中标候选人放弃中标</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因不可抗力不能履行合同</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不按招标文件要求提交履约保证金，或者被查实存在影响中标结果的违法行为等情形，不符合中标条件的，</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可以按照评标委员会提出的中标候选人名单排序依次确定其他中标候选人为中标人，也可以重新招标。</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.5政府采购合同应当包括采购人与中标人的名称和住所、标的、数量、质量、价款或者报酬、履行期限及地点和方式、验收要求、违约责任、解决争议的方法等内容。政府采购合同签订之日起</w:t>
      </w:r>
      <w:r>
        <w:rPr>
          <w:rFonts w:hint="eastAsia" w:ascii="宋体" w:hAnsi="宋体" w:eastAsia="宋体" w:cs="宋体"/>
          <w:color w:val="auto"/>
          <w:sz w:val="24"/>
          <w:highlight w:val="none"/>
          <w:lang w:val="en-US" w:eastAsia="zh-CN"/>
        </w:rPr>
        <w:t>二</w:t>
      </w:r>
      <w:r>
        <w:rPr>
          <w:rFonts w:hint="eastAsia" w:ascii="宋体" w:hAnsi="宋体" w:eastAsia="宋体" w:cs="宋体"/>
          <w:color w:val="auto"/>
          <w:sz w:val="24"/>
          <w:highlight w:val="none"/>
        </w:rPr>
        <w:t>个工作日内，采购人将政府采购合同在四川政府采购网公告；政府采购合同签订之日起</w:t>
      </w:r>
      <w:r>
        <w:rPr>
          <w:rFonts w:hint="eastAsia" w:ascii="宋体" w:hAnsi="宋体" w:eastAsia="宋体" w:cs="宋体"/>
          <w:color w:val="auto"/>
          <w:sz w:val="24"/>
          <w:highlight w:val="none"/>
          <w:lang w:val="en-US" w:eastAsia="zh-CN"/>
        </w:rPr>
        <w:t>七</w:t>
      </w:r>
      <w:r>
        <w:rPr>
          <w:rFonts w:hint="eastAsia" w:ascii="宋体" w:hAnsi="宋体" w:eastAsia="宋体" w:cs="宋体"/>
          <w:color w:val="auto"/>
          <w:sz w:val="24"/>
          <w:highlight w:val="none"/>
        </w:rPr>
        <w:t>个工作日内，将政府采购合同向本采购项目同级财政部门</w:t>
      </w:r>
      <w:r>
        <w:rPr>
          <w:rFonts w:hint="eastAsia" w:ascii="宋体" w:hAnsi="宋体" w:eastAsia="宋体" w:cs="宋体"/>
          <w:color w:val="auto"/>
          <w:sz w:val="24"/>
          <w:highlight w:val="none"/>
          <w:lang w:val="zh-CN"/>
        </w:rPr>
        <w:t>备案。</w:t>
      </w:r>
      <w:r>
        <w:rPr>
          <w:rFonts w:hint="eastAsia" w:ascii="宋体" w:hAnsi="宋体" w:eastAsia="宋体" w:cs="宋体"/>
          <w:color w:val="auto"/>
          <w:sz w:val="24"/>
          <w:highlight w:val="none"/>
        </w:rPr>
        <w:t>中标人在合同签订之后</w:t>
      </w:r>
      <w:r>
        <w:rPr>
          <w:rFonts w:hint="eastAsia" w:ascii="宋体" w:hAnsi="宋体" w:eastAsia="宋体" w:cs="宋体"/>
          <w:color w:val="auto"/>
          <w:sz w:val="24"/>
          <w:highlight w:val="none"/>
          <w:lang w:val="en-US" w:eastAsia="zh-CN"/>
        </w:rPr>
        <w:t>五</w:t>
      </w:r>
      <w:r>
        <w:rPr>
          <w:rFonts w:hint="eastAsia" w:ascii="宋体" w:hAnsi="宋体" w:eastAsia="宋体" w:cs="宋体"/>
          <w:color w:val="auto"/>
          <w:sz w:val="24"/>
          <w:highlight w:val="none"/>
        </w:rPr>
        <w:t>个工作日内，将签订的合同</w:t>
      </w:r>
      <w:r>
        <w:rPr>
          <w:rFonts w:hint="eastAsia" w:ascii="宋体" w:hAnsi="宋体" w:eastAsia="宋体" w:cs="宋体"/>
          <w:color w:val="auto"/>
          <w:sz w:val="24"/>
          <w:highlight w:val="none"/>
          <w:lang w:val="en-US" w:eastAsia="zh-CN"/>
        </w:rPr>
        <w:t>原件</w:t>
      </w:r>
      <w:r>
        <w:rPr>
          <w:rFonts w:hint="eastAsia" w:ascii="宋体" w:hAnsi="宋体" w:eastAsia="宋体" w:cs="宋体"/>
          <w:color w:val="auto"/>
          <w:sz w:val="24"/>
          <w:highlight w:val="none"/>
        </w:rPr>
        <w:t>（一式壹份）送采购代理机构。中标人应及时到采购代理机构办理。</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.6采购人与中标人应当根据合同的约定依法履行合同义务。政府采购合同的履行、违约责任和解决争议的方法等适用《</w:t>
      </w:r>
      <w:r>
        <w:rPr>
          <w:rFonts w:hint="eastAsia" w:ascii="宋体" w:hAnsi="宋体" w:eastAsia="宋体" w:cs="宋体"/>
          <w:color w:val="auto"/>
          <w:sz w:val="24"/>
          <w:highlight w:val="none"/>
          <w:lang w:val="en-US" w:eastAsia="zh-CN"/>
        </w:rPr>
        <w:t>中华人民共和国民法典</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.7采购人应当加强对中标人的履约管理，并按照采购合同约定，及时向中标人支付采购资金。对于中标人违反采购合同约定的行为，采购人应当及时处理，依法追究其违约责任。</w:t>
      </w:r>
    </w:p>
    <w:p>
      <w:pPr>
        <w:pStyle w:val="4"/>
        <w:spacing w:line="360" w:lineRule="auto"/>
        <w:ind w:firstLine="482" w:firstLineChars="200"/>
        <w:rPr>
          <w:rFonts w:hint="eastAsia" w:ascii="宋体" w:hAnsi="宋体" w:eastAsia="宋体" w:cs="宋体"/>
          <w:color w:val="auto"/>
          <w:sz w:val="24"/>
          <w:szCs w:val="24"/>
          <w:highlight w:val="none"/>
        </w:rPr>
      </w:pPr>
      <w:bookmarkStart w:id="400" w:name="_Toc1125"/>
      <w:bookmarkStart w:id="401" w:name="_Toc14541"/>
      <w:bookmarkStart w:id="402" w:name="_Toc22321"/>
      <w:bookmarkStart w:id="403" w:name="_Toc32217"/>
      <w:bookmarkStart w:id="404" w:name="_Toc25240"/>
      <w:bookmarkStart w:id="405" w:name="_Toc8031"/>
      <w:bookmarkStart w:id="406" w:name="_Toc14264"/>
      <w:bookmarkStart w:id="407" w:name="_Toc3880"/>
      <w:bookmarkStart w:id="408" w:name="_Toc10296"/>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合同分包（实质性要求）</w:t>
      </w:r>
      <w:bookmarkEnd w:id="400"/>
      <w:bookmarkEnd w:id="401"/>
      <w:bookmarkEnd w:id="402"/>
      <w:bookmarkEnd w:id="403"/>
      <w:bookmarkEnd w:id="404"/>
      <w:bookmarkEnd w:id="405"/>
      <w:bookmarkEnd w:id="406"/>
      <w:bookmarkEnd w:id="407"/>
      <w:bookmarkEnd w:id="408"/>
      <w:bookmarkStart w:id="409" w:name="_Toc22172"/>
      <w:bookmarkStart w:id="410" w:name="_Toc25945"/>
      <w:bookmarkStart w:id="411" w:name="_Toc21864"/>
    </w:p>
    <w:p>
      <w:pPr>
        <w:pStyle w:val="4"/>
        <w:spacing w:line="360" w:lineRule="auto"/>
        <w:ind w:firstLine="480"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4"/>
          <w:szCs w:val="22"/>
          <w:highlight w:val="none"/>
          <w:lang w:val="en-US" w:eastAsia="zh-CN"/>
        </w:rPr>
        <w:t>本项目不允许</w:t>
      </w:r>
      <w:r>
        <w:rPr>
          <w:rFonts w:hint="eastAsia" w:ascii="宋体" w:hAnsi="宋体" w:eastAsia="宋体" w:cs="宋体"/>
          <w:b w:val="0"/>
          <w:bCs w:val="0"/>
          <w:color w:val="auto"/>
          <w:sz w:val="24"/>
          <w:szCs w:val="22"/>
          <w:highlight w:val="none"/>
        </w:rPr>
        <w:t>采取分包方式履行合同</w:t>
      </w:r>
      <w:r>
        <w:rPr>
          <w:rFonts w:hint="eastAsia" w:ascii="宋体" w:hAnsi="宋体" w:eastAsia="宋体" w:cs="宋体"/>
          <w:b w:val="0"/>
          <w:bCs w:val="0"/>
          <w:color w:val="auto"/>
          <w:sz w:val="24"/>
          <w:szCs w:val="22"/>
          <w:highlight w:val="none"/>
          <w:lang w:eastAsia="zh-CN"/>
        </w:rPr>
        <w:t>。</w:t>
      </w:r>
    </w:p>
    <w:p>
      <w:pPr>
        <w:pStyle w:val="4"/>
        <w:spacing w:line="360" w:lineRule="auto"/>
        <w:ind w:firstLine="482" w:firstLineChars="200"/>
        <w:rPr>
          <w:rFonts w:hint="eastAsia" w:ascii="宋体" w:hAnsi="宋体" w:eastAsia="宋体" w:cs="宋体"/>
          <w:color w:val="auto"/>
          <w:sz w:val="24"/>
          <w:szCs w:val="24"/>
          <w:highlight w:val="none"/>
        </w:rPr>
      </w:pPr>
      <w:bookmarkStart w:id="412" w:name="_Toc234"/>
      <w:bookmarkStart w:id="413" w:name="_Toc8876"/>
      <w:bookmarkStart w:id="414" w:name="_Toc1338"/>
      <w:bookmarkStart w:id="415" w:name="_Toc17684"/>
      <w:bookmarkStart w:id="416" w:name="_Toc12871"/>
      <w:bookmarkStart w:id="417" w:name="_Toc2720"/>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.合同转包（实质性要求）</w:t>
      </w:r>
      <w:bookmarkEnd w:id="409"/>
      <w:bookmarkEnd w:id="410"/>
      <w:bookmarkEnd w:id="411"/>
      <w:bookmarkEnd w:id="412"/>
      <w:bookmarkEnd w:id="413"/>
      <w:bookmarkEnd w:id="414"/>
      <w:bookmarkEnd w:id="415"/>
      <w:bookmarkEnd w:id="416"/>
      <w:bookmarkEnd w:id="417"/>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27</w:t>
      </w:r>
      <w:r>
        <w:rPr>
          <w:rFonts w:hint="eastAsia" w:ascii="宋体" w:hAnsi="宋体" w:eastAsia="宋体" w:cs="宋体"/>
          <w:color w:val="auto"/>
          <w:sz w:val="24"/>
          <w:highlight w:val="none"/>
        </w:rPr>
        <w:t>.1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27</w:t>
      </w:r>
      <w:r>
        <w:rPr>
          <w:rFonts w:hint="eastAsia" w:ascii="宋体" w:hAnsi="宋体" w:eastAsia="宋体" w:cs="宋体"/>
          <w:color w:val="auto"/>
          <w:sz w:val="24"/>
          <w:highlight w:val="none"/>
        </w:rPr>
        <w:t>.2中标人转包的，视同拒绝履行政府采购合同义务，将依法追究法律责任。</w:t>
      </w:r>
    </w:p>
    <w:p>
      <w:pPr>
        <w:pStyle w:val="4"/>
        <w:spacing w:line="360" w:lineRule="auto"/>
        <w:ind w:firstLine="482" w:firstLineChars="200"/>
        <w:rPr>
          <w:rFonts w:hint="eastAsia" w:ascii="宋体" w:hAnsi="宋体" w:eastAsia="宋体" w:cs="宋体"/>
          <w:color w:val="auto"/>
          <w:sz w:val="24"/>
          <w:szCs w:val="24"/>
          <w:highlight w:val="none"/>
        </w:rPr>
      </w:pPr>
      <w:bookmarkStart w:id="418" w:name="_Toc6433"/>
      <w:bookmarkStart w:id="419" w:name="_Toc10596"/>
      <w:bookmarkStart w:id="420" w:name="_Toc28946"/>
      <w:bookmarkStart w:id="421" w:name="_Toc11960"/>
      <w:bookmarkStart w:id="422" w:name="_Toc29311"/>
      <w:bookmarkStart w:id="423" w:name="_Toc3666"/>
      <w:bookmarkStart w:id="424" w:name="_Toc13524"/>
      <w:bookmarkStart w:id="425" w:name="_Toc15520"/>
      <w:bookmarkStart w:id="426" w:name="_Toc11397"/>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补充合同</w:t>
      </w:r>
      <w:bookmarkEnd w:id="418"/>
      <w:bookmarkEnd w:id="419"/>
      <w:bookmarkEnd w:id="420"/>
      <w:bookmarkEnd w:id="421"/>
      <w:bookmarkEnd w:id="422"/>
      <w:bookmarkEnd w:id="423"/>
      <w:bookmarkEnd w:id="424"/>
      <w:bookmarkEnd w:id="425"/>
      <w:bookmarkEnd w:id="426"/>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360" w:lineRule="auto"/>
        <w:ind w:firstLine="482" w:firstLineChars="200"/>
        <w:rPr>
          <w:rFonts w:hint="eastAsia" w:ascii="宋体" w:hAnsi="宋体" w:eastAsia="宋体" w:cs="宋体"/>
          <w:b w:val="0"/>
          <w:color w:val="auto"/>
          <w:sz w:val="24"/>
          <w:szCs w:val="24"/>
          <w:highlight w:val="none"/>
          <w:lang w:eastAsia="zh-CN"/>
        </w:rPr>
      </w:pPr>
      <w:bookmarkStart w:id="427" w:name="_Toc1221"/>
      <w:bookmarkStart w:id="428" w:name="_Toc29567"/>
      <w:bookmarkStart w:id="429" w:name="_Toc217446068"/>
      <w:bookmarkStart w:id="430" w:name="_Toc13093"/>
      <w:bookmarkStart w:id="431" w:name="_Toc13582"/>
      <w:bookmarkStart w:id="432" w:name="_Toc14744"/>
      <w:bookmarkStart w:id="433" w:name="_Toc23995"/>
      <w:bookmarkStart w:id="434" w:name="_Toc9247"/>
      <w:bookmarkStart w:id="435" w:name="_Toc308164812"/>
      <w:bookmarkStart w:id="436" w:name="_Toc24250"/>
      <w:bookmarkStart w:id="437" w:name="_Toc308164814"/>
      <w:bookmarkStart w:id="438" w:name="_Toc10481"/>
      <w:bookmarkStart w:id="439" w:name="_Toc4805"/>
      <w:bookmarkStart w:id="440" w:name="_Toc18506"/>
      <w:bookmarkStart w:id="441" w:name="_Toc24996"/>
      <w:bookmarkStart w:id="442" w:name="_Toc217446070"/>
      <w:bookmarkStart w:id="443" w:name="_Toc14277"/>
      <w:bookmarkStart w:id="444" w:name="_Toc25612"/>
      <w:bookmarkStart w:id="445" w:name="_Toc8629"/>
      <w:bookmarkStart w:id="446" w:name="_Toc29826"/>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履约保证金</w:t>
      </w:r>
      <w:bookmarkEnd w:id="427"/>
      <w:bookmarkEnd w:id="428"/>
      <w:bookmarkEnd w:id="429"/>
      <w:bookmarkEnd w:id="430"/>
      <w:bookmarkEnd w:id="431"/>
      <w:bookmarkEnd w:id="432"/>
      <w:bookmarkEnd w:id="433"/>
      <w:bookmarkEnd w:id="434"/>
      <w:bookmarkEnd w:id="435"/>
      <w:bookmarkEnd w:id="436"/>
    </w:p>
    <w:p>
      <w:pPr>
        <w:snapToGrid w:val="0"/>
        <w:spacing w:line="360" w:lineRule="auto"/>
        <w:ind w:firstLine="480" w:firstLineChars="200"/>
        <w:rPr>
          <w:rFonts w:hint="eastAsia" w:ascii="宋体" w:hAnsi="宋体" w:eastAsia="宋体" w:cs="宋体"/>
          <w:color w:val="auto"/>
          <w:sz w:val="24"/>
          <w:szCs w:val="24"/>
          <w:highlight w:val="none"/>
          <w:lang w:val="en-US" w:eastAsia="zh-CN"/>
        </w:rPr>
      </w:pPr>
      <w:bookmarkStart w:id="447" w:name="_Toc6072"/>
      <w:bookmarkStart w:id="448" w:name="_Toc217446069"/>
      <w:bookmarkStart w:id="449" w:name="_Toc32766"/>
      <w:bookmarkStart w:id="450" w:name="_Toc23078"/>
      <w:bookmarkStart w:id="451" w:name="_Toc8268"/>
      <w:bookmarkStart w:id="452" w:name="_Toc12399"/>
      <w:bookmarkStart w:id="453" w:name="_Toc308164813"/>
      <w:bookmarkStart w:id="454" w:name="_Toc27600"/>
      <w:r>
        <w:rPr>
          <w:rFonts w:hint="eastAsia" w:ascii="宋体" w:hAnsi="宋体" w:eastAsia="宋体" w:cs="宋体"/>
          <w:color w:val="auto"/>
          <w:sz w:val="24"/>
          <w:szCs w:val="24"/>
          <w:highlight w:val="none"/>
        </w:rPr>
        <w:t>履约保证金</w:t>
      </w:r>
      <w:r>
        <w:rPr>
          <w:rFonts w:hint="eastAsia" w:ascii="宋体" w:hAnsi="宋体" w:eastAsia="宋体" w:cs="宋体"/>
          <w:color w:val="auto"/>
          <w:sz w:val="24"/>
          <w:szCs w:val="24"/>
          <w:highlight w:val="none"/>
          <w:lang w:val="en-US" w:eastAsia="zh-CN"/>
        </w:rPr>
        <w:t>缴纳金额、缴纳方式、缴纳时间、退还方式、退还时间、采购人逾期退还</w:t>
      </w:r>
      <w:r>
        <w:rPr>
          <w:rFonts w:hint="eastAsia" w:ascii="宋体" w:hAnsi="宋体" w:eastAsia="宋体" w:cs="宋体"/>
          <w:color w:val="auto"/>
          <w:sz w:val="24"/>
          <w:szCs w:val="24"/>
          <w:highlight w:val="none"/>
        </w:rPr>
        <w:t>履约保证金</w:t>
      </w:r>
      <w:r>
        <w:rPr>
          <w:rFonts w:hint="eastAsia" w:ascii="宋体" w:hAnsi="宋体" w:eastAsia="宋体" w:cs="宋体"/>
          <w:color w:val="auto"/>
          <w:sz w:val="24"/>
          <w:szCs w:val="24"/>
          <w:highlight w:val="none"/>
          <w:lang w:val="en-US" w:eastAsia="zh-CN"/>
        </w:rPr>
        <w:t>的违约责任等见供应商须知前附表</w:t>
      </w:r>
      <w:r>
        <w:rPr>
          <w:rFonts w:hint="eastAsia" w:ascii="宋体" w:hAnsi="宋体" w:eastAsia="宋体" w:cs="宋体"/>
          <w:color w:val="auto"/>
          <w:sz w:val="24"/>
          <w:szCs w:val="24"/>
          <w:highlight w:val="none"/>
        </w:rPr>
        <w:t>。</w:t>
      </w:r>
    </w:p>
    <w:p>
      <w:pPr>
        <w:pStyle w:val="5"/>
        <w:spacing w:line="360" w:lineRule="auto"/>
        <w:ind w:firstLine="482" w:firstLineChars="200"/>
        <w:rPr>
          <w:rFonts w:hint="eastAsia" w:ascii="宋体" w:hAnsi="宋体" w:eastAsia="宋体" w:cs="宋体"/>
          <w:b w:val="0"/>
          <w:color w:val="auto"/>
          <w:sz w:val="24"/>
          <w:szCs w:val="24"/>
          <w:highlight w:val="none"/>
        </w:rPr>
      </w:pPr>
      <w:bookmarkStart w:id="455" w:name="_Toc25991"/>
      <w:bookmarkStart w:id="456" w:name="_Toc15228"/>
      <w:bookmarkStart w:id="457" w:name="_Toc11757"/>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履行合同</w:t>
      </w:r>
      <w:bookmarkEnd w:id="447"/>
      <w:bookmarkEnd w:id="448"/>
      <w:bookmarkEnd w:id="449"/>
      <w:bookmarkEnd w:id="450"/>
      <w:bookmarkEnd w:id="451"/>
      <w:bookmarkEnd w:id="452"/>
      <w:bookmarkEnd w:id="453"/>
      <w:bookmarkEnd w:id="454"/>
      <w:bookmarkEnd w:id="455"/>
      <w:bookmarkEnd w:id="456"/>
      <w:bookmarkEnd w:id="457"/>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30</w:t>
      </w:r>
      <w:r>
        <w:rPr>
          <w:rFonts w:hint="eastAsia" w:ascii="宋体" w:hAnsi="宋体" w:eastAsia="宋体" w:cs="宋体"/>
          <w:color w:val="auto"/>
          <w:sz w:val="24"/>
          <w:highlight w:val="none"/>
        </w:rPr>
        <w:t>.1 中标人与采购人签订合同后，合同双方应严格执行合同条款，履行合同规定的义务，保证合同的顺利完成。</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30</w:t>
      </w:r>
      <w:r>
        <w:rPr>
          <w:rFonts w:hint="eastAsia" w:ascii="宋体" w:hAnsi="宋体" w:eastAsia="宋体" w:cs="宋体"/>
          <w:color w:val="auto"/>
          <w:sz w:val="24"/>
          <w:highlight w:val="none"/>
        </w:rPr>
        <w:t>.2 在合同履行过程中，如发生合同纠纷，合同双方应按照《</w:t>
      </w:r>
      <w:r>
        <w:rPr>
          <w:rFonts w:hint="eastAsia" w:ascii="宋体" w:hAnsi="宋体" w:eastAsia="宋体" w:cs="宋体"/>
          <w:color w:val="auto"/>
          <w:sz w:val="24"/>
          <w:highlight w:val="none"/>
          <w:lang w:val="en-US" w:eastAsia="zh-CN"/>
        </w:rPr>
        <w:t>中华人民共和国民法典</w:t>
      </w:r>
      <w:r>
        <w:rPr>
          <w:rFonts w:hint="eastAsia" w:ascii="宋体" w:hAnsi="宋体" w:eastAsia="宋体" w:cs="宋体"/>
          <w:color w:val="auto"/>
          <w:sz w:val="24"/>
          <w:highlight w:val="none"/>
        </w:rPr>
        <w:t>》的有关规定进行处理。</w:t>
      </w:r>
    </w:p>
    <w:p>
      <w:pPr>
        <w:pStyle w:val="5"/>
        <w:spacing w:line="360" w:lineRule="auto"/>
        <w:ind w:firstLine="482" w:firstLineChars="200"/>
        <w:rPr>
          <w:rFonts w:hint="eastAsia" w:ascii="宋体" w:hAnsi="宋体" w:eastAsia="宋体" w:cs="宋体"/>
          <w:b w:val="0"/>
          <w:color w:val="auto"/>
          <w:sz w:val="24"/>
          <w:szCs w:val="24"/>
          <w:highlight w:val="none"/>
        </w:rPr>
      </w:pPr>
      <w:bookmarkStart w:id="458" w:name="_Toc24042"/>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履约验收</w:t>
      </w:r>
      <w:bookmarkEnd w:id="437"/>
      <w:bookmarkEnd w:id="438"/>
      <w:bookmarkEnd w:id="439"/>
      <w:bookmarkEnd w:id="440"/>
      <w:bookmarkEnd w:id="441"/>
      <w:bookmarkEnd w:id="442"/>
      <w:bookmarkEnd w:id="443"/>
      <w:bookmarkEnd w:id="444"/>
      <w:bookmarkEnd w:id="445"/>
      <w:bookmarkEnd w:id="446"/>
      <w:bookmarkEnd w:id="458"/>
    </w:p>
    <w:p>
      <w:pPr>
        <w:spacing w:line="360" w:lineRule="auto"/>
        <w:ind w:firstLine="480" w:firstLineChars="200"/>
        <w:rPr>
          <w:rFonts w:hint="eastAsia" w:ascii="宋体" w:hAnsi="宋体" w:eastAsia="宋体" w:cs="宋体"/>
          <w:color w:val="auto"/>
          <w:sz w:val="24"/>
          <w:highlight w:val="none"/>
        </w:rPr>
      </w:pPr>
      <w:bookmarkStart w:id="459" w:name="_Toc18519"/>
      <w:bookmarkStart w:id="460" w:name="_Toc5510"/>
      <w:bookmarkStart w:id="461" w:name="_Toc25150"/>
      <w:bookmarkStart w:id="462" w:name="_Toc308164818"/>
      <w:bookmarkStart w:id="463" w:name="_Toc217446077"/>
      <w:bookmarkStart w:id="464" w:name="_Toc15493"/>
      <w:bookmarkStart w:id="465" w:name="_Toc13133"/>
      <w:bookmarkStart w:id="466" w:name="_Toc28242"/>
      <w:bookmarkStart w:id="467" w:name="_Toc22249"/>
      <w:bookmarkStart w:id="468" w:name="_Toc3497"/>
      <w:bookmarkStart w:id="469" w:name="_Toc217446071"/>
      <w:r>
        <w:rPr>
          <w:rFonts w:hint="eastAsia" w:ascii="宋体" w:hAnsi="宋体" w:eastAsia="宋体" w:cs="宋体"/>
          <w:color w:val="auto"/>
          <w:sz w:val="24"/>
          <w:highlight w:val="none"/>
          <w:lang w:val="en-US" w:eastAsia="zh-CN"/>
        </w:rPr>
        <w:t>31</w:t>
      </w:r>
      <w:r>
        <w:rPr>
          <w:rFonts w:hint="eastAsia" w:ascii="宋体" w:hAnsi="宋体" w:eastAsia="宋体" w:cs="宋体"/>
          <w:color w:val="auto"/>
          <w:sz w:val="24"/>
          <w:highlight w:val="none"/>
        </w:rPr>
        <w:t>.1本项目严格按照政府采购相关法律法规以及</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财政部关于进一步加强政府采购需求和履约验收管理的指导意见</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（财库〔2016〕205号）的要求进行验收。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31</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 xml:space="preserve"> 验收结果合格的，中标人凭验收报告办理相关手续；验收结果不合格的，履约保证金将不予退还，也将不予支付采购资金，还可能会报告本项目同级财政部门按照政府采购法律法规等有关规定给予行政处罚或者以失信行为记入诚信档案。</w:t>
      </w:r>
    </w:p>
    <w:p>
      <w:pPr>
        <w:pStyle w:val="5"/>
        <w:spacing w:line="360" w:lineRule="auto"/>
        <w:ind w:firstLine="482" w:firstLineChars="200"/>
        <w:rPr>
          <w:rFonts w:hint="eastAsia" w:ascii="宋体" w:hAnsi="宋体" w:eastAsia="宋体" w:cs="宋体"/>
          <w:color w:val="auto"/>
          <w:sz w:val="24"/>
          <w:szCs w:val="24"/>
          <w:highlight w:val="none"/>
        </w:rPr>
      </w:pPr>
      <w:bookmarkStart w:id="470" w:name="_Toc9377"/>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.资金支付</w:t>
      </w:r>
      <w:bookmarkEnd w:id="459"/>
      <w:bookmarkEnd w:id="460"/>
      <w:bookmarkEnd w:id="461"/>
      <w:bookmarkEnd w:id="462"/>
      <w:bookmarkEnd w:id="463"/>
      <w:bookmarkEnd w:id="464"/>
      <w:bookmarkEnd w:id="465"/>
      <w:bookmarkEnd w:id="466"/>
      <w:bookmarkEnd w:id="467"/>
      <w:bookmarkEnd w:id="468"/>
      <w:bookmarkEnd w:id="470"/>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采购人将按照政府采购合同规定，及时向中标供应商支付采购资金。本项目采购资金付款详见第</w:t>
      </w:r>
      <w:r>
        <w:rPr>
          <w:rFonts w:hint="eastAsia" w:ascii="宋体" w:hAnsi="宋体" w:eastAsia="宋体" w:cs="宋体"/>
          <w:color w:val="auto"/>
          <w:sz w:val="24"/>
          <w:highlight w:val="none"/>
          <w:lang w:val="en-US" w:eastAsia="zh-CN"/>
        </w:rPr>
        <w:t>六</w:t>
      </w:r>
      <w:r>
        <w:rPr>
          <w:rFonts w:hint="eastAsia" w:ascii="宋体" w:hAnsi="宋体" w:eastAsia="宋体" w:cs="宋体"/>
          <w:color w:val="auto"/>
          <w:sz w:val="24"/>
          <w:highlight w:val="none"/>
        </w:rPr>
        <w:t>章商务要求中付款方式。</w:t>
      </w:r>
    </w:p>
    <w:p>
      <w:pPr>
        <w:numPr>
          <w:ilvl w:val="0"/>
          <w:numId w:val="0"/>
        </w:numPr>
        <w:rPr>
          <w:rFonts w:hint="eastAsia" w:ascii="宋体" w:hAnsi="宋体" w:eastAsia="宋体" w:cs="宋体"/>
          <w:color w:val="auto"/>
          <w:highlight w:val="none"/>
          <w:lang w:val="en-US" w:eastAsia="zh-CN"/>
        </w:rPr>
      </w:pPr>
    </w:p>
    <w:bookmarkEnd w:id="387"/>
    <w:bookmarkEnd w:id="388"/>
    <w:bookmarkEnd w:id="469"/>
    <w:p>
      <w:pPr>
        <w:pStyle w:val="4"/>
        <w:numPr>
          <w:ilvl w:val="0"/>
          <w:numId w:val="0"/>
        </w:numPr>
        <w:spacing w:line="360" w:lineRule="auto"/>
        <w:ind w:leftChars="200"/>
        <w:jc w:val="center"/>
        <w:rPr>
          <w:rFonts w:hint="eastAsia" w:ascii="宋体" w:hAnsi="宋体" w:eastAsia="宋体" w:cs="宋体"/>
          <w:color w:val="auto"/>
          <w:sz w:val="30"/>
          <w:szCs w:val="30"/>
          <w:highlight w:val="none"/>
        </w:rPr>
      </w:pPr>
      <w:bookmarkStart w:id="471" w:name="_Toc20434"/>
      <w:bookmarkStart w:id="472" w:name="_Toc456"/>
      <w:bookmarkStart w:id="473" w:name="_Toc17722"/>
      <w:bookmarkStart w:id="474" w:name="_Toc12013"/>
      <w:bookmarkStart w:id="475" w:name="_Toc30619"/>
      <w:bookmarkStart w:id="476" w:name="_Toc21002_WPSOffice_Level2"/>
      <w:bookmarkStart w:id="477" w:name="_Toc308164815"/>
      <w:bookmarkStart w:id="478" w:name="_Toc217446074"/>
      <w:bookmarkStart w:id="479" w:name="_Toc12786"/>
      <w:bookmarkStart w:id="480" w:name="_Toc2471"/>
      <w:bookmarkStart w:id="481" w:name="_Toc4195"/>
      <w:bookmarkStart w:id="482" w:name="_Toc183582243"/>
      <w:bookmarkStart w:id="483" w:name="_Toc183682380"/>
      <w:r>
        <w:rPr>
          <w:rFonts w:hint="eastAsia" w:ascii="宋体" w:hAnsi="宋体" w:eastAsia="宋体" w:cs="宋体"/>
          <w:color w:val="auto"/>
          <w:sz w:val="30"/>
          <w:szCs w:val="30"/>
          <w:highlight w:val="none"/>
          <w:lang w:val="en-US" w:eastAsia="zh-CN"/>
        </w:rPr>
        <w:t>七、</w:t>
      </w:r>
      <w:r>
        <w:rPr>
          <w:rFonts w:hint="eastAsia" w:ascii="宋体" w:hAnsi="宋体" w:eastAsia="宋体" w:cs="宋体"/>
          <w:color w:val="auto"/>
          <w:sz w:val="30"/>
          <w:szCs w:val="30"/>
          <w:highlight w:val="none"/>
        </w:rPr>
        <w:t>投标纪律要求</w:t>
      </w:r>
      <w:bookmarkEnd w:id="471"/>
      <w:bookmarkEnd w:id="472"/>
      <w:bookmarkEnd w:id="473"/>
      <w:bookmarkEnd w:id="474"/>
      <w:bookmarkEnd w:id="475"/>
      <w:bookmarkEnd w:id="476"/>
      <w:bookmarkEnd w:id="477"/>
      <w:bookmarkEnd w:id="478"/>
      <w:bookmarkEnd w:id="479"/>
      <w:bookmarkEnd w:id="480"/>
      <w:bookmarkEnd w:id="481"/>
    </w:p>
    <w:p>
      <w:pPr>
        <w:pStyle w:val="95"/>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33.投标人纪律要求</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投标人应当遵循公平竞争的原则，不得恶意串通，不得妨碍其他投标人的竞争行为，不得损害采购人或者其他投标人的合法权益。</w:t>
      </w:r>
    </w:p>
    <w:p>
      <w:pPr>
        <w:pStyle w:val="5"/>
        <w:spacing w:line="360" w:lineRule="auto"/>
        <w:ind w:firstLine="482" w:firstLineChars="200"/>
        <w:rPr>
          <w:rFonts w:hint="eastAsia" w:ascii="宋体" w:hAnsi="宋体" w:eastAsia="宋体" w:cs="宋体"/>
          <w:bCs w:val="0"/>
          <w:color w:val="auto"/>
          <w:sz w:val="24"/>
          <w:szCs w:val="24"/>
          <w:highlight w:val="none"/>
        </w:rPr>
      </w:pPr>
      <w:bookmarkStart w:id="484" w:name="_Toc1849"/>
      <w:bookmarkStart w:id="485" w:name="_Toc31587"/>
      <w:bookmarkStart w:id="486" w:name="_Toc217446075"/>
      <w:bookmarkStart w:id="487" w:name="_Toc18932"/>
      <w:bookmarkStart w:id="488" w:name="_Toc8967"/>
      <w:bookmarkStart w:id="489" w:name="_Toc22859"/>
      <w:bookmarkStart w:id="490" w:name="_Toc25497"/>
      <w:bookmarkStart w:id="491" w:name="_Toc21590"/>
      <w:bookmarkStart w:id="492" w:name="_Toc308164816"/>
      <w:bookmarkStart w:id="493" w:name="_Toc6809"/>
      <w:bookmarkStart w:id="494" w:name="_Toc26054"/>
      <w:bookmarkStart w:id="495" w:name="_Toc13708"/>
      <w:r>
        <w:rPr>
          <w:rFonts w:hint="eastAsia" w:ascii="宋体" w:hAnsi="宋体" w:eastAsia="宋体" w:cs="宋体"/>
          <w:bCs w:val="0"/>
          <w:color w:val="auto"/>
          <w:sz w:val="24"/>
          <w:szCs w:val="24"/>
          <w:highlight w:val="none"/>
        </w:rPr>
        <w:t>在评标过程中发现投标人有</w:t>
      </w:r>
      <w:r>
        <w:rPr>
          <w:rFonts w:hint="eastAsia" w:ascii="宋体" w:hAnsi="宋体" w:eastAsia="宋体" w:cs="宋体"/>
          <w:bCs w:val="0"/>
          <w:color w:val="auto"/>
          <w:sz w:val="24"/>
          <w:szCs w:val="24"/>
          <w:highlight w:val="none"/>
          <w:lang w:val="en-US" w:eastAsia="zh-CN"/>
        </w:rPr>
        <w:t>以下</w:t>
      </w:r>
      <w:r>
        <w:rPr>
          <w:rFonts w:hint="eastAsia" w:ascii="宋体" w:hAnsi="宋体" w:eastAsia="宋体" w:cs="宋体"/>
          <w:bCs w:val="0"/>
          <w:color w:val="auto"/>
          <w:sz w:val="24"/>
          <w:szCs w:val="24"/>
          <w:highlight w:val="none"/>
        </w:rPr>
        <w:t>情形的，评标委员会应当认定其投标无效，并书面报告本级财政部门。</w:t>
      </w:r>
      <w:bookmarkEnd w:id="484"/>
      <w:bookmarkEnd w:id="485"/>
    </w:p>
    <w:p>
      <w:pPr>
        <w:pStyle w:val="5"/>
        <w:spacing w:line="360" w:lineRule="auto"/>
        <w:ind w:firstLine="482" w:firstLineChars="200"/>
        <w:rPr>
          <w:rFonts w:hint="eastAsia" w:ascii="宋体" w:hAnsi="宋体" w:eastAsia="宋体" w:cs="宋体"/>
          <w:bCs w:val="0"/>
          <w:color w:val="auto"/>
          <w:sz w:val="24"/>
          <w:szCs w:val="24"/>
          <w:highlight w:val="none"/>
          <w:lang w:eastAsia="zh-CN"/>
        </w:rPr>
      </w:pPr>
      <w:bookmarkStart w:id="496" w:name="_Toc2388"/>
      <w:bookmarkStart w:id="497" w:name="_Toc32739"/>
      <w:r>
        <w:rPr>
          <w:rFonts w:hint="eastAsia" w:ascii="宋体" w:hAnsi="宋体" w:eastAsia="宋体" w:cs="宋体"/>
          <w:bCs w:val="0"/>
          <w:color w:val="auto"/>
          <w:sz w:val="24"/>
          <w:szCs w:val="24"/>
          <w:highlight w:val="none"/>
          <w:lang w:val="en-US" w:eastAsia="zh-CN"/>
        </w:rPr>
        <w:t>33.1</w:t>
      </w:r>
      <w:r>
        <w:rPr>
          <w:rFonts w:hint="eastAsia" w:ascii="宋体" w:hAnsi="宋体" w:eastAsia="宋体" w:cs="宋体"/>
          <w:bCs w:val="0"/>
          <w:color w:val="auto"/>
          <w:sz w:val="24"/>
          <w:szCs w:val="24"/>
          <w:highlight w:val="none"/>
        </w:rPr>
        <w:t>投标人不得具有的情形</w:t>
      </w:r>
      <w:bookmarkEnd w:id="486"/>
      <w:bookmarkEnd w:id="487"/>
      <w:bookmarkEnd w:id="488"/>
      <w:bookmarkEnd w:id="489"/>
      <w:bookmarkEnd w:id="490"/>
      <w:bookmarkEnd w:id="491"/>
      <w:bookmarkEnd w:id="492"/>
      <w:bookmarkEnd w:id="493"/>
      <w:bookmarkEnd w:id="494"/>
      <w:bookmarkEnd w:id="495"/>
      <w:r>
        <w:rPr>
          <w:rFonts w:hint="eastAsia" w:ascii="宋体" w:hAnsi="宋体" w:eastAsia="宋体" w:cs="宋体"/>
          <w:bCs w:val="0"/>
          <w:color w:val="auto"/>
          <w:sz w:val="24"/>
          <w:szCs w:val="24"/>
          <w:highlight w:val="none"/>
          <w:lang w:eastAsia="zh-CN"/>
        </w:rPr>
        <w:t>：</w:t>
      </w:r>
      <w:bookmarkEnd w:id="496"/>
      <w:bookmarkEnd w:id="497"/>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1</w:t>
      </w:r>
      <w:r>
        <w:rPr>
          <w:rFonts w:hint="eastAsia" w:ascii="宋体" w:hAnsi="宋体" w:eastAsia="宋体" w:cs="宋体"/>
          <w:bCs/>
          <w:color w:val="auto"/>
          <w:sz w:val="24"/>
          <w:szCs w:val="22"/>
          <w:highlight w:val="none"/>
        </w:rPr>
        <w:t>)</w:t>
      </w:r>
      <w:r>
        <w:rPr>
          <w:rFonts w:hint="eastAsia" w:ascii="宋体" w:hAnsi="宋体" w:eastAsia="宋体" w:cs="宋体"/>
          <w:color w:val="auto"/>
          <w:sz w:val="24"/>
          <w:highlight w:val="none"/>
        </w:rPr>
        <w:t>提供虚假材料谋取中标；</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2</w:t>
      </w:r>
      <w:r>
        <w:rPr>
          <w:rFonts w:hint="eastAsia" w:ascii="宋体" w:hAnsi="宋体" w:eastAsia="宋体" w:cs="宋体"/>
          <w:bCs/>
          <w:color w:val="auto"/>
          <w:sz w:val="24"/>
          <w:szCs w:val="22"/>
          <w:highlight w:val="none"/>
        </w:rPr>
        <w:t>)</w:t>
      </w:r>
      <w:r>
        <w:rPr>
          <w:rFonts w:hint="eastAsia" w:ascii="宋体" w:hAnsi="宋体" w:eastAsia="宋体" w:cs="宋体"/>
          <w:color w:val="auto"/>
          <w:sz w:val="24"/>
          <w:highlight w:val="none"/>
        </w:rPr>
        <w:t>采取不正当手段诋毁、排挤其他投标人；</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3</w:t>
      </w:r>
      <w:r>
        <w:rPr>
          <w:rFonts w:hint="eastAsia" w:ascii="宋体" w:hAnsi="宋体" w:eastAsia="宋体" w:cs="宋体"/>
          <w:bCs/>
          <w:color w:val="auto"/>
          <w:sz w:val="24"/>
          <w:szCs w:val="22"/>
          <w:highlight w:val="none"/>
        </w:rPr>
        <w:t>)</w:t>
      </w:r>
      <w:r>
        <w:rPr>
          <w:rFonts w:hint="eastAsia" w:ascii="宋体" w:hAnsi="宋体" w:eastAsia="宋体" w:cs="宋体"/>
          <w:color w:val="auto"/>
          <w:sz w:val="24"/>
          <w:highlight w:val="none"/>
        </w:rPr>
        <w:t>与招标采购单位、其他投标人恶意串通；</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4</w:t>
      </w:r>
      <w:r>
        <w:rPr>
          <w:rFonts w:hint="eastAsia" w:ascii="宋体" w:hAnsi="宋体" w:eastAsia="宋体" w:cs="宋体"/>
          <w:bCs/>
          <w:color w:val="auto"/>
          <w:sz w:val="24"/>
          <w:szCs w:val="22"/>
          <w:highlight w:val="none"/>
        </w:rPr>
        <w:t>)</w:t>
      </w:r>
      <w:r>
        <w:rPr>
          <w:rFonts w:hint="eastAsia" w:ascii="宋体" w:hAnsi="宋体" w:eastAsia="宋体" w:cs="宋体"/>
          <w:color w:val="auto"/>
          <w:sz w:val="24"/>
          <w:highlight w:val="none"/>
        </w:rPr>
        <w:t>向招标采购单位、</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成员行贿或者提供其他不正当利益；</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5</w:t>
      </w:r>
      <w:r>
        <w:rPr>
          <w:rFonts w:hint="eastAsia" w:ascii="宋体" w:hAnsi="宋体" w:eastAsia="宋体" w:cs="宋体"/>
          <w:bCs/>
          <w:color w:val="auto"/>
          <w:sz w:val="24"/>
          <w:szCs w:val="22"/>
          <w:highlight w:val="none"/>
        </w:rPr>
        <w:t>)</w:t>
      </w:r>
      <w:r>
        <w:rPr>
          <w:rFonts w:hint="eastAsia" w:ascii="宋体" w:hAnsi="宋体" w:eastAsia="宋体" w:cs="宋体"/>
          <w:color w:val="auto"/>
          <w:sz w:val="24"/>
          <w:highlight w:val="none"/>
        </w:rPr>
        <w:t>在招标过程中与招标采购单位进行协商谈判；</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6</w:t>
      </w:r>
      <w:r>
        <w:rPr>
          <w:rFonts w:hint="eastAsia" w:ascii="宋体" w:hAnsi="宋体" w:eastAsia="宋体" w:cs="宋体"/>
          <w:bCs/>
          <w:color w:val="auto"/>
          <w:sz w:val="24"/>
          <w:szCs w:val="22"/>
          <w:highlight w:val="none"/>
        </w:rPr>
        <w:t>)</w:t>
      </w:r>
      <w:r>
        <w:rPr>
          <w:rFonts w:hint="eastAsia" w:ascii="宋体" w:hAnsi="宋体" w:eastAsia="宋体" w:cs="宋体"/>
          <w:color w:val="auto"/>
          <w:sz w:val="24"/>
          <w:highlight w:val="none"/>
        </w:rPr>
        <w:t>中标或者成交后无正当理由拒不与采购人签订政府采购合同；</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7</w:t>
      </w:r>
      <w:r>
        <w:rPr>
          <w:rFonts w:hint="eastAsia" w:ascii="宋体" w:hAnsi="宋体" w:eastAsia="宋体" w:cs="宋体"/>
          <w:bCs/>
          <w:color w:val="auto"/>
          <w:sz w:val="24"/>
          <w:szCs w:val="22"/>
          <w:highlight w:val="none"/>
        </w:rPr>
        <w:t>)</w:t>
      </w:r>
      <w:r>
        <w:rPr>
          <w:rFonts w:hint="eastAsia" w:ascii="宋体" w:hAnsi="宋体" w:eastAsia="宋体" w:cs="宋体"/>
          <w:color w:val="auto"/>
          <w:sz w:val="24"/>
          <w:highlight w:val="none"/>
        </w:rPr>
        <w:t>未按照采购文件确定的事项签订政府采购合同；</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8</w:t>
      </w:r>
      <w:r>
        <w:rPr>
          <w:rFonts w:hint="eastAsia" w:ascii="宋体" w:hAnsi="宋体" w:eastAsia="宋体" w:cs="宋体"/>
          <w:bCs/>
          <w:color w:val="auto"/>
          <w:sz w:val="24"/>
          <w:szCs w:val="22"/>
          <w:highlight w:val="none"/>
        </w:rPr>
        <w:t>)</w:t>
      </w:r>
      <w:r>
        <w:rPr>
          <w:rFonts w:hint="eastAsia" w:ascii="宋体" w:hAnsi="宋体" w:eastAsia="宋体" w:cs="宋体"/>
          <w:color w:val="auto"/>
          <w:sz w:val="24"/>
          <w:highlight w:val="none"/>
        </w:rPr>
        <w:t>将政府采购合同转包或者违规分包；</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9</w:t>
      </w:r>
      <w:r>
        <w:rPr>
          <w:rFonts w:hint="eastAsia" w:ascii="宋体" w:hAnsi="宋体" w:eastAsia="宋体" w:cs="宋体"/>
          <w:bCs/>
          <w:color w:val="auto"/>
          <w:sz w:val="24"/>
          <w:szCs w:val="22"/>
          <w:highlight w:val="none"/>
        </w:rPr>
        <w:t>)</w:t>
      </w:r>
      <w:r>
        <w:rPr>
          <w:rFonts w:hint="eastAsia" w:ascii="宋体" w:hAnsi="宋体" w:eastAsia="宋体" w:cs="宋体"/>
          <w:color w:val="auto"/>
          <w:sz w:val="24"/>
          <w:highlight w:val="none"/>
        </w:rPr>
        <w:t>提供假冒伪劣产品；</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10</w:t>
      </w:r>
      <w:r>
        <w:rPr>
          <w:rFonts w:hint="eastAsia" w:ascii="宋体" w:hAnsi="宋体" w:eastAsia="宋体" w:cs="宋体"/>
          <w:bCs/>
          <w:color w:val="auto"/>
          <w:sz w:val="24"/>
          <w:szCs w:val="22"/>
          <w:highlight w:val="none"/>
        </w:rPr>
        <w:t>)</w:t>
      </w:r>
      <w:r>
        <w:rPr>
          <w:rFonts w:hint="eastAsia" w:ascii="宋体" w:hAnsi="宋体" w:eastAsia="宋体" w:cs="宋体"/>
          <w:color w:val="auto"/>
          <w:sz w:val="24"/>
          <w:highlight w:val="none"/>
        </w:rPr>
        <w:t>擅自变更、中止或者终止政府采购合同；</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11</w:t>
      </w:r>
      <w:r>
        <w:rPr>
          <w:rFonts w:hint="eastAsia" w:ascii="宋体" w:hAnsi="宋体" w:eastAsia="宋体" w:cs="宋体"/>
          <w:bCs/>
          <w:color w:val="auto"/>
          <w:sz w:val="24"/>
          <w:szCs w:val="22"/>
          <w:highlight w:val="none"/>
        </w:rPr>
        <w:t>)</w:t>
      </w:r>
      <w:r>
        <w:rPr>
          <w:rFonts w:hint="eastAsia" w:ascii="宋体" w:hAnsi="宋体" w:eastAsia="宋体" w:cs="宋体"/>
          <w:color w:val="auto"/>
          <w:sz w:val="24"/>
          <w:highlight w:val="none"/>
        </w:rPr>
        <w:t>拒绝有关部门的监督检查或者向监督检查部门提供虚假情况；</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12</w:t>
      </w:r>
      <w:r>
        <w:rPr>
          <w:rFonts w:hint="eastAsia" w:ascii="宋体" w:hAnsi="宋体" w:eastAsia="宋体" w:cs="宋体"/>
          <w:bCs/>
          <w:color w:val="auto"/>
          <w:sz w:val="24"/>
          <w:szCs w:val="22"/>
          <w:highlight w:val="none"/>
        </w:rPr>
        <w:t>)</w:t>
      </w:r>
      <w:r>
        <w:rPr>
          <w:rFonts w:hint="eastAsia" w:ascii="宋体" w:hAnsi="宋体" w:eastAsia="宋体" w:cs="宋体"/>
          <w:color w:val="auto"/>
          <w:sz w:val="24"/>
          <w:highlight w:val="none"/>
        </w:rPr>
        <w:t>法律法规规定的其他情形。</w:t>
      </w:r>
    </w:p>
    <w:bookmarkEnd w:id="482"/>
    <w:bookmarkEnd w:id="483"/>
    <w:p>
      <w:pPr>
        <w:pStyle w:val="9"/>
        <w:spacing w:line="360" w:lineRule="auto"/>
        <w:ind w:firstLine="480"/>
        <w:rPr>
          <w:rFonts w:hint="eastAsia" w:ascii="宋体" w:hAnsi="宋体" w:eastAsia="宋体" w:cs="宋体"/>
          <w:color w:val="auto"/>
          <w:sz w:val="24"/>
          <w:highlight w:val="none"/>
        </w:rPr>
      </w:pPr>
      <w:bookmarkStart w:id="498" w:name="十一、串通投标的情形"/>
      <w:bookmarkEnd w:id="498"/>
      <w:bookmarkStart w:id="499" w:name="_bookmark50"/>
      <w:bookmarkEnd w:id="499"/>
      <w:bookmarkStart w:id="500" w:name="_Toc6478"/>
      <w:bookmarkStart w:id="501" w:name="_Toc7851"/>
      <w:bookmarkStart w:id="502" w:name="_Toc9489_WPSOffice_Level2"/>
      <w:bookmarkStart w:id="503" w:name="_Toc17338"/>
      <w:bookmarkStart w:id="504" w:name="_Toc26584"/>
      <w:bookmarkStart w:id="505" w:name="_Toc8982"/>
      <w:r>
        <w:rPr>
          <w:rFonts w:hint="eastAsia" w:ascii="宋体" w:hAnsi="宋体" w:eastAsia="宋体" w:cs="宋体"/>
          <w:color w:val="auto"/>
          <w:sz w:val="24"/>
          <w:highlight w:val="none"/>
        </w:rPr>
        <w:t>投标人有上述情形的，按照规定追究法律责任，具备（1）-（10）条情形之一的，同时将取消中标资格或者认定中标无效。</w:t>
      </w:r>
    </w:p>
    <w:bookmarkEnd w:id="500"/>
    <w:bookmarkEnd w:id="501"/>
    <w:bookmarkEnd w:id="502"/>
    <w:bookmarkEnd w:id="503"/>
    <w:p>
      <w:pPr>
        <w:pStyle w:val="5"/>
        <w:spacing w:line="360" w:lineRule="auto"/>
        <w:ind w:firstLine="482" w:firstLineChars="200"/>
        <w:rPr>
          <w:rFonts w:hint="eastAsia" w:ascii="宋体" w:hAnsi="宋体" w:eastAsia="宋体" w:cs="宋体"/>
          <w:b/>
          <w:bCs/>
          <w:color w:val="auto"/>
          <w:sz w:val="24"/>
          <w:highlight w:val="none"/>
          <w:lang w:eastAsia="zh-CN"/>
        </w:rPr>
      </w:pPr>
      <w:bookmarkStart w:id="506" w:name="_Toc28704"/>
      <w:bookmarkStart w:id="507" w:name="_Toc10229"/>
      <w:bookmarkStart w:id="508" w:name="_Toc27699"/>
      <w:bookmarkStart w:id="509" w:name="_Toc8124"/>
      <w:bookmarkStart w:id="510" w:name="_Toc10066"/>
      <w:bookmarkStart w:id="511" w:name="_Toc3360"/>
      <w:bookmarkStart w:id="512" w:name="_Toc20057"/>
      <w:bookmarkStart w:id="513" w:name="_Toc27842"/>
      <w:bookmarkStart w:id="514" w:name="_Toc12849"/>
      <w:bookmarkStart w:id="515" w:name="_Toc25665"/>
      <w:bookmarkStart w:id="516" w:name="_Toc28909"/>
      <w:r>
        <w:rPr>
          <w:rFonts w:hint="eastAsia" w:ascii="宋体" w:hAnsi="宋体" w:eastAsia="宋体" w:cs="宋体"/>
          <w:b/>
          <w:bCs/>
          <w:color w:val="auto"/>
          <w:sz w:val="24"/>
          <w:highlight w:val="none"/>
          <w:lang w:val="en-US" w:eastAsia="zh-CN"/>
        </w:rPr>
        <w:t>33</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rPr>
        <w:t>有下列情形之一的，视为投标人串通投标，其投标无效</w:t>
      </w:r>
      <w:bookmarkEnd w:id="506"/>
      <w:bookmarkEnd w:id="507"/>
      <w:bookmarkEnd w:id="508"/>
      <w:bookmarkEnd w:id="509"/>
      <w:bookmarkEnd w:id="510"/>
      <w:bookmarkEnd w:id="511"/>
      <w:bookmarkEnd w:id="512"/>
      <w:bookmarkEnd w:id="513"/>
      <w:bookmarkEnd w:id="514"/>
      <w:r>
        <w:rPr>
          <w:rFonts w:hint="eastAsia" w:ascii="宋体" w:hAnsi="宋体" w:eastAsia="宋体" w:cs="宋体"/>
          <w:b/>
          <w:bCs/>
          <w:color w:val="auto"/>
          <w:sz w:val="24"/>
          <w:highlight w:val="none"/>
          <w:lang w:eastAsia="zh-CN"/>
        </w:rPr>
        <w:t>：</w:t>
      </w:r>
      <w:bookmarkEnd w:id="515"/>
      <w:bookmarkEnd w:id="516"/>
    </w:p>
    <w:p>
      <w:pPr>
        <w:widowControl/>
        <w:spacing w:line="360" w:lineRule="auto"/>
        <w:ind w:firstLine="480" w:firstLineChars="200"/>
        <w:jc w:val="left"/>
        <w:outlineLvl w:val="1"/>
        <w:rPr>
          <w:rFonts w:hint="eastAsia" w:ascii="宋体" w:hAnsi="宋体" w:eastAsia="宋体" w:cs="宋体"/>
          <w:bCs/>
          <w:color w:val="auto"/>
          <w:sz w:val="24"/>
          <w:szCs w:val="22"/>
          <w:highlight w:val="none"/>
        </w:rPr>
      </w:pPr>
      <w:bookmarkStart w:id="517" w:name="_Toc12645"/>
      <w:bookmarkStart w:id="518" w:name="_Toc7376"/>
      <w:bookmarkStart w:id="519" w:name="_Toc3784"/>
      <w:bookmarkStart w:id="520" w:name="_Toc11426"/>
      <w:bookmarkStart w:id="521" w:name="_Toc31057"/>
      <w:bookmarkStart w:id="522" w:name="_Toc7515"/>
      <w:bookmarkStart w:id="523" w:name="_Toc24879"/>
      <w:bookmarkStart w:id="524" w:name="_Toc5783"/>
      <w:bookmarkStart w:id="525" w:name="_Toc11674"/>
      <w:bookmarkStart w:id="526" w:name="_Toc17281"/>
      <w:bookmarkStart w:id="527" w:name="_Toc30399"/>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1</w:t>
      </w:r>
      <w:r>
        <w:rPr>
          <w:rFonts w:hint="eastAsia" w:ascii="宋体" w:hAnsi="宋体" w:eastAsia="宋体" w:cs="宋体"/>
          <w:bCs/>
          <w:color w:val="auto"/>
          <w:sz w:val="24"/>
          <w:szCs w:val="22"/>
          <w:highlight w:val="none"/>
        </w:rPr>
        <w:t>)不同投标人的投标文件由同一单位或者个人编制；</w:t>
      </w:r>
      <w:bookmarkEnd w:id="517"/>
      <w:bookmarkEnd w:id="518"/>
      <w:bookmarkEnd w:id="519"/>
      <w:bookmarkEnd w:id="520"/>
      <w:bookmarkEnd w:id="521"/>
      <w:bookmarkEnd w:id="522"/>
      <w:bookmarkEnd w:id="523"/>
      <w:bookmarkEnd w:id="524"/>
      <w:bookmarkEnd w:id="525"/>
      <w:bookmarkEnd w:id="526"/>
      <w:bookmarkEnd w:id="527"/>
    </w:p>
    <w:p>
      <w:pPr>
        <w:widowControl/>
        <w:spacing w:line="360" w:lineRule="auto"/>
        <w:ind w:firstLine="480" w:firstLineChars="200"/>
        <w:jc w:val="left"/>
        <w:outlineLvl w:val="1"/>
        <w:rPr>
          <w:rFonts w:hint="eastAsia" w:ascii="宋体" w:hAnsi="宋体" w:eastAsia="宋体" w:cs="宋体"/>
          <w:bCs/>
          <w:color w:val="auto"/>
          <w:sz w:val="24"/>
          <w:szCs w:val="22"/>
          <w:highlight w:val="none"/>
        </w:rPr>
      </w:pPr>
      <w:bookmarkStart w:id="528" w:name="_Toc16664"/>
      <w:bookmarkStart w:id="529" w:name="_Toc15829"/>
      <w:bookmarkStart w:id="530" w:name="_Toc1397"/>
      <w:bookmarkStart w:id="531" w:name="_Toc12296"/>
      <w:bookmarkStart w:id="532" w:name="_Toc689"/>
      <w:bookmarkStart w:id="533" w:name="_Toc21612"/>
      <w:bookmarkStart w:id="534" w:name="_Toc27888"/>
      <w:bookmarkStart w:id="535" w:name="_Toc26081"/>
      <w:bookmarkStart w:id="536" w:name="_Toc31049"/>
      <w:bookmarkStart w:id="537" w:name="_Toc7893"/>
      <w:bookmarkStart w:id="538" w:name="_Toc13768"/>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2</w:t>
      </w:r>
      <w:r>
        <w:rPr>
          <w:rFonts w:hint="eastAsia" w:ascii="宋体" w:hAnsi="宋体" w:eastAsia="宋体" w:cs="宋体"/>
          <w:bCs/>
          <w:color w:val="auto"/>
          <w:sz w:val="24"/>
          <w:szCs w:val="22"/>
          <w:highlight w:val="none"/>
        </w:rPr>
        <w:t>)不同投标人委托同一单位或者个人办理投标事宜；</w:t>
      </w:r>
      <w:bookmarkEnd w:id="528"/>
      <w:bookmarkEnd w:id="529"/>
      <w:bookmarkEnd w:id="530"/>
      <w:bookmarkEnd w:id="531"/>
      <w:bookmarkEnd w:id="532"/>
      <w:bookmarkEnd w:id="533"/>
      <w:bookmarkEnd w:id="534"/>
      <w:bookmarkEnd w:id="535"/>
      <w:bookmarkEnd w:id="536"/>
      <w:bookmarkEnd w:id="537"/>
      <w:bookmarkEnd w:id="538"/>
    </w:p>
    <w:p>
      <w:pPr>
        <w:widowControl/>
        <w:spacing w:line="360" w:lineRule="auto"/>
        <w:ind w:firstLine="480" w:firstLineChars="200"/>
        <w:jc w:val="left"/>
        <w:outlineLvl w:val="1"/>
        <w:rPr>
          <w:rFonts w:hint="eastAsia" w:ascii="宋体" w:hAnsi="宋体" w:eastAsia="宋体" w:cs="宋体"/>
          <w:bCs/>
          <w:color w:val="auto"/>
          <w:sz w:val="24"/>
          <w:szCs w:val="22"/>
          <w:highlight w:val="none"/>
        </w:rPr>
      </w:pPr>
      <w:bookmarkStart w:id="539" w:name="_Toc5780"/>
      <w:bookmarkStart w:id="540" w:name="_Toc30009"/>
      <w:bookmarkStart w:id="541" w:name="_Toc32509"/>
      <w:bookmarkStart w:id="542" w:name="_Toc24969"/>
      <w:bookmarkStart w:id="543" w:name="_Toc7802"/>
      <w:bookmarkStart w:id="544" w:name="_Toc19377"/>
      <w:bookmarkStart w:id="545" w:name="_Toc6837"/>
      <w:bookmarkStart w:id="546" w:name="_Toc4171"/>
      <w:bookmarkStart w:id="547" w:name="_Toc22806"/>
      <w:bookmarkStart w:id="548" w:name="_Toc20478"/>
      <w:bookmarkStart w:id="549" w:name="_Toc28926"/>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3</w:t>
      </w:r>
      <w:r>
        <w:rPr>
          <w:rFonts w:hint="eastAsia" w:ascii="宋体" w:hAnsi="宋体" w:eastAsia="宋体" w:cs="宋体"/>
          <w:bCs/>
          <w:color w:val="auto"/>
          <w:sz w:val="24"/>
          <w:szCs w:val="22"/>
          <w:highlight w:val="none"/>
        </w:rPr>
        <w:t>)不同投标人的投标文件载明的项目管理成员或者联系人员为同一人；</w:t>
      </w:r>
      <w:bookmarkEnd w:id="539"/>
      <w:bookmarkEnd w:id="540"/>
      <w:bookmarkEnd w:id="541"/>
      <w:bookmarkEnd w:id="542"/>
      <w:bookmarkEnd w:id="543"/>
      <w:bookmarkEnd w:id="544"/>
      <w:bookmarkEnd w:id="545"/>
      <w:bookmarkEnd w:id="546"/>
      <w:bookmarkEnd w:id="547"/>
      <w:bookmarkEnd w:id="548"/>
      <w:bookmarkEnd w:id="549"/>
    </w:p>
    <w:p>
      <w:pPr>
        <w:widowControl/>
        <w:spacing w:line="360" w:lineRule="auto"/>
        <w:ind w:firstLine="480" w:firstLineChars="200"/>
        <w:jc w:val="left"/>
        <w:outlineLvl w:val="1"/>
        <w:rPr>
          <w:rFonts w:hint="eastAsia" w:ascii="宋体" w:hAnsi="宋体" w:eastAsia="宋体" w:cs="宋体"/>
          <w:bCs/>
          <w:color w:val="auto"/>
          <w:sz w:val="24"/>
          <w:szCs w:val="22"/>
          <w:highlight w:val="none"/>
        </w:rPr>
      </w:pPr>
      <w:bookmarkStart w:id="550" w:name="_Toc13256"/>
      <w:bookmarkStart w:id="551" w:name="_Toc27784"/>
      <w:bookmarkStart w:id="552" w:name="_Toc154"/>
      <w:bookmarkStart w:id="553" w:name="_Toc12820"/>
      <w:bookmarkStart w:id="554" w:name="_Toc772"/>
      <w:bookmarkStart w:id="555" w:name="_Toc13962"/>
      <w:bookmarkStart w:id="556" w:name="_Toc14826"/>
      <w:bookmarkStart w:id="557" w:name="_Toc6364"/>
      <w:bookmarkStart w:id="558" w:name="_Toc15128"/>
      <w:bookmarkStart w:id="559" w:name="_Toc623"/>
      <w:bookmarkStart w:id="560" w:name="_Toc31200"/>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4</w:t>
      </w:r>
      <w:r>
        <w:rPr>
          <w:rFonts w:hint="eastAsia" w:ascii="宋体" w:hAnsi="宋体" w:eastAsia="宋体" w:cs="宋体"/>
          <w:bCs/>
          <w:color w:val="auto"/>
          <w:sz w:val="24"/>
          <w:szCs w:val="22"/>
          <w:highlight w:val="none"/>
        </w:rPr>
        <w:t>)不同投标人的投标文件异常一致或者投标报价呈规律性差异；</w:t>
      </w:r>
      <w:bookmarkEnd w:id="550"/>
      <w:bookmarkEnd w:id="551"/>
      <w:bookmarkEnd w:id="552"/>
      <w:bookmarkEnd w:id="553"/>
      <w:bookmarkEnd w:id="554"/>
      <w:bookmarkEnd w:id="555"/>
      <w:bookmarkEnd w:id="556"/>
      <w:bookmarkEnd w:id="557"/>
      <w:bookmarkEnd w:id="558"/>
      <w:bookmarkEnd w:id="559"/>
      <w:bookmarkEnd w:id="560"/>
    </w:p>
    <w:p>
      <w:pPr>
        <w:widowControl/>
        <w:spacing w:line="360" w:lineRule="auto"/>
        <w:ind w:firstLine="480" w:firstLineChars="200"/>
        <w:jc w:val="left"/>
        <w:outlineLvl w:val="1"/>
        <w:rPr>
          <w:rFonts w:hint="eastAsia" w:ascii="宋体" w:hAnsi="宋体" w:eastAsia="宋体" w:cs="宋体"/>
          <w:bCs/>
          <w:color w:val="auto"/>
          <w:sz w:val="24"/>
          <w:szCs w:val="22"/>
          <w:highlight w:val="none"/>
        </w:rPr>
      </w:pPr>
      <w:bookmarkStart w:id="561" w:name="_Toc5984"/>
      <w:bookmarkStart w:id="562" w:name="_Toc10151"/>
      <w:bookmarkStart w:id="563" w:name="_Toc3846"/>
      <w:bookmarkStart w:id="564" w:name="_Toc388"/>
      <w:bookmarkStart w:id="565" w:name="_Toc27009"/>
      <w:bookmarkStart w:id="566" w:name="_Toc31623"/>
      <w:bookmarkStart w:id="567" w:name="_Toc23232"/>
      <w:bookmarkStart w:id="568" w:name="_Toc10761"/>
      <w:bookmarkStart w:id="569" w:name="_Toc26003"/>
      <w:bookmarkStart w:id="570" w:name="_Toc2618"/>
      <w:bookmarkStart w:id="571" w:name="_Toc15469"/>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5</w:t>
      </w:r>
      <w:r>
        <w:rPr>
          <w:rFonts w:hint="eastAsia" w:ascii="宋体" w:hAnsi="宋体" w:eastAsia="宋体" w:cs="宋体"/>
          <w:bCs/>
          <w:color w:val="auto"/>
          <w:sz w:val="24"/>
          <w:szCs w:val="22"/>
          <w:highlight w:val="none"/>
        </w:rPr>
        <w:t>)不同投标人的投标文件相互混装；</w:t>
      </w:r>
      <w:bookmarkEnd w:id="561"/>
      <w:bookmarkEnd w:id="562"/>
      <w:bookmarkEnd w:id="563"/>
      <w:bookmarkEnd w:id="564"/>
      <w:bookmarkEnd w:id="565"/>
      <w:bookmarkEnd w:id="566"/>
      <w:bookmarkEnd w:id="567"/>
      <w:bookmarkEnd w:id="568"/>
      <w:bookmarkEnd w:id="569"/>
      <w:bookmarkEnd w:id="570"/>
      <w:bookmarkEnd w:id="571"/>
    </w:p>
    <w:p>
      <w:pPr>
        <w:pStyle w:val="95"/>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34.保密</w:t>
      </w:r>
    </w:p>
    <w:p>
      <w:pPr>
        <w:spacing w:line="360" w:lineRule="auto"/>
        <w:ind w:firstLine="480" w:firstLineChars="200"/>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lang w:val="en-US" w:eastAsia="zh-CN"/>
        </w:rPr>
        <w:t>34.1采购代理机构</w:t>
      </w:r>
      <w:r>
        <w:rPr>
          <w:rFonts w:hint="eastAsia" w:ascii="宋体" w:hAnsi="宋体" w:eastAsia="宋体" w:cs="宋体"/>
          <w:bCs/>
          <w:color w:val="auto"/>
          <w:sz w:val="24"/>
          <w:szCs w:val="22"/>
          <w:highlight w:val="none"/>
        </w:rPr>
        <w:t>不得透露有关在系统中成功提交《采购文件获取登记表》的潜在投标人的任何情况。</w:t>
      </w:r>
    </w:p>
    <w:p>
      <w:pPr>
        <w:spacing w:line="360" w:lineRule="auto"/>
        <w:ind w:firstLine="480" w:firstLineChars="200"/>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lang w:val="en-US" w:eastAsia="zh-CN"/>
        </w:rPr>
        <w:t>34.2</w:t>
      </w:r>
      <w:r>
        <w:rPr>
          <w:rFonts w:hint="eastAsia" w:ascii="宋体" w:hAnsi="宋体" w:eastAsia="宋体" w:cs="宋体"/>
          <w:bCs/>
          <w:color w:val="auto"/>
          <w:sz w:val="24"/>
          <w:szCs w:val="22"/>
          <w:highlight w:val="none"/>
        </w:rPr>
        <w:t>有关投标文件的审查、澄清、评估和比较以及合同授予意向等情况都不得对外透露。</w:t>
      </w:r>
    </w:p>
    <w:p>
      <w:pPr>
        <w:pStyle w:val="95"/>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35.回避</w:t>
      </w:r>
    </w:p>
    <w:p>
      <w:pPr>
        <w:spacing w:line="360" w:lineRule="auto"/>
        <w:ind w:firstLine="480" w:firstLineChars="200"/>
        <w:rPr>
          <w:rFonts w:hint="eastAsia" w:ascii="宋体" w:hAnsi="宋体" w:eastAsia="宋体" w:cs="宋体"/>
          <w:bCs/>
          <w:color w:val="auto"/>
          <w:sz w:val="24"/>
          <w:szCs w:val="22"/>
          <w:highlight w:val="none"/>
          <w:lang w:val="en-US" w:eastAsia="zh-CN"/>
        </w:rPr>
      </w:pPr>
      <w:r>
        <w:rPr>
          <w:rFonts w:hint="eastAsia" w:ascii="宋体" w:hAnsi="宋体" w:eastAsia="宋体" w:cs="宋体"/>
          <w:bCs/>
          <w:color w:val="auto"/>
          <w:sz w:val="24"/>
          <w:szCs w:val="22"/>
          <w:highlight w:val="none"/>
          <w:lang w:val="en-US" w:eastAsia="zh-CN"/>
        </w:rPr>
        <w:t>在政府采购活动中，采购人员（如采购人内部负责采购项目的具体经办工作人员或直接分管采购项目的负责人、市公资交易中心负责采购项目的具体经办工作人员或直接分管采购活动的负责人等）及相关人员与供应商有下列利害关系之一的，应当回避：</w:t>
      </w:r>
    </w:p>
    <w:p>
      <w:pPr>
        <w:spacing w:line="360" w:lineRule="auto"/>
        <w:ind w:firstLine="480" w:firstLineChars="200"/>
        <w:rPr>
          <w:rFonts w:hint="eastAsia" w:ascii="宋体" w:hAnsi="宋体" w:eastAsia="宋体" w:cs="宋体"/>
          <w:bCs/>
          <w:color w:val="auto"/>
          <w:sz w:val="24"/>
          <w:szCs w:val="22"/>
          <w:highlight w:val="none"/>
          <w:lang w:val="en-US" w:eastAsia="zh-CN"/>
        </w:rPr>
      </w:pPr>
      <w:r>
        <w:rPr>
          <w:rFonts w:hint="eastAsia" w:ascii="宋体" w:hAnsi="宋体" w:eastAsia="宋体" w:cs="宋体"/>
          <w:bCs/>
          <w:color w:val="auto"/>
          <w:sz w:val="24"/>
          <w:szCs w:val="22"/>
          <w:highlight w:val="none"/>
          <w:lang w:val="en-US" w:eastAsia="zh-CN"/>
        </w:rPr>
        <w:t>（一）参加采购活动前三年内与供应商存在劳动关系；</w:t>
      </w:r>
    </w:p>
    <w:p>
      <w:pPr>
        <w:spacing w:line="360" w:lineRule="auto"/>
        <w:ind w:firstLine="480" w:firstLineChars="200"/>
        <w:rPr>
          <w:rFonts w:hint="eastAsia" w:ascii="宋体" w:hAnsi="宋体" w:eastAsia="宋体" w:cs="宋体"/>
          <w:bCs/>
          <w:color w:val="auto"/>
          <w:sz w:val="24"/>
          <w:szCs w:val="22"/>
          <w:highlight w:val="none"/>
          <w:lang w:val="en-US" w:eastAsia="zh-CN"/>
        </w:rPr>
      </w:pPr>
      <w:r>
        <w:rPr>
          <w:rFonts w:hint="eastAsia" w:ascii="宋体" w:hAnsi="宋体" w:eastAsia="宋体" w:cs="宋体"/>
          <w:bCs/>
          <w:color w:val="auto"/>
          <w:sz w:val="24"/>
          <w:szCs w:val="22"/>
          <w:highlight w:val="none"/>
          <w:lang w:val="en-US" w:eastAsia="zh-CN"/>
        </w:rPr>
        <w:t>（二）参加采购活动前三年内担任供应商的董事、监事；</w:t>
      </w:r>
    </w:p>
    <w:p>
      <w:pPr>
        <w:spacing w:line="360" w:lineRule="auto"/>
        <w:ind w:firstLine="480" w:firstLineChars="200"/>
        <w:rPr>
          <w:rFonts w:hint="eastAsia" w:ascii="宋体" w:hAnsi="宋体" w:eastAsia="宋体" w:cs="宋体"/>
          <w:bCs/>
          <w:color w:val="auto"/>
          <w:sz w:val="24"/>
          <w:szCs w:val="22"/>
          <w:highlight w:val="none"/>
          <w:lang w:val="en-US" w:eastAsia="zh-CN"/>
        </w:rPr>
      </w:pPr>
      <w:r>
        <w:rPr>
          <w:rFonts w:hint="eastAsia" w:ascii="宋体" w:hAnsi="宋体" w:eastAsia="宋体" w:cs="宋体"/>
          <w:bCs/>
          <w:color w:val="auto"/>
          <w:sz w:val="24"/>
          <w:szCs w:val="22"/>
          <w:highlight w:val="none"/>
          <w:lang w:val="en-US" w:eastAsia="zh-CN"/>
        </w:rPr>
        <w:t>（三）参加采购活动前三年内是供应商的控股股东或者实际控制人；</w:t>
      </w:r>
    </w:p>
    <w:p>
      <w:pPr>
        <w:spacing w:line="360" w:lineRule="auto"/>
        <w:ind w:firstLine="480" w:firstLineChars="200"/>
        <w:rPr>
          <w:rFonts w:hint="eastAsia" w:ascii="宋体" w:hAnsi="宋体" w:eastAsia="宋体" w:cs="宋体"/>
          <w:bCs/>
          <w:color w:val="auto"/>
          <w:sz w:val="24"/>
          <w:szCs w:val="22"/>
          <w:highlight w:val="none"/>
          <w:lang w:val="en-US" w:eastAsia="zh-CN"/>
        </w:rPr>
      </w:pPr>
      <w:r>
        <w:rPr>
          <w:rFonts w:hint="eastAsia" w:ascii="宋体" w:hAnsi="宋体" w:eastAsia="宋体" w:cs="宋体"/>
          <w:bCs/>
          <w:color w:val="auto"/>
          <w:sz w:val="24"/>
          <w:szCs w:val="22"/>
          <w:highlight w:val="none"/>
          <w:lang w:val="en-US" w:eastAsia="zh-CN"/>
        </w:rPr>
        <w:t>（四）与供应商的法定代表人或者负责人有夫妻、直系血亲、三代以内旁系血亲或者近姻亲关系；</w:t>
      </w:r>
    </w:p>
    <w:p>
      <w:pPr>
        <w:spacing w:line="360" w:lineRule="auto"/>
        <w:ind w:firstLine="480" w:firstLineChars="200"/>
        <w:rPr>
          <w:rFonts w:hint="eastAsia" w:ascii="宋体" w:hAnsi="宋体" w:eastAsia="宋体" w:cs="宋体"/>
          <w:bCs/>
          <w:color w:val="auto"/>
          <w:sz w:val="24"/>
          <w:szCs w:val="22"/>
          <w:highlight w:val="none"/>
          <w:lang w:val="en-US" w:eastAsia="zh-CN"/>
        </w:rPr>
      </w:pPr>
      <w:r>
        <w:rPr>
          <w:rFonts w:hint="eastAsia" w:ascii="宋体" w:hAnsi="宋体" w:eastAsia="宋体" w:cs="宋体"/>
          <w:bCs/>
          <w:color w:val="auto"/>
          <w:sz w:val="24"/>
          <w:szCs w:val="22"/>
          <w:highlight w:val="none"/>
          <w:lang w:val="en-US" w:eastAsia="zh-CN"/>
        </w:rPr>
        <w:t>（五）与供应商有其他可能影响政府采购活动公平、公正进行的关系。</w:t>
      </w:r>
    </w:p>
    <w:p>
      <w:pPr>
        <w:spacing w:line="360" w:lineRule="auto"/>
        <w:ind w:firstLine="480" w:firstLineChars="200"/>
        <w:rPr>
          <w:rFonts w:hint="eastAsia" w:ascii="宋体" w:hAnsi="宋体" w:eastAsia="宋体" w:cs="宋体"/>
          <w:bCs/>
          <w:color w:val="auto"/>
          <w:sz w:val="24"/>
          <w:szCs w:val="22"/>
          <w:highlight w:val="none"/>
          <w:lang w:val="en-US" w:eastAsia="zh-CN"/>
        </w:rPr>
      </w:pPr>
      <w:r>
        <w:rPr>
          <w:rFonts w:hint="eastAsia" w:ascii="宋体" w:hAnsi="宋体" w:eastAsia="宋体" w:cs="宋体"/>
          <w:bCs/>
          <w:color w:val="auto"/>
          <w:sz w:val="24"/>
          <w:szCs w:val="22"/>
          <w:highlight w:val="none"/>
          <w:lang w:val="en-US" w:eastAsia="zh-CN"/>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2"/>
        <w:rPr>
          <w:rFonts w:hint="eastAsia" w:ascii="宋体" w:hAnsi="宋体" w:eastAsia="宋体" w:cs="宋体"/>
          <w:color w:val="auto"/>
          <w:highlight w:val="none"/>
        </w:rPr>
      </w:pPr>
    </w:p>
    <w:p>
      <w:pPr>
        <w:pStyle w:val="4"/>
        <w:spacing w:line="360" w:lineRule="auto"/>
        <w:ind w:firstLine="643" w:firstLineChars="200"/>
        <w:jc w:val="center"/>
        <w:rPr>
          <w:rFonts w:hint="eastAsia" w:ascii="宋体" w:hAnsi="宋体" w:eastAsia="宋体" w:cs="宋体"/>
          <w:bCs w:val="0"/>
          <w:color w:val="auto"/>
          <w:szCs w:val="28"/>
          <w:highlight w:val="none"/>
        </w:rPr>
      </w:pPr>
      <w:bookmarkStart w:id="572" w:name="十三、其他"/>
      <w:bookmarkEnd w:id="572"/>
      <w:bookmarkStart w:id="573" w:name="_bookmark52"/>
      <w:bookmarkEnd w:id="573"/>
      <w:bookmarkStart w:id="574" w:name="_Toc28905"/>
      <w:bookmarkStart w:id="575" w:name="_Toc9356_WPSOffice_Level2"/>
      <w:bookmarkStart w:id="576" w:name="_Toc7339"/>
      <w:bookmarkStart w:id="577" w:name="_Toc11205"/>
      <w:bookmarkStart w:id="578" w:name="_Toc17034"/>
      <w:bookmarkStart w:id="579" w:name="_Toc2579"/>
      <w:bookmarkStart w:id="580" w:name="_Toc10358"/>
      <w:bookmarkStart w:id="581" w:name="_Toc7486"/>
      <w:bookmarkStart w:id="582" w:name="_Toc28155"/>
      <w:bookmarkStart w:id="583" w:name="_Toc14766"/>
      <w:bookmarkStart w:id="584" w:name="_Toc12164"/>
      <w:r>
        <w:rPr>
          <w:rFonts w:hint="eastAsia" w:ascii="宋体" w:hAnsi="宋体" w:eastAsia="宋体" w:cs="宋体"/>
          <w:bCs w:val="0"/>
          <w:color w:val="auto"/>
          <w:szCs w:val="28"/>
          <w:highlight w:val="none"/>
          <w:lang w:val="en-US" w:eastAsia="zh-CN"/>
        </w:rPr>
        <w:t>八</w:t>
      </w:r>
      <w:r>
        <w:rPr>
          <w:rFonts w:hint="eastAsia" w:ascii="宋体" w:hAnsi="宋体" w:eastAsia="宋体" w:cs="宋体"/>
          <w:bCs w:val="0"/>
          <w:color w:val="auto"/>
          <w:szCs w:val="28"/>
          <w:highlight w:val="none"/>
        </w:rPr>
        <w:t>、其他</w:t>
      </w:r>
      <w:bookmarkEnd w:id="574"/>
      <w:bookmarkEnd w:id="575"/>
      <w:bookmarkEnd w:id="576"/>
      <w:bookmarkEnd w:id="577"/>
      <w:bookmarkEnd w:id="578"/>
      <w:bookmarkEnd w:id="579"/>
      <w:bookmarkEnd w:id="580"/>
      <w:bookmarkEnd w:id="581"/>
      <w:bookmarkEnd w:id="582"/>
      <w:bookmarkEnd w:id="583"/>
      <w:bookmarkEnd w:id="584"/>
    </w:p>
    <w:p>
      <w:pPr>
        <w:widowControl/>
        <w:spacing w:line="360" w:lineRule="auto"/>
        <w:ind w:firstLine="480" w:firstLineChars="200"/>
        <w:jc w:val="left"/>
        <w:outlineLvl w:val="1"/>
        <w:rPr>
          <w:rFonts w:hint="eastAsia" w:ascii="宋体" w:hAnsi="宋体" w:eastAsia="宋体" w:cs="宋体"/>
          <w:bCs/>
          <w:color w:val="auto"/>
          <w:sz w:val="24"/>
          <w:szCs w:val="22"/>
          <w:highlight w:val="none"/>
        </w:rPr>
      </w:pPr>
      <w:bookmarkStart w:id="585" w:name="_Toc4296"/>
      <w:bookmarkStart w:id="586" w:name="_Toc8715"/>
      <w:bookmarkStart w:id="587" w:name="_Toc30483"/>
      <w:bookmarkStart w:id="588" w:name="_Toc23144"/>
      <w:bookmarkStart w:id="589" w:name="_Toc6733"/>
      <w:bookmarkStart w:id="590" w:name="_Toc20423"/>
      <w:bookmarkStart w:id="591" w:name="_Toc21536"/>
      <w:bookmarkStart w:id="592" w:name="_Toc28041"/>
      <w:bookmarkStart w:id="593" w:name="_Toc19731"/>
      <w:bookmarkStart w:id="594" w:name="_Toc8743"/>
      <w:bookmarkStart w:id="595" w:name="_Toc6814"/>
      <w:bookmarkStart w:id="596" w:name="_Toc28763"/>
      <w:bookmarkStart w:id="597" w:name="_Toc25452"/>
      <w:bookmarkStart w:id="598" w:name="_Toc6233"/>
      <w:r>
        <w:rPr>
          <w:rFonts w:hint="eastAsia" w:ascii="宋体" w:hAnsi="宋体" w:eastAsia="宋体" w:cs="宋体"/>
          <w:bCs/>
          <w:color w:val="auto"/>
          <w:sz w:val="24"/>
          <w:szCs w:val="22"/>
          <w:highlight w:val="none"/>
          <w:lang w:val="en-US" w:eastAsia="zh-CN"/>
        </w:rPr>
        <w:t>36</w:t>
      </w:r>
      <w:r>
        <w:rPr>
          <w:rFonts w:hint="eastAsia" w:ascii="宋体" w:hAnsi="宋体" w:eastAsia="宋体" w:cs="宋体"/>
          <w:bCs/>
          <w:color w:val="auto"/>
          <w:sz w:val="24"/>
          <w:szCs w:val="22"/>
          <w:highlight w:val="none"/>
        </w:rPr>
        <w:t>.本招标文件中所引相关法律制度规定，在政府采购中有变化的，按照变化后的相关法律制度规定执行。本章和第</w:t>
      </w:r>
      <w:r>
        <w:rPr>
          <w:rFonts w:hint="eastAsia" w:ascii="宋体" w:hAnsi="宋体" w:eastAsia="宋体" w:cs="宋体"/>
          <w:bCs/>
          <w:color w:val="auto"/>
          <w:sz w:val="24"/>
          <w:szCs w:val="22"/>
          <w:highlight w:val="none"/>
          <w:lang w:val="en-US" w:eastAsia="zh-CN"/>
        </w:rPr>
        <w:t>七</w:t>
      </w:r>
      <w:r>
        <w:rPr>
          <w:rFonts w:hint="eastAsia" w:ascii="宋体" w:hAnsi="宋体" w:eastAsia="宋体" w:cs="宋体"/>
          <w:bCs/>
          <w:color w:val="auto"/>
          <w:sz w:val="24"/>
          <w:szCs w:val="22"/>
          <w:highlight w:val="none"/>
        </w:rPr>
        <w:t>章中“1.总则、2.评标方法、3.评标程序”规定的内容条款，在本项目投标截止时间届满后，因相关法律制度规定的变化导致不符合相关法律制度规定的，直接按照变化后的相关法律制度规定执行，本招标文件不再做调整。</w:t>
      </w:r>
      <w:bookmarkEnd w:id="504"/>
      <w:bookmarkEnd w:id="505"/>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Start w:id="599" w:name="第三章 投标文件格式"/>
      <w:bookmarkEnd w:id="599"/>
    </w:p>
    <w:p>
      <w:pPr>
        <w:widowControl/>
        <w:spacing w:line="360" w:lineRule="auto"/>
        <w:ind w:firstLine="480" w:firstLineChars="200"/>
        <w:jc w:val="left"/>
        <w:outlineLvl w:val="1"/>
        <w:rPr>
          <w:rFonts w:hint="eastAsia" w:ascii="宋体" w:hAnsi="宋体" w:eastAsia="宋体" w:cs="宋体"/>
          <w:bCs/>
          <w:color w:val="auto"/>
          <w:sz w:val="24"/>
          <w:szCs w:val="22"/>
          <w:highlight w:val="none"/>
          <w:lang w:eastAsia="zh-CN"/>
        </w:rPr>
      </w:pPr>
      <w:r>
        <w:rPr>
          <w:rFonts w:hint="eastAsia" w:ascii="宋体" w:hAnsi="宋体" w:eastAsia="宋体" w:cs="宋体"/>
          <w:bCs/>
          <w:color w:val="auto"/>
          <w:sz w:val="24"/>
          <w:szCs w:val="22"/>
          <w:highlight w:val="none"/>
          <w:lang w:val="en-US" w:eastAsia="zh-CN"/>
        </w:rPr>
        <w:t>37.</w:t>
      </w:r>
      <w:r>
        <w:rPr>
          <w:rFonts w:hint="eastAsia" w:ascii="宋体" w:hAnsi="宋体" w:eastAsia="宋体" w:cs="宋体"/>
          <w:b/>
          <w:bCs w:val="0"/>
          <w:color w:val="auto"/>
          <w:sz w:val="24"/>
          <w:szCs w:val="22"/>
          <w:highlight w:val="none"/>
        </w:rPr>
        <w:t>（实质性要求）</w:t>
      </w:r>
      <w:r>
        <w:rPr>
          <w:rFonts w:hint="eastAsia" w:ascii="宋体" w:hAnsi="宋体" w:eastAsia="宋体" w:cs="宋体"/>
          <w:bCs/>
          <w:color w:val="auto"/>
          <w:sz w:val="24"/>
          <w:szCs w:val="22"/>
          <w:highlight w:val="none"/>
        </w:rPr>
        <w:t>国家或行业主管部门对采购产品的技术标准、质量标准和资格资质条件等有强制性规定的，必须符合其要求</w:t>
      </w:r>
      <w:r>
        <w:rPr>
          <w:rFonts w:hint="eastAsia" w:ascii="宋体" w:hAnsi="宋体" w:eastAsia="宋体" w:cs="宋体"/>
          <w:bCs/>
          <w:color w:val="auto"/>
          <w:sz w:val="24"/>
          <w:szCs w:val="22"/>
          <w:highlight w:val="none"/>
          <w:lang w:eastAsia="zh-CN"/>
        </w:rPr>
        <w:t>。</w:t>
      </w:r>
    </w:p>
    <w:p>
      <w:pPr>
        <w:pStyle w:val="9"/>
        <w:rPr>
          <w:rFonts w:hint="eastAsia" w:ascii="宋体" w:hAnsi="宋体" w:eastAsia="宋体" w:cs="宋体"/>
          <w:bCs/>
          <w:color w:val="auto"/>
          <w:sz w:val="24"/>
          <w:szCs w:val="22"/>
          <w:highlight w:val="none"/>
        </w:rPr>
      </w:pPr>
    </w:p>
    <w:p>
      <w:pPr>
        <w:pStyle w:val="5"/>
        <w:spacing w:line="360" w:lineRule="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38.招标文件内容冲突的解决及优先适用次序</w:t>
      </w:r>
    </w:p>
    <w:p>
      <w:pPr>
        <w:topLinePunct/>
        <w:spacing w:line="360" w:lineRule="auto"/>
        <w:ind w:firstLine="480" w:firstLineChars="200"/>
        <w:jc w:val="left"/>
        <w:rPr>
          <w:rFonts w:hint="eastAsia" w:ascii="宋体" w:hAnsi="宋体" w:eastAsia="宋体" w:cs="宋体"/>
          <w:b/>
          <w:color w:val="auto"/>
          <w:sz w:val="24"/>
          <w:highlight w:val="none"/>
        </w:rPr>
      </w:pPr>
      <w:r>
        <w:rPr>
          <w:rFonts w:hint="eastAsia" w:ascii="宋体" w:hAnsi="宋体" w:eastAsia="宋体" w:cs="宋体"/>
          <w:color w:val="auto"/>
          <w:sz w:val="24"/>
          <w:highlight w:val="none"/>
        </w:rPr>
        <w:t>招标文件编制的内容前后有矛盾或不一致时，有时间先后顺序的，以时间在后的修改、澄清或补正文件为准；没有时间先后顺序的，按有利于供应商的原则进行处理。</w:t>
      </w:r>
    </w:p>
    <w:p>
      <w:pPr>
        <w:pStyle w:val="9"/>
        <w:rPr>
          <w:rFonts w:hint="eastAsia" w:ascii="宋体" w:hAnsi="宋体" w:eastAsia="宋体" w:cs="宋体"/>
          <w:bCs/>
          <w:color w:val="auto"/>
          <w:sz w:val="24"/>
          <w:szCs w:val="22"/>
          <w:highlight w:val="none"/>
        </w:rPr>
        <w:sectPr>
          <w:headerReference r:id="rId4" w:type="first"/>
          <w:footerReference r:id="rId6" w:type="first"/>
          <w:headerReference r:id="rId3" w:type="default"/>
          <w:footerReference r:id="rId5" w:type="default"/>
          <w:pgSz w:w="11905" w:h="16838"/>
          <w:pgMar w:top="1440" w:right="1800" w:bottom="1440" w:left="1800" w:header="454" w:footer="1020" w:gutter="0"/>
          <w:pgNumType w:fmt="decimal"/>
          <w:cols w:space="720" w:num="1"/>
          <w:titlePg/>
          <w:rtlGutter w:val="0"/>
          <w:docGrid w:linePitch="312" w:charSpace="0"/>
        </w:sectPr>
      </w:pPr>
    </w:p>
    <w:bookmarkEnd w:id="261"/>
    <w:p>
      <w:pPr>
        <w:pStyle w:val="3"/>
        <w:ind w:firstLine="1767" w:firstLineChars="400"/>
        <w:jc w:val="both"/>
        <w:rPr>
          <w:rFonts w:hint="eastAsia" w:ascii="宋体" w:hAnsi="宋体" w:eastAsia="宋体" w:cs="宋体"/>
          <w:b/>
          <w:bCs w:val="0"/>
          <w:color w:val="auto"/>
          <w:highlight w:val="none"/>
        </w:rPr>
      </w:pPr>
      <w:bookmarkStart w:id="600" w:name="_Toc13845"/>
      <w:bookmarkStart w:id="601" w:name="_Toc10096_WPSOffice_Level1"/>
      <w:bookmarkStart w:id="602" w:name="_Toc32295"/>
      <w:bookmarkStart w:id="603" w:name="_Toc16649"/>
      <w:bookmarkStart w:id="604" w:name="_Toc4935"/>
      <w:bookmarkStart w:id="605" w:name="_Toc11451"/>
      <w:r>
        <w:rPr>
          <w:rFonts w:hint="eastAsia" w:ascii="宋体" w:hAnsi="宋体" w:eastAsia="宋体" w:cs="宋体"/>
          <w:b/>
          <w:bCs w:val="0"/>
          <w:color w:val="auto"/>
          <w:highlight w:val="none"/>
        </w:rPr>
        <w:t>第三章 投标文件格式</w:t>
      </w:r>
      <w:bookmarkEnd w:id="118"/>
      <w:bookmarkEnd w:id="119"/>
      <w:bookmarkEnd w:id="600"/>
      <w:bookmarkEnd w:id="601"/>
      <w:bookmarkEnd w:id="602"/>
      <w:bookmarkEnd w:id="603"/>
      <w:bookmarkEnd w:id="604"/>
      <w:bookmarkEnd w:id="605"/>
    </w:p>
    <w:p>
      <w:pPr>
        <w:rPr>
          <w:rFonts w:hint="eastAsia" w:ascii="宋体" w:hAnsi="宋体" w:eastAsia="宋体" w:cs="宋体"/>
          <w:color w:val="auto"/>
          <w:highlight w:val="none"/>
        </w:rPr>
      </w:pPr>
    </w:p>
    <w:p>
      <w:pPr>
        <w:widowControl/>
        <w:spacing w:line="360" w:lineRule="auto"/>
        <w:ind w:firstLine="470" w:firstLineChars="196"/>
        <w:outlineLvl w:val="1"/>
        <w:rPr>
          <w:rFonts w:hint="eastAsia" w:ascii="宋体" w:hAnsi="宋体" w:eastAsia="宋体" w:cs="宋体"/>
          <w:color w:val="auto"/>
          <w:sz w:val="24"/>
          <w:szCs w:val="22"/>
          <w:highlight w:val="none"/>
        </w:rPr>
      </w:pPr>
      <w:bookmarkStart w:id="606" w:name="_Toc22054"/>
      <w:bookmarkStart w:id="607" w:name="_Toc6598"/>
      <w:bookmarkStart w:id="608" w:name="_Toc20696"/>
      <w:bookmarkStart w:id="609" w:name="_Toc23457"/>
      <w:r>
        <w:rPr>
          <w:rFonts w:hint="eastAsia" w:hAnsi="宋体" w:eastAsia="宋体" w:cs="宋体"/>
          <w:color w:val="auto"/>
          <w:sz w:val="24"/>
          <w:szCs w:val="22"/>
          <w:highlight w:val="none"/>
          <w:lang w:val="en-US" w:eastAsia="zh-CN"/>
        </w:rPr>
        <w:t>一、</w:t>
      </w:r>
      <w:r>
        <w:rPr>
          <w:rFonts w:hint="eastAsia" w:ascii="宋体" w:hAnsi="宋体" w:eastAsia="宋体" w:cs="宋体"/>
          <w:color w:val="auto"/>
          <w:sz w:val="24"/>
          <w:szCs w:val="22"/>
          <w:highlight w:val="none"/>
        </w:rPr>
        <w:t>本章所制投标文件格式，除格式中明确将该格式作为实质性要求的，一律不具有强制性。</w:t>
      </w:r>
      <w:bookmarkEnd w:id="606"/>
      <w:bookmarkEnd w:id="607"/>
      <w:bookmarkEnd w:id="608"/>
      <w:bookmarkEnd w:id="609"/>
    </w:p>
    <w:p>
      <w:pPr>
        <w:widowControl/>
        <w:spacing w:line="360" w:lineRule="auto"/>
        <w:ind w:firstLine="470" w:firstLineChars="196"/>
        <w:outlineLvl w:val="1"/>
        <w:rPr>
          <w:rFonts w:hint="eastAsia" w:ascii="宋体" w:hAnsi="宋体" w:eastAsia="宋体" w:cs="宋体"/>
          <w:color w:val="auto"/>
          <w:sz w:val="24"/>
          <w:highlight w:val="none"/>
        </w:rPr>
      </w:pPr>
      <w:bookmarkStart w:id="610" w:name="_Toc18365"/>
      <w:bookmarkStart w:id="611" w:name="_Toc19769"/>
      <w:bookmarkStart w:id="612" w:name="_Toc10701"/>
      <w:bookmarkStart w:id="613" w:name="_Toc30949"/>
      <w:r>
        <w:rPr>
          <w:rFonts w:hint="eastAsia" w:ascii="宋体" w:hAnsi="宋体" w:eastAsia="宋体" w:cs="宋体"/>
          <w:color w:val="auto"/>
          <w:sz w:val="24"/>
          <w:highlight w:val="none"/>
        </w:rPr>
        <w:t>二、本章所制投标文件格式有关表格中的备注栏，由投标人根据自身投标情况作解释性说明，不作为必填项。未填写或说明的，视为接受备注要求并对投标人具有约束力，否则投标人应作出明显的说明或应答。</w:t>
      </w:r>
      <w:bookmarkEnd w:id="610"/>
      <w:bookmarkEnd w:id="611"/>
      <w:bookmarkEnd w:id="612"/>
      <w:bookmarkEnd w:id="613"/>
    </w:p>
    <w:p>
      <w:pPr>
        <w:widowControl/>
        <w:spacing w:line="360" w:lineRule="auto"/>
        <w:ind w:firstLine="470" w:firstLineChars="196"/>
        <w:outlineLvl w:val="1"/>
        <w:rPr>
          <w:rFonts w:hint="eastAsia" w:ascii="宋体" w:hAnsi="宋体" w:eastAsia="宋体" w:cs="宋体"/>
          <w:color w:val="auto"/>
          <w:highlight w:val="none"/>
        </w:rPr>
      </w:pPr>
      <w:bookmarkStart w:id="614" w:name="_Toc1987"/>
      <w:bookmarkStart w:id="615" w:name="_Toc13624"/>
      <w:bookmarkStart w:id="616" w:name="_Toc30690"/>
      <w:bookmarkStart w:id="617" w:name="_Toc27794"/>
      <w:r>
        <w:rPr>
          <w:rFonts w:hint="eastAsia" w:ascii="宋体" w:hAnsi="宋体" w:eastAsia="宋体" w:cs="宋体"/>
          <w:color w:val="auto"/>
          <w:sz w:val="24"/>
          <w:highlight w:val="none"/>
        </w:rPr>
        <w:t>三、本章所制投标文件格式中需要填写的相关内容事项，可能会与本采购项目无关，在不改变投标文件原义、不影响本项目采购需求的情况下，投标人可以不予填写，但应当注明。</w:t>
      </w:r>
      <w:bookmarkEnd w:id="614"/>
      <w:bookmarkEnd w:id="615"/>
      <w:bookmarkEnd w:id="616"/>
      <w:bookmarkEnd w:id="617"/>
    </w:p>
    <w:p>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32"/>
          <w:szCs w:val="32"/>
          <w:highlight w:val="none"/>
        </w:rPr>
        <w:t xml:space="preserve"> </w:t>
      </w:r>
      <w:r>
        <w:rPr>
          <w:rFonts w:hint="eastAsia" w:ascii="宋体" w:hAnsi="宋体" w:eastAsia="宋体" w:cs="宋体"/>
          <w:color w:val="auto"/>
          <w:sz w:val="24"/>
          <w:highlight w:val="none"/>
        </w:rPr>
        <w:t xml:space="preserve">  四、格式中需要承诺或声明相关内容事项，可以逐项承诺或声明，也可以统一进行承诺或声明。</w:t>
      </w:r>
    </w:p>
    <w:p>
      <w:pPr>
        <w:widowControl/>
        <w:spacing w:line="360" w:lineRule="atLeast"/>
        <w:ind w:firstLine="472" w:firstLineChars="196"/>
        <w:rPr>
          <w:rFonts w:hint="eastAsia" w:ascii="宋体" w:hAnsi="宋体" w:eastAsia="宋体" w:cs="宋体"/>
          <w:b/>
          <w:bCs/>
          <w:color w:val="auto"/>
          <w:highlight w:val="none"/>
          <w:u w:val="none"/>
        </w:rPr>
      </w:pPr>
      <w:r>
        <w:rPr>
          <w:rFonts w:hint="eastAsia" w:ascii="宋体" w:hAnsi="宋体" w:eastAsia="宋体" w:cs="宋体"/>
          <w:b/>
          <w:bCs/>
          <w:color w:val="auto"/>
          <w:sz w:val="24"/>
          <w:highlight w:val="none"/>
          <w:u w:val="none"/>
          <w:lang w:eastAsia="zh-CN"/>
        </w:rPr>
        <w:t>提示：本章中格式</w:t>
      </w:r>
      <w:r>
        <w:rPr>
          <w:rFonts w:hint="eastAsia" w:ascii="宋体" w:hAnsi="宋体" w:eastAsia="宋体" w:cs="宋体"/>
          <w:b/>
          <w:bCs/>
          <w:color w:val="auto"/>
          <w:sz w:val="24"/>
          <w:highlight w:val="none"/>
          <w:u w:val="none"/>
          <w:lang w:val="en-US" w:eastAsia="zh-CN"/>
        </w:rPr>
        <w:t>盖章</w:t>
      </w:r>
      <w:r>
        <w:rPr>
          <w:rFonts w:hint="eastAsia" w:hAnsi="宋体" w:eastAsia="宋体" w:cs="宋体"/>
          <w:b/>
          <w:bCs/>
          <w:color w:val="auto"/>
          <w:sz w:val="24"/>
          <w:highlight w:val="none"/>
          <w:u w:val="none"/>
          <w:lang w:val="en-US" w:eastAsia="zh-CN"/>
        </w:rPr>
        <w:t>要求的</w:t>
      </w:r>
      <w:r>
        <w:rPr>
          <w:rFonts w:hint="eastAsia" w:ascii="宋体" w:hAnsi="宋体" w:eastAsia="宋体" w:cs="宋体"/>
          <w:b/>
          <w:bCs/>
          <w:color w:val="auto"/>
          <w:sz w:val="24"/>
          <w:highlight w:val="none"/>
          <w:u w:val="none"/>
          <w:lang w:val="en-US" w:eastAsia="zh-CN"/>
        </w:rPr>
        <w:t>为实质性要求，</w:t>
      </w:r>
      <w:r>
        <w:rPr>
          <w:rFonts w:hint="eastAsia" w:hAnsi="宋体" w:eastAsia="宋体" w:cs="宋体"/>
          <w:b/>
          <w:bCs/>
          <w:color w:val="auto"/>
          <w:sz w:val="24"/>
          <w:highlight w:val="none"/>
          <w:u w:val="none"/>
          <w:lang w:val="en-US" w:eastAsia="zh-CN"/>
        </w:rPr>
        <w:t>投标人应</w:t>
      </w:r>
      <w:r>
        <w:rPr>
          <w:rFonts w:hint="eastAsia" w:ascii="宋体" w:hAnsi="宋体" w:eastAsia="宋体" w:cs="宋体"/>
          <w:b/>
          <w:bCs/>
          <w:color w:val="auto"/>
          <w:sz w:val="24"/>
          <w:highlight w:val="none"/>
          <w:u w:val="none"/>
          <w:lang w:val="en-US" w:eastAsia="zh-CN"/>
        </w:rPr>
        <w:t>按照招标文件第二章</w:t>
      </w:r>
      <w:r>
        <w:rPr>
          <w:rFonts w:hint="eastAsia" w:ascii="宋体" w:hAnsi="宋体" w:eastAsia="宋体" w:cs="宋体"/>
          <w:b/>
          <w:bCs/>
          <w:color w:val="auto"/>
          <w:sz w:val="24"/>
          <w:highlight w:val="none"/>
          <w:u w:val="none"/>
        </w:rPr>
        <w:t>1</w:t>
      </w:r>
      <w:r>
        <w:rPr>
          <w:rFonts w:hint="eastAsia" w:hAnsi="宋体" w:eastAsia="宋体" w:cs="宋体"/>
          <w:b/>
          <w:bCs/>
          <w:color w:val="auto"/>
          <w:sz w:val="24"/>
          <w:highlight w:val="none"/>
          <w:u w:val="none"/>
          <w:lang w:val="en-US" w:eastAsia="zh-CN"/>
        </w:rPr>
        <w:t>7</w:t>
      </w:r>
      <w:r>
        <w:rPr>
          <w:rFonts w:hint="eastAsia" w:ascii="宋体" w:hAnsi="宋体" w:eastAsia="宋体" w:cs="宋体"/>
          <w:b/>
          <w:bCs/>
          <w:color w:val="auto"/>
          <w:sz w:val="24"/>
          <w:highlight w:val="none"/>
          <w:u w:val="none"/>
        </w:rPr>
        <w:t>．</w:t>
      </w:r>
      <w:r>
        <w:rPr>
          <w:rFonts w:hint="eastAsia" w:ascii="宋体" w:hAnsi="宋体" w:eastAsia="宋体" w:cs="宋体"/>
          <w:b/>
          <w:bCs/>
          <w:color w:val="auto"/>
          <w:sz w:val="24"/>
          <w:highlight w:val="none"/>
          <w:u w:val="none"/>
          <w:lang w:val="en-US" w:eastAsia="zh-CN"/>
        </w:rPr>
        <w:t>2要求，加盖</w:t>
      </w:r>
      <w:r>
        <w:rPr>
          <w:rFonts w:hint="eastAsia" w:ascii="宋体" w:hAnsi="宋体" w:eastAsia="宋体" w:cs="宋体"/>
          <w:b/>
          <w:bCs/>
          <w:color w:val="auto"/>
          <w:sz w:val="24"/>
          <w:highlight w:val="none"/>
          <w:u w:val="none"/>
          <w:lang w:eastAsia="zh-CN"/>
        </w:rPr>
        <w:t>投标人（法定名称）电子印章。</w:t>
      </w: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numPr>
          <w:ilvl w:val="0"/>
          <w:numId w:val="0"/>
        </w:numPr>
        <w:spacing w:before="42"/>
        <w:ind w:leftChars="0"/>
        <w:rPr>
          <w:rFonts w:hint="eastAsia" w:ascii="宋体" w:hAnsi="宋体" w:eastAsia="宋体" w:cs="宋体"/>
          <w:b/>
          <w:bCs/>
          <w:color w:val="auto"/>
          <w:highlight w:val="none"/>
          <w:lang w:val="en-US" w:eastAsia="zh-CN"/>
        </w:rPr>
      </w:pPr>
    </w:p>
    <w:p>
      <w:pPr>
        <w:pStyle w:val="2"/>
        <w:spacing w:before="2"/>
        <w:rPr>
          <w:rFonts w:hint="eastAsia" w:ascii="宋体" w:hAnsi="宋体" w:eastAsia="宋体" w:cs="宋体"/>
          <w:color w:val="auto"/>
          <w:sz w:val="18"/>
          <w:highlight w:val="none"/>
        </w:rPr>
      </w:pPr>
    </w:p>
    <w:p>
      <w:pPr>
        <w:pStyle w:val="2"/>
        <w:rPr>
          <w:rFonts w:hint="eastAsia" w:ascii="宋体" w:hAnsi="宋体" w:eastAsia="宋体" w:cs="宋体"/>
          <w:b/>
          <w:color w:val="auto"/>
          <w:sz w:val="32"/>
          <w:highlight w:val="none"/>
        </w:rPr>
        <w:sectPr>
          <w:headerReference r:id="rId7" w:type="default"/>
          <w:footerReference r:id="rId8" w:type="default"/>
          <w:pgSz w:w="11910" w:h="16840"/>
          <w:pgMar w:top="1440" w:right="1800" w:bottom="1440" w:left="1800" w:header="0" w:footer="964" w:gutter="0"/>
          <w:pgNumType w:fmt="decimal"/>
          <w:cols w:space="720" w:num="1"/>
          <w:rtlGutter w:val="0"/>
          <w:docGrid w:linePitch="0" w:charSpace="0"/>
        </w:sectPr>
      </w:pPr>
    </w:p>
    <w:p>
      <w:pPr>
        <w:pStyle w:val="4"/>
        <w:spacing w:line="400" w:lineRule="exact"/>
        <w:jc w:val="center"/>
        <w:rPr>
          <w:rFonts w:hint="default" w:ascii="宋体" w:hAnsi="宋体" w:eastAsia="宋体" w:cs="宋体"/>
          <w:b/>
          <w:bCs/>
          <w:color w:val="auto"/>
          <w:lang w:val="en-US" w:eastAsia="zh-CN"/>
        </w:rPr>
      </w:pPr>
      <w:bookmarkStart w:id="618" w:name="_Toc30045"/>
      <w:bookmarkStart w:id="619" w:name="_Toc22056"/>
      <w:bookmarkStart w:id="620" w:name="_Toc12478"/>
      <w:bookmarkStart w:id="621" w:name="_Toc13584"/>
      <w:bookmarkStart w:id="622" w:name="_Toc11584"/>
      <w:bookmarkStart w:id="623" w:name="_Toc28922"/>
      <w:bookmarkStart w:id="624" w:name="_Toc20039"/>
      <w:bookmarkStart w:id="625" w:name="_Toc31528"/>
      <w:bookmarkStart w:id="626" w:name="_Toc19743"/>
      <w:bookmarkStart w:id="627" w:name="_Toc23280"/>
      <w:bookmarkStart w:id="628" w:name="_Toc30346"/>
      <w:bookmarkStart w:id="629" w:name="_Toc6046"/>
      <w:bookmarkStart w:id="630" w:name="_Toc2836"/>
      <w:bookmarkStart w:id="631" w:name="_Toc1443"/>
      <w:bookmarkStart w:id="632" w:name="_Toc263753600"/>
      <w:bookmarkStart w:id="633" w:name="_Toc311628365"/>
      <w:bookmarkStart w:id="634" w:name="_Toc25760"/>
      <w:bookmarkStart w:id="635" w:name="_Toc256175382"/>
      <w:bookmarkStart w:id="636" w:name="_Toc15121"/>
      <w:bookmarkStart w:id="637" w:name="_Toc297204985"/>
      <w:bookmarkStart w:id="638" w:name="_Toc31604"/>
      <w:bookmarkStart w:id="639" w:name="_Toc237145385"/>
      <w:bookmarkStart w:id="640" w:name="_Toc250041691"/>
      <w:bookmarkStart w:id="641" w:name="_Toc263768864"/>
      <w:r>
        <w:rPr>
          <w:rFonts w:hint="eastAsia" w:ascii="宋体" w:hAnsi="宋体" w:eastAsia="宋体" w:cs="宋体"/>
          <w:b/>
          <w:bCs/>
          <w:color w:val="auto"/>
          <w:lang w:val="en-US" w:eastAsia="zh-CN"/>
        </w:rPr>
        <w:t>第一部分  资格性投标文件格式</w:t>
      </w:r>
    </w:p>
    <w:p>
      <w:pPr>
        <w:pStyle w:val="4"/>
        <w:spacing w:line="400" w:lineRule="exact"/>
        <w:jc w:val="both"/>
        <w:rPr>
          <w:rFonts w:hint="eastAsia" w:ascii="宋体" w:hAnsi="宋体" w:eastAsia="宋体" w:cs="宋体"/>
          <w:b/>
          <w:bCs/>
          <w:color w:val="auto"/>
          <w:highlight w:val="none"/>
          <w:lang w:val="en-US" w:eastAsia="zh-CN"/>
        </w:rPr>
      </w:pPr>
    </w:p>
    <w:p>
      <w:pPr>
        <w:pStyle w:val="2"/>
        <w:numPr>
          <w:ilvl w:val="0"/>
          <w:numId w:val="0"/>
        </w:numPr>
        <w:spacing w:before="42"/>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格式2-1</w:t>
      </w:r>
      <w:r>
        <w:rPr>
          <w:rFonts w:hint="eastAsia" w:ascii="宋体" w:hAnsi="宋体" w:eastAsia="宋体" w:cs="宋体"/>
          <w:b/>
          <w:bCs/>
          <w:color w:val="auto"/>
          <w:highlight w:val="none"/>
        </w:rPr>
        <w:t>封面</w:t>
      </w:r>
    </w:p>
    <w:p>
      <w:pPr>
        <w:pStyle w:val="2"/>
        <w:spacing w:before="2"/>
        <w:rPr>
          <w:rFonts w:hint="eastAsia" w:ascii="宋体" w:hAnsi="宋体" w:eastAsia="宋体" w:cs="宋体"/>
          <w:color w:val="auto"/>
          <w:sz w:val="18"/>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0288" behindDoc="1" locked="0" layoutInCell="1" allowOverlap="1">
                <wp:simplePos x="0" y="0"/>
                <wp:positionH relativeFrom="page">
                  <wp:posOffset>4738370</wp:posOffset>
                </wp:positionH>
                <wp:positionV relativeFrom="paragraph">
                  <wp:posOffset>172720</wp:posOffset>
                </wp:positionV>
                <wp:extent cx="1146810" cy="341630"/>
                <wp:effectExtent l="635" t="0" r="10795" b="8890"/>
                <wp:wrapTopAndBottom/>
                <wp:docPr id="6" name="组合 8"/>
                <wp:cNvGraphicFramePr/>
                <a:graphic xmlns:a="http://schemas.openxmlformats.org/drawingml/2006/main">
                  <a:graphicData uri="http://schemas.microsoft.com/office/word/2010/wordprocessingGroup">
                    <wpg:wgp>
                      <wpg:cNvGrpSpPr/>
                      <wpg:grpSpPr>
                        <a:xfrm>
                          <a:off x="0" y="0"/>
                          <a:ext cx="1146810" cy="341630"/>
                          <a:chOff x="7463" y="272"/>
                          <a:chExt cx="1806" cy="538"/>
                        </a:xfrm>
                      </wpg:grpSpPr>
                      <wps:wsp>
                        <wps:cNvPr id="4" name="任意多边形 9"/>
                        <wps:cNvSpPr/>
                        <wps:spPr>
                          <a:xfrm>
                            <a:off x="7462" y="272"/>
                            <a:ext cx="1806" cy="538"/>
                          </a:xfrm>
                          <a:custGeom>
                            <a:avLst/>
                            <a:gdLst/>
                            <a:ahLst/>
                            <a:cxnLst/>
                            <a:pathLst>
                              <a:path w="1806" h="538">
                                <a:moveTo>
                                  <a:pt x="1806" y="538"/>
                                </a:moveTo>
                                <a:lnTo>
                                  <a:pt x="0" y="538"/>
                                </a:lnTo>
                                <a:lnTo>
                                  <a:pt x="0" y="0"/>
                                </a:lnTo>
                                <a:lnTo>
                                  <a:pt x="1806" y="0"/>
                                </a:lnTo>
                                <a:lnTo>
                                  <a:pt x="1806" y="8"/>
                                </a:lnTo>
                                <a:lnTo>
                                  <a:pt x="15" y="8"/>
                                </a:lnTo>
                                <a:lnTo>
                                  <a:pt x="7" y="15"/>
                                </a:lnTo>
                                <a:lnTo>
                                  <a:pt x="15" y="15"/>
                                </a:lnTo>
                                <a:lnTo>
                                  <a:pt x="15" y="523"/>
                                </a:lnTo>
                                <a:lnTo>
                                  <a:pt x="7" y="523"/>
                                </a:lnTo>
                                <a:lnTo>
                                  <a:pt x="15" y="531"/>
                                </a:lnTo>
                                <a:lnTo>
                                  <a:pt x="1806" y="531"/>
                                </a:lnTo>
                                <a:lnTo>
                                  <a:pt x="1806" y="538"/>
                                </a:lnTo>
                                <a:close/>
                                <a:moveTo>
                                  <a:pt x="15" y="15"/>
                                </a:moveTo>
                                <a:lnTo>
                                  <a:pt x="7" y="15"/>
                                </a:lnTo>
                                <a:lnTo>
                                  <a:pt x="15" y="8"/>
                                </a:lnTo>
                                <a:lnTo>
                                  <a:pt x="15" y="15"/>
                                </a:lnTo>
                                <a:close/>
                                <a:moveTo>
                                  <a:pt x="1791" y="15"/>
                                </a:moveTo>
                                <a:lnTo>
                                  <a:pt x="15" y="15"/>
                                </a:lnTo>
                                <a:lnTo>
                                  <a:pt x="15" y="8"/>
                                </a:lnTo>
                                <a:lnTo>
                                  <a:pt x="1791" y="8"/>
                                </a:lnTo>
                                <a:lnTo>
                                  <a:pt x="1791" y="15"/>
                                </a:lnTo>
                                <a:close/>
                                <a:moveTo>
                                  <a:pt x="1791" y="531"/>
                                </a:moveTo>
                                <a:lnTo>
                                  <a:pt x="1791" y="8"/>
                                </a:lnTo>
                                <a:lnTo>
                                  <a:pt x="1798" y="15"/>
                                </a:lnTo>
                                <a:lnTo>
                                  <a:pt x="1806" y="15"/>
                                </a:lnTo>
                                <a:lnTo>
                                  <a:pt x="1806" y="523"/>
                                </a:lnTo>
                                <a:lnTo>
                                  <a:pt x="1798" y="523"/>
                                </a:lnTo>
                                <a:lnTo>
                                  <a:pt x="1791" y="531"/>
                                </a:lnTo>
                                <a:close/>
                                <a:moveTo>
                                  <a:pt x="1806" y="15"/>
                                </a:moveTo>
                                <a:lnTo>
                                  <a:pt x="1798" y="15"/>
                                </a:lnTo>
                                <a:lnTo>
                                  <a:pt x="1791" y="8"/>
                                </a:lnTo>
                                <a:lnTo>
                                  <a:pt x="1806" y="8"/>
                                </a:lnTo>
                                <a:lnTo>
                                  <a:pt x="1806" y="15"/>
                                </a:lnTo>
                                <a:close/>
                                <a:moveTo>
                                  <a:pt x="15" y="531"/>
                                </a:moveTo>
                                <a:lnTo>
                                  <a:pt x="7" y="523"/>
                                </a:lnTo>
                                <a:lnTo>
                                  <a:pt x="15" y="523"/>
                                </a:lnTo>
                                <a:lnTo>
                                  <a:pt x="15" y="531"/>
                                </a:lnTo>
                                <a:close/>
                                <a:moveTo>
                                  <a:pt x="1791" y="531"/>
                                </a:moveTo>
                                <a:lnTo>
                                  <a:pt x="15" y="531"/>
                                </a:lnTo>
                                <a:lnTo>
                                  <a:pt x="15" y="523"/>
                                </a:lnTo>
                                <a:lnTo>
                                  <a:pt x="1791" y="523"/>
                                </a:lnTo>
                                <a:lnTo>
                                  <a:pt x="1791" y="531"/>
                                </a:lnTo>
                                <a:close/>
                                <a:moveTo>
                                  <a:pt x="1806" y="531"/>
                                </a:moveTo>
                                <a:lnTo>
                                  <a:pt x="1791" y="531"/>
                                </a:lnTo>
                                <a:lnTo>
                                  <a:pt x="1798" y="523"/>
                                </a:lnTo>
                                <a:lnTo>
                                  <a:pt x="1806" y="523"/>
                                </a:lnTo>
                                <a:lnTo>
                                  <a:pt x="1806" y="531"/>
                                </a:lnTo>
                                <a:close/>
                              </a:path>
                            </a:pathLst>
                          </a:custGeom>
                          <a:solidFill>
                            <a:srgbClr val="000000"/>
                          </a:solidFill>
                          <a:ln>
                            <a:noFill/>
                          </a:ln>
                        </wps:spPr>
                        <wps:bodyPr wrap="square" upright="1"/>
                      </wps:wsp>
                      <wps:wsp>
                        <wps:cNvPr id="5" name="文本框 10"/>
                        <wps:cNvSpPr txBox="1"/>
                        <wps:spPr>
                          <a:xfrm>
                            <a:off x="7462" y="272"/>
                            <a:ext cx="1806" cy="538"/>
                          </a:xfrm>
                          <a:prstGeom prst="rect">
                            <a:avLst/>
                          </a:prstGeom>
                          <a:noFill/>
                          <a:ln>
                            <a:noFill/>
                          </a:ln>
                        </wps:spPr>
                        <wps:txbx>
                          <w:txbxContent>
                            <w:p>
                              <w:pPr>
                                <w:spacing w:before="91"/>
                                <w:ind w:left="159"/>
                                <w:jc w:val="center"/>
                                <w:rPr>
                                  <w:rFonts w:hint="eastAsia" w:ascii="黑体" w:eastAsia="黑体"/>
                                  <w:b/>
                                  <w:sz w:val="28"/>
                                </w:rPr>
                              </w:pPr>
                              <w:r>
                                <w:rPr>
                                  <w:rFonts w:hint="eastAsia" w:ascii="黑体" w:eastAsia="黑体"/>
                                  <w:b/>
                                  <w:sz w:val="28"/>
                                </w:rPr>
                                <w:t>正本</w:t>
                              </w:r>
                            </w:p>
                          </w:txbxContent>
                        </wps:txbx>
                        <wps:bodyPr wrap="square" lIns="0" tIns="0" rIns="0" bIns="0" upright="1"/>
                      </wps:wsp>
                    </wpg:wgp>
                  </a:graphicData>
                </a:graphic>
              </wp:anchor>
            </w:drawing>
          </mc:Choice>
          <mc:Fallback>
            <w:pict>
              <v:group id="组合 8" o:spid="_x0000_s1026" o:spt="203" style="position:absolute;left:0pt;margin-left:373.1pt;margin-top:13.6pt;height:26.9pt;width:90.3pt;mso-position-horizontal-relative:page;mso-wrap-distance-bottom:0pt;mso-wrap-distance-top:0pt;z-index:-251656192;mso-width-relative:page;mso-height-relative:page;" coordorigin="7463,272" coordsize="1806,538" o:gfxdata="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">
                <o:lock v:ext="edit" aspectratio="f"/>
                <v:shape id="任意多边形 9" o:spid="_x0000_s1026" o:spt="100" style="position:absolute;left:7462;top:272;height:538;width:1806;" fillcolor="#000000" filled="t" stroked="f" coordsize="1806,538" o:gfxdata="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NG728AAAA&#10;2gAAAA8AAAAAAAAAAQAgAAAAIgAAAGRycy9kb3ducmV2LnhtbFBLAQIUABQAAAAIAIdO4kAzLwWe&#10;OwAAADkAAAAQAAAAAAAAAAEAIAAAAAsBAABkcnMvc2hhcGV4bWwueG1sUEsFBgAAAAAGAAYAWwEA&#10;ALUDAAAAAA==&#10;" path="m1806,538l0,538,0,0,1806,0,1806,8,15,8,7,15,15,15,15,523,7,523,15,531,1806,531,1806,538xm15,15l7,15,15,8,15,15xm1791,15l15,15,15,8,1791,8,1791,15xm1791,531l1791,8,1798,15,1806,15,1806,523,1798,523,1791,531xm1806,15l1798,15,1791,8,1806,8,1806,15xm15,531l7,523,15,523,15,531xm1791,531l15,531,15,523,1791,523,1791,531xm1806,531l1791,531,1798,523,1806,523,1806,531xe">
                  <v:fill on="t" focussize="0,0"/>
                  <v:stroke on="f"/>
                  <v:imagedata o:title=""/>
                  <o:lock v:ext="edit" aspectratio="f"/>
                </v:shape>
                <v:shape id="文本框 10" o:spid="_x0000_s1026" o:spt="202" type="#_x0000_t202" style="position:absolute;left:7462;top:272;height:538;width:1806;"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91"/>
                          <w:ind w:left="159"/>
                          <w:jc w:val="center"/>
                          <w:rPr>
                            <w:rFonts w:hint="eastAsia" w:ascii="黑体" w:eastAsia="黑体"/>
                            <w:b/>
                            <w:sz w:val="28"/>
                          </w:rPr>
                        </w:pPr>
                        <w:r>
                          <w:rPr>
                            <w:rFonts w:hint="eastAsia" w:ascii="黑体" w:eastAsia="黑体"/>
                            <w:b/>
                            <w:sz w:val="28"/>
                          </w:rPr>
                          <w:t>正本</w:t>
                        </w:r>
                      </w:p>
                    </w:txbxContent>
                  </v:textbox>
                </v:shape>
                <w10:wrap type="topAndBottom"/>
              </v:group>
            </w:pict>
          </mc:Fallback>
        </mc:AlternateContent>
      </w: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u w:val="single"/>
          <w:lang w:val="en-US" w:eastAsia="zh-CN"/>
        </w:rPr>
        <w:t xml:space="preserve">                                    </w:t>
      </w:r>
      <w:r>
        <w:rPr>
          <w:rFonts w:hint="eastAsia" w:ascii="宋体" w:hAnsi="宋体" w:eastAsia="宋体" w:cs="宋体"/>
          <w:b/>
          <w:bCs/>
          <w:color w:val="auto"/>
          <w:highlight w:val="none"/>
          <w:lang w:val="en-US" w:eastAsia="zh-CN"/>
        </w:rPr>
        <w:t>项目</w:t>
      </w:r>
    </w:p>
    <w:p>
      <w:pPr>
        <w:pStyle w:val="2"/>
        <w:rPr>
          <w:rFonts w:hint="eastAsia" w:ascii="宋体" w:hAnsi="宋体" w:eastAsia="宋体" w:cs="宋体"/>
          <w:color w:val="auto"/>
          <w:sz w:val="31"/>
          <w:highlight w:val="none"/>
        </w:rPr>
      </w:pPr>
    </w:p>
    <w:p>
      <w:pPr>
        <w:pStyle w:val="3"/>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lang w:val="en-US" w:eastAsia="zh-CN"/>
        </w:rPr>
        <w:t>资格性</w:t>
      </w:r>
      <w:r>
        <w:rPr>
          <w:rFonts w:hint="eastAsia" w:ascii="宋体" w:hAnsi="宋体" w:eastAsia="宋体" w:cs="宋体"/>
          <w:b/>
          <w:bCs w:val="0"/>
          <w:color w:val="auto"/>
          <w:highlight w:val="none"/>
        </w:rPr>
        <w:t>投标文件</w:t>
      </w:r>
    </w:p>
    <w:p>
      <w:pPr>
        <w:pStyle w:val="2"/>
        <w:rPr>
          <w:rFonts w:hint="eastAsia" w:ascii="宋体" w:hAnsi="宋体" w:eastAsia="宋体" w:cs="宋体"/>
          <w:b/>
          <w:color w:val="auto"/>
          <w:sz w:val="48"/>
          <w:highlight w:val="none"/>
        </w:rPr>
      </w:pPr>
    </w:p>
    <w:p>
      <w:pPr>
        <w:pStyle w:val="2"/>
        <w:rPr>
          <w:rFonts w:hint="eastAsia" w:ascii="宋体" w:hAnsi="宋体" w:eastAsia="宋体" w:cs="宋体"/>
          <w:b/>
          <w:color w:val="auto"/>
          <w:sz w:val="48"/>
          <w:highlight w:val="none"/>
        </w:rPr>
      </w:pPr>
    </w:p>
    <w:p>
      <w:pPr>
        <w:pStyle w:val="5"/>
        <w:tabs>
          <w:tab w:val="left" w:pos="5220"/>
        </w:tabs>
        <w:spacing w:before="1"/>
        <w:ind w:right="239"/>
        <w:rPr>
          <w:rFonts w:hint="eastAsia" w:ascii="宋体" w:hAnsi="宋体" w:eastAsia="宋体" w:cs="宋体"/>
          <w:color w:val="auto"/>
          <w:sz w:val="20"/>
          <w:highlight w:val="none"/>
        </w:rPr>
      </w:pPr>
    </w:p>
    <w:p>
      <w:pPr>
        <w:keepNext w:val="0"/>
        <w:keepLines w:val="0"/>
        <w:pageBreakBefore w:val="0"/>
        <w:widowControl w:val="0"/>
        <w:tabs>
          <w:tab w:val="left" w:pos="5220"/>
        </w:tabs>
        <w:kinsoku/>
        <w:wordWrap/>
        <w:overflowPunct/>
        <w:topLinePunct w:val="0"/>
        <w:autoSpaceDE/>
        <w:autoSpaceDN/>
        <w:bidi w:val="0"/>
        <w:adjustRightInd/>
        <w:snapToGrid/>
        <w:spacing w:before="190" w:line="360" w:lineRule="auto"/>
        <w:ind w:right="239"/>
        <w:textAlignment w:val="auto"/>
        <w:rPr>
          <w:rFonts w:hint="eastAsia" w:ascii="宋体" w:hAnsi="宋体" w:eastAsia="宋体" w:cs="宋体"/>
          <w:b/>
          <w:color w:val="auto"/>
          <w:highlight w:val="none"/>
        </w:rPr>
      </w:pPr>
      <w:r>
        <w:rPr>
          <w:rFonts w:hint="eastAsia" w:ascii="宋体" w:hAnsi="宋体" w:eastAsia="宋体" w:cs="宋体"/>
          <w:b/>
          <w:color w:val="auto"/>
          <w:w w:val="95"/>
          <w:sz w:val="32"/>
          <w:highlight w:val="none"/>
        </w:rPr>
        <w:t>项目编号：</w:t>
      </w:r>
      <w:r>
        <w:rPr>
          <w:rFonts w:hint="eastAsia" w:ascii="宋体" w:hAnsi="宋体" w:eastAsia="宋体" w:cs="宋体"/>
          <w:b/>
          <w:color w:val="auto"/>
          <w:w w:val="99"/>
          <w:sz w:val="32"/>
          <w:highlight w:val="none"/>
          <w:u w:val="single"/>
        </w:rPr>
        <w:t xml:space="preserve"> </w:t>
      </w:r>
      <w:r>
        <w:rPr>
          <w:rFonts w:hint="eastAsia" w:ascii="宋体" w:hAnsi="宋体" w:eastAsia="宋体" w:cs="宋体"/>
          <w:b/>
          <w:color w:val="auto"/>
          <w:sz w:val="32"/>
          <w:highlight w:val="none"/>
          <w:u w:val="single"/>
        </w:rPr>
        <w:tab/>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w w:val="99"/>
          <w:sz w:val="32"/>
          <w:highlight w:val="none"/>
          <w:u w:val="single"/>
        </w:rPr>
        <w:t xml:space="preserve">                  </w:t>
      </w:r>
    </w:p>
    <w:p>
      <w:pPr>
        <w:keepNext w:val="0"/>
        <w:keepLines w:val="0"/>
        <w:pageBreakBefore w:val="0"/>
        <w:widowControl w:val="0"/>
        <w:tabs>
          <w:tab w:val="left" w:pos="4650"/>
          <w:tab w:val="left" w:pos="5612"/>
          <w:tab w:val="left" w:pos="6577"/>
          <w:tab w:val="left" w:pos="6978"/>
        </w:tabs>
        <w:kinsoku/>
        <w:wordWrap/>
        <w:overflowPunct/>
        <w:topLinePunct w:val="0"/>
        <w:autoSpaceDE/>
        <w:autoSpaceDN/>
        <w:bidi w:val="0"/>
        <w:adjustRightInd/>
        <w:snapToGrid/>
        <w:spacing w:before="54" w:line="360" w:lineRule="auto"/>
        <w:ind w:right="3245"/>
        <w:jc w:val="left"/>
        <w:textAlignment w:val="auto"/>
        <w:rPr>
          <w:rFonts w:hint="eastAsia" w:ascii="宋体" w:hAnsi="宋体" w:eastAsia="宋体" w:cs="宋体"/>
          <w:color w:val="auto"/>
          <w:highlight w:val="none"/>
        </w:rPr>
      </w:pPr>
      <w:r>
        <w:rPr>
          <w:rFonts w:hint="eastAsia" w:ascii="宋体" w:hAnsi="宋体" w:eastAsia="宋体" w:cs="宋体"/>
          <w:b/>
          <w:color w:val="auto"/>
          <w:w w:val="95"/>
          <w:sz w:val="32"/>
          <w:highlight w:val="none"/>
        </w:rPr>
        <w:t>投标人单位名称：</w:t>
      </w:r>
      <w:r>
        <w:rPr>
          <w:rFonts w:hint="eastAsia" w:ascii="宋体" w:hAnsi="宋体" w:eastAsia="宋体" w:cs="宋体"/>
          <w:b/>
          <w:color w:val="auto"/>
          <w:w w:val="99"/>
          <w:sz w:val="32"/>
          <w:highlight w:val="none"/>
          <w:u w:val="single"/>
        </w:rPr>
        <w:t xml:space="preserve"> </w:t>
      </w:r>
      <w:r>
        <w:rPr>
          <w:rFonts w:hint="eastAsia" w:hAnsi="宋体" w:eastAsia="宋体" w:cs="宋体"/>
          <w:b/>
          <w:color w:val="auto"/>
          <w:w w:val="99"/>
          <w:sz w:val="32"/>
          <w:highlight w:val="none"/>
          <w:u w:val="single"/>
          <w:lang w:eastAsia="zh-CN"/>
        </w:rPr>
        <w:t>（</w:t>
      </w:r>
      <w:r>
        <w:rPr>
          <w:rFonts w:hint="eastAsia" w:hAnsi="宋体" w:eastAsia="宋体" w:cs="宋体"/>
          <w:b/>
          <w:color w:val="auto"/>
          <w:w w:val="99"/>
          <w:sz w:val="32"/>
          <w:highlight w:val="none"/>
          <w:u w:val="single"/>
          <w:lang w:val="en-US" w:eastAsia="zh-CN"/>
        </w:rPr>
        <w:t>电子印章</w:t>
      </w:r>
      <w:r>
        <w:rPr>
          <w:rFonts w:hint="eastAsia" w:hAnsi="宋体" w:eastAsia="宋体" w:cs="宋体"/>
          <w:b/>
          <w:color w:val="auto"/>
          <w:w w:val="99"/>
          <w:sz w:val="32"/>
          <w:highlight w:val="none"/>
          <w:u w:val="single"/>
          <w:lang w:eastAsia="zh-CN"/>
        </w:rPr>
        <w:t>）</w:t>
      </w:r>
      <w:r>
        <w:rPr>
          <w:rFonts w:hint="eastAsia" w:ascii="宋体" w:hAnsi="宋体" w:eastAsia="宋体" w:cs="宋体"/>
          <w:b/>
          <w:color w:val="auto"/>
          <w:w w:val="99"/>
          <w:sz w:val="32"/>
          <w:highlight w:val="none"/>
          <w:u w:val="single"/>
        </w:rPr>
        <w:t xml:space="preserve">     </w:t>
      </w:r>
    </w:p>
    <w:p>
      <w:pPr>
        <w:keepNext w:val="0"/>
        <w:keepLines w:val="0"/>
        <w:pageBreakBefore w:val="0"/>
        <w:widowControl w:val="0"/>
        <w:tabs>
          <w:tab w:val="left" w:pos="4650"/>
          <w:tab w:val="left" w:pos="5612"/>
          <w:tab w:val="left" w:pos="6577"/>
          <w:tab w:val="left" w:pos="6978"/>
        </w:tabs>
        <w:kinsoku/>
        <w:wordWrap/>
        <w:overflowPunct/>
        <w:topLinePunct w:val="0"/>
        <w:autoSpaceDE/>
        <w:autoSpaceDN/>
        <w:bidi w:val="0"/>
        <w:adjustRightInd/>
        <w:snapToGrid/>
        <w:spacing w:before="54" w:line="360" w:lineRule="auto"/>
        <w:ind w:right="3245"/>
        <w:jc w:val="left"/>
        <w:textAlignment w:val="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投标日期：</w:t>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sz w:val="32"/>
          <w:highlight w:val="none"/>
        </w:rPr>
        <w:t>年</w:t>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sz w:val="32"/>
          <w:highlight w:val="none"/>
        </w:rPr>
        <w:t>月</w:t>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sz w:val="32"/>
          <w:highlight w:val="none"/>
        </w:rPr>
        <w:t>日</w:t>
      </w:r>
    </w:p>
    <w:p>
      <w:pPr>
        <w:pStyle w:val="20"/>
        <w:rPr>
          <w:rFonts w:hint="eastAsia" w:ascii="宋体" w:hAnsi="宋体" w:eastAsia="宋体" w:cs="宋体"/>
          <w:b/>
          <w:color w:val="auto"/>
          <w:sz w:val="32"/>
          <w:highlight w:val="none"/>
        </w:rPr>
        <w:sectPr>
          <w:footerReference r:id="rId9" w:type="default"/>
          <w:pgSz w:w="11910" w:h="16840"/>
          <w:pgMar w:top="1440" w:right="1800" w:bottom="1440" w:left="1800" w:header="0" w:footer="964" w:gutter="0"/>
          <w:pgNumType w:fmt="decimal"/>
          <w:cols w:space="720" w:num="1"/>
          <w:rtlGutter w:val="0"/>
          <w:docGrid w:linePitch="1" w:charSpace="0"/>
        </w:sectPr>
      </w:pPr>
    </w:p>
    <w:p>
      <w:pPr>
        <w:pStyle w:val="4"/>
        <w:spacing w:line="400" w:lineRule="exact"/>
        <w:jc w:val="both"/>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格式1-</w:t>
      </w:r>
      <w:bookmarkEnd w:id="618"/>
      <w:bookmarkEnd w:id="619"/>
      <w:bookmarkEnd w:id="620"/>
      <w:r>
        <w:rPr>
          <w:rFonts w:hint="eastAsia" w:ascii="宋体" w:hAnsi="宋体" w:eastAsia="宋体" w:cs="宋体"/>
          <w:b/>
          <w:bCs/>
          <w:color w:val="auto"/>
          <w:highlight w:val="none"/>
          <w:lang w:val="en-US" w:eastAsia="zh-CN"/>
        </w:rPr>
        <w:t>1</w:t>
      </w:r>
    </w:p>
    <w:p>
      <w:pPr>
        <w:pStyle w:val="4"/>
        <w:pageBreakBefore w:val="0"/>
        <w:numPr>
          <w:ilvl w:val="0"/>
          <w:numId w:val="0"/>
        </w:numPr>
        <w:kinsoku/>
        <w:wordWrap/>
        <w:overflowPunct/>
        <w:topLinePunct w:val="0"/>
        <w:autoSpaceDE/>
        <w:autoSpaceDN/>
        <w:bidi w:val="0"/>
        <w:snapToGrid/>
        <w:spacing w:line="440" w:lineRule="exact"/>
        <w:jc w:val="center"/>
        <w:rPr>
          <w:rFonts w:hint="eastAsia" w:ascii="宋体" w:hAnsi="宋体" w:eastAsia="宋体" w:cs="宋体"/>
          <w:b w:val="0"/>
          <w:color w:val="auto"/>
          <w:sz w:val="24"/>
          <w:highlight w:val="none"/>
        </w:rPr>
      </w:pPr>
      <w:bookmarkStart w:id="642" w:name="_Toc523"/>
      <w:bookmarkStart w:id="643" w:name="_Toc26988"/>
      <w:bookmarkStart w:id="644" w:name="_Toc31454"/>
      <w:r>
        <w:rPr>
          <w:rFonts w:hint="eastAsia" w:ascii="宋体" w:hAnsi="宋体" w:eastAsia="宋体" w:cs="宋体"/>
          <w:color w:val="auto"/>
          <w:w w:val="95"/>
          <w:sz w:val="28"/>
          <w:szCs w:val="28"/>
          <w:highlight w:val="none"/>
        </w:rPr>
        <w:t>承诺函</w:t>
      </w:r>
      <w:bookmarkEnd w:id="621"/>
      <w:bookmarkEnd w:id="622"/>
      <w:bookmarkEnd w:id="623"/>
      <w:bookmarkEnd w:id="624"/>
      <w:bookmarkEnd w:id="625"/>
      <w:bookmarkEnd w:id="626"/>
      <w:bookmarkEnd w:id="627"/>
      <w:bookmarkEnd w:id="628"/>
      <w:bookmarkEnd w:id="629"/>
      <w:bookmarkEnd w:id="630"/>
      <w:bookmarkEnd w:id="631"/>
      <w:bookmarkEnd w:id="642"/>
      <w:bookmarkEnd w:id="643"/>
      <w:r>
        <w:rPr>
          <w:rFonts w:hint="eastAsia" w:ascii="宋体" w:hAnsi="宋体" w:eastAsia="宋体" w:cs="宋体"/>
          <w:color w:val="auto"/>
          <w:sz w:val="28"/>
          <w:szCs w:val="28"/>
          <w:highlight w:val="none"/>
        </w:rPr>
        <w:t>（实质性要求）</w:t>
      </w:r>
      <w:bookmarkEnd w:id="644"/>
    </w:p>
    <w:p>
      <w:pPr>
        <w:keepNext w:val="0"/>
        <w:keepLines w:val="0"/>
        <w:pageBreakBefore w:val="0"/>
        <w:widowControl/>
        <w:kinsoku/>
        <w:wordWrap/>
        <w:overflowPunct/>
        <w:topLinePunct w:val="0"/>
        <w:autoSpaceDE/>
        <w:autoSpaceDN/>
        <w:bidi w:val="0"/>
        <w:adjustRightInd/>
        <w:snapToGrid/>
        <w:spacing w:line="440" w:lineRule="exact"/>
        <w:jc w:val="left"/>
        <w:textAlignment w:val="auto"/>
        <w:outlineLvl w:val="1"/>
        <w:rPr>
          <w:rFonts w:hint="eastAsia" w:ascii="宋体" w:hAnsi="宋体" w:eastAsia="宋体" w:cs="宋体"/>
          <w:color w:val="auto"/>
          <w:sz w:val="24"/>
          <w:highlight w:val="none"/>
        </w:rPr>
      </w:pPr>
      <w:bookmarkStart w:id="645" w:name="_Toc29004"/>
      <w:bookmarkStart w:id="646" w:name="_Toc25121"/>
      <w:bookmarkStart w:id="647" w:name="_Toc27661"/>
      <w:bookmarkStart w:id="648" w:name="_Toc19869"/>
      <w:bookmarkStart w:id="649" w:name="_Toc12158"/>
      <w:bookmarkStart w:id="650" w:name="_Toc17612"/>
      <w:bookmarkStart w:id="651" w:name="_Toc13057"/>
      <w:bookmarkStart w:id="652" w:name="_Toc29436"/>
      <w:bookmarkStart w:id="653" w:name="_Toc16086"/>
      <w:bookmarkStart w:id="654" w:name="_Toc30007"/>
      <w:bookmarkStart w:id="655" w:name="_Toc27502"/>
      <w:bookmarkStart w:id="656" w:name="_Toc26615"/>
      <w:bookmarkStart w:id="657" w:name="_Toc15622"/>
      <w:bookmarkStart w:id="658" w:name="_Toc25614"/>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（采购代理机构名称）</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pPr>
        <w:pStyle w:val="9"/>
        <w:rPr>
          <w:rFonts w:hint="eastAsia"/>
          <w:color w:val="auto"/>
        </w:rPr>
      </w:pPr>
    </w:p>
    <w:p>
      <w:pPr>
        <w:keepNext w:val="0"/>
        <w:keepLines w:val="0"/>
        <w:pageBreakBefore w:val="0"/>
        <w:widowControl/>
        <w:kinsoku/>
        <w:wordWrap/>
        <w:overflowPunct/>
        <w:topLinePunct w:val="0"/>
        <w:autoSpaceDE/>
        <w:autoSpaceDN/>
        <w:bidi w:val="0"/>
        <w:adjustRightInd/>
        <w:snapToGrid/>
        <w:spacing w:line="440" w:lineRule="exact"/>
        <w:ind w:left="476" w:leftChars="140" w:firstLine="480" w:firstLineChars="200"/>
        <w:jc w:val="left"/>
        <w:textAlignment w:val="auto"/>
        <w:outlineLvl w:val="1"/>
        <w:rPr>
          <w:rFonts w:hint="eastAsia" w:ascii="宋体" w:hAnsi="宋体" w:eastAsia="宋体" w:cs="宋体"/>
          <w:color w:val="auto"/>
          <w:sz w:val="24"/>
          <w:highlight w:val="none"/>
          <w:lang w:val="en-US" w:eastAsia="zh-CN"/>
        </w:rPr>
      </w:pPr>
      <w:bookmarkStart w:id="659" w:name="_Toc24323"/>
      <w:bookmarkStart w:id="660" w:name="_Toc5511"/>
      <w:bookmarkStart w:id="661" w:name="_Toc11833"/>
      <w:bookmarkStart w:id="662" w:name="_Toc17811"/>
      <w:bookmarkStart w:id="663" w:name="_Toc654"/>
      <w:bookmarkStart w:id="664" w:name="_Toc8087"/>
      <w:bookmarkStart w:id="665" w:name="_Toc26587"/>
      <w:bookmarkStart w:id="666" w:name="_Toc22978"/>
      <w:bookmarkStart w:id="667" w:name="_Toc31188"/>
      <w:r>
        <w:rPr>
          <w:rFonts w:hint="eastAsia" w:ascii="宋体" w:hAnsi="宋体" w:eastAsia="宋体" w:cs="宋体"/>
          <w:color w:val="auto"/>
          <w:sz w:val="24"/>
          <w:highlight w:val="none"/>
          <w:lang w:val="en-US" w:eastAsia="zh-CN"/>
        </w:rPr>
        <w:t>我单位作为本次采购项目的投标人，根据招标文件要求，现郑重承诺如下：</w:t>
      </w:r>
      <w:bookmarkEnd w:id="659"/>
      <w:bookmarkEnd w:id="660"/>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outlineLvl w:val="1"/>
        <w:rPr>
          <w:rFonts w:hint="eastAsia" w:ascii="宋体" w:hAnsi="宋体" w:eastAsia="宋体" w:cs="宋体"/>
          <w:color w:val="auto"/>
          <w:sz w:val="24"/>
          <w:szCs w:val="24"/>
          <w:highlight w:val="none"/>
          <w:lang w:val="en-US" w:eastAsia="zh-CN"/>
        </w:rPr>
      </w:pPr>
      <w:bookmarkStart w:id="668" w:name="_Toc26315"/>
      <w:bookmarkStart w:id="669" w:name="_Toc20620"/>
      <w:r>
        <w:rPr>
          <w:rFonts w:hint="eastAsia" w:ascii="宋体" w:hAnsi="宋体" w:eastAsia="宋体" w:cs="宋体"/>
          <w:color w:val="auto"/>
          <w:sz w:val="24"/>
          <w:szCs w:val="24"/>
          <w:highlight w:val="none"/>
          <w:lang w:val="en-US" w:eastAsia="zh-CN"/>
        </w:rPr>
        <w:t>一、关于《中华人民共和国政府采购法》第二十二条第一款的规定，说明如下：</w:t>
      </w:r>
      <w:bookmarkEnd w:id="661"/>
      <w:bookmarkEnd w:id="662"/>
      <w:bookmarkEnd w:id="663"/>
      <w:bookmarkEnd w:id="664"/>
      <w:bookmarkEnd w:id="665"/>
      <w:bookmarkEnd w:id="666"/>
      <w:bookmarkEnd w:id="667"/>
      <w:bookmarkEnd w:id="668"/>
      <w:bookmarkEnd w:id="669"/>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outlineLvl w:val="1"/>
        <w:rPr>
          <w:rFonts w:hint="eastAsia" w:ascii="宋体" w:hAnsi="宋体" w:eastAsia="宋体" w:cs="宋体"/>
          <w:color w:val="auto"/>
          <w:sz w:val="24"/>
          <w:szCs w:val="24"/>
          <w:highlight w:val="none"/>
          <w:lang w:val="en-US" w:eastAsia="zh-CN"/>
        </w:rPr>
      </w:pPr>
      <w:bookmarkStart w:id="670" w:name="_Toc28495"/>
      <w:bookmarkStart w:id="671" w:name="_Toc11253"/>
      <w:bookmarkStart w:id="672" w:name="_Toc15019"/>
      <w:bookmarkStart w:id="673" w:name="_Toc15097"/>
      <w:bookmarkStart w:id="674" w:name="_Toc21522"/>
      <w:bookmarkStart w:id="675" w:name="_Toc3974"/>
      <w:bookmarkStart w:id="676" w:name="_Toc20695"/>
      <w:bookmarkStart w:id="677" w:name="_Toc16768"/>
      <w:bookmarkStart w:id="678" w:name="_Toc23096"/>
      <w:bookmarkStart w:id="679" w:name="_Toc23557"/>
      <w:bookmarkStart w:id="680" w:name="_Toc14004"/>
      <w:bookmarkStart w:id="681" w:name="_Toc28267"/>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我公司</w:t>
      </w:r>
      <w:r>
        <w:rPr>
          <w:rFonts w:hint="eastAsia" w:ascii="宋体" w:hAnsi="宋体" w:eastAsia="宋体" w:cs="宋体"/>
          <w:b/>
          <w:color w:val="auto"/>
          <w:sz w:val="24"/>
          <w:highlight w:val="none"/>
          <w:u w:val="single"/>
        </w:rPr>
        <w:t>（说明：填写“具有”或“不具有”</w:t>
      </w:r>
      <w:r>
        <w:rPr>
          <w:rFonts w:hint="eastAsia" w:ascii="宋体" w:hAnsi="宋体" w:eastAsia="宋体" w:cs="宋体"/>
          <w:color w:val="auto"/>
          <w:sz w:val="24"/>
          <w:highlight w:val="none"/>
          <w:u w:val="single"/>
        </w:rPr>
        <w:t>）</w:t>
      </w:r>
      <w:r>
        <w:rPr>
          <w:rFonts w:hint="eastAsia" w:ascii="宋体" w:hAnsi="宋体" w:eastAsia="宋体" w:cs="宋体"/>
          <w:color w:val="auto"/>
          <w:sz w:val="24"/>
          <w:szCs w:val="24"/>
          <w:highlight w:val="none"/>
        </w:rPr>
        <w:t>独立承担民事责任的能力</w:t>
      </w:r>
      <w:r>
        <w:rPr>
          <w:rFonts w:hint="eastAsia" w:ascii="宋体" w:hAnsi="宋体" w:eastAsia="宋体" w:cs="宋体"/>
          <w:color w:val="auto"/>
          <w:sz w:val="24"/>
          <w:szCs w:val="24"/>
          <w:highlight w:val="none"/>
          <w:lang w:val="en-US" w:eastAsia="zh-CN"/>
        </w:rPr>
        <w:t>；</w:t>
      </w:r>
      <w:bookmarkEnd w:id="670"/>
      <w:bookmarkEnd w:id="671"/>
      <w:bookmarkEnd w:id="672"/>
      <w:bookmarkEnd w:id="673"/>
      <w:bookmarkEnd w:id="674"/>
      <w:bookmarkEnd w:id="675"/>
      <w:bookmarkEnd w:id="676"/>
      <w:bookmarkEnd w:id="677"/>
      <w:bookmarkEnd w:id="678"/>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outlineLvl w:val="1"/>
        <w:rPr>
          <w:rFonts w:hint="eastAsia" w:ascii="宋体" w:hAnsi="宋体" w:eastAsia="宋体" w:cs="宋体"/>
          <w:color w:val="auto"/>
          <w:sz w:val="24"/>
          <w:highlight w:val="none"/>
        </w:rPr>
      </w:pPr>
      <w:bookmarkStart w:id="682" w:name="_Toc25554"/>
      <w:bookmarkStart w:id="683" w:name="_Toc19914"/>
      <w:bookmarkStart w:id="684" w:name="_Toc5720"/>
      <w:bookmarkStart w:id="685" w:name="_Toc27701"/>
      <w:bookmarkStart w:id="686" w:name="_Toc29180"/>
      <w:bookmarkStart w:id="687" w:name="_Toc12421"/>
      <w:bookmarkStart w:id="688" w:name="_Toc20971"/>
      <w:bookmarkStart w:id="689" w:name="_Toc30852"/>
      <w:bookmarkStart w:id="690" w:name="_Toc15205"/>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highlight w:val="none"/>
        </w:rPr>
        <w:t>我公司</w:t>
      </w:r>
      <w:r>
        <w:rPr>
          <w:rFonts w:hint="eastAsia" w:ascii="宋体" w:hAnsi="宋体" w:eastAsia="宋体" w:cs="宋体"/>
          <w:b/>
          <w:color w:val="auto"/>
          <w:sz w:val="24"/>
          <w:highlight w:val="none"/>
          <w:u w:val="single"/>
        </w:rPr>
        <w:t>（说明：填写“具</w:t>
      </w:r>
      <w:r>
        <w:rPr>
          <w:rFonts w:hint="eastAsia" w:ascii="宋体" w:hAnsi="宋体" w:eastAsia="宋体" w:cs="宋体"/>
          <w:b/>
          <w:color w:val="auto"/>
          <w:sz w:val="24"/>
          <w:highlight w:val="none"/>
          <w:u w:val="single"/>
          <w:lang w:val="en-US" w:eastAsia="zh-CN"/>
        </w:rPr>
        <w:t>备</w:t>
      </w:r>
      <w:r>
        <w:rPr>
          <w:rFonts w:hint="eastAsia" w:ascii="宋体" w:hAnsi="宋体" w:eastAsia="宋体" w:cs="宋体"/>
          <w:b/>
          <w:color w:val="auto"/>
          <w:sz w:val="24"/>
          <w:highlight w:val="none"/>
          <w:u w:val="single"/>
        </w:rPr>
        <w:t>”或“不具</w:t>
      </w:r>
      <w:r>
        <w:rPr>
          <w:rFonts w:hint="eastAsia" w:ascii="宋体" w:hAnsi="宋体" w:eastAsia="宋体" w:cs="宋体"/>
          <w:b/>
          <w:color w:val="auto"/>
          <w:sz w:val="24"/>
          <w:highlight w:val="none"/>
          <w:u w:val="single"/>
          <w:lang w:val="en-US" w:eastAsia="zh-CN"/>
        </w:rPr>
        <w:t>备</w:t>
      </w:r>
      <w:r>
        <w:rPr>
          <w:rFonts w:hint="eastAsia" w:ascii="宋体" w:hAnsi="宋体" w:eastAsia="宋体" w:cs="宋体"/>
          <w:b/>
          <w:color w:val="auto"/>
          <w:sz w:val="24"/>
          <w:highlight w:val="none"/>
          <w:u w:val="single"/>
        </w:rPr>
        <w:t>”</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良好的商业信誉</w:t>
      </w:r>
      <w:r>
        <w:rPr>
          <w:rFonts w:hint="eastAsia" w:ascii="宋体" w:hAnsi="宋体" w:eastAsia="宋体" w:cs="宋体"/>
          <w:color w:val="auto"/>
          <w:sz w:val="24"/>
          <w:szCs w:val="24"/>
          <w:highlight w:val="none"/>
        </w:rPr>
        <w:t>和健全的财务会计制度</w:t>
      </w:r>
      <w:r>
        <w:rPr>
          <w:rFonts w:hint="eastAsia" w:ascii="宋体" w:hAnsi="宋体" w:eastAsia="宋体" w:cs="宋体"/>
          <w:color w:val="auto"/>
          <w:sz w:val="24"/>
          <w:highlight w:val="none"/>
        </w:rPr>
        <w:t>；</w:t>
      </w:r>
      <w:bookmarkEnd w:id="679"/>
      <w:bookmarkEnd w:id="680"/>
      <w:bookmarkEnd w:id="682"/>
      <w:bookmarkEnd w:id="683"/>
      <w:bookmarkEnd w:id="684"/>
      <w:bookmarkEnd w:id="685"/>
      <w:bookmarkEnd w:id="686"/>
      <w:bookmarkEnd w:id="687"/>
      <w:bookmarkEnd w:id="688"/>
      <w:bookmarkEnd w:id="689"/>
      <w:bookmarkEnd w:id="690"/>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outlineLvl w:val="1"/>
        <w:rPr>
          <w:rFonts w:hint="eastAsia" w:ascii="宋体" w:hAnsi="宋体" w:eastAsia="宋体" w:cs="宋体"/>
          <w:color w:val="auto"/>
          <w:sz w:val="24"/>
          <w:highlight w:val="none"/>
        </w:rPr>
      </w:pPr>
      <w:bookmarkStart w:id="691" w:name="_Toc1631"/>
      <w:bookmarkStart w:id="692" w:name="_Toc30061"/>
      <w:bookmarkStart w:id="693" w:name="_Toc8535"/>
      <w:bookmarkStart w:id="694" w:name="_Toc28058"/>
      <w:bookmarkStart w:id="695" w:name="_Toc1536"/>
      <w:bookmarkStart w:id="696" w:name="_Toc9087"/>
      <w:bookmarkStart w:id="697" w:name="_Toc18539"/>
      <w:bookmarkStart w:id="698" w:name="_Toc18775"/>
      <w:bookmarkStart w:id="699" w:name="_Toc10837"/>
      <w:bookmarkStart w:id="700" w:name="_Toc23192"/>
      <w:bookmarkStart w:id="701" w:name="_Toc21982"/>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我公司</w:t>
      </w:r>
      <w:r>
        <w:rPr>
          <w:rFonts w:hint="eastAsia" w:ascii="宋体" w:hAnsi="宋体" w:eastAsia="宋体" w:cs="宋体"/>
          <w:b/>
          <w:color w:val="auto"/>
          <w:sz w:val="24"/>
          <w:highlight w:val="none"/>
          <w:u w:val="single"/>
        </w:rPr>
        <w:t>（说明：填写“具</w:t>
      </w:r>
      <w:r>
        <w:rPr>
          <w:rFonts w:hint="eastAsia" w:ascii="宋体" w:hAnsi="宋体" w:eastAsia="宋体" w:cs="宋体"/>
          <w:b/>
          <w:color w:val="auto"/>
          <w:sz w:val="24"/>
          <w:highlight w:val="none"/>
          <w:u w:val="single"/>
          <w:lang w:val="en-US" w:eastAsia="zh-CN"/>
        </w:rPr>
        <w:t>备</w:t>
      </w:r>
      <w:r>
        <w:rPr>
          <w:rFonts w:hint="eastAsia" w:ascii="宋体" w:hAnsi="宋体" w:eastAsia="宋体" w:cs="宋体"/>
          <w:b/>
          <w:color w:val="auto"/>
          <w:sz w:val="24"/>
          <w:highlight w:val="none"/>
          <w:u w:val="single"/>
        </w:rPr>
        <w:t>”或“不具</w:t>
      </w:r>
      <w:r>
        <w:rPr>
          <w:rFonts w:hint="eastAsia" w:ascii="宋体" w:hAnsi="宋体" w:eastAsia="宋体" w:cs="宋体"/>
          <w:b/>
          <w:color w:val="auto"/>
          <w:sz w:val="24"/>
          <w:highlight w:val="none"/>
          <w:u w:val="single"/>
          <w:lang w:val="en-US" w:eastAsia="zh-CN"/>
        </w:rPr>
        <w:t>备</w:t>
      </w:r>
      <w:r>
        <w:rPr>
          <w:rFonts w:hint="eastAsia" w:ascii="宋体" w:hAnsi="宋体" w:eastAsia="宋体" w:cs="宋体"/>
          <w:b/>
          <w:color w:val="auto"/>
          <w:sz w:val="24"/>
          <w:highlight w:val="none"/>
          <w:u w:val="single"/>
        </w:rPr>
        <w:t>”</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履行合同所必需的设备和专业技术能力；</w:t>
      </w:r>
      <w:bookmarkEnd w:id="691"/>
      <w:bookmarkEnd w:id="692"/>
      <w:bookmarkEnd w:id="693"/>
      <w:bookmarkEnd w:id="694"/>
      <w:bookmarkEnd w:id="695"/>
      <w:bookmarkEnd w:id="696"/>
      <w:bookmarkEnd w:id="697"/>
      <w:bookmarkEnd w:id="698"/>
      <w:bookmarkEnd w:id="699"/>
      <w:bookmarkEnd w:id="700"/>
      <w:bookmarkEnd w:id="701"/>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outlineLvl w:val="1"/>
        <w:rPr>
          <w:rFonts w:hint="eastAsia" w:ascii="宋体" w:hAnsi="宋体" w:eastAsia="宋体" w:cs="宋体"/>
          <w:color w:val="auto"/>
          <w:sz w:val="24"/>
          <w:highlight w:val="none"/>
        </w:rPr>
      </w:pPr>
      <w:bookmarkStart w:id="702" w:name="_Toc22697"/>
      <w:bookmarkStart w:id="703" w:name="_Toc9204"/>
      <w:bookmarkStart w:id="704" w:name="_Toc16635"/>
      <w:bookmarkStart w:id="705" w:name="_Toc24750"/>
      <w:bookmarkStart w:id="706" w:name="_Toc31546"/>
      <w:bookmarkStart w:id="707" w:name="_Toc12322"/>
      <w:bookmarkStart w:id="708" w:name="_Toc4577"/>
      <w:bookmarkStart w:id="709" w:name="_Toc22606"/>
      <w:bookmarkStart w:id="710" w:name="_Toc1177"/>
      <w:bookmarkStart w:id="711" w:name="_Toc533"/>
      <w:bookmarkStart w:id="712" w:name="_Toc27397"/>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我公司</w:t>
      </w:r>
      <w:r>
        <w:rPr>
          <w:rFonts w:hint="eastAsia" w:ascii="宋体" w:hAnsi="宋体" w:eastAsia="宋体" w:cs="宋体"/>
          <w:b/>
          <w:color w:val="auto"/>
          <w:sz w:val="24"/>
          <w:highlight w:val="none"/>
          <w:u w:val="single"/>
        </w:rPr>
        <w:t>（说明：填写“具有”或“不具有”</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依法缴纳税收和社会保障资金的良好记录；</w:t>
      </w:r>
      <w:bookmarkEnd w:id="702"/>
      <w:bookmarkEnd w:id="703"/>
      <w:bookmarkEnd w:id="704"/>
      <w:bookmarkEnd w:id="705"/>
      <w:bookmarkEnd w:id="706"/>
      <w:bookmarkEnd w:id="707"/>
      <w:bookmarkEnd w:id="708"/>
      <w:bookmarkEnd w:id="709"/>
      <w:bookmarkEnd w:id="710"/>
      <w:bookmarkEnd w:id="711"/>
      <w:bookmarkEnd w:id="712"/>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outlineLvl w:val="1"/>
        <w:rPr>
          <w:rFonts w:hint="eastAsia" w:ascii="宋体" w:hAnsi="宋体" w:eastAsia="宋体" w:cs="宋体"/>
          <w:color w:val="auto"/>
          <w:sz w:val="24"/>
          <w:szCs w:val="22"/>
          <w:highlight w:val="none"/>
        </w:rPr>
      </w:pPr>
      <w:bookmarkStart w:id="713" w:name="_Toc20107"/>
      <w:bookmarkStart w:id="714" w:name="_Toc7409"/>
      <w:bookmarkStart w:id="715" w:name="_Toc20640"/>
      <w:bookmarkStart w:id="716" w:name="_Toc2316"/>
      <w:bookmarkStart w:id="717" w:name="_Toc820"/>
      <w:bookmarkStart w:id="718" w:name="_Toc8929"/>
      <w:bookmarkStart w:id="719" w:name="_Toc29190"/>
      <w:bookmarkStart w:id="720" w:name="_Toc8483"/>
      <w:bookmarkStart w:id="721" w:name="_Toc31837"/>
      <w:bookmarkStart w:id="722" w:name="_Toc23326"/>
      <w:bookmarkStart w:id="723" w:name="_Toc25159"/>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4"/>
          <w:highlight w:val="none"/>
        </w:rPr>
        <w:t>参加本次政府采购活动前三年内</w:t>
      </w:r>
      <w:r>
        <w:rPr>
          <w:rFonts w:hint="eastAsia" w:ascii="宋体" w:hAnsi="宋体" w:eastAsia="宋体" w:cs="宋体"/>
          <w:color w:val="auto"/>
          <w:sz w:val="24"/>
          <w:szCs w:val="22"/>
          <w:highlight w:val="none"/>
        </w:rPr>
        <w:t>，我公司在经营活动中</w:t>
      </w:r>
      <w:r>
        <w:rPr>
          <w:rFonts w:hint="eastAsia" w:ascii="宋体" w:hAnsi="宋体" w:eastAsia="宋体" w:cs="宋体"/>
          <w:b/>
          <w:color w:val="auto"/>
          <w:sz w:val="24"/>
          <w:szCs w:val="22"/>
          <w:highlight w:val="none"/>
          <w:u w:val="single"/>
        </w:rPr>
        <w:t>（说明：填写“没有”或“有”）</w:t>
      </w:r>
      <w:r>
        <w:rPr>
          <w:rFonts w:hint="eastAsia" w:ascii="宋体" w:hAnsi="宋体" w:eastAsia="宋体" w:cs="宋体"/>
          <w:color w:val="auto"/>
          <w:sz w:val="24"/>
          <w:szCs w:val="22"/>
          <w:highlight w:val="none"/>
        </w:rPr>
        <w:t>重大违法记录(供应商成立不足三年的，从成立之日起计算)；</w:t>
      </w:r>
      <w:bookmarkEnd w:id="713"/>
      <w:bookmarkEnd w:id="714"/>
      <w:bookmarkEnd w:id="715"/>
      <w:bookmarkEnd w:id="716"/>
      <w:bookmarkEnd w:id="717"/>
      <w:bookmarkEnd w:id="718"/>
      <w:bookmarkEnd w:id="719"/>
      <w:bookmarkEnd w:id="720"/>
      <w:bookmarkEnd w:id="721"/>
      <w:bookmarkEnd w:id="722"/>
      <w:bookmarkEnd w:id="723"/>
    </w:p>
    <w:p>
      <w:pPr>
        <w:keepNext w:val="0"/>
        <w:keepLines w:val="0"/>
        <w:pageBreakBefore w:val="0"/>
        <w:kinsoku/>
        <w:wordWrap/>
        <w:overflowPunct/>
        <w:topLinePunct w:val="0"/>
        <w:autoSpaceDE/>
        <w:autoSpaceDN/>
        <w:bidi w:val="0"/>
        <w:adjustRightInd/>
        <w:snapToGrid/>
        <w:spacing w:after="50"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rPr>
        <w:t>我公司</w:t>
      </w:r>
      <w:r>
        <w:rPr>
          <w:rFonts w:hint="eastAsia" w:ascii="宋体" w:hAnsi="宋体" w:eastAsia="宋体" w:cs="宋体"/>
          <w:b/>
          <w:color w:val="auto"/>
          <w:sz w:val="24"/>
          <w:highlight w:val="none"/>
          <w:u w:val="single"/>
        </w:rPr>
        <w:t>（说明：填写“具有”或“不具有”</w:t>
      </w:r>
      <w:r>
        <w:rPr>
          <w:rFonts w:hint="eastAsia" w:ascii="宋体" w:hAnsi="宋体" w:eastAsia="宋体" w:cs="宋体"/>
          <w:color w:val="auto"/>
          <w:sz w:val="24"/>
          <w:highlight w:val="none"/>
          <w:u w:val="single"/>
        </w:rPr>
        <w:t>）</w:t>
      </w:r>
      <w:r>
        <w:rPr>
          <w:rFonts w:hint="eastAsia" w:ascii="宋体" w:hAnsi="宋体" w:eastAsia="宋体" w:cs="宋体"/>
          <w:color w:val="auto"/>
          <w:sz w:val="24"/>
          <w:szCs w:val="24"/>
          <w:highlight w:val="none"/>
        </w:rPr>
        <w:t>法律、行政法规规定的其他条件；</w:t>
      </w:r>
    </w:p>
    <w:p>
      <w:pPr>
        <w:keepNext w:val="0"/>
        <w:keepLines w:val="0"/>
        <w:pageBreakBefore w:val="0"/>
        <w:kinsoku/>
        <w:wordWrap/>
        <w:overflowPunct/>
        <w:topLinePunct w:val="0"/>
        <w:autoSpaceDE/>
        <w:autoSpaceDN/>
        <w:bidi w:val="0"/>
        <w:adjustRightInd/>
        <w:snapToGrid/>
        <w:spacing w:after="50" w:line="440" w:lineRule="exact"/>
        <w:ind w:firstLine="480" w:firstLineChars="200"/>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 xml:space="preserve">二、符合落实政府采购政策需满足的资格要求，我公司属于中小微企业（监狱企业、残疾人福利性单位视为小微企业）；                                                          </w:t>
      </w:r>
    </w:p>
    <w:p>
      <w:pPr>
        <w:keepNext w:val="0"/>
        <w:keepLines w:val="0"/>
        <w:pageBreakBefore w:val="0"/>
        <w:kinsoku/>
        <w:wordWrap/>
        <w:overflowPunct/>
        <w:topLinePunct w:val="0"/>
        <w:autoSpaceDE/>
        <w:autoSpaceDN/>
        <w:bidi w:val="0"/>
        <w:adjustRightInd/>
        <w:snapToGrid/>
        <w:spacing w:after="50" w:line="440" w:lineRule="exact"/>
        <w:ind w:firstLine="482" w:firstLineChars="200"/>
        <w:textAlignment w:val="auto"/>
        <w:rPr>
          <w:rFonts w:hint="eastAsia" w:ascii="宋体" w:hAnsi="宋体" w:eastAsia="宋体" w:cs="宋体"/>
          <w:color w:val="auto"/>
          <w:highlight w:val="none"/>
          <w:lang w:val="en-US" w:eastAsia="zh-CN"/>
        </w:rPr>
      </w:pPr>
      <w:r>
        <w:rPr>
          <w:rFonts w:hint="eastAsia" w:hAnsi="宋体" w:eastAsia="宋体" w:cs="宋体"/>
          <w:b/>
          <w:color w:val="auto"/>
          <w:sz w:val="24"/>
          <w:szCs w:val="24"/>
          <w:highlight w:val="none"/>
          <w:lang w:val="en-US" w:eastAsia="zh-CN"/>
        </w:rPr>
        <w:t>三、我公司不属于招标文件规定的</w:t>
      </w:r>
      <w:r>
        <w:rPr>
          <w:rFonts w:hint="eastAsia" w:ascii="宋体" w:hAnsi="宋体" w:eastAsia="宋体" w:cs="宋体"/>
          <w:b/>
          <w:color w:val="auto"/>
          <w:sz w:val="24"/>
          <w:szCs w:val="24"/>
          <w:highlight w:val="none"/>
          <w:lang w:val="en-US" w:eastAsia="zh-CN"/>
        </w:rPr>
        <w:t>限制投标情形：</w:t>
      </w:r>
      <w:bookmarkStart w:id="724" w:name="_Toc4834"/>
      <w:bookmarkStart w:id="725" w:name="_Toc29977"/>
      <w:bookmarkStart w:id="726" w:name="_Toc8675"/>
      <w:bookmarkStart w:id="727" w:name="_Toc29735"/>
      <w:bookmarkStart w:id="728" w:name="_Toc2341"/>
      <w:bookmarkStart w:id="729" w:name="_Toc30188"/>
      <w:bookmarkStart w:id="730" w:name="_Toc10348"/>
      <w:bookmarkStart w:id="731" w:name="_Toc30370"/>
      <w:bookmarkStart w:id="732" w:name="_Toc13052"/>
      <w:r>
        <w:rPr>
          <w:rFonts w:hint="eastAsia" w:hAnsi="宋体" w:eastAsia="宋体" w:cs="宋体"/>
          <w:b/>
          <w:color w:val="auto"/>
          <w:sz w:val="24"/>
          <w:szCs w:val="24"/>
          <w:highlight w:val="none"/>
          <w:lang w:val="en-US" w:eastAsia="zh-CN"/>
        </w:rPr>
        <w:t>即</w:t>
      </w:r>
      <w:r>
        <w:rPr>
          <w:rFonts w:hint="eastAsia" w:ascii="宋体" w:hAnsi="宋体" w:eastAsia="宋体" w:cs="宋体"/>
          <w:color w:val="auto"/>
          <w:sz w:val="24"/>
          <w:szCs w:val="24"/>
          <w:highlight w:val="none"/>
        </w:rPr>
        <w:t>参加本次政府采购活动前三年内</w:t>
      </w:r>
      <w:r>
        <w:rPr>
          <w:rFonts w:hint="eastAsia" w:ascii="宋体" w:hAnsi="宋体" w:eastAsia="宋体" w:cs="宋体"/>
          <w:color w:val="auto"/>
          <w:sz w:val="24"/>
          <w:szCs w:val="22"/>
          <w:highlight w:val="none"/>
        </w:rPr>
        <w:t>，我公司</w:t>
      </w:r>
      <w:r>
        <w:rPr>
          <w:rFonts w:hint="eastAsia" w:ascii="宋体" w:hAnsi="宋体" w:eastAsia="宋体" w:cs="宋体"/>
          <w:b/>
          <w:color w:val="auto"/>
          <w:sz w:val="24"/>
          <w:szCs w:val="22"/>
          <w:highlight w:val="none"/>
          <w:u w:val="single"/>
        </w:rPr>
        <w:t>（说明：填写“没有”或“有”）</w:t>
      </w:r>
      <w:r>
        <w:rPr>
          <w:rFonts w:hint="eastAsia" w:ascii="宋体" w:hAnsi="宋体" w:eastAsia="宋体" w:cs="宋体"/>
          <w:bCs/>
          <w:color w:val="auto"/>
          <w:sz w:val="24"/>
          <w:szCs w:val="22"/>
          <w:highlight w:val="none"/>
          <w:u w:val="single"/>
        </w:rPr>
        <w:t>在“信用中国”网站(www.creditchina.gov.cn和中国政府采购网”(www.ccgp.gov.cn)</w:t>
      </w:r>
      <w:r>
        <w:rPr>
          <w:rFonts w:hint="eastAsia" w:ascii="宋体" w:hAnsi="宋体" w:eastAsia="宋体" w:cs="宋体"/>
          <w:bCs/>
          <w:color w:val="auto"/>
          <w:sz w:val="24"/>
          <w:szCs w:val="22"/>
          <w:highlight w:val="none"/>
          <w:u w:val="none"/>
          <w:lang w:val="en-US" w:eastAsia="zh-CN"/>
        </w:rPr>
        <w:t>中</w:t>
      </w:r>
      <w:r>
        <w:rPr>
          <w:rFonts w:hint="eastAsia" w:ascii="宋体" w:hAnsi="宋体" w:eastAsia="宋体" w:cs="宋体"/>
          <w:color w:val="auto"/>
          <w:sz w:val="24"/>
          <w:szCs w:val="22"/>
          <w:highlight w:val="none"/>
        </w:rPr>
        <w:t>被列入失信被执行人、重大税收违法案件当事人名单、政府采购严重违法失信行为记录名单；</w:t>
      </w:r>
      <w:bookmarkEnd w:id="724"/>
      <w:bookmarkEnd w:id="725"/>
      <w:bookmarkEnd w:id="726"/>
      <w:bookmarkEnd w:id="727"/>
      <w:bookmarkEnd w:id="728"/>
      <w:bookmarkEnd w:id="729"/>
      <w:bookmarkEnd w:id="730"/>
      <w:bookmarkEnd w:id="731"/>
      <w:bookmarkEnd w:id="732"/>
      <w:r>
        <w:rPr>
          <w:rFonts w:hint="eastAsia" w:ascii="宋体" w:hAnsi="宋体" w:eastAsia="宋体" w:cs="宋体"/>
          <w:color w:val="auto"/>
          <w:sz w:val="24"/>
          <w:szCs w:val="24"/>
          <w:highlight w:val="none"/>
          <w:lang w:val="en-US" w:eastAsia="zh-CN"/>
        </w:rPr>
        <w:t>根据《企业信息公示暂行条例》（国务院令第654号）第十八条规定，</w:t>
      </w:r>
      <w:r>
        <w:rPr>
          <w:rFonts w:hint="eastAsia" w:ascii="宋体" w:hAnsi="宋体" w:eastAsia="宋体" w:cs="宋体"/>
          <w:color w:val="auto"/>
          <w:sz w:val="24"/>
          <w:szCs w:val="22"/>
          <w:highlight w:val="none"/>
        </w:rPr>
        <w:t>我公司</w:t>
      </w:r>
      <w:r>
        <w:rPr>
          <w:rFonts w:hint="eastAsia" w:ascii="宋体" w:hAnsi="宋体" w:eastAsia="宋体" w:cs="宋体"/>
          <w:b/>
          <w:color w:val="auto"/>
          <w:sz w:val="24"/>
          <w:szCs w:val="22"/>
          <w:highlight w:val="none"/>
          <w:u w:val="single"/>
        </w:rPr>
        <w:t>（说明：填写“没有”或“有”）</w:t>
      </w:r>
      <w:r>
        <w:rPr>
          <w:rFonts w:hint="eastAsia" w:ascii="宋体" w:hAnsi="宋体" w:eastAsia="宋体" w:cs="宋体"/>
          <w:color w:val="auto"/>
          <w:sz w:val="24"/>
          <w:szCs w:val="24"/>
          <w:highlight w:val="none"/>
          <w:lang w:val="en-US" w:eastAsia="zh-CN"/>
        </w:rPr>
        <w:t>被列入经营异常名录或者严重违法企业名单</w:t>
      </w:r>
      <w:r>
        <w:rPr>
          <w:rFonts w:hint="eastAsia" w:ascii="宋体" w:hAnsi="宋体" w:eastAsia="宋体" w:cs="宋体"/>
          <w:b/>
          <w:bCs/>
          <w:color w:val="auto"/>
          <w:sz w:val="24"/>
          <w:szCs w:val="22"/>
          <w:highlight w:val="none"/>
          <w:lang w:eastAsia="zh-CN"/>
        </w:rPr>
        <w:t>。</w:t>
      </w:r>
    </w:p>
    <w:p>
      <w:pPr>
        <w:pStyle w:val="98"/>
        <w:keepNext w:val="0"/>
        <w:keepLines w:val="0"/>
        <w:pageBreakBefore w:val="0"/>
        <w:kinsoku/>
        <w:wordWrap/>
        <w:overflowPunct/>
        <w:topLinePunct w:val="0"/>
        <w:autoSpaceDE/>
        <w:autoSpaceDN/>
        <w:bidi w:val="0"/>
        <w:snapToGrid/>
        <w:spacing w:line="440" w:lineRule="exact"/>
        <w:ind w:left="1" w:firstLine="480" w:firstLineChars="200"/>
        <w:rPr>
          <w:rFonts w:hint="eastAsia" w:ascii="宋体" w:hAnsi="宋体" w:eastAsia="宋体" w:cs="宋体"/>
          <w:color w:val="auto"/>
          <w:sz w:val="24"/>
          <w:highlight w:val="none"/>
        </w:rPr>
      </w:pPr>
      <w:bookmarkStart w:id="733" w:name="_Toc30245"/>
      <w:bookmarkStart w:id="734" w:name="_Toc16053"/>
      <w:bookmarkStart w:id="735" w:name="_Toc6489"/>
      <w:bookmarkStart w:id="736" w:name="_Toc23850"/>
      <w:bookmarkStart w:id="737" w:name="_Toc19794"/>
      <w:bookmarkStart w:id="738" w:name="_Toc20790"/>
      <w:bookmarkStart w:id="739" w:name="_Toc24472"/>
      <w:bookmarkStart w:id="740" w:name="_Toc12830"/>
      <w:r>
        <w:rPr>
          <w:rFonts w:hint="eastAsia" w:ascii="宋体" w:hAnsi="宋体" w:eastAsia="宋体" w:cs="宋体"/>
          <w:color w:val="auto"/>
          <w:sz w:val="24"/>
          <w:highlight w:val="none"/>
        </w:rPr>
        <w:t>本单位对上述承诺的内容事项真实性负责。如经查实上述承诺的内容事项存在虚假，我单位愿意接受以提供虚假材料谋取中标追究法律责任。</w:t>
      </w:r>
      <w:bookmarkEnd w:id="733"/>
      <w:bookmarkEnd w:id="734"/>
      <w:bookmarkEnd w:id="735"/>
      <w:bookmarkEnd w:id="736"/>
      <w:bookmarkEnd w:id="737"/>
      <w:bookmarkEnd w:id="738"/>
      <w:bookmarkEnd w:id="739"/>
      <w:bookmarkEnd w:id="740"/>
      <w:bookmarkStart w:id="741" w:name="_Toc1978"/>
      <w:bookmarkStart w:id="742" w:name="_Toc31769"/>
      <w:bookmarkStart w:id="743" w:name="_Toc31072"/>
    </w:p>
    <w:bookmarkEnd w:id="681"/>
    <w:bookmarkEnd w:id="741"/>
    <w:bookmarkEnd w:id="742"/>
    <w:bookmarkEnd w:id="743"/>
    <w:p>
      <w:pPr>
        <w:pStyle w:val="20"/>
        <w:keepNext w:val="0"/>
        <w:keepLines w:val="0"/>
        <w:pageBreakBefore w:val="0"/>
        <w:kinsoku/>
        <w:wordWrap/>
        <w:overflowPunct/>
        <w:topLinePunct w:val="0"/>
        <w:autoSpaceDE/>
        <w:autoSpaceDN/>
        <w:bidi w:val="0"/>
        <w:snapToGrid/>
        <w:spacing w:line="440" w:lineRule="exact"/>
        <w:ind w:firstLine="680" w:firstLineChars="200"/>
        <w:rPr>
          <w:rFonts w:hint="eastAsia" w:ascii="宋体" w:hAnsi="宋体" w:eastAsia="宋体" w:cs="宋体"/>
          <w:color w:val="auto"/>
          <w:highlight w:val="none"/>
          <w:lang w:eastAsia="zh-CN"/>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1"/>
        <w:rPr>
          <w:rFonts w:hint="eastAsia" w:ascii="宋体" w:hAnsi="宋体" w:eastAsia="宋体" w:cs="宋体"/>
          <w:color w:val="auto"/>
          <w:sz w:val="24"/>
          <w:highlight w:val="none"/>
          <w:u w:val="single"/>
        </w:rPr>
      </w:pPr>
      <w:bookmarkStart w:id="744" w:name="_Toc7425"/>
      <w:bookmarkStart w:id="745" w:name="_Toc20825"/>
      <w:bookmarkStart w:id="746" w:name="_Toc1225"/>
      <w:bookmarkStart w:id="747" w:name="_Toc9398"/>
      <w:bookmarkStart w:id="748" w:name="_Toc24978"/>
      <w:bookmarkStart w:id="749" w:name="_Toc18379"/>
      <w:bookmarkStart w:id="750" w:name="_Toc16562"/>
      <w:bookmarkStart w:id="751" w:name="_Toc22655"/>
      <w:bookmarkStart w:id="752" w:name="_Toc7675"/>
      <w:bookmarkStart w:id="753" w:name="_Toc11278"/>
      <w:bookmarkStart w:id="754" w:name="_Toc27985"/>
      <w:bookmarkStart w:id="755" w:name="_Toc19589"/>
      <w:bookmarkStart w:id="756" w:name="_Toc20707"/>
      <w:bookmarkStart w:id="757" w:name="_Toc28813"/>
      <w:bookmarkStart w:id="758" w:name="_Toc3346"/>
      <w:r>
        <w:rPr>
          <w:rFonts w:hint="eastAsia" w:hAnsi="宋体" w:eastAsia="宋体" w:cs="宋体"/>
          <w:color w:val="auto"/>
          <w:sz w:val="24"/>
          <w:highlight w:val="none"/>
          <w:lang w:val="en-US" w:eastAsia="zh-CN"/>
        </w:rPr>
        <w:t>投标人</w:t>
      </w:r>
      <w:r>
        <w:rPr>
          <w:rFonts w:hint="eastAsia" w:ascii="宋体" w:hAnsi="宋体" w:eastAsia="宋体" w:cs="宋体"/>
          <w:color w:val="auto"/>
          <w:sz w:val="24"/>
          <w:highlight w:val="none"/>
        </w:rPr>
        <w:t>单位名称：</w:t>
      </w:r>
      <w:r>
        <w:rPr>
          <w:rFonts w:hint="eastAsia" w:ascii="宋体" w:hAnsi="宋体" w:eastAsia="宋体" w:cs="宋体"/>
          <w:color w:val="auto"/>
          <w:sz w:val="24"/>
          <w:highlight w:val="none"/>
          <w:u w:val="single"/>
        </w:rPr>
        <w:t xml:space="preserve"> </w:t>
      </w:r>
      <w:r>
        <w:rPr>
          <w:rFonts w:hint="eastAsia" w:hAnsi="宋体" w:eastAsia="宋体" w:cs="宋体"/>
          <w:color w:val="auto"/>
          <w:sz w:val="24"/>
          <w:highlight w:val="none"/>
          <w:u w:val="single"/>
          <w:lang w:val="en-US" w:eastAsia="zh-CN"/>
        </w:rPr>
        <w:t xml:space="preserve">         （电子印章）                          </w:t>
      </w:r>
      <w:r>
        <w:rPr>
          <w:rFonts w:hint="eastAsia" w:ascii="宋体" w:hAnsi="宋体" w:eastAsia="宋体" w:cs="宋体"/>
          <w:color w:val="auto"/>
          <w:sz w:val="24"/>
          <w:highlight w:val="none"/>
          <w:u w:val="single"/>
        </w:rPr>
        <w:t xml:space="preserve">              </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Start w:id="759" w:name="_Toc478"/>
      <w:bookmarkStart w:id="760" w:name="_Toc12709"/>
      <w:bookmarkStart w:id="761" w:name="_Toc11341"/>
      <w:bookmarkStart w:id="762" w:name="_Toc10945"/>
      <w:bookmarkStart w:id="763" w:name="_Toc10308"/>
      <w:bookmarkStart w:id="764" w:name="_Toc17279"/>
      <w:bookmarkStart w:id="765" w:name="_Toc1319"/>
      <w:bookmarkStart w:id="766" w:name="_Toc21578"/>
      <w:bookmarkStart w:id="767" w:name="_Toc23452"/>
      <w:bookmarkStart w:id="768" w:name="_Toc14781"/>
      <w:bookmarkStart w:id="769" w:name="_Toc12257"/>
      <w:bookmarkStart w:id="770" w:name="_Toc28992"/>
      <w:bookmarkStart w:id="771" w:name="_Toc7239"/>
      <w:bookmarkStart w:id="772" w:name="_Toc26239"/>
      <w:r>
        <w:rPr>
          <w:rFonts w:hint="eastAsia" w:ascii="宋体" w:hAnsi="宋体" w:eastAsia="宋体" w:cs="宋体"/>
          <w:color w:val="auto"/>
          <w:sz w:val="24"/>
          <w:highlight w:val="none"/>
          <w:u w:val="single"/>
        </w:rPr>
        <w:t xml:space="preserve">           </w:t>
      </w:r>
    </w:p>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Pr>
        <w:pStyle w:val="9"/>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投标日期：</w:t>
      </w:r>
      <w:r>
        <w:rPr>
          <w:rFonts w:hint="eastAsia" w:ascii="宋体" w:hAnsi="宋体" w:eastAsia="宋体" w:cs="宋体"/>
          <w:color w:val="auto"/>
          <w:sz w:val="24"/>
          <w:highlight w:val="none"/>
          <w:u w:val="single"/>
        </w:rPr>
        <w:t xml:space="preserve"> </w:t>
      </w:r>
      <w:r>
        <w:rPr>
          <w:rFonts w:hint="eastAsia"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日</w:t>
      </w: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pStyle w:val="9"/>
        <w:rPr>
          <w:rFonts w:hint="eastAsia" w:ascii="宋体" w:hAnsi="宋体" w:eastAsia="宋体" w:cs="宋体"/>
          <w:color w:val="auto"/>
          <w:sz w:val="24"/>
          <w:highlight w:val="none"/>
        </w:rPr>
      </w:pPr>
    </w:p>
    <w:p>
      <w:pPr>
        <w:widowControl/>
        <w:spacing w:line="240" w:lineRule="auto"/>
        <w:rPr>
          <w:rFonts w:hint="eastAsia" w:ascii="宋体" w:hAnsi="宋体" w:eastAsia="宋体" w:cs="宋体"/>
          <w:b/>
          <w:color w:val="auto"/>
          <w:sz w:val="32"/>
          <w:szCs w:val="32"/>
          <w:highlight w:val="none"/>
          <w:lang w:val="en-US" w:eastAsia="zh-CN"/>
        </w:rPr>
      </w:pPr>
      <w:bookmarkStart w:id="773" w:name="_Toc5703"/>
      <w:bookmarkStart w:id="774" w:name="_Toc15099"/>
      <w:bookmarkStart w:id="775" w:name="_Toc29553"/>
      <w:bookmarkStart w:id="776" w:name="_Toc15039"/>
      <w:bookmarkStart w:id="777" w:name="_Toc24054"/>
      <w:bookmarkStart w:id="778" w:name="_Toc25418"/>
      <w:bookmarkStart w:id="779" w:name="_Toc25341"/>
      <w:bookmarkStart w:id="780" w:name="_Toc27185"/>
      <w:bookmarkStart w:id="781" w:name="_Toc27168"/>
      <w:bookmarkStart w:id="782" w:name="_Toc29495"/>
      <w:bookmarkStart w:id="783" w:name="_Toc31573"/>
      <w:bookmarkStart w:id="784" w:name="_Toc217446082"/>
      <w:bookmarkStart w:id="785" w:name="_Toc5329"/>
      <w:bookmarkStart w:id="786" w:name="_Toc31359"/>
      <w:bookmarkStart w:id="787" w:name="_Toc25720"/>
      <w:r>
        <w:rPr>
          <w:rFonts w:hint="eastAsia" w:ascii="宋体" w:hAnsi="宋体" w:eastAsia="宋体" w:cs="宋体"/>
          <w:b/>
          <w:color w:val="auto"/>
          <w:sz w:val="32"/>
          <w:szCs w:val="32"/>
          <w:highlight w:val="none"/>
        </w:rPr>
        <w:t>格式1-</w:t>
      </w:r>
      <w:r>
        <w:rPr>
          <w:rFonts w:hint="eastAsia" w:hAnsi="宋体" w:eastAsia="宋体" w:cs="宋体"/>
          <w:b/>
          <w:color w:val="auto"/>
          <w:sz w:val="32"/>
          <w:szCs w:val="32"/>
          <w:highlight w:val="none"/>
          <w:lang w:val="en-US" w:eastAsia="zh-CN"/>
        </w:rPr>
        <w:t>2</w:t>
      </w:r>
    </w:p>
    <w:p>
      <w:pPr>
        <w:widowControl/>
        <w:spacing w:line="360" w:lineRule="atLeast"/>
        <w:jc w:val="center"/>
        <w:outlineLvl w:val="1"/>
        <w:rPr>
          <w:rFonts w:hint="eastAsia" w:ascii="宋体" w:hAnsi="宋体" w:eastAsia="宋体" w:cs="宋体"/>
          <w:b/>
          <w:color w:val="auto"/>
          <w:sz w:val="32"/>
          <w:szCs w:val="32"/>
          <w:highlight w:val="none"/>
        </w:rPr>
      </w:pPr>
      <w:bookmarkStart w:id="788" w:name="_Toc6918"/>
      <w:r>
        <w:rPr>
          <w:rFonts w:hint="eastAsia" w:ascii="宋体" w:hAnsi="宋体" w:eastAsia="宋体" w:cs="宋体"/>
          <w:b/>
          <w:color w:val="auto"/>
          <w:sz w:val="32"/>
          <w:szCs w:val="32"/>
          <w:highlight w:val="none"/>
        </w:rPr>
        <w:t>承诺函(如涉及)</w:t>
      </w:r>
      <w:bookmarkEnd w:id="788"/>
    </w:p>
    <w:p>
      <w:pPr>
        <w:widowControl/>
        <w:spacing w:line="360" w:lineRule="atLeast"/>
        <w:jc w:val="center"/>
        <w:rPr>
          <w:rFonts w:hint="eastAsia" w:ascii="宋体" w:hAnsi="宋体" w:eastAsia="宋体" w:cs="宋体"/>
          <w:b/>
          <w:color w:val="auto"/>
          <w:highlight w:val="none"/>
        </w:rPr>
      </w:pPr>
    </w:p>
    <w:p>
      <w:pPr>
        <w:keepNext w:val="0"/>
        <w:keepLines w:val="0"/>
        <w:pageBreakBefore w:val="0"/>
        <w:widowControl/>
        <w:kinsoku/>
        <w:wordWrap/>
        <w:overflowPunct/>
        <w:topLinePunct w:val="0"/>
        <w:autoSpaceDE/>
        <w:autoSpaceDN/>
        <w:bidi w:val="0"/>
        <w:adjustRightInd/>
        <w:snapToGrid/>
        <w:spacing w:line="440" w:lineRule="exact"/>
        <w:jc w:val="left"/>
        <w:textAlignment w:val="auto"/>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（采购代理机构名称）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我单位作为本次采购项目的投标人，现郑重承诺如下：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根据本项目招标文件第四章资格证明要求中第</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项，我单位应具备</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（备案、登记、其他证照）。但因我单位所在地已对上述备案、登记、其他证照实行“多证合一”，故在此次采购活动中提供满足资格要求：</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（营业执照中对该备案、登记、其他证照的描述）的“多证合一”营业执照。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我单位对上述承诺的内容事项真实性负责。如经查实上述承诺内容存在虚假，我单位愿意接受以提供虚假材料谋取</w:t>
      </w:r>
      <w:r>
        <w:rPr>
          <w:rFonts w:hint="eastAsia" w:hAnsi="宋体" w:eastAsia="宋体" w:cs="宋体"/>
          <w:bCs/>
          <w:color w:val="auto"/>
          <w:sz w:val="24"/>
          <w:szCs w:val="24"/>
          <w:highlight w:val="none"/>
          <w:lang w:eastAsia="zh-CN"/>
        </w:rPr>
        <w:t>中标</w:t>
      </w:r>
      <w:r>
        <w:rPr>
          <w:rFonts w:hint="eastAsia" w:ascii="宋体" w:hAnsi="宋体" w:eastAsia="宋体" w:cs="宋体"/>
          <w:bCs/>
          <w:color w:val="auto"/>
          <w:sz w:val="24"/>
          <w:szCs w:val="24"/>
          <w:highlight w:val="none"/>
        </w:rPr>
        <w:t>追究法律责任。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highlight w:val="none"/>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1"/>
        <w:rPr>
          <w:rFonts w:hint="eastAsia" w:ascii="宋体" w:hAnsi="宋体" w:eastAsia="宋体" w:cs="宋体"/>
          <w:color w:val="auto"/>
          <w:sz w:val="24"/>
          <w:highlight w:val="none"/>
          <w:u w:val="single"/>
        </w:rPr>
      </w:pPr>
      <w:r>
        <w:rPr>
          <w:rFonts w:hint="eastAsia" w:hAnsi="宋体" w:eastAsia="宋体" w:cs="宋体"/>
          <w:color w:val="auto"/>
          <w:sz w:val="24"/>
          <w:highlight w:val="none"/>
          <w:lang w:val="en-US" w:eastAsia="zh-CN"/>
        </w:rPr>
        <w:t>投标人</w:t>
      </w:r>
      <w:r>
        <w:rPr>
          <w:rFonts w:hint="eastAsia" w:ascii="宋体" w:hAnsi="宋体" w:eastAsia="宋体" w:cs="宋体"/>
          <w:color w:val="auto"/>
          <w:sz w:val="24"/>
          <w:highlight w:val="none"/>
        </w:rPr>
        <w:t>单位名称：</w:t>
      </w:r>
      <w:r>
        <w:rPr>
          <w:rFonts w:hint="eastAsia" w:ascii="宋体" w:hAnsi="宋体" w:eastAsia="宋体" w:cs="宋体"/>
          <w:color w:val="auto"/>
          <w:sz w:val="24"/>
          <w:highlight w:val="none"/>
          <w:u w:val="single"/>
        </w:rPr>
        <w:t xml:space="preserve"> </w:t>
      </w:r>
      <w:r>
        <w:rPr>
          <w:rFonts w:hint="eastAsia" w:hAnsi="宋体" w:eastAsia="宋体" w:cs="宋体"/>
          <w:color w:val="auto"/>
          <w:sz w:val="24"/>
          <w:highlight w:val="none"/>
          <w:u w:val="single"/>
          <w:lang w:val="en-US" w:eastAsia="zh-CN"/>
        </w:rPr>
        <w:t xml:space="preserve">         （电子印章）                          </w:t>
      </w:r>
      <w:r>
        <w:rPr>
          <w:rFonts w:hint="eastAsia" w:ascii="宋体" w:hAnsi="宋体" w:eastAsia="宋体" w:cs="宋体"/>
          <w:color w:val="auto"/>
          <w:sz w:val="24"/>
          <w:highlight w:val="none"/>
          <w:u w:val="single"/>
        </w:rPr>
        <w:t xml:space="preserve">                         </w:t>
      </w:r>
    </w:p>
    <w:p>
      <w:pPr>
        <w:pStyle w:val="9"/>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投标日期：</w:t>
      </w:r>
      <w:r>
        <w:rPr>
          <w:rFonts w:hint="eastAsia" w:ascii="宋体" w:hAnsi="宋体" w:eastAsia="宋体" w:cs="宋体"/>
          <w:color w:val="auto"/>
          <w:sz w:val="24"/>
          <w:highlight w:val="none"/>
          <w:u w:val="single"/>
        </w:rPr>
        <w:t xml:space="preserve"> </w:t>
      </w:r>
      <w:r>
        <w:rPr>
          <w:rFonts w:hint="eastAsia"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注：1.根据国务院办公厅关于加快推进“多证合一”改革的指导意见（国办发【2017】41号）等政策要求，若资格要求涉及的登记、备案等有关事项和各类证照已实行多证合一导致供应商无法提供该类证明材料的，供应商须提供该承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2.若已提供资格要求涉及的登记、备案等有关事项和各类证照的证明材料，无需提供该承诺。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3.若本项目资格要求不涉及，无需提供该承诺。</w:t>
      </w:r>
    </w:p>
    <w:p>
      <w:pPr>
        <w:rPr>
          <w:rFonts w:hint="eastAsia" w:ascii="宋体" w:hAnsi="宋体" w:eastAsia="宋体" w:cs="宋体"/>
          <w:bCs/>
          <w:color w:val="auto"/>
          <w:sz w:val="28"/>
          <w:szCs w:val="28"/>
          <w:highlight w:val="none"/>
        </w:rPr>
      </w:pPr>
    </w:p>
    <w:p>
      <w:pPr>
        <w:rPr>
          <w:rFonts w:hint="eastAsia" w:ascii="宋体" w:hAnsi="宋体" w:eastAsia="宋体" w:cs="宋体"/>
          <w:bCs/>
          <w:color w:val="auto"/>
          <w:highlight w:val="none"/>
        </w:rPr>
      </w:pPr>
    </w:p>
    <w:p>
      <w:pPr>
        <w:pStyle w:val="9"/>
        <w:rPr>
          <w:rFonts w:hint="eastAsia"/>
          <w:color w:val="auto"/>
        </w:rPr>
      </w:pPr>
    </w:p>
    <w:p>
      <w:pPr>
        <w:rPr>
          <w:rFonts w:hint="eastAsia" w:ascii="宋体" w:hAnsi="宋体" w:eastAsia="宋体" w:cs="宋体"/>
          <w:b/>
          <w:color w:val="auto"/>
          <w:sz w:val="32"/>
          <w:highlight w:val="none"/>
        </w:rPr>
      </w:pPr>
    </w:p>
    <w:p>
      <w:pPr>
        <w:pStyle w:val="4"/>
        <w:spacing w:line="400" w:lineRule="exact"/>
        <w:jc w:val="both"/>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格式1-</w:t>
      </w:r>
      <w:bookmarkEnd w:id="773"/>
      <w:bookmarkEnd w:id="774"/>
      <w:bookmarkEnd w:id="775"/>
      <w:r>
        <w:rPr>
          <w:rFonts w:hint="eastAsia" w:ascii="宋体" w:hAnsi="宋体" w:eastAsia="宋体" w:cs="宋体"/>
          <w:b/>
          <w:bCs/>
          <w:color w:val="auto"/>
          <w:highlight w:val="none"/>
          <w:lang w:val="en-US" w:eastAsia="zh-CN"/>
        </w:rPr>
        <w:t>3</w:t>
      </w:r>
    </w:p>
    <w:bookmarkEnd w:id="776"/>
    <w:bookmarkEnd w:id="777"/>
    <w:bookmarkEnd w:id="778"/>
    <w:bookmarkEnd w:id="779"/>
    <w:bookmarkEnd w:id="780"/>
    <w:bookmarkEnd w:id="781"/>
    <w:bookmarkEnd w:id="782"/>
    <w:bookmarkEnd w:id="783"/>
    <w:p>
      <w:pPr>
        <w:pStyle w:val="4"/>
        <w:spacing w:line="400" w:lineRule="exact"/>
        <w:jc w:val="center"/>
        <w:rPr>
          <w:rFonts w:hint="eastAsia" w:ascii="宋体" w:hAnsi="宋体" w:eastAsia="宋体" w:cs="宋体"/>
          <w:color w:val="auto"/>
          <w:highlight w:val="none"/>
        </w:rPr>
      </w:pPr>
      <w:r>
        <w:rPr>
          <w:rFonts w:hint="eastAsia" w:ascii="宋体" w:hAnsi="宋体" w:eastAsia="宋体" w:cs="宋体"/>
          <w:b/>
          <w:bCs/>
          <w:color w:val="auto"/>
          <w:sz w:val="32"/>
          <w:szCs w:val="32"/>
          <w:highlight w:val="none"/>
          <w:lang w:val="en-US" w:eastAsia="zh-CN" w:bidi="ar-SA"/>
        </w:rPr>
        <w:t>资格要求的相关证明材料</w:t>
      </w:r>
    </w:p>
    <w:p>
      <w:pPr>
        <w:keepNext w:val="0"/>
        <w:keepLines w:val="0"/>
        <w:pageBreakBefore w:val="0"/>
        <w:kinsoku/>
        <w:wordWrap/>
        <w:overflowPunct/>
        <w:topLinePunct w:val="0"/>
        <w:autoSpaceDE/>
        <w:autoSpaceDN/>
        <w:bidi w:val="0"/>
        <w:adjustRightInd/>
        <w:snapToGrid/>
        <w:spacing w:after="50" w:line="440" w:lineRule="exact"/>
        <w:ind w:firstLine="482" w:firstLineChars="200"/>
        <w:textAlignment w:val="auto"/>
        <w:outlineLvl w:val="2"/>
        <w:rPr>
          <w:rFonts w:hint="eastAsia" w:ascii="宋体" w:hAnsi="宋体" w:eastAsia="宋体" w:cs="宋体"/>
          <w:b/>
          <w:bCs/>
          <w:color w:val="auto"/>
          <w:sz w:val="24"/>
          <w:highlight w:val="none"/>
        </w:rPr>
      </w:pPr>
      <w:r>
        <w:rPr>
          <w:rFonts w:hint="eastAsia" w:hAnsi="宋体" w:eastAsia="宋体" w:cs="宋体"/>
          <w:b/>
          <w:bCs/>
          <w:color w:val="auto"/>
          <w:sz w:val="24"/>
          <w:highlight w:val="none"/>
          <w:lang w:val="en-US" w:eastAsia="zh-CN"/>
        </w:rPr>
        <w:t>1.</w:t>
      </w:r>
      <w:r>
        <w:rPr>
          <w:rFonts w:hint="eastAsia" w:ascii="宋体" w:hAnsi="宋体" w:eastAsia="宋体" w:cs="宋体"/>
          <w:b/>
          <w:bCs/>
          <w:color w:val="auto"/>
          <w:sz w:val="24"/>
          <w:highlight w:val="none"/>
        </w:rPr>
        <w:t>具有独立承担民事责任的能力。提供以下证明材料：</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①投标人为企业法人的提交有效的“统一社会信用代码的营业执照”未换证的提交有效的“营业执照、组织机构代码证、税务登记证”</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②投标人为事业法人的提交有效的“统一社会信用代码的事业单位法人证书”未换证的提交有效的“事业单位法人证书或组织机构代码证”</w:t>
      </w:r>
      <w:r>
        <w:rPr>
          <w:rFonts w:hint="eastAsia" w:ascii="宋体" w:hAnsi="宋体" w:eastAsia="宋体" w:cs="宋体"/>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③投标人为其他组织的提交有效的“统一社会信用代码的社会团体法人登记证书”或“统一社会信用代码的民办非企业单位登记证书”或“统一社会信用代码的基金会法人登记证书”，未换证的提交有效的“社会团体法人登记证书”或“民办非企业单位登记证书”或“基金会法人登记证书”和“组织机构代码证”；</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④投标人为个体工商户的提交有效的“统一社会信用代码的营业执照”或“营业执照、税务登记证”</w:t>
      </w:r>
      <w:r>
        <w:rPr>
          <w:rFonts w:hint="eastAsia" w:ascii="宋体" w:hAnsi="宋体" w:eastAsia="宋体" w:cs="宋体"/>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⑤供应商为自然人的，提供“身份证明文件”。</w:t>
      </w:r>
    </w:p>
    <w:p>
      <w:pPr>
        <w:pStyle w:val="9"/>
        <w:ind w:left="0" w:leftChars="0" w:firstLine="0" w:firstLineChars="0"/>
        <w:rPr>
          <w:rFonts w:hint="eastAsia" w:ascii="宋体" w:hAnsi="宋体" w:eastAsia="宋体" w:cs="宋体"/>
          <w:color w:val="auto"/>
          <w:sz w:val="24"/>
          <w:highlight w:val="none"/>
        </w:rPr>
      </w:pPr>
    </w:p>
    <w:p>
      <w:pPr>
        <w:keepNext w:val="0"/>
        <w:keepLines w:val="0"/>
        <w:pageBreakBefore w:val="0"/>
        <w:kinsoku/>
        <w:wordWrap/>
        <w:overflowPunct/>
        <w:topLinePunct w:val="0"/>
        <w:autoSpaceDE/>
        <w:autoSpaceDN/>
        <w:bidi w:val="0"/>
        <w:adjustRightInd/>
        <w:snapToGrid/>
        <w:spacing w:after="50" w:line="440" w:lineRule="exact"/>
        <w:ind w:firstLine="241" w:firstLineChars="100"/>
        <w:textAlignment w:val="auto"/>
        <w:outlineLvl w:val="2"/>
        <w:rPr>
          <w:rFonts w:hint="eastAsia" w:ascii="宋体" w:hAnsi="宋体" w:eastAsia="宋体" w:cs="宋体"/>
          <w:b/>
          <w:bCs/>
          <w:color w:val="auto"/>
          <w:sz w:val="24"/>
          <w:highlight w:val="none"/>
        </w:rPr>
      </w:pPr>
      <w:r>
        <w:rPr>
          <w:rFonts w:hint="eastAsia" w:hAnsi="宋体" w:eastAsia="宋体" w:cs="宋体"/>
          <w:b/>
          <w:bCs/>
          <w:color w:val="auto"/>
          <w:sz w:val="24"/>
          <w:highlight w:val="none"/>
          <w:lang w:val="en-US" w:eastAsia="zh-CN"/>
        </w:rPr>
        <w:t>2.</w:t>
      </w:r>
      <w:r>
        <w:rPr>
          <w:rFonts w:hint="eastAsia" w:ascii="宋体" w:hAnsi="宋体" w:eastAsia="宋体" w:cs="宋体"/>
          <w:b/>
          <w:bCs/>
          <w:color w:val="auto"/>
          <w:sz w:val="24"/>
          <w:highlight w:val="none"/>
        </w:rPr>
        <w:t>具备良好的商业信誉和健全的财务会计制度。提供以下证明材料：</w:t>
      </w:r>
    </w:p>
    <w:p>
      <w:pPr>
        <w:keepNext w:val="0"/>
        <w:keepLines w:val="0"/>
        <w:pageBreakBefore w:val="0"/>
        <w:kinsoku/>
        <w:wordWrap/>
        <w:overflowPunct/>
        <w:topLinePunct w:val="0"/>
        <w:autoSpaceDE/>
        <w:autoSpaceDN/>
        <w:bidi w:val="0"/>
        <w:adjustRightInd/>
        <w:snapToGrid/>
        <w:spacing w:after="50" w:line="440" w:lineRule="exact"/>
        <w:ind w:firstLine="482" w:firstLineChars="200"/>
        <w:textAlignment w:val="auto"/>
        <w:outlineLvl w:val="9"/>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rPr>
        <w:t>具备良好的商业信誉</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提供以下证明材料</w:t>
      </w:r>
      <w:r>
        <w:rPr>
          <w:rFonts w:hint="eastAsia" w:ascii="宋体" w:hAnsi="宋体" w:eastAsia="宋体" w:cs="宋体"/>
          <w:b/>
          <w:bCs/>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b/>
          <w:bCs/>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rPr>
        <w:t>①提供</w:t>
      </w:r>
      <w:r>
        <w:rPr>
          <w:rFonts w:hint="eastAsia" w:ascii="宋体" w:hAnsi="宋体" w:eastAsia="宋体" w:cs="宋体"/>
          <w:color w:val="auto"/>
          <w:sz w:val="24"/>
          <w:szCs w:val="22"/>
          <w:highlight w:val="none"/>
        </w:rPr>
        <w:t>具有良好的商业信誉</w:t>
      </w:r>
      <w:r>
        <w:rPr>
          <w:rFonts w:hint="eastAsia" w:ascii="宋体" w:hAnsi="宋体" w:eastAsia="宋体" w:cs="宋体"/>
          <w:color w:val="auto"/>
          <w:sz w:val="24"/>
          <w:szCs w:val="22"/>
          <w:highlight w:val="none"/>
          <w:lang w:val="en-US" w:eastAsia="zh-CN"/>
        </w:rPr>
        <w:t>的承诺函原件（</w:t>
      </w:r>
      <w:r>
        <w:rPr>
          <w:rFonts w:hint="eastAsia" w:ascii="宋体" w:hAnsi="宋体" w:eastAsia="宋体" w:cs="宋体"/>
          <w:b/>
          <w:bCs/>
          <w:color w:val="auto"/>
          <w:sz w:val="24"/>
          <w:szCs w:val="22"/>
          <w:highlight w:val="none"/>
          <w:lang w:val="en-US" w:eastAsia="zh-CN" w:bidi="ar-SA"/>
        </w:rPr>
        <w:t>已经按照招标文件格式要求提供承诺函原件的，可不再另行提供）</w:t>
      </w:r>
    </w:p>
    <w:p>
      <w:pPr>
        <w:keepNext w:val="0"/>
        <w:keepLines w:val="0"/>
        <w:pageBreakBefore w:val="0"/>
        <w:kinsoku/>
        <w:wordWrap/>
        <w:overflowPunct/>
        <w:topLinePunct w:val="0"/>
        <w:autoSpaceDE/>
        <w:autoSpaceDN/>
        <w:bidi w:val="0"/>
        <w:adjustRightInd/>
        <w:snapToGrid/>
        <w:spacing w:after="50" w:line="440" w:lineRule="exact"/>
        <w:ind w:firstLine="482" w:firstLineChars="200"/>
        <w:textAlignment w:val="auto"/>
        <w:outlineLvl w:val="9"/>
        <w:rPr>
          <w:rFonts w:hint="eastAsia" w:ascii="宋体" w:hAnsi="宋体" w:eastAsia="宋体" w:cs="宋体"/>
          <w:b/>
          <w:bCs/>
          <w:color w:val="auto"/>
          <w:sz w:val="24"/>
          <w:szCs w:val="22"/>
          <w:highlight w:val="none"/>
          <w:lang w:val="en-US" w:eastAsia="zh-CN"/>
        </w:rPr>
      </w:pPr>
      <w:r>
        <w:rPr>
          <w:rFonts w:hint="eastAsia" w:ascii="宋体" w:hAnsi="宋体" w:eastAsia="宋体" w:cs="宋体"/>
          <w:b/>
          <w:bCs/>
          <w:color w:val="auto"/>
          <w:sz w:val="24"/>
          <w:szCs w:val="22"/>
          <w:highlight w:val="none"/>
          <w:lang w:val="en-US" w:eastAsia="zh-CN"/>
        </w:rPr>
        <w:t>（2）</w:t>
      </w:r>
      <w:r>
        <w:rPr>
          <w:rFonts w:hint="eastAsia" w:ascii="宋体" w:hAnsi="宋体" w:eastAsia="宋体" w:cs="宋体"/>
          <w:b/>
          <w:bCs/>
          <w:color w:val="auto"/>
          <w:sz w:val="24"/>
          <w:szCs w:val="22"/>
          <w:highlight w:val="none"/>
        </w:rPr>
        <w:t>具有</w:t>
      </w:r>
      <w:r>
        <w:rPr>
          <w:rFonts w:hint="eastAsia" w:ascii="宋体" w:hAnsi="宋体" w:eastAsia="宋体" w:cs="宋体"/>
          <w:b/>
          <w:bCs/>
          <w:color w:val="auto"/>
          <w:sz w:val="24"/>
          <w:szCs w:val="22"/>
          <w:highlight w:val="none"/>
          <w:lang w:val="en-US" w:eastAsia="zh-CN"/>
        </w:rPr>
        <w:t>健全的财务会计制度</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提供以下证明材料</w:t>
      </w:r>
      <w:r>
        <w:rPr>
          <w:rFonts w:hint="eastAsia" w:ascii="宋体" w:hAnsi="宋体" w:eastAsia="宋体" w:cs="宋体"/>
          <w:b/>
          <w:bCs/>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①2019年度或2020年度任一年度的经审计的财务报告（应包含审计报告和审计报告中所涉及的财务报表和报表附注）；</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②距递交投标文件截止时间前一年内银行出具的资信证明（投标人为自然人只须出具距递交投标文件截止时间前一年内银行机构开具的资信证明）；</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③供应商出具的2019年度或2020年度任一年度内部财务报表（应至少包括资产负债表）；</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④供应商单位的财务会计制度；</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⑤供应商单位的验资报告；</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⑥供应商单位公司章程复印件；</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⑦财政部门认可的政府采购专业担保机构出具的投标担保函。</w:t>
      </w:r>
    </w:p>
    <w:p>
      <w:pPr>
        <w:pStyle w:val="20"/>
        <w:keepNext w:val="0"/>
        <w:keepLines w:val="0"/>
        <w:pageBreakBefore w:val="0"/>
        <w:widowControl w:val="0"/>
        <w:kinsoku/>
        <w:wordWrap/>
        <w:overflowPunct/>
        <w:topLinePunct w:val="0"/>
        <w:autoSpaceDE/>
        <w:autoSpaceDN/>
        <w:bidi w:val="0"/>
        <w:adjustRightInd/>
        <w:snapToGrid/>
        <w:spacing w:line="440" w:lineRule="exact"/>
        <w:ind w:left="0" w:leftChars="0" w:firstLine="482" w:firstLineChars="200"/>
        <w:textAlignment w:val="auto"/>
        <w:outlineLvl w:val="9"/>
        <w:rPr>
          <w:rFonts w:hint="eastAsia" w:ascii="宋体" w:hAnsi="宋体" w:eastAsia="宋体" w:cs="宋体"/>
          <w:b/>
          <w:bCs/>
          <w:color w:val="auto"/>
          <w:sz w:val="24"/>
          <w:szCs w:val="22"/>
          <w:highlight w:val="none"/>
          <w:lang w:val="en-US" w:eastAsia="zh-CN" w:bidi="ar-SA"/>
        </w:rPr>
      </w:pPr>
      <w:r>
        <w:rPr>
          <w:rFonts w:hint="eastAsia" w:ascii="宋体" w:hAnsi="宋体" w:eastAsia="宋体" w:cs="宋体"/>
          <w:b/>
          <w:bCs/>
          <w:color w:val="auto"/>
          <w:sz w:val="24"/>
          <w:szCs w:val="22"/>
          <w:highlight w:val="none"/>
          <w:lang w:val="en-US" w:eastAsia="zh-CN" w:bidi="ar-SA"/>
        </w:rPr>
        <w:t>注：①以上1-7项具有同等的投标效力，提供任一项即可。</w:t>
      </w:r>
    </w:p>
    <w:p>
      <w:pPr>
        <w:keepNext w:val="0"/>
        <w:keepLines w:val="0"/>
        <w:pageBreakBefore w:val="0"/>
        <w:kinsoku/>
        <w:wordWrap/>
        <w:overflowPunct/>
        <w:topLinePunct w:val="0"/>
        <w:autoSpaceDE/>
        <w:autoSpaceDN/>
        <w:bidi w:val="0"/>
        <w:adjustRightInd/>
        <w:snapToGrid/>
        <w:spacing w:after="50" w:line="440" w:lineRule="exact"/>
        <w:ind w:firstLine="482" w:firstLineChars="200"/>
        <w:textAlignment w:val="auto"/>
        <w:outlineLvl w:val="2"/>
        <w:rPr>
          <w:rFonts w:hint="eastAsia" w:ascii="宋体" w:hAnsi="宋体" w:eastAsia="宋体" w:cs="宋体"/>
          <w:b/>
          <w:bCs/>
          <w:color w:val="auto"/>
          <w:sz w:val="24"/>
          <w:highlight w:val="none"/>
        </w:rPr>
      </w:pPr>
      <w:r>
        <w:rPr>
          <w:rFonts w:hint="eastAsia" w:hAnsi="宋体" w:eastAsia="宋体" w:cs="宋体"/>
          <w:b/>
          <w:bCs/>
          <w:color w:val="auto"/>
          <w:sz w:val="24"/>
          <w:highlight w:val="none"/>
          <w:lang w:val="en-US" w:eastAsia="zh-CN"/>
        </w:rPr>
        <w:t>3.</w:t>
      </w:r>
      <w:r>
        <w:rPr>
          <w:rFonts w:hint="eastAsia" w:ascii="宋体" w:hAnsi="宋体" w:eastAsia="宋体" w:cs="宋体"/>
          <w:b/>
          <w:bCs/>
          <w:color w:val="auto"/>
          <w:sz w:val="24"/>
          <w:highlight w:val="none"/>
        </w:rPr>
        <w:t>具有依法缴纳税收和社会保障资金的良好记录。提供以下证明材料：</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b/>
          <w:bCs/>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rPr>
        <w:t>①</w:t>
      </w:r>
      <w:r>
        <w:rPr>
          <w:rFonts w:hint="eastAsia" w:ascii="宋体" w:hAnsi="宋体" w:eastAsia="宋体" w:cs="宋体"/>
          <w:color w:val="auto"/>
          <w:sz w:val="24"/>
          <w:szCs w:val="22"/>
          <w:highlight w:val="none"/>
        </w:rPr>
        <w:t>提供依法缴纳税收和社会保障资金的良好记录的承诺函原件</w:t>
      </w:r>
      <w:r>
        <w:rPr>
          <w:rFonts w:hint="eastAsia" w:ascii="宋体" w:hAnsi="宋体" w:eastAsia="宋体" w:cs="宋体"/>
          <w:color w:val="auto"/>
          <w:sz w:val="24"/>
          <w:szCs w:val="22"/>
          <w:highlight w:val="none"/>
          <w:lang w:val="en-US" w:eastAsia="zh-CN"/>
        </w:rPr>
        <w:t>（</w:t>
      </w:r>
      <w:r>
        <w:rPr>
          <w:rFonts w:hint="eastAsia" w:ascii="宋体" w:hAnsi="宋体" w:eastAsia="宋体" w:cs="宋体"/>
          <w:b/>
          <w:bCs/>
          <w:color w:val="auto"/>
          <w:sz w:val="24"/>
          <w:szCs w:val="22"/>
          <w:highlight w:val="none"/>
          <w:lang w:val="en-US" w:eastAsia="zh-CN" w:bidi="ar-SA"/>
        </w:rPr>
        <w:t>已经按照招标文件格式要求提供承诺函原件的，可不再另行提供）</w:t>
      </w:r>
    </w:p>
    <w:p>
      <w:pPr>
        <w:pStyle w:val="86"/>
        <w:keepNext w:val="0"/>
        <w:keepLines w:val="0"/>
        <w:pageBreakBefore w:val="0"/>
        <w:kinsoku/>
        <w:wordWrap/>
        <w:overflowPunct/>
        <w:topLinePunct w:val="0"/>
        <w:autoSpaceDE/>
        <w:autoSpaceDN/>
        <w:bidi w:val="0"/>
        <w:adjustRightInd/>
        <w:snapToGrid/>
        <w:spacing w:line="440" w:lineRule="exact"/>
        <w:ind w:firstLine="482" w:firstLineChars="200"/>
        <w:textAlignment w:val="auto"/>
        <w:outlineLvl w:val="2"/>
        <w:rPr>
          <w:rFonts w:hint="eastAsia" w:ascii="宋体" w:hAnsi="宋体" w:eastAsia="宋体" w:cs="宋体"/>
          <w:b/>
          <w:bCs/>
          <w:color w:val="auto"/>
          <w:sz w:val="24"/>
          <w:highlight w:val="none"/>
        </w:rPr>
      </w:pPr>
      <w:r>
        <w:rPr>
          <w:rFonts w:hint="eastAsia"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具备履行合同所必需的设备和专业技术能力，提供以下证明材料：</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b/>
          <w:bCs/>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rPr>
        <w:t>①提供具备履行合同所必需的设备和专业技术能力的承诺函原件（</w:t>
      </w:r>
      <w:r>
        <w:rPr>
          <w:rFonts w:hint="eastAsia" w:ascii="宋体" w:hAnsi="宋体" w:eastAsia="宋体" w:cs="宋体"/>
          <w:b/>
          <w:bCs/>
          <w:color w:val="auto"/>
          <w:sz w:val="24"/>
          <w:szCs w:val="22"/>
          <w:highlight w:val="none"/>
          <w:lang w:val="en-US" w:eastAsia="zh-CN" w:bidi="ar-SA"/>
        </w:rPr>
        <w:t>已经按照招标文件格式要求提供承诺函原件的，可不再另行提供）</w:t>
      </w:r>
    </w:p>
    <w:p>
      <w:pPr>
        <w:pStyle w:val="86"/>
        <w:keepNext w:val="0"/>
        <w:keepLines w:val="0"/>
        <w:pageBreakBefore w:val="0"/>
        <w:kinsoku/>
        <w:wordWrap/>
        <w:overflowPunct/>
        <w:topLinePunct w:val="0"/>
        <w:autoSpaceDE/>
        <w:autoSpaceDN/>
        <w:bidi w:val="0"/>
        <w:adjustRightInd/>
        <w:snapToGrid/>
        <w:spacing w:line="440" w:lineRule="exact"/>
        <w:ind w:firstLine="482" w:firstLineChars="200"/>
        <w:textAlignment w:val="auto"/>
        <w:outlineLvl w:val="2"/>
        <w:rPr>
          <w:rFonts w:hint="eastAsia" w:ascii="宋体" w:hAnsi="宋体" w:eastAsia="宋体" w:cs="宋体"/>
          <w:b/>
          <w:bCs/>
          <w:color w:val="auto"/>
          <w:sz w:val="24"/>
          <w:szCs w:val="22"/>
          <w:highlight w:val="none"/>
        </w:rPr>
      </w:pPr>
      <w:r>
        <w:rPr>
          <w:rFonts w:hint="eastAsia" w:hAnsi="宋体" w:eastAsia="宋体" w:cs="宋体"/>
          <w:b/>
          <w:bCs/>
          <w:color w:val="auto"/>
          <w:sz w:val="24"/>
          <w:szCs w:val="22"/>
          <w:highlight w:val="none"/>
          <w:lang w:val="en-US" w:eastAsia="zh-CN"/>
        </w:rPr>
        <w:t>5.</w:t>
      </w:r>
      <w:r>
        <w:rPr>
          <w:rFonts w:hint="eastAsia" w:ascii="宋体" w:hAnsi="宋体" w:eastAsia="宋体" w:cs="宋体"/>
          <w:b/>
          <w:bCs/>
          <w:color w:val="auto"/>
          <w:sz w:val="24"/>
          <w:szCs w:val="22"/>
          <w:highlight w:val="none"/>
        </w:rPr>
        <w:t>参加本次政府采购活动前三年内</w:t>
      </w:r>
      <w:r>
        <w:rPr>
          <w:rFonts w:hint="eastAsia" w:ascii="宋体" w:hAnsi="宋体" w:eastAsia="宋体" w:cs="宋体"/>
          <w:b/>
          <w:bCs/>
          <w:color w:val="auto"/>
          <w:sz w:val="24"/>
          <w:szCs w:val="22"/>
          <w:highlight w:val="none"/>
          <w:lang w:eastAsia="zh-CN"/>
        </w:rPr>
        <w:t>，</w:t>
      </w:r>
      <w:r>
        <w:rPr>
          <w:rFonts w:hint="eastAsia" w:ascii="宋体" w:hAnsi="宋体" w:eastAsia="宋体" w:cs="宋体"/>
          <w:b/>
          <w:bCs/>
          <w:color w:val="auto"/>
          <w:sz w:val="24"/>
          <w:szCs w:val="22"/>
          <w:highlight w:val="none"/>
        </w:rPr>
        <w:t>在经营活动中没有重大违法记录，提供以下证明材料：</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b/>
          <w:bCs/>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rPr>
        <w:t>①参加本次政府采购活动前三年内，在经营活动中没有重大违法记录的承诺函原件（</w:t>
      </w:r>
      <w:r>
        <w:rPr>
          <w:rFonts w:hint="eastAsia" w:ascii="宋体" w:hAnsi="宋体" w:eastAsia="宋体" w:cs="宋体"/>
          <w:b/>
          <w:bCs/>
          <w:color w:val="auto"/>
          <w:sz w:val="24"/>
          <w:szCs w:val="22"/>
          <w:highlight w:val="none"/>
          <w:lang w:val="en-US" w:eastAsia="zh-CN" w:bidi="ar-SA"/>
        </w:rPr>
        <w:t>已经按照招标文件格式要求提供承诺函原件的，可不再另行提供）。</w:t>
      </w:r>
    </w:p>
    <w:p>
      <w:pPr>
        <w:pStyle w:val="86"/>
        <w:keepNext w:val="0"/>
        <w:keepLines w:val="0"/>
        <w:pageBreakBefore w:val="0"/>
        <w:kinsoku/>
        <w:wordWrap/>
        <w:overflowPunct/>
        <w:topLinePunct w:val="0"/>
        <w:autoSpaceDE/>
        <w:autoSpaceDN/>
        <w:bidi w:val="0"/>
        <w:adjustRightInd/>
        <w:snapToGrid/>
        <w:spacing w:line="440" w:lineRule="exact"/>
        <w:ind w:firstLine="482" w:firstLineChars="200"/>
        <w:textAlignment w:val="auto"/>
        <w:outlineLvl w:val="2"/>
        <w:rPr>
          <w:rFonts w:hint="eastAsia" w:ascii="宋体" w:hAnsi="宋体" w:eastAsia="宋体" w:cs="宋体"/>
          <w:b/>
          <w:bCs/>
          <w:color w:val="auto"/>
          <w:sz w:val="24"/>
          <w:szCs w:val="22"/>
          <w:highlight w:val="none"/>
        </w:rPr>
      </w:pPr>
      <w:r>
        <w:rPr>
          <w:rFonts w:hint="eastAsia" w:hAnsi="宋体" w:eastAsia="宋体" w:cs="宋体"/>
          <w:b/>
          <w:bCs/>
          <w:color w:val="auto"/>
          <w:sz w:val="24"/>
          <w:szCs w:val="22"/>
          <w:highlight w:val="none"/>
          <w:lang w:val="en-US" w:eastAsia="zh-CN"/>
        </w:rPr>
        <w:t>6.</w:t>
      </w:r>
      <w:r>
        <w:rPr>
          <w:rFonts w:hint="eastAsia" w:ascii="宋体" w:hAnsi="宋体" w:eastAsia="宋体" w:cs="宋体"/>
          <w:b/>
          <w:bCs/>
          <w:color w:val="auto"/>
          <w:sz w:val="24"/>
          <w:szCs w:val="22"/>
          <w:highlight w:val="none"/>
        </w:rPr>
        <w:t>具备法律、行政法规规定的其他条件，提供以下证明材料：</w:t>
      </w:r>
    </w:p>
    <w:p>
      <w:pPr>
        <w:keepNext w:val="0"/>
        <w:keepLines w:val="0"/>
        <w:pageBreakBefore w:val="0"/>
        <w:widowControl w:val="0"/>
        <w:kinsoku/>
        <w:wordWrap/>
        <w:overflowPunct/>
        <w:topLinePunct w:val="0"/>
        <w:autoSpaceDE/>
        <w:autoSpaceDN/>
        <w:bidi w:val="0"/>
        <w:adjustRightInd/>
        <w:snapToGrid/>
        <w:spacing w:after="50" w:line="440" w:lineRule="exact"/>
        <w:ind w:firstLine="480" w:firstLineChars="200"/>
        <w:textAlignment w:val="auto"/>
        <w:outlineLvl w:val="9"/>
        <w:rPr>
          <w:rFonts w:hint="eastAsia" w:ascii="宋体" w:hAnsi="宋体" w:eastAsia="宋体" w:cs="宋体"/>
          <w:b/>
          <w:bCs/>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rPr>
        <w:t>①提供具备法律、行政法规规定的其他条件承诺函原件（</w:t>
      </w:r>
      <w:r>
        <w:rPr>
          <w:rFonts w:hint="eastAsia" w:ascii="宋体" w:hAnsi="宋体" w:eastAsia="宋体" w:cs="宋体"/>
          <w:b/>
          <w:bCs/>
          <w:color w:val="auto"/>
          <w:sz w:val="24"/>
          <w:szCs w:val="22"/>
          <w:highlight w:val="none"/>
          <w:lang w:val="en-US" w:eastAsia="zh-CN" w:bidi="ar-SA"/>
        </w:rPr>
        <w:t>已经按照招标文件格式要求提供承诺函原件的，可不再另行提供）。</w:t>
      </w:r>
    </w:p>
    <w:p>
      <w:pPr>
        <w:pStyle w:val="86"/>
        <w:keepNext w:val="0"/>
        <w:keepLines w:val="0"/>
        <w:pageBreakBefore w:val="0"/>
        <w:kinsoku/>
        <w:wordWrap/>
        <w:overflowPunct/>
        <w:topLinePunct w:val="0"/>
        <w:autoSpaceDE/>
        <w:autoSpaceDN/>
        <w:bidi w:val="0"/>
        <w:adjustRightInd/>
        <w:snapToGrid/>
        <w:spacing w:line="440" w:lineRule="exact"/>
        <w:textAlignment w:val="auto"/>
        <w:outlineLvl w:val="2"/>
        <w:rPr>
          <w:rFonts w:hint="eastAsia" w:ascii="新宋体" w:hAnsi="新宋体" w:eastAsia="新宋体" w:cs="新宋体"/>
          <w:b w:val="0"/>
          <w:bCs w:val="0"/>
          <w:color w:val="auto"/>
          <w:sz w:val="24"/>
          <w:szCs w:val="28"/>
          <w:highlight w:val="none"/>
          <w:lang w:val="en-US" w:eastAsia="zh-CN"/>
        </w:rPr>
      </w:pPr>
      <w:r>
        <w:rPr>
          <w:rFonts w:hint="eastAsia" w:hAnsi="宋体" w:eastAsia="宋体" w:cs="宋体"/>
          <w:b/>
          <w:bCs/>
          <w:color w:val="auto"/>
          <w:sz w:val="24"/>
          <w:szCs w:val="22"/>
          <w:highlight w:val="none"/>
          <w:lang w:val="en-US" w:eastAsia="zh-CN"/>
        </w:rPr>
        <w:t>7.落实政府采购政策需满足的资格要求：无</w:t>
      </w:r>
      <w:r>
        <w:rPr>
          <w:rFonts w:hint="eastAsia" w:ascii="新宋体" w:hAnsi="新宋体" w:eastAsia="新宋体" w:cs="新宋体"/>
          <w:b w:val="0"/>
          <w:bCs w:val="0"/>
          <w:color w:val="auto"/>
          <w:sz w:val="24"/>
          <w:szCs w:val="28"/>
          <w:highlight w:val="none"/>
          <w:lang w:val="en-US" w:eastAsia="zh-CN"/>
        </w:rPr>
        <w:t xml:space="preserve">。                                              </w:t>
      </w:r>
    </w:p>
    <w:p>
      <w:pPr>
        <w:pStyle w:val="20"/>
        <w:ind w:left="0" w:leftChars="0" w:firstLine="0" w:firstLineChars="0"/>
        <w:rPr>
          <w:rFonts w:hint="eastAsia" w:ascii="宋体" w:hAnsi="宋体" w:eastAsia="宋体" w:cs="宋体"/>
          <w:color w:val="auto"/>
          <w:highlight w:val="none"/>
          <w:lang w:val="en-US"/>
        </w:rPr>
      </w:pPr>
    </w:p>
    <w:p>
      <w:pPr>
        <w:pStyle w:val="20"/>
        <w:ind w:left="0" w:leftChars="0" w:firstLine="0" w:firstLineChars="0"/>
        <w:rPr>
          <w:rFonts w:hint="eastAsia" w:ascii="宋体" w:hAnsi="宋体" w:eastAsia="宋体" w:cs="宋体"/>
          <w:color w:val="auto"/>
          <w:highlight w:val="none"/>
          <w:lang w:val="en-US"/>
        </w:rPr>
      </w:pPr>
    </w:p>
    <w:p>
      <w:pPr>
        <w:pStyle w:val="20"/>
        <w:ind w:left="0" w:leftChars="0" w:firstLine="0" w:firstLineChars="0"/>
        <w:rPr>
          <w:rFonts w:hint="eastAsia" w:ascii="宋体" w:hAnsi="宋体" w:eastAsia="宋体" w:cs="宋体"/>
          <w:color w:val="auto"/>
          <w:highlight w:val="none"/>
          <w:lang w:val="en-US"/>
        </w:rPr>
      </w:pPr>
    </w:p>
    <w:p>
      <w:pPr>
        <w:pStyle w:val="20"/>
        <w:ind w:left="0" w:leftChars="0" w:firstLine="0" w:firstLineChars="0"/>
        <w:rPr>
          <w:rFonts w:hint="eastAsia" w:ascii="宋体" w:hAnsi="宋体" w:eastAsia="宋体" w:cs="宋体"/>
          <w:color w:val="auto"/>
          <w:highlight w:val="none"/>
          <w:lang w:val="en-US"/>
        </w:rPr>
      </w:pPr>
    </w:p>
    <w:p>
      <w:pPr>
        <w:pStyle w:val="20"/>
        <w:ind w:left="0" w:leftChars="0" w:firstLine="0" w:firstLineChars="0"/>
        <w:rPr>
          <w:rFonts w:hint="eastAsia" w:ascii="宋体" w:hAnsi="宋体" w:eastAsia="宋体" w:cs="宋体"/>
          <w:color w:val="auto"/>
          <w:highlight w:val="none"/>
          <w:lang w:val="en-US"/>
        </w:rPr>
      </w:pPr>
    </w:p>
    <w:p>
      <w:pPr>
        <w:pStyle w:val="20"/>
        <w:ind w:left="0" w:leftChars="0" w:firstLine="0" w:firstLineChars="0"/>
        <w:rPr>
          <w:rFonts w:hint="eastAsia" w:ascii="宋体" w:hAnsi="宋体" w:eastAsia="宋体" w:cs="宋体"/>
          <w:color w:val="auto"/>
          <w:highlight w:val="none"/>
          <w:lang w:val="en-US"/>
        </w:rPr>
      </w:pPr>
    </w:p>
    <w:p>
      <w:pPr>
        <w:pStyle w:val="20"/>
        <w:ind w:left="0" w:leftChars="0" w:firstLine="0" w:firstLineChars="0"/>
        <w:rPr>
          <w:rFonts w:hint="eastAsia" w:ascii="宋体" w:hAnsi="宋体" w:eastAsia="宋体" w:cs="宋体"/>
          <w:color w:val="auto"/>
          <w:highlight w:val="none"/>
          <w:lang w:val="en-US"/>
        </w:rPr>
      </w:pPr>
    </w:p>
    <w:p>
      <w:pPr>
        <w:pStyle w:val="2"/>
        <w:numPr>
          <w:ilvl w:val="0"/>
          <w:numId w:val="0"/>
        </w:numPr>
        <w:spacing w:before="42"/>
        <w:ind w:firstLine="2040" w:firstLineChars="600"/>
        <w:jc w:val="both"/>
        <w:rPr>
          <w:rFonts w:hint="eastAsia" w:ascii="宋体" w:hAnsi="宋体" w:eastAsia="宋体" w:cs="宋体"/>
          <w:color w:val="auto"/>
          <w:highlight w:val="none"/>
          <w:lang w:val="en-US" w:eastAsia="zh-CN"/>
        </w:rPr>
      </w:pPr>
      <w:r>
        <w:rPr>
          <w:rFonts w:hint="eastAsia" w:hAnsi="宋体" w:eastAsia="宋体" w:cs="宋体"/>
          <w:color w:val="auto"/>
          <w:highlight w:val="none"/>
          <w:lang w:val="en-US" w:eastAsia="zh-CN"/>
        </w:rPr>
        <w:t xml:space="preserve">第二部分 </w:t>
      </w:r>
      <w:r>
        <w:rPr>
          <w:rFonts w:hint="eastAsia" w:ascii="宋体" w:hAnsi="宋体" w:eastAsia="宋体" w:cs="宋体"/>
          <w:color w:val="auto"/>
          <w:highlight w:val="none"/>
          <w:lang w:val="en-US" w:eastAsia="zh-CN"/>
        </w:rPr>
        <w:t>其他投标文件格式</w:t>
      </w:r>
    </w:p>
    <w:p>
      <w:pPr>
        <w:pStyle w:val="2"/>
        <w:numPr>
          <w:ilvl w:val="0"/>
          <w:numId w:val="0"/>
        </w:numPr>
        <w:spacing w:before="42"/>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格式2-1</w:t>
      </w:r>
      <w:r>
        <w:rPr>
          <w:rFonts w:hint="eastAsia" w:ascii="宋体" w:hAnsi="宋体" w:eastAsia="宋体" w:cs="宋体"/>
          <w:b/>
          <w:bCs/>
          <w:color w:val="auto"/>
          <w:highlight w:val="none"/>
        </w:rPr>
        <w:t>封面</w:t>
      </w:r>
    </w:p>
    <w:p>
      <w:pPr>
        <w:pStyle w:val="2"/>
        <w:spacing w:before="2"/>
        <w:rPr>
          <w:rFonts w:hint="eastAsia" w:ascii="宋体" w:hAnsi="宋体" w:eastAsia="宋体" w:cs="宋体"/>
          <w:color w:val="auto"/>
          <w:sz w:val="18"/>
          <w:highlight w:val="none"/>
        </w:rPr>
      </w:pPr>
      <w:r>
        <w:rPr>
          <w:rFonts w:hint="eastAsia" w:ascii="宋体" w:hAnsi="宋体" w:eastAsia="宋体" w:cs="宋体"/>
          <w:color w:val="auto"/>
          <w:highlight w:val="none"/>
        </w:rPr>
        <mc:AlternateContent>
          <mc:Choice Requires="wpg">
            <w:drawing>
              <wp:anchor distT="0" distB="0" distL="114300" distR="114300" simplePos="0" relativeHeight="251659264" behindDoc="1" locked="0" layoutInCell="1" allowOverlap="1">
                <wp:simplePos x="0" y="0"/>
                <wp:positionH relativeFrom="page">
                  <wp:posOffset>4738370</wp:posOffset>
                </wp:positionH>
                <wp:positionV relativeFrom="paragraph">
                  <wp:posOffset>172720</wp:posOffset>
                </wp:positionV>
                <wp:extent cx="1146810" cy="341630"/>
                <wp:effectExtent l="635" t="0" r="10795" b="8890"/>
                <wp:wrapTopAndBottom/>
                <wp:docPr id="3" name="组合 5"/>
                <wp:cNvGraphicFramePr/>
                <a:graphic xmlns:a="http://schemas.openxmlformats.org/drawingml/2006/main">
                  <a:graphicData uri="http://schemas.microsoft.com/office/word/2010/wordprocessingGroup">
                    <wpg:wgp>
                      <wpg:cNvGrpSpPr/>
                      <wpg:grpSpPr>
                        <a:xfrm>
                          <a:off x="0" y="0"/>
                          <a:ext cx="1146810" cy="341630"/>
                          <a:chOff x="7463" y="272"/>
                          <a:chExt cx="1806" cy="538"/>
                        </a:xfrm>
                      </wpg:grpSpPr>
                      <wps:wsp>
                        <wps:cNvPr id="1" name="任意多边形 6"/>
                        <wps:cNvSpPr/>
                        <wps:spPr>
                          <a:xfrm>
                            <a:off x="7462" y="272"/>
                            <a:ext cx="1806" cy="538"/>
                          </a:xfrm>
                          <a:custGeom>
                            <a:avLst/>
                            <a:gdLst/>
                            <a:ahLst/>
                            <a:cxnLst/>
                            <a:pathLst>
                              <a:path w="1806" h="538">
                                <a:moveTo>
                                  <a:pt x="1806" y="538"/>
                                </a:moveTo>
                                <a:lnTo>
                                  <a:pt x="0" y="538"/>
                                </a:lnTo>
                                <a:lnTo>
                                  <a:pt x="0" y="0"/>
                                </a:lnTo>
                                <a:lnTo>
                                  <a:pt x="1806" y="0"/>
                                </a:lnTo>
                                <a:lnTo>
                                  <a:pt x="1806" y="8"/>
                                </a:lnTo>
                                <a:lnTo>
                                  <a:pt x="15" y="8"/>
                                </a:lnTo>
                                <a:lnTo>
                                  <a:pt x="7" y="15"/>
                                </a:lnTo>
                                <a:lnTo>
                                  <a:pt x="15" y="15"/>
                                </a:lnTo>
                                <a:lnTo>
                                  <a:pt x="15" y="523"/>
                                </a:lnTo>
                                <a:lnTo>
                                  <a:pt x="7" y="523"/>
                                </a:lnTo>
                                <a:lnTo>
                                  <a:pt x="15" y="531"/>
                                </a:lnTo>
                                <a:lnTo>
                                  <a:pt x="1806" y="531"/>
                                </a:lnTo>
                                <a:lnTo>
                                  <a:pt x="1806" y="538"/>
                                </a:lnTo>
                                <a:close/>
                                <a:moveTo>
                                  <a:pt x="15" y="15"/>
                                </a:moveTo>
                                <a:lnTo>
                                  <a:pt x="7" y="15"/>
                                </a:lnTo>
                                <a:lnTo>
                                  <a:pt x="15" y="8"/>
                                </a:lnTo>
                                <a:lnTo>
                                  <a:pt x="15" y="15"/>
                                </a:lnTo>
                                <a:close/>
                                <a:moveTo>
                                  <a:pt x="1791" y="15"/>
                                </a:moveTo>
                                <a:lnTo>
                                  <a:pt x="15" y="15"/>
                                </a:lnTo>
                                <a:lnTo>
                                  <a:pt x="15" y="8"/>
                                </a:lnTo>
                                <a:lnTo>
                                  <a:pt x="1791" y="8"/>
                                </a:lnTo>
                                <a:lnTo>
                                  <a:pt x="1791" y="15"/>
                                </a:lnTo>
                                <a:close/>
                                <a:moveTo>
                                  <a:pt x="1791" y="531"/>
                                </a:moveTo>
                                <a:lnTo>
                                  <a:pt x="1791" y="8"/>
                                </a:lnTo>
                                <a:lnTo>
                                  <a:pt x="1798" y="15"/>
                                </a:lnTo>
                                <a:lnTo>
                                  <a:pt x="1806" y="15"/>
                                </a:lnTo>
                                <a:lnTo>
                                  <a:pt x="1806" y="523"/>
                                </a:lnTo>
                                <a:lnTo>
                                  <a:pt x="1798" y="523"/>
                                </a:lnTo>
                                <a:lnTo>
                                  <a:pt x="1791" y="531"/>
                                </a:lnTo>
                                <a:close/>
                                <a:moveTo>
                                  <a:pt x="1806" y="15"/>
                                </a:moveTo>
                                <a:lnTo>
                                  <a:pt x="1798" y="15"/>
                                </a:lnTo>
                                <a:lnTo>
                                  <a:pt x="1791" y="8"/>
                                </a:lnTo>
                                <a:lnTo>
                                  <a:pt x="1806" y="8"/>
                                </a:lnTo>
                                <a:lnTo>
                                  <a:pt x="1806" y="15"/>
                                </a:lnTo>
                                <a:close/>
                                <a:moveTo>
                                  <a:pt x="15" y="531"/>
                                </a:moveTo>
                                <a:lnTo>
                                  <a:pt x="7" y="523"/>
                                </a:lnTo>
                                <a:lnTo>
                                  <a:pt x="15" y="523"/>
                                </a:lnTo>
                                <a:lnTo>
                                  <a:pt x="15" y="531"/>
                                </a:lnTo>
                                <a:close/>
                                <a:moveTo>
                                  <a:pt x="1791" y="531"/>
                                </a:moveTo>
                                <a:lnTo>
                                  <a:pt x="15" y="531"/>
                                </a:lnTo>
                                <a:lnTo>
                                  <a:pt x="15" y="523"/>
                                </a:lnTo>
                                <a:lnTo>
                                  <a:pt x="1791" y="523"/>
                                </a:lnTo>
                                <a:lnTo>
                                  <a:pt x="1791" y="531"/>
                                </a:lnTo>
                                <a:close/>
                                <a:moveTo>
                                  <a:pt x="1806" y="531"/>
                                </a:moveTo>
                                <a:lnTo>
                                  <a:pt x="1791" y="531"/>
                                </a:lnTo>
                                <a:lnTo>
                                  <a:pt x="1798" y="523"/>
                                </a:lnTo>
                                <a:lnTo>
                                  <a:pt x="1806" y="523"/>
                                </a:lnTo>
                                <a:lnTo>
                                  <a:pt x="1806" y="531"/>
                                </a:lnTo>
                                <a:close/>
                              </a:path>
                            </a:pathLst>
                          </a:custGeom>
                          <a:solidFill>
                            <a:srgbClr val="000000"/>
                          </a:solidFill>
                          <a:ln>
                            <a:noFill/>
                          </a:ln>
                        </wps:spPr>
                        <wps:bodyPr wrap="square" upright="1"/>
                      </wps:wsp>
                      <wps:wsp>
                        <wps:cNvPr id="2" name="文本框 7"/>
                        <wps:cNvSpPr txBox="1"/>
                        <wps:spPr>
                          <a:xfrm>
                            <a:off x="7462" y="272"/>
                            <a:ext cx="1806" cy="538"/>
                          </a:xfrm>
                          <a:prstGeom prst="rect">
                            <a:avLst/>
                          </a:prstGeom>
                          <a:noFill/>
                          <a:ln>
                            <a:noFill/>
                          </a:ln>
                        </wps:spPr>
                        <wps:txbx>
                          <w:txbxContent>
                            <w:p>
                              <w:pPr>
                                <w:spacing w:before="91"/>
                                <w:ind w:left="159"/>
                                <w:jc w:val="center"/>
                                <w:rPr>
                                  <w:rFonts w:hint="eastAsia" w:ascii="黑体" w:eastAsia="黑体"/>
                                  <w:b/>
                                  <w:sz w:val="28"/>
                                </w:rPr>
                              </w:pPr>
                              <w:r>
                                <w:rPr>
                                  <w:rFonts w:hint="eastAsia" w:ascii="黑体" w:eastAsia="黑体"/>
                                  <w:b/>
                                  <w:sz w:val="28"/>
                                </w:rPr>
                                <w:t>正本</w:t>
                              </w:r>
                            </w:p>
                          </w:txbxContent>
                        </wps:txbx>
                        <wps:bodyPr wrap="square" lIns="0" tIns="0" rIns="0" bIns="0" upright="1"/>
                      </wps:wsp>
                    </wpg:wgp>
                  </a:graphicData>
                </a:graphic>
              </wp:anchor>
            </w:drawing>
          </mc:Choice>
          <mc:Fallback>
            <w:pict>
              <v:group id="组合 5" o:spid="_x0000_s1026" o:spt="203" style="position:absolute;left:0pt;margin-left:373.1pt;margin-top:13.6pt;height:26.9pt;width:90.3pt;mso-position-horizontal-relative:page;mso-wrap-distance-bottom:0pt;mso-wrap-distance-top:0pt;z-index:-251657216;mso-width-relative:page;mso-height-relative:page;" coordorigin="7463,272" coordsize="1806,538" o:gfxdata="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">
                <o:lock v:ext="edit" aspectratio="f"/>
                <v:shape id="任意多边形 6" o:spid="_x0000_s1026" o:spt="100" style="position:absolute;left:7462;top:272;height:538;width:1806;" fillcolor="#000000" filled="t" stroked="f" coordsize="1806,538" o:gfxdata="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s6uCW5AAAA2gAA&#10;AA8AAAAAAAAAAQAgAAAAIgAAAGRycy9kb3ducmV2LnhtbFBLAQIUABQAAAAIAIdO4kAzLwWeOwAA&#10;ADkAAAAQAAAAAAAAAAEAIAAAAAgBAABkcnMvc2hhcGV4bWwueG1sUEsFBgAAAAAGAAYAWwEAALID&#10;AAAAAA==&#10;" path="m1806,538l0,538,0,0,1806,0,1806,8,15,8,7,15,15,15,15,523,7,523,15,531,1806,531,1806,538xm15,15l7,15,15,8,15,15xm1791,15l15,15,15,8,1791,8,1791,15xm1791,531l1791,8,1798,15,1806,15,1806,523,1798,523,1791,531xm1806,15l1798,15,1791,8,1806,8,1806,15xm15,531l7,523,15,523,15,531xm1791,531l15,531,15,523,1791,523,1791,531xm1806,531l1791,531,1798,523,1806,523,1806,531xe">
                  <v:fill on="t" focussize="0,0"/>
                  <v:stroke on="f"/>
                  <v:imagedata o:title=""/>
                  <o:lock v:ext="edit" aspectratio="f"/>
                </v:shape>
                <v:shape id="文本框 7" o:spid="_x0000_s1026" o:spt="202" type="#_x0000_t202" style="position:absolute;left:7462;top:272;height:538;width:1806;" filled="f" stroked="f" coordsize="21600,21600" o:gfxdata="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V0I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91"/>
                          <w:ind w:left="159"/>
                          <w:jc w:val="center"/>
                          <w:rPr>
                            <w:rFonts w:hint="eastAsia" w:ascii="黑体" w:eastAsia="黑体"/>
                            <w:b/>
                            <w:sz w:val="28"/>
                          </w:rPr>
                        </w:pPr>
                        <w:r>
                          <w:rPr>
                            <w:rFonts w:hint="eastAsia" w:ascii="黑体" w:eastAsia="黑体"/>
                            <w:b/>
                            <w:sz w:val="28"/>
                          </w:rPr>
                          <w:t>正本</w:t>
                        </w:r>
                      </w:p>
                    </w:txbxContent>
                  </v:textbox>
                </v:shape>
                <w10:wrap type="topAndBottom"/>
              </v:group>
            </w:pict>
          </mc:Fallback>
        </mc:AlternateContent>
      </w: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u w:val="single"/>
          <w:lang w:val="en-US" w:eastAsia="zh-CN"/>
        </w:rPr>
        <w:t xml:space="preserve">                                    </w:t>
      </w:r>
      <w:r>
        <w:rPr>
          <w:rFonts w:hint="eastAsia" w:ascii="宋体" w:hAnsi="宋体" w:eastAsia="宋体" w:cs="宋体"/>
          <w:b/>
          <w:bCs/>
          <w:color w:val="auto"/>
          <w:highlight w:val="none"/>
          <w:lang w:val="en-US" w:eastAsia="zh-CN"/>
        </w:rPr>
        <w:t>项目</w:t>
      </w:r>
    </w:p>
    <w:p>
      <w:pPr>
        <w:pStyle w:val="2"/>
        <w:rPr>
          <w:rFonts w:hint="eastAsia" w:ascii="宋体" w:hAnsi="宋体" w:eastAsia="宋体" w:cs="宋体"/>
          <w:color w:val="auto"/>
          <w:sz w:val="31"/>
          <w:highlight w:val="none"/>
        </w:rPr>
      </w:pPr>
    </w:p>
    <w:p>
      <w:pPr>
        <w:pStyle w:val="3"/>
        <w:jc w:val="center"/>
        <w:rPr>
          <w:rFonts w:hint="eastAsia" w:ascii="宋体" w:hAnsi="宋体" w:eastAsia="宋体" w:cs="宋体"/>
          <w:b/>
          <w:bCs w:val="0"/>
          <w:color w:val="auto"/>
          <w:highlight w:val="none"/>
        </w:rPr>
      </w:pPr>
      <w:bookmarkStart w:id="789" w:name="_Toc16947"/>
      <w:bookmarkStart w:id="790" w:name="_Toc4033"/>
      <w:bookmarkStart w:id="791" w:name="_Toc4898"/>
      <w:r>
        <w:rPr>
          <w:rFonts w:hint="eastAsia" w:ascii="宋体" w:hAnsi="宋体" w:eastAsia="宋体" w:cs="宋体"/>
          <w:b/>
          <w:bCs w:val="0"/>
          <w:color w:val="auto"/>
          <w:highlight w:val="none"/>
          <w:lang w:val="en-US" w:eastAsia="zh-CN"/>
        </w:rPr>
        <w:t>其他</w:t>
      </w:r>
      <w:r>
        <w:rPr>
          <w:rFonts w:hint="eastAsia" w:ascii="宋体" w:hAnsi="宋体" w:eastAsia="宋体" w:cs="宋体"/>
          <w:b/>
          <w:bCs w:val="0"/>
          <w:color w:val="auto"/>
          <w:highlight w:val="none"/>
        </w:rPr>
        <w:t>投标文件</w:t>
      </w:r>
      <w:bookmarkEnd w:id="789"/>
      <w:bookmarkEnd w:id="790"/>
      <w:bookmarkEnd w:id="791"/>
    </w:p>
    <w:p>
      <w:pPr>
        <w:pStyle w:val="2"/>
        <w:rPr>
          <w:rFonts w:hint="eastAsia" w:ascii="宋体" w:hAnsi="宋体" w:eastAsia="宋体" w:cs="宋体"/>
          <w:b/>
          <w:color w:val="auto"/>
          <w:sz w:val="48"/>
          <w:highlight w:val="none"/>
        </w:rPr>
      </w:pPr>
    </w:p>
    <w:p>
      <w:pPr>
        <w:pStyle w:val="2"/>
        <w:rPr>
          <w:rFonts w:hint="eastAsia" w:ascii="宋体" w:hAnsi="宋体" w:eastAsia="宋体" w:cs="宋体"/>
          <w:b/>
          <w:color w:val="auto"/>
          <w:sz w:val="48"/>
          <w:highlight w:val="none"/>
        </w:rPr>
      </w:pPr>
    </w:p>
    <w:p>
      <w:pPr>
        <w:pStyle w:val="5"/>
        <w:tabs>
          <w:tab w:val="left" w:pos="5220"/>
        </w:tabs>
        <w:spacing w:before="1"/>
        <w:ind w:right="239"/>
        <w:rPr>
          <w:rFonts w:hint="eastAsia" w:ascii="宋体" w:hAnsi="宋体" w:eastAsia="宋体" w:cs="宋体"/>
          <w:color w:val="auto"/>
          <w:sz w:val="20"/>
          <w:highlight w:val="none"/>
        </w:rPr>
      </w:pPr>
    </w:p>
    <w:p>
      <w:pPr>
        <w:keepNext w:val="0"/>
        <w:keepLines w:val="0"/>
        <w:pageBreakBefore w:val="0"/>
        <w:widowControl w:val="0"/>
        <w:tabs>
          <w:tab w:val="left" w:pos="5220"/>
        </w:tabs>
        <w:kinsoku/>
        <w:wordWrap/>
        <w:overflowPunct/>
        <w:topLinePunct w:val="0"/>
        <w:autoSpaceDE/>
        <w:autoSpaceDN/>
        <w:bidi w:val="0"/>
        <w:adjustRightInd/>
        <w:snapToGrid/>
        <w:spacing w:before="190" w:line="360" w:lineRule="auto"/>
        <w:ind w:right="239"/>
        <w:textAlignment w:val="auto"/>
        <w:rPr>
          <w:rFonts w:hint="eastAsia" w:ascii="宋体" w:hAnsi="宋体" w:eastAsia="宋体" w:cs="宋体"/>
          <w:b/>
          <w:color w:val="auto"/>
          <w:highlight w:val="none"/>
        </w:rPr>
      </w:pPr>
      <w:r>
        <w:rPr>
          <w:rFonts w:hint="eastAsia" w:ascii="宋体" w:hAnsi="宋体" w:eastAsia="宋体" w:cs="宋体"/>
          <w:b/>
          <w:color w:val="auto"/>
          <w:w w:val="95"/>
          <w:sz w:val="32"/>
          <w:highlight w:val="none"/>
        </w:rPr>
        <w:t>项目编号：</w:t>
      </w:r>
      <w:r>
        <w:rPr>
          <w:rFonts w:hint="eastAsia" w:ascii="宋体" w:hAnsi="宋体" w:eastAsia="宋体" w:cs="宋体"/>
          <w:b/>
          <w:color w:val="auto"/>
          <w:w w:val="99"/>
          <w:sz w:val="32"/>
          <w:highlight w:val="none"/>
          <w:u w:val="single"/>
        </w:rPr>
        <w:t xml:space="preserve"> </w:t>
      </w:r>
      <w:r>
        <w:rPr>
          <w:rFonts w:hint="eastAsia" w:ascii="宋体" w:hAnsi="宋体" w:eastAsia="宋体" w:cs="宋体"/>
          <w:b/>
          <w:color w:val="auto"/>
          <w:sz w:val="32"/>
          <w:highlight w:val="none"/>
          <w:u w:val="single"/>
        </w:rPr>
        <w:tab/>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w w:val="99"/>
          <w:sz w:val="32"/>
          <w:highlight w:val="none"/>
          <w:u w:val="single"/>
        </w:rPr>
        <w:t xml:space="preserve">                  </w:t>
      </w:r>
    </w:p>
    <w:p>
      <w:pPr>
        <w:keepNext w:val="0"/>
        <w:keepLines w:val="0"/>
        <w:pageBreakBefore w:val="0"/>
        <w:widowControl w:val="0"/>
        <w:tabs>
          <w:tab w:val="left" w:pos="4650"/>
          <w:tab w:val="left" w:pos="5612"/>
          <w:tab w:val="left" w:pos="6577"/>
          <w:tab w:val="left" w:pos="6978"/>
        </w:tabs>
        <w:kinsoku/>
        <w:wordWrap/>
        <w:overflowPunct/>
        <w:topLinePunct w:val="0"/>
        <w:autoSpaceDE/>
        <w:autoSpaceDN/>
        <w:bidi w:val="0"/>
        <w:adjustRightInd/>
        <w:snapToGrid/>
        <w:spacing w:before="54" w:line="360" w:lineRule="auto"/>
        <w:ind w:right="3245"/>
        <w:jc w:val="left"/>
        <w:textAlignment w:val="auto"/>
        <w:rPr>
          <w:rFonts w:hint="eastAsia" w:ascii="宋体" w:hAnsi="宋体" w:eastAsia="宋体" w:cs="宋体"/>
          <w:color w:val="auto"/>
          <w:highlight w:val="none"/>
        </w:rPr>
      </w:pPr>
      <w:r>
        <w:rPr>
          <w:rFonts w:hint="eastAsia" w:ascii="宋体" w:hAnsi="宋体" w:eastAsia="宋体" w:cs="宋体"/>
          <w:b/>
          <w:color w:val="auto"/>
          <w:w w:val="95"/>
          <w:sz w:val="32"/>
          <w:highlight w:val="none"/>
        </w:rPr>
        <w:t>投标人单位名称：</w:t>
      </w:r>
      <w:r>
        <w:rPr>
          <w:rFonts w:hint="eastAsia" w:ascii="宋体" w:hAnsi="宋体" w:eastAsia="宋体" w:cs="宋体"/>
          <w:b/>
          <w:color w:val="auto"/>
          <w:w w:val="99"/>
          <w:sz w:val="32"/>
          <w:highlight w:val="none"/>
          <w:u w:val="single"/>
        </w:rPr>
        <w:t xml:space="preserve"> </w:t>
      </w:r>
      <w:r>
        <w:rPr>
          <w:rFonts w:hint="eastAsia" w:hAnsi="宋体" w:eastAsia="宋体" w:cs="宋体"/>
          <w:b/>
          <w:color w:val="auto"/>
          <w:w w:val="99"/>
          <w:sz w:val="32"/>
          <w:highlight w:val="none"/>
          <w:u w:val="single"/>
          <w:lang w:eastAsia="zh-CN"/>
        </w:rPr>
        <w:t>（</w:t>
      </w:r>
      <w:r>
        <w:rPr>
          <w:rFonts w:hint="eastAsia" w:hAnsi="宋体" w:eastAsia="宋体" w:cs="宋体"/>
          <w:b/>
          <w:color w:val="auto"/>
          <w:w w:val="99"/>
          <w:sz w:val="32"/>
          <w:highlight w:val="none"/>
          <w:u w:val="single"/>
          <w:lang w:val="en-US" w:eastAsia="zh-CN"/>
        </w:rPr>
        <w:t>电子印章</w:t>
      </w:r>
      <w:r>
        <w:rPr>
          <w:rFonts w:hint="eastAsia" w:hAnsi="宋体" w:eastAsia="宋体" w:cs="宋体"/>
          <w:b/>
          <w:color w:val="auto"/>
          <w:w w:val="99"/>
          <w:sz w:val="32"/>
          <w:highlight w:val="none"/>
          <w:u w:val="single"/>
          <w:lang w:eastAsia="zh-CN"/>
        </w:rPr>
        <w:t>）</w:t>
      </w:r>
      <w:r>
        <w:rPr>
          <w:rFonts w:hint="eastAsia" w:ascii="宋体" w:hAnsi="宋体" w:eastAsia="宋体" w:cs="宋体"/>
          <w:b/>
          <w:color w:val="auto"/>
          <w:w w:val="99"/>
          <w:sz w:val="32"/>
          <w:highlight w:val="none"/>
          <w:u w:val="single"/>
        </w:rPr>
        <w:t xml:space="preserve">     </w:t>
      </w:r>
    </w:p>
    <w:p>
      <w:pPr>
        <w:keepNext w:val="0"/>
        <w:keepLines w:val="0"/>
        <w:pageBreakBefore w:val="0"/>
        <w:widowControl w:val="0"/>
        <w:tabs>
          <w:tab w:val="left" w:pos="4650"/>
          <w:tab w:val="left" w:pos="5612"/>
          <w:tab w:val="left" w:pos="6577"/>
          <w:tab w:val="left" w:pos="6978"/>
        </w:tabs>
        <w:kinsoku/>
        <w:wordWrap/>
        <w:overflowPunct/>
        <w:topLinePunct w:val="0"/>
        <w:autoSpaceDE/>
        <w:autoSpaceDN/>
        <w:bidi w:val="0"/>
        <w:adjustRightInd/>
        <w:snapToGrid/>
        <w:spacing w:before="54" w:line="360" w:lineRule="auto"/>
        <w:ind w:right="3245"/>
        <w:jc w:val="left"/>
        <w:textAlignment w:val="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投标日期：</w:t>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sz w:val="32"/>
          <w:highlight w:val="none"/>
        </w:rPr>
        <w:t>年</w:t>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sz w:val="32"/>
          <w:highlight w:val="none"/>
        </w:rPr>
        <w:t>月</w:t>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sz w:val="32"/>
          <w:highlight w:val="none"/>
        </w:rPr>
        <w:t>日</w:t>
      </w:r>
    </w:p>
    <w:p>
      <w:pPr>
        <w:pStyle w:val="20"/>
        <w:rPr>
          <w:rFonts w:hint="eastAsia" w:ascii="宋体" w:hAnsi="宋体" w:eastAsia="宋体" w:cs="宋体"/>
          <w:b/>
          <w:color w:val="auto"/>
          <w:sz w:val="32"/>
          <w:highlight w:val="none"/>
        </w:rPr>
        <w:sectPr>
          <w:footerReference r:id="rId10" w:type="default"/>
          <w:pgSz w:w="11910" w:h="16840"/>
          <w:pgMar w:top="1440" w:right="1800" w:bottom="1440" w:left="1800" w:header="0" w:footer="964" w:gutter="0"/>
          <w:pgNumType w:fmt="decimal"/>
          <w:cols w:space="720" w:num="1"/>
          <w:rtlGutter w:val="0"/>
          <w:docGrid w:linePitch="1" w:charSpace="0"/>
        </w:sectPr>
      </w:pPr>
    </w:p>
    <w:p>
      <w:pPr>
        <w:pStyle w:val="4"/>
        <w:spacing w:line="400" w:lineRule="exact"/>
        <w:jc w:val="both"/>
        <w:rPr>
          <w:rFonts w:hint="eastAsia" w:ascii="宋体" w:hAnsi="宋体" w:eastAsia="宋体" w:cs="宋体"/>
          <w:b/>
          <w:bCs/>
          <w:color w:val="auto"/>
          <w:highlight w:val="none"/>
          <w:lang w:val="en-US" w:eastAsia="zh-CN"/>
        </w:rPr>
      </w:pPr>
      <w:bookmarkStart w:id="792" w:name="_Toc24930"/>
      <w:bookmarkStart w:id="793" w:name="_Toc26234"/>
      <w:bookmarkStart w:id="794" w:name="_Toc20838"/>
      <w:bookmarkStart w:id="795" w:name="_Toc23903_WPSOffice_Level3"/>
      <w:bookmarkStart w:id="796" w:name="_Toc9457"/>
      <w:bookmarkStart w:id="797" w:name="_Toc26167"/>
      <w:bookmarkStart w:id="798" w:name="_Toc27641"/>
      <w:bookmarkStart w:id="799" w:name="_Toc23710"/>
      <w:bookmarkStart w:id="800" w:name="_Toc25532"/>
      <w:bookmarkStart w:id="801" w:name="_Toc5035"/>
      <w:bookmarkStart w:id="802" w:name="_Toc29967"/>
      <w:bookmarkStart w:id="803" w:name="_Toc14937"/>
      <w:bookmarkStart w:id="804" w:name="_Toc24563"/>
      <w:bookmarkStart w:id="805" w:name="_Toc24808"/>
      <w:bookmarkStart w:id="806" w:name="_Toc15477"/>
      <w:bookmarkStart w:id="807" w:name="_Toc14560_WPSOffice_Level3"/>
      <w:bookmarkStart w:id="808" w:name="_Toc10791"/>
      <w:bookmarkStart w:id="809" w:name="_Toc17922"/>
      <w:bookmarkStart w:id="810" w:name="_Toc19926"/>
      <w:r>
        <w:rPr>
          <w:rFonts w:hint="eastAsia" w:ascii="宋体" w:hAnsi="宋体" w:eastAsia="宋体" w:cs="宋体"/>
          <w:b/>
          <w:bCs/>
          <w:color w:val="auto"/>
          <w:highlight w:val="none"/>
          <w:lang w:val="en-US" w:eastAsia="zh-CN"/>
        </w:rPr>
        <w:t>格式2-2</w:t>
      </w:r>
      <w:bookmarkEnd w:id="792"/>
      <w:bookmarkEnd w:id="793"/>
      <w:bookmarkEnd w:id="794"/>
    </w:p>
    <w:p>
      <w:pPr>
        <w:pStyle w:val="4"/>
        <w:spacing w:line="400" w:lineRule="exact"/>
        <w:jc w:val="center"/>
        <w:rPr>
          <w:rFonts w:hint="eastAsia" w:ascii="宋体" w:hAnsi="宋体" w:eastAsia="宋体" w:cs="宋体"/>
          <w:color w:val="auto"/>
          <w:sz w:val="28"/>
          <w:szCs w:val="28"/>
          <w:highlight w:val="none"/>
        </w:rPr>
      </w:pPr>
      <w:bookmarkStart w:id="811" w:name="_Toc24211"/>
      <w:bookmarkStart w:id="812" w:name="_Toc26192"/>
      <w:bookmarkStart w:id="813" w:name="_Toc30647"/>
      <w:r>
        <w:rPr>
          <w:rFonts w:hint="eastAsia" w:ascii="宋体" w:hAnsi="宋体" w:eastAsia="宋体" w:cs="宋体"/>
          <w:color w:val="auto"/>
          <w:szCs w:val="28"/>
          <w:highlight w:val="none"/>
        </w:rPr>
        <w:t>投标函</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11"/>
      <w:bookmarkEnd w:id="812"/>
      <w:r>
        <w:rPr>
          <w:rFonts w:hint="eastAsia" w:ascii="宋体" w:hAnsi="宋体" w:eastAsia="宋体" w:cs="宋体"/>
          <w:color w:val="auto"/>
          <w:sz w:val="28"/>
          <w:szCs w:val="28"/>
          <w:highlight w:val="none"/>
        </w:rPr>
        <w:t>（实质性要求）</w:t>
      </w:r>
      <w:bookmarkEnd w:id="813"/>
    </w:p>
    <w:p>
      <w:pPr>
        <w:pStyle w:val="20"/>
        <w:spacing w:line="240" w:lineRule="auto"/>
        <w:ind w:left="418" w:leftChars="123"/>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pPr>
        <w:widowControl/>
        <w:spacing w:line="360" w:lineRule="auto"/>
        <w:ind w:firstLine="480" w:firstLineChars="200"/>
        <w:jc w:val="left"/>
        <w:outlineLvl w:val="1"/>
        <w:rPr>
          <w:rFonts w:hint="eastAsia" w:ascii="宋体" w:hAnsi="宋体" w:eastAsia="宋体" w:cs="宋体"/>
          <w:color w:val="auto"/>
          <w:sz w:val="24"/>
          <w:highlight w:val="none"/>
        </w:rPr>
      </w:pPr>
      <w:bookmarkStart w:id="814" w:name="_Toc18628"/>
      <w:bookmarkStart w:id="815" w:name="_Toc10497"/>
      <w:bookmarkStart w:id="816" w:name="_Toc26516"/>
      <w:bookmarkStart w:id="817" w:name="_Toc16117"/>
      <w:bookmarkStart w:id="818" w:name="_Toc8213"/>
      <w:bookmarkStart w:id="819" w:name="_Toc30924"/>
      <w:bookmarkStart w:id="820" w:name="_Toc9911"/>
      <w:bookmarkStart w:id="821" w:name="_Toc11293"/>
      <w:bookmarkStart w:id="822" w:name="_Toc9864"/>
      <w:bookmarkStart w:id="823" w:name="_Toc31554"/>
      <w:bookmarkStart w:id="824" w:name="_Toc23491"/>
      <w:bookmarkStart w:id="825" w:name="_Toc3043"/>
      <w:bookmarkStart w:id="826" w:name="_Toc10757"/>
      <w:bookmarkStart w:id="827" w:name="_Toc343"/>
      <w:bookmarkStart w:id="828" w:name="_Toc9491"/>
      <w:bookmarkStart w:id="829" w:name="_Toc28785"/>
      <w:bookmarkStart w:id="830" w:name="_Toc217446083"/>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bookmarkStart w:id="831" w:name="_Toc31250"/>
      <w:r>
        <w:rPr>
          <w:rFonts w:hint="eastAsia" w:ascii="宋体" w:hAnsi="宋体" w:eastAsia="宋体" w:cs="宋体"/>
          <w:color w:val="auto"/>
          <w:sz w:val="24"/>
          <w:highlight w:val="none"/>
        </w:rPr>
        <w:t>（采购代理机构名称</w:t>
      </w:r>
      <w:bookmarkEnd w:id="831"/>
      <w:r>
        <w:rPr>
          <w:rFonts w:hint="eastAsia" w:ascii="宋体" w:hAnsi="宋体" w:eastAsia="宋体" w:cs="宋体"/>
          <w:color w:val="auto"/>
          <w:sz w:val="24"/>
          <w:highlight w:val="none"/>
        </w:rPr>
        <w:t>）</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pPr>
        <w:widowControl/>
        <w:spacing w:line="360" w:lineRule="auto"/>
        <w:ind w:firstLine="480" w:firstLineChars="200"/>
        <w:jc w:val="left"/>
        <w:outlineLvl w:val="1"/>
        <w:rPr>
          <w:rFonts w:hint="eastAsia" w:ascii="宋体" w:hAnsi="宋体" w:eastAsia="宋体" w:cs="宋体"/>
          <w:color w:val="auto"/>
          <w:sz w:val="24"/>
          <w:highlight w:val="none"/>
        </w:rPr>
      </w:pPr>
      <w:bookmarkStart w:id="832" w:name="_Toc11077"/>
      <w:bookmarkStart w:id="833" w:name="_Toc908"/>
      <w:bookmarkStart w:id="834" w:name="_Toc23928"/>
      <w:bookmarkStart w:id="835" w:name="_Toc3257"/>
      <w:bookmarkStart w:id="836" w:name="_Toc12037"/>
      <w:bookmarkStart w:id="837" w:name="_Toc16662"/>
      <w:bookmarkStart w:id="838" w:name="_Toc24118"/>
      <w:bookmarkStart w:id="839" w:name="_Toc520"/>
      <w:bookmarkStart w:id="840" w:name="_Toc14961"/>
      <w:bookmarkStart w:id="841" w:name="_Toc12537"/>
      <w:bookmarkStart w:id="842" w:name="_Toc15884"/>
      <w:bookmarkStart w:id="843" w:name="_Toc29881"/>
      <w:bookmarkStart w:id="844" w:name="_Toc6844"/>
      <w:bookmarkStart w:id="845" w:name="_Toc28091"/>
      <w:bookmarkStart w:id="846" w:name="_Toc22482"/>
      <w:r>
        <w:rPr>
          <w:rFonts w:hint="eastAsia" w:ascii="宋体" w:hAnsi="宋体" w:eastAsia="宋体" w:cs="宋体"/>
          <w:color w:val="auto"/>
          <w:sz w:val="24"/>
          <w:highlight w:val="none"/>
        </w:rPr>
        <w:t xml:space="preserve">一、我方全面研究了“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”项目（项目编号：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）的招标文件，决定参加贵单位组织的本项目投标。我方授权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（姓名、职务）代表我方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（供应商单位名称）全权处理本项目投标的有关事宜。</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pPr>
        <w:widowControl/>
        <w:spacing w:line="360" w:lineRule="auto"/>
        <w:ind w:firstLine="480" w:firstLineChars="200"/>
        <w:jc w:val="left"/>
        <w:outlineLvl w:val="1"/>
        <w:rPr>
          <w:rFonts w:hint="eastAsia" w:ascii="宋体" w:hAnsi="宋体" w:eastAsia="宋体" w:cs="宋体"/>
          <w:color w:val="auto"/>
          <w:sz w:val="24"/>
          <w:highlight w:val="none"/>
        </w:rPr>
      </w:pPr>
      <w:bookmarkStart w:id="847" w:name="_Toc18069"/>
      <w:bookmarkStart w:id="848" w:name="_Toc10"/>
      <w:bookmarkStart w:id="849" w:name="_Toc8212"/>
      <w:bookmarkStart w:id="850" w:name="_Toc848"/>
      <w:bookmarkStart w:id="851" w:name="_Toc27358"/>
      <w:bookmarkStart w:id="852" w:name="_Toc6368"/>
      <w:bookmarkStart w:id="853" w:name="_Toc26747"/>
      <w:bookmarkStart w:id="854" w:name="_Toc19826"/>
      <w:bookmarkStart w:id="855" w:name="_Toc23628"/>
      <w:bookmarkStart w:id="856" w:name="_Toc28494"/>
      <w:bookmarkStart w:id="857" w:name="_Toc3133"/>
      <w:bookmarkStart w:id="858" w:name="_Toc4327"/>
      <w:bookmarkStart w:id="859" w:name="_Toc19815"/>
      <w:bookmarkStart w:id="860" w:name="_Toc4416"/>
      <w:bookmarkStart w:id="861" w:name="_Toc28123"/>
      <w:r>
        <w:rPr>
          <w:rFonts w:hint="eastAsia" w:ascii="宋体" w:hAnsi="宋体" w:eastAsia="宋体" w:cs="宋体"/>
          <w:color w:val="auto"/>
          <w:sz w:val="24"/>
          <w:highlight w:val="none"/>
        </w:rPr>
        <w:t>二、我方自愿按照招标文件规定的各项要求向采购人提供所需货物/服务，总投标价为人民币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pPr>
        <w:widowControl/>
        <w:spacing w:line="360" w:lineRule="auto"/>
        <w:ind w:firstLine="480" w:firstLineChars="200"/>
        <w:jc w:val="left"/>
        <w:outlineLvl w:val="1"/>
        <w:rPr>
          <w:rFonts w:hint="eastAsia" w:ascii="宋体" w:hAnsi="宋体" w:eastAsia="宋体" w:cs="宋体"/>
          <w:color w:val="auto"/>
          <w:sz w:val="24"/>
          <w:highlight w:val="none"/>
        </w:rPr>
      </w:pPr>
      <w:bookmarkStart w:id="862" w:name="_Toc21826"/>
      <w:bookmarkStart w:id="863" w:name="_Toc32442"/>
      <w:bookmarkStart w:id="864" w:name="_Toc11881"/>
      <w:bookmarkStart w:id="865" w:name="_Toc25328"/>
      <w:bookmarkStart w:id="866" w:name="_Toc17862"/>
      <w:bookmarkStart w:id="867" w:name="_Toc6985"/>
      <w:bookmarkStart w:id="868" w:name="_Toc24676"/>
      <w:bookmarkStart w:id="869" w:name="_Toc21913"/>
      <w:bookmarkStart w:id="870" w:name="_Toc20144"/>
      <w:bookmarkStart w:id="871" w:name="_Toc10697"/>
      <w:bookmarkStart w:id="872" w:name="_Toc16659"/>
      <w:bookmarkStart w:id="873" w:name="_Toc18678"/>
      <w:bookmarkStart w:id="874" w:name="_Toc31818"/>
      <w:bookmarkStart w:id="875" w:name="_Toc24314"/>
      <w:bookmarkStart w:id="876" w:name="_Toc29360"/>
      <w:r>
        <w:rPr>
          <w:rFonts w:hint="eastAsia" w:ascii="宋体" w:hAnsi="宋体" w:eastAsia="宋体" w:cs="宋体"/>
          <w:color w:val="auto"/>
          <w:sz w:val="24"/>
          <w:highlight w:val="none"/>
        </w:rPr>
        <w:t>三、一旦我方中标，我方将严格履行政府采购合同规定的责任和义务。</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四</w:t>
      </w:r>
      <w:r>
        <w:rPr>
          <w:rFonts w:hint="eastAsia" w:ascii="宋体" w:hAnsi="宋体" w:eastAsia="宋体" w:cs="宋体"/>
          <w:color w:val="auto"/>
          <w:sz w:val="24"/>
          <w:highlight w:val="none"/>
        </w:rPr>
        <w:t>、我方保证我方已提供和将要提供的文件资料是真实、准确的。</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五</w:t>
      </w:r>
      <w:r>
        <w:rPr>
          <w:rFonts w:hint="eastAsia" w:ascii="宋体" w:hAnsi="宋体" w:eastAsia="宋体" w:cs="宋体"/>
          <w:color w:val="auto"/>
          <w:sz w:val="24"/>
          <w:highlight w:val="none"/>
        </w:rPr>
        <w:t>、我方递交投标文件的投标有效期为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天。（投标有效期从递交投标文件的截止之日起算）。</w:t>
      </w:r>
      <w:r>
        <w:rPr>
          <w:rFonts w:hint="eastAsia" w:ascii="宋体" w:hAnsi="宋体" w:eastAsia="宋体" w:cs="宋体"/>
          <w:color w:val="auto"/>
          <w:sz w:val="24"/>
          <w:highlight w:val="none"/>
          <w:u w:val="single"/>
        </w:rPr>
        <w:t xml:space="preserve">          </w:t>
      </w:r>
    </w:p>
    <w:p>
      <w:pPr>
        <w:widowControl/>
        <w:spacing w:line="360" w:lineRule="auto"/>
        <w:ind w:firstLine="480" w:firstLineChars="200"/>
        <w:jc w:val="left"/>
        <w:outlineLvl w:val="1"/>
        <w:rPr>
          <w:rFonts w:hint="eastAsia" w:ascii="宋体" w:hAnsi="宋体" w:eastAsia="宋体" w:cs="宋体"/>
          <w:color w:val="auto"/>
          <w:sz w:val="24"/>
          <w:highlight w:val="none"/>
        </w:rPr>
      </w:pPr>
    </w:p>
    <w:p>
      <w:pPr>
        <w:widowControl/>
        <w:spacing w:line="360" w:lineRule="auto"/>
        <w:ind w:firstLine="480" w:firstLineChars="200"/>
        <w:jc w:val="left"/>
        <w:outlineLvl w:val="1"/>
        <w:rPr>
          <w:rFonts w:hint="eastAsia" w:ascii="宋体" w:hAnsi="宋体" w:eastAsia="宋体" w:cs="宋体"/>
          <w:color w:val="auto"/>
          <w:sz w:val="24"/>
          <w:highlight w:val="none"/>
        </w:rPr>
      </w:pPr>
    </w:p>
    <w:p>
      <w:pPr>
        <w:widowControl/>
        <w:spacing w:line="360" w:lineRule="auto"/>
        <w:ind w:firstLine="480" w:firstLineChars="200"/>
        <w:jc w:val="left"/>
        <w:outlineLvl w:val="1"/>
        <w:rPr>
          <w:rFonts w:hint="eastAsia" w:ascii="宋体" w:hAnsi="宋体" w:eastAsia="宋体" w:cs="宋体"/>
          <w:color w:val="auto"/>
          <w:sz w:val="24"/>
          <w:highlight w:val="none"/>
        </w:rPr>
      </w:pPr>
      <w:bookmarkStart w:id="877" w:name="_Toc15362"/>
      <w:bookmarkStart w:id="878" w:name="_Toc31889"/>
      <w:bookmarkStart w:id="879" w:name="_Toc16344"/>
      <w:bookmarkStart w:id="880" w:name="_Toc20451"/>
      <w:bookmarkStart w:id="881" w:name="_Toc3986"/>
      <w:bookmarkStart w:id="882" w:name="_Toc30498"/>
      <w:bookmarkStart w:id="883" w:name="_Toc15976"/>
      <w:bookmarkStart w:id="884" w:name="_Toc4000"/>
      <w:bookmarkStart w:id="885" w:name="_Toc17574"/>
      <w:bookmarkStart w:id="886" w:name="_Toc14919"/>
      <w:bookmarkStart w:id="887" w:name="_Toc7536"/>
      <w:bookmarkStart w:id="888" w:name="_Toc6403"/>
      <w:bookmarkStart w:id="889" w:name="_Toc11667"/>
      <w:bookmarkStart w:id="890" w:name="_Toc24272"/>
      <w:bookmarkStart w:id="891" w:name="_Toc4013"/>
      <w:r>
        <w:rPr>
          <w:rFonts w:hint="eastAsia" w:hAnsi="宋体" w:eastAsia="宋体" w:cs="宋体"/>
          <w:color w:val="auto"/>
          <w:sz w:val="24"/>
          <w:highlight w:val="none"/>
          <w:lang w:val="en-US" w:eastAsia="zh-CN"/>
        </w:rPr>
        <w:t>投标人</w:t>
      </w:r>
      <w:r>
        <w:rPr>
          <w:rFonts w:hint="eastAsia" w:ascii="宋体" w:hAnsi="宋体" w:eastAsia="宋体" w:cs="宋体"/>
          <w:color w:val="auto"/>
          <w:sz w:val="24"/>
          <w:highlight w:val="none"/>
        </w:rPr>
        <w:t>单位名称：</w:t>
      </w:r>
      <w:r>
        <w:rPr>
          <w:rFonts w:hint="eastAsia" w:ascii="宋体" w:hAnsi="宋体" w:eastAsia="宋体" w:cs="宋体"/>
          <w:color w:val="auto"/>
          <w:sz w:val="24"/>
          <w:highlight w:val="none"/>
          <w:u w:val="single"/>
        </w:rPr>
        <w:t xml:space="preserve">        （电子印章）                                   </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pPr>
        <w:widowControl/>
        <w:spacing w:line="360" w:lineRule="auto"/>
        <w:ind w:firstLine="480" w:firstLineChars="200"/>
        <w:jc w:val="left"/>
        <w:outlineLvl w:val="1"/>
        <w:rPr>
          <w:rFonts w:hint="eastAsia" w:hAnsi="宋体" w:eastAsia="宋体" w:cs="宋体"/>
          <w:color w:val="auto"/>
          <w:sz w:val="24"/>
          <w:szCs w:val="22"/>
          <w:highlight w:val="none"/>
          <w:lang w:val="en-US" w:eastAsia="zh-CN"/>
        </w:rPr>
      </w:pPr>
      <w:bookmarkStart w:id="892" w:name="_Toc20506"/>
      <w:bookmarkStart w:id="893" w:name="_Toc16886"/>
      <w:bookmarkStart w:id="894" w:name="_Toc12075"/>
      <w:bookmarkStart w:id="895" w:name="_Toc21064"/>
      <w:bookmarkStart w:id="896" w:name="_Toc1016"/>
      <w:bookmarkStart w:id="897" w:name="_Toc22480"/>
      <w:bookmarkStart w:id="898" w:name="_Toc17837"/>
      <w:bookmarkStart w:id="899" w:name="_Toc4934"/>
      <w:bookmarkStart w:id="900" w:name="_Toc13141"/>
      <w:bookmarkStart w:id="901" w:name="_Toc9372"/>
      <w:bookmarkStart w:id="902" w:name="_Toc30901"/>
      <w:bookmarkStart w:id="903" w:name="_Toc2343"/>
      <w:bookmarkStart w:id="904" w:name="_Toc22563"/>
      <w:bookmarkStart w:id="905" w:name="_Toc29351"/>
      <w:bookmarkStart w:id="906" w:name="_Toc17818"/>
      <w:r>
        <w:rPr>
          <w:rFonts w:hint="eastAsia" w:hAnsi="宋体" w:eastAsia="宋体" w:cs="宋体"/>
          <w:color w:val="auto"/>
          <w:sz w:val="24"/>
          <w:szCs w:val="22"/>
          <w:highlight w:val="none"/>
          <w:lang w:val="en-US" w:eastAsia="zh-CN"/>
        </w:rPr>
        <w:t>通讯地址：</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r>
        <w:rPr>
          <w:rFonts w:hint="eastAsia" w:hAnsi="宋体" w:eastAsia="宋体" w:cs="宋体"/>
          <w:color w:val="auto"/>
          <w:sz w:val="24"/>
          <w:szCs w:val="22"/>
          <w:highlight w:val="none"/>
          <w:lang w:val="en-US" w:eastAsia="zh-CN"/>
        </w:rPr>
        <w:t xml:space="preserve">                                                      </w:t>
      </w:r>
    </w:p>
    <w:p>
      <w:pPr>
        <w:widowControl/>
        <w:spacing w:line="360" w:lineRule="auto"/>
        <w:ind w:firstLine="480" w:firstLineChars="200"/>
        <w:jc w:val="left"/>
        <w:outlineLvl w:val="1"/>
        <w:rPr>
          <w:rFonts w:hint="eastAsia" w:hAnsi="宋体" w:eastAsia="宋体" w:cs="宋体"/>
          <w:color w:val="auto"/>
          <w:sz w:val="24"/>
          <w:szCs w:val="22"/>
          <w:highlight w:val="none"/>
          <w:lang w:val="en-US" w:eastAsia="zh-CN"/>
        </w:rPr>
      </w:pPr>
      <w:bookmarkStart w:id="907" w:name="_Toc15436"/>
      <w:bookmarkStart w:id="908" w:name="_Toc27637"/>
      <w:bookmarkStart w:id="909" w:name="_Toc24927"/>
      <w:bookmarkStart w:id="910" w:name="_Toc25790"/>
      <w:bookmarkStart w:id="911" w:name="_Toc26282"/>
      <w:bookmarkStart w:id="912" w:name="_Toc29756"/>
      <w:bookmarkStart w:id="913" w:name="_Toc30612"/>
      <w:bookmarkStart w:id="914" w:name="_Toc200"/>
      <w:bookmarkStart w:id="915" w:name="_Toc11085"/>
      <w:bookmarkStart w:id="916" w:name="_Toc29572"/>
      <w:bookmarkStart w:id="917" w:name="_Toc24731"/>
      <w:bookmarkStart w:id="918" w:name="_Toc25160"/>
      <w:bookmarkStart w:id="919" w:name="_Toc27216"/>
      <w:bookmarkStart w:id="920" w:name="_Toc18631"/>
      <w:bookmarkStart w:id="921" w:name="_Toc19678"/>
      <w:r>
        <w:rPr>
          <w:rFonts w:hint="eastAsia" w:hAnsi="宋体" w:eastAsia="宋体" w:cs="宋体"/>
          <w:color w:val="auto"/>
          <w:sz w:val="24"/>
          <w:szCs w:val="22"/>
          <w:highlight w:val="none"/>
          <w:lang w:val="en-US" w:eastAsia="zh-CN"/>
        </w:rPr>
        <w:t>邮政编码：</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Pr>
          <w:rFonts w:hint="eastAsia" w:hAnsi="宋体" w:eastAsia="宋体" w:cs="宋体"/>
          <w:color w:val="auto"/>
          <w:sz w:val="24"/>
          <w:szCs w:val="22"/>
          <w:highlight w:val="none"/>
          <w:lang w:val="en-US" w:eastAsia="zh-CN"/>
        </w:rPr>
        <w:t xml:space="preserve">                                           </w:t>
      </w:r>
    </w:p>
    <w:p>
      <w:pPr>
        <w:widowControl/>
        <w:spacing w:line="360" w:lineRule="auto"/>
        <w:ind w:firstLine="480" w:firstLineChars="200"/>
        <w:jc w:val="left"/>
        <w:outlineLvl w:val="1"/>
        <w:rPr>
          <w:rFonts w:hint="eastAsia" w:hAnsi="宋体" w:eastAsia="宋体" w:cs="宋体"/>
          <w:color w:val="auto"/>
          <w:sz w:val="24"/>
          <w:szCs w:val="22"/>
          <w:highlight w:val="none"/>
          <w:lang w:val="en-US" w:eastAsia="zh-CN"/>
        </w:rPr>
      </w:pPr>
      <w:bookmarkStart w:id="922" w:name="_Toc22186"/>
      <w:bookmarkStart w:id="923" w:name="_Toc8538"/>
      <w:bookmarkStart w:id="924" w:name="_Toc30932"/>
      <w:bookmarkStart w:id="925" w:name="_Toc17747"/>
      <w:bookmarkStart w:id="926" w:name="_Toc23035"/>
      <w:bookmarkStart w:id="927" w:name="_Toc16944"/>
      <w:bookmarkStart w:id="928" w:name="_Toc15821"/>
      <w:bookmarkStart w:id="929" w:name="_Toc26183"/>
      <w:bookmarkStart w:id="930" w:name="_Toc10150"/>
      <w:bookmarkStart w:id="931" w:name="_Toc2336"/>
      <w:bookmarkStart w:id="932" w:name="_Toc29760"/>
      <w:bookmarkStart w:id="933" w:name="_Toc2723"/>
      <w:bookmarkStart w:id="934" w:name="_Toc11492"/>
      <w:bookmarkStart w:id="935" w:name="_Toc6180"/>
      <w:bookmarkStart w:id="936" w:name="_Toc21958"/>
      <w:r>
        <w:rPr>
          <w:rFonts w:hint="eastAsia" w:hAnsi="宋体" w:eastAsia="宋体" w:cs="宋体"/>
          <w:color w:val="auto"/>
          <w:sz w:val="24"/>
          <w:szCs w:val="22"/>
          <w:highlight w:val="none"/>
          <w:lang w:val="en-US" w:eastAsia="zh-CN"/>
        </w:rPr>
        <w:t>联系电话：</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r>
        <w:rPr>
          <w:rFonts w:hint="eastAsia" w:hAnsi="宋体" w:eastAsia="宋体" w:cs="宋体"/>
          <w:color w:val="auto"/>
          <w:sz w:val="24"/>
          <w:szCs w:val="22"/>
          <w:highlight w:val="none"/>
          <w:lang w:val="en-US" w:eastAsia="zh-CN"/>
        </w:rPr>
        <w:t xml:space="preserve">                                              </w:t>
      </w:r>
      <w:r>
        <w:rPr>
          <w:rFonts w:hint="eastAsia" w:hAnsi="宋体" w:eastAsia="宋体" w:cs="宋体"/>
          <w:color w:val="auto"/>
          <w:sz w:val="24"/>
          <w:szCs w:val="22"/>
          <w:highlight w:val="none"/>
          <w:u w:val="single"/>
          <w:lang w:val="en-US" w:eastAsia="zh-CN"/>
        </w:rPr>
        <w:t xml:space="preserve">   </w:t>
      </w:r>
      <w:r>
        <w:rPr>
          <w:rFonts w:hint="eastAsia" w:hAnsi="宋体" w:eastAsia="宋体" w:cs="宋体"/>
          <w:color w:val="auto"/>
          <w:sz w:val="24"/>
          <w:szCs w:val="22"/>
          <w:highlight w:val="none"/>
          <w:lang w:val="en-US" w:eastAsia="zh-CN"/>
        </w:rPr>
        <w:t xml:space="preserve">                                            </w:t>
      </w:r>
    </w:p>
    <w:bookmarkEnd w:id="828"/>
    <w:bookmarkEnd w:id="829"/>
    <w:p>
      <w:pPr>
        <w:widowControl/>
        <w:spacing w:line="360" w:lineRule="auto"/>
        <w:ind w:firstLine="480" w:firstLineChars="200"/>
        <w:jc w:val="left"/>
        <w:outlineLvl w:val="1"/>
        <w:rPr>
          <w:rFonts w:hint="eastAsia" w:hAnsi="宋体" w:eastAsia="宋体" w:cs="宋体"/>
          <w:color w:val="auto"/>
          <w:sz w:val="24"/>
          <w:szCs w:val="22"/>
          <w:highlight w:val="none"/>
          <w:lang w:val="en-US" w:eastAsia="zh-CN"/>
        </w:rPr>
      </w:pPr>
      <w:bookmarkStart w:id="937" w:name="_Toc12442"/>
      <w:bookmarkStart w:id="938" w:name="_Toc30919"/>
      <w:bookmarkStart w:id="939" w:name="_Toc28794"/>
      <w:bookmarkStart w:id="940" w:name="_Toc1400"/>
      <w:r>
        <w:rPr>
          <w:rFonts w:hint="eastAsia" w:hAnsi="宋体" w:eastAsia="宋体" w:cs="宋体"/>
          <w:color w:val="auto"/>
          <w:sz w:val="24"/>
          <w:szCs w:val="22"/>
          <w:highlight w:val="none"/>
          <w:lang w:val="en-US" w:eastAsia="zh-CN"/>
        </w:rPr>
        <w:t>投标日期：</w:t>
      </w:r>
      <w:r>
        <w:rPr>
          <w:rFonts w:hint="eastAsia" w:hAnsi="宋体" w:eastAsia="宋体" w:cs="宋体"/>
          <w:color w:val="auto"/>
          <w:sz w:val="24"/>
          <w:szCs w:val="22"/>
          <w:highlight w:val="none"/>
          <w:u w:val="single"/>
          <w:lang w:val="en-US" w:eastAsia="zh-CN"/>
        </w:rPr>
        <w:t xml:space="preserve">   </w:t>
      </w:r>
      <w:r>
        <w:rPr>
          <w:rFonts w:hint="eastAsia" w:hAnsi="宋体" w:eastAsia="宋体" w:cs="宋体"/>
          <w:color w:val="auto"/>
          <w:sz w:val="24"/>
          <w:szCs w:val="22"/>
          <w:highlight w:val="none"/>
          <w:lang w:val="en-US" w:eastAsia="zh-CN"/>
        </w:rPr>
        <w:t>年</w:t>
      </w:r>
      <w:r>
        <w:rPr>
          <w:rFonts w:hint="eastAsia" w:hAnsi="宋体" w:eastAsia="宋体" w:cs="宋体"/>
          <w:color w:val="auto"/>
          <w:sz w:val="24"/>
          <w:szCs w:val="22"/>
          <w:highlight w:val="none"/>
          <w:u w:val="single"/>
          <w:lang w:val="en-US" w:eastAsia="zh-CN"/>
        </w:rPr>
        <w:t xml:space="preserve">   </w:t>
      </w:r>
      <w:r>
        <w:rPr>
          <w:rFonts w:hint="eastAsia" w:hAnsi="宋体" w:eastAsia="宋体" w:cs="宋体"/>
          <w:color w:val="auto"/>
          <w:sz w:val="24"/>
          <w:szCs w:val="22"/>
          <w:highlight w:val="none"/>
          <w:lang w:val="en-US" w:eastAsia="zh-CN"/>
        </w:rPr>
        <w:t>月</w:t>
      </w:r>
      <w:r>
        <w:rPr>
          <w:rFonts w:hint="eastAsia" w:hAnsi="宋体" w:eastAsia="宋体" w:cs="宋体"/>
          <w:color w:val="auto"/>
          <w:sz w:val="24"/>
          <w:szCs w:val="22"/>
          <w:highlight w:val="none"/>
          <w:u w:val="single"/>
          <w:lang w:val="en-US" w:eastAsia="zh-CN"/>
        </w:rPr>
        <w:t xml:space="preserve">   </w:t>
      </w:r>
      <w:r>
        <w:rPr>
          <w:rFonts w:hint="eastAsia" w:hAnsi="宋体" w:eastAsia="宋体" w:cs="宋体"/>
          <w:color w:val="auto"/>
          <w:sz w:val="24"/>
          <w:szCs w:val="22"/>
          <w:highlight w:val="none"/>
          <w:lang w:val="en-US" w:eastAsia="zh-CN"/>
        </w:rPr>
        <w:t>日</w:t>
      </w:r>
    </w:p>
    <w:p>
      <w:pPr>
        <w:pStyle w:val="4"/>
        <w:spacing w:line="400" w:lineRule="exact"/>
        <w:jc w:val="both"/>
        <w:rPr>
          <w:rFonts w:hint="eastAsia" w:ascii="宋体" w:hAnsi="宋体" w:eastAsia="宋体" w:cs="宋体"/>
          <w:b/>
          <w:bCs/>
          <w:color w:val="auto"/>
          <w:highlight w:val="none"/>
          <w:lang w:val="en-US" w:eastAsia="zh-CN"/>
        </w:rPr>
      </w:pPr>
    </w:p>
    <w:p>
      <w:pPr>
        <w:rPr>
          <w:rFonts w:hint="eastAsia"/>
          <w:color w:val="auto"/>
          <w:lang w:val="en-US" w:eastAsia="zh-CN"/>
        </w:rPr>
      </w:pPr>
    </w:p>
    <w:p>
      <w:pPr>
        <w:pStyle w:val="20"/>
        <w:rPr>
          <w:rFonts w:hint="eastAsia"/>
          <w:color w:val="auto"/>
          <w:lang w:val="en-US" w:eastAsia="zh-CN"/>
        </w:rPr>
      </w:pPr>
    </w:p>
    <w:p>
      <w:pPr>
        <w:pStyle w:val="20"/>
        <w:rPr>
          <w:rFonts w:hint="eastAsia"/>
          <w:color w:val="auto"/>
          <w:lang w:val="en-US" w:eastAsia="zh-CN"/>
        </w:rPr>
      </w:pPr>
    </w:p>
    <w:p>
      <w:pPr>
        <w:pStyle w:val="4"/>
        <w:spacing w:line="400" w:lineRule="exact"/>
        <w:jc w:val="both"/>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格式2-3</w:t>
      </w:r>
      <w:bookmarkEnd w:id="937"/>
      <w:bookmarkEnd w:id="938"/>
      <w:bookmarkEnd w:id="939"/>
    </w:p>
    <w:bookmarkEnd w:id="830"/>
    <w:bookmarkEnd w:id="940"/>
    <w:p>
      <w:pPr>
        <w:pStyle w:val="4"/>
        <w:numPr>
          <w:ilvl w:val="0"/>
          <w:numId w:val="0"/>
        </w:numPr>
        <w:spacing w:line="400" w:lineRule="exact"/>
        <w:jc w:val="center"/>
        <w:rPr>
          <w:rFonts w:hint="eastAsia" w:ascii="宋体" w:hAnsi="宋体" w:eastAsia="宋体" w:cs="宋体"/>
          <w:color w:val="auto"/>
          <w:highlight w:val="none"/>
        </w:rPr>
      </w:pPr>
      <w:bookmarkStart w:id="941" w:name="_Toc20530"/>
      <w:bookmarkStart w:id="942" w:name="_Toc31945"/>
      <w:bookmarkStart w:id="943" w:name="_Toc21213"/>
      <w:bookmarkStart w:id="944" w:name="_Toc1970"/>
      <w:bookmarkStart w:id="945" w:name="_Toc1320"/>
      <w:bookmarkStart w:id="946" w:name="_Toc15644"/>
      <w:bookmarkStart w:id="947" w:name="_Toc2546_WPSOffice_Level3"/>
      <w:bookmarkStart w:id="948" w:name="_Toc22300"/>
      <w:bookmarkStart w:id="949" w:name="_Toc2631"/>
      <w:bookmarkStart w:id="950" w:name="_Toc21889"/>
      <w:bookmarkStart w:id="951" w:name="_Toc27213_WPSOffice_Level3"/>
      <w:bookmarkStart w:id="952" w:name="_Toc6371"/>
      <w:bookmarkStart w:id="953" w:name="_Toc251"/>
      <w:r>
        <w:rPr>
          <w:rFonts w:hint="eastAsia" w:ascii="宋体" w:hAnsi="宋体" w:eastAsia="宋体" w:cs="宋体"/>
          <w:color w:val="auto"/>
          <w:sz w:val="28"/>
          <w:szCs w:val="28"/>
          <w:highlight w:val="none"/>
        </w:rPr>
        <w:t>承诺函</w:t>
      </w:r>
      <w:bookmarkEnd w:id="941"/>
      <w:bookmarkEnd w:id="942"/>
      <w:bookmarkEnd w:id="943"/>
      <w:bookmarkEnd w:id="944"/>
      <w:bookmarkEnd w:id="945"/>
      <w:bookmarkEnd w:id="946"/>
      <w:bookmarkEnd w:id="947"/>
      <w:bookmarkEnd w:id="948"/>
      <w:bookmarkEnd w:id="949"/>
      <w:bookmarkEnd w:id="950"/>
      <w:bookmarkEnd w:id="951"/>
      <w:r>
        <w:rPr>
          <w:rFonts w:hint="eastAsia" w:ascii="宋体" w:hAnsi="宋体" w:eastAsia="宋体" w:cs="宋体"/>
          <w:color w:val="auto"/>
          <w:sz w:val="28"/>
          <w:szCs w:val="28"/>
          <w:highlight w:val="none"/>
        </w:rPr>
        <w:t>（实质性要求）</w:t>
      </w:r>
      <w:bookmarkEnd w:id="952"/>
      <w:bookmarkEnd w:id="953"/>
    </w:p>
    <w:p>
      <w:pPr>
        <w:widowControl/>
        <w:spacing w:line="360" w:lineRule="auto"/>
        <w:ind w:firstLine="480" w:firstLineChars="200"/>
        <w:jc w:val="left"/>
        <w:outlineLvl w:val="1"/>
        <w:rPr>
          <w:rFonts w:hint="eastAsia" w:ascii="宋体" w:hAnsi="宋体" w:eastAsia="宋体" w:cs="宋体"/>
          <w:color w:val="auto"/>
          <w:highlight w:val="none"/>
        </w:rPr>
      </w:pPr>
      <w:bookmarkStart w:id="954" w:name="_Toc27578"/>
      <w:bookmarkStart w:id="955" w:name="_Toc21847"/>
      <w:bookmarkStart w:id="956" w:name="_Toc23079"/>
      <w:bookmarkStart w:id="957" w:name="_Toc15771"/>
      <w:bookmarkStart w:id="958" w:name="_Toc17129"/>
      <w:bookmarkStart w:id="959" w:name="_Toc26299"/>
      <w:bookmarkStart w:id="960" w:name="_Toc7562"/>
      <w:bookmarkStart w:id="961" w:name="_Toc13153"/>
      <w:bookmarkStart w:id="962" w:name="_Toc18481"/>
      <w:bookmarkStart w:id="963" w:name="_Toc23953"/>
      <w:bookmarkStart w:id="964" w:name="_Toc30032"/>
      <w:r>
        <w:rPr>
          <w:rFonts w:hint="eastAsia" w:ascii="宋体" w:hAnsi="宋体" w:eastAsia="宋体" w:cs="宋体"/>
          <w:color w:val="auto"/>
          <w:sz w:val="24"/>
          <w:szCs w:val="22"/>
          <w:highlight w:val="none"/>
        </w:rPr>
        <w:t>致：</w:t>
      </w:r>
      <w:r>
        <w:rPr>
          <w:rFonts w:hint="eastAsia" w:ascii="宋体" w:hAnsi="宋体" w:eastAsia="宋体" w:cs="宋体"/>
          <w:color w:val="auto"/>
          <w:sz w:val="24"/>
          <w:szCs w:val="22"/>
          <w:highlight w:val="none"/>
          <w:u w:val="single"/>
        </w:rPr>
        <w:t xml:space="preserve">             （采购代理机构名称）</w:t>
      </w:r>
      <w:bookmarkEnd w:id="954"/>
      <w:bookmarkEnd w:id="955"/>
      <w:bookmarkEnd w:id="956"/>
      <w:bookmarkEnd w:id="957"/>
      <w:bookmarkEnd w:id="958"/>
      <w:bookmarkEnd w:id="959"/>
      <w:bookmarkEnd w:id="960"/>
      <w:bookmarkEnd w:id="961"/>
      <w:bookmarkEnd w:id="962"/>
      <w:bookmarkEnd w:id="963"/>
      <w:bookmarkEnd w:id="964"/>
    </w:p>
    <w:p>
      <w:pPr>
        <w:widowControl/>
        <w:spacing w:line="360" w:lineRule="auto"/>
        <w:ind w:firstLine="480" w:firstLineChars="200"/>
        <w:jc w:val="left"/>
        <w:outlineLvl w:val="1"/>
        <w:rPr>
          <w:rFonts w:hint="eastAsia" w:ascii="宋体" w:hAnsi="宋体" w:eastAsia="宋体" w:cs="宋体"/>
          <w:color w:val="auto"/>
          <w:sz w:val="24"/>
          <w:szCs w:val="22"/>
          <w:highlight w:val="none"/>
        </w:rPr>
      </w:pPr>
      <w:bookmarkStart w:id="965" w:name="_Toc26481"/>
      <w:bookmarkStart w:id="966" w:name="_Toc3081"/>
      <w:bookmarkStart w:id="967" w:name="_Toc32214"/>
      <w:bookmarkStart w:id="968" w:name="_Toc3912"/>
      <w:bookmarkStart w:id="969" w:name="_Toc7067"/>
      <w:bookmarkStart w:id="970" w:name="_Toc9131"/>
      <w:bookmarkStart w:id="971" w:name="_Toc28103"/>
      <w:bookmarkStart w:id="972" w:name="_Toc10948"/>
      <w:bookmarkStart w:id="973" w:name="_Toc12016"/>
      <w:bookmarkStart w:id="974" w:name="_Toc17735"/>
      <w:bookmarkStart w:id="975" w:name="_Toc13021"/>
      <w:r>
        <w:rPr>
          <w:rFonts w:hint="eastAsia" w:ascii="宋体" w:hAnsi="宋体" w:eastAsia="宋体" w:cs="宋体"/>
          <w:color w:val="auto"/>
          <w:sz w:val="24"/>
          <w:szCs w:val="22"/>
          <w:highlight w:val="none"/>
        </w:rPr>
        <w:t>我方作为本次采购项目的投标人，根据招标文件要求，现郑重承诺如下：</w:t>
      </w:r>
      <w:bookmarkEnd w:id="965"/>
      <w:bookmarkEnd w:id="966"/>
      <w:bookmarkEnd w:id="967"/>
      <w:bookmarkEnd w:id="968"/>
      <w:bookmarkEnd w:id="969"/>
      <w:bookmarkEnd w:id="970"/>
      <w:bookmarkEnd w:id="971"/>
      <w:bookmarkEnd w:id="972"/>
      <w:bookmarkEnd w:id="973"/>
      <w:bookmarkEnd w:id="974"/>
      <w:bookmarkEnd w:id="975"/>
    </w:p>
    <w:p>
      <w:pPr>
        <w:widowControl/>
        <w:spacing w:line="360" w:lineRule="auto"/>
        <w:ind w:firstLine="480" w:firstLineChars="200"/>
        <w:jc w:val="left"/>
        <w:outlineLvl w:val="1"/>
        <w:rPr>
          <w:rFonts w:hint="eastAsia" w:ascii="宋体" w:hAnsi="宋体" w:eastAsia="宋体" w:cs="宋体"/>
          <w:color w:val="auto"/>
          <w:sz w:val="24"/>
          <w:szCs w:val="22"/>
          <w:highlight w:val="none"/>
        </w:rPr>
      </w:pPr>
      <w:bookmarkStart w:id="976" w:name="_Toc17894"/>
      <w:bookmarkStart w:id="977" w:name="_Toc8628"/>
      <w:bookmarkStart w:id="978" w:name="_Toc3971"/>
      <w:bookmarkStart w:id="979" w:name="_Toc30793"/>
      <w:bookmarkStart w:id="980" w:name="_Toc28229"/>
      <w:bookmarkStart w:id="981" w:name="_Toc13155"/>
      <w:bookmarkStart w:id="982" w:name="_Toc4364"/>
      <w:bookmarkStart w:id="983" w:name="_Toc2735"/>
      <w:bookmarkStart w:id="984" w:name="_Toc31652"/>
      <w:bookmarkStart w:id="985" w:name="_Toc13820"/>
      <w:bookmarkStart w:id="986" w:name="_Toc14317"/>
      <w:r>
        <w:rPr>
          <w:rFonts w:hint="eastAsia" w:ascii="宋体" w:hAnsi="宋体" w:eastAsia="宋体" w:cs="宋体"/>
          <w:color w:val="auto"/>
          <w:sz w:val="24"/>
          <w:szCs w:val="22"/>
          <w:highlight w:val="none"/>
        </w:rPr>
        <w:t>一、我方已认真阅读并接受本项目招标文件第二章的全部实质性要求，如对招标文件有异议，已经在递交投标文件截止时间届满前依法进行维权救济，不存在对招标文件有异议的同时又参加投标以求侥幸中标或者为实现其他非法目</w:t>
      </w:r>
      <w:r>
        <w:rPr>
          <w:rFonts w:hint="eastAsia" w:ascii="宋体" w:hAnsi="宋体" w:eastAsia="宋体" w:cs="宋体"/>
          <w:color w:val="auto"/>
          <w:sz w:val="24"/>
          <w:szCs w:val="22"/>
          <w:highlight w:val="none"/>
          <w:lang w:val="en-US" w:eastAsia="zh-CN"/>
        </w:rPr>
        <w:t>的</w:t>
      </w:r>
      <w:r>
        <w:rPr>
          <w:rFonts w:hint="eastAsia" w:ascii="宋体" w:hAnsi="宋体" w:eastAsia="宋体" w:cs="宋体"/>
          <w:color w:val="auto"/>
          <w:sz w:val="24"/>
          <w:szCs w:val="22"/>
          <w:highlight w:val="none"/>
        </w:rPr>
        <w:t>的行为。</w:t>
      </w:r>
      <w:bookmarkEnd w:id="976"/>
      <w:bookmarkEnd w:id="977"/>
      <w:bookmarkEnd w:id="978"/>
      <w:bookmarkEnd w:id="979"/>
      <w:bookmarkEnd w:id="980"/>
      <w:bookmarkEnd w:id="981"/>
      <w:bookmarkEnd w:id="982"/>
      <w:bookmarkEnd w:id="983"/>
      <w:bookmarkEnd w:id="984"/>
      <w:bookmarkEnd w:id="985"/>
      <w:bookmarkEnd w:id="986"/>
    </w:p>
    <w:p>
      <w:pPr>
        <w:widowControl/>
        <w:spacing w:line="360" w:lineRule="auto"/>
        <w:ind w:firstLine="480" w:firstLineChars="200"/>
        <w:jc w:val="left"/>
        <w:outlineLvl w:val="1"/>
        <w:rPr>
          <w:rFonts w:hint="eastAsia" w:ascii="宋体" w:hAnsi="宋体" w:eastAsia="宋体" w:cs="宋体"/>
          <w:color w:val="auto"/>
          <w:sz w:val="24"/>
          <w:szCs w:val="22"/>
          <w:highlight w:val="none"/>
        </w:rPr>
      </w:pPr>
      <w:bookmarkStart w:id="987" w:name="_Toc4968"/>
      <w:bookmarkStart w:id="988" w:name="_Toc15387"/>
      <w:bookmarkStart w:id="989" w:name="_Toc19149"/>
      <w:bookmarkStart w:id="990" w:name="_Toc19323"/>
      <w:bookmarkStart w:id="991" w:name="_Toc21269"/>
      <w:bookmarkStart w:id="992" w:name="_Toc27078"/>
      <w:bookmarkStart w:id="993" w:name="_Toc25597"/>
      <w:bookmarkStart w:id="994" w:name="_Toc19508"/>
      <w:bookmarkStart w:id="995" w:name="_Toc24178"/>
      <w:bookmarkStart w:id="996" w:name="_Toc14276"/>
      <w:bookmarkStart w:id="997" w:name="_Toc23218"/>
      <w:r>
        <w:rPr>
          <w:rFonts w:hint="eastAsia" w:ascii="宋体" w:hAnsi="宋体" w:eastAsia="宋体" w:cs="宋体"/>
          <w:color w:val="auto"/>
          <w:sz w:val="24"/>
          <w:szCs w:val="22"/>
          <w:highlight w:val="none"/>
        </w:rPr>
        <w:t>二、在参加本次采购活动中，不属于本项目招标文件所述的禁止参加本次采购活动的供应商。</w:t>
      </w:r>
      <w:bookmarkStart w:id="998" w:name="_Toc14921"/>
      <w:r>
        <w:rPr>
          <w:rFonts w:hint="eastAsia" w:ascii="宋体" w:hAnsi="宋体" w:eastAsia="宋体" w:cs="宋体"/>
          <w:color w:val="auto"/>
          <w:sz w:val="24"/>
          <w:szCs w:val="22"/>
          <w:highlight w:val="none"/>
        </w:rPr>
        <w:t>如经查实，我单位存在禁止投标情形，我单位自愿接受投标文件作为无效文件处理。同时我单位自愿承担因提供虚假资料谋取成交而形成的国家法律、法规、规范性文件及本招标文件规定的各种处罚与处理。</w:t>
      </w:r>
      <w:bookmarkEnd w:id="987"/>
      <w:bookmarkEnd w:id="988"/>
      <w:bookmarkEnd w:id="989"/>
      <w:bookmarkEnd w:id="990"/>
      <w:bookmarkEnd w:id="991"/>
      <w:bookmarkEnd w:id="992"/>
      <w:bookmarkEnd w:id="993"/>
      <w:bookmarkEnd w:id="994"/>
      <w:bookmarkEnd w:id="995"/>
      <w:bookmarkEnd w:id="996"/>
      <w:bookmarkEnd w:id="997"/>
    </w:p>
    <w:p>
      <w:pPr>
        <w:widowControl/>
        <w:spacing w:line="360" w:lineRule="auto"/>
        <w:ind w:firstLine="480" w:firstLineChars="200"/>
        <w:jc w:val="left"/>
        <w:outlineLvl w:val="1"/>
        <w:rPr>
          <w:rFonts w:hint="eastAsia" w:ascii="宋体" w:hAnsi="宋体" w:eastAsia="宋体" w:cs="宋体"/>
          <w:color w:val="auto"/>
          <w:sz w:val="24"/>
          <w:szCs w:val="22"/>
          <w:highlight w:val="none"/>
        </w:rPr>
      </w:pPr>
      <w:bookmarkStart w:id="999" w:name="_Toc3120"/>
      <w:bookmarkStart w:id="1000" w:name="_Toc31399"/>
      <w:bookmarkStart w:id="1001" w:name="_Toc14386"/>
      <w:bookmarkStart w:id="1002" w:name="_Toc4806"/>
      <w:bookmarkStart w:id="1003" w:name="_Toc28355"/>
      <w:bookmarkStart w:id="1004" w:name="_Toc16816"/>
      <w:bookmarkStart w:id="1005" w:name="_Toc27608"/>
      <w:bookmarkStart w:id="1006" w:name="_Toc20644"/>
      <w:bookmarkStart w:id="1007" w:name="_Toc3200"/>
      <w:bookmarkStart w:id="1008" w:name="_Toc3705"/>
      <w:bookmarkStart w:id="1009" w:name="_Toc23667"/>
      <w:r>
        <w:rPr>
          <w:rFonts w:hint="eastAsia" w:ascii="宋体" w:hAnsi="宋体" w:eastAsia="宋体" w:cs="宋体"/>
          <w:color w:val="auto"/>
          <w:sz w:val="24"/>
          <w:szCs w:val="22"/>
          <w:highlight w:val="none"/>
        </w:rPr>
        <w:t>三、在参加本次采购活动中，不存在与单位负责人为同一人或者存在直接控股、管理关系的其他供应商参与同一合同项下的政府采购活动的行为。</w:t>
      </w:r>
      <w:bookmarkEnd w:id="998"/>
      <w:bookmarkEnd w:id="999"/>
      <w:bookmarkEnd w:id="1000"/>
      <w:bookmarkEnd w:id="1001"/>
      <w:bookmarkEnd w:id="1002"/>
      <w:bookmarkEnd w:id="1003"/>
      <w:bookmarkEnd w:id="1004"/>
      <w:bookmarkEnd w:id="1005"/>
      <w:bookmarkEnd w:id="1006"/>
      <w:bookmarkEnd w:id="1007"/>
      <w:bookmarkEnd w:id="1008"/>
      <w:bookmarkEnd w:id="1009"/>
    </w:p>
    <w:p>
      <w:pPr>
        <w:widowControl/>
        <w:spacing w:line="360" w:lineRule="auto"/>
        <w:ind w:firstLine="480" w:firstLineChars="200"/>
        <w:jc w:val="left"/>
        <w:outlineLvl w:val="1"/>
        <w:rPr>
          <w:rFonts w:hint="eastAsia" w:ascii="宋体" w:hAnsi="宋体" w:eastAsia="宋体" w:cs="宋体"/>
          <w:color w:val="auto"/>
          <w:sz w:val="24"/>
          <w:szCs w:val="22"/>
          <w:highlight w:val="none"/>
        </w:rPr>
      </w:pPr>
      <w:bookmarkStart w:id="1010" w:name="_Toc29787"/>
      <w:bookmarkStart w:id="1011" w:name="_Toc1835"/>
      <w:bookmarkStart w:id="1012" w:name="_Toc14989"/>
      <w:bookmarkStart w:id="1013" w:name="_Toc12810"/>
      <w:bookmarkStart w:id="1014" w:name="_Toc18570"/>
      <w:bookmarkStart w:id="1015" w:name="_Toc13538"/>
      <w:bookmarkStart w:id="1016" w:name="_Toc449"/>
      <w:bookmarkStart w:id="1017" w:name="_Toc27774"/>
      <w:bookmarkStart w:id="1018" w:name="_Toc18155"/>
      <w:bookmarkStart w:id="1019" w:name="_Toc21219"/>
      <w:bookmarkStart w:id="1020" w:name="_Toc27871"/>
      <w:bookmarkStart w:id="1021" w:name="_Toc11124"/>
      <w:r>
        <w:rPr>
          <w:rFonts w:hint="eastAsia" w:ascii="宋体" w:hAnsi="宋体" w:eastAsia="宋体" w:cs="宋体"/>
          <w:color w:val="auto"/>
          <w:sz w:val="24"/>
          <w:szCs w:val="22"/>
          <w:highlight w:val="none"/>
        </w:rPr>
        <w:t>四、在参加本次采购活动中，不存在和其他供应商在同一合同项下的采购项目中，同时委托同一个自然人、同一家庭的人员、同一单位的人员作为代理人的行为。</w:t>
      </w:r>
      <w:bookmarkEnd w:id="1010"/>
      <w:bookmarkEnd w:id="1011"/>
      <w:bookmarkEnd w:id="1012"/>
      <w:bookmarkEnd w:id="1013"/>
      <w:bookmarkEnd w:id="1014"/>
      <w:bookmarkEnd w:id="1015"/>
      <w:bookmarkEnd w:id="1016"/>
      <w:bookmarkEnd w:id="1017"/>
      <w:bookmarkEnd w:id="1018"/>
      <w:bookmarkEnd w:id="1019"/>
      <w:bookmarkEnd w:id="1020"/>
      <w:bookmarkEnd w:id="1021"/>
    </w:p>
    <w:p>
      <w:pPr>
        <w:widowControl/>
        <w:spacing w:line="360" w:lineRule="auto"/>
        <w:ind w:firstLine="480" w:firstLineChars="200"/>
        <w:jc w:val="left"/>
        <w:outlineLvl w:val="1"/>
        <w:rPr>
          <w:rFonts w:hint="eastAsia" w:ascii="宋体" w:hAnsi="宋体" w:eastAsia="宋体" w:cs="宋体"/>
          <w:color w:val="auto"/>
          <w:sz w:val="24"/>
          <w:szCs w:val="22"/>
          <w:highlight w:val="none"/>
        </w:rPr>
      </w:pPr>
      <w:bookmarkStart w:id="1022" w:name="_Toc3684"/>
      <w:bookmarkStart w:id="1023" w:name="_Toc23766"/>
      <w:bookmarkStart w:id="1024" w:name="_Toc31708"/>
      <w:bookmarkStart w:id="1025" w:name="_Toc29403"/>
      <w:bookmarkStart w:id="1026" w:name="_Toc30889"/>
      <w:bookmarkStart w:id="1027" w:name="_Toc32069"/>
      <w:bookmarkStart w:id="1028" w:name="_Toc6491"/>
      <w:bookmarkStart w:id="1029" w:name="_Toc9483"/>
      <w:bookmarkStart w:id="1030" w:name="_Toc17187"/>
      <w:bookmarkStart w:id="1031" w:name="_Toc31102"/>
      <w:bookmarkStart w:id="1032" w:name="_Toc9894"/>
      <w:bookmarkStart w:id="1033" w:name="_Toc26295"/>
      <w:r>
        <w:rPr>
          <w:rFonts w:hint="eastAsia" w:ascii="宋体" w:hAnsi="宋体" w:eastAsia="宋体" w:cs="宋体"/>
          <w:color w:val="auto"/>
          <w:sz w:val="24"/>
          <w:szCs w:val="22"/>
          <w:highlight w:val="none"/>
        </w:rPr>
        <w:t>五、投标文件中提供的任何资料和技术、服务、商务等响应承诺情况都是真实的、有效的、合法的。</w:t>
      </w:r>
      <w:bookmarkEnd w:id="1022"/>
      <w:bookmarkEnd w:id="1023"/>
      <w:bookmarkEnd w:id="1024"/>
      <w:bookmarkEnd w:id="1025"/>
      <w:bookmarkEnd w:id="1026"/>
      <w:bookmarkEnd w:id="1027"/>
      <w:bookmarkEnd w:id="1028"/>
      <w:bookmarkEnd w:id="1029"/>
      <w:bookmarkEnd w:id="1030"/>
      <w:bookmarkEnd w:id="1031"/>
      <w:bookmarkEnd w:id="1032"/>
      <w:bookmarkEnd w:id="1033"/>
    </w:p>
    <w:p>
      <w:pPr>
        <w:widowControl/>
        <w:spacing w:line="360" w:lineRule="auto"/>
        <w:ind w:firstLine="480" w:firstLineChars="200"/>
        <w:jc w:val="left"/>
        <w:outlineLvl w:val="1"/>
        <w:rPr>
          <w:rFonts w:hint="eastAsia" w:ascii="宋体" w:hAnsi="宋体" w:eastAsia="宋体" w:cs="宋体"/>
          <w:color w:val="auto"/>
          <w:sz w:val="24"/>
          <w:szCs w:val="22"/>
          <w:highlight w:val="none"/>
        </w:rPr>
      </w:pPr>
      <w:bookmarkStart w:id="1034" w:name="_Toc15906"/>
      <w:bookmarkStart w:id="1035" w:name="_Toc30686"/>
      <w:bookmarkStart w:id="1036" w:name="_Toc3581"/>
      <w:bookmarkStart w:id="1037" w:name="_Toc26627"/>
      <w:bookmarkStart w:id="1038" w:name="_Toc5431"/>
      <w:bookmarkStart w:id="1039" w:name="_Toc32667"/>
      <w:bookmarkStart w:id="1040" w:name="_Toc16869"/>
      <w:bookmarkStart w:id="1041" w:name="_Toc6580"/>
      <w:bookmarkStart w:id="1042" w:name="_Toc28310"/>
      <w:bookmarkStart w:id="1043" w:name="_Toc1108"/>
      <w:bookmarkStart w:id="1044" w:name="_Toc22641"/>
      <w:bookmarkStart w:id="1045" w:name="_Toc4599"/>
      <w:r>
        <w:rPr>
          <w:rFonts w:hint="eastAsia" w:ascii="宋体" w:hAnsi="宋体" w:eastAsia="宋体" w:cs="宋体"/>
          <w:color w:val="auto"/>
          <w:sz w:val="24"/>
          <w:szCs w:val="22"/>
          <w:highlight w:val="none"/>
        </w:rPr>
        <w:t>六、如本项目采购过程中需要提供样品，则我公司提供的样品即为中标后将要提供的产品，我公司对提供样品的性能和质量负责，因样品存在缺陷或者不符合招标文件要求导致未能成交的，我公司愿意承担相应不利后果。</w:t>
      </w:r>
      <w:bookmarkEnd w:id="1034"/>
      <w:bookmarkEnd w:id="1035"/>
      <w:bookmarkEnd w:id="1036"/>
      <w:bookmarkEnd w:id="1037"/>
      <w:bookmarkEnd w:id="1038"/>
      <w:bookmarkEnd w:id="1039"/>
      <w:bookmarkEnd w:id="1040"/>
      <w:bookmarkEnd w:id="1041"/>
      <w:bookmarkEnd w:id="1042"/>
      <w:bookmarkEnd w:id="1043"/>
      <w:bookmarkEnd w:id="1044"/>
      <w:bookmarkEnd w:id="1045"/>
    </w:p>
    <w:p>
      <w:pPr>
        <w:adjustRightIn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七、我方完全理解采购人不一定将合同授予最低报价的投标人的行为。</w:t>
      </w:r>
    </w:p>
    <w:p>
      <w:pPr>
        <w:adjustRightInd w:val="0"/>
        <w:spacing w:line="360" w:lineRule="auto"/>
        <w:ind w:firstLine="480" w:firstLineChars="200"/>
        <w:jc w:val="left"/>
        <w:rPr>
          <w:rFonts w:hint="eastAsia" w:ascii="宋体" w:hAnsi="宋体" w:eastAsia="宋体" w:cs="宋体"/>
          <w:color w:val="auto"/>
          <w:sz w:val="24"/>
          <w:szCs w:val="22"/>
          <w:highlight w:val="none"/>
          <w:lang w:val="en-US" w:eastAsia="zh-CN"/>
        </w:rPr>
      </w:pPr>
      <w:r>
        <w:rPr>
          <w:rFonts w:hint="eastAsia" w:hAnsi="宋体" w:eastAsia="宋体" w:cs="宋体"/>
          <w:color w:val="auto"/>
          <w:sz w:val="24"/>
          <w:szCs w:val="22"/>
          <w:highlight w:val="none"/>
          <w:lang w:val="en-US" w:eastAsia="zh-CN"/>
        </w:rPr>
        <w:t>八</w:t>
      </w:r>
      <w:r>
        <w:rPr>
          <w:rFonts w:hint="eastAsia" w:ascii="宋体" w:hAnsi="宋体" w:eastAsia="宋体" w:cs="宋体"/>
          <w:color w:val="auto"/>
          <w:sz w:val="24"/>
          <w:szCs w:val="22"/>
          <w:highlight w:val="none"/>
          <w:lang w:val="en-US" w:eastAsia="zh-CN"/>
        </w:rPr>
        <w:t>、国家或行业主管部门对采购产品的技术标准、质量标准和资格资质条件等有强制性规定的，我方承诺符合其要求。</w:t>
      </w:r>
    </w:p>
    <w:p>
      <w:pPr>
        <w:adjustRightInd w:val="0"/>
        <w:spacing w:line="360" w:lineRule="auto"/>
        <w:ind w:firstLine="480" w:firstLineChars="200"/>
        <w:jc w:val="left"/>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九</w:t>
      </w:r>
      <w:r>
        <w:rPr>
          <w:rFonts w:hint="eastAsia" w:ascii="宋体" w:hAnsi="宋体" w:eastAsia="宋体" w:cs="宋体"/>
          <w:color w:val="auto"/>
          <w:sz w:val="24"/>
          <w:szCs w:val="22"/>
          <w:highlight w:val="none"/>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pStyle w:val="2"/>
        <w:rPr>
          <w:rFonts w:hint="eastAsia" w:ascii="宋体" w:hAnsi="宋体" w:eastAsia="宋体" w:cs="宋体"/>
          <w:color w:val="auto"/>
          <w:highlight w:val="none"/>
        </w:rPr>
      </w:pPr>
    </w:p>
    <w:p>
      <w:pPr>
        <w:widowControl/>
        <w:spacing w:line="360" w:lineRule="auto"/>
        <w:ind w:firstLine="480" w:firstLineChars="200"/>
        <w:jc w:val="left"/>
        <w:outlineLvl w:val="1"/>
        <w:rPr>
          <w:rFonts w:hint="eastAsia" w:ascii="宋体" w:hAnsi="宋体" w:eastAsia="宋体" w:cs="宋体"/>
          <w:color w:val="auto"/>
          <w:sz w:val="24"/>
          <w:szCs w:val="22"/>
          <w:highlight w:val="none"/>
        </w:rPr>
      </w:pPr>
      <w:bookmarkStart w:id="1046" w:name="_Toc7686"/>
      <w:bookmarkStart w:id="1047" w:name="_Toc13636"/>
      <w:bookmarkStart w:id="1048" w:name="_Toc6501"/>
      <w:bookmarkStart w:id="1049" w:name="_Toc26353"/>
      <w:bookmarkStart w:id="1050" w:name="_Toc31561"/>
      <w:bookmarkStart w:id="1051" w:name="_Toc29029"/>
      <w:bookmarkStart w:id="1052" w:name="_Toc30885"/>
      <w:bookmarkStart w:id="1053" w:name="_Toc13401"/>
      <w:bookmarkStart w:id="1054" w:name="_Toc29235"/>
      <w:bookmarkStart w:id="1055" w:name="_Toc7528"/>
      <w:bookmarkStart w:id="1056" w:name="_Toc10767"/>
      <w:bookmarkStart w:id="1057" w:name="_Toc31767"/>
      <w:bookmarkStart w:id="1058" w:name="_Toc6363"/>
      <w:bookmarkStart w:id="1059" w:name="_Toc9413"/>
      <w:bookmarkStart w:id="1060" w:name="_Toc32753"/>
      <w:r>
        <w:rPr>
          <w:rFonts w:hint="eastAsia" w:ascii="宋体" w:hAnsi="宋体" w:eastAsia="宋体" w:cs="宋体"/>
          <w:color w:val="auto"/>
          <w:sz w:val="24"/>
          <w:szCs w:val="22"/>
          <w:highlight w:val="none"/>
        </w:rPr>
        <w:t>本公司对上述承诺的内容事项真实性负责。如经查实上述承诺的内容事项存在虚假，我公司愿意接受以提供虚假材料谋取中标追究法律责任。</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pPr>
        <w:widowControl/>
        <w:spacing w:line="360" w:lineRule="auto"/>
        <w:ind w:firstLine="480" w:firstLineChars="200"/>
        <w:jc w:val="left"/>
        <w:outlineLvl w:val="1"/>
        <w:rPr>
          <w:rFonts w:hint="eastAsia" w:ascii="宋体" w:hAnsi="宋体" w:eastAsia="宋体" w:cs="宋体"/>
          <w:color w:val="auto"/>
          <w:sz w:val="24"/>
          <w:szCs w:val="22"/>
          <w:highlight w:val="none"/>
        </w:rPr>
      </w:pPr>
    </w:p>
    <w:p>
      <w:pPr>
        <w:pStyle w:val="9"/>
        <w:rPr>
          <w:rFonts w:hint="eastAsia" w:ascii="宋体" w:hAnsi="宋体" w:eastAsia="宋体" w:cs="宋体"/>
          <w:color w:val="auto"/>
          <w:sz w:val="24"/>
          <w:szCs w:val="22"/>
          <w:highlight w:val="none"/>
        </w:rPr>
      </w:pPr>
    </w:p>
    <w:p>
      <w:pPr>
        <w:pStyle w:val="9"/>
        <w:rPr>
          <w:rFonts w:hint="eastAsia" w:ascii="宋体" w:hAnsi="宋体" w:eastAsia="宋体" w:cs="宋体"/>
          <w:color w:val="auto"/>
          <w:sz w:val="24"/>
          <w:szCs w:val="22"/>
          <w:highlight w:val="none"/>
        </w:rPr>
      </w:pP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投标人单位名称：</w:t>
      </w:r>
      <w:r>
        <w:rPr>
          <w:rFonts w:hint="eastAsia" w:ascii="宋体" w:hAnsi="宋体" w:eastAsia="宋体" w:cs="宋体"/>
          <w:color w:val="auto"/>
          <w:sz w:val="24"/>
          <w:szCs w:val="22"/>
          <w:highlight w:val="none"/>
          <w:u w:val="single"/>
        </w:rPr>
        <w:t xml:space="preserve">       （电子印章）   </w:t>
      </w:r>
      <w:r>
        <w:rPr>
          <w:rFonts w:hint="eastAsia" w:ascii="宋体" w:hAnsi="宋体" w:eastAsia="宋体" w:cs="宋体"/>
          <w:color w:val="auto"/>
          <w:sz w:val="24"/>
          <w:szCs w:val="22"/>
          <w:highlight w:val="none"/>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投标日期：</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日</w:t>
      </w:r>
    </w:p>
    <w:p>
      <w:pPr>
        <w:pStyle w:val="9"/>
        <w:rPr>
          <w:rFonts w:hint="eastAsia" w:ascii="宋体" w:hAnsi="宋体" w:eastAsia="宋体" w:cs="宋体"/>
          <w:color w:val="auto"/>
          <w:sz w:val="24"/>
          <w:szCs w:val="22"/>
          <w:highlight w:val="none"/>
        </w:rPr>
      </w:pPr>
    </w:p>
    <w:p>
      <w:pPr>
        <w:pStyle w:val="4"/>
        <w:spacing w:line="400" w:lineRule="exact"/>
        <w:jc w:val="center"/>
        <w:rPr>
          <w:rFonts w:hint="eastAsia" w:ascii="宋体" w:hAnsi="宋体" w:eastAsia="宋体" w:cs="宋体"/>
          <w:color w:val="auto"/>
          <w:sz w:val="28"/>
          <w:szCs w:val="28"/>
          <w:highlight w:val="none"/>
        </w:rPr>
      </w:pPr>
    </w:p>
    <w:p>
      <w:pPr>
        <w:pStyle w:val="20"/>
        <w:rPr>
          <w:rFonts w:hint="eastAsia" w:ascii="宋体" w:hAnsi="宋体" w:eastAsia="宋体" w:cs="宋体"/>
          <w:color w:val="auto"/>
          <w:sz w:val="28"/>
          <w:szCs w:val="28"/>
          <w:highlight w:val="none"/>
        </w:rPr>
      </w:pPr>
    </w:p>
    <w:p>
      <w:pPr>
        <w:pStyle w:val="20"/>
        <w:rPr>
          <w:rFonts w:hint="eastAsia" w:ascii="宋体" w:hAnsi="宋体" w:eastAsia="宋体" w:cs="宋体"/>
          <w:color w:val="auto"/>
          <w:sz w:val="28"/>
          <w:szCs w:val="28"/>
          <w:highlight w:val="none"/>
        </w:rPr>
      </w:pPr>
    </w:p>
    <w:p>
      <w:pPr>
        <w:pStyle w:val="20"/>
        <w:rPr>
          <w:rFonts w:hint="eastAsia" w:ascii="宋体" w:hAnsi="宋体" w:eastAsia="宋体" w:cs="宋体"/>
          <w:color w:val="auto"/>
          <w:sz w:val="28"/>
          <w:szCs w:val="28"/>
          <w:highlight w:val="none"/>
        </w:rPr>
      </w:pPr>
    </w:p>
    <w:p>
      <w:pPr>
        <w:pStyle w:val="20"/>
        <w:rPr>
          <w:rFonts w:hint="eastAsia" w:ascii="宋体" w:hAnsi="宋体" w:eastAsia="宋体" w:cs="宋体"/>
          <w:color w:val="auto"/>
          <w:sz w:val="28"/>
          <w:szCs w:val="28"/>
          <w:highlight w:val="none"/>
        </w:rPr>
      </w:pPr>
    </w:p>
    <w:p>
      <w:pPr>
        <w:pStyle w:val="20"/>
        <w:rPr>
          <w:rFonts w:hint="eastAsia" w:ascii="宋体" w:hAnsi="宋体" w:eastAsia="宋体" w:cs="宋体"/>
          <w:color w:val="auto"/>
          <w:sz w:val="28"/>
          <w:szCs w:val="28"/>
          <w:highlight w:val="none"/>
        </w:rPr>
      </w:pPr>
    </w:p>
    <w:p>
      <w:pPr>
        <w:pStyle w:val="20"/>
        <w:ind w:left="680"/>
        <w:rPr>
          <w:rFonts w:hint="eastAsia" w:ascii="宋体" w:hAnsi="宋体" w:eastAsia="宋体" w:cs="宋体"/>
          <w:color w:val="auto"/>
          <w:sz w:val="28"/>
          <w:szCs w:val="28"/>
          <w:highlight w:val="none"/>
        </w:rPr>
      </w:pPr>
    </w:p>
    <w:p>
      <w:pPr>
        <w:rPr>
          <w:rFonts w:hint="eastAsia" w:ascii="宋体" w:hAnsi="宋体" w:eastAsia="宋体" w:cs="宋体"/>
          <w:color w:val="auto"/>
          <w:highlight w:val="none"/>
        </w:rPr>
      </w:pPr>
    </w:p>
    <w:p>
      <w:pPr>
        <w:pStyle w:val="4"/>
        <w:spacing w:line="400" w:lineRule="exact"/>
        <w:jc w:val="both"/>
        <w:rPr>
          <w:rFonts w:hint="eastAsia" w:ascii="宋体" w:hAnsi="宋体" w:eastAsia="宋体" w:cs="宋体"/>
          <w:b/>
          <w:bCs/>
          <w:color w:val="auto"/>
          <w:highlight w:val="none"/>
          <w:lang w:val="en-US" w:eastAsia="zh-CN"/>
        </w:rPr>
      </w:pPr>
      <w:bookmarkStart w:id="1061" w:name="_Toc15239"/>
      <w:bookmarkStart w:id="1062" w:name="_Toc25873"/>
      <w:bookmarkStart w:id="1063" w:name="_Toc19021"/>
      <w:bookmarkStart w:id="1064" w:name="_Toc6021"/>
      <w:bookmarkStart w:id="1065" w:name="_Toc28751_WPSOffice_Level3"/>
      <w:bookmarkStart w:id="1066" w:name="_Toc15691"/>
      <w:bookmarkStart w:id="1067" w:name="_Toc6682"/>
      <w:bookmarkStart w:id="1068" w:name="_Toc16473_WPSOffice_Level3"/>
      <w:bookmarkStart w:id="1069" w:name="_Toc9124"/>
      <w:bookmarkStart w:id="1070" w:name="_Toc20857"/>
      <w:bookmarkStart w:id="1071" w:name="_Toc7142"/>
      <w:bookmarkStart w:id="1072" w:name="_Toc23859"/>
      <w:bookmarkStart w:id="1073" w:name="_Toc8433"/>
      <w:r>
        <w:rPr>
          <w:rFonts w:hint="eastAsia" w:ascii="宋体" w:hAnsi="宋体" w:eastAsia="宋体" w:cs="宋体"/>
          <w:b/>
          <w:bCs/>
          <w:color w:val="auto"/>
          <w:highlight w:val="none"/>
          <w:lang w:val="en-US" w:eastAsia="zh-CN"/>
        </w:rPr>
        <w:t>格式2-4</w:t>
      </w:r>
      <w:bookmarkEnd w:id="1061"/>
      <w:bookmarkEnd w:id="1062"/>
      <w:bookmarkEnd w:id="1063"/>
    </w:p>
    <w:p>
      <w:pPr>
        <w:pStyle w:val="4"/>
        <w:numPr>
          <w:ilvl w:val="0"/>
          <w:numId w:val="0"/>
        </w:numPr>
        <w:spacing w:line="400" w:lineRule="exact"/>
        <w:jc w:val="center"/>
        <w:rPr>
          <w:rFonts w:hint="eastAsia" w:ascii="宋体" w:hAnsi="宋体" w:eastAsia="宋体" w:cs="宋体"/>
          <w:b/>
          <w:bCs/>
          <w:color w:val="auto"/>
          <w:sz w:val="28"/>
          <w:szCs w:val="28"/>
          <w:highlight w:val="none"/>
        </w:rPr>
      </w:pPr>
      <w:bookmarkStart w:id="1074" w:name="_Toc22479"/>
      <w:bookmarkStart w:id="1075" w:name="_Toc29715"/>
      <w:bookmarkStart w:id="1076" w:name="_Toc1209"/>
      <w:r>
        <w:rPr>
          <w:rFonts w:hint="eastAsia" w:ascii="宋体" w:hAnsi="宋体" w:eastAsia="宋体" w:cs="宋体"/>
          <w:b/>
          <w:bCs/>
          <w:color w:val="auto"/>
          <w:sz w:val="28"/>
          <w:szCs w:val="28"/>
          <w:highlight w:val="none"/>
        </w:rPr>
        <w:t>关联单位申明函</w:t>
      </w:r>
      <w:bookmarkEnd w:id="1074"/>
      <w:bookmarkEnd w:id="1075"/>
    </w:p>
    <w:p>
      <w:pPr>
        <w:widowControl/>
        <w:spacing w:after="0" w:line="360" w:lineRule="auto"/>
        <w:jc w:val="left"/>
        <w:rPr>
          <w:rFonts w:hint="eastAsia" w:ascii="宋体" w:hAnsi="宋体" w:eastAsia="宋体" w:cs="宋体"/>
          <w:color w:val="auto"/>
          <w:sz w:val="24"/>
          <w:highlight w:val="none"/>
        </w:rPr>
      </w:pPr>
    </w:p>
    <w:p>
      <w:pPr>
        <w:widowControl/>
        <w:spacing w:line="360" w:lineRule="auto"/>
        <w:ind w:firstLine="480" w:firstLineChars="200"/>
        <w:jc w:val="left"/>
        <w:outlineLvl w:val="1"/>
        <w:rPr>
          <w:rFonts w:hint="eastAsia" w:ascii="宋体" w:hAnsi="宋体" w:eastAsia="宋体" w:cs="宋体"/>
          <w:color w:val="auto"/>
          <w:sz w:val="24"/>
          <w:szCs w:val="22"/>
          <w:highlight w:val="none"/>
        </w:rPr>
      </w:pPr>
      <w:bookmarkStart w:id="1077" w:name="_Toc9557"/>
      <w:bookmarkStart w:id="1078" w:name="_Toc20635"/>
      <w:r>
        <w:rPr>
          <w:rFonts w:hint="eastAsia" w:ascii="宋体" w:hAnsi="宋体" w:eastAsia="宋体" w:cs="宋体"/>
          <w:color w:val="auto"/>
          <w:sz w:val="24"/>
          <w:szCs w:val="22"/>
          <w:highlight w:val="none"/>
        </w:rPr>
        <w:t>致：</w:t>
      </w:r>
      <w:r>
        <w:rPr>
          <w:rFonts w:hint="eastAsia" w:ascii="宋体" w:hAnsi="宋体" w:eastAsia="宋体" w:cs="宋体"/>
          <w:color w:val="auto"/>
          <w:sz w:val="24"/>
          <w:szCs w:val="22"/>
          <w:highlight w:val="none"/>
          <w:u w:val="single"/>
        </w:rPr>
        <w:t xml:space="preserve">             （采购代理机构名称）</w:t>
      </w:r>
      <w:r>
        <w:rPr>
          <w:rFonts w:hint="eastAsia" w:ascii="宋体" w:hAnsi="宋体" w:eastAsia="宋体" w:cs="宋体"/>
          <w:color w:val="auto"/>
          <w:sz w:val="24"/>
          <w:szCs w:val="22"/>
          <w:highlight w:val="none"/>
        </w:rPr>
        <w:t>：</w:t>
      </w:r>
      <w:bookmarkEnd w:id="1077"/>
      <w:bookmarkEnd w:id="1078"/>
    </w:p>
    <w:p>
      <w:pPr>
        <w:widowControl/>
        <w:spacing w:line="360" w:lineRule="auto"/>
        <w:ind w:firstLine="480" w:firstLineChars="200"/>
        <w:jc w:val="left"/>
        <w:outlineLvl w:val="1"/>
        <w:rPr>
          <w:rFonts w:hint="eastAsia" w:ascii="宋体" w:hAnsi="宋体" w:eastAsia="宋体" w:cs="宋体"/>
          <w:color w:val="auto"/>
          <w:sz w:val="24"/>
          <w:szCs w:val="22"/>
          <w:highlight w:val="none"/>
        </w:rPr>
      </w:pPr>
      <w:bookmarkStart w:id="1079" w:name="_Toc24289"/>
      <w:bookmarkStart w:id="1080" w:name="_Toc9553"/>
      <w:r>
        <w:rPr>
          <w:rFonts w:hint="eastAsia" w:ascii="宋体" w:hAnsi="宋体" w:eastAsia="宋体" w:cs="宋体"/>
          <w:color w:val="auto"/>
          <w:sz w:val="24"/>
          <w:szCs w:val="22"/>
          <w:highlight w:val="none"/>
        </w:rPr>
        <w:t>我方作为本次采购项目的投标人，根据招标文件要求，现郑重承诺如下：</w:t>
      </w:r>
      <w:bookmarkEnd w:id="1079"/>
      <w:bookmarkEnd w:id="1080"/>
    </w:p>
    <w:p>
      <w:pPr>
        <w:widowControl/>
        <w:spacing w:line="360" w:lineRule="auto"/>
        <w:ind w:firstLine="480" w:firstLineChars="200"/>
        <w:jc w:val="left"/>
        <w:outlineLvl w:val="1"/>
        <w:rPr>
          <w:rFonts w:hint="eastAsia" w:ascii="宋体" w:hAnsi="宋体" w:eastAsia="宋体" w:cs="宋体"/>
          <w:color w:val="auto"/>
          <w:sz w:val="24"/>
          <w:szCs w:val="22"/>
          <w:highlight w:val="none"/>
        </w:rPr>
      </w:pPr>
      <w:bookmarkStart w:id="1081" w:name="_Toc4940"/>
      <w:bookmarkStart w:id="1082" w:name="_Toc21545"/>
      <w:r>
        <w:rPr>
          <w:rFonts w:hint="eastAsia" w:ascii="宋体" w:hAnsi="宋体" w:eastAsia="宋体" w:cs="宋体"/>
          <w:color w:val="auto"/>
          <w:sz w:val="24"/>
          <w:szCs w:val="22"/>
          <w:highlight w:val="none"/>
        </w:rPr>
        <w:t>本项目与我方存在直接控股关系的单位为：</w:t>
      </w:r>
      <w:r>
        <w:rPr>
          <w:rFonts w:hint="eastAsia" w:ascii="宋体" w:hAnsi="宋体" w:eastAsia="宋体" w:cs="宋体"/>
          <w:color w:val="auto"/>
          <w:sz w:val="24"/>
          <w:szCs w:val="22"/>
          <w:highlight w:val="none"/>
          <w:u w:val="single"/>
        </w:rPr>
        <w:t xml:space="preserve">    </w:t>
      </w:r>
      <w:r>
        <w:rPr>
          <w:rFonts w:hint="eastAsia"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；存在管理关系单位为：</w:t>
      </w:r>
      <w:bookmarkEnd w:id="1081"/>
      <w:bookmarkEnd w:id="1082"/>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u w:val="none"/>
        </w:rPr>
        <w:t xml:space="preserve"> </w:t>
      </w:r>
      <w:bookmarkStart w:id="1083" w:name="_Toc8033"/>
      <w:bookmarkStart w:id="1084" w:name="_Toc25326"/>
      <w:r>
        <w:rPr>
          <w:rFonts w:hint="eastAsia" w:hAnsi="宋体" w:eastAsia="宋体" w:cs="宋体"/>
          <w:color w:val="auto"/>
          <w:sz w:val="24"/>
          <w:szCs w:val="22"/>
          <w:highlight w:val="none"/>
          <w:u w:val="none"/>
          <w:lang w:eastAsia="zh-CN"/>
        </w:rPr>
        <w:t>。</w:t>
      </w:r>
      <w:r>
        <w:rPr>
          <w:rFonts w:hint="eastAsia" w:ascii="宋体" w:hAnsi="宋体" w:eastAsia="宋体" w:cs="宋体"/>
          <w:color w:val="auto"/>
          <w:sz w:val="24"/>
          <w:szCs w:val="22"/>
          <w:highlight w:val="none"/>
        </w:rPr>
        <w:t>我方对上述承诺的内容事项真实性负责。如经查实上述承诺的内容事项存在虚假，我方愿意接受以提供虚假材料谋取中标追究法律责任。</w:t>
      </w:r>
      <w:bookmarkEnd w:id="1083"/>
      <w:bookmarkEnd w:id="1084"/>
    </w:p>
    <w:p>
      <w:pPr>
        <w:widowControl/>
        <w:spacing w:line="360" w:lineRule="auto"/>
        <w:ind w:firstLine="480" w:firstLineChars="200"/>
        <w:jc w:val="left"/>
        <w:outlineLvl w:val="1"/>
        <w:rPr>
          <w:rFonts w:hint="eastAsia" w:ascii="宋体" w:hAnsi="宋体" w:eastAsia="宋体" w:cs="宋体"/>
          <w:color w:val="auto"/>
          <w:sz w:val="24"/>
          <w:szCs w:val="22"/>
          <w:highlight w:val="none"/>
        </w:rPr>
      </w:pP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投标人单位名称：</w:t>
      </w:r>
      <w:r>
        <w:rPr>
          <w:rFonts w:hint="eastAsia" w:ascii="宋体" w:hAnsi="宋体" w:eastAsia="宋体" w:cs="宋体"/>
          <w:color w:val="auto"/>
          <w:sz w:val="24"/>
          <w:szCs w:val="22"/>
          <w:highlight w:val="none"/>
          <w:u w:val="single"/>
        </w:rPr>
        <w:t xml:space="preserve">       （电子印章）   </w:t>
      </w:r>
      <w:r>
        <w:rPr>
          <w:rFonts w:hint="eastAsia" w:ascii="宋体" w:hAnsi="宋体" w:eastAsia="宋体" w:cs="宋体"/>
          <w:color w:val="auto"/>
          <w:sz w:val="24"/>
          <w:szCs w:val="22"/>
          <w:highlight w:val="none"/>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投标日期：</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日</w:t>
      </w:r>
    </w:p>
    <w:p>
      <w:pPr>
        <w:pStyle w:val="20"/>
        <w:rPr>
          <w:rFonts w:hint="eastAsia" w:ascii="宋体" w:hAnsi="宋体" w:eastAsia="宋体" w:cs="宋体"/>
          <w:color w:val="auto"/>
          <w:sz w:val="24"/>
          <w:highlight w:val="none"/>
        </w:rPr>
      </w:pPr>
    </w:p>
    <w:p>
      <w:pPr>
        <w:pStyle w:val="20"/>
        <w:rPr>
          <w:rFonts w:hint="eastAsia" w:ascii="宋体" w:hAnsi="宋体" w:eastAsia="宋体" w:cs="宋体"/>
          <w:color w:val="auto"/>
          <w:sz w:val="24"/>
          <w:highlight w:val="none"/>
        </w:rPr>
      </w:pPr>
    </w:p>
    <w:p>
      <w:pPr>
        <w:pStyle w:val="20"/>
        <w:rPr>
          <w:rFonts w:hint="eastAsia" w:ascii="宋体" w:hAnsi="宋体" w:eastAsia="宋体" w:cs="宋体"/>
          <w:color w:val="auto"/>
          <w:sz w:val="24"/>
          <w:highlight w:val="none"/>
        </w:rPr>
      </w:pPr>
    </w:p>
    <w:p>
      <w:pPr>
        <w:pStyle w:val="20"/>
        <w:rPr>
          <w:rFonts w:hint="eastAsia" w:ascii="宋体" w:hAnsi="宋体" w:eastAsia="宋体" w:cs="宋体"/>
          <w:color w:val="auto"/>
          <w:sz w:val="24"/>
          <w:highlight w:val="none"/>
        </w:rPr>
      </w:pPr>
    </w:p>
    <w:p>
      <w:pPr>
        <w:pStyle w:val="20"/>
        <w:rPr>
          <w:rFonts w:hint="eastAsia" w:ascii="宋体" w:hAnsi="宋体" w:eastAsia="宋体" w:cs="宋体"/>
          <w:color w:val="auto"/>
          <w:sz w:val="24"/>
          <w:highlight w:val="none"/>
        </w:rPr>
      </w:pPr>
    </w:p>
    <w:p>
      <w:pPr>
        <w:pStyle w:val="20"/>
        <w:rPr>
          <w:rFonts w:hint="eastAsia" w:ascii="宋体" w:hAnsi="宋体" w:eastAsia="宋体" w:cs="宋体"/>
          <w:color w:val="auto"/>
          <w:sz w:val="24"/>
          <w:highlight w:val="none"/>
        </w:rPr>
      </w:pPr>
    </w:p>
    <w:p>
      <w:pPr>
        <w:pStyle w:val="20"/>
        <w:rPr>
          <w:rFonts w:hint="eastAsia" w:ascii="宋体" w:hAnsi="宋体" w:eastAsia="宋体" w:cs="宋体"/>
          <w:color w:val="auto"/>
          <w:sz w:val="24"/>
          <w:highlight w:val="none"/>
        </w:rPr>
      </w:pPr>
    </w:p>
    <w:p>
      <w:pPr>
        <w:pStyle w:val="20"/>
        <w:rPr>
          <w:rFonts w:hint="eastAsia" w:ascii="宋体" w:hAnsi="宋体" w:eastAsia="宋体" w:cs="宋体"/>
          <w:color w:val="auto"/>
          <w:sz w:val="24"/>
          <w:highlight w:val="none"/>
        </w:rPr>
      </w:pPr>
    </w:p>
    <w:p>
      <w:pPr>
        <w:pStyle w:val="20"/>
        <w:rPr>
          <w:rFonts w:hint="eastAsia" w:ascii="宋体" w:hAnsi="宋体" w:eastAsia="宋体" w:cs="宋体"/>
          <w:color w:val="auto"/>
          <w:sz w:val="24"/>
          <w:highlight w:val="none"/>
        </w:rPr>
      </w:pPr>
    </w:p>
    <w:p>
      <w:pPr>
        <w:pStyle w:val="20"/>
        <w:rPr>
          <w:rFonts w:hint="eastAsia" w:ascii="宋体" w:hAnsi="宋体" w:eastAsia="宋体" w:cs="宋体"/>
          <w:color w:val="auto"/>
          <w:sz w:val="24"/>
          <w:highlight w:val="none"/>
        </w:rPr>
      </w:pPr>
    </w:p>
    <w:bookmarkEnd w:id="1064"/>
    <w:bookmarkEnd w:id="1065"/>
    <w:bookmarkEnd w:id="1066"/>
    <w:bookmarkEnd w:id="1067"/>
    <w:bookmarkEnd w:id="1068"/>
    <w:bookmarkEnd w:id="1069"/>
    <w:bookmarkEnd w:id="1070"/>
    <w:bookmarkEnd w:id="1071"/>
    <w:bookmarkEnd w:id="1072"/>
    <w:bookmarkEnd w:id="1073"/>
    <w:bookmarkEnd w:id="1076"/>
    <w:p>
      <w:pPr>
        <w:pStyle w:val="4"/>
        <w:spacing w:line="400" w:lineRule="exact"/>
        <w:jc w:val="both"/>
        <w:rPr>
          <w:rFonts w:hint="eastAsia" w:ascii="宋体" w:hAnsi="宋体" w:eastAsia="宋体" w:cs="宋体"/>
          <w:b/>
          <w:bCs/>
          <w:color w:val="auto"/>
          <w:highlight w:val="none"/>
          <w:lang w:val="en-US" w:eastAsia="zh-CN"/>
        </w:rPr>
      </w:pPr>
      <w:bookmarkStart w:id="1085" w:name="_Toc16279"/>
      <w:bookmarkStart w:id="1086" w:name="_Toc31685"/>
      <w:bookmarkStart w:id="1087" w:name="_Toc31294"/>
      <w:bookmarkStart w:id="1088" w:name="_Toc17156"/>
      <w:bookmarkStart w:id="1089" w:name="_Toc19497"/>
      <w:bookmarkStart w:id="1090" w:name="_Toc10802"/>
      <w:bookmarkStart w:id="1091" w:name="_Toc32179_WPSOffice_Level3"/>
      <w:bookmarkStart w:id="1092" w:name="_Toc1810"/>
      <w:bookmarkStart w:id="1093" w:name="_Toc24361"/>
      <w:bookmarkStart w:id="1094" w:name="_Toc21929"/>
      <w:bookmarkStart w:id="1095" w:name="_Toc29132"/>
      <w:bookmarkStart w:id="1096" w:name="_Toc22229"/>
      <w:bookmarkStart w:id="1097" w:name="_Toc32222_WPSOffice_Level3"/>
      <w:r>
        <w:rPr>
          <w:rFonts w:hint="eastAsia" w:ascii="宋体" w:hAnsi="宋体" w:eastAsia="宋体" w:cs="宋体"/>
          <w:b/>
          <w:bCs/>
          <w:color w:val="auto"/>
          <w:highlight w:val="none"/>
          <w:lang w:val="en-US" w:eastAsia="zh-CN"/>
        </w:rPr>
        <w:t>格式2-</w:t>
      </w:r>
      <w:bookmarkEnd w:id="1085"/>
      <w:bookmarkEnd w:id="1086"/>
      <w:r>
        <w:rPr>
          <w:rFonts w:hint="eastAsia" w:ascii="宋体" w:hAnsi="宋体" w:eastAsia="宋体" w:cs="宋体"/>
          <w:b/>
          <w:bCs/>
          <w:color w:val="auto"/>
          <w:highlight w:val="none"/>
          <w:lang w:val="en-US" w:eastAsia="zh-CN"/>
        </w:rPr>
        <w:t>5</w:t>
      </w:r>
      <w:bookmarkEnd w:id="1087"/>
    </w:p>
    <w:p>
      <w:pPr>
        <w:pStyle w:val="4"/>
        <w:jc w:val="center"/>
        <w:rPr>
          <w:rFonts w:hint="eastAsia" w:ascii="宋体" w:hAnsi="宋体" w:eastAsia="宋体" w:cs="宋体"/>
          <w:color w:val="auto"/>
          <w:sz w:val="28"/>
          <w:szCs w:val="28"/>
          <w:highlight w:val="none"/>
        </w:rPr>
      </w:pPr>
      <w:bookmarkStart w:id="1098" w:name="_Toc7202"/>
      <w:bookmarkStart w:id="1099" w:name="_Toc9126"/>
      <w:bookmarkStart w:id="1100" w:name="_Toc9927"/>
      <w:r>
        <w:rPr>
          <w:rFonts w:hint="eastAsia" w:ascii="宋体" w:hAnsi="宋体" w:eastAsia="宋体" w:cs="宋体"/>
          <w:color w:val="auto"/>
          <w:szCs w:val="28"/>
          <w:highlight w:val="none"/>
        </w:rPr>
        <w:t>开标一览表</w:t>
      </w:r>
      <w:bookmarkEnd w:id="808"/>
      <w:bookmarkEnd w:id="809"/>
      <w:bookmarkEnd w:id="810"/>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p>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p>
    <w:tbl>
      <w:tblPr>
        <w:tblStyle w:val="34"/>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2640"/>
        <w:gridCol w:w="1320"/>
        <w:gridCol w:w="2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551" w:type="dxa"/>
            <w:noWrap w:val="0"/>
            <w:vAlign w:val="center"/>
          </w:tcPr>
          <w:p>
            <w:pPr>
              <w:widowControl/>
              <w:spacing w:line="360" w:lineRule="auto"/>
              <w:jc w:val="center"/>
              <w:rPr>
                <w:rFonts w:hint="eastAsia" w:ascii="宋体" w:hAnsi="宋体" w:eastAsia="宋体" w:cs="宋体"/>
                <w:bCs/>
                <w:color w:val="auto"/>
                <w:sz w:val="22"/>
                <w:szCs w:val="18"/>
                <w:highlight w:val="none"/>
              </w:rPr>
            </w:pPr>
            <w:r>
              <w:rPr>
                <w:rFonts w:hint="eastAsia" w:ascii="宋体" w:hAnsi="宋体" w:eastAsia="宋体" w:cs="宋体"/>
                <w:bCs/>
                <w:color w:val="auto"/>
                <w:sz w:val="22"/>
                <w:szCs w:val="18"/>
                <w:highlight w:val="none"/>
              </w:rPr>
              <w:t>序号</w:t>
            </w:r>
          </w:p>
        </w:tc>
        <w:tc>
          <w:tcPr>
            <w:tcW w:w="2640" w:type="dxa"/>
            <w:tcBorders>
              <w:right w:val="single" w:color="000000" w:sz="4" w:space="0"/>
            </w:tcBorders>
            <w:noWrap w:val="0"/>
            <w:vAlign w:val="center"/>
          </w:tcPr>
          <w:p>
            <w:pPr>
              <w:widowControl/>
              <w:spacing w:line="360" w:lineRule="auto"/>
              <w:jc w:val="center"/>
              <w:rPr>
                <w:rFonts w:hint="eastAsia" w:ascii="宋体" w:hAnsi="宋体" w:eastAsia="宋体" w:cs="宋体"/>
                <w:bCs/>
                <w:color w:val="auto"/>
                <w:sz w:val="22"/>
                <w:szCs w:val="18"/>
                <w:highlight w:val="none"/>
              </w:rPr>
            </w:pPr>
            <w:r>
              <w:rPr>
                <w:rFonts w:hint="eastAsia" w:ascii="宋体" w:hAnsi="宋体" w:eastAsia="宋体" w:cs="宋体"/>
                <w:bCs/>
                <w:color w:val="auto"/>
                <w:sz w:val="22"/>
                <w:szCs w:val="18"/>
                <w:highlight w:val="none"/>
              </w:rPr>
              <w:t>服务内容</w:t>
            </w:r>
          </w:p>
        </w:tc>
        <w:tc>
          <w:tcPr>
            <w:tcW w:w="1320" w:type="dxa"/>
            <w:tcBorders>
              <w:left w:val="single" w:color="000000" w:sz="4" w:space="0"/>
            </w:tcBorders>
            <w:noWrap w:val="0"/>
            <w:vAlign w:val="center"/>
          </w:tcPr>
          <w:p>
            <w:pPr>
              <w:widowControl/>
              <w:spacing w:line="360" w:lineRule="auto"/>
              <w:jc w:val="center"/>
              <w:rPr>
                <w:rFonts w:hint="eastAsia" w:ascii="宋体" w:hAnsi="宋体" w:eastAsia="宋体" w:cs="宋体"/>
                <w:bCs/>
                <w:color w:val="auto"/>
                <w:sz w:val="22"/>
                <w:szCs w:val="18"/>
                <w:highlight w:val="none"/>
              </w:rPr>
            </w:pPr>
            <w:r>
              <w:rPr>
                <w:rFonts w:hint="eastAsia" w:ascii="宋体" w:hAnsi="宋体" w:eastAsia="宋体" w:cs="宋体"/>
                <w:bCs/>
                <w:color w:val="auto"/>
                <w:sz w:val="24"/>
                <w:highlight w:val="none"/>
              </w:rPr>
              <w:t>服务年限</w:t>
            </w:r>
          </w:p>
        </w:tc>
        <w:tc>
          <w:tcPr>
            <w:tcW w:w="2763" w:type="dxa"/>
            <w:noWrap w:val="0"/>
            <w:vAlign w:val="center"/>
          </w:tcPr>
          <w:p>
            <w:pPr>
              <w:widowControl/>
              <w:spacing w:line="360" w:lineRule="auto"/>
              <w:jc w:val="center"/>
              <w:rPr>
                <w:rFonts w:hint="eastAsia" w:ascii="宋体" w:hAnsi="宋体" w:eastAsia="宋体" w:cs="宋体"/>
                <w:bCs/>
                <w:color w:val="auto"/>
                <w:sz w:val="22"/>
                <w:szCs w:val="18"/>
                <w:highlight w:val="none"/>
              </w:rPr>
            </w:pPr>
            <w:r>
              <w:rPr>
                <w:rFonts w:hint="eastAsia" w:ascii="宋体" w:hAnsi="宋体" w:eastAsia="宋体" w:cs="宋体"/>
                <w:bCs/>
                <w:color w:val="auto"/>
                <w:sz w:val="22"/>
                <w:szCs w:val="18"/>
                <w:highlight w:val="none"/>
              </w:rPr>
              <w:t>投标总价（万元）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551" w:type="dxa"/>
            <w:noWrap w:val="0"/>
            <w:vAlign w:val="center"/>
          </w:tcPr>
          <w:p>
            <w:pPr>
              <w:widowControl/>
              <w:spacing w:line="360" w:lineRule="auto"/>
              <w:jc w:val="center"/>
              <w:rPr>
                <w:rFonts w:hint="eastAsia" w:ascii="宋体" w:hAnsi="宋体" w:eastAsia="宋体" w:cs="宋体"/>
                <w:bCs/>
                <w:color w:val="auto"/>
                <w:sz w:val="22"/>
                <w:szCs w:val="18"/>
                <w:highlight w:val="none"/>
              </w:rPr>
            </w:pPr>
            <w:r>
              <w:rPr>
                <w:rFonts w:hint="eastAsia" w:ascii="宋体" w:hAnsi="宋体" w:eastAsia="宋体" w:cs="宋体"/>
                <w:bCs/>
                <w:color w:val="auto"/>
                <w:sz w:val="22"/>
                <w:szCs w:val="18"/>
                <w:highlight w:val="none"/>
              </w:rPr>
              <w:t>1</w:t>
            </w:r>
          </w:p>
        </w:tc>
        <w:tc>
          <w:tcPr>
            <w:tcW w:w="2640" w:type="dxa"/>
            <w:tcBorders>
              <w:right w:val="single" w:color="000000" w:sz="4" w:space="0"/>
            </w:tcBorders>
            <w:noWrap w:val="0"/>
            <w:vAlign w:val="center"/>
          </w:tcPr>
          <w:p>
            <w:pPr>
              <w:spacing w:line="360" w:lineRule="auto"/>
              <w:jc w:val="center"/>
              <w:rPr>
                <w:rFonts w:hint="eastAsia" w:ascii="宋体" w:hAnsi="宋体" w:eastAsia="宋体" w:cs="宋体"/>
                <w:bCs/>
                <w:color w:val="auto"/>
                <w:sz w:val="22"/>
                <w:szCs w:val="18"/>
                <w:highlight w:val="none"/>
              </w:rPr>
            </w:pPr>
          </w:p>
        </w:tc>
        <w:tc>
          <w:tcPr>
            <w:tcW w:w="1320" w:type="dxa"/>
            <w:tcBorders>
              <w:left w:val="single" w:color="000000" w:sz="4" w:space="0"/>
            </w:tcBorders>
            <w:noWrap w:val="0"/>
            <w:vAlign w:val="center"/>
          </w:tcPr>
          <w:p>
            <w:pPr>
              <w:spacing w:line="360" w:lineRule="auto"/>
              <w:jc w:val="center"/>
              <w:rPr>
                <w:rFonts w:hint="eastAsia" w:ascii="宋体" w:hAnsi="宋体" w:eastAsia="宋体" w:cs="宋体"/>
                <w:bCs/>
                <w:color w:val="auto"/>
                <w:sz w:val="22"/>
                <w:szCs w:val="18"/>
                <w:highlight w:val="none"/>
              </w:rPr>
            </w:pPr>
          </w:p>
        </w:tc>
        <w:tc>
          <w:tcPr>
            <w:tcW w:w="2763" w:type="dxa"/>
            <w:noWrap w:val="0"/>
            <w:vAlign w:val="center"/>
          </w:tcPr>
          <w:p>
            <w:pPr>
              <w:widowControl/>
              <w:spacing w:line="360" w:lineRule="auto"/>
              <w:jc w:val="center"/>
              <w:rPr>
                <w:rFonts w:hint="eastAsia" w:ascii="宋体" w:hAnsi="宋体" w:eastAsia="宋体" w:cs="宋体"/>
                <w:bCs/>
                <w:color w:val="auto"/>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551" w:type="dxa"/>
            <w:noWrap w:val="0"/>
            <w:vAlign w:val="center"/>
          </w:tcPr>
          <w:p>
            <w:pPr>
              <w:widowControl/>
              <w:spacing w:line="360" w:lineRule="auto"/>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投标总价</w:t>
            </w:r>
          </w:p>
        </w:tc>
        <w:tc>
          <w:tcPr>
            <w:tcW w:w="6723" w:type="dxa"/>
            <w:gridSpan w:val="3"/>
            <w:noWrap w:val="0"/>
            <w:vAlign w:val="center"/>
          </w:tcPr>
          <w:p>
            <w:pPr>
              <w:widowControl/>
              <w:spacing w:line="360" w:lineRule="auto"/>
              <w:rPr>
                <w:rFonts w:hint="eastAsia" w:ascii="宋体" w:hAnsi="宋体" w:eastAsia="宋体" w:cs="宋体"/>
                <w:color w:val="auto"/>
                <w:sz w:val="22"/>
                <w:szCs w:val="18"/>
                <w:highlight w:val="none"/>
              </w:rPr>
            </w:pPr>
            <w:r>
              <w:rPr>
                <w:rFonts w:hint="eastAsia" w:ascii="宋体" w:hAnsi="宋体" w:eastAsia="宋体" w:cs="宋体"/>
                <w:b/>
                <w:color w:val="auto"/>
                <w:sz w:val="24"/>
                <w:highlight w:val="none"/>
              </w:rPr>
              <w:t>人民币大写：</w:t>
            </w:r>
            <w:r>
              <w:rPr>
                <w:rFonts w:hint="eastAsia" w:ascii="宋体" w:hAnsi="宋体" w:eastAsia="宋体" w:cs="宋体"/>
                <w:b/>
                <w:color w:val="auto"/>
                <w:sz w:val="24"/>
                <w:highlight w:val="none"/>
                <w:u w:val="single"/>
              </w:rPr>
              <w:t xml:space="preserve">           </w:t>
            </w:r>
            <w:r>
              <w:rPr>
                <w:rFonts w:hint="eastAsia" w:ascii="宋体" w:hAnsi="宋体" w:eastAsia="宋体" w:cs="宋体"/>
                <w:b/>
                <w:color w:val="auto"/>
                <w:sz w:val="24"/>
                <w:highlight w:val="none"/>
              </w:rPr>
              <w:t>（人民币小写：</w:t>
            </w:r>
            <w:r>
              <w:rPr>
                <w:rFonts w:hint="eastAsia" w:ascii="宋体" w:hAnsi="宋体" w:eastAsia="宋体" w:cs="宋体"/>
                <w:b/>
                <w:color w:val="auto"/>
                <w:sz w:val="24"/>
                <w:highlight w:val="none"/>
                <w:u w:val="single"/>
              </w:rPr>
              <w:t xml:space="preserve">      </w:t>
            </w:r>
            <w:r>
              <w:rPr>
                <w:rFonts w:hint="eastAsia" w:ascii="宋体" w:hAnsi="宋体" w:eastAsia="宋体" w:cs="宋体"/>
                <w:b/>
                <w:color w:val="auto"/>
                <w:sz w:val="24"/>
                <w:highlight w:val="none"/>
              </w:rPr>
              <w:t>万元）</w:t>
            </w:r>
          </w:p>
        </w:tc>
      </w:tr>
    </w:tbl>
    <w:p>
      <w:pPr>
        <w:spacing w:line="400" w:lineRule="exact"/>
        <w:ind w:firstLine="480" w:firstLineChars="200"/>
        <w:jc w:val="left"/>
        <w:rPr>
          <w:rFonts w:hint="eastAsia" w:ascii="宋体" w:hAnsi="宋体" w:eastAsia="宋体" w:cs="宋体"/>
          <w:color w:val="auto"/>
          <w:sz w:val="24"/>
          <w:highlight w:val="none"/>
        </w:rPr>
      </w:pP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投标人单位名称：</w:t>
      </w:r>
      <w:r>
        <w:rPr>
          <w:rFonts w:hint="eastAsia" w:ascii="宋体" w:hAnsi="宋体" w:eastAsia="宋体" w:cs="宋体"/>
          <w:color w:val="auto"/>
          <w:sz w:val="24"/>
          <w:szCs w:val="22"/>
          <w:highlight w:val="none"/>
          <w:u w:val="single"/>
        </w:rPr>
        <w:t xml:space="preserve">       （电子印章）   </w:t>
      </w:r>
      <w:r>
        <w:rPr>
          <w:rFonts w:hint="eastAsia" w:ascii="宋体" w:hAnsi="宋体" w:eastAsia="宋体" w:cs="宋体"/>
          <w:color w:val="auto"/>
          <w:sz w:val="24"/>
          <w:szCs w:val="22"/>
          <w:highlight w:val="none"/>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投标日期：</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日</w:t>
      </w:r>
    </w:p>
    <w:p>
      <w:pPr>
        <w:adjustRightInd w:val="0"/>
        <w:spacing w:line="400" w:lineRule="exact"/>
        <w:ind w:firstLine="480" w:firstLineChars="200"/>
        <w:jc w:val="left"/>
        <w:rPr>
          <w:rFonts w:hint="eastAsia" w:ascii="宋体" w:hAnsi="宋体" w:eastAsia="宋体" w:cs="宋体"/>
          <w:color w:val="auto"/>
          <w:sz w:val="24"/>
          <w:highlight w:val="none"/>
        </w:rPr>
      </w:pPr>
    </w:p>
    <w:p>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pPr>
        <w:numPr>
          <w:ilvl w:val="0"/>
          <w:numId w:val="3"/>
        </w:numPr>
        <w:spacing w:line="360" w:lineRule="auto"/>
        <w:ind w:firstLine="480" w:firstLineChars="200"/>
        <w:rPr>
          <w:rFonts w:hint="eastAsia" w:ascii="宋体" w:hAnsi="宋体" w:eastAsia="宋体" w:cs="宋体"/>
          <w:color w:val="auto"/>
          <w:sz w:val="24"/>
        </w:rPr>
      </w:pPr>
      <w:r>
        <w:rPr>
          <w:rFonts w:hint="eastAsia" w:ascii="宋体" w:hAnsi="宋体" w:eastAsia="宋体" w:cs="宋体"/>
          <w:b w:val="0"/>
          <w:bCs w:val="0"/>
          <w:color w:val="auto"/>
          <w:sz w:val="24"/>
          <w:szCs w:val="22"/>
          <w:highlight w:val="none"/>
          <w:lang w:val="en-US" w:eastAsia="zh-CN"/>
        </w:rPr>
        <w:t>本次投标报价是响应招标项目要求的全部工作内容的价格体现，包括完成本项目所需的一切费用，</w:t>
      </w:r>
      <w:r>
        <w:rPr>
          <w:rFonts w:hint="eastAsia" w:ascii="宋体" w:hAnsi="宋体" w:eastAsia="宋体" w:cs="宋体"/>
          <w:color w:val="auto"/>
          <w:sz w:val="24"/>
          <w:lang w:val="en-US" w:eastAsia="zh-CN"/>
        </w:rPr>
        <w:t>采购人无须再另行支付其他任何费用</w:t>
      </w:r>
      <w:r>
        <w:rPr>
          <w:rFonts w:hint="eastAsia" w:ascii="宋体" w:hAnsi="宋体" w:eastAsia="宋体" w:cs="宋体"/>
          <w:color w:val="auto"/>
          <w:sz w:val="24"/>
        </w:rPr>
        <w:t>。</w:t>
      </w:r>
    </w:p>
    <w:p>
      <w:pPr>
        <w:numPr>
          <w:ilvl w:val="0"/>
          <w:numId w:val="0"/>
        </w:num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2、“开标一览表”为多页的，每页均需盖供应商</w:t>
      </w:r>
      <w:r>
        <w:rPr>
          <w:rFonts w:hint="eastAsia" w:ascii="宋体" w:hAnsi="宋体" w:eastAsia="宋体" w:cs="宋体"/>
          <w:color w:val="auto"/>
          <w:sz w:val="24"/>
          <w:highlight w:val="none"/>
          <w:lang w:val="en-US" w:eastAsia="zh-CN"/>
        </w:rPr>
        <w:t>公</w:t>
      </w:r>
      <w:r>
        <w:rPr>
          <w:rFonts w:hint="eastAsia" w:ascii="宋体" w:hAnsi="宋体" w:eastAsia="宋体" w:cs="宋体"/>
          <w:color w:val="auto"/>
          <w:sz w:val="24"/>
          <w:highlight w:val="none"/>
        </w:rPr>
        <w:t>章</w:t>
      </w:r>
      <w:r>
        <w:rPr>
          <w:rFonts w:hint="eastAsia" w:ascii="宋体" w:hAnsi="宋体" w:eastAsia="宋体" w:cs="宋体"/>
          <w:color w:val="auto"/>
          <w:sz w:val="24"/>
          <w:highlight w:val="none"/>
          <w:lang w:eastAsia="zh-CN"/>
        </w:rPr>
        <w:t>（电子印章）</w:t>
      </w:r>
      <w:r>
        <w:rPr>
          <w:rFonts w:hint="eastAsia" w:ascii="宋体" w:hAnsi="宋体" w:eastAsia="宋体" w:cs="宋体"/>
          <w:color w:val="auto"/>
          <w:sz w:val="24"/>
          <w:highlight w:val="none"/>
        </w:rPr>
        <w:t>。</w:t>
      </w:r>
    </w:p>
    <w:p>
      <w:pPr>
        <w:adjustRightInd w:val="0"/>
        <w:spacing w:line="400" w:lineRule="exact"/>
        <w:ind w:firstLine="480" w:firstLineChars="200"/>
        <w:jc w:val="left"/>
        <w:rPr>
          <w:rFonts w:hint="eastAsia" w:ascii="宋体" w:hAnsi="宋体" w:eastAsia="宋体" w:cs="宋体"/>
          <w:color w:val="auto"/>
          <w:sz w:val="24"/>
          <w:highlight w:val="none"/>
        </w:rPr>
        <w:sectPr>
          <w:footerReference r:id="rId11" w:type="default"/>
          <w:pgSz w:w="11850" w:h="16783"/>
          <w:pgMar w:top="1440" w:right="1800" w:bottom="1440" w:left="1800" w:header="0" w:footer="964" w:gutter="0"/>
          <w:pgNumType w:fmt="decimal"/>
          <w:cols w:space="720" w:num="1"/>
          <w:docGrid w:linePitch="312" w:charSpace="0"/>
        </w:sectPr>
      </w:pPr>
    </w:p>
    <w:p>
      <w:pPr>
        <w:pStyle w:val="4"/>
        <w:spacing w:line="400" w:lineRule="exact"/>
        <w:jc w:val="both"/>
        <w:rPr>
          <w:rFonts w:hint="eastAsia" w:ascii="宋体" w:hAnsi="宋体" w:eastAsia="宋体" w:cs="宋体"/>
          <w:b/>
          <w:bCs/>
          <w:color w:val="auto"/>
          <w:highlight w:val="none"/>
          <w:lang w:val="en-US" w:eastAsia="zh-CN"/>
        </w:rPr>
      </w:pPr>
      <w:bookmarkStart w:id="1101" w:name="_Toc30206"/>
      <w:bookmarkStart w:id="1102" w:name="_Toc21395"/>
      <w:bookmarkStart w:id="1103" w:name="_Toc22315"/>
      <w:bookmarkStart w:id="1104" w:name="_Toc3271"/>
      <w:bookmarkStart w:id="1105" w:name="_Toc311628366"/>
      <w:bookmarkStart w:id="1106" w:name="_Toc14940"/>
      <w:bookmarkStart w:id="1107" w:name="_Toc23163"/>
      <w:bookmarkStart w:id="1108" w:name="_Toc12406"/>
      <w:bookmarkStart w:id="1109" w:name="_Toc26348"/>
      <w:bookmarkStart w:id="1110" w:name="_Toc9513_WPSOffice_Level3"/>
      <w:bookmarkStart w:id="1111" w:name="_Toc24413"/>
      <w:bookmarkStart w:id="1112" w:name="_Toc6785"/>
      <w:bookmarkStart w:id="1113" w:name="_Toc29528"/>
      <w:bookmarkStart w:id="1114" w:name="_Toc16341"/>
      <w:bookmarkStart w:id="1115" w:name="_Toc26182"/>
      <w:bookmarkStart w:id="1116" w:name="_Toc27425_WPSOffice_Level3"/>
      <w:bookmarkStart w:id="1117" w:name="_Toc9442"/>
      <w:bookmarkStart w:id="1118" w:name="_Toc13625"/>
      <w:bookmarkStart w:id="1119" w:name="_Toc628"/>
      <w:bookmarkStart w:id="1120" w:name="_Toc10709"/>
      <w:r>
        <w:rPr>
          <w:rFonts w:hint="eastAsia" w:ascii="宋体" w:hAnsi="宋体" w:eastAsia="宋体" w:cs="宋体"/>
          <w:b/>
          <w:bCs/>
          <w:color w:val="auto"/>
          <w:highlight w:val="none"/>
          <w:lang w:val="en-US" w:eastAsia="zh-CN"/>
        </w:rPr>
        <w:t>格式2-</w:t>
      </w:r>
      <w:bookmarkEnd w:id="1101"/>
      <w:bookmarkEnd w:id="1102"/>
      <w:r>
        <w:rPr>
          <w:rFonts w:hint="eastAsia" w:ascii="宋体" w:hAnsi="宋体" w:eastAsia="宋体" w:cs="宋体"/>
          <w:b/>
          <w:bCs/>
          <w:color w:val="auto"/>
          <w:highlight w:val="none"/>
          <w:lang w:val="en-US" w:eastAsia="zh-CN"/>
        </w:rPr>
        <w:t>6</w:t>
      </w:r>
      <w:bookmarkEnd w:id="1103"/>
    </w:p>
    <w:p>
      <w:pPr>
        <w:pStyle w:val="4"/>
        <w:spacing w:line="400" w:lineRule="exact"/>
        <w:jc w:val="center"/>
        <w:rPr>
          <w:rFonts w:hint="eastAsia" w:ascii="宋体" w:hAnsi="宋体" w:eastAsia="宋体" w:cs="宋体"/>
          <w:bCs w:val="0"/>
          <w:color w:val="auto"/>
          <w:szCs w:val="28"/>
          <w:highlight w:val="none"/>
        </w:rPr>
      </w:pPr>
      <w:bookmarkStart w:id="1121" w:name="_Toc15747"/>
      <w:bookmarkStart w:id="1122" w:name="_Toc11344"/>
      <w:bookmarkStart w:id="1123" w:name="_Toc13891"/>
      <w:r>
        <w:rPr>
          <w:rFonts w:hint="eastAsia" w:ascii="宋体" w:hAnsi="宋体" w:eastAsia="宋体" w:cs="宋体"/>
          <w:bCs w:val="0"/>
          <w:color w:val="auto"/>
          <w:szCs w:val="28"/>
          <w:highlight w:val="none"/>
        </w:rPr>
        <w:t>分项报价明细表</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p>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4190"/>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noWrap w:val="0"/>
            <w:vAlign w:val="center"/>
          </w:tcPr>
          <w:p>
            <w:pPr>
              <w:pStyle w:val="17"/>
              <w:spacing w:before="120" w:beforeLines="50"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序号</w:t>
            </w:r>
          </w:p>
        </w:tc>
        <w:tc>
          <w:tcPr>
            <w:tcW w:w="4190" w:type="dxa"/>
            <w:noWrap w:val="0"/>
            <w:vAlign w:val="center"/>
          </w:tcPr>
          <w:p>
            <w:pPr>
              <w:pStyle w:val="17"/>
              <w:spacing w:before="120" w:beforeLines="50"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服务内容</w:t>
            </w:r>
          </w:p>
        </w:tc>
        <w:tc>
          <w:tcPr>
            <w:tcW w:w="3151" w:type="dxa"/>
            <w:noWrap w:val="0"/>
            <w:vAlign w:val="center"/>
          </w:tcPr>
          <w:p>
            <w:pPr>
              <w:pStyle w:val="17"/>
              <w:spacing w:before="120" w:beforeLines="50"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noWrap w:val="0"/>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4190" w:type="dxa"/>
            <w:noWrap w:val="0"/>
            <w:vAlign w:val="center"/>
          </w:tcPr>
          <w:p>
            <w:pPr>
              <w:pStyle w:val="17"/>
              <w:spacing w:line="360" w:lineRule="auto"/>
              <w:jc w:val="center"/>
              <w:rPr>
                <w:rFonts w:hint="eastAsia" w:ascii="宋体" w:hAnsi="宋体" w:eastAsia="宋体" w:cs="宋体"/>
                <w:color w:val="auto"/>
                <w:kern w:val="0"/>
                <w:sz w:val="24"/>
                <w:highlight w:val="none"/>
              </w:rPr>
            </w:pPr>
          </w:p>
        </w:tc>
        <w:tc>
          <w:tcPr>
            <w:tcW w:w="3151" w:type="dxa"/>
            <w:noWrap w:val="0"/>
            <w:vAlign w:val="center"/>
          </w:tcPr>
          <w:p>
            <w:pPr>
              <w:pStyle w:val="17"/>
              <w:spacing w:line="360" w:lineRule="auto"/>
              <w:jc w:val="center"/>
              <w:rPr>
                <w:rFonts w:hint="eastAsia"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noWrap w:val="0"/>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4190" w:type="dxa"/>
            <w:noWrap w:val="0"/>
            <w:vAlign w:val="center"/>
          </w:tcPr>
          <w:p>
            <w:pPr>
              <w:pStyle w:val="17"/>
              <w:spacing w:line="360" w:lineRule="auto"/>
              <w:jc w:val="center"/>
              <w:rPr>
                <w:rFonts w:hint="eastAsia" w:ascii="宋体" w:hAnsi="宋体" w:eastAsia="宋体" w:cs="宋体"/>
                <w:color w:val="auto"/>
                <w:kern w:val="0"/>
                <w:sz w:val="24"/>
                <w:highlight w:val="none"/>
              </w:rPr>
            </w:pPr>
          </w:p>
        </w:tc>
        <w:tc>
          <w:tcPr>
            <w:tcW w:w="3151" w:type="dxa"/>
            <w:noWrap w:val="0"/>
            <w:vAlign w:val="center"/>
          </w:tcPr>
          <w:p>
            <w:pPr>
              <w:pStyle w:val="17"/>
              <w:spacing w:line="360" w:lineRule="auto"/>
              <w:jc w:val="center"/>
              <w:rPr>
                <w:rFonts w:hint="eastAsia"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noWrap w:val="0"/>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4190" w:type="dxa"/>
            <w:noWrap w:val="0"/>
            <w:vAlign w:val="center"/>
          </w:tcPr>
          <w:p>
            <w:pPr>
              <w:pStyle w:val="17"/>
              <w:spacing w:line="360" w:lineRule="auto"/>
              <w:jc w:val="center"/>
              <w:rPr>
                <w:rFonts w:hint="eastAsia" w:ascii="宋体" w:hAnsi="宋体" w:eastAsia="宋体" w:cs="宋体"/>
                <w:color w:val="auto"/>
                <w:kern w:val="0"/>
                <w:sz w:val="24"/>
                <w:highlight w:val="none"/>
              </w:rPr>
            </w:pPr>
          </w:p>
        </w:tc>
        <w:tc>
          <w:tcPr>
            <w:tcW w:w="3151" w:type="dxa"/>
            <w:noWrap w:val="0"/>
            <w:vAlign w:val="center"/>
          </w:tcPr>
          <w:p>
            <w:pPr>
              <w:pStyle w:val="17"/>
              <w:spacing w:line="360" w:lineRule="auto"/>
              <w:jc w:val="center"/>
              <w:rPr>
                <w:rFonts w:hint="eastAsia"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123" w:type="dxa"/>
            <w:noWrap w:val="0"/>
            <w:vAlign w:val="center"/>
          </w:tcPr>
          <w:p>
            <w:pPr>
              <w:pStyle w:val="17"/>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4190" w:type="dxa"/>
            <w:noWrap w:val="0"/>
            <w:vAlign w:val="center"/>
          </w:tcPr>
          <w:p>
            <w:pPr>
              <w:pStyle w:val="17"/>
              <w:spacing w:line="360" w:lineRule="auto"/>
              <w:jc w:val="center"/>
              <w:rPr>
                <w:rFonts w:hint="eastAsia" w:ascii="宋体" w:hAnsi="宋体" w:eastAsia="宋体" w:cs="宋体"/>
                <w:color w:val="auto"/>
                <w:kern w:val="0"/>
                <w:sz w:val="24"/>
                <w:highlight w:val="none"/>
              </w:rPr>
            </w:pPr>
          </w:p>
        </w:tc>
        <w:tc>
          <w:tcPr>
            <w:tcW w:w="3151" w:type="dxa"/>
            <w:noWrap w:val="0"/>
            <w:vAlign w:val="center"/>
          </w:tcPr>
          <w:p>
            <w:pPr>
              <w:pStyle w:val="17"/>
              <w:spacing w:line="360" w:lineRule="auto"/>
              <w:jc w:val="center"/>
              <w:rPr>
                <w:rFonts w:hint="eastAsia"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noWrap w:val="0"/>
            <w:vAlign w:val="center"/>
          </w:tcPr>
          <w:p>
            <w:pPr>
              <w:pStyle w:val="17"/>
              <w:spacing w:line="360" w:lineRule="auto"/>
              <w:jc w:val="center"/>
              <w:rPr>
                <w:rFonts w:hint="eastAsia" w:ascii="宋体" w:hAnsi="宋体" w:eastAsia="宋体" w:cs="宋体"/>
                <w:color w:val="auto"/>
                <w:kern w:val="0"/>
                <w:sz w:val="24"/>
                <w:highlight w:val="none"/>
              </w:rPr>
            </w:pPr>
          </w:p>
        </w:tc>
        <w:tc>
          <w:tcPr>
            <w:tcW w:w="4190" w:type="dxa"/>
            <w:noWrap w:val="0"/>
            <w:vAlign w:val="center"/>
          </w:tcPr>
          <w:p>
            <w:pPr>
              <w:pStyle w:val="17"/>
              <w:spacing w:line="360" w:lineRule="auto"/>
              <w:jc w:val="center"/>
              <w:rPr>
                <w:rFonts w:hint="eastAsia" w:ascii="宋体" w:hAnsi="宋体" w:eastAsia="宋体" w:cs="宋体"/>
                <w:color w:val="auto"/>
                <w:kern w:val="0"/>
                <w:sz w:val="24"/>
                <w:highlight w:val="none"/>
              </w:rPr>
            </w:pPr>
          </w:p>
        </w:tc>
        <w:tc>
          <w:tcPr>
            <w:tcW w:w="3151" w:type="dxa"/>
            <w:noWrap w:val="0"/>
            <w:vAlign w:val="center"/>
          </w:tcPr>
          <w:p>
            <w:pPr>
              <w:pStyle w:val="17"/>
              <w:spacing w:line="360" w:lineRule="auto"/>
              <w:jc w:val="center"/>
              <w:rPr>
                <w:rFonts w:hint="eastAsia"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3" w:type="dxa"/>
            <w:gridSpan w:val="2"/>
            <w:noWrap w:val="0"/>
            <w:vAlign w:val="center"/>
          </w:tcPr>
          <w:p>
            <w:pPr>
              <w:pStyle w:val="17"/>
              <w:spacing w:line="360" w:lineRule="auto"/>
              <w:ind w:firstLine="360" w:firstLineChars="150"/>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b/>
                <w:color w:val="auto"/>
                <w:kern w:val="0"/>
                <w:sz w:val="24"/>
                <w:highlight w:val="none"/>
              </w:rPr>
              <w:t>总    价(万元)</w:t>
            </w:r>
          </w:p>
        </w:tc>
        <w:tc>
          <w:tcPr>
            <w:tcW w:w="3151" w:type="dxa"/>
            <w:noWrap w:val="0"/>
            <w:vAlign w:val="center"/>
          </w:tcPr>
          <w:p>
            <w:pPr>
              <w:pStyle w:val="17"/>
              <w:spacing w:line="360" w:lineRule="auto"/>
              <w:jc w:val="center"/>
              <w:rPr>
                <w:rFonts w:hint="eastAsia" w:ascii="宋体" w:hAnsi="宋体" w:eastAsia="宋体" w:cs="宋体"/>
                <w:color w:val="auto"/>
                <w:kern w:val="0"/>
                <w:sz w:val="24"/>
                <w:highlight w:val="none"/>
              </w:rPr>
            </w:pPr>
          </w:p>
        </w:tc>
      </w:tr>
    </w:tbl>
    <w:p>
      <w:pPr>
        <w:spacing w:line="400" w:lineRule="exact"/>
        <w:ind w:firstLine="480" w:firstLineChars="200"/>
        <w:rPr>
          <w:rFonts w:hint="eastAsia" w:ascii="宋体" w:hAnsi="宋体" w:eastAsia="宋体" w:cs="宋体"/>
          <w:color w:val="auto"/>
          <w:sz w:val="24"/>
          <w:highlight w:val="none"/>
        </w:rPr>
      </w:pP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投标人单位名称：</w:t>
      </w:r>
      <w:r>
        <w:rPr>
          <w:rFonts w:hint="eastAsia" w:ascii="宋体" w:hAnsi="宋体" w:eastAsia="宋体" w:cs="宋体"/>
          <w:color w:val="auto"/>
          <w:sz w:val="24"/>
          <w:szCs w:val="22"/>
          <w:highlight w:val="none"/>
          <w:u w:val="single"/>
        </w:rPr>
        <w:t xml:space="preserve">       （电子印章）   </w:t>
      </w:r>
      <w:r>
        <w:rPr>
          <w:rFonts w:hint="eastAsia" w:ascii="宋体" w:hAnsi="宋体" w:eastAsia="宋体" w:cs="宋体"/>
          <w:color w:val="auto"/>
          <w:sz w:val="24"/>
          <w:szCs w:val="22"/>
          <w:highlight w:val="none"/>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投标日期：</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日</w:t>
      </w:r>
    </w:p>
    <w:p>
      <w:pPr>
        <w:spacing w:line="400" w:lineRule="exact"/>
        <w:ind w:left="836" w:leftChars="140" w:hanging="360" w:hangingChars="150"/>
        <w:rPr>
          <w:rFonts w:hint="eastAsia" w:ascii="宋体" w:hAnsi="宋体" w:eastAsia="宋体" w:cs="宋体"/>
          <w:color w:val="auto"/>
          <w:sz w:val="24"/>
          <w:highlight w:val="none"/>
        </w:rPr>
      </w:pPr>
    </w:p>
    <w:p>
      <w:pPr>
        <w:spacing w:line="400" w:lineRule="exact"/>
        <w:ind w:left="836" w:leftChars="140" w:hanging="360" w:hanging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pPr>
        <w:spacing w:line="400" w:lineRule="exact"/>
        <w:ind w:firstLine="482" w:firstLineChars="2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1、供应商必须按“分项报价明细表”的格式详细报出投标总价的各个组成部分的报价</w:t>
      </w:r>
      <w:r>
        <w:rPr>
          <w:rFonts w:hint="eastAsia" w:ascii="宋体" w:hAnsi="宋体" w:eastAsia="宋体" w:cs="宋体"/>
          <w:b/>
          <w:bCs/>
          <w:color w:val="auto"/>
          <w:sz w:val="24"/>
          <w:highlight w:val="none"/>
          <w:lang w:eastAsia="zh-CN"/>
        </w:rPr>
        <w:t>，</w:t>
      </w:r>
      <w:r>
        <w:rPr>
          <w:rFonts w:hint="eastAsia" w:ascii="宋体" w:hAnsi="宋体" w:eastAsia="宋体" w:cs="宋体"/>
          <w:b/>
          <w:color w:val="auto"/>
          <w:sz w:val="24"/>
          <w:szCs w:val="24"/>
          <w:highlight w:val="none"/>
        </w:rPr>
        <w:t>如表格不能满足需要，可自行制表填写</w:t>
      </w:r>
      <w:r>
        <w:rPr>
          <w:rFonts w:hint="eastAsia" w:ascii="宋体" w:hAnsi="宋体" w:eastAsia="宋体" w:cs="宋体"/>
          <w:b/>
          <w:color w:val="auto"/>
          <w:sz w:val="24"/>
          <w:szCs w:val="24"/>
          <w:highlight w:val="none"/>
          <w:lang w:eastAsia="zh-CN"/>
        </w:rPr>
        <w:t>。</w:t>
      </w:r>
    </w:p>
    <w:p>
      <w:pP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2、“分项报价明细表”各分项报价合计应当与“开标一览表”报价合计相等。</w:t>
      </w:r>
    </w:p>
    <w:p>
      <w:pPr>
        <w:spacing w:line="400" w:lineRule="exact"/>
        <w:ind w:firstLine="480" w:firstLineChars="200"/>
        <w:rPr>
          <w:rFonts w:hint="eastAsia" w:ascii="宋体" w:hAnsi="宋体" w:eastAsia="宋体" w:cs="宋体"/>
          <w:color w:val="auto"/>
          <w:sz w:val="24"/>
          <w:highlight w:val="none"/>
        </w:rPr>
      </w:pPr>
    </w:p>
    <w:p>
      <w:pPr>
        <w:spacing w:line="360" w:lineRule="auto"/>
        <w:rPr>
          <w:rFonts w:hint="eastAsia" w:ascii="宋体" w:hAnsi="宋体" w:eastAsia="宋体" w:cs="宋体"/>
          <w:b/>
          <w:color w:val="auto"/>
          <w:sz w:val="32"/>
          <w:szCs w:val="32"/>
          <w:highlight w:val="none"/>
        </w:rPr>
      </w:pPr>
    </w:p>
    <w:p>
      <w:pPr>
        <w:pStyle w:val="20"/>
        <w:ind w:left="680"/>
        <w:rPr>
          <w:rFonts w:hint="eastAsia" w:ascii="宋体" w:hAnsi="宋体" w:eastAsia="宋体" w:cs="宋体"/>
          <w:color w:val="auto"/>
          <w:highlight w:val="none"/>
        </w:rPr>
      </w:pPr>
    </w:p>
    <w:p>
      <w:pPr>
        <w:pStyle w:val="20"/>
        <w:ind w:left="680"/>
        <w:rPr>
          <w:rFonts w:hint="eastAsia" w:ascii="宋体" w:hAnsi="宋体" w:eastAsia="宋体" w:cs="宋体"/>
          <w:color w:val="auto"/>
          <w:highlight w:val="none"/>
        </w:rPr>
      </w:pPr>
    </w:p>
    <w:p>
      <w:pPr>
        <w:pStyle w:val="20"/>
        <w:ind w:left="680"/>
        <w:rPr>
          <w:rFonts w:hint="eastAsia" w:ascii="宋体" w:hAnsi="宋体" w:eastAsia="宋体" w:cs="宋体"/>
          <w:color w:val="auto"/>
          <w:highlight w:val="none"/>
        </w:rPr>
      </w:pPr>
    </w:p>
    <w:p>
      <w:pPr>
        <w:pStyle w:val="4"/>
        <w:spacing w:line="400" w:lineRule="exact"/>
        <w:jc w:val="both"/>
        <w:rPr>
          <w:rFonts w:hint="eastAsia" w:ascii="宋体" w:hAnsi="宋体" w:eastAsia="宋体" w:cs="宋体"/>
          <w:b/>
          <w:bCs/>
          <w:color w:val="auto"/>
          <w:highlight w:val="none"/>
          <w:lang w:val="en-US" w:eastAsia="zh-CN"/>
        </w:rPr>
      </w:pPr>
      <w:bookmarkStart w:id="1124" w:name="_Toc16278"/>
      <w:bookmarkStart w:id="1125" w:name="_Toc32677"/>
      <w:bookmarkStart w:id="1126" w:name="_Toc12630"/>
      <w:bookmarkStart w:id="1127" w:name="_Toc28398"/>
      <w:bookmarkStart w:id="1128" w:name="_Toc29324"/>
      <w:bookmarkStart w:id="1129" w:name="_Toc7986"/>
      <w:bookmarkStart w:id="1130" w:name="_Toc18944"/>
      <w:bookmarkStart w:id="1131" w:name="_Toc24271"/>
      <w:bookmarkStart w:id="1132" w:name="_Toc11208"/>
      <w:bookmarkStart w:id="1133" w:name="_Toc10443"/>
      <w:bookmarkStart w:id="1134" w:name="_Toc15508"/>
      <w:bookmarkStart w:id="1135" w:name="_Toc5579"/>
      <w:bookmarkStart w:id="1136" w:name="_Toc4421"/>
      <w:bookmarkStart w:id="1137" w:name="_Toc5885"/>
      <w:bookmarkStart w:id="1138" w:name="_Toc30411"/>
      <w:bookmarkStart w:id="1139" w:name="_Toc17272_WPSOffice_Level3"/>
      <w:bookmarkStart w:id="1140" w:name="_Toc23128"/>
      <w:bookmarkStart w:id="1141" w:name="_Toc19625_WPSOffice_Level3"/>
      <w:bookmarkStart w:id="1142" w:name="_Toc8886"/>
      <w:bookmarkStart w:id="1143" w:name="_Toc5978"/>
      <w:bookmarkStart w:id="1144" w:name="_Toc4375"/>
      <w:bookmarkStart w:id="1145" w:name="_Toc2814"/>
      <w:r>
        <w:rPr>
          <w:rFonts w:hint="eastAsia" w:ascii="宋体" w:hAnsi="宋体" w:eastAsia="宋体" w:cs="宋体"/>
          <w:b/>
          <w:bCs/>
          <w:color w:val="auto"/>
          <w:highlight w:val="none"/>
          <w:lang w:val="en-US" w:eastAsia="zh-CN"/>
        </w:rPr>
        <w:t>格式2-</w:t>
      </w:r>
      <w:bookmarkEnd w:id="1124"/>
      <w:bookmarkEnd w:id="1125"/>
      <w:r>
        <w:rPr>
          <w:rFonts w:hint="eastAsia" w:ascii="宋体" w:hAnsi="宋体" w:eastAsia="宋体" w:cs="宋体"/>
          <w:b/>
          <w:bCs/>
          <w:color w:val="auto"/>
          <w:highlight w:val="none"/>
          <w:lang w:val="en-US" w:eastAsia="zh-CN"/>
        </w:rPr>
        <w:t>7</w:t>
      </w:r>
      <w:bookmarkEnd w:id="1126"/>
    </w:p>
    <w:p>
      <w:pPr>
        <w:pStyle w:val="4"/>
        <w:spacing w:line="400" w:lineRule="exact"/>
        <w:jc w:val="center"/>
        <w:rPr>
          <w:rFonts w:hint="eastAsia" w:ascii="宋体" w:hAnsi="宋体" w:eastAsia="宋体" w:cs="宋体"/>
          <w:bCs w:val="0"/>
          <w:color w:val="auto"/>
          <w:szCs w:val="28"/>
          <w:highlight w:val="none"/>
        </w:rPr>
      </w:pPr>
      <w:bookmarkStart w:id="1146" w:name="_Toc16316"/>
      <w:bookmarkStart w:id="1147" w:name="_Toc31456"/>
      <w:bookmarkStart w:id="1148" w:name="_Toc11521"/>
      <w:r>
        <w:rPr>
          <w:rFonts w:hint="eastAsia" w:ascii="宋体" w:hAnsi="宋体" w:eastAsia="宋体" w:cs="宋体"/>
          <w:bCs w:val="0"/>
          <w:color w:val="auto"/>
          <w:szCs w:val="28"/>
          <w:highlight w:val="none"/>
        </w:rPr>
        <w:t>服务</w:t>
      </w:r>
      <w:r>
        <w:rPr>
          <w:rFonts w:hint="eastAsia" w:ascii="宋体" w:hAnsi="宋体" w:eastAsia="宋体" w:cs="宋体"/>
          <w:bCs w:val="0"/>
          <w:color w:val="auto"/>
          <w:szCs w:val="28"/>
          <w:highlight w:val="none"/>
          <w:lang w:val="en-US" w:eastAsia="zh-CN"/>
        </w:rPr>
        <w:t>内容及要求</w:t>
      </w:r>
      <w:r>
        <w:rPr>
          <w:rFonts w:hint="eastAsia" w:ascii="宋体" w:hAnsi="宋体" w:eastAsia="宋体" w:cs="宋体"/>
          <w:bCs w:val="0"/>
          <w:color w:val="auto"/>
          <w:szCs w:val="28"/>
          <w:highlight w:val="none"/>
        </w:rPr>
        <w:t>应答表</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6"/>
      <w:bookmarkEnd w:id="1147"/>
      <w:bookmarkEnd w:id="1148"/>
    </w:p>
    <w:p>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p>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highlight w:val="none"/>
        </w:rPr>
        <w:t xml:space="preserve">                          </w:t>
      </w:r>
    </w:p>
    <w:tbl>
      <w:tblPr>
        <w:tblStyle w:val="34"/>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707"/>
        <w:gridCol w:w="2362"/>
        <w:gridCol w:w="2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703" w:type="dxa"/>
            <w:noWrap w:val="0"/>
            <w:vAlign w:val="center"/>
          </w:tcPr>
          <w:p>
            <w:pPr>
              <w:pStyle w:val="9"/>
              <w:tabs>
                <w:tab w:val="left" w:pos="6880"/>
              </w:tabs>
              <w:spacing w:line="360" w:lineRule="auto"/>
              <w:ind w:firstLine="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序号</w:t>
            </w:r>
          </w:p>
        </w:tc>
        <w:tc>
          <w:tcPr>
            <w:tcW w:w="2707" w:type="dxa"/>
            <w:noWrap w:val="0"/>
            <w:vAlign w:val="center"/>
          </w:tcPr>
          <w:p>
            <w:pPr>
              <w:pStyle w:val="9"/>
              <w:tabs>
                <w:tab w:val="left" w:pos="6880"/>
              </w:tabs>
              <w:spacing w:line="360" w:lineRule="auto"/>
              <w:ind w:firstLine="0" w:firstLineChars="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招标文件要求</w:t>
            </w:r>
          </w:p>
        </w:tc>
        <w:tc>
          <w:tcPr>
            <w:tcW w:w="2362" w:type="dxa"/>
            <w:noWrap w:val="0"/>
            <w:vAlign w:val="center"/>
          </w:tcPr>
          <w:p>
            <w:pPr>
              <w:pStyle w:val="9"/>
              <w:tabs>
                <w:tab w:val="left" w:pos="6880"/>
              </w:tabs>
              <w:spacing w:line="360" w:lineRule="auto"/>
              <w:ind w:firstLine="0" w:firstLineChars="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投标文件应答</w:t>
            </w:r>
          </w:p>
        </w:tc>
        <w:tc>
          <w:tcPr>
            <w:tcW w:w="2659" w:type="dxa"/>
            <w:noWrap w:val="0"/>
            <w:vAlign w:val="center"/>
          </w:tcPr>
          <w:p>
            <w:pPr>
              <w:pStyle w:val="9"/>
              <w:tabs>
                <w:tab w:val="left" w:pos="6880"/>
              </w:tabs>
              <w:spacing w:line="360" w:lineRule="auto"/>
              <w:ind w:firstLine="0" w:firstLineChars="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noWrap w:val="0"/>
            <w:vAlign w:val="center"/>
          </w:tcPr>
          <w:p>
            <w:pPr>
              <w:pStyle w:val="9"/>
              <w:tabs>
                <w:tab w:val="left" w:pos="34"/>
              </w:tabs>
              <w:spacing w:line="360" w:lineRule="auto"/>
              <w:ind w:left="-108"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707" w:type="dxa"/>
            <w:noWrap w:val="0"/>
            <w:vAlign w:val="center"/>
          </w:tcPr>
          <w:p>
            <w:pPr>
              <w:pStyle w:val="9"/>
              <w:tabs>
                <w:tab w:val="left" w:pos="6880"/>
              </w:tabs>
              <w:spacing w:line="360" w:lineRule="auto"/>
              <w:ind w:firstLine="480"/>
              <w:rPr>
                <w:rFonts w:hint="eastAsia" w:ascii="宋体" w:hAnsi="宋体" w:eastAsia="宋体" w:cs="宋体"/>
                <w:color w:val="auto"/>
                <w:kern w:val="0"/>
                <w:sz w:val="21"/>
                <w:szCs w:val="21"/>
                <w:highlight w:val="none"/>
              </w:rPr>
            </w:pPr>
          </w:p>
        </w:tc>
        <w:tc>
          <w:tcPr>
            <w:tcW w:w="2362" w:type="dxa"/>
            <w:noWrap w:val="0"/>
            <w:vAlign w:val="center"/>
          </w:tcPr>
          <w:p>
            <w:pPr>
              <w:pStyle w:val="9"/>
              <w:tabs>
                <w:tab w:val="left" w:pos="6880"/>
              </w:tabs>
              <w:spacing w:line="360" w:lineRule="auto"/>
              <w:ind w:firstLine="480"/>
              <w:rPr>
                <w:rFonts w:hint="eastAsia" w:ascii="宋体" w:hAnsi="宋体" w:eastAsia="宋体" w:cs="宋体"/>
                <w:color w:val="auto"/>
                <w:kern w:val="0"/>
                <w:sz w:val="21"/>
                <w:szCs w:val="21"/>
                <w:highlight w:val="none"/>
              </w:rPr>
            </w:pPr>
          </w:p>
        </w:tc>
        <w:tc>
          <w:tcPr>
            <w:tcW w:w="2659" w:type="dxa"/>
            <w:noWrap w:val="0"/>
            <w:vAlign w:val="center"/>
          </w:tcPr>
          <w:p>
            <w:pPr>
              <w:pStyle w:val="9"/>
              <w:tabs>
                <w:tab w:val="left" w:pos="6880"/>
              </w:tabs>
              <w:spacing w:line="360" w:lineRule="auto"/>
              <w:ind w:firstLine="480"/>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noWrap w:val="0"/>
            <w:vAlign w:val="center"/>
          </w:tcPr>
          <w:p>
            <w:pPr>
              <w:pStyle w:val="9"/>
              <w:tabs>
                <w:tab w:val="left" w:pos="34"/>
              </w:tabs>
              <w:spacing w:line="360" w:lineRule="auto"/>
              <w:ind w:left="-108"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2707" w:type="dxa"/>
            <w:noWrap w:val="0"/>
            <w:vAlign w:val="center"/>
          </w:tcPr>
          <w:p>
            <w:pPr>
              <w:pStyle w:val="9"/>
              <w:tabs>
                <w:tab w:val="left" w:pos="6880"/>
              </w:tabs>
              <w:spacing w:line="360" w:lineRule="auto"/>
              <w:ind w:firstLine="480"/>
              <w:rPr>
                <w:rFonts w:hint="eastAsia" w:ascii="宋体" w:hAnsi="宋体" w:eastAsia="宋体" w:cs="宋体"/>
                <w:color w:val="auto"/>
                <w:kern w:val="0"/>
                <w:sz w:val="21"/>
                <w:szCs w:val="21"/>
                <w:highlight w:val="none"/>
              </w:rPr>
            </w:pPr>
          </w:p>
        </w:tc>
        <w:tc>
          <w:tcPr>
            <w:tcW w:w="2362" w:type="dxa"/>
            <w:noWrap w:val="0"/>
            <w:vAlign w:val="center"/>
          </w:tcPr>
          <w:p>
            <w:pPr>
              <w:pStyle w:val="9"/>
              <w:tabs>
                <w:tab w:val="left" w:pos="6880"/>
              </w:tabs>
              <w:spacing w:line="360" w:lineRule="auto"/>
              <w:ind w:firstLine="480"/>
              <w:rPr>
                <w:rFonts w:hint="eastAsia" w:ascii="宋体" w:hAnsi="宋体" w:eastAsia="宋体" w:cs="宋体"/>
                <w:color w:val="auto"/>
                <w:kern w:val="0"/>
                <w:sz w:val="21"/>
                <w:szCs w:val="21"/>
                <w:highlight w:val="none"/>
              </w:rPr>
            </w:pPr>
          </w:p>
        </w:tc>
        <w:tc>
          <w:tcPr>
            <w:tcW w:w="2659" w:type="dxa"/>
            <w:noWrap w:val="0"/>
            <w:vAlign w:val="center"/>
          </w:tcPr>
          <w:p>
            <w:pPr>
              <w:pStyle w:val="9"/>
              <w:tabs>
                <w:tab w:val="left" w:pos="6880"/>
              </w:tabs>
              <w:spacing w:line="360" w:lineRule="auto"/>
              <w:ind w:firstLine="480"/>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noWrap w:val="0"/>
            <w:vAlign w:val="center"/>
          </w:tcPr>
          <w:p>
            <w:pPr>
              <w:pStyle w:val="9"/>
              <w:tabs>
                <w:tab w:val="left" w:pos="34"/>
              </w:tabs>
              <w:spacing w:line="360" w:lineRule="auto"/>
              <w:ind w:left="-108"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2707" w:type="dxa"/>
            <w:noWrap w:val="0"/>
            <w:vAlign w:val="center"/>
          </w:tcPr>
          <w:p>
            <w:pPr>
              <w:pStyle w:val="9"/>
              <w:tabs>
                <w:tab w:val="left" w:pos="6880"/>
              </w:tabs>
              <w:spacing w:line="360" w:lineRule="auto"/>
              <w:ind w:firstLine="480"/>
              <w:rPr>
                <w:rFonts w:hint="eastAsia" w:ascii="宋体" w:hAnsi="宋体" w:eastAsia="宋体" w:cs="宋体"/>
                <w:color w:val="auto"/>
                <w:kern w:val="0"/>
                <w:sz w:val="21"/>
                <w:szCs w:val="21"/>
                <w:highlight w:val="none"/>
              </w:rPr>
            </w:pPr>
          </w:p>
        </w:tc>
        <w:tc>
          <w:tcPr>
            <w:tcW w:w="2362" w:type="dxa"/>
            <w:noWrap w:val="0"/>
            <w:vAlign w:val="center"/>
          </w:tcPr>
          <w:p>
            <w:pPr>
              <w:pStyle w:val="9"/>
              <w:tabs>
                <w:tab w:val="left" w:pos="6880"/>
              </w:tabs>
              <w:spacing w:line="360" w:lineRule="auto"/>
              <w:ind w:firstLine="480"/>
              <w:rPr>
                <w:rFonts w:hint="eastAsia" w:ascii="宋体" w:hAnsi="宋体" w:eastAsia="宋体" w:cs="宋体"/>
                <w:color w:val="auto"/>
                <w:kern w:val="0"/>
                <w:sz w:val="21"/>
                <w:szCs w:val="21"/>
                <w:highlight w:val="none"/>
              </w:rPr>
            </w:pPr>
          </w:p>
        </w:tc>
        <w:tc>
          <w:tcPr>
            <w:tcW w:w="2659" w:type="dxa"/>
            <w:noWrap w:val="0"/>
            <w:vAlign w:val="center"/>
          </w:tcPr>
          <w:p>
            <w:pPr>
              <w:pStyle w:val="9"/>
              <w:tabs>
                <w:tab w:val="left" w:pos="6880"/>
              </w:tabs>
              <w:spacing w:line="360" w:lineRule="auto"/>
              <w:ind w:firstLine="480"/>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noWrap w:val="0"/>
            <w:vAlign w:val="center"/>
          </w:tcPr>
          <w:p>
            <w:pPr>
              <w:pStyle w:val="9"/>
              <w:tabs>
                <w:tab w:val="left" w:pos="34"/>
              </w:tabs>
              <w:spacing w:line="360" w:lineRule="auto"/>
              <w:ind w:left="-108"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2707" w:type="dxa"/>
            <w:noWrap w:val="0"/>
            <w:vAlign w:val="center"/>
          </w:tcPr>
          <w:p>
            <w:pPr>
              <w:pStyle w:val="9"/>
              <w:tabs>
                <w:tab w:val="left" w:pos="6880"/>
              </w:tabs>
              <w:spacing w:line="360" w:lineRule="auto"/>
              <w:ind w:firstLine="480"/>
              <w:rPr>
                <w:rFonts w:hint="eastAsia" w:ascii="宋体" w:hAnsi="宋体" w:eastAsia="宋体" w:cs="宋体"/>
                <w:color w:val="auto"/>
                <w:kern w:val="0"/>
                <w:sz w:val="21"/>
                <w:szCs w:val="21"/>
                <w:highlight w:val="none"/>
              </w:rPr>
            </w:pPr>
          </w:p>
        </w:tc>
        <w:tc>
          <w:tcPr>
            <w:tcW w:w="2362" w:type="dxa"/>
            <w:noWrap w:val="0"/>
            <w:vAlign w:val="center"/>
          </w:tcPr>
          <w:p>
            <w:pPr>
              <w:pStyle w:val="9"/>
              <w:tabs>
                <w:tab w:val="left" w:pos="6880"/>
              </w:tabs>
              <w:spacing w:line="360" w:lineRule="auto"/>
              <w:ind w:firstLine="480"/>
              <w:rPr>
                <w:rFonts w:hint="eastAsia" w:ascii="宋体" w:hAnsi="宋体" w:eastAsia="宋体" w:cs="宋体"/>
                <w:color w:val="auto"/>
                <w:kern w:val="0"/>
                <w:sz w:val="21"/>
                <w:szCs w:val="21"/>
                <w:highlight w:val="none"/>
              </w:rPr>
            </w:pPr>
          </w:p>
        </w:tc>
        <w:tc>
          <w:tcPr>
            <w:tcW w:w="2659" w:type="dxa"/>
            <w:noWrap w:val="0"/>
            <w:vAlign w:val="center"/>
          </w:tcPr>
          <w:p>
            <w:pPr>
              <w:pStyle w:val="9"/>
              <w:tabs>
                <w:tab w:val="left" w:pos="6880"/>
              </w:tabs>
              <w:spacing w:line="360" w:lineRule="auto"/>
              <w:ind w:firstLine="480"/>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noWrap w:val="0"/>
            <w:vAlign w:val="center"/>
          </w:tcPr>
          <w:p>
            <w:pPr>
              <w:pStyle w:val="9"/>
              <w:tabs>
                <w:tab w:val="left" w:pos="34"/>
              </w:tabs>
              <w:spacing w:line="360" w:lineRule="auto"/>
              <w:ind w:left="-108"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2707" w:type="dxa"/>
            <w:noWrap w:val="0"/>
            <w:vAlign w:val="center"/>
          </w:tcPr>
          <w:p>
            <w:pPr>
              <w:pStyle w:val="9"/>
              <w:tabs>
                <w:tab w:val="left" w:pos="6880"/>
              </w:tabs>
              <w:spacing w:line="360" w:lineRule="auto"/>
              <w:ind w:firstLine="480"/>
              <w:rPr>
                <w:rFonts w:hint="eastAsia" w:ascii="宋体" w:hAnsi="宋体" w:eastAsia="宋体" w:cs="宋体"/>
                <w:color w:val="auto"/>
                <w:kern w:val="0"/>
                <w:sz w:val="21"/>
                <w:szCs w:val="21"/>
                <w:highlight w:val="none"/>
              </w:rPr>
            </w:pPr>
          </w:p>
        </w:tc>
        <w:tc>
          <w:tcPr>
            <w:tcW w:w="2362" w:type="dxa"/>
            <w:noWrap w:val="0"/>
            <w:vAlign w:val="center"/>
          </w:tcPr>
          <w:p>
            <w:pPr>
              <w:pStyle w:val="9"/>
              <w:tabs>
                <w:tab w:val="left" w:pos="6880"/>
              </w:tabs>
              <w:spacing w:line="360" w:lineRule="auto"/>
              <w:ind w:firstLine="480"/>
              <w:rPr>
                <w:rFonts w:hint="eastAsia" w:ascii="宋体" w:hAnsi="宋体" w:eastAsia="宋体" w:cs="宋体"/>
                <w:color w:val="auto"/>
                <w:kern w:val="0"/>
                <w:sz w:val="21"/>
                <w:szCs w:val="21"/>
                <w:highlight w:val="none"/>
              </w:rPr>
            </w:pPr>
          </w:p>
        </w:tc>
        <w:tc>
          <w:tcPr>
            <w:tcW w:w="2659" w:type="dxa"/>
            <w:noWrap w:val="0"/>
            <w:vAlign w:val="center"/>
          </w:tcPr>
          <w:p>
            <w:pPr>
              <w:pStyle w:val="9"/>
              <w:tabs>
                <w:tab w:val="left" w:pos="6880"/>
              </w:tabs>
              <w:spacing w:line="360" w:lineRule="auto"/>
              <w:ind w:firstLine="480"/>
              <w:rPr>
                <w:rFonts w:hint="eastAsia" w:ascii="宋体" w:hAnsi="宋体" w:eastAsia="宋体" w:cs="宋体"/>
                <w:color w:val="auto"/>
                <w:kern w:val="0"/>
                <w:sz w:val="21"/>
                <w:szCs w:val="21"/>
                <w:highlight w:val="none"/>
              </w:rPr>
            </w:pPr>
          </w:p>
        </w:tc>
      </w:tr>
    </w:tbl>
    <w:p>
      <w:pPr>
        <w:adjustRightInd w:val="0"/>
        <w:spacing w:line="400" w:lineRule="exact"/>
        <w:ind w:firstLine="490" w:firstLineChars="175"/>
        <w:jc w:val="left"/>
        <w:rPr>
          <w:rFonts w:hint="eastAsia" w:ascii="宋体" w:hAnsi="宋体" w:eastAsia="宋体" w:cs="宋体"/>
          <w:bCs/>
          <w:color w:val="auto"/>
          <w:sz w:val="28"/>
          <w:szCs w:val="28"/>
          <w:highlight w:val="none"/>
        </w:rPr>
      </w:pP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投标人单位名称：</w:t>
      </w:r>
      <w:r>
        <w:rPr>
          <w:rFonts w:hint="eastAsia" w:ascii="宋体" w:hAnsi="宋体" w:eastAsia="宋体" w:cs="宋体"/>
          <w:color w:val="auto"/>
          <w:sz w:val="24"/>
          <w:szCs w:val="22"/>
          <w:highlight w:val="none"/>
          <w:u w:val="single"/>
        </w:rPr>
        <w:t xml:space="preserve">       （电子印章）   </w:t>
      </w:r>
      <w:r>
        <w:rPr>
          <w:rFonts w:hint="eastAsia" w:ascii="宋体" w:hAnsi="宋体" w:eastAsia="宋体" w:cs="宋体"/>
          <w:color w:val="auto"/>
          <w:sz w:val="24"/>
          <w:szCs w:val="22"/>
          <w:highlight w:val="none"/>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投标日期：</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日</w:t>
      </w:r>
    </w:p>
    <w:p>
      <w:pPr>
        <w:spacing w:line="400" w:lineRule="exact"/>
        <w:ind w:firstLine="480" w:firstLineChars="200"/>
        <w:rPr>
          <w:rFonts w:hint="eastAsia" w:ascii="宋体" w:hAnsi="宋体" w:eastAsia="宋体" w:cs="宋体"/>
          <w:color w:val="auto"/>
          <w:sz w:val="24"/>
          <w:highlight w:val="none"/>
        </w:rPr>
      </w:pPr>
    </w:p>
    <w:p>
      <w:pPr>
        <w:spacing w:line="400" w:lineRule="exact"/>
        <w:ind w:firstLine="480" w:firstLineChars="200"/>
        <w:rPr>
          <w:rFonts w:hint="eastAsia" w:ascii="宋体" w:hAnsi="宋体" w:eastAsia="宋体" w:cs="宋体"/>
          <w:color w:val="auto"/>
          <w:sz w:val="24"/>
          <w:highlight w:val="none"/>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1"/>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注：</w:t>
      </w:r>
      <w:bookmarkStart w:id="1149" w:name="_Toc10651"/>
      <w:bookmarkStart w:id="1150" w:name="_Toc29108"/>
      <w:bookmarkStart w:id="1151" w:name="_Toc7347"/>
      <w:bookmarkStart w:id="1152" w:name="_Toc11343"/>
      <w:bookmarkStart w:id="1153" w:name="_Toc14245"/>
      <w:bookmarkStart w:id="1154" w:name="_Toc17028"/>
      <w:bookmarkStart w:id="1155" w:name="_Toc3908"/>
      <w:bookmarkStart w:id="1156" w:name="_Toc8459"/>
      <w:bookmarkStart w:id="1157" w:name="_Toc20598"/>
      <w:bookmarkStart w:id="1158" w:name="_Toc16928"/>
      <w:bookmarkStart w:id="1159" w:name="_Toc12598"/>
      <w:r>
        <w:rPr>
          <w:rFonts w:hint="eastAsia" w:ascii="宋体" w:hAnsi="宋体" w:eastAsia="宋体" w:cs="宋体"/>
          <w:b w:val="0"/>
          <w:bCs w:val="0"/>
          <w:color w:val="auto"/>
          <w:sz w:val="24"/>
          <w:szCs w:val="22"/>
          <w:highlight w:val="none"/>
        </w:rPr>
        <w:t>1. 供应商必须把招标文件第</w:t>
      </w:r>
      <w:r>
        <w:rPr>
          <w:rFonts w:hint="eastAsia" w:ascii="宋体" w:hAnsi="宋体" w:eastAsia="宋体" w:cs="宋体"/>
          <w:b w:val="0"/>
          <w:bCs w:val="0"/>
          <w:color w:val="auto"/>
          <w:sz w:val="24"/>
          <w:szCs w:val="22"/>
          <w:highlight w:val="none"/>
          <w:lang w:val="en-US" w:eastAsia="zh-CN"/>
        </w:rPr>
        <w:t>六</w:t>
      </w:r>
      <w:r>
        <w:rPr>
          <w:rFonts w:hint="eastAsia" w:ascii="宋体" w:hAnsi="宋体" w:eastAsia="宋体" w:cs="宋体"/>
          <w:b w:val="0"/>
          <w:bCs w:val="0"/>
          <w:color w:val="auto"/>
          <w:sz w:val="24"/>
          <w:szCs w:val="22"/>
          <w:highlight w:val="none"/>
        </w:rPr>
        <w:t>章服务</w:t>
      </w:r>
      <w:r>
        <w:rPr>
          <w:rFonts w:hint="eastAsia" w:hAnsi="宋体" w:eastAsia="宋体" w:cs="宋体"/>
          <w:b w:val="0"/>
          <w:bCs w:val="0"/>
          <w:color w:val="auto"/>
          <w:sz w:val="24"/>
          <w:szCs w:val="22"/>
          <w:highlight w:val="none"/>
          <w:lang w:val="en-US" w:eastAsia="zh-CN"/>
        </w:rPr>
        <w:t>内容及</w:t>
      </w:r>
      <w:r>
        <w:rPr>
          <w:rFonts w:hint="eastAsia" w:ascii="宋体" w:hAnsi="宋体" w:eastAsia="宋体" w:cs="宋体"/>
          <w:b w:val="0"/>
          <w:bCs w:val="0"/>
          <w:color w:val="auto"/>
          <w:sz w:val="24"/>
          <w:szCs w:val="22"/>
          <w:highlight w:val="none"/>
        </w:rPr>
        <w:t>要求全部列入此表进行响应。</w:t>
      </w:r>
      <w:bookmarkEnd w:id="1149"/>
      <w:bookmarkEnd w:id="1150"/>
      <w:bookmarkEnd w:id="1151"/>
      <w:bookmarkEnd w:id="1152"/>
      <w:bookmarkEnd w:id="1153"/>
      <w:bookmarkEnd w:id="1154"/>
      <w:bookmarkEnd w:id="1155"/>
      <w:bookmarkEnd w:id="1156"/>
      <w:bookmarkEnd w:id="1157"/>
      <w:bookmarkEnd w:id="1158"/>
      <w:bookmarkEnd w:id="1159"/>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1"/>
        <w:rPr>
          <w:rFonts w:hint="eastAsia" w:ascii="宋体" w:hAnsi="宋体" w:eastAsia="宋体" w:cs="宋体"/>
          <w:b w:val="0"/>
          <w:bCs w:val="0"/>
          <w:color w:val="auto"/>
          <w:sz w:val="24"/>
          <w:szCs w:val="22"/>
          <w:highlight w:val="none"/>
        </w:rPr>
      </w:pPr>
      <w:bookmarkStart w:id="1160" w:name="_Toc245"/>
      <w:bookmarkStart w:id="1161" w:name="_Toc4481"/>
      <w:bookmarkStart w:id="1162" w:name="_Toc10039"/>
      <w:bookmarkStart w:id="1163" w:name="_Toc26193"/>
      <w:bookmarkStart w:id="1164" w:name="_Toc15848"/>
      <w:bookmarkStart w:id="1165" w:name="_Toc22614"/>
      <w:bookmarkStart w:id="1166" w:name="_Toc25748"/>
      <w:bookmarkStart w:id="1167" w:name="_Toc5593"/>
      <w:bookmarkStart w:id="1168" w:name="_Toc16813"/>
      <w:bookmarkStart w:id="1169" w:name="_Toc15119"/>
      <w:bookmarkStart w:id="1170" w:name="_Toc16506"/>
      <w:r>
        <w:rPr>
          <w:rFonts w:hint="eastAsia" w:ascii="宋体" w:hAnsi="宋体" w:eastAsia="宋体" w:cs="宋体"/>
          <w:b w:val="0"/>
          <w:bCs w:val="0"/>
          <w:color w:val="auto"/>
          <w:sz w:val="24"/>
          <w:szCs w:val="22"/>
          <w:highlight w:val="none"/>
        </w:rPr>
        <w:t>2．按照</w:t>
      </w:r>
      <w:r>
        <w:rPr>
          <w:rFonts w:hint="eastAsia" w:ascii="宋体" w:hAnsi="宋体" w:eastAsia="宋体" w:cs="宋体"/>
          <w:b w:val="0"/>
          <w:bCs w:val="0"/>
          <w:color w:val="auto"/>
          <w:sz w:val="24"/>
          <w:szCs w:val="22"/>
          <w:highlight w:val="none"/>
          <w:lang w:eastAsia="zh-CN"/>
        </w:rPr>
        <w:t>采购项目</w:t>
      </w:r>
      <w:r>
        <w:rPr>
          <w:rFonts w:hint="eastAsia" w:ascii="宋体" w:hAnsi="宋体" w:eastAsia="宋体" w:cs="宋体"/>
          <w:b w:val="0"/>
          <w:bCs w:val="0"/>
          <w:color w:val="auto"/>
          <w:sz w:val="24"/>
          <w:szCs w:val="22"/>
          <w:highlight w:val="none"/>
        </w:rPr>
        <w:t>技术要求的顺序逐条对应填写。</w:t>
      </w:r>
      <w:bookmarkEnd w:id="1160"/>
      <w:bookmarkEnd w:id="1161"/>
      <w:bookmarkEnd w:id="1162"/>
      <w:bookmarkEnd w:id="1163"/>
      <w:bookmarkEnd w:id="1164"/>
      <w:bookmarkEnd w:id="1165"/>
      <w:bookmarkEnd w:id="1166"/>
      <w:bookmarkEnd w:id="1167"/>
      <w:bookmarkEnd w:id="1168"/>
      <w:bookmarkEnd w:id="1169"/>
      <w:bookmarkEnd w:id="1170"/>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1"/>
        <w:rPr>
          <w:rFonts w:hint="eastAsia" w:ascii="宋体" w:hAnsi="宋体" w:eastAsia="宋体" w:cs="宋体"/>
          <w:b w:val="0"/>
          <w:bCs w:val="0"/>
          <w:color w:val="auto"/>
          <w:sz w:val="24"/>
          <w:szCs w:val="22"/>
          <w:highlight w:val="none"/>
        </w:rPr>
      </w:pPr>
      <w:bookmarkStart w:id="1171" w:name="_Toc15457"/>
      <w:bookmarkStart w:id="1172" w:name="_Toc2717"/>
      <w:bookmarkStart w:id="1173" w:name="_Toc26473"/>
      <w:bookmarkStart w:id="1174" w:name="_Toc28899"/>
      <w:bookmarkStart w:id="1175" w:name="_Toc8968"/>
      <w:bookmarkStart w:id="1176" w:name="_Toc13752"/>
      <w:bookmarkStart w:id="1177" w:name="_Toc21001"/>
      <w:bookmarkStart w:id="1178" w:name="_Toc18996"/>
      <w:bookmarkStart w:id="1179" w:name="_Toc28755"/>
      <w:bookmarkStart w:id="1180" w:name="_Toc32570"/>
      <w:bookmarkStart w:id="1181" w:name="_Toc19870"/>
      <w:r>
        <w:rPr>
          <w:rFonts w:hint="eastAsia" w:ascii="宋体" w:hAnsi="宋体" w:eastAsia="宋体" w:cs="宋体"/>
          <w:b w:val="0"/>
          <w:bCs w:val="0"/>
          <w:color w:val="auto"/>
          <w:sz w:val="24"/>
          <w:szCs w:val="22"/>
          <w:highlight w:val="none"/>
        </w:rPr>
        <w:t>3．供应商必须据实填写，不得虚假填写，否则将取消其投标或中标资格。</w:t>
      </w:r>
      <w:bookmarkEnd w:id="1171"/>
      <w:bookmarkEnd w:id="1172"/>
      <w:bookmarkEnd w:id="1173"/>
      <w:bookmarkEnd w:id="1174"/>
      <w:bookmarkEnd w:id="1175"/>
      <w:bookmarkEnd w:id="1176"/>
      <w:bookmarkEnd w:id="1177"/>
      <w:bookmarkEnd w:id="1178"/>
      <w:bookmarkEnd w:id="1179"/>
      <w:bookmarkEnd w:id="1180"/>
      <w:bookmarkEnd w:id="1181"/>
    </w:p>
    <w:p>
      <w:pPr>
        <w:pStyle w:val="20"/>
        <w:ind w:left="680"/>
        <w:rPr>
          <w:rFonts w:hint="eastAsia" w:ascii="宋体" w:hAnsi="宋体" w:eastAsia="宋体" w:cs="宋体"/>
          <w:color w:val="auto"/>
          <w:highlight w:val="none"/>
        </w:rPr>
      </w:pPr>
    </w:p>
    <w:p>
      <w:pPr>
        <w:pStyle w:val="20"/>
        <w:ind w:left="680"/>
        <w:rPr>
          <w:rFonts w:hint="eastAsia" w:ascii="宋体" w:hAnsi="宋体" w:eastAsia="宋体" w:cs="宋体"/>
          <w:color w:val="auto"/>
          <w:highlight w:val="none"/>
        </w:rPr>
      </w:pPr>
    </w:p>
    <w:p>
      <w:pPr>
        <w:pStyle w:val="20"/>
        <w:ind w:left="680"/>
        <w:rPr>
          <w:rFonts w:hint="eastAsia" w:ascii="宋体" w:hAnsi="宋体" w:eastAsia="宋体" w:cs="宋体"/>
          <w:color w:val="auto"/>
          <w:highlight w:val="none"/>
        </w:rPr>
      </w:pPr>
    </w:p>
    <w:p>
      <w:pPr>
        <w:pStyle w:val="20"/>
        <w:ind w:left="680"/>
        <w:rPr>
          <w:rFonts w:hint="eastAsia" w:ascii="宋体" w:hAnsi="宋体" w:eastAsia="宋体" w:cs="宋体"/>
          <w:color w:val="auto"/>
          <w:highlight w:val="none"/>
        </w:rPr>
      </w:pPr>
    </w:p>
    <w:p>
      <w:pPr>
        <w:pStyle w:val="20"/>
        <w:ind w:left="680"/>
        <w:rPr>
          <w:rFonts w:hint="eastAsia" w:ascii="宋体" w:hAnsi="宋体" w:eastAsia="宋体" w:cs="宋体"/>
          <w:color w:val="auto"/>
          <w:highlight w:val="none"/>
        </w:rPr>
      </w:pPr>
    </w:p>
    <w:p>
      <w:pPr>
        <w:pStyle w:val="4"/>
        <w:spacing w:line="400" w:lineRule="exact"/>
        <w:jc w:val="both"/>
        <w:rPr>
          <w:rFonts w:hint="eastAsia" w:ascii="宋体" w:hAnsi="宋体" w:eastAsia="宋体" w:cs="宋体"/>
          <w:b/>
          <w:bCs/>
          <w:color w:val="auto"/>
          <w:highlight w:val="none"/>
          <w:lang w:val="en-US" w:eastAsia="zh-CN"/>
        </w:rPr>
      </w:pPr>
      <w:bookmarkStart w:id="1182" w:name="_Toc19648"/>
      <w:bookmarkStart w:id="1183" w:name="_Toc27825"/>
      <w:bookmarkStart w:id="1184" w:name="_Toc7829"/>
      <w:bookmarkStart w:id="1185" w:name="_Toc1841_WPSOffice_Level3"/>
      <w:bookmarkStart w:id="1186" w:name="_Toc6799"/>
      <w:bookmarkStart w:id="1187" w:name="_Toc6352"/>
      <w:bookmarkStart w:id="1188" w:name="_Toc7533"/>
      <w:bookmarkStart w:id="1189" w:name="_Toc2627"/>
      <w:bookmarkStart w:id="1190" w:name="_Toc7904"/>
      <w:bookmarkStart w:id="1191" w:name="_Toc14604"/>
      <w:bookmarkStart w:id="1192" w:name="_Toc21848"/>
      <w:bookmarkStart w:id="1193" w:name="_Toc2569"/>
      <w:bookmarkStart w:id="1194" w:name="_Toc29980"/>
      <w:bookmarkStart w:id="1195" w:name="_Toc979"/>
      <w:bookmarkStart w:id="1196" w:name="_Toc29759_WPSOffice_Level3"/>
      <w:bookmarkStart w:id="1197" w:name="_Toc32128"/>
      <w:r>
        <w:rPr>
          <w:rFonts w:hint="eastAsia" w:ascii="宋体" w:hAnsi="宋体" w:eastAsia="宋体" w:cs="宋体"/>
          <w:b/>
          <w:bCs/>
          <w:color w:val="auto"/>
          <w:highlight w:val="none"/>
          <w:lang w:val="en-US" w:eastAsia="zh-CN"/>
        </w:rPr>
        <w:t>格式2-</w:t>
      </w:r>
      <w:bookmarkEnd w:id="1182"/>
      <w:bookmarkEnd w:id="1183"/>
      <w:r>
        <w:rPr>
          <w:rFonts w:hint="eastAsia" w:ascii="宋体" w:hAnsi="宋体" w:eastAsia="宋体" w:cs="宋体"/>
          <w:b/>
          <w:bCs/>
          <w:color w:val="auto"/>
          <w:highlight w:val="none"/>
          <w:lang w:val="en-US" w:eastAsia="zh-CN"/>
        </w:rPr>
        <w:t>8</w:t>
      </w:r>
      <w:bookmarkEnd w:id="1184"/>
    </w:p>
    <w:p>
      <w:pPr>
        <w:pStyle w:val="4"/>
        <w:spacing w:line="400" w:lineRule="exact"/>
        <w:jc w:val="center"/>
        <w:rPr>
          <w:rFonts w:hint="eastAsia" w:ascii="宋体" w:hAnsi="宋体" w:eastAsia="宋体" w:cs="宋体"/>
          <w:color w:val="auto"/>
          <w:highlight w:val="none"/>
        </w:rPr>
      </w:pPr>
      <w:bookmarkStart w:id="1198" w:name="_Toc9918"/>
      <w:bookmarkStart w:id="1199" w:name="_Toc4173"/>
      <w:bookmarkStart w:id="1200" w:name="_Toc19177"/>
      <w:r>
        <w:rPr>
          <w:rFonts w:hint="eastAsia" w:ascii="宋体" w:hAnsi="宋体" w:eastAsia="宋体" w:cs="宋体"/>
          <w:bCs w:val="0"/>
          <w:color w:val="auto"/>
          <w:szCs w:val="28"/>
          <w:highlight w:val="none"/>
        </w:rPr>
        <w:t>商务应答表</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p>
      <w:pPr>
        <w:pStyle w:val="23"/>
        <w:pBdr>
          <w:bottom w:val="none" w:color="auto" w:sz="0" w:space="0"/>
        </w:pBdr>
        <w:tabs>
          <w:tab w:val="clear" w:pos="4153"/>
          <w:tab w:val="clear" w:pos="8306"/>
        </w:tabs>
        <w:snapToGrid/>
        <w:spacing w:line="400" w:lineRule="exact"/>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p>
    <w:tbl>
      <w:tblPr>
        <w:tblStyle w:val="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835"/>
        <w:gridCol w:w="2288"/>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93" w:type="dxa"/>
            <w:noWrap w:val="0"/>
            <w:vAlign w:val="center"/>
          </w:tcPr>
          <w:p>
            <w:pPr>
              <w:pStyle w:val="9"/>
              <w:tabs>
                <w:tab w:val="left" w:pos="6880"/>
              </w:tabs>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rPr>
              <w:t>序号</w:t>
            </w:r>
          </w:p>
        </w:tc>
        <w:tc>
          <w:tcPr>
            <w:tcW w:w="2835" w:type="dxa"/>
            <w:noWrap w:val="0"/>
            <w:vAlign w:val="center"/>
          </w:tcPr>
          <w:p>
            <w:pPr>
              <w:pStyle w:val="9"/>
              <w:tabs>
                <w:tab w:val="left" w:pos="6880"/>
              </w:tabs>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rPr>
              <w:t>招标文件要求</w:t>
            </w:r>
          </w:p>
        </w:tc>
        <w:tc>
          <w:tcPr>
            <w:tcW w:w="2288" w:type="dxa"/>
            <w:noWrap w:val="0"/>
            <w:vAlign w:val="center"/>
          </w:tcPr>
          <w:p>
            <w:pPr>
              <w:pStyle w:val="9"/>
              <w:tabs>
                <w:tab w:val="left" w:pos="6880"/>
              </w:tabs>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rPr>
              <w:t>投标文件应答</w:t>
            </w:r>
          </w:p>
        </w:tc>
        <w:tc>
          <w:tcPr>
            <w:tcW w:w="2359" w:type="dxa"/>
            <w:noWrap w:val="0"/>
            <w:vAlign w:val="center"/>
          </w:tcPr>
          <w:p>
            <w:pPr>
              <w:pStyle w:val="9"/>
              <w:tabs>
                <w:tab w:val="left" w:pos="6880"/>
              </w:tabs>
              <w:spacing w:line="360" w:lineRule="auto"/>
              <w:ind w:firstLine="0" w:firstLineChars="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93" w:type="dxa"/>
            <w:noWrap w:val="0"/>
            <w:vAlign w:val="top"/>
          </w:tcPr>
          <w:p>
            <w:pPr>
              <w:spacing w:line="400" w:lineRule="exact"/>
              <w:jc w:val="center"/>
              <w:rPr>
                <w:rFonts w:hint="eastAsia" w:ascii="宋体" w:hAnsi="宋体" w:eastAsia="宋体" w:cs="宋体"/>
                <w:color w:val="auto"/>
                <w:sz w:val="21"/>
                <w:szCs w:val="21"/>
                <w:highlight w:val="none"/>
              </w:rPr>
            </w:pPr>
          </w:p>
        </w:tc>
        <w:tc>
          <w:tcPr>
            <w:tcW w:w="2835" w:type="dxa"/>
            <w:noWrap w:val="0"/>
            <w:vAlign w:val="top"/>
          </w:tcPr>
          <w:p>
            <w:pPr>
              <w:spacing w:line="400" w:lineRule="exact"/>
              <w:jc w:val="center"/>
              <w:rPr>
                <w:rFonts w:hint="eastAsia" w:ascii="宋体" w:hAnsi="宋体" w:eastAsia="宋体" w:cs="宋体"/>
                <w:color w:val="auto"/>
                <w:sz w:val="21"/>
                <w:szCs w:val="21"/>
                <w:highlight w:val="none"/>
              </w:rPr>
            </w:pPr>
          </w:p>
        </w:tc>
        <w:tc>
          <w:tcPr>
            <w:tcW w:w="2288" w:type="dxa"/>
            <w:noWrap w:val="0"/>
            <w:vAlign w:val="top"/>
          </w:tcPr>
          <w:p>
            <w:pPr>
              <w:spacing w:line="400" w:lineRule="exact"/>
              <w:ind w:left="317" w:hanging="277" w:hangingChars="132"/>
              <w:jc w:val="center"/>
              <w:rPr>
                <w:rFonts w:hint="eastAsia" w:ascii="宋体" w:hAnsi="宋体" w:eastAsia="宋体" w:cs="宋体"/>
                <w:color w:val="auto"/>
                <w:sz w:val="21"/>
                <w:szCs w:val="21"/>
                <w:highlight w:val="none"/>
              </w:rPr>
            </w:pPr>
          </w:p>
        </w:tc>
        <w:tc>
          <w:tcPr>
            <w:tcW w:w="2359" w:type="dxa"/>
            <w:noWrap w:val="0"/>
            <w:vAlign w:val="top"/>
          </w:tcPr>
          <w:p>
            <w:pPr>
              <w:spacing w:line="400" w:lineRule="exact"/>
              <w:ind w:left="317" w:hanging="277" w:hangingChars="132"/>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93" w:type="dxa"/>
            <w:noWrap w:val="0"/>
            <w:vAlign w:val="top"/>
          </w:tcPr>
          <w:p>
            <w:pPr>
              <w:spacing w:line="400" w:lineRule="exact"/>
              <w:jc w:val="center"/>
              <w:rPr>
                <w:rFonts w:hint="eastAsia" w:ascii="宋体" w:hAnsi="宋体" w:eastAsia="宋体" w:cs="宋体"/>
                <w:color w:val="auto"/>
                <w:sz w:val="21"/>
                <w:szCs w:val="21"/>
                <w:highlight w:val="none"/>
              </w:rPr>
            </w:pPr>
          </w:p>
        </w:tc>
        <w:tc>
          <w:tcPr>
            <w:tcW w:w="2835" w:type="dxa"/>
            <w:noWrap w:val="0"/>
            <w:vAlign w:val="top"/>
          </w:tcPr>
          <w:p>
            <w:pPr>
              <w:spacing w:line="400" w:lineRule="exact"/>
              <w:jc w:val="center"/>
              <w:rPr>
                <w:rFonts w:hint="eastAsia" w:ascii="宋体" w:hAnsi="宋体" w:eastAsia="宋体" w:cs="宋体"/>
                <w:color w:val="auto"/>
                <w:sz w:val="21"/>
                <w:szCs w:val="21"/>
                <w:highlight w:val="none"/>
              </w:rPr>
            </w:pPr>
          </w:p>
        </w:tc>
        <w:tc>
          <w:tcPr>
            <w:tcW w:w="2288" w:type="dxa"/>
            <w:noWrap w:val="0"/>
            <w:vAlign w:val="top"/>
          </w:tcPr>
          <w:p>
            <w:pPr>
              <w:spacing w:line="400" w:lineRule="exact"/>
              <w:jc w:val="center"/>
              <w:rPr>
                <w:rFonts w:hint="eastAsia" w:ascii="宋体" w:hAnsi="宋体" w:eastAsia="宋体" w:cs="宋体"/>
                <w:color w:val="auto"/>
                <w:sz w:val="21"/>
                <w:szCs w:val="21"/>
                <w:highlight w:val="none"/>
              </w:rPr>
            </w:pPr>
          </w:p>
        </w:tc>
        <w:tc>
          <w:tcPr>
            <w:tcW w:w="2359" w:type="dxa"/>
            <w:noWrap w:val="0"/>
            <w:vAlign w:val="top"/>
          </w:tcPr>
          <w:p>
            <w:pPr>
              <w:spacing w:line="4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93" w:type="dxa"/>
            <w:noWrap w:val="0"/>
            <w:vAlign w:val="top"/>
          </w:tcPr>
          <w:p>
            <w:pPr>
              <w:spacing w:line="400" w:lineRule="exact"/>
              <w:jc w:val="center"/>
              <w:rPr>
                <w:rFonts w:hint="eastAsia" w:ascii="宋体" w:hAnsi="宋体" w:eastAsia="宋体" w:cs="宋体"/>
                <w:color w:val="auto"/>
                <w:sz w:val="21"/>
                <w:szCs w:val="21"/>
                <w:highlight w:val="none"/>
              </w:rPr>
            </w:pPr>
          </w:p>
        </w:tc>
        <w:tc>
          <w:tcPr>
            <w:tcW w:w="2835" w:type="dxa"/>
            <w:noWrap w:val="0"/>
            <w:vAlign w:val="top"/>
          </w:tcPr>
          <w:p>
            <w:pPr>
              <w:spacing w:line="400" w:lineRule="exact"/>
              <w:jc w:val="center"/>
              <w:rPr>
                <w:rFonts w:hint="eastAsia" w:ascii="宋体" w:hAnsi="宋体" w:eastAsia="宋体" w:cs="宋体"/>
                <w:color w:val="auto"/>
                <w:sz w:val="21"/>
                <w:szCs w:val="21"/>
                <w:highlight w:val="none"/>
              </w:rPr>
            </w:pPr>
          </w:p>
        </w:tc>
        <w:tc>
          <w:tcPr>
            <w:tcW w:w="2288" w:type="dxa"/>
            <w:noWrap w:val="0"/>
            <w:vAlign w:val="top"/>
          </w:tcPr>
          <w:p>
            <w:pPr>
              <w:spacing w:line="400" w:lineRule="exact"/>
              <w:jc w:val="center"/>
              <w:rPr>
                <w:rFonts w:hint="eastAsia" w:ascii="宋体" w:hAnsi="宋体" w:eastAsia="宋体" w:cs="宋体"/>
                <w:color w:val="auto"/>
                <w:sz w:val="21"/>
                <w:szCs w:val="21"/>
                <w:highlight w:val="none"/>
              </w:rPr>
            </w:pPr>
          </w:p>
        </w:tc>
        <w:tc>
          <w:tcPr>
            <w:tcW w:w="2359" w:type="dxa"/>
            <w:noWrap w:val="0"/>
            <w:vAlign w:val="top"/>
          </w:tcPr>
          <w:p>
            <w:pPr>
              <w:spacing w:line="4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93" w:type="dxa"/>
            <w:noWrap w:val="0"/>
            <w:vAlign w:val="top"/>
          </w:tcPr>
          <w:p>
            <w:pPr>
              <w:spacing w:line="400" w:lineRule="exact"/>
              <w:jc w:val="center"/>
              <w:rPr>
                <w:rFonts w:hint="eastAsia" w:ascii="宋体" w:hAnsi="宋体" w:eastAsia="宋体" w:cs="宋体"/>
                <w:color w:val="auto"/>
                <w:sz w:val="21"/>
                <w:szCs w:val="21"/>
                <w:highlight w:val="none"/>
              </w:rPr>
            </w:pPr>
          </w:p>
        </w:tc>
        <w:tc>
          <w:tcPr>
            <w:tcW w:w="2835" w:type="dxa"/>
            <w:noWrap w:val="0"/>
            <w:vAlign w:val="top"/>
          </w:tcPr>
          <w:p>
            <w:pPr>
              <w:spacing w:line="400" w:lineRule="exact"/>
              <w:jc w:val="center"/>
              <w:rPr>
                <w:rFonts w:hint="eastAsia" w:ascii="宋体" w:hAnsi="宋体" w:eastAsia="宋体" w:cs="宋体"/>
                <w:color w:val="auto"/>
                <w:sz w:val="21"/>
                <w:szCs w:val="21"/>
                <w:highlight w:val="none"/>
              </w:rPr>
            </w:pPr>
          </w:p>
        </w:tc>
        <w:tc>
          <w:tcPr>
            <w:tcW w:w="2288" w:type="dxa"/>
            <w:noWrap w:val="0"/>
            <w:vAlign w:val="top"/>
          </w:tcPr>
          <w:p>
            <w:pPr>
              <w:spacing w:line="400" w:lineRule="exact"/>
              <w:jc w:val="center"/>
              <w:rPr>
                <w:rFonts w:hint="eastAsia" w:ascii="宋体" w:hAnsi="宋体" w:eastAsia="宋体" w:cs="宋体"/>
                <w:color w:val="auto"/>
                <w:sz w:val="21"/>
                <w:szCs w:val="21"/>
                <w:highlight w:val="none"/>
              </w:rPr>
            </w:pPr>
          </w:p>
        </w:tc>
        <w:tc>
          <w:tcPr>
            <w:tcW w:w="2359" w:type="dxa"/>
            <w:noWrap w:val="0"/>
            <w:vAlign w:val="top"/>
          </w:tcPr>
          <w:p>
            <w:pPr>
              <w:spacing w:line="4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93" w:type="dxa"/>
            <w:noWrap w:val="0"/>
            <w:vAlign w:val="top"/>
          </w:tcPr>
          <w:p>
            <w:pPr>
              <w:spacing w:line="400" w:lineRule="exact"/>
              <w:jc w:val="center"/>
              <w:rPr>
                <w:rFonts w:hint="eastAsia" w:ascii="宋体" w:hAnsi="宋体" w:eastAsia="宋体" w:cs="宋体"/>
                <w:color w:val="auto"/>
                <w:sz w:val="21"/>
                <w:szCs w:val="21"/>
                <w:highlight w:val="none"/>
              </w:rPr>
            </w:pPr>
          </w:p>
        </w:tc>
        <w:tc>
          <w:tcPr>
            <w:tcW w:w="2835" w:type="dxa"/>
            <w:noWrap w:val="0"/>
            <w:vAlign w:val="top"/>
          </w:tcPr>
          <w:p>
            <w:pPr>
              <w:spacing w:line="400" w:lineRule="exact"/>
              <w:jc w:val="center"/>
              <w:rPr>
                <w:rFonts w:hint="eastAsia" w:ascii="宋体" w:hAnsi="宋体" w:eastAsia="宋体" w:cs="宋体"/>
                <w:color w:val="auto"/>
                <w:sz w:val="21"/>
                <w:szCs w:val="21"/>
                <w:highlight w:val="none"/>
              </w:rPr>
            </w:pPr>
          </w:p>
        </w:tc>
        <w:tc>
          <w:tcPr>
            <w:tcW w:w="2288" w:type="dxa"/>
            <w:noWrap w:val="0"/>
            <w:vAlign w:val="top"/>
          </w:tcPr>
          <w:p>
            <w:pPr>
              <w:spacing w:line="400" w:lineRule="exact"/>
              <w:jc w:val="center"/>
              <w:rPr>
                <w:rFonts w:hint="eastAsia" w:ascii="宋体" w:hAnsi="宋体" w:eastAsia="宋体" w:cs="宋体"/>
                <w:color w:val="auto"/>
                <w:sz w:val="21"/>
                <w:szCs w:val="21"/>
                <w:highlight w:val="none"/>
              </w:rPr>
            </w:pPr>
          </w:p>
        </w:tc>
        <w:tc>
          <w:tcPr>
            <w:tcW w:w="2359" w:type="dxa"/>
            <w:noWrap w:val="0"/>
            <w:vAlign w:val="top"/>
          </w:tcPr>
          <w:p>
            <w:pPr>
              <w:spacing w:line="4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8275" w:type="dxa"/>
            <w:gridSpan w:val="4"/>
            <w:noWrap w:val="0"/>
            <w:vAlign w:val="top"/>
          </w:tcPr>
          <w:p>
            <w:pPr>
              <w:spacing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注：针对没有在此表中列出的其它本项目招标文件规定的商务条款，都视为我方全部响应。</w:t>
            </w:r>
          </w:p>
        </w:tc>
      </w:tr>
    </w:tbl>
    <w:p>
      <w:pPr>
        <w:adjustRightInd w:val="0"/>
        <w:spacing w:line="400" w:lineRule="exact"/>
        <w:ind w:firstLine="490" w:firstLineChars="175"/>
        <w:jc w:val="left"/>
        <w:rPr>
          <w:rFonts w:hint="eastAsia" w:ascii="宋体" w:hAnsi="宋体" w:eastAsia="宋体" w:cs="宋体"/>
          <w:bCs/>
          <w:color w:val="auto"/>
          <w:sz w:val="28"/>
          <w:szCs w:val="28"/>
          <w:highlight w:val="none"/>
        </w:rPr>
      </w:pP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投标人单位名称：</w:t>
      </w:r>
      <w:r>
        <w:rPr>
          <w:rFonts w:hint="eastAsia" w:ascii="宋体" w:hAnsi="宋体" w:eastAsia="宋体" w:cs="宋体"/>
          <w:color w:val="auto"/>
          <w:sz w:val="24"/>
          <w:szCs w:val="22"/>
          <w:highlight w:val="none"/>
          <w:u w:val="single"/>
        </w:rPr>
        <w:t xml:space="preserve">       （电子印章）   </w:t>
      </w:r>
      <w:r>
        <w:rPr>
          <w:rFonts w:hint="eastAsia" w:ascii="宋体" w:hAnsi="宋体" w:eastAsia="宋体" w:cs="宋体"/>
          <w:color w:val="auto"/>
          <w:sz w:val="24"/>
          <w:szCs w:val="22"/>
          <w:highlight w:val="none"/>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投标日期：</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日</w:t>
      </w:r>
    </w:p>
    <w:p>
      <w:pPr>
        <w:ind w:firstLine="480" w:firstLineChars="200"/>
        <w:rPr>
          <w:rFonts w:hint="eastAsia" w:ascii="宋体" w:hAnsi="宋体" w:eastAsia="宋体" w:cs="宋体"/>
          <w:color w:val="auto"/>
          <w:sz w:val="24"/>
          <w:highlight w:val="none"/>
        </w:rPr>
      </w:pPr>
    </w:p>
    <w:p>
      <w:pPr>
        <w:widowControl/>
        <w:jc w:val="left"/>
        <w:outlineLvl w:val="1"/>
        <w:rPr>
          <w:rFonts w:hint="eastAsia" w:ascii="宋体" w:hAnsi="宋体" w:eastAsia="宋体" w:cs="宋体"/>
          <w:color w:val="auto"/>
          <w:sz w:val="24"/>
          <w:highlight w:val="none"/>
        </w:rPr>
      </w:pPr>
      <w:bookmarkStart w:id="1201" w:name="_Toc28259"/>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1"/>
        <w:rPr>
          <w:rFonts w:hint="eastAsia" w:ascii="宋体" w:hAnsi="宋体" w:eastAsia="宋体" w:cs="宋体"/>
          <w:b w:val="0"/>
          <w:bCs w:val="0"/>
          <w:color w:val="auto"/>
          <w:sz w:val="24"/>
          <w:highlight w:val="none"/>
        </w:rPr>
      </w:pPr>
      <w:bookmarkStart w:id="1202" w:name="_Toc6295"/>
      <w:bookmarkStart w:id="1203" w:name="_Toc22199"/>
      <w:bookmarkStart w:id="1204" w:name="_Toc24189"/>
      <w:bookmarkStart w:id="1205" w:name="_Toc11601"/>
      <w:bookmarkStart w:id="1206" w:name="_Toc10187"/>
      <w:bookmarkStart w:id="1207" w:name="_Toc16693"/>
      <w:bookmarkStart w:id="1208" w:name="_Toc26409"/>
      <w:bookmarkStart w:id="1209" w:name="_Toc1257"/>
      <w:bookmarkStart w:id="1210" w:name="_Toc22507"/>
      <w:bookmarkStart w:id="1211" w:name="_Toc13500"/>
      <w:bookmarkStart w:id="1212" w:name="_Toc1299"/>
      <w:bookmarkStart w:id="1213" w:name="_Toc22225"/>
      <w:bookmarkStart w:id="1214" w:name="_Toc11136"/>
      <w:bookmarkStart w:id="1215" w:name="_Toc24139"/>
      <w:r>
        <w:rPr>
          <w:rFonts w:hint="eastAsia" w:ascii="宋体" w:hAnsi="宋体" w:eastAsia="宋体" w:cs="宋体"/>
          <w:b w:val="0"/>
          <w:bCs w:val="0"/>
          <w:color w:val="auto"/>
          <w:sz w:val="24"/>
          <w:highlight w:val="none"/>
        </w:rPr>
        <w:t>注：</w:t>
      </w:r>
      <w:bookmarkEnd w:id="1201"/>
      <w:r>
        <w:rPr>
          <w:rFonts w:hint="eastAsia" w:hAnsi="宋体" w:eastAsia="宋体" w:cs="宋体"/>
          <w:b w:val="0"/>
          <w:bCs w:val="0"/>
          <w:color w:val="auto"/>
          <w:sz w:val="24"/>
          <w:highlight w:val="none"/>
          <w:lang w:val="en-US" w:eastAsia="zh-CN"/>
        </w:rPr>
        <w:t>1.</w:t>
      </w:r>
      <w:r>
        <w:rPr>
          <w:rFonts w:hint="eastAsia" w:ascii="宋体" w:hAnsi="宋体" w:eastAsia="宋体" w:cs="宋体"/>
          <w:b w:val="0"/>
          <w:bCs w:val="0"/>
          <w:color w:val="auto"/>
          <w:sz w:val="24"/>
          <w:highlight w:val="none"/>
        </w:rPr>
        <w:t>如与招标文件所列商务相关条款无偏离（包括正偏离和负偏离），则无须逐条应答。如有偏离条款，请将偏离条款逐条应答。未明确偏离的条款，视为默认接受，供应商不得籍未作应答而拒不接受。</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1"/>
        <w:rPr>
          <w:rFonts w:hint="eastAsia" w:ascii="宋体" w:hAnsi="宋体" w:eastAsia="宋体" w:cs="宋体"/>
          <w:b w:val="0"/>
          <w:bCs w:val="0"/>
          <w:color w:val="auto"/>
          <w:sz w:val="24"/>
          <w:highlight w:val="none"/>
        </w:rPr>
      </w:pPr>
      <w:bookmarkStart w:id="1216" w:name="_Toc8874"/>
      <w:bookmarkStart w:id="1217" w:name="_Toc8188"/>
      <w:bookmarkStart w:id="1218" w:name="_Toc21062"/>
      <w:bookmarkStart w:id="1219" w:name="_Toc14602"/>
      <w:bookmarkStart w:id="1220" w:name="_Toc19898"/>
      <w:bookmarkStart w:id="1221" w:name="_Toc10255"/>
      <w:bookmarkStart w:id="1222" w:name="_Toc13463"/>
      <w:bookmarkStart w:id="1223" w:name="_Toc5294"/>
      <w:bookmarkStart w:id="1224" w:name="_Toc20321"/>
      <w:bookmarkStart w:id="1225" w:name="_Toc11659"/>
      <w:bookmarkStart w:id="1226" w:name="_Toc30051"/>
      <w:bookmarkStart w:id="1227" w:name="_Toc17238"/>
      <w:bookmarkStart w:id="1228" w:name="_Toc7338"/>
      <w:bookmarkStart w:id="1229" w:name="_Toc10172"/>
      <w:bookmarkStart w:id="1230" w:name="_Toc217446087"/>
      <w:r>
        <w:rPr>
          <w:rFonts w:hint="eastAsia" w:hAnsi="宋体" w:eastAsia="宋体" w:cs="宋体"/>
          <w:b w:val="0"/>
          <w:bCs w:val="0"/>
          <w:color w:val="auto"/>
          <w:sz w:val="24"/>
          <w:highlight w:val="none"/>
          <w:lang w:val="en-US" w:eastAsia="zh-CN"/>
        </w:rPr>
        <w:t>2.</w:t>
      </w:r>
      <w:r>
        <w:rPr>
          <w:rFonts w:hint="eastAsia" w:ascii="宋体" w:hAnsi="宋体" w:eastAsia="宋体" w:cs="宋体"/>
          <w:b w:val="0"/>
          <w:bCs w:val="0"/>
          <w:color w:val="auto"/>
          <w:sz w:val="24"/>
          <w:highlight w:val="none"/>
        </w:rPr>
        <w:t>供应商必须据实填写，如有虚假应答，将取消其中标资格。</w:t>
      </w:r>
      <w:bookmarkEnd w:id="1216"/>
      <w:bookmarkEnd w:id="1217"/>
      <w:bookmarkEnd w:id="1218"/>
      <w:bookmarkEnd w:id="1219"/>
      <w:bookmarkEnd w:id="1220"/>
      <w:bookmarkEnd w:id="1221"/>
      <w:bookmarkEnd w:id="1222"/>
      <w:bookmarkEnd w:id="1223"/>
      <w:bookmarkEnd w:id="1224"/>
      <w:bookmarkEnd w:id="1225"/>
      <w:bookmarkEnd w:id="1226"/>
    </w:p>
    <w:p>
      <w:pPr>
        <w:spacing w:line="360" w:lineRule="auto"/>
        <w:jc w:val="center"/>
        <w:rPr>
          <w:rFonts w:hint="eastAsia" w:ascii="宋体" w:hAnsi="宋体" w:eastAsia="宋体" w:cs="宋体"/>
          <w:b/>
          <w:color w:val="auto"/>
          <w:sz w:val="32"/>
          <w:szCs w:val="32"/>
          <w:highlight w:val="none"/>
        </w:rPr>
      </w:pPr>
    </w:p>
    <w:p>
      <w:pPr>
        <w:pStyle w:val="20"/>
        <w:ind w:left="0" w:leftChars="0"/>
        <w:rPr>
          <w:rFonts w:hint="eastAsia" w:ascii="宋体" w:hAnsi="宋体" w:eastAsia="宋体" w:cs="宋体"/>
          <w:color w:val="auto"/>
          <w:highlight w:val="none"/>
        </w:rPr>
      </w:pPr>
    </w:p>
    <w:p>
      <w:pPr>
        <w:pStyle w:val="20"/>
        <w:ind w:left="0" w:leftChars="0"/>
        <w:rPr>
          <w:rFonts w:hint="eastAsia" w:ascii="宋体" w:hAnsi="宋体" w:eastAsia="宋体" w:cs="宋体"/>
          <w:color w:val="auto"/>
          <w:highlight w:val="none"/>
        </w:rPr>
      </w:pPr>
    </w:p>
    <w:p>
      <w:pPr>
        <w:pStyle w:val="20"/>
        <w:ind w:left="0" w:leftChars="0"/>
        <w:rPr>
          <w:rFonts w:hint="eastAsia" w:ascii="宋体" w:hAnsi="宋体" w:eastAsia="宋体" w:cs="宋体"/>
          <w:color w:val="auto"/>
          <w:highlight w:val="none"/>
        </w:rPr>
      </w:pPr>
    </w:p>
    <w:p>
      <w:pPr>
        <w:pStyle w:val="4"/>
        <w:spacing w:line="400" w:lineRule="exact"/>
        <w:jc w:val="both"/>
        <w:rPr>
          <w:rFonts w:hint="eastAsia" w:ascii="宋体" w:hAnsi="宋体" w:eastAsia="宋体" w:cs="宋体"/>
          <w:b/>
          <w:bCs/>
          <w:color w:val="auto"/>
          <w:highlight w:val="none"/>
          <w:lang w:val="en-US" w:eastAsia="zh-CN"/>
        </w:rPr>
      </w:pPr>
      <w:bookmarkStart w:id="1231" w:name="_Toc18169"/>
      <w:bookmarkStart w:id="1232" w:name="_Toc10303"/>
      <w:bookmarkStart w:id="1233" w:name="_Toc20539"/>
      <w:r>
        <w:rPr>
          <w:rFonts w:hint="eastAsia" w:ascii="宋体" w:hAnsi="宋体" w:eastAsia="宋体" w:cs="宋体"/>
          <w:b/>
          <w:bCs/>
          <w:color w:val="auto"/>
          <w:highlight w:val="none"/>
          <w:lang w:val="en-US" w:eastAsia="zh-CN"/>
        </w:rPr>
        <w:t>格式2-</w:t>
      </w:r>
      <w:bookmarkEnd w:id="1231"/>
      <w:bookmarkEnd w:id="1232"/>
      <w:r>
        <w:rPr>
          <w:rFonts w:hint="eastAsia" w:ascii="宋体" w:hAnsi="宋体" w:eastAsia="宋体" w:cs="宋体"/>
          <w:b/>
          <w:bCs/>
          <w:color w:val="auto"/>
          <w:highlight w:val="none"/>
          <w:lang w:val="en-US" w:eastAsia="zh-CN"/>
        </w:rPr>
        <w:t>9</w:t>
      </w:r>
      <w:bookmarkEnd w:id="1233"/>
    </w:p>
    <w:p>
      <w:pPr>
        <w:spacing w:line="360" w:lineRule="auto"/>
        <w:jc w:val="center"/>
        <w:rPr>
          <w:rFonts w:hint="eastAsia" w:ascii="宋体" w:hAnsi="宋体" w:eastAsia="宋体" w:cs="宋体"/>
          <w:b/>
          <w:color w:val="auto"/>
          <w:sz w:val="32"/>
          <w:szCs w:val="32"/>
          <w:highlight w:val="none"/>
        </w:rPr>
      </w:pPr>
      <w:bookmarkStart w:id="1234" w:name="_Toc25715_WPSOffice_Level3"/>
      <w:bookmarkStart w:id="1235" w:name="_Toc9713_WPSOffice_Level3"/>
      <w:r>
        <w:rPr>
          <w:rFonts w:hint="eastAsia" w:ascii="宋体" w:hAnsi="宋体" w:eastAsia="宋体" w:cs="宋体"/>
          <w:b/>
          <w:color w:val="auto"/>
          <w:sz w:val="32"/>
          <w:szCs w:val="32"/>
          <w:highlight w:val="none"/>
        </w:rPr>
        <w:t>类似项目业绩一览表</w:t>
      </w:r>
      <w:bookmarkEnd w:id="1234"/>
      <w:bookmarkEnd w:id="1235"/>
    </w:p>
    <w:tbl>
      <w:tblPr>
        <w:tblStyle w:val="34"/>
        <w:tblpPr w:leftFromText="180" w:rightFromText="180" w:vertAnchor="text" w:horzAnchor="page" w:tblpX="1491" w:tblpY="368"/>
        <w:tblOverlap w:val="never"/>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546"/>
        <w:gridCol w:w="11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tcBorders>
              <w:top w:val="single" w:color="auto" w:sz="4" w:space="0"/>
            </w:tcBorders>
            <w:noWrap w:val="0"/>
            <w:vAlign w:val="center"/>
          </w:tcPr>
          <w:p>
            <w:pPr>
              <w:widowControl/>
              <w:spacing w:line="360" w:lineRule="atLeast"/>
              <w:jc w:val="center"/>
              <w:outlineLvl w:val="1"/>
              <w:rPr>
                <w:rFonts w:hint="eastAsia" w:ascii="宋体" w:hAnsi="宋体" w:eastAsia="宋体" w:cs="宋体"/>
                <w:b/>
                <w:color w:val="auto"/>
                <w:sz w:val="21"/>
                <w:szCs w:val="21"/>
                <w:highlight w:val="none"/>
              </w:rPr>
            </w:pPr>
            <w:bookmarkStart w:id="1236" w:name="_Toc15808"/>
            <w:bookmarkStart w:id="1237" w:name="_Toc25464"/>
            <w:bookmarkStart w:id="1238" w:name="_Toc18703"/>
            <w:bookmarkStart w:id="1239" w:name="_Toc20316"/>
            <w:bookmarkStart w:id="1240" w:name="_Toc806"/>
            <w:bookmarkStart w:id="1241" w:name="_Toc17486"/>
            <w:bookmarkStart w:id="1242" w:name="_Toc4008"/>
            <w:bookmarkStart w:id="1243" w:name="_Toc2557"/>
            <w:bookmarkStart w:id="1244" w:name="_Toc29792"/>
            <w:bookmarkStart w:id="1245" w:name="_Toc4466"/>
            <w:bookmarkStart w:id="1246" w:name="_Toc7930"/>
            <w:bookmarkStart w:id="1247" w:name="_Toc7448"/>
            <w:bookmarkStart w:id="1248" w:name="_Toc16705"/>
            <w:bookmarkStart w:id="1249" w:name="_Toc774"/>
            <w:bookmarkStart w:id="1250" w:name="_Toc18642"/>
            <w:r>
              <w:rPr>
                <w:rFonts w:hint="eastAsia" w:ascii="宋体" w:hAnsi="宋体" w:eastAsia="宋体" w:cs="宋体"/>
                <w:color w:val="auto"/>
                <w:sz w:val="21"/>
                <w:szCs w:val="21"/>
                <w:highlight w:val="none"/>
              </w:rPr>
              <w:t>年份</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tc>
        <w:tc>
          <w:tcPr>
            <w:tcW w:w="1440" w:type="dxa"/>
            <w:noWrap w:val="0"/>
            <w:vAlign w:val="center"/>
          </w:tcPr>
          <w:p>
            <w:pPr>
              <w:widowControl/>
              <w:spacing w:line="360" w:lineRule="atLeast"/>
              <w:jc w:val="center"/>
              <w:outlineLvl w:val="1"/>
              <w:rPr>
                <w:rFonts w:hint="eastAsia" w:ascii="宋体" w:hAnsi="宋体" w:eastAsia="宋体" w:cs="宋体"/>
                <w:b/>
                <w:color w:val="auto"/>
                <w:sz w:val="21"/>
                <w:szCs w:val="21"/>
                <w:highlight w:val="none"/>
              </w:rPr>
            </w:pPr>
            <w:bookmarkStart w:id="1251" w:name="_Toc22584"/>
            <w:bookmarkStart w:id="1252" w:name="_Toc25479"/>
            <w:bookmarkStart w:id="1253" w:name="_Toc9280"/>
            <w:bookmarkStart w:id="1254" w:name="_Toc31876"/>
            <w:bookmarkStart w:id="1255" w:name="_Toc30898"/>
            <w:bookmarkStart w:id="1256" w:name="_Toc18199"/>
            <w:bookmarkStart w:id="1257" w:name="_Toc29837"/>
            <w:bookmarkStart w:id="1258" w:name="_Toc8348"/>
            <w:bookmarkStart w:id="1259" w:name="_Toc14119"/>
            <w:bookmarkStart w:id="1260" w:name="_Toc7218"/>
            <w:bookmarkStart w:id="1261" w:name="_Toc18467"/>
            <w:bookmarkStart w:id="1262" w:name="_Toc21652"/>
            <w:bookmarkStart w:id="1263" w:name="_Toc6305"/>
            <w:bookmarkStart w:id="1264" w:name="_Toc2574"/>
            <w:bookmarkStart w:id="1265" w:name="_Toc12119"/>
            <w:r>
              <w:rPr>
                <w:rFonts w:hint="eastAsia" w:ascii="宋体" w:hAnsi="宋体" w:eastAsia="宋体" w:cs="宋体"/>
                <w:color w:val="auto"/>
                <w:sz w:val="21"/>
                <w:szCs w:val="21"/>
                <w:highlight w:val="none"/>
              </w:rPr>
              <w:t>用户名称</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tc>
        <w:tc>
          <w:tcPr>
            <w:tcW w:w="1320" w:type="dxa"/>
            <w:noWrap w:val="0"/>
            <w:vAlign w:val="center"/>
          </w:tcPr>
          <w:p>
            <w:pPr>
              <w:widowControl/>
              <w:spacing w:line="360" w:lineRule="atLeast"/>
              <w:jc w:val="center"/>
              <w:outlineLvl w:val="1"/>
              <w:rPr>
                <w:rFonts w:hint="eastAsia" w:ascii="宋体" w:hAnsi="宋体" w:eastAsia="宋体" w:cs="宋体"/>
                <w:b/>
                <w:color w:val="auto"/>
                <w:sz w:val="21"/>
                <w:szCs w:val="21"/>
                <w:highlight w:val="none"/>
              </w:rPr>
            </w:pPr>
            <w:bookmarkStart w:id="1266" w:name="_Toc8996"/>
            <w:bookmarkStart w:id="1267" w:name="_Toc4155"/>
            <w:bookmarkStart w:id="1268" w:name="_Toc28372"/>
            <w:bookmarkStart w:id="1269" w:name="_Toc3183"/>
            <w:bookmarkStart w:id="1270" w:name="_Toc6487"/>
            <w:bookmarkStart w:id="1271" w:name="_Toc26665"/>
            <w:bookmarkStart w:id="1272" w:name="_Toc573"/>
            <w:bookmarkStart w:id="1273" w:name="_Toc25656"/>
            <w:bookmarkStart w:id="1274" w:name="_Toc27208"/>
            <w:bookmarkStart w:id="1275" w:name="_Toc23477"/>
            <w:bookmarkStart w:id="1276" w:name="_Toc14911"/>
            <w:bookmarkStart w:id="1277" w:name="_Toc26149"/>
            <w:bookmarkStart w:id="1278" w:name="_Toc23204"/>
            <w:bookmarkStart w:id="1279" w:name="_Toc6759"/>
            <w:bookmarkStart w:id="1280" w:name="_Toc22730"/>
            <w:r>
              <w:rPr>
                <w:rFonts w:hint="eastAsia" w:ascii="宋体" w:hAnsi="宋体" w:eastAsia="宋体" w:cs="宋体"/>
                <w:color w:val="auto"/>
                <w:sz w:val="21"/>
                <w:szCs w:val="21"/>
                <w:highlight w:val="none"/>
              </w:rPr>
              <w:t>项目名称</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tc>
        <w:tc>
          <w:tcPr>
            <w:tcW w:w="1161" w:type="dxa"/>
            <w:noWrap w:val="0"/>
            <w:vAlign w:val="center"/>
          </w:tcPr>
          <w:p>
            <w:pPr>
              <w:widowControl/>
              <w:spacing w:line="360" w:lineRule="atLeast"/>
              <w:jc w:val="center"/>
              <w:outlineLvl w:val="1"/>
              <w:rPr>
                <w:rFonts w:hint="eastAsia" w:ascii="宋体" w:hAnsi="宋体" w:eastAsia="宋体" w:cs="宋体"/>
                <w:b/>
                <w:color w:val="auto"/>
                <w:sz w:val="21"/>
                <w:szCs w:val="21"/>
                <w:highlight w:val="none"/>
              </w:rPr>
            </w:pPr>
            <w:bookmarkStart w:id="1281" w:name="_Toc21224"/>
            <w:bookmarkStart w:id="1282" w:name="_Toc26134"/>
            <w:bookmarkStart w:id="1283" w:name="_Toc14686"/>
            <w:bookmarkStart w:id="1284" w:name="_Toc4279"/>
            <w:bookmarkStart w:id="1285" w:name="_Toc14695"/>
            <w:bookmarkStart w:id="1286" w:name="_Toc27551"/>
            <w:bookmarkStart w:id="1287" w:name="_Toc18305"/>
            <w:bookmarkStart w:id="1288" w:name="_Toc11652"/>
            <w:bookmarkStart w:id="1289" w:name="_Toc19457"/>
            <w:bookmarkStart w:id="1290" w:name="_Toc18802"/>
            <w:bookmarkStart w:id="1291" w:name="_Toc930"/>
            <w:bookmarkStart w:id="1292" w:name="_Toc11447"/>
            <w:bookmarkStart w:id="1293" w:name="_Toc14474"/>
            <w:bookmarkStart w:id="1294" w:name="_Toc235"/>
            <w:bookmarkStart w:id="1295" w:name="_Toc7196"/>
            <w:r>
              <w:rPr>
                <w:rFonts w:hint="eastAsia" w:ascii="宋体" w:hAnsi="宋体" w:eastAsia="宋体" w:cs="宋体"/>
                <w:color w:val="auto"/>
                <w:sz w:val="21"/>
                <w:szCs w:val="21"/>
                <w:highlight w:val="none"/>
              </w:rPr>
              <w:t>完成时间</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tc>
        <w:tc>
          <w:tcPr>
            <w:tcW w:w="1260" w:type="dxa"/>
            <w:noWrap w:val="0"/>
            <w:vAlign w:val="center"/>
          </w:tcPr>
          <w:p>
            <w:pPr>
              <w:widowControl/>
              <w:spacing w:line="360" w:lineRule="atLeast"/>
              <w:jc w:val="center"/>
              <w:outlineLvl w:val="1"/>
              <w:rPr>
                <w:rFonts w:hint="eastAsia" w:ascii="宋体" w:hAnsi="宋体" w:eastAsia="宋体" w:cs="宋体"/>
                <w:b/>
                <w:color w:val="auto"/>
                <w:sz w:val="21"/>
                <w:szCs w:val="21"/>
                <w:highlight w:val="none"/>
              </w:rPr>
            </w:pPr>
            <w:bookmarkStart w:id="1296" w:name="_Toc25932"/>
            <w:bookmarkStart w:id="1297" w:name="_Toc20697"/>
            <w:bookmarkStart w:id="1298" w:name="_Toc32434"/>
            <w:bookmarkStart w:id="1299" w:name="_Toc13084"/>
            <w:bookmarkStart w:id="1300" w:name="_Toc6706"/>
            <w:bookmarkStart w:id="1301" w:name="_Toc5555"/>
            <w:bookmarkStart w:id="1302" w:name="_Toc18919"/>
            <w:bookmarkStart w:id="1303" w:name="_Toc24279"/>
            <w:bookmarkStart w:id="1304" w:name="_Toc17658"/>
            <w:bookmarkStart w:id="1305" w:name="_Toc21802"/>
            <w:bookmarkStart w:id="1306" w:name="_Toc18439"/>
            <w:bookmarkStart w:id="1307" w:name="_Toc27772"/>
            <w:bookmarkStart w:id="1308" w:name="_Toc22893"/>
            <w:bookmarkStart w:id="1309" w:name="_Toc29474"/>
            <w:bookmarkStart w:id="1310" w:name="_Toc3134"/>
            <w:r>
              <w:rPr>
                <w:rFonts w:hint="eastAsia" w:ascii="宋体" w:hAnsi="宋体" w:eastAsia="宋体" w:cs="宋体"/>
                <w:color w:val="auto"/>
                <w:sz w:val="21"/>
                <w:szCs w:val="21"/>
                <w:highlight w:val="none"/>
              </w:rPr>
              <w:t>合同金额</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tc>
        <w:tc>
          <w:tcPr>
            <w:tcW w:w="1555" w:type="dxa"/>
            <w:gridSpan w:val="2"/>
            <w:tcBorders>
              <w:right w:val="single" w:color="auto" w:sz="4" w:space="0"/>
            </w:tcBorders>
            <w:noWrap w:val="0"/>
            <w:vAlign w:val="center"/>
          </w:tcPr>
          <w:p>
            <w:pPr>
              <w:widowControl/>
              <w:spacing w:line="360" w:lineRule="atLeast"/>
              <w:jc w:val="center"/>
              <w:outlineLvl w:val="1"/>
              <w:rPr>
                <w:rFonts w:hint="eastAsia" w:ascii="宋体" w:hAnsi="宋体" w:eastAsia="宋体" w:cs="宋体"/>
                <w:b/>
                <w:color w:val="auto"/>
                <w:sz w:val="21"/>
                <w:szCs w:val="21"/>
                <w:highlight w:val="none"/>
              </w:rPr>
            </w:pPr>
            <w:bookmarkStart w:id="1311" w:name="_Toc15456"/>
            <w:bookmarkStart w:id="1312" w:name="_Toc3328"/>
            <w:bookmarkStart w:id="1313" w:name="_Toc18612"/>
            <w:bookmarkStart w:id="1314" w:name="_Toc10749"/>
            <w:bookmarkStart w:id="1315" w:name="_Toc28185"/>
            <w:bookmarkStart w:id="1316" w:name="_Toc27115"/>
            <w:bookmarkStart w:id="1317" w:name="_Toc25688"/>
            <w:bookmarkStart w:id="1318" w:name="_Toc32455"/>
            <w:bookmarkStart w:id="1319" w:name="_Toc7932"/>
            <w:bookmarkStart w:id="1320" w:name="_Toc24352"/>
            <w:bookmarkStart w:id="1321" w:name="_Toc11830"/>
            <w:bookmarkStart w:id="1322" w:name="_Toc12689"/>
            <w:bookmarkStart w:id="1323" w:name="_Toc9180"/>
            <w:bookmarkStart w:id="1324" w:name="_Toc18511"/>
            <w:bookmarkStart w:id="1325" w:name="_Toc25013"/>
            <w:r>
              <w:rPr>
                <w:rFonts w:hint="eastAsia" w:ascii="宋体" w:hAnsi="宋体" w:eastAsia="宋体" w:cs="宋体"/>
                <w:color w:val="auto"/>
                <w:sz w:val="21"/>
                <w:szCs w:val="21"/>
                <w:highlight w:val="none"/>
              </w:rPr>
              <w:t>是否通过验收</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tc>
        <w:tc>
          <w:tcPr>
            <w:tcW w:w="1173" w:type="dxa"/>
            <w:tcBorders>
              <w:left w:val="single" w:color="auto" w:sz="4" w:space="0"/>
            </w:tcBorders>
            <w:noWrap w:val="0"/>
            <w:vAlign w:val="center"/>
          </w:tcPr>
          <w:p>
            <w:pPr>
              <w:widowControl/>
              <w:spacing w:line="360" w:lineRule="atLeast"/>
              <w:jc w:val="center"/>
              <w:outlineLvl w:val="1"/>
              <w:rPr>
                <w:rFonts w:hint="eastAsia" w:ascii="宋体" w:hAnsi="宋体" w:eastAsia="宋体" w:cs="宋体"/>
                <w:b/>
                <w:color w:val="auto"/>
                <w:sz w:val="21"/>
                <w:szCs w:val="21"/>
                <w:highlight w:val="none"/>
              </w:rPr>
            </w:pPr>
            <w:bookmarkStart w:id="1326" w:name="_Toc23484"/>
            <w:bookmarkStart w:id="1327" w:name="_Toc3012"/>
            <w:bookmarkStart w:id="1328" w:name="_Toc23588"/>
            <w:bookmarkStart w:id="1329" w:name="_Toc11375"/>
            <w:bookmarkStart w:id="1330" w:name="_Toc23939"/>
            <w:bookmarkStart w:id="1331" w:name="_Toc29320"/>
            <w:bookmarkStart w:id="1332" w:name="_Toc1754"/>
            <w:bookmarkStart w:id="1333" w:name="_Toc11149"/>
            <w:bookmarkStart w:id="1334" w:name="_Toc17402"/>
            <w:bookmarkStart w:id="1335" w:name="_Toc16050"/>
            <w:bookmarkStart w:id="1336" w:name="_Toc5514"/>
            <w:bookmarkStart w:id="1337" w:name="_Toc7233"/>
            <w:bookmarkStart w:id="1338" w:name="_Toc9694"/>
            <w:bookmarkStart w:id="1339" w:name="_Toc13791"/>
            <w:bookmarkStart w:id="1340" w:name="_Toc1933"/>
            <w:r>
              <w:rPr>
                <w:rFonts w:hint="eastAsia" w:ascii="宋体" w:hAnsi="宋体" w:eastAsia="宋体" w:cs="宋体"/>
                <w:color w:val="auto"/>
                <w:sz w:val="21"/>
                <w:szCs w:val="21"/>
                <w:highlight w:val="none"/>
              </w:rPr>
              <w:t>备注</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44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32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161" w:type="dxa"/>
            <w:noWrap w:val="0"/>
            <w:vAlign w:val="center"/>
          </w:tcPr>
          <w:p>
            <w:pPr>
              <w:spacing w:line="400" w:lineRule="exact"/>
              <w:jc w:val="center"/>
              <w:rPr>
                <w:rFonts w:hint="eastAsia" w:ascii="宋体" w:hAnsi="宋体" w:eastAsia="宋体" w:cs="宋体"/>
                <w:color w:val="auto"/>
                <w:sz w:val="21"/>
                <w:szCs w:val="21"/>
                <w:highlight w:val="none"/>
              </w:rPr>
            </w:pPr>
          </w:p>
        </w:tc>
        <w:tc>
          <w:tcPr>
            <w:tcW w:w="126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555" w:type="dxa"/>
            <w:gridSpan w:val="2"/>
            <w:tcBorders>
              <w:righ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173" w:type="dxa"/>
            <w:tcBorders>
              <w:lef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44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32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161" w:type="dxa"/>
            <w:noWrap w:val="0"/>
            <w:vAlign w:val="center"/>
          </w:tcPr>
          <w:p>
            <w:pPr>
              <w:spacing w:line="400" w:lineRule="exact"/>
              <w:jc w:val="center"/>
              <w:rPr>
                <w:rFonts w:hint="eastAsia" w:ascii="宋体" w:hAnsi="宋体" w:eastAsia="宋体" w:cs="宋体"/>
                <w:color w:val="auto"/>
                <w:sz w:val="21"/>
                <w:szCs w:val="21"/>
                <w:highlight w:val="none"/>
              </w:rPr>
            </w:pPr>
          </w:p>
        </w:tc>
        <w:tc>
          <w:tcPr>
            <w:tcW w:w="126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555" w:type="dxa"/>
            <w:gridSpan w:val="2"/>
            <w:tcBorders>
              <w:righ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173" w:type="dxa"/>
            <w:tcBorders>
              <w:lef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44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32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161" w:type="dxa"/>
            <w:noWrap w:val="0"/>
            <w:vAlign w:val="center"/>
          </w:tcPr>
          <w:p>
            <w:pPr>
              <w:spacing w:line="400" w:lineRule="exact"/>
              <w:jc w:val="center"/>
              <w:rPr>
                <w:rFonts w:hint="eastAsia" w:ascii="宋体" w:hAnsi="宋体" w:eastAsia="宋体" w:cs="宋体"/>
                <w:color w:val="auto"/>
                <w:sz w:val="21"/>
                <w:szCs w:val="21"/>
                <w:highlight w:val="none"/>
              </w:rPr>
            </w:pPr>
          </w:p>
        </w:tc>
        <w:tc>
          <w:tcPr>
            <w:tcW w:w="126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555" w:type="dxa"/>
            <w:gridSpan w:val="2"/>
            <w:tcBorders>
              <w:righ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173" w:type="dxa"/>
            <w:tcBorders>
              <w:lef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440" w:type="dxa"/>
            <w:tcBorders>
              <w:righ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320" w:type="dxa"/>
            <w:tcBorders>
              <w:lef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161" w:type="dxa"/>
            <w:noWrap w:val="0"/>
            <w:vAlign w:val="center"/>
          </w:tcPr>
          <w:p>
            <w:pPr>
              <w:spacing w:line="400" w:lineRule="exact"/>
              <w:jc w:val="center"/>
              <w:rPr>
                <w:rFonts w:hint="eastAsia" w:ascii="宋体" w:hAnsi="宋体" w:eastAsia="宋体" w:cs="宋体"/>
                <w:color w:val="auto"/>
                <w:sz w:val="21"/>
                <w:szCs w:val="21"/>
                <w:highlight w:val="none"/>
              </w:rPr>
            </w:pPr>
          </w:p>
        </w:tc>
        <w:tc>
          <w:tcPr>
            <w:tcW w:w="126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555" w:type="dxa"/>
            <w:gridSpan w:val="2"/>
            <w:tcBorders>
              <w:righ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173" w:type="dxa"/>
            <w:tcBorders>
              <w:lef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tcBorders>
              <w:right w:val="single" w:color="auto" w:sz="4" w:space="0"/>
            </w:tcBorders>
            <w:noWrap w:val="0"/>
            <w:vAlign w:val="center"/>
          </w:tcPr>
          <w:p>
            <w:pPr>
              <w:spacing w:line="400" w:lineRule="exact"/>
              <w:rPr>
                <w:rFonts w:hint="eastAsia" w:ascii="宋体" w:hAnsi="宋体" w:eastAsia="宋体" w:cs="宋体"/>
                <w:color w:val="auto"/>
                <w:sz w:val="21"/>
                <w:szCs w:val="21"/>
                <w:highlight w:val="none"/>
              </w:rPr>
            </w:pPr>
          </w:p>
        </w:tc>
        <w:tc>
          <w:tcPr>
            <w:tcW w:w="1440" w:type="dxa"/>
            <w:tcBorders>
              <w:left w:val="single" w:color="auto" w:sz="4" w:space="0"/>
              <w:right w:val="single" w:color="auto" w:sz="4" w:space="0"/>
            </w:tcBorders>
            <w:noWrap w:val="0"/>
            <w:vAlign w:val="center"/>
          </w:tcPr>
          <w:p>
            <w:pPr>
              <w:spacing w:line="400" w:lineRule="exact"/>
              <w:rPr>
                <w:rFonts w:hint="eastAsia" w:ascii="宋体" w:hAnsi="宋体" w:eastAsia="宋体" w:cs="宋体"/>
                <w:color w:val="auto"/>
                <w:sz w:val="21"/>
                <w:szCs w:val="21"/>
                <w:highlight w:val="none"/>
              </w:rPr>
            </w:pPr>
          </w:p>
        </w:tc>
        <w:tc>
          <w:tcPr>
            <w:tcW w:w="1320" w:type="dxa"/>
            <w:tcBorders>
              <w:left w:val="single" w:color="auto" w:sz="4" w:space="0"/>
              <w:right w:val="single" w:color="auto" w:sz="4" w:space="0"/>
            </w:tcBorders>
            <w:noWrap w:val="0"/>
            <w:vAlign w:val="center"/>
          </w:tcPr>
          <w:p>
            <w:pPr>
              <w:spacing w:line="400" w:lineRule="exact"/>
              <w:rPr>
                <w:rFonts w:hint="eastAsia" w:ascii="宋体" w:hAnsi="宋体" w:eastAsia="宋体" w:cs="宋体"/>
                <w:color w:val="auto"/>
                <w:sz w:val="21"/>
                <w:szCs w:val="21"/>
                <w:highlight w:val="none"/>
              </w:rPr>
            </w:pPr>
          </w:p>
        </w:tc>
        <w:tc>
          <w:tcPr>
            <w:tcW w:w="1161" w:type="dxa"/>
            <w:tcBorders>
              <w:left w:val="single" w:color="auto" w:sz="4" w:space="0"/>
              <w:right w:val="single" w:color="auto" w:sz="4" w:space="0"/>
            </w:tcBorders>
            <w:noWrap w:val="0"/>
            <w:vAlign w:val="center"/>
          </w:tcPr>
          <w:p>
            <w:pPr>
              <w:spacing w:line="400" w:lineRule="exact"/>
              <w:rPr>
                <w:rFonts w:hint="eastAsia" w:ascii="宋体" w:hAnsi="宋体" w:eastAsia="宋体" w:cs="宋体"/>
                <w:color w:val="auto"/>
                <w:sz w:val="21"/>
                <w:szCs w:val="21"/>
                <w:highlight w:val="none"/>
              </w:rPr>
            </w:pPr>
          </w:p>
        </w:tc>
        <w:tc>
          <w:tcPr>
            <w:tcW w:w="1269" w:type="dxa"/>
            <w:gridSpan w:val="2"/>
            <w:tcBorders>
              <w:left w:val="single" w:color="auto" w:sz="4" w:space="0"/>
              <w:right w:val="single" w:color="auto" w:sz="4" w:space="0"/>
            </w:tcBorders>
            <w:noWrap w:val="0"/>
            <w:vAlign w:val="center"/>
          </w:tcPr>
          <w:p>
            <w:pPr>
              <w:spacing w:line="400" w:lineRule="exact"/>
              <w:rPr>
                <w:rFonts w:hint="eastAsia" w:ascii="宋体" w:hAnsi="宋体" w:eastAsia="宋体" w:cs="宋体"/>
                <w:color w:val="auto"/>
                <w:sz w:val="21"/>
                <w:szCs w:val="21"/>
                <w:highlight w:val="none"/>
              </w:rPr>
            </w:pPr>
          </w:p>
        </w:tc>
        <w:tc>
          <w:tcPr>
            <w:tcW w:w="1546" w:type="dxa"/>
            <w:tcBorders>
              <w:left w:val="single" w:color="auto" w:sz="4" w:space="0"/>
              <w:right w:val="single" w:color="auto" w:sz="4" w:space="0"/>
            </w:tcBorders>
            <w:noWrap w:val="0"/>
            <w:vAlign w:val="center"/>
          </w:tcPr>
          <w:p>
            <w:pPr>
              <w:spacing w:line="400" w:lineRule="exact"/>
              <w:rPr>
                <w:rFonts w:hint="eastAsia" w:ascii="宋体" w:hAnsi="宋体" w:eastAsia="宋体" w:cs="宋体"/>
                <w:color w:val="auto"/>
                <w:sz w:val="21"/>
                <w:szCs w:val="21"/>
                <w:highlight w:val="none"/>
              </w:rPr>
            </w:pPr>
          </w:p>
        </w:tc>
        <w:tc>
          <w:tcPr>
            <w:tcW w:w="1173" w:type="dxa"/>
            <w:tcBorders>
              <w:left w:val="single" w:color="auto" w:sz="4" w:space="0"/>
            </w:tcBorders>
            <w:noWrap w:val="0"/>
            <w:vAlign w:val="center"/>
          </w:tcPr>
          <w:p>
            <w:pPr>
              <w:spacing w:line="40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noWrap w:val="0"/>
            <w:vAlign w:val="center"/>
          </w:tcPr>
          <w:p>
            <w:pPr>
              <w:spacing w:line="400" w:lineRule="exact"/>
              <w:rPr>
                <w:rFonts w:hint="eastAsia" w:ascii="宋体" w:hAnsi="宋体" w:eastAsia="宋体" w:cs="宋体"/>
                <w:color w:val="auto"/>
                <w:sz w:val="21"/>
                <w:szCs w:val="21"/>
                <w:highlight w:val="none"/>
              </w:rPr>
            </w:pPr>
          </w:p>
        </w:tc>
        <w:tc>
          <w:tcPr>
            <w:tcW w:w="1440" w:type="dxa"/>
            <w:noWrap w:val="0"/>
            <w:vAlign w:val="center"/>
          </w:tcPr>
          <w:p>
            <w:pPr>
              <w:spacing w:line="400" w:lineRule="exact"/>
              <w:rPr>
                <w:rFonts w:hint="eastAsia" w:ascii="宋体" w:hAnsi="宋体" w:eastAsia="宋体" w:cs="宋体"/>
                <w:color w:val="auto"/>
                <w:sz w:val="21"/>
                <w:szCs w:val="21"/>
                <w:highlight w:val="none"/>
              </w:rPr>
            </w:pPr>
          </w:p>
        </w:tc>
        <w:tc>
          <w:tcPr>
            <w:tcW w:w="1320" w:type="dxa"/>
            <w:noWrap w:val="0"/>
            <w:vAlign w:val="center"/>
          </w:tcPr>
          <w:p>
            <w:pPr>
              <w:spacing w:line="400" w:lineRule="exact"/>
              <w:rPr>
                <w:rFonts w:hint="eastAsia" w:ascii="宋体" w:hAnsi="宋体" w:eastAsia="宋体" w:cs="宋体"/>
                <w:color w:val="auto"/>
                <w:sz w:val="21"/>
                <w:szCs w:val="21"/>
                <w:highlight w:val="none"/>
              </w:rPr>
            </w:pPr>
          </w:p>
        </w:tc>
        <w:tc>
          <w:tcPr>
            <w:tcW w:w="1161" w:type="dxa"/>
            <w:noWrap w:val="0"/>
            <w:vAlign w:val="center"/>
          </w:tcPr>
          <w:p>
            <w:pPr>
              <w:spacing w:line="400" w:lineRule="exact"/>
              <w:rPr>
                <w:rFonts w:hint="eastAsia" w:ascii="宋体" w:hAnsi="宋体" w:eastAsia="宋体" w:cs="宋体"/>
                <w:color w:val="auto"/>
                <w:sz w:val="21"/>
                <w:szCs w:val="21"/>
                <w:highlight w:val="none"/>
              </w:rPr>
            </w:pPr>
          </w:p>
        </w:tc>
        <w:tc>
          <w:tcPr>
            <w:tcW w:w="1269" w:type="dxa"/>
            <w:gridSpan w:val="2"/>
            <w:tcBorders>
              <w:right w:val="single" w:color="auto" w:sz="4" w:space="0"/>
            </w:tcBorders>
            <w:noWrap w:val="0"/>
            <w:vAlign w:val="center"/>
          </w:tcPr>
          <w:p>
            <w:pPr>
              <w:spacing w:line="400" w:lineRule="exact"/>
              <w:rPr>
                <w:rFonts w:hint="eastAsia" w:ascii="宋体" w:hAnsi="宋体" w:eastAsia="宋体" w:cs="宋体"/>
                <w:color w:val="auto"/>
                <w:sz w:val="21"/>
                <w:szCs w:val="21"/>
                <w:highlight w:val="none"/>
              </w:rPr>
            </w:pPr>
          </w:p>
        </w:tc>
        <w:tc>
          <w:tcPr>
            <w:tcW w:w="1546" w:type="dxa"/>
            <w:tcBorders>
              <w:left w:val="single" w:color="auto" w:sz="4" w:space="0"/>
              <w:right w:val="single" w:color="auto" w:sz="4" w:space="0"/>
            </w:tcBorders>
            <w:noWrap w:val="0"/>
            <w:vAlign w:val="center"/>
          </w:tcPr>
          <w:p>
            <w:pPr>
              <w:spacing w:line="400" w:lineRule="exact"/>
              <w:rPr>
                <w:rFonts w:hint="eastAsia" w:ascii="宋体" w:hAnsi="宋体" w:eastAsia="宋体" w:cs="宋体"/>
                <w:color w:val="auto"/>
                <w:sz w:val="21"/>
                <w:szCs w:val="21"/>
                <w:highlight w:val="none"/>
              </w:rPr>
            </w:pPr>
          </w:p>
        </w:tc>
        <w:tc>
          <w:tcPr>
            <w:tcW w:w="1173" w:type="dxa"/>
            <w:tcBorders>
              <w:left w:val="single" w:color="auto" w:sz="4" w:space="0"/>
            </w:tcBorders>
            <w:noWrap w:val="0"/>
            <w:vAlign w:val="center"/>
          </w:tcPr>
          <w:p>
            <w:pPr>
              <w:spacing w:line="40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44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32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161" w:type="dxa"/>
            <w:noWrap w:val="0"/>
            <w:vAlign w:val="center"/>
          </w:tcPr>
          <w:p>
            <w:pPr>
              <w:spacing w:line="400" w:lineRule="exact"/>
              <w:jc w:val="center"/>
              <w:rPr>
                <w:rFonts w:hint="eastAsia" w:ascii="宋体" w:hAnsi="宋体" w:eastAsia="宋体" w:cs="宋体"/>
                <w:color w:val="auto"/>
                <w:sz w:val="21"/>
                <w:szCs w:val="21"/>
                <w:highlight w:val="none"/>
              </w:rPr>
            </w:pPr>
          </w:p>
        </w:tc>
        <w:tc>
          <w:tcPr>
            <w:tcW w:w="1269" w:type="dxa"/>
            <w:gridSpan w:val="2"/>
            <w:tcBorders>
              <w:righ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546" w:type="dxa"/>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173" w:type="dxa"/>
            <w:tcBorders>
              <w:lef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44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320" w:type="dxa"/>
            <w:noWrap w:val="0"/>
            <w:vAlign w:val="center"/>
          </w:tcPr>
          <w:p>
            <w:pPr>
              <w:spacing w:line="400" w:lineRule="exact"/>
              <w:jc w:val="center"/>
              <w:rPr>
                <w:rFonts w:hint="eastAsia" w:ascii="宋体" w:hAnsi="宋体" w:eastAsia="宋体" w:cs="宋体"/>
                <w:color w:val="auto"/>
                <w:sz w:val="21"/>
                <w:szCs w:val="21"/>
                <w:highlight w:val="none"/>
              </w:rPr>
            </w:pPr>
          </w:p>
        </w:tc>
        <w:tc>
          <w:tcPr>
            <w:tcW w:w="1161" w:type="dxa"/>
            <w:noWrap w:val="0"/>
            <w:vAlign w:val="center"/>
          </w:tcPr>
          <w:p>
            <w:pPr>
              <w:spacing w:line="400" w:lineRule="exact"/>
              <w:jc w:val="center"/>
              <w:rPr>
                <w:rFonts w:hint="eastAsia" w:ascii="宋体" w:hAnsi="宋体" w:eastAsia="宋体" w:cs="宋体"/>
                <w:color w:val="auto"/>
                <w:sz w:val="21"/>
                <w:szCs w:val="21"/>
                <w:highlight w:val="none"/>
              </w:rPr>
            </w:pPr>
          </w:p>
        </w:tc>
        <w:tc>
          <w:tcPr>
            <w:tcW w:w="1269" w:type="dxa"/>
            <w:gridSpan w:val="2"/>
            <w:tcBorders>
              <w:righ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546" w:type="dxa"/>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173" w:type="dxa"/>
            <w:tcBorders>
              <w:lef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trPr>
        <w:tc>
          <w:tcPr>
            <w:tcW w:w="720" w:type="dxa"/>
            <w:tcBorders>
              <w:bottom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440" w:type="dxa"/>
            <w:tcBorders>
              <w:bottom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320" w:type="dxa"/>
            <w:tcBorders>
              <w:bottom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161" w:type="dxa"/>
            <w:tcBorders>
              <w:bottom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269" w:type="dxa"/>
            <w:gridSpan w:val="2"/>
            <w:tcBorders>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546" w:type="dxa"/>
            <w:tcBorders>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173" w:type="dxa"/>
            <w:tcBorders>
              <w:left w:val="single" w:color="auto" w:sz="4" w:space="0"/>
              <w:bottom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trPr>
        <w:tc>
          <w:tcPr>
            <w:tcW w:w="72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44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32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161"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269" w:type="dxa"/>
            <w:gridSpan w:val="2"/>
            <w:tcBorders>
              <w:top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54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c>
          <w:tcPr>
            <w:tcW w:w="1173" w:type="dxa"/>
            <w:tcBorders>
              <w:top w:val="single" w:color="auto" w:sz="4" w:space="0"/>
              <w:left w:val="single" w:color="auto" w:sz="4" w:space="0"/>
              <w:bottom w:val="single" w:color="auto" w:sz="4" w:space="0"/>
            </w:tcBorders>
            <w:noWrap w:val="0"/>
            <w:vAlign w:val="center"/>
          </w:tcPr>
          <w:p>
            <w:pPr>
              <w:spacing w:line="400" w:lineRule="exact"/>
              <w:jc w:val="center"/>
              <w:rPr>
                <w:rFonts w:hint="eastAsia" w:ascii="宋体" w:hAnsi="宋体" w:eastAsia="宋体" w:cs="宋体"/>
                <w:color w:val="auto"/>
                <w:sz w:val="21"/>
                <w:szCs w:val="21"/>
                <w:highlight w:val="none"/>
              </w:rPr>
            </w:pPr>
          </w:p>
        </w:tc>
      </w:tr>
    </w:tbl>
    <w:p>
      <w:pPr>
        <w:spacing w:line="400" w:lineRule="exact"/>
        <w:rPr>
          <w:rFonts w:hint="eastAsia" w:ascii="宋体" w:hAnsi="宋体" w:eastAsia="宋体" w:cs="宋体"/>
          <w:color w:val="auto"/>
          <w:sz w:val="24"/>
          <w:highlight w:val="none"/>
        </w:rPr>
      </w:pP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投标人单位名称：</w:t>
      </w:r>
      <w:r>
        <w:rPr>
          <w:rFonts w:hint="eastAsia" w:ascii="宋体" w:hAnsi="宋体" w:eastAsia="宋体" w:cs="宋体"/>
          <w:color w:val="auto"/>
          <w:sz w:val="24"/>
          <w:szCs w:val="22"/>
          <w:highlight w:val="none"/>
          <w:u w:val="single"/>
        </w:rPr>
        <w:t xml:space="preserve">       （电子印章）   </w:t>
      </w:r>
      <w:r>
        <w:rPr>
          <w:rFonts w:hint="eastAsia" w:ascii="宋体" w:hAnsi="宋体" w:eastAsia="宋体" w:cs="宋体"/>
          <w:color w:val="auto"/>
          <w:sz w:val="24"/>
          <w:szCs w:val="22"/>
          <w:highlight w:val="none"/>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投标日期：</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日</w:t>
      </w:r>
    </w:p>
    <w:p>
      <w:pPr>
        <w:rPr>
          <w:rFonts w:hint="eastAsia" w:ascii="宋体" w:hAnsi="宋体" w:eastAsia="宋体" w:cs="宋体"/>
          <w:color w:val="auto"/>
          <w:highlight w:val="none"/>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1"/>
        <w:rPr>
          <w:rFonts w:hint="eastAsia" w:ascii="宋体" w:hAnsi="宋体" w:eastAsia="宋体" w:cs="宋体"/>
          <w:color w:val="auto"/>
          <w:sz w:val="24"/>
          <w:highlight w:val="none"/>
        </w:rPr>
      </w:pPr>
      <w:bookmarkStart w:id="1341" w:name="_Toc1391"/>
      <w:bookmarkStart w:id="1342" w:name="_Toc19433"/>
      <w:bookmarkStart w:id="1343" w:name="_Toc7770"/>
      <w:bookmarkStart w:id="1344" w:name="_Toc3531"/>
      <w:bookmarkStart w:id="1345" w:name="_Toc8091"/>
      <w:bookmarkStart w:id="1346" w:name="_Toc18606"/>
      <w:bookmarkStart w:id="1347" w:name="_Toc26596"/>
      <w:bookmarkStart w:id="1348" w:name="_Toc19404"/>
      <w:bookmarkStart w:id="1349" w:name="_Toc10844"/>
      <w:bookmarkStart w:id="1350" w:name="_Toc8603"/>
      <w:bookmarkStart w:id="1351" w:name="_Toc888"/>
      <w:bookmarkStart w:id="1352" w:name="_Toc6756"/>
      <w:bookmarkStart w:id="1353" w:name="_Toc27702"/>
      <w:bookmarkStart w:id="1354" w:name="_Toc25808"/>
      <w:bookmarkStart w:id="1355" w:name="_Toc27963"/>
      <w:r>
        <w:rPr>
          <w:rFonts w:hint="eastAsia" w:ascii="宋体" w:hAnsi="宋体" w:eastAsia="宋体" w:cs="宋体"/>
          <w:color w:val="auto"/>
          <w:sz w:val="24"/>
          <w:highlight w:val="none"/>
        </w:rPr>
        <w:t>注：供应商以上业绩需提供招标文件要求的有关书面证明材料。</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pPr>
        <w:pStyle w:val="9"/>
        <w:rPr>
          <w:rFonts w:hint="eastAsia" w:ascii="宋体" w:hAnsi="宋体" w:eastAsia="宋体" w:cs="宋体"/>
          <w:bCs/>
          <w:color w:val="auto"/>
          <w:szCs w:val="28"/>
          <w:highlight w:val="none"/>
        </w:rPr>
      </w:pPr>
    </w:p>
    <w:p>
      <w:pPr>
        <w:pStyle w:val="9"/>
        <w:rPr>
          <w:rFonts w:hint="eastAsia" w:ascii="宋体" w:hAnsi="宋体" w:eastAsia="宋体" w:cs="宋体"/>
          <w:bCs/>
          <w:color w:val="auto"/>
          <w:szCs w:val="28"/>
          <w:highlight w:val="none"/>
        </w:rPr>
      </w:pPr>
    </w:p>
    <w:p>
      <w:pPr>
        <w:pStyle w:val="9"/>
        <w:rPr>
          <w:rFonts w:hint="eastAsia" w:ascii="宋体" w:hAnsi="宋体" w:eastAsia="宋体" w:cs="宋体"/>
          <w:bCs/>
          <w:color w:val="auto"/>
          <w:szCs w:val="28"/>
          <w:highlight w:val="none"/>
        </w:rPr>
      </w:pPr>
    </w:p>
    <w:bookmarkEnd w:id="1227"/>
    <w:bookmarkEnd w:id="1228"/>
    <w:bookmarkEnd w:id="1229"/>
    <w:bookmarkEnd w:id="1230"/>
    <w:p>
      <w:pPr>
        <w:spacing w:line="360" w:lineRule="auto"/>
        <w:rPr>
          <w:rFonts w:hint="eastAsia" w:ascii="宋体" w:hAnsi="宋体" w:eastAsia="宋体" w:cs="宋体"/>
          <w:b/>
          <w:color w:val="auto"/>
          <w:sz w:val="32"/>
          <w:szCs w:val="32"/>
          <w:highlight w:val="none"/>
        </w:rPr>
      </w:pPr>
    </w:p>
    <w:p>
      <w:pPr>
        <w:pStyle w:val="20"/>
        <w:ind w:left="680"/>
        <w:rPr>
          <w:rFonts w:hint="eastAsia" w:ascii="宋体" w:hAnsi="宋体" w:eastAsia="宋体" w:cs="宋体"/>
          <w:b/>
          <w:color w:val="auto"/>
          <w:sz w:val="32"/>
          <w:szCs w:val="32"/>
          <w:highlight w:val="none"/>
        </w:rPr>
      </w:pPr>
    </w:p>
    <w:p>
      <w:pPr>
        <w:pStyle w:val="20"/>
        <w:ind w:left="680"/>
        <w:rPr>
          <w:rFonts w:hint="eastAsia" w:ascii="宋体" w:hAnsi="宋体" w:eastAsia="宋体" w:cs="宋体"/>
          <w:b/>
          <w:color w:val="auto"/>
          <w:sz w:val="32"/>
          <w:szCs w:val="32"/>
          <w:highlight w:val="none"/>
        </w:rPr>
      </w:pPr>
    </w:p>
    <w:p>
      <w:pPr>
        <w:pStyle w:val="4"/>
        <w:spacing w:line="400" w:lineRule="exact"/>
        <w:jc w:val="both"/>
        <w:rPr>
          <w:rFonts w:hint="eastAsia" w:ascii="宋体" w:hAnsi="宋体" w:eastAsia="宋体" w:cs="宋体"/>
          <w:b/>
          <w:bCs/>
          <w:color w:val="auto"/>
          <w:highlight w:val="none"/>
          <w:lang w:val="en-US" w:eastAsia="zh-CN"/>
        </w:rPr>
      </w:pPr>
      <w:bookmarkStart w:id="1356" w:name="_Toc23357"/>
      <w:bookmarkStart w:id="1357" w:name="_Toc23806"/>
      <w:bookmarkStart w:id="1358" w:name="_Toc29728"/>
      <w:bookmarkStart w:id="1359" w:name="_Toc5072"/>
      <w:bookmarkStart w:id="1360" w:name="_Toc15291"/>
      <w:bookmarkStart w:id="1361" w:name="_Toc1613_WPSOffice_Level3"/>
      <w:bookmarkStart w:id="1362" w:name="_Toc27288"/>
      <w:bookmarkStart w:id="1363" w:name="_Toc4183"/>
      <w:bookmarkStart w:id="1364" w:name="_Toc71"/>
      <w:bookmarkStart w:id="1365" w:name="_Toc28997"/>
      <w:bookmarkStart w:id="1366" w:name="_Toc30219"/>
      <w:bookmarkStart w:id="1367" w:name="_Toc21747"/>
      <w:bookmarkStart w:id="1368" w:name="_Toc11687"/>
      <w:bookmarkStart w:id="1369" w:name="_Toc12406_WPSOffice_Level3"/>
      <w:bookmarkStart w:id="1370" w:name="_Toc31038"/>
      <w:bookmarkStart w:id="1371" w:name="_Toc1591"/>
      <w:r>
        <w:rPr>
          <w:rFonts w:hint="eastAsia" w:ascii="宋体" w:hAnsi="宋体" w:eastAsia="宋体" w:cs="宋体"/>
          <w:b/>
          <w:bCs/>
          <w:color w:val="auto"/>
          <w:highlight w:val="none"/>
          <w:lang w:val="en-US" w:eastAsia="zh-CN"/>
        </w:rPr>
        <w:t>格式2-1</w:t>
      </w:r>
      <w:bookmarkEnd w:id="1356"/>
      <w:bookmarkEnd w:id="1357"/>
      <w:r>
        <w:rPr>
          <w:rFonts w:hint="eastAsia" w:ascii="宋体" w:hAnsi="宋体" w:eastAsia="宋体" w:cs="宋体"/>
          <w:b/>
          <w:bCs/>
          <w:color w:val="auto"/>
          <w:highlight w:val="none"/>
          <w:lang w:val="en-US" w:eastAsia="zh-CN"/>
        </w:rPr>
        <w:t>0</w:t>
      </w:r>
      <w:bookmarkEnd w:id="1358"/>
    </w:p>
    <w:p>
      <w:pPr>
        <w:pStyle w:val="4"/>
        <w:spacing w:line="400" w:lineRule="exact"/>
        <w:jc w:val="center"/>
        <w:rPr>
          <w:rFonts w:hint="eastAsia" w:ascii="宋体" w:hAnsi="宋体" w:eastAsia="宋体" w:cs="宋体"/>
          <w:bCs w:val="0"/>
          <w:color w:val="auto"/>
          <w:szCs w:val="28"/>
          <w:highlight w:val="none"/>
        </w:rPr>
      </w:pPr>
      <w:bookmarkStart w:id="1372" w:name="_Toc10431"/>
      <w:bookmarkStart w:id="1373" w:name="_Toc7216"/>
      <w:bookmarkStart w:id="1374" w:name="_Toc27570"/>
      <w:r>
        <w:rPr>
          <w:rFonts w:hint="eastAsia" w:ascii="宋体" w:hAnsi="宋体" w:eastAsia="宋体" w:cs="宋体"/>
          <w:color w:val="auto"/>
          <w:highlight w:val="none"/>
        </w:rPr>
        <w:t>供应商基本情况表</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tbl>
      <w:tblPr>
        <w:tblStyle w:val="34"/>
        <w:tblW w:w="8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839"/>
        <w:gridCol w:w="271"/>
        <w:gridCol w:w="877"/>
        <w:gridCol w:w="1463"/>
        <w:gridCol w:w="1229"/>
        <w:gridCol w:w="1190"/>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666"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bookmarkStart w:id="1375" w:name="_Toc217446089"/>
            <w:r>
              <w:rPr>
                <w:rFonts w:hint="eastAsia" w:ascii="宋体" w:hAnsi="宋体" w:eastAsia="宋体" w:cs="宋体"/>
                <w:color w:val="auto"/>
                <w:sz w:val="21"/>
                <w:szCs w:val="21"/>
                <w:highlight w:val="none"/>
              </w:rPr>
              <w:t>供应商名称</w:t>
            </w:r>
          </w:p>
        </w:tc>
        <w:tc>
          <w:tcPr>
            <w:tcW w:w="6757" w:type="dxa"/>
            <w:gridSpan w:val="7"/>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666"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注册地址</w:t>
            </w:r>
          </w:p>
        </w:tc>
        <w:tc>
          <w:tcPr>
            <w:tcW w:w="3450" w:type="dxa"/>
            <w:gridSpan w:val="4"/>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p>
        </w:tc>
        <w:tc>
          <w:tcPr>
            <w:tcW w:w="1229"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2078" w:type="dxa"/>
            <w:gridSpan w:val="2"/>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666" w:type="dxa"/>
            <w:vMerge w:val="restart"/>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联系方式</w:t>
            </w:r>
          </w:p>
        </w:tc>
        <w:tc>
          <w:tcPr>
            <w:tcW w:w="1110" w:type="dxa"/>
            <w:gridSpan w:val="2"/>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p>
        </w:tc>
        <w:tc>
          <w:tcPr>
            <w:tcW w:w="2340" w:type="dxa"/>
            <w:gridSpan w:val="2"/>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p>
        </w:tc>
        <w:tc>
          <w:tcPr>
            <w:tcW w:w="1229"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w:t>
            </w:r>
          </w:p>
        </w:tc>
        <w:tc>
          <w:tcPr>
            <w:tcW w:w="2078" w:type="dxa"/>
            <w:gridSpan w:val="2"/>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666" w:type="dxa"/>
            <w:vMerge w:val="continue"/>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p>
        </w:tc>
        <w:tc>
          <w:tcPr>
            <w:tcW w:w="1110" w:type="dxa"/>
            <w:gridSpan w:val="2"/>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p>
        </w:tc>
        <w:tc>
          <w:tcPr>
            <w:tcW w:w="2340" w:type="dxa"/>
            <w:gridSpan w:val="2"/>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p>
        </w:tc>
        <w:tc>
          <w:tcPr>
            <w:tcW w:w="1229"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网址</w:t>
            </w:r>
          </w:p>
        </w:tc>
        <w:tc>
          <w:tcPr>
            <w:tcW w:w="2078" w:type="dxa"/>
            <w:gridSpan w:val="2"/>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666"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组织结构</w:t>
            </w:r>
          </w:p>
        </w:tc>
        <w:tc>
          <w:tcPr>
            <w:tcW w:w="6757" w:type="dxa"/>
            <w:gridSpan w:val="7"/>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666"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法定代表人/单位负责人</w:t>
            </w:r>
          </w:p>
        </w:tc>
        <w:tc>
          <w:tcPr>
            <w:tcW w:w="839"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148" w:type="dxa"/>
            <w:gridSpan w:val="2"/>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p>
        </w:tc>
        <w:tc>
          <w:tcPr>
            <w:tcW w:w="1463"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技术职称</w:t>
            </w:r>
          </w:p>
        </w:tc>
        <w:tc>
          <w:tcPr>
            <w:tcW w:w="1229"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p>
        </w:tc>
        <w:tc>
          <w:tcPr>
            <w:tcW w:w="1190"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w:t>
            </w:r>
          </w:p>
        </w:tc>
        <w:tc>
          <w:tcPr>
            <w:tcW w:w="888" w:type="dxa"/>
            <w:noWrap w:val="0"/>
            <w:vAlign w:val="center"/>
          </w:tcPr>
          <w:p>
            <w:pPr>
              <w:autoSpaceDE w:val="0"/>
              <w:autoSpaceDN w:val="0"/>
              <w:adjustRightInd w:val="0"/>
              <w:spacing w:line="400" w:lineRule="exact"/>
              <w:jc w:val="center"/>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666"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技术负责人</w:t>
            </w:r>
          </w:p>
        </w:tc>
        <w:tc>
          <w:tcPr>
            <w:tcW w:w="839"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148" w:type="dxa"/>
            <w:gridSpan w:val="2"/>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p>
        </w:tc>
        <w:tc>
          <w:tcPr>
            <w:tcW w:w="1463"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技术职称</w:t>
            </w:r>
          </w:p>
        </w:tc>
        <w:tc>
          <w:tcPr>
            <w:tcW w:w="1229"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p>
        </w:tc>
        <w:tc>
          <w:tcPr>
            <w:tcW w:w="1190"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w:t>
            </w:r>
          </w:p>
        </w:tc>
        <w:tc>
          <w:tcPr>
            <w:tcW w:w="888" w:type="dxa"/>
            <w:noWrap w:val="0"/>
            <w:vAlign w:val="center"/>
          </w:tcPr>
          <w:p>
            <w:pPr>
              <w:autoSpaceDE w:val="0"/>
              <w:autoSpaceDN w:val="0"/>
              <w:adjustRightInd w:val="0"/>
              <w:spacing w:line="400" w:lineRule="exact"/>
              <w:jc w:val="center"/>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666"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成立时间</w:t>
            </w:r>
          </w:p>
        </w:tc>
        <w:tc>
          <w:tcPr>
            <w:tcW w:w="1987" w:type="dxa"/>
            <w:gridSpan w:val="3"/>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p>
        </w:tc>
        <w:tc>
          <w:tcPr>
            <w:tcW w:w="1463" w:type="dxa"/>
            <w:noWrap w:val="0"/>
            <w:vAlign w:val="center"/>
          </w:tcPr>
          <w:p>
            <w:pPr>
              <w:autoSpaceDE w:val="0"/>
              <w:autoSpaceDN w:val="0"/>
              <w:adjustRightInd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员工总人数</w:t>
            </w:r>
          </w:p>
        </w:tc>
        <w:tc>
          <w:tcPr>
            <w:tcW w:w="3307" w:type="dxa"/>
            <w:gridSpan w:val="3"/>
            <w:noWrap w:val="0"/>
            <w:vAlign w:val="center"/>
          </w:tcPr>
          <w:p>
            <w:pPr>
              <w:autoSpaceDE w:val="0"/>
              <w:autoSpaceDN w:val="0"/>
              <w:adjustRightInd w:val="0"/>
              <w:spacing w:line="40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666"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企业资质等级</w:t>
            </w:r>
          </w:p>
        </w:tc>
        <w:tc>
          <w:tcPr>
            <w:tcW w:w="6757" w:type="dxa"/>
            <w:gridSpan w:val="7"/>
            <w:noWrap w:val="0"/>
            <w:vAlign w:val="center"/>
          </w:tcPr>
          <w:p>
            <w:pPr>
              <w:autoSpaceDE w:val="0"/>
              <w:autoSpaceDN w:val="0"/>
              <w:adjustRightInd w:val="0"/>
              <w:spacing w:line="400" w:lineRule="exact"/>
              <w:jc w:val="center"/>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666"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营业执照号</w:t>
            </w:r>
          </w:p>
        </w:tc>
        <w:tc>
          <w:tcPr>
            <w:tcW w:w="6757" w:type="dxa"/>
            <w:gridSpan w:val="7"/>
            <w:noWrap w:val="0"/>
            <w:vAlign w:val="center"/>
          </w:tcPr>
          <w:p>
            <w:pPr>
              <w:autoSpaceDE w:val="0"/>
              <w:autoSpaceDN w:val="0"/>
              <w:adjustRightInd w:val="0"/>
              <w:spacing w:line="400" w:lineRule="exact"/>
              <w:jc w:val="center"/>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666"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注册资金</w:t>
            </w:r>
          </w:p>
        </w:tc>
        <w:tc>
          <w:tcPr>
            <w:tcW w:w="6757" w:type="dxa"/>
            <w:gridSpan w:val="7"/>
            <w:noWrap w:val="0"/>
            <w:vAlign w:val="center"/>
          </w:tcPr>
          <w:p>
            <w:pPr>
              <w:autoSpaceDE w:val="0"/>
              <w:autoSpaceDN w:val="0"/>
              <w:adjustRightInd w:val="0"/>
              <w:spacing w:line="400" w:lineRule="exact"/>
              <w:jc w:val="center"/>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666"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6757" w:type="dxa"/>
            <w:gridSpan w:val="7"/>
            <w:noWrap w:val="0"/>
            <w:vAlign w:val="center"/>
          </w:tcPr>
          <w:p>
            <w:pPr>
              <w:autoSpaceDE w:val="0"/>
              <w:autoSpaceDN w:val="0"/>
              <w:adjustRightInd w:val="0"/>
              <w:spacing w:line="400" w:lineRule="exact"/>
              <w:jc w:val="center"/>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666"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账号</w:t>
            </w:r>
          </w:p>
        </w:tc>
        <w:tc>
          <w:tcPr>
            <w:tcW w:w="6757" w:type="dxa"/>
            <w:gridSpan w:val="7"/>
            <w:noWrap w:val="0"/>
            <w:vAlign w:val="center"/>
          </w:tcPr>
          <w:p>
            <w:pPr>
              <w:autoSpaceDE w:val="0"/>
              <w:autoSpaceDN w:val="0"/>
              <w:adjustRightInd w:val="0"/>
              <w:spacing w:line="400" w:lineRule="exact"/>
              <w:jc w:val="center"/>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2" w:hRule="atLeast"/>
        </w:trPr>
        <w:tc>
          <w:tcPr>
            <w:tcW w:w="1666" w:type="dxa"/>
            <w:noWrap w:val="0"/>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经营范围</w:t>
            </w:r>
          </w:p>
        </w:tc>
        <w:tc>
          <w:tcPr>
            <w:tcW w:w="6757" w:type="dxa"/>
            <w:gridSpan w:val="7"/>
            <w:noWrap w:val="0"/>
            <w:vAlign w:val="center"/>
          </w:tcPr>
          <w:p>
            <w:pPr>
              <w:autoSpaceDE w:val="0"/>
              <w:autoSpaceDN w:val="0"/>
              <w:adjustRightInd w:val="0"/>
              <w:spacing w:line="400" w:lineRule="exact"/>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666" w:type="dxa"/>
            <w:noWrap w:val="0"/>
            <w:vAlign w:val="top"/>
          </w:tcPr>
          <w:p>
            <w:pPr>
              <w:autoSpaceDE w:val="0"/>
              <w:autoSpaceDN w:val="0"/>
              <w:adjustRightIn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6757" w:type="dxa"/>
            <w:gridSpan w:val="7"/>
            <w:noWrap w:val="0"/>
            <w:vAlign w:val="top"/>
          </w:tcPr>
          <w:p>
            <w:pPr>
              <w:autoSpaceDE w:val="0"/>
              <w:autoSpaceDN w:val="0"/>
              <w:adjustRightInd w:val="0"/>
              <w:spacing w:line="400" w:lineRule="exact"/>
              <w:jc w:val="left"/>
              <w:rPr>
                <w:rFonts w:hint="eastAsia" w:ascii="宋体" w:hAnsi="宋体" w:eastAsia="宋体" w:cs="宋体"/>
                <w:color w:val="auto"/>
                <w:sz w:val="21"/>
                <w:szCs w:val="21"/>
                <w:highlight w:val="none"/>
              </w:rPr>
            </w:pPr>
          </w:p>
        </w:tc>
      </w:tr>
    </w:tbl>
    <w:p>
      <w:pPr>
        <w:ind w:left="702"/>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注：投标人根据自身实际情况填写，对不涉及的内容可填写“/”。</w:t>
      </w:r>
    </w:p>
    <w:p>
      <w:pPr>
        <w:adjustRightInd w:val="0"/>
        <w:ind w:firstLine="480" w:firstLineChars="200"/>
        <w:jc w:val="left"/>
        <w:rPr>
          <w:rFonts w:hint="eastAsia" w:ascii="宋体" w:hAnsi="宋体" w:eastAsia="宋体" w:cs="宋体"/>
          <w:color w:val="auto"/>
          <w:sz w:val="24"/>
          <w:highlight w:val="none"/>
        </w:rPr>
      </w:pP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投标人单位名称：</w:t>
      </w:r>
      <w:r>
        <w:rPr>
          <w:rFonts w:hint="eastAsia" w:ascii="宋体" w:hAnsi="宋体" w:eastAsia="宋体" w:cs="宋体"/>
          <w:color w:val="auto"/>
          <w:sz w:val="24"/>
          <w:szCs w:val="22"/>
          <w:highlight w:val="none"/>
          <w:u w:val="single"/>
        </w:rPr>
        <w:t xml:space="preserve">       （电子印章）   </w:t>
      </w:r>
      <w:r>
        <w:rPr>
          <w:rFonts w:hint="eastAsia" w:ascii="宋体" w:hAnsi="宋体" w:eastAsia="宋体" w:cs="宋体"/>
          <w:color w:val="auto"/>
          <w:sz w:val="24"/>
          <w:szCs w:val="22"/>
          <w:highlight w:val="none"/>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投标日期：</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日</w:t>
      </w:r>
    </w:p>
    <w:p>
      <w:pPr>
        <w:widowControl/>
        <w:spacing w:line="360" w:lineRule="auto"/>
        <w:jc w:val="left"/>
        <w:outlineLvl w:val="1"/>
        <w:rPr>
          <w:rFonts w:hint="eastAsia" w:ascii="宋体" w:hAnsi="宋体" w:eastAsia="宋体" w:cs="宋体"/>
          <w:color w:val="auto"/>
          <w:sz w:val="24"/>
          <w:highlight w:val="none"/>
        </w:rPr>
      </w:pPr>
    </w:p>
    <w:p>
      <w:pPr>
        <w:pStyle w:val="20"/>
        <w:ind w:left="680"/>
        <w:rPr>
          <w:rFonts w:hint="eastAsia" w:ascii="宋体" w:hAnsi="宋体" w:eastAsia="宋体" w:cs="宋体"/>
          <w:color w:val="auto"/>
          <w:highlight w:val="none"/>
        </w:rPr>
      </w:pPr>
    </w:p>
    <w:bookmarkEnd w:id="1375"/>
    <w:p>
      <w:pPr>
        <w:pStyle w:val="4"/>
        <w:spacing w:line="400" w:lineRule="exact"/>
        <w:jc w:val="both"/>
        <w:rPr>
          <w:rFonts w:hint="eastAsia" w:ascii="宋体" w:hAnsi="宋体" w:eastAsia="宋体" w:cs="宋体"/>
          <w:b/>
          <w:bCs/>
          <w:color w:val="auto"/>
          <w:highlight w:val="none"/>
          <w:lang w:val="en-US" w:eastAsia="zh-CN"/>
        </w:rPr>
      </w:pPr>
      <w:bookmarkStart w:id="1376" w:name="_Toc19367"/>
      <w:bookmarkStart w:id="1377" w:name="_Toc9148"/>
      <w:bookmarkStart w:id="1378" w:name="_Toc28518"/>
      <w:bookmarkStart w:id="1379" w:name="_Toc14514"/>
      <w:bookmarkStart w:id="1380" w:name="_Toc31641"/>
      <w:bookmarkStart w:id="1381" w:name="_Toc12040_WPSOffice_Level3"/>
      <w:bookmarkStart w:id="1382" w:name="_Toc8751"/>
      <w:bookmarkStart w:id="1383" w:name="_Toc26773"/>
      <w:bookmarkStart w:id="1384" w:name="_Toc11436"/>
      <w:bookmarkStart w:id="1385" w:name="_Toc28985"/>
      <w:bookmarkStart w:id="1386" w:name="_Toc4940_WPSOffice_Level3"/>
      <w:bookmarkStart w:id="1387" w:name="_Toc8646"/>
      <w:bookmarkStart w:id="1388" w:name="_Toc30811"/>
      <w:r>
        <w:rPr>
          <w:rFonts w:hint="eastAsia" w:ascii="宋体" w:hAnsi="宋体" w:eastAsia="宋体" w:cs="宋体"/>
          <w:b/>
          <w:bCs/>
          <w:color w:val="auto"/>
          <w:highlight w:val="none"/>
          <w:lang w:val="en-US" w:eastAsia="zh-CN"/>
        </w:rPr>
        <w:t>格式2-</w:t>
      </w:r>
      <w:bookmarkEnd w:id="1376"/>
      <w:r>
        <w:rPr>
          <w:rFonts w:hint="eastAsia" w:ascii="宋体" w:hAnsi="宋体" w:eastAsia="宋体" w:cs="宋体"/>
          <w:b/>
          <w:bCs/>
          <w:color w:val="auto"/>
          <w:highlight w:val="none"/>
          <w:lang w:val="en-US" w:eastAsia="zh-CN"/>
        </w:rPr>
        <w:t>1</w:t>
      </w:r>
      <w:bookmarkEnd w:id="1377"/>
      <w:r>
        <w:rPr>
          <w:rFonts w:hint="eastAsia" w:ascii="宋体" w:hAnsi="宋体" w:eastAsia="宋体" w:cs="宋体"/>
          <w:b/>
          <w:bCs/>
          <w:color w:val="auto"/>
          <w:highlight w:val="none"/>
          <w:lang w:val="en-US" w:eastAsia="zh-CN"/>
        </w:rPr>
        <w:t>1</w:t>
      </w:r>
      <w:bookmarkEnd w:id="1378"/>
    </w:p>
    <w:p>
      <w:pPr>
        <w:pStyle w:val="4"/>
        <w:spacing w:line="400" w:lineRule="exact"/>
        <w:jc w:val="center"/>
        <w:rPr>
          <w:rFonts w:hint="eastAsia" w:ascii="宋体" w:hAnsi="宋体" w:eastAsia="宋体" w:cs="宋体"/>
          <w:color w:val="auto"/>
          <w:sz w:val="24"/>
          <w:highlight w:val="none"/>
        </w:rPr>
      </w:pPr>
      <w:bookmarkStart w:id="1389" w:name="_Toc19643"/>
      <w:bookmarkStart w:id="1390" w:name="_Toc12837"/>
      <w:bookmarkStart w:id="1391" w:name="_Toc27989"/>
      <w:r>
        <w:rPr>
          <w:rFonts w:hint="eastAsia" w:ascii="宋体" w:hAnsi="宋体" w:eastAsia="宋体" w:cs="宋体"/>
          <w:color w:val="auto"/>
          <w:highlight w:val="none"/>
        </w:rPr>
        <w:t>供应商拟投入本项目人员情况表</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249"/>
        <w:gridCol w:w="807"/>
        <w:gridCol w:w="705"/>
        <w:gridCol w:w="909"/>
        <w:gridCol w:w="1236"/>
        <w:gridCol w:w="855"/>
        <w:gridCol w:w="825"/>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71" w:type="dxa"/>
            <w:vMerge w:val="restart"/>
            <w:noWrap w:val="0"/>
            <w:vAlign w:val="center"/>
          </w:tcPr>
          <w:p>
            <w:pPr>
              <w:widowControl/>
              <w:spacing w:line="360" w:lineRule="atLeast"/>
              <w:jc w:val="center"/>
              <w:outlineLvl w:val="1"/>
              <w:rPr>
                <w:rFonts w:hint="eastAsia" w:ascii="宋体" w:hAnsi="宋体" w:eastAsia="宋体" w:cs="宋体"/>
                <w:color w:val="auto"/>
                <w:sz w:val="21"/>
                <w:szCs w:val="21"/>
                <w:highlight w:val="none"/>
              </w:rPr>
            </w:pPr>
            <w:bookmarkStart w:id="1392" w:name="_Toc30757"/>
            <w:bookmarkStart w:id="1393" w:name="_Toc30398"/>
            <w:bookmarkStart w:id="1394" w:name="_Toc30910"/>
            <w:bookmarkStart w:id="1395" w:name="_Toc27036"/>
            <w:bookmarkStart w:id="1396" w:name="_Toc9615"/>
            <w:bookmarkStart w:id="1397" w:name="_Toc12569"/>
            <w:bookmarkStart w:id="1398" w:name="_Toc19244"/>
            <w:bookmarkStart w:id="1399" w:name="_Toc6347"/>
            <w:bookmarkStart w:id="1400" w:name="_Toc24154"/>
            <w:bookmarkStart w:id="1401" w:name="_Toc24787"/>
            <w:bookmarkStart w:id="1402" w:name="_Toc10548"/>
            <w:bookmarkStart w:id="1403" w:name="_Toc2521"/>
            <w:bookmarkStart w:id="1404" w:name="_Toc26660"/>
            <w:bookmarkStart w:id="1405" w:name="_Toc3969"/>
            <w:r>
              <w:rPr>
                <w:rFonts w:hint="eastAsia" w:ascii="宋体" w:hAnsi="宋体" w:eastAsia="宋体" w:cs="宋体"/>
                <w:color w:val="auto"/>
                <w:sz w:val="21"/>
                <w:szCs w:val="21"/>
                <w:highlight w:val="none"/>
              </w:rPr>
              <w:t>类别</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tc>
        <w:tc>
          <w:tcPr>
            <w:tcW w:w="1249" w:type="dxa"/>
            <w:vMerge w:val="restart"/>
            <w:noWrap w:val="0"/>
            <w:vAlign w:val="center"/>
          </w:tcPr>
          <w:p>
            <w:pPr>
              <w:widowControl/>
              <w:spacing w:line="360" w:lineRule="atLeast"/>
              <w:jc w:val="center"/>
              <w:outlineLvl w:val="1"/>
              <w:rPr>
                <w:rFonts w:hint="eastAsia" w:ascii="宋体" w:hAnsi="宋体" w:eastAsia="宋体" w:cs="宋体"/>
                <w:color w:val="auto"/>
                <w:sz w:val="21"/>
                <w:szCs w:val="21"/>
                <w:highlight w:val="none"/>
              </w:rPr>
            </w:pPr>
            <w:bookmarkStart w:id="1406" w:name="_Toc19959"/>
            <w:bookmarkStart w:id="1407" w:name="_Toc24642"/>
            <w:bookmarkStart w:id="1408" w:name="_Toc16720"/>
            <w:bookmarkStart w:id="1409" w:name="_Toc31785"/>
            <w:bookmarkStart w:id="1410" w:name="_Toc29934"/>
            <w:bookmarkStart w:id="1411" w:name="_Toc5395"/>
            <w:bookmarkStart w:id="1412" w:name="_Toc17457"/>
            <w:bookmarkStart w:id="1413" w:name="_Toc28386"/>
            <w:bookmarkStart w:id="1414" w:name="_Toc25670"/>
            <w:bookmarkStart w:id="1415" w:name="_Toc11031"/>
            <w:bookmarkStart w:id="1416" w:name="_Toc10098"/>
            <w:bookmarkStart w:id="1417" w:name="_Toc4353"/>
            <w:bookmarkStart w:id="1418" w:name="_Toc22188"/>
            <w:bookmarkStart w:id="1419" w:name="_Toc1731"/>
            <w:r>
              <w:rPr>
                <w:rFonts w:hint="eastAsia" w:ascii="宋体" w:hAnsi="宋体" w:eastAsia="宋体" w:cs="宋体"/>
                <w:color w:val="auto"/>
                <w:sz w:val="21"/>
                <w:szCs w:val="21"/>
                <w:highlight w:val="none"/>
              </w:rPr>
              <w:t>职务</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tc>
        <w:tc>
          <w:tcPr>
            <w:tcW w:w="807" w:type="dxa"/>
            <w:vMerge w:val="restart"/>
            <w:noWrap w:val="0"/>
            <w:vAlign w:val="center"/>
          </w:tcPr>
          <w:p>
            <w:pPr>
              <w:widowControl/>
              <w:spacing w:line="360" w:lineRule="atLeast"/>
              <w:jc w:val="center"/>
              <w:outlineLvl w:val="1"/>
              <w:rPr>
                <w:rFonts w:hint="eastAsia" w:ascii="宋体" w:hAnsi="宋体" w:eastAsia="宋体" w:cs="宋体"/>
                <w:color w:val="auto"/>
                <w:sz w:val="21"/>
                <w:szCs w:val="21"/>
                <w:highlight w:val="none"/>
              </w:rPr>
            </w:pPr>
            <w:bookmarkStart w:id="1420" w:name="_Toc27269"/>
            <w:bookmarkStart w:id="1421" w:name="_Toc24062"/>
            <w:bookmarkStart w:id="1422" w:name="_Toc12270"/>
            <w:bookmarkStart w:id="1423" w:name="_Toc14011"/>
            <w:bookmarkStart w:id="1424" w:name="_Toc5188"/>
            <w:bookmarkStart w:id="1425" w:name="_Toc29475"/>
            <w:bookmarkStart w:id="1426" w:name="_Toc9536"/>
            <w:bookmarkStart w:id="1427" w:name="_Toc4743"/>
            <w:bookmarkStart w:id="1428" w:name="_Toc32459"/>
            <w:bookmarkStart w:id="1429" w:name="_Toc19310"/>
            <w:bookmarkStart w:id="1430" w:name="_Toc25596"/>
            <w:bookmarkStart w:id="1431" w:name="_Toc5559"/>
            <w:bookmarkStart w:id="1432" w:name="_Toc30031"/>
            <w:bookmarkStart w:id="1433" w:name="_Toc16748"/>
            <w:r>
              <w:rPr>
                <w:rFonts w:hint="eastAsia" w:ascii="宋体" w:hAnsi="宋体" w:eastAsia="宋体" w:cs="宋体"/>
                <w:color w:val="auto"/>
                <w:sz w:val="21"/>
                <w:szCs w:val="21"/>
                <w:highlight w:val="none"/>
              </w:rPr>
              <w:t>姓名</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tc>
        <w:tc>
          <w:tcPr>
            <w:tcW w:w="705" w:type="dxa"/>
            <w:vMerge w:val="restart"/>
            <w:noWrap w:val="0"/>
            <w:vAlign w:val="center"/>
          </w:tcPr>
          <w:p>
            <w:pPr>
              <w:widowControl/>
              <w:spacing w:line="360" w:lineRule="atLeast"/>
              <w:jc w:val="center"/>
              <w:outlineLvl w:val="1"/>
              <w:rPr>
                <w:rFonts w:hint="eastAsia" w:ascii="宋体" w:hAnsi="宋体" w:eastAsia="宋体" w:cs="宋体"/>
                <w:color w:val="auto"/>
                <w:sz w:val="21"/>
                <w:szCs w:val="21"/>
                <w:highlight w:val="none"/>
              </w:rPr>
            </w:pPr>
            <w:bookmarkStart w:id="1434" w:name="_Toc9606"/>
            <w:bookmarkStart w:id="1435" w:name="_Toc32710"/>
            <w:bookmarkStart w:id="1436" w:name="_Toc17641"/>
            <w:bookmarkStart w:id="1437" w:name="_Toc27935"/>
            <w:bookmarkStart w:id="1438" w:name="_Toc26277"/>
            <w:bookmarkStart w:id="1439" w:name="_Toc10912"/>
            <w:bookmarkStart w:id="1440" w:name="_Toc27573"/>
            <w:bookmarkStart w:id="1441" w:name="_Toc26430"/>
            <w:bookmarkStart w:id="1442" w:name="_Toc41"/>
            <w:bookmarkStart w:id="1443" w:name="_Toc3617"/>
            <w:bookmarkStart w:id="1444" w:name="_Toc2381"/>
            <w:bookmarkStart w:id="1445" w:name="_Toc25117"/>
            <w:bookmarkStart w:id="1446" w:name="_Toc32384"/>
            <w:bookmarkStart w:id="1447" w:name="_Toc20004"/>
            <w:r>
              <w:rPr>
                <w:rFonts w:hint="eastAsia" w:ascii="宋体" w:hAnsi="宋体" w:eastAsia="宋体" w:cs="宋体"/>
                <w:color w:val="auto"/>
                <w:sz w:val="21"/>
                <w:szCs w:val="21"/>
                <w:highlight w:val="none"/>
              </w:rPr>
              <w:t>职称</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tc>
        <w:tc>
          <w:tcPr>
            <w:tcW w:w="909" w:type="dxa"/>
            <w:vMerge w:val="restart"/>
            <w:noWrap w:val="0"/>
            <w:vAlign w:val="center"/>
          </w:tcPr>
          <w:p>
            <w:pPr>
              <w:widowControl/>
              <w:spacing w:line="360" w:lineRule="atLeast"/>
              <w:jc w:val="center"/>
              <w:outlineLvl w:val="1"/>
              <w:rPr>
                <w:rFonts w:hint="eastAsia" w:ascii="宋体" w:hAnsi="宋体" w:eastAsia="宋体" w:cs="宋体"/>
                <w:color w:val="auto"/>
                <w:sz w:val="21"/>
                <w:szCs w:val="21"/>
                <w:highlight w:val="none"/>
              </w:rPr>
            </w:pPr>
            <w:bookmarkStart w:id="1448" w:name="_Toc27097"/>
            <w:bookmarkStart w:id="1449" w:name="_Toc8055"/>
            <w:bookmarkStart w:id="1450" w:name="_Toc24958"/>
            <w:bookmarkStart w:id="1451" w:name="_Toc31949"/>
            <w:bookmarkStart w:id="1452" w:name="_Toc15130"/>
            <w:bookmarkStart w:id="1453" w:name="_Toc2927"/>
            <w:bookmarkStart w:id="1454" w:name="_Toc16745"/>
            <w:bookmarkStart w:id="1455" w:name="_Toc8380"/>
            <w:bookmarkStart w:id="1456" w:name="_Toc14697"/>
            <w:bookmarkStart w:id="1457" w:name="_Toc15197"/>
            <w:bookmarkStart w:id="1458" w:name="_Toc16608"/>
            <w:bookmarkStart w:id="1459" w:name="_Toc16376"/>
            <w:bookmarkStart w:id="1460" w:name="_Toc7097"/>
            <w:bookmarkStart w:id="1461" w:name="_Toc22501"/>
            <w:r>
              <w:rPr>
                <w:rFonts w:hint="eastAsia" w:ascii="宋体" w:hAnsi="宋体" w:eastAsia="宋体" w:cs="宋体"/>
                <w:color w:val="auto"/>
                <w:sz w:val="21"/>
                <w:szCs w:val="21"/>
                <w:highlight w:val="none"/>
              </w:rPr>
              <w:t>常住地</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tc>
        <w:tc>
          <w:tcPr>
            <w:tcW w:w="3713" w:type="dxa"/>
            <w:gridSpan w:val="4"/>
            <w:noWrap w:val="0"/>
            <w:vAlign w:val="center"/>
          </w:tcPr>
          <w:p>
            <w:pPr>
              <w:widowControl/>
              <w:spacing w:line="360" w:lineRule="atLeast"/>
              <w:ind w:firstLine="411" w:firstLineChars="196"/>
              <w:jc w:val="center"/>
              <w:outlineLvl w:val="1"/>
              <w:rPr>
                <w:rFonts w:hint="eastAsia" w:ascii="宋体" w:hAnsi="宋体" w:eastAsia="宋体" w:cs="宋体"/>
                <w:color w:val="auto"/>
                <w:sz w:val="21"/>
                <w:szCs w:val="21"/>
                <w:highlight w:val="none"/>
              </w:rPr>
            </w:pPr>
            <w:bookmarkStart w:id="1462" w:name="_Toc21130"/>
            <w:bookmarkStart w:id="1463" w:name="_Toc17136"/>
            <w:bookmarkStart w:id="1464" w:name="_Toc31224"/>
            <w:bookmarkStart w:id="1465" w:name="_Toc25288"/>
            <w:bookmarkStart w:id="1466" w:name="_Toc16443"/>
            <w:bookmarkStart w:id="1467" w:name="_Toc24752"/>
            <w:bookmarkStart w:id="1468" w:name="_Toc27782"/>
            <w:bookmarkStart w:id="1469" w:name="_Toc6087"/>
            <w:bookmarkStart w:id="1470" w:name="_Toc1118"/>
            <w:bookmarkStart w:id="1471" w:name="_Toc23065"/>
            <w:bookmarkStart w:id="1472" w:name="_Toc6237"/>
            <w:bookmarkStart w:id="1473" w:name="_Toc17851"/>
            <w:bookmarkStart w:id="1474" w:name="_Toc20083"/>
            <w:bookmarkStart w:id="1475" w:name="_Toc10687"/>
            <w:r>
              <w:rPr>
                <w:rFonts w:hint="eastAsia" w:ascii="宋体" w:hAnsi="宋体" w:eastAsia="宋体" w:cs="宋体"/>
                <w:color w:val="auto"/>
                <w:sz w:val="21"/>
                <w:szCs w:val="21"/>
                <w:highlight w:val="none"/>
              </w:rPr>
              <w:t>资格证明（附复印件）</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71" w:type="dxa"/>
            <w:vMerge w:val="continue"/>
            <w:noWrap w:val="0"/>
            <w:vAlign w:val="center"/>
          </w:tcPr>
          <w:p>
            <w:pPr>
              <w:jc w:val="center"/>
              <w:rPr>
                <w:rFonts w:hint="eastAsia" w:ascii="宋体" w:hAnsi="宋体" w:eastAsia="宋体" w:cs="宋体"/>
                <w:color w:val="auto"/>
                <w:sz w:val="21"/>
                <w:szCs w:val="21"/>
                <w:highlight w:val="none"/>
              </w:rPr>
            </w:pPr>
          </w:p>
        </w:tc>
        <w:tc>
          <w:tcPr>
            <w:tcW w:w="1249" w:type="dxa"/>
            <w:vMerge w:val="continue"/>
            <w:noWrap w:val="0"/>
            <w:vAlign w:val="center"/>
          </w:tcPr>
          <w:p>
            <w:pPr>
              <w:jc w:val="center"/>
              <w:rPr>
                <w:rFonts w:hint="eastAsia" w:ascii="宋体" w:hAnsi="宋体" w:eastAsia="宋体" w:cs="宋体"/>
                <w:color w:val="auto"/>
                <w:sz w:val="21"/>
                <w:szCs w:val="21"/>
                <w:highlight w:val="none"/>
              </w:rPr>
            </w:pPr>
          </w:p>
        </w:tc>
        <w:tc>
          <w:tcPr>
            <w:tcW w:w="807" w:type="dxa"/>
            <w:vMerge w:val="continue"/>
            <w:noWrap w:val="0"/>
            <w:vAlign w:val="center"/>
          </w:tcPr>
          <w:p>
            <w:pPr>
              <w:jc w:val="center"/>
              <w:rPr>
                <w:rFonts w:hint="eastAsia" w:ascii="宋体" w:hAnsi="宋体" w:eastAsia="宋体" w:cs="宋体"/>
                <w:color w:val="auto"/>
                <w:sz w:val="21"/>
                <w:szCs w:val="21"/>
                <w:highlight w:val="none"/>
              </w:rPr>
            </w:pPr>
          </w:p>
        </w:tc>
        <w:tc>
          <w:tcPr>
            <w:tcW w:w="705" w:type="dxa"/>
            <w:vMerge w:val="continue"/>
            <w:noWrap w:val="0"/>
            <w:vAlign w:val="center"/>
          </w:tcPr>
          <w:p>
            <w:pPr>
              <w:jc w:val="center"/>
              <w:rPr>
                <w:rFonts w:hint="eastAsia" w:ascii="宋体" w:hAnsi="宋体" w:eastAsia="宋体" w:cs="宋体"/>
                <w:color w:val="auto"/>
                <w:sz w:val="21"/>
                <w:szCs w:val="21"/>
                <w:highlight w:val="none"/>
              </w:rPr>
            </w:pPr>
          </w:p>
        </w:tc>
        <w:tc>
          <w:tcPr>
            <w:tcW w:w="909" w:type="dxa"/>
            <w:vMerge w:val="continue"/>
            <w:noWrap w:val="0"/>
            <w:vAlign w:val="center"/>
          </w:tcPr>
          <w:p>
            <w:pPr>
              <w:jc w:val="center"/>
              <w:rPr>
                <w:rFonts w:hint="eastAsia" w:ascii="宋体" w:hAnsi="宋体" w:eastAsia="宋体" w:cs="宋体"/>
                <w:color w:val="auto"/>
                <w:sz w:val="21"/>
                <w:szCs w:val="21"/>
                <w:highlight w:val="none"/>
              </w:rPr>
            </w:pPr>
          </w:p>
        </w:tc>
        <w:tc>
          <w:tcPr>
            <w:tcW w:w="1236" w:type="dxa"/>
            <w:noWrap w:val="0"/>
            <w:vAlign w:val="center"/>
          </w:tcPr>
          <w:p>
            <w:pPr>
              <w:widowControl/>
              <w:spacing w:line="360" w:lineRule="atLeast"/>
              <w:jc w:val="center"/>
              <w:outlineLvl w:val="1"/>
              <w:rPr>
                <w:rFonts w:hint="eastAsia" w:ascii="宋体" w:hAnsi="宋体" w:eastAsia="宋体" w:cs="宋体"/>
                <w:color w:val="auto"/>
                <w:sz w:val="21"/>
                <w:szCs w:val="21"/>
                <w:highlight w:val="none"/>
              </w:rPr>
            </w:pPr>
            <w:bookmarkStart w:id="1476" w:name="_Toc6941"/>
            <w:bookmarkStart w:id="1477" w:name="_Toc15423"/>
            <w:bookmarkStart w:id="1478" w:name="_Toc8200"/>
            <w:bookmarkStart w:id="1479" w:name="_Toc15382"/>
            <w:bookmarkStart w:id="1480" w:name="_Toc11105"/>
            <w:bookmarkStart w:id="1481" w:name="_Toc15353"/>
            <w:bookmarkStart w:id="1482" w:name="_Toc22285"/>
            <w:bookmarkStart w:id="1483" w:name="_Toc26399"/>
            <w:bookmarkStart w:id="1484" w:name="_Toc18984"/>
            <w:bookmarkStart w:id="1485" w:name="_Toc15554"/>
            <w:bookmarkStart w:id="1486" w:name="_Toc24207"/>
            <w:bookmarkStart w:id="1487" w:name="_Toc474"/>
            <w:bookmarkStart w:id="1488" w:name="_Toc7618"/>
            <w:bookmarkStart w:id="1489" w:name="_Toc18497"/>
            <w:r>
              <w:rPr>
                <w:rFonts w:hint="eastAsia" w:ascii="宋体" w:hAnsi="宋体" w:eastAsia="宋体" w:cs="宋体"/>
                <w:color w:val="auto"/>
                <w:sz w:val="21"/>
                <w:szCs w:val="21"/>
                <w:highlight w:val="none"/>
              </w:rPr>
              <w:t>证书</w:t>
            </w:r>
            <w:bookmarkEnd w:id="1476"/>
            <w:bookmarkEnd w:id="1477"/>
            <w:bookmarkEnd w:id="1478"/>
            <w:bookmarkStart w:id="1490" w:name="_Toc30062"/>
            <w:bookmarkStart w:id="1491" w:name="_Toc26187"/>
            <w:bookmarkStart w:id="1492" w:name="_Toc24922"/>
            <w:r>
              <w:rPr>
                <w:rFonts w:hint="eastAsia" w:ascii="宋体" w:hAnsi="宋体" w:eastAsia="宋体" w:cs="宋体"/>
                <w:color w:val="auto"/>
                <w:sz w:val="21"/>
                <w:szCs w:val="21"/>
                <w:highlight w:val="none"/>
              </w:rPr>
              <w:t>名称</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tc>
        <w:tc>
          <w:tcPr>
            <w:tcW w:w="855" w:type="dxa"/>
            <w:noWrap w:val="0"/>
            <w:vAlign w:val="center"/>
          </w:tcPr>
          <w:p>
            <w:pPr>
              <w:widowControl/>
              <w:spacing w:line="360" w:lineRule="atLeast"/>
              <w:jc w:val="center"/>
              <w:outlineLvl w:val="1"/>
              <w:rPr>
                <w:rFonts w:hint="eastAsia" w:ascii="宋体" w:hAnsi="宋体" w:eastAsia="宋体" w:cs="宋体"/>
                <w:color w:val="auto"/>
                <w:sz w:val="21"/>
                <w:szCs w:val="21"/>
                <w:highlight w:val="none"/>
              </w:rPr>
            </w:pPr>
            <w:bookmarkStart w:id="1493" w:name="_Toc30842"/>
            <w:bookmarkStart w:id="1494" w:name="_Toc18247"/>
            <w:bookmarkStart w:id="1495" w:name="_Toc16187"/>
            <w:bookmarkStart w:id="1496" w:name="_Toc26360"/>
            <w:bookmarkStart w:id="1497" w:name="_Toc29907"/>
            <w:bookmarkStart w:id="1498" w:name="_Toc6631"/>
            <w:bookmarkStart w:id="1499" w:name="_Toc27544"/>
            <w:bookmarkStart w:id="1500" w:name="_Toc30445"/>
            <w:bookmarkStart w:id="1501" w:name="_Toc24273"/>
            <w:bookmarkStart w:id="1502" w:name="_Toc16990"/>
            <w:bookmarkStart w:id="1503" w:name="_Toc32308"/>
            <w:bookmarkStart w:id="1504" w:name="_Toc27257"/>
            <w:bookmarkStart w:id="1505" w:name="_Toc30148"/>
            <w:bookmarkStart w:id="1506" w:name="_Toc8559"/>
            <w:r>
              <w:rPr>
                <w:rFonts w:hint="eastAsia" w:ascii="宋体" w:hAnsi="宋体" w:eastAsia="宋体" w:cs="宋体"/>
                <w:color w:val="auto"/>
                <w:sz w:val="21"/>
                <w:szCs w:val="21"/>
                <w:highlight w:val="none"/>
              </w:rPr>
              <w:t>级别</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tc>
        <w:tc>
          <w:tcPr>
            <w:tcW w:w="825" w:type="dxa"/>
            <w:noWrap w:val="0"/>
            <w:vAlign w:val="center"/>
          </w:tcPr>
          <w:p>
            <w:pPr>
              <w:widowControl/>
              <w:spacing w:line="360" w:lineRule="atLeast"/>
              <w:jc w:val="center"/>
              <w:outlineLvl w:val="1"/>
              <w:rPr>
                <w:rFonts w:hint="eastAsia" w:ascii="宋体" w:hAnsi="宋体" w:eastAsia="宋体" w:cs="宋体"/>
                <w:color w:val="auto"/>
                <w:sz w:val="21"/>
                <w:szCs w:val="21"/>
                <w:highlight w:val="none"/>
              </w:rPr>
            </w:pPr>
            <w:bookmarkStart w:id="1507" w:name="_Toc8084"/>
            <w:bookmarkStart w:id="1508" w:name="_Toc17640"/>
            <w:bookmarkStart w:id="1509" w:name="_Toc8331"/>
            <w:bookmarkStart w:id="1510" w:name="_Toc29123"/>
            <w:bookmarkStart w:id="1511" w:name="_Toc25350"/>
            <w:bookmarkStart w:id="1512" w:name="_Toc13421"/>
            <w:bookmarkStart w:id="1513" w:name="_Toc3146"/>
            <w:bookmarkStart w:id="1514" w:name="_Toc4868"/>
            <w:bookmarkStart w:id="1515" w:name="_Toc30150"/>
            <w:bookmarkStart w:id="1516" w:name="_Toc32403"/>
            <w:bookmarkStart w:id="1517" w:name="_Toc4465"/>
            <w:bookmarkStart w:id="1518" w:name="_Toc8002"/>
            <w:bookmarkStart w:id="1519" w:name="_Toc29236"/>
            <w:bookmarkStart w:id="1520" w:name="_Toc19770"/>
            <w:r>
              <w:rPr>
                <w:rFonts w:hint="eastAsia" w:ascii="宋体" w:hAnsi="宋体" w:eastAsia="宋体" w:cs="宋体"/>
                <w:color w:val="auto"/>
                <w:sz w:val="21"/>
                <w:szCs w:val="21"/>
                <w:highlight w:val="none"/>
              </w:rPr>
              <w:t>证号</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tc>
        <w:tc>
          <w:tcPr>
            <w:tcW w:w="797" w:type="dxa"/>
            <w:noWrap w:val="0"/>
            <w:vAlign w:val="center"/>
          </w:tcPr>
          <w:p>
            <w:pPr>
              <w:widowControl/>
              <w:spacing w:line="360" w:lineRule="atLeast"/>
              <w:jc w:val="center"/>
              <w:outlineLvl w:val="1"/>
              <w:rPr>
                <w:rFonts w:hint="eastAsia" w:ascii="宋体" w:hAnsi="宋体" w:eastAsia="宋体" w:cs="宋体"/>
                <w:color w:val="auto"/>
                <w:sz w:val="21"/>
                <w:szCs w:val="21"/>
                <w:highlight w:val="none"/>
              </w:rPr>
            </w:pPr>
            <w:bookmarkStart w:id="1521" w:name="_Toc23147"/>
            <w:bookmarkStart w:id="1522" w:name="_Toc10954"/>
            <w:bookmarkStart w:id="1523" w:name="_Toc738"/>
            <w:bookmarkStart w:id="1524" w:name="_Toc18968"/>
            <w:bookmarkStart w:id="1525" w:name="_Toc6890"/>
            <w:bookmarkStart w:id="1526" w:name="_Toc22499"/>
            <w:bookmarkStart w:id="1527" w:name="_Toc5493"/>
            <w:bookmarkStart w:id="1528" w:name="_Toc12461"/>
            <w:bookmarkStart w:id="1529" w:name="_Toc25050"/>
            <w:bookmarkStart w:id="1530" w:name="_Toc7623"/>
            <w:bookmarkStart w:id="1531" w:name="_Toc31745"/>
            <w:bookmarkStart w:id="1532" w:name="_Toc17681"/>
            <w:bookmarkStart w:id="1533" w:name="_Toc9908"/>
            <w:bookmarkStart w:id="1534" w:name="_Toc15332"/>
            <w:r>
              <w:rPr>
                <w:rFonts w:hint="eastAsia" w:ascii="宋体" w:hAnsi="宋体" w:eastAsia="宋体" w:cs="宋体"/>
                <w:color w:val="auto"/>
                <w:sz w:val="21"/>
                <w:szCs w:val="21"/>
                <w:highlight w:val="none"/>
              </w:rPr>
              <w:t>专业</w:t>
            </w:r>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71" w:type="dxa"/>
            <w:vMerge w:val="restart"/>
            <w:noWrap w:val="0"/>
            <w:vAlign w:val="center"/>
          </w:tcPr>
          <w:p>
            <w:pPr>
              <w:widowControl/>
              <w:spacing w:line="360" w:lineRule="atLeast"/>
              <w:jc w:val="center"/>
              <w:outlineLvl w:val="1"/>
              <w:rPr>
                <w:rFonts w:hint="eastAsia" w:ascii="宋体" w:hAnsi="宋体" w:eastAsia="宋体" w:cs="宋体"/>
                <w:color w:val="auto"/>
                <w:sz w:val="21"/>
                <w:szCs w:val="21"/>
                <w:highlight w:val="none"/>
              </w:rPr>
            </w:pPr>
          </w:p>
        </w:tc>
        <w:tc>
          <w:tcPr>
            <w:tcW w:w="124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0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0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90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1236"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5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2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9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71" w:type="dxa"/>
            <w:vMerge w:val="continue"/>
            <w:noWrap w:val="0"/>
            <w:vAlign w:val="center"/>
          </w:tcPr>
          <w:p>
            <w:pPr>
              <w:jc w:val="center"/>
              <w:rPr>
                <w:rFonts w:hint="eastAsia" w:ascii="宋体" w:hAnsi="宋体" w:eastAsia="宋体" w:cs="宋体"/>
                <w:color w:val="auto"/>
                <w:sz w:val="21"/>
                <w:szCs w:val="21"/>
                <w:highlight w:val="none"/>
              </w:rPr>
            </w:pPr>
          </w:p>
        </w:tc>
        <w:tc>
          <w:tcPr>
            <w:tcW w:w="124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0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0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90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1236"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5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2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9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71" w:type="dxa"/>
            <w:vMerge w:val="continue"/>
            <w:noWrap w:val="0"/>
            <w:vAlign w:val="center"/>
          </w:tcPr>
          <w:p>
            <w:pPr>
              <w:jc w:val="center"/>
              <w:rPr>
                <w:rFonts w:hint="eastAsia" w:ascii="宋体" w:hAnsi="宋体" w:eastAsia="宋体" w:cs="宋体"/>
                <w:color w:val="auto"/>
                <w:sz w:val="21"/>
                <w:szCs w:val="21"/>
                <w:highlight w:val="none"/>
              </w:rPr>
            </w:pPr>
          </w:p>
        </w:tc>
        <w:tc>
          <w:tcPr>
            <w:tcW w:w="124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0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0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90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1236"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5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2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9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71" w:type="dxa"/>
            <w:vMerge w:val="continue"/>
            <w:noWrap w:val="0"/>
            <w:vAlign w:val="center"/>
          </w:tcPr>
          <w:p>
            <w:pPr>
              <w:jc w:val="center"/>
              <w:rPr>
                <w:rFonts w:hint="eastAsia" w:ascii="宋体" w:hAnsi="宋体" w:eastAsia="宋体" w:cs="宋体"/>
                <w:color w:val="auto"/>
                <w:sz w:val="21"/>
                <w:szCs w:val="21"/>
                <w:highlight w:val="none"/>
              </w:rPr>
            </w:pPr>
          </w:p>
        </w:tc>
        <w:tc>
          <w:tcPr>
            <w:tcW w:w="124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0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0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90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1236"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5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2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9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71" w:type="dxa"/>
            <w:vMerge w:val="restart"/>
            <w:noWrap w:val="0"/>
            <w:vAlign w:val="center"/>
          </w:tcPr>
          <w:p>
            <w:pPr>
              <w:widowControl/>
              <w:spacing w:line="360" w:lineRule="atLeast"/>
              <w:jc w:val="center"/>
              <w:outlineLvl w:val="1"/>
              <w:rPr>
                <w:rFonts w:hint="eastAsia" w:ascii="宋体" w:hAnsi="宋体" w:eastAsia="宋体" w:cs="宋体"/>
                <w:color w:val="auto"/>
                <w:sz w:val="21"/>
                <w:szCs w:val="21"/>
                <w:highlight w:val="none"/>
              </w:rPr>
            </w:pPr>
          </w:p>
        </w:tc>
        <w:tc>
          <w:tcPr>
            <w:tcW w:w="124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0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0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90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1236"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5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2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9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71" w:type="dxa"/>
            <w:vMerge w:val="continue"/>
            <w:noWrap w:val="0"/>
            <w:vAlign w:val="center"/>
          </w:tcPr>
          <w:p>
            <w:pPr>
              <w:jc w:val="center"/>
              <w:rPr>
                <w:rFonts w:hint="eastAsia" w:ascii="宋体" w:hAnsi="宋体" w:eastAsia="宋体" w:cs="宋体"/>
                <w:color w:val="auto"/>
                <w:sz w:val="21"/>
                <w:szCs w:val="21"/>
                <w:highlight w:val="none"/>
              </w:rPr>
            </w:pPr>
          </w:p>
        </w:tc>
        <w:tc>
          <w:tcPr>
            <w:tcW w:w="124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0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0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90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1236"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5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2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9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71" w:type="dxa"/>
            <w:vMerge w:val="continue"/>
            <w:noWrap w:val="0"/>
            <w:vAlign w:val="center"/>
          </w:tcPr>
          <w:p>
            <w:pPr>
              <w:jc w:val="center"/>
              <w:rPr>
                <w:rFonts w:hint="eastAsia" w:ascii="宋体" w:hAnsi="宋体" w:eastAsia="宋体" w:cs="宋体"/>
                <w:color w:val="auto"/>
                <w:sz w:val="21"/>
                <w:szCs w:val="21"/>
                <w:highlight w:val="none"/>
              </w:rPr>
            </w:pPr>
          </w:p>
        </w:tc>
        <w:tc>
          <w:tcPr>
            <w:tcW w:w="124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0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0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90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1236"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5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2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9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71" w:type="dxa"/>
            <w:vMerge w:val="continue"/>
            <w:noWrap w:val="0"/>
            <w:vAlign w:val="center"/>
          </w:tcPr>
          <w:p>
            <w:pPr>
              <w:jc w:val="center"/>
              <w:rPr>
                <w:rFonts w:hint="eastAsia" w:ascii="宋体" w:hAnsi="宋体" w:eastAsia="宋体" w:cs="宋体"/>
                <w:color w:val="auto"/>
                <w:sz w:val="21"/>
                <w:szCs w:val="21"/>
                <w:highlight w:val="none"/>
              </w:rPr>
            </w:pPr>
          </w:p>
        </w:tc>
        <w:tc>
          <w:tcPr>
            <w:tcW w:w="124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0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0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90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1236"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5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2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9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71" w:type="dxa"/>
            <w:vMerge w:val="restart"/>
            <w:noWrap w:val="0"/>
            <w:vAlign w:val="center"/>
          </w:tcPr>
          <w:p>
            <w:pPr>
              <w:widowControl/>
              <w:spacing w:line="360" w:lineRule="atLeast"/>
              <w:jc w:val="center"/>
              <w:outlineLvl w:val="1"/>
              <w:rPr>
                <w:rFonts w:hint="eastAsia" w:ascii="宋体" w:hAnsi="宋体" w:eastAsia="宋体" w:cs="宋体"/>
                <w:color w:val="auto"/>
                <w:sz w:val="21"/>
                <w:szCs w:val="21"/>
                <w:highlight w:val="none"/>
              </w:rPr>
            </w:pPr>
          </w:p>
        </w:tc>
        <w:tc>
          <w:tcPr>
            <w:tcW w:w="124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0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0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90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1236"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5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2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9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71" w:type="dxa"/>
            <w:vMerge w:val="continue"/>
            <w:noWrap w:val="0"/>
            <w:vAlign w:val="top"/>
          </w:tcPr>
          <w:p>
            <w:pPr>
              <w:rPr>
                <w:rFonts w:hint="eastAsia" w:ascii="宋体" w:hAnsi="宋体" w:eastAsia="宋体" w:cs="宋体"/>
                <w:color w:val="auto"/>
                <w:sz w:val="21"/>
                <w:szCs w:val="21"/>
                <w:highlight w:val="none"/>
              </w:rPr>
            </w:pPr>
          </w:p>
        </w:tc>
        <w:tc>
          <w:tcPr>
            <w:tcW w:w="124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0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0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90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1236"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5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2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9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71" w:type="dxa"/>
            <w:vMerge w:val="continue"/>
            <w:noWrap w:val="0"/>
            <w:vAlign w:val="top"/>
          </w:tcPr>
          <w:p>
            <w:pPr>
              <w:rPr>
                <w:rFonts w:hint="eastAsia" w:ascii="宋体" w:hAnsi="宋体" w:eastAsia="宋体" w:cs="宋体"/>
                <w:color w:val="auto"/>
                <w:sz w:val="21"/>
                <w:szCs w:val="21"/>
                <w:highlight w:val="none"/>
              </w:rPr>
            </w:pPr>
          </w:p>
        </w:tc>
        <w:tc>
          <w:tcPr>
            <w:tcW w:w="124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0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0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90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1236"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5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2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9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71" w:type="dxa"/>
            <w:vMerge w:val="continue"/>
            <w:noWrap w:val="0"/>
            <w:vAlign w:val="top"/>
          </w:tcPr>
          <w:p>
            <w:pPr>
              <w:rPr>
                <w:rFonts w:hint="eastAsia" w:ascii="宋体" w:hAnsi="宋体" w:eastAsia="宋体" w:cs="宋体"/>
                <w:color w:val="auto"/>
                <w:sz w:val="21"/>
                <w:szCs w:val="21"/>
                <w:highlight w:val="none"/>
              </w:rPr>
            </w:pPr>
          </w:p>
        </w:tc>
        <w:tc>
          <w:tcPr>
            <w:tcW w:w="124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0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0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909"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1236"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5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825"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c>
          <w:tcPr>
            <w:tcW w:w="797" w:type="dxa"/>
            <w:noWrap w:val="0"/>
            <w:vAlign w:val="top"/>
          </w:tcPr>
          <w:p>
            <w:pPr>
              <w:widowControl/>
              <w:spacing w:line="360" w:lineRule="atLeast"/>
              <w:ind w:firstLine="411" w:firstLineChars="196"/>
              <w:jc w:val="left"/>
              <w:outlineLvl w:val="1"/>
              <w:rPr>
                <w:rFonts w:hint="eastAsia" w:ascii="宋体" w:hAnsi="宋体" w:eastAsia="宋体" w:cs="宋体"/>
                <w:color w:val="auto"/>
                <w:sz w:val="21"/>
                <w:szCs w:val="21"/>
                <w:highlight w:val="none"/>
              </w:rPr>
            </w:pPr>
          </w:p>
        </w:tc>
      </w:tr>
    </w:tbl>
    <w:p>
      <w:pPr>
        <w:adjustRightInd w:val="0"/>
        <w:spacing w:line="400" w:lineRule="exact"/>
        <w:ind w:firstLine="490" w:firstLineChars="175"/>
        <w:jc w:val="left"/>
        <w:rPr>
          <w:rFonts w:hint="eastAsia" w:ascii="宋体" w:hAnsi="宋体" w:eastAsia="宋体" w:cs="宋体"/>
          <w:bCs/>
          <w:color w:val="auto"/>
          <w:sz w:val="28"/>
          <w:szCs w:val="28"/>
          <w:highlight w:val="none"/>
        </w:rPr>
      </w:pPr>
    </w:p>
    <w:p>
      <w:pPr>
        <w:ind w:left="702"/>
        <w:jc w:val="left"/>
        <w:rPr>
          <w:rFonts w:hint="eastAsia" w:ascii="宋体" w:hAnsi="宋体" w:eastAsia="宋体" w:cs="宋体"/>
          <w:b/>
          <w:color w:val="auto"/>
          <w:sz w:val="24"/>
          <w:highlight w:val="none"/>
        </w:rPr>
      </w:pPr>
      <w:bookmarkStart w:id="1535" w:name="_Toc922"/>
      <w:bookmarkStart w:id="1536" w:name="_Toc8106"/>
      <w:bookmarkStart w:id="1537" w:name="_Toc15346"/>
      <w:r>
        <w:rPr>
          <w:rFonts w:hint="eastAsia" w:ascii="宋体" w:hAnsi="宋体" w:eastAsia="宋体" w:cs="宋体"/>
          <w:b/>
          <w:color w:val="auto"/>
          <w:sz w:val="24"/>
          <w:highlight w:val="none"/>
        </w:rPr>
        <w:t>注：投标人根据自身实际情况填写，对不涉及的内容可填写“/”。</w:t>
      </w:r>
    </w:p>
    <w:p>
      <w:pPr>
        <w:adjustRightInd w:val="0"/>
        <w:ind w:firstLine="480" w:firstLineChars="200"/>
        <w:jc w:val="left"/>
        <w:rPr>
          <w:rFonts w:hint="eastAsia" w:ascii="宋体" w:hAnsi="宋体" w:eastAsia="宋体" w:cs="宋体"/>
          <w:color w:val="auto"/>
          <w:sz w:val="24"/>
          <w:highlight w:val="none"/>
        </w:rPr>
      </w:pPr>
    </w:p>
    <w:bookmarkEnd w:id="1143"/>
    <w:bookmarkEnd w:id="1144"/>
    <w:bookmarkEnd w:id="1145"/>
    <w:bookmarkEnd w:id="1535"/>
    <w:bookmarkEnd w:id="1536"/>
    <w:bookmarkEnd w:id="1537"/>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投标人单位名称：</w:t>
      </w:r>
      <w:r>
        <w:rPr>
          <w:rFonts w:hint="eastAsia" w:ascii="宋体" w:hAnsi="宋体" w:eastAsia="宋体" w:cs="宋体"/>
          <w:color w:val="auto"/>
          <w:sz w:val="24"/>
          <w:szCs w:val="22"/>
          <w:highlight w:val="none"/>
          <w:u w:val="single"/>
        </w:rPr>
        <w:t xml:space="preserve">       （电子印章）   </w:t>
      </w:r>
      <w:r>
        <w:rPr>
          <w:rFonts w:hint="eastAsia" w:ascii="宋体" w:hAnsi="宋体" w:eastAsia="宋体" w:cs="宋体"/>
          <w:color w:val="auto"/>
          <w:sz w:val="24"/>
          <w:szCs w:val="22"/>
          <w:highlight w:val="none"/>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投标日期：</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日</w:t>
      </w:r>
    </w:p>
    <w:p>
      <w:pPr>
        <w:pStyle w:val="4"/>
        <w:spacing w:line="400" w:lineRule="exact"/>
        <w:jc w:val="center"/>
        <w:rPr>
          <w:rFonts w:hint="eastAsia" w:ascii="宋体" w:hAnsi="宋体" w:eastAsia="宋体" w:cs="宋体"/>
          <w:bCs w:val="0"/>
          <w:color w:val="auto"/>
          <w:sz w:val="24"/>
          <w:szCs w:val="24"/>
          <w:highlight w:val="none"/>
        </w:rPr>
      </w:pPr>
    </w:p>
    <w:p>
      <w:pPr>
        <w:pStyle w:val="9"/>
        <w:ind w:firstLine="640"/>
        <w:jc w:val="center"/>
        <w:rPr>
          <w:rFonts w:hint="eastAsia" w:ascii="宋体" w:hAnsi="宋体" w:eastAsia="宋体" w:cs="宋体"/>
          <w:color w:val="auto"/>
          <w:kern w:val="0"/>
          <w:sz w:val="32"/>
          <w:szCs w:val="28"/>
          <w:highlight w:val="none"/>
        </w:rPr>
      </w:pPr>
    </w:p>
    <w:p>
      <w:pPr>
        <w:pStyle w:val="9"/>
        <w:ind w:firstLine="640"/>
        <w:jc w:val="center"/>
        <w:rPr>
          <w:rFonts w:hint="eastAsia" w:ascii="宋体" w:hAnsi="宋体" w:eastAsia="宋体" w:cs="宋体"/>
          <w:color w:val="auto"/>
          <w:kern w:val="0"/>
          <w:sz w:val="32"/>
          <w:szCs w:val="28"/>
          <w:highlight w:val="none"/>
        </w:rPr>
      </w:pPr>
    </w:p>
    <w:p>
      <w:pPr>
        <w:pStyle w:val="9"/>
        <w:ind w:firstLine="640"/>
        <w:jc w:val="center"/>
        <w:rPr>
          <w:rFonts w:hint="eastAsia" w:ascii="宋体" w:hAnsi="宋体" w:eastAsia="宋体" w:cs="宋体"/>
          <w:color w:val="auto"/>
          <w:kern w:val="0"/>
          <w:sz w:val="32"/>
          <w:szCs w:val="28"/>
          <w:highlight w:val="none"/>
        </w:rPr>
      </w:pPr>
    </w:p>
    <w:p>
      <w:pPr>
        <w:pStyle w:val="9"/>
        <w:ind w:firstLine="640"/>
        <w:jc w:val="center"/>
        <w:rPr>
          <w:rFonts w:hint="eastAsia" w:ascii="宋体" w:hAnsi="宋体" w:eastAsia="宋体" w:cs="宋体"/>
          <w:color w:val="auto"/>
          <w:kern w:val="0"/>
          <w:sz w:val="32"/>
          <w:szCs w:val="28"/>
          <w:highlight w:val="none"/>
        </w:rPr>
      </w:pPr>
    </w:p>
    <w:p>
      <w:pPr>
        <w:pStyle w:val="20"/>
        <w:rPr>
          <w:rFonts w:hint="eastAsia" w:ascii="宋体" w:hAnsi="宋体" w:eastAsia="宋体" w:cs="宋体"/>
          <w:b/>
          <w:color w:val="auto"/>
          <w:sz w:val="24"/>
          <w:szCs w:val="24"/>
          <w:highlight w:val="none"/>
        </w:rPr>
      </w:pPr>
      <w:bookmarkStart w:id="1538" w:name="_Toc29686"/>
      <w:bookmarkStart w:id="1539" w:name="_Toc30298_WPSOffice_Level3"/>
      <w:bookmarkStart w:id="1540" w:name="_Toc15404"/>
      <w:bookmarkStart w:id="1541" w:name="_Toc25178"/>
      <w:bookmarkStart w:id="1542" w:name="_Toc25043"/>
      <w:bookmarkStart w:id="1543" w:name="_Toc8738_WPSOffice_Level3"/>
      <w:bookmarkStart w:id="1544" w:name="_Toc18127"/>
      <w:bookmarkStart w:id="1545" w:name="_Toc4607"/>
      <w:bookmarkStart w:id="1546" w:name="_Toc637"/>
      <w:bookmarkStart w:id="1547" w:name="_Toc27874"/>
      <w:bookmarkStart w:id="1548" w:name="_Toc4555"/>
    </w:p>
    <w:p>
      <w:pPr>
        <w:pStyle w:val="4"/>
        <w:spacing w:line="400" w:lineRule="exact"/>
        <w:jc w:val="both"/>
        <w:rPr>
          <w:rFonts w:hint="eastAsia" w:ascii="宋体" w:hAnsi="宋体" w:eastAsia="宋体" w:cs="宋体"/>
          <w:b/>
          <w:bCs/>
          <w:color w:val="auto"/>
          <w:highlight w:val="none"/>
          <w:lang w:val="en-US" w:eastAsia="zh-CN"/>
        </w:rPr>
      </w:pPr>
      <w:bookmarkStart w:id="1549" w:name="_Toc26487"/>
      <w:bookmarkStart w:id="1550" w:name="_Toc6702"/>
      <w:r>
        <w:rPr>
          <w:rFonts w:hint="eastAsia" w:ascii="宋体" w:hAnsi="宋体" w:eastAsia="宋体" w:cs="宋体"/>
          <w:b/>
          <w:bCs/>
          <w:color w:val="auto"/>
          <w:highlight w:val="none"/>
          <w:lang w:val="en-US" w:eastAsia="zh-CN"/>
        </w:rPr>
        <w:t>格式2-1</w:t>
      </w:r>
      <w:bookmarkEnd w:id="1549"/>
      <w:r>
        <w:rPr>
          <w:rFonts w:hint="eastAsia" w:ascii="宋体" w:hAnsi="宋体" w:eastAsia="宋体" w:cs="宋体"/>
          <w:b/>
          <w:bCs/>
          <w:color w:val="auto"/>
          <w:highlight w:val="none"/>
          <w:lang w:val="en-US" w:eastAsia="zh-CN"/>
        </w:rPr>
        <w:t>2</w:t>
      </w:r>
      <w:bookmarkEnd w:id="1550"/>
    </w:p>
    <w:bookmarkEnd w:id="1538"/>
    <w:bookmarkEnd w:id="1539"/>
    <w:bookmarkEnd w:id="1540"/>
    <w:bookmarkEnd w:id="1541"/>
    <w:bookmarkEnd w:id="1542"/>
    <w:bookmarkEnd w:id="1543"/>
    <w:bookmarkEnd w:id="1544"/>
    <w:bookmarkEnd w:id="1545"/>
    <w:bookmarkEnd w:id="1546"/>
    <w:bookmarkEnd w:id="1547"/>
    <w:bookmarkEnd w:id="1548"/>
    <w:p>
      <w:pPr>
        <w:pStyle w:val="4"/>
        <w:spacing w:line="400" w:lineRule="exact"/>
        <w:jc w:val="center"/>
        <w:rPr>
          <w:rFonts w:hint="eastAsia" w:ascii="宋体" w:hAnsi="宋体" w:eastAsia="宋体" w:cs="宋体"/>
          <w:b/>
          <w:bCs/>
          <w:color w:val="auto"/>
          <w:szCs w:val="28"/>
          <w:highlight w:val="none"/>
        </w:rPr>
      </w:pPr>
      <w:bookmarkStart w:id="1551" w:name="_Toc30083"/>
      <w:bookmarkStart w:id="1552" w:name="_Toc19924"/>
      <w:bookmarkStart w:id="1553" w:name="_Toc20936"/>
      <w:bookmarkStart w:id="1554" w:name="_Toc16856"/>
      <w:bookmarkStart w:id="1555" w:name="_Toc21012"/>
      <w:bookmarkStart w:id="1556" w:name="_Toc24791_WPSOffice_Level3"/>
      <w:bookmarkStart w:id="1557" w:name="_Toc18946_WPSOffice_Level3"/>
      <w:bookmarkStart w:id="1558" w:name="_Toc26480"/>
      <w:bookmarkStart w:id="1559" w:name="_Toc28931"/>
      <w:bookmarkStart w:id="1560" w:name="_Toc9923"/>
      <w:bookmarkStart w:id="1561" w:name="_Toc9461"/>
      <w:r>
        <w:rPr>
          <w:rFonts w:hint="eastAsia" w:ascii="宋体" w:hAnsi="宋体" w:eastAsia="宋体" w:cs="宋体"/>
          <w:b/>
          <w:bCs/>
          <w:color w:val="auto"/>
          <w:szCs w:val="28"/>
          <w:highlight w:val="none"/>
        </w:rPr>
        <w:t>中小企业申明函</w:t>
      </w:r>
      <w:r>
        <w:rPr>
          <w:rFonts w:hint="eastAsia" w:ascii="宋体" w:hAnsi="宋体" w:eastAsia="宋体" w:cs="宋体"/>
          <w:b/>
          <w:bCs/>
          <w:color w:val="auto"/>
          <w:szCs w:val="28"/>
          <w:highlight w:val="none"/>
          <w:lang w:val="en-US" w:eastAsia="zh-CN"/>
        </w:rPr>
        <w:t>（服务）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本公司（联合体）郑重声明，根据《政府采购促进中小企业发展管理办法》（财库﹝2020﹞46 号）的规定，本公司参加</w:t>
      </w:r>
      <w:r>
        <w:rPr>
          <w:rFonts w:hint="eastAsia" w:ascii="宋体" w:hAnsi="宋体" w:eastAsia="宋体" w:cs="宋体"/>
          <w:i w:val="0"/>
          <w:iCs w:val="0"/>
          <w:color w:val="auto"/>
          <w:kern w:val="0"/>
          <w:sz w:val="24"/>
          <w:szCs w:val="24"/>
          <w:highlight w:val="none"/>
          <w:u w:val="single"/>
          <w:lang w:val="en-US" w:eastAsia="zh-CN" w:bidi="ar"/>
        </w:rPr>
        <w:t>（单位名称）</w:t>
      </w:r>
      <w:r>
        <w:rPr>
          <w:rFonts w:hint="eastAsia" w:ascii="宋体" w:hAnsi="宋体" w:eastAsia="宋体" w:cs="宋体"/>
          <w:i w:val="0"/>
          <w:iCs w:val="0"/>
          <w:color w:val="auto"/>
          <w:kern w:val="0"/>
          <w:sz w:val="24"/>
          <w:szCs w:val="24"/>
          <w:highlight w:val="none"/>
          <w:lang w:val="en-US" w:eastAsia="zh-CN" w:bidi="ar"/>
        </w:rPr>
        <w:t>的</w:t>
      </w:r>
      <w:r>
        <w:rPr>
          <w:rFonts w:hint="eastAsia" w:ascii="宋体" w:hAnsi="宋体" w:eastAsia="宋体" w:cs="宋体"/>
          <w:i w:val="0"/>
          <w:iCs w:val="0"/>
          <w:color w:val="auto"/>
          <w:kern w:val="0"/>
          <w:sz w:val="24"/>
          <w:szCs w:val="24"/>
          <w:highlight w:val="none"/>
          <w:u w:val="single"/>
          <w:lang w:val="en-US" w:eastAsia="zh-CN" w:bidi="ar"/>
        </w:rPr>
        <w:t>（项目名称）</w:t>
      </w:r>
      <w:r>
        <w:rPr>
          <w:rFonts w:hint="eastAsia" w:ascii="宋体" w:hAnsi="宋体" w:eastAsia="宋体" w:cs="宋体"/>
          <w:i w:val="0"/>
          <w:iCs w:val="0"/>
          <w:color w:val="auto"/>
          <w:kern w:val="0"/>
          <w:sz w:val="24"/>
          <w:szCs w:val="24"/>
          <w:highlight w:val="none"/>
          <w:lang w:val="en-US" w:eastAsia="zh-CN" w:bidi="ar"/>
        </w:rPr>
        <w:t>采购活动，本项目的服务全部由符合政策要求的中小企业承接。相关企业（含联合体中的中小企业、签订分包意向协议的中小企业）的具体情况如下：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1. </w:t>
      </w:r>
      <w:r>
        <w:rPr>
          <w:rFonts w:hint="eastAsia" w:ascii="宋体" w:hAnsi="宋体" w:eastAsia="宋体" w:cs="宋体"/>
          <w:i w:val="0"/>
          <w:iCs w:val="0"/>
          <w:color w:val="auto"/>
          <w:kern w:val="0"/>
          <w:sz w:val="24"/>
          <w:szCs w:val="24"/>
          <w:highlight w:val="none"/>
          <w:u w:val="single"/>
          <w:lang w:val="en-US" w:eastAsia="zh-CN" w:bidi="ar"/>
        </w:rPr>
        <w:t xml:space="preserve">（标的名称） </w:t>
      </w:r>
      <w:r>
        <w:rPr>
          <w:rFonts w:hint="eastAsia" w:ascii="宋体" w:hAnsi="宋体" w:eastAsia="宋体" w:cs="宋体"/>
          <w:i w:val="0"/>
          <w:iCs w:val="0"/>
          <w:color w:val="auto"/>
          <w:kern w:val="0"/>
          <w:sz w:val="24"/>
          <w:szCs w:val="24"/>
          <w:highlight w:val="none"/>
          <w:lang w:val="en-US" w:eastAsia="zh-CN" w:bidi="ar"/>
        </w:rPr>
        <w:t>，属于</w:t>
      </w:r>
      <w:r>
        <w:rPr>
          <w:rFonts w:hint="eastAsia" w:ascii="宋体" w:hAnsi="宋体" w:eastAsia="宋体" w:cs="宋体"/>
          <w:i w:val="0"/>
          <w:iCs w:val="0"/>
          <w:color w:val="auto"/>
          <w:kern w:val="0"/>
          <w:sz w:val="24"/>
          <w:szCs w:val="24"/>
          <w:highlight w:val="none"/>
          <w:u w:val="single"/>
          <w:lang w:val="en-US" w:eastAsia="zh-CN" w:bidi="ar"/>
        </w:rPr>
        <w:t>（采购文件中明确的所属行业）</w:t>
      </w:r>
      <w:r>
        <w:rPr>
          <w:rFonts w:hint="eastAsia" w:ascii="宋体" w:hAnsi="宋体" w:eastAsia="宋体" w:cs="宋体"/>
          <w:i w:val="0"/>
          <w:iCs w:val="0"/>
          <w:color w:val="auto"/>
          <w:kern w:val="0"/>
          <w:sz w:val="24"/>
          <w:szCs w:val="24"/>
          <w:highlight w:val="none"/>
          <w:lang w:val="en-US" w:eastAsia="zh-CN" w:bidi="ar"/>
        </w:rPr>
        <w:t>； 承接企业为</w:t>
      </w:r>
      <w:r>
        <w:rPr>
          <w:rFonts w:hint="eastAsia" w:ascii="宋体" w:hAnsi="宋体" w:eastAsia="宋体" w:cs="宋体"/>
          <w:i w:val="0"/>
          <w:iCs w:val="0"/>
          <w:color w:val="auto"/>
          <w:kern w:val="0"/>
          <w:sz w:val="24"/>
          <w:szCs w:val="24"/>
          <w:highlight w:val="none"/>
          <w:u w:val="single"/>
          <w:lang w:val="en-US" w:eastAsia="zh-CN" w:bidi="ar"/>
        </w:rPr>
        <w:t>（企业名称）</w:t>
      </w:r>
      <w:r>
        <w:rPr>
          <w:rFonts w:hint="eastAsia" w:ascii="宋体" w:hAnsi="宋体" w:eastAsia="宋体" w:cs="宋体"/>
          <w:i w:val="0"/>
          <w:iCs w:val="0"/>
          <w:color w:val="auto"/>
          <w:kern w:val="0"/>
          <w:sz w:val="24"/>
          <w:szCs w:val="24"/>
          <w:highlight w:val="none"/>
          <w:lang w:val="en-US" w:eastAsia="zh-CN" w:bidi="ar"/>
        </w:rPr>
        <w:t>，从业人员</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人，营业收入为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万元，资产总额为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万元，属于</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 xml:space="preserve">（中型企业、 小型企业、微型企业）；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 xml:space="preserve">2. </w:t>
      </w:r>
      <w:r>
        <w:rPr>
          <w:rFonts w:hint="eastAsia" w:ascii="宋体" w:hAnsi="宋体" w:eastAsia="宋体" w:cs="宋体"/>
          <w:i w:val="0"/>
          <w:iCs w:val="0"/>
          <w:color w:val="auto"/>
          <w:kern w:val="0"/>
          <w:sz w:val="24"/>
          <w:szCs w:val="24"/>
          <w:highlight w:val="none"/>
          <w:u w:val="single"/>
          <w:lang w:val="en-US" w:eastAsia="zh-CN" w:bidi="ar"/>
        </w:rPr>
        <w:t xml:space="preserve">（标的名称） </w:t>
      </w:r>
      <w:r>
        <w:rPr>
          <w:rFonts w:hint="eastAsia" w:ascii="宋体" w:hAnsi="宋体" w:eastAsia="宋体" w:cs="宋体"/>
          <w:i w:val="0"/>
          <w:iCs w:val="0"/>
          <w:color w:val="auto"/>
          <w:kern w:val="0"/>
          <w:sz w:val="24"/>
          <w:szCs w:val="24"/>
          <w:highlight w:val="none"/>
          <w:lang w:val="en-US" w:eastAsia="zh-CN" w:bidi="ar"/>
        </w:rPr>
        <w:t>，属于</w:t>
      </w:r>
      <w:r>
        <w:rPr>
          <w:rFonts w:hint="eastAsia" w:ascii="宋体" w:hAnsi="宋体" w:eastAsia="宋体" w:cs="宋体"/>
          <w:i w:val="0"/>
          <w:iCs w:val="0"/>
          <w:color w:val="auto"/>
          <w:kern w:val="0"/>
          <w:sz w:val="24"/>
          <w:szCs w:val="24"/>
          <w:highlight w:val="none"/>
          <w:u w:val="single"/>
          <w:lang w:val="en-US" w:eastAsia="zh-CN" w:bidi="ar"/>
        </w:rPr>
        <w:t>（采购文件中明确的所属行业）</w:t>
      </w:r>
      <w:r>
        <w:rPr>
          <w:rFonts w:hint="eastAsia" w:ascii="宋体" w:hAnsi="宋体" w:eastAsia="宋体" w:cs="宋体"/>
          <w:i w:val="0"/>
          <w:iCs w:val="0"/>
          <w:color w:val="auto"/>
          <w:kern w:val="0"/>
          <w:sz w:val="24"/>
          <w:szCs w:val="24"/>
          <w:highlight w:val="none"/>
          <w:lang w:val="en-US" w:eastAsia="zh-CN" w:bidi="ar"/>
        </w:rPr>
        <w:t>； 承接企业为</w:t>
      </w:r>
      <w:r>
        <w:rPr>
          <w:rFonts w:hint="eastAsia" w:ascii="宋体" w:hAnsi="宋体" w:eastAsia="宋体" w:cs="宋体"/>
          <w:i w:val="0"/>
          <w:iCs w:val="0"/>
          <w:color w:val="auto"/>
          <w:kern w:val="0"/>
          <w:sz w:val="24"/>
          <w:szCs w:val="24"/>
          <w:highlight w:val="none"/>
          <w:u w:val="single"/>
          <w:lang w:val="en-US" w:eastAsia="zh-CN" w:bidi="ar"/>
        </w:rPr>
        <w:t>（企业名称）</w:t>
      </w:r>
      <w:r>
        <w:rPr>
          <w:rFonts w:hint="eastAsia" w:ascii="宋体" w:hAnsi="宋体" w:eastAsia="宋体" w:cs="宋体"/>
          <w:i w:val="0"/>
          <w:iCs w:val="0"/>
          <w:color w:val="auto"/>
          <w:kern w:val="0"/>
          <w:sz w:val="24"/>
          <w:szCs w:val="24"/>
          <w:highlight w:val="none"/>
          <w:lang w:val="en-US" w:eastAsia="zh-CN" w:bidi="ar"/>
        </w:rPr>
        <w:t>，从业人员</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人，营业收入为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万元，资产总额为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万元，属于</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（中型企业、 小型企业、微型企业）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以上企业，不属于大企业的分支机构，不存在控股股东为大企业的情形，也不存在与大企业的负责人为同一人的情形。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 xml:space="preserve">本企业对上述声明内容的真实性负责。如有虚假，将依法承担相应责任。 </w:t>
      </w:r>
    </w:p>
    <w:p>
      <w:pPr>
        <w:pStyle w:val="2"/>
        <w:rPr>
          <w:rFonts w:hint="eastAsia" w:ascii="宋体" w:hAnsi="宋体" w:eastAsia="宋体" w:cs="宋体"/>
          <w:i w:val="0"/>
          <w:iCs w:val="0"/>
          <w:color w:val="auto"/>
          <w:kern w:val="0"/>
          <w:sz w:val="24"/>
          <w:szCs w:val="24"/>
          <w:highlight w:val="none"/>
          <w:lang w:val="en-US" w:eastAsia="zh-CN" w:bidi="ar"/>
        </w:rPr>
      </w:pPr>
    </w:p>
    <w:p>
      <w:pPr>
        <w:pStyle w:val="2"/>
        <w:rPr>
          <w:rFonts w:hint="eastAsia" w:ascii="宋体" w:hAnsi="宋体" w:eastAsia="宋体" w:cs="宋体"/>
          <w:i w:val="0"/>
          <w:iCs w:val="0"/>
          <w:color w:val="auto"/>
          <w:kern w:val="0"/>
          <w:sz w:val="24"/>
          <w:szCs w:val="24"/>
          <w:highlight w:val="none"/>
          <w:lang w:val="en-US" w:eastAsia="zh-CN" w:bidi="ar"/>
        </w:rPr>
      </w:pP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投标人单位名称：</w:t>
      </w:r>
      <w:r>
        <w:rPr>
          <w:rFonts w:hint="eastAsia" w:ascii="宋体" w:hAnsi="宋体" w:eastAsia="宋体" w:cs="宋体"/>
          <w:color w:val="auto"/>
          <w:sz w:val="24"/>
          <w:szCs w:val="22"/>
          <w:highlight w:val="none"/>
          <w:u w:val="single"/>
        </w:rPr>
        <w:t xml:space="preserve">       （电子印章）   </w:t>
      </w:r>
      <w:r>
        <w:rPr>
          <w:rFonts w:hint="eastAsia" w:ascii="宋体" w:hAnsi="宋体" w:eastAsia="宋体" w:cs="宋体"/>
          <w:color w:val="auto"/>
          <w:sz w:val="24"/>
          <w:szCs w:val="22"/>
          <w:highlight w:val="none"/>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投标日期：</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注：</w:t>
      </w:r>
    </w:p>
    <w:p>
      <w:pPr>
        <w:spacing w:line="360" w:lineRule="auto"/>
        <w:ind w:firstLine="480" w:firstLineChars="200"/>
        <w:rPr>
          <w:rFonts w:hint="eastAsia" w:ascii="宋体" w:hAnsi="宋体" w:eastAsia="宋体" w:cs="宋体"/>
          <w:i w:val="0"/>
          <w:iCs w:val="0"/>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1、从业人员、营业收入、资产总额填报上一年度数据，无上一年度数据的新成立企业及监狱企业可不填报。</w:t>
      </w:r>
    </w:p>
    <w:p>
      <w:pPr>
        <w:spacing w:line="360" w:lineRule="auto"/>
        <w:ind w:firstLine="482" w:firstLineChars="200"/>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lang w:val="en-US" w:eastAsia="zh-CN"/>
        </w:rPr>
        <w:t>2、</w:t>
      </w:r>
      <w:r>
        <w:rPr>
          <w:rFonts w:hint="eastAsia" w:ascii="宋体" w:hAnsi="宋体" w:eastAsia="宋体" w:cs="宋体"/>
          <w:b/>
          <w:bCs/>
          <w:color w:val="auto"/>
          <w:sz w:val="24"/>
          <w:szCs w:val="22"/>
          <w:highlight w:val="none"/>
        </w:rPr>
        <w:t>投标人参加政府采购活动时，提供虚假中小企业申明函的，以提供虚假材料谋取中标处理。</w:t>
      </w:r>
    </w:p>
    <w:p>
      <w:pPr>
        <w:pStyle w:val="2"/>
        <w:rPr>
          <w:rFonts w:hint="eastAsia" w:ascii="宋体" w:hAnsi="宋体" w:eastAsia="宋体" w:cs="宋体"/>
          <w:b/>
          <w:bCs/>
          <w:color w:val="auto"/>
          <w:sz w:val="24"/>
          <w:szCs w:val="22"/>
          <w:highlight w:val="none"/>
        </w:rPr>
      </w:pPr>
    </w:p>
    <w:p>
      <w:pPr>
        <w:pStyle w:val="2"/>
        <w:rPr>
          <w:rFonts w:hint="eastAsia" w:ascii="宋体" w:hAnsi="宋体" w:eastAsia="宋体" w:cs="宋体"/>
          <w:b/>
          <w:bCs/>
          <w:color w:val="auto"/>
          <w:sz w:val="24"/>
          <w:szCs w:val="22"/>
          <w:highlight w:val="none"/>
        </w:rPr>
      </w:pPr>
    </w:p>
    <w:p>
      <w:pPr>
        <w:pStyle w:val="2"/>
        <w:rPr>
          <w:rFonts w:hint="eastAsia" w:ascii="宋体" w:hAnsi="宋体" w:eastAsia="宋体" w:cs="宋体"/>
          <w:b/>
          <w:bCs/>
          <w:color w:val="auto"/>
          <w:sz w:val="24"/>
          <w:szCs w:val="22"/>
          <w:highlight w:val="none"/>
          <w:lang w:val="en-US" w:eastAsia="zh-CN"/>
        </w:rPr>
      </w:pPr>
    </w:p>
    <w:p>
      <w:pPr>
        <w:pStyle w:val="4"/>
        <w:spacing w:line="400" w:lineRule="exact"/>
        <w:jc w:val="both"/>
        <w:rPr>
          <w:rFonts w:hint="eastAsia" w:ascii="宋体" w:hAnsi="宋体" w:eastAsia="宋体" w:cs="宋体"/>
          <w:b/>
          <w:bCs/>
          <w:color w:val="auto"/>
          <w:highlight w:val="none"/>
          <w:lang w:val="en-US" w:eastAsia="zh-CN"/>
        </w:rPr>
      </w:pPr>
      <w:bookmarkStart w:id="1562" w:name="_Toc21178"/>
      <w:bookmarkStart w:id="1563" w:name="_Toc4952"/>
      <w:r>
        <w:rPr>
          <w:rFonts w:hint="eastAsia" w:ascii="宋体" w:hAnsi="宋体" w:eastAsia="宋体" w:cs="宋体"/>
          <w:b/>
          <w:bCs/>
          <w:color w:val="auto"/>
          <w:highlight w:val="none"/>
          <w:lang w:val="en-US" w:eastAsia="zh-CN"/>
        </w:rPr>
        <w:t>格式2-1</w:t>
      </w:r>
      <w:bookmarkEnd w:id="1551"/>
      <w:bookmarkEnd w:id="1562"/>
      <w:r>
        <w:rPr>
          <w:rFonts w:hint="eastAsia" w:ascii="宋体" w:hAnsi="宋体" w:eastAsia="宋体" w:cs="宋体"/>
          <w:b/>
          <w:bCs/>
          <w:color w:val="auto"/>
          <w:highlight w:val="none"/>
          <w:lang w:val="en-US" w:eastAsia="zh-CN"/>
        </w:rPr>
        <w:t>3</w:t>
      </w:r>
      <w:bookmarkEnd w:id="1563"/>
    </w:p>
    <w:p>
      <w:pPr>
        <w:pStyle w:val="5"/>
        <w:numPr>
          <w:ilvl w:val="0"/>
          <w:numId w:val="0"/>
        </w:numPr>
        <w:spacing w:before="0" w:after="0" w:line="360" w:lineRule="auto"/>
        <w:jc w:val="center"/>
        <w:rPr>
          <w:rFonts w:hint="eastAsia" w:ascii="宋体" w:hAnsi="宋体" w:eastAsia="宋体" w:cs="宋体"/>
          <w:color w:val="auto"/>
          <w:highlight w:val="none"/>
        </w:rPr>
      </w:pPr>
      <w:bookmarkStart w:id="1564" w:name="_Toc28029"/>
      <w:bookmarkStart w:id="1565" w:name="_Toc26141"/>
      <w:bookmarkStart w:id="1566" w:name="_Toc29042"/>
      <w:r>
        <w:rPr>
          <w:rFonts w:hint="eastAsia" w:ascii="宋体" w:hAnsi="宋体" w:eastAsia="宋体" w:cs="宋体"/>
          <w:color w:val="auto"/>
          <w:highlight w:val="none"/>
        </w:rPr>
        <w:t>监狱企业声明函</w:t>
      </w:r>
      <w:bookmarkEnd w:id="1552"/>
      <w:bookmarkEnd w:id="1553"/>
      <w:bookmarkEnd w:id="1554"/>
      <w:bookmarkEnd w:id="1555"/>
      <w:bookmarkEnd w:id="1556"/>
      <w:bookmarkEnd w:id="1557"/>
      <w:bookmarkEnd w:id="1558"/>
      <w:bookmarkEnd w:id="1559"/>
      <w:bookmarkEnd w:id="1560"/>
      <w:bookmarkEnd w:id="1561"/>
      <w:bookmarkEnd w:id="1564"/>
      <w:bookmarkEnd w:id="1565"/>
      <w:bookmarkEnd w:id="1566"/>
    </w:p>
    <w:p>
      <w:pPr>
        <w:numPr>
          <w:ilvl w:val="0"/>
          <w:numId w:val="0"/>
        </w:numPr>
        <w:rPr>
          <w:rFonts w:hint="eastAsia" w:ascii="宋体" w:hAnsi="宋体" w:eastAsia="宋体" w:cs="宋体"/>
          <w:color w:val="auto"/>
          <w:highlight w:val="none"/>
        </w:rPr>
      </w:pP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本企业郑重声明，根据《关于解决监狱企业困难的实施方案的通知》（国发[2003]7号）、《关于政府采购支持监狱企业发展有关问题的通知》（财库〔2014〕68号）的规定，本企业</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（填写：“是”或“不是”）监狱企业。即，本企业同时</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（填写：“满足”或“不满足”）以下条件：</w:t>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t>　　1. 本企业</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（填写：“是”或“不是”）由司法部认定的为罪犯、戒毒人员提供生产项目和劳动对象的监狱企业；</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2、本企业全部产权属于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请选填：司法部监狱管理局、戒毒管理局、直属煤矿管理局，各省、自治区、直辖市监狱管理局、戒毒管理局，各地（设区的市）监狱、强制隔离戒毒所、戒毒康复所，以及新疆生产建设兵团监狱管理局、戒毒管理局或“/”）。</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本企业对上述声明的真实性负责。如有虚假，将依法承担相应责任。</w:t>
      </w:r>
    </w:p>
    <w:p>
      <w:pPr>
        <w:widowControl/>
        <w:shd w:val="clear" w:color="auto" w:fill="FFFFFF"/>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附件：监狱企业须由省级以上监狱管理局、戒毒管理局（含新疆生产建设兵团）出具的属于监狱企业的证明文件。</w:t>
      </w:r>
    </w:p>
    <w:p>
      <w:pPr>
        <w:pStyle w:val="20"/>
        <w:spacing w:line="360" w:lineRule="auto"/>
        <w:ind w:left="680"/>
        <w:rPr>
          <w:rFonts w:hint="eastAsia" w:ascii="宋体" w:hAnsi="宋体" w:eastAsia="宋体" w:cs="宋体"/>
          <w:color w:val="auto"/>
          <w:highlight w:val="none"/>
        </w:rPr>
      </w:pPr>
    </w:p>
    <w:p>
      <w:pPr>
        <w:pStyle w:val="20"/>
        <w:spacing w:line="360" w:lineRule="auto"/>
        <w:ind w:left="680"/>
        <w:rPr>
          <w:rFonts w:hint="eastAsia" w:ascii="宋体" w:hAnsi="宋体" w:eastAsia="宋体" w:cs="宋体"/>
          <w:color w:val="auto"/>
          <w:highlight w:val="none"/>
        </w:rPr>
      </w:pP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投标人单位名称：</w:t>
      </w:r>
      <w:r>
        <w:rPr>
          <w:rFonts w:hint="eastAsia" w:ascii="宋体" w:hAnsi="宋体" w:eastAsia="宋体" w:cs="宋体"/>
          <w:color w:val="auto"/>
          <w:sz w:val="24"/>
          <w:szCs w:val="22"/>
          <w:highlight w:val="none"/>
          <w:u w:val="single"/>
        </w:rPr>
        <w:t xml:space="preserve">       （电子印章）   </w:t>
      </w:r>
      <w:r>
        <w:rPr>
          <w:rFonts w:hint="eastAsia" w:ascii="宋体" w:hAnsi="宋体" w:eastAsia="宋体" w:cs="宋体"/>
          <w:color w:val="auto"/>
          <w:sz w:val="24"/>
          <w:szCs w:val="22"/>
          <w:highlight w:val="none"/>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投标日期：</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日</w:t>
      </w:r>
    </w:p>
    <w:p>
      <w:pPr>
        <w:spacing w:line="360" w:lineRule="auto"/>
        <w:ind w:firstLine="482" w:firstLineChars="200"/>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说明：①监狱企业参加政府采购活动时，</w:t>
      </w:r>
      <w:r>
        <w:rPr>
          <w:rFonts w:hint="eastAsia" w:ascii="宋体" w:hAnsi="宋体" w:eastAsia="宋体" w:cs="宋体"/>
          <w:b/>
          <w:bCs/>
          <w:color w:val="auto"/>
          <w:sz w:val="24"/>
          <w:szCs w:val="22"/>
          <w:highlight w:val="none"/>
          <w:lang w:val="en-US" w:eastAsia="zh-CN"/>
        </w:rPr>
        <w:t>除提供监狱企业声明函外，还</w:t>
      </w:r>
      <w:r>
        <w:rPr>
          <w:rFonts w:hint="eastAsia" w:ascii="宋体" w:hAnsi="宋体" w:eastAsia="宋体" w:cs="宋体"/>
          <w:b/>
          <w:bCs/>
          <w:color w:val="auto"/>
          <w:sz w:val="24"/>
          <w:szCs w:val="22"/>
          <w:highlight w:val="none"/>
        </w:rPr>
        <w:t>应当提供由省级以上监狱管理局、戒毒管理局(含新疆生产建设兵团)出具的属于监狱企业的证明文件。</w:t>
      </w:r>
    </w:p>
    <w:p>
      <w:pPr>
        <w:spacing w:line="360" w:lineRule="auto"/>
        <w:ind w:firstLine="482" w:firstLineChars="200"/>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②如未提供监狱企业相关证明材料的，则其评审中的监狱企业不能享受招标文件规定的  价格扣除，但不影响供应投标文件的有效性。</w:t>
      </w:r>
    </w:p>
    <w:p>
      <w:pPr>
        <w:spacing w:line="360" w:lineRule="auto"/>
        <w:ind w:firstLine="482" w:firstLineChars="200"/>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③非监狱企业无需提供证明材料。</w:t>
      </w:r>
    </w:p>
    <w:p>
      <w:pPr>
        <w:pStyle w:val="20"/>
        <w:ind w:left="680"/>
        <w:rPr>
          <w:rFonts w:hint="eastAsia" w:ascii="宋体" w:hAnsi="宋体" w:eastAsia="宋体" w:cs="宋体"/>
          <w:color w:val="auto"/>
          <w:highlight w:val="none"/>
        </w:rPr>
      </w:pPr>
    </w:p>
    <w:p>
      <w:pPr>
        <w:pStyle w:val="4"/>
        <w:spacing w:line="400" w:lineRule="exact"/>
        <w:jc w:val="both"/>
        <w:rPr>
          <w:rFonts w:hint="default" w:ascii="宋体" w:hAnsi="宋体" w:eastAsia="宋体" w:cs="宋体"/>
          <w:b/>
          <w:bCs/>
          <w:color w:val="auto"/>
          <w:highlight w:val="none"/>
          <w:lang w:val="en-US" w:eastAsia="zh-CN"/>
        </w:rPr>
      </w:pPr>
      <w:bookmarkStart w:id="1567" w:name="_Toc1907"/>
      <w:bookmarkStart w:id="1568" w:name="_Toc9208"/>
      <w:bookmarkStart w:id="1569" w:name="_Toc27895"/>
      <w:r>
        <w:rPr>
          <w:rFonts w:hint="eastAsia" w:ascii="宋体" w:hAnsi="宋体" w:eastAsia="宋体" w:cs="宋体"/>
          <w:b/>
          <w:bCs/>
          <w:color w:val="auto"/>
          <w:highlight w:val="none"/>
          <w:lang w:val="en-US" w:eastAsia="zh-CN"/>
        </w:rPr>
        <w:t>格式2-14</w:t>
      </w:r>
    </w:p>
    <w:p>
      <w:pPr>
        <w:pStyle w:val="4"/>
        <w:spacing w:line="400" w:lineRule="exact"/>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监狱企业</w:t>
      </w:r>
    </w:p>
    <w:p>
      <w:pPr>
        <w:spacing w:after="0" w:line="360" w:lineRule="auto"/>
        <w:ind w:firstLine="480" w:firstLineChars="200"/>
        <w:jc w:val="left"/>
        <w:rPr>
          <w:rFonts w:hint="eastAsia" w:ascii="仿宋" w:hAnsi="仿宋" w:eastAsia="仿宋"/>
          <w:color w:val="auto"/>
          <w:sz w:val="24"/>
        </w:rPr>
      </w:pPr>
    </w:p>
    <w:p>
      <w:pPr>
        <w:spacing w:after="0"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根据《政府采购支持监狱企业发展有关问题的通知》（财库〔2014〕68号）的规定监狱企业参加采购活动的，应提供由省级以上监狱管理局、戒毒管理局(含新疆生产建设兵团)出具的属于监狱企业的证明文件。</w:t>
      </w:r>
    </w:p>
    <w:p>
      <w:pPr>
        <w:spacing w:after="0" w:line="360" w:lineRule="auto"/>
        <w:jc w:val="left"/>
        <w:rPr>
          <w:rFonts w:hint="eastAsia" w:ascii="宋体" w:hAnsi="宋体" w:eastAsia="宋体" w:cs="宋体"/>
          <w:color w:val="auto"/>
          <w:sz w:val="24"/>
        </w:rPr>
      </w:pPr>
    </w:p>
    <w:p>
      <w:pPr>
        <w:pStyle w:val="9"/>
        <w:rPr>
          <w:rFonts w:hint="eastAsia" w:ascii="宋体" w:hAnsi="宋体" w:eastAsia="宋体" w:cs="宋体"/>
          <w:color w:val="auto"/>
          <w:sz w:val="24"/>
        </w:rPr>
      </w:pPr>
    </w:p>
    <w:p>
      <w:pPr>
        <w:pStyle w:val="9"/>
        <w:rPr>
          <w:rFonts w:hint="eastAsia" w:ascii="宋体" w:hAnsi="宋体" w:eastAsia="宋体" w:cs="宋体"/>
          <w:color w:val="auto"/>
          <w:sz w:val="24"/>
        </w:rPr>
      </w:pPr>
    </w:p>
    <w:p>
      <w:pPr>
        <w:spacing w:line="360" w:lineRule="auto"/>
        <w:ind w:firstLine="480" w:firstLineChars="200"/>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注：1.投标人符合《政府采购支持监狱企业发展有关问题的通知》（财库〔2014〕68号）规定的划分标准为监狱企业的适用。</w:t>
      </w:r>
    </w:p>
    <w:p>
      <w:pPr>
        <w:spacing w:line="360" w:lineRule="auto"/>
        <w:ind w:firstLine="480" w:firstLineChars="200"/>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2.在政府采购活动中，监狱企业视同小型、微型企业，享受预留份额、评审中价格扣除等政府采购促进中小企业发展的政府采购政策。</w:t>
      </w:r>
    </w:p>
    <w:p>
      <w:pPr>
        <w:pStyle w:val="20"/>
        <w:spacing w:line="360" w:lineRule="auto"/>
        <w:ind w:left="680"/>
        <w:rPr>
          <w:rFonts w:hint="eastAsia" w:ascii="宋体" w:hAnsi="宋体" w:eastAsia="宋体" w:cs="宋体"/>
          <w:color w:val="auto"/>
          <w:highlight w:val="none"/>
        </w:rPr>
      </w:pPr>
    </w:p>
    <w:p>
      <w:pPr>
        <w:pStyle w:val="20"/>
        <w:spacing w:line="360" w:lineRule="auto"/>
        <w:ind w:left="680"/>
        <w:rPr>
          <w:rFonts w:hint="eastAsia" w:ascii="宋体" w:hAnsi="宋体" w:eastAsia="宋体" w:cs="宋体"/>
          <w:color w:val="auto"/>
          <w:highlight w:val="none"/>
        </w:rPr>
      </w:pPr>
    </w:p>
    <w:p>
      <w:pPr>
        <w:pStyle w:val="20"/>
        <w:spacing w:line="360" w:lineRule="auto"/>
        <w:ind w:left="680"/>
        <w:rPr>
          <w:rFonts w:hint="eastAsia" w:ascii="宋体" w:hAnsi="宋体" w:eastAsia="宋体" w:cs="宋体"/>
          <w:color w:val="auto"/>
          <w:highlight w:val="none"/>
        </w:rPr>
      </w:pPr>
    </w:p>
    <w:bookmarkEnd w:id="1567"/>
    <w:bookmarkEnd w:id="1568"/>
    <w:bookmarkEnd w:id="1569"/>
    <w:p>
      <w:pPr>
        <w:pStyle w:val="20"/>
        <w:ind w:left="0" w:leftChars="0" w:firstLine="0" w:firstLineChars="0"/>
        <w:rPr>
          <w:rFonts w:hint="eastAsia" w:ascii="宋体" w:hAnsi="宋体" w:eastAsia="宋体" w:cs="宋体"/>
          <w:color w:val="auto"/>
          <w:highlight w:val="none"/>
        </w:rPr>
      </w:pPr>
    </w:p>
    <w:p>
      <w:pPr>
        <w:pStyle w:val="20"/>
        <w:ind w:left="0" w:leftChars="0" w:firstLine="0" w:firstLineChars="0"/>
        <w:rPr>
          <w:rFonts w:hint="eastAsia" w:ascii="宋体" w:hAnsi="宋体" w:eastAsia="宋体" w:cs="宋体"/>
          <w:color w:val="auto"/>
          <w:highlight w:val="none"/>
        </w:rPr>
      </w:pPr>
    </w:p>
    <w:p>
      <w:pPr>
        <w:pStyle w:val="20"/>
        <w:ind w:left="0" w:leftChars="0" w:firstLine="0" w:firstLineChars="0"/>
        <w:rPr>
          <w:rFonts w:hint="eastAsia" w:ascii="宋体" w:hAnsi="宋体" w:eastAsia="宋体" w:cs="宋体"/>
          <w:color w:val="auto"/>
          <w:highlight w:val="none"/>
        </w:rPr>
      </w:pPr>
    </w:p>
    <w:p>
      <w:pPr>
        <w:pStyle w:val="20"/>
        <w:ind w:left="0" w:leftChars="0" w:firstLine="0" w:firstLineChars="0"/>
        <w:rPr>
          <w:rFonts w:hint="eastAsia" w:ascii="宋体" w:hAnsi="宋体" w:eastAsia="宋体" w:cs="宋体"/>
          <w:color w:val="auto"/>
          <w:highlight w:val="none"/>
        </w:rPr>
      </w:pPr>
    </w:p>
    <w:p>
      <w:pPr>
        <w:pStyle w:val="20"/>
        <w:ind w:left="0" w:leftChars="0"/>
        <w:rPr>
          <w:rFonts w:hint="eastAsia" w:ascii="宋体" w:hAnsi="宋体" w:eastAsia="宋体" w:cs="宋体"/>
          <w:b/>
          <w:bCs/>
          <w:color w:val="auto"/>
          <w:sz w:val="24"/>
          <w:szCs w:val="22"/>
          <w:highlight w:val="none"/>
        </w:rPr>
      </w:pPr>
    </w:p>
    <w:bookmarkEnd w:id="632"/>
    <w:bookmarkEnd w:id="633"/>
    <w:bookmarkEnd w:id="634"/>
    <w:bookmarkEnd w:id="635"/>
    <w:bookmarkEnd w:id="636"/>
    <w:bookmarkEnd w:id="637"/>
    <w:bookmarkEnd w:id="638"/>
    <w:bookmarkEnd w:id="639"/>
    <w:bookmarkEnd w:id="640"/>
    <w:bookmarkEnd w:id="641"/>
    <w:bookmarkEnd w:id="784"/>
    <w:bookmarkEnd w:id="785"/>
    <w:bookmarkEnd w:id="786"/>
    <w:bookmarkEnd w:id="787"/>
    <w:p>
      <w:pPr>
        <w:pStyle w:val="3"/>
        <w:bidi w:val="0"/>
        <w:jc w:val="center"/>
        <w:rPr>
          <w:rFonts w:hint="eastAsia" w:ascii="宋体" w:hAnsi="宋体" w:eastAsia="宋体" w:cs="宋体"/>
          <w:b/>
          <w:bCs w:val="0"/>
          <w:color w:val="auto"/>
          <w:highlight w:val="none"/>
        </w:rPr>
      </w:pPr>
      <w:bookmarkStart w:id="1570" w:name="_Toc10399"/>
      <w:bookmarkStart w:id="1571" w:name="_Toc19751"/>
      <w:bookmarkStart w:id="1572" w:name="_Toc30604_WPSOffice_Level1"/>
      <w:bookmarkStart w:id="1573" w:name="_Toc13394"/>
      <w:bookmarkStart w:id="1574" w:name="_Toc31466"/>
      <w:bookmarkStart w:id="1575" w:name="_Toc17520"/>
      <w:bookmarkStart w:id="1576" w:name="_Toc9713"/>
      <w:bookmarkStart w:id="1577" w:name="_Toc32746_WPSOffice_Level1"/>
      <w:bookmarkStart w:id="1578" w:name="_Toc5806"/>
      <w:r>
        <w:rPr>
          <w:rFonts w:hint="eastAsia" w:ascii="宋体" w:hAnsi="宋体" w:eastAsia="宋体" w:cs="宋体"/>
          <w:b/>
          <w:bCs w:val="0"/>
          <w:color w:val="auto"/>
          <w:highlight w:val="none"/>
        </w:rPr>
        <w:t>第</w:t>
      </w:r>
      <w:r>
        <w:rPr>
          <w:rFonts w:hint="eastAsia" w:ascii="宋体" w:hAnsi="宋体" w:eastAsia="宋体" w:cs="宋体"/>
          <w:b/>
          <w:bCs w:val="0"/>
          <w:color w:val="auto"/>
          <w:highlight w:val="none"/>
          <w:lang w:val="en-US" w:eastAsia="zh-CN"/>
        </w:rPr>
        <w:t>四</w:t>
      </w:r>
      <w:r>
        <w:rPr>
          <w:rFonts w:hint="eastAsia" w:ascii="宋体" w:hAnsi="宋体" w:eastAsia="宋体" w:cs="宋体"/>
          <w:b/>
          <w:bCs w:val="0"/>
          <w:color w:val="auto"/>
          <w:highlight w:val="none"/>
        </w:rPr>
        <w:t>章  投标人和投标产品的资格、资质性及其他类似效力要求</w:t>
      </w:r>
      <w:bookmarkEnd w:id="1570"/>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2"/>
          <w:highlight w:val="none"/>
          <w:lang w:val="en-US" w:eastAsia="zh-CN"/>
        </w:rPr>
      </w:pPr>
      <w:r>
        <w:rPr>
          <w:rFonts w:hint="eastAsia" w:ascii="宋体" w:hAnsi="宋体" w:eastAsia="宋体" w:cs="宋体"/>
          <w:b/>
          <w:bCs/>
          <w:color w:val="auto"/>
          <w:sz w:val="24"/>
          <w:szCs w:val="22"/>
          <w:highlight w:val="none"/>
          <w:lang w:val="en-US" w:eastAsia="zh-CN"/>
        </w:rPr>
        <w:t>一、投标人资格、资质性及其他类似效力要求</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（一）资格要求：详见第五章资格性审查要求。</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（二）资质性要求：详见第五章资格性审查要求。</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（三）其他类似效力要求：详见第五章资格性审查要求。</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2"/>
          <w:highlight w:val="none"/>
          <w:lang w:val="en-US" w:eastAsia="zh-CN"/>
        </w:rPr>
      </w:pPr>
      <w:r>
        <w:rPr>
          <w:rFonts w:hint="eastAsia" w:ascii="宋体" w:hAnsi="宋体" w:eastAsia="宋体" w:cs="宋体"/>
          <w:b/>
          <w:bCs/>
          <w:color w:val="auto"/>
          <w:sz w:val="24"/>
          <w:szCs w:val="22"/>
          <w:highlight w:val="none"/>
          <w:lang w:val="en-US" w:eastAsia="zh-CN"/>
        </w:rPr>
        <w:t>二、投标产品的资格、资质性及其他具有类似效力的要求</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（一）资格要求：详见第五章资格性审查要求。</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（二）资质性要求：详见第五章资格性审查要求。</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（三）其他类似效力要求：详见第五章资格性审查要求。</w:t>
      </w: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2"/>
        <w:rPr>
          <w:rFonts w:hint="eastAsia" w:ascii="宋体" w:hAnsi="宋体" w:eastAsia="宋体" w:cs="宋体"/>
          <w:b/>
          <w:bCs/>
          <w:color w:val="auto"/>
          <w:sz w:val="24"/>
          <w:szCs w:val="22"/>
          <w:highlight w:val="none"/>
          <w:lang w:val="en-US" w:eastAsia="zh-CN"/>
        </w:rPr>
      </w:pPr>
    </w:p>
    <w:p>
      <w:pPr>
        <w:pStyle w:val="3"/>
        <w:numPr>
          <w:ilvl w:val="0"/>
          <w:numId w:val="4"/>
        </w:numPr>
        <w:bidi w:val="0"/>
        <w:jc w:val="center"/>
        <w:rPr>
          <w:rFonts w:hint="eastAsia" w:ascii="宋体" w:hAnsi="宋体" w:eastAsia="宋体" w:cs="宋体"/>
          <w:b/>
          <w:bCs w:val="0"/>
          <w:color w:val="auto"/>
          <w:highlight w:val="none"/>
        </w:rPr>
      </w:pPr>
      <w:bookmarkStart w:id="1579" w:name="_Toc21336"/>
      <w:r>
        <w:rPr>
          <w:rFonts w:hint="eastAsia" w:ascii="宋体" w:hAnsi="宋体" w:eastAsia="宋体" w:cs="宋体"/>
          <w:b/>
          <w:bCs w:val="0"/>
          <w:color w:val="auto"/>
          <w:highlight w:val="none"/>
        </w:rPr>
        <w:t>投标人应当提供的资格、资质性及其他类似效力要求的相关证明材料</w:t>
      </w:r>
      <w:bookmarkEnd w:id="1571"/>
      <w:bookmarkEnd w:id="1572"/>
      <w:bookmarkEnd w:id="1573"/>
      <w:bookmarkEnd w:id="1574"/>
      <w:bookmarkEnd w:id="1575"/>
      <w:bookmarkEnd w:id="1579"/>
    </w:p>
    <w:p>
      <w:pPr>
        <w:spacing w:line="360" w:lineRule="auto"/>
        <w:jc w:val="left"/>
        <w:outlineLvl w:val="9"/>
        <w:rPr>
          <w:rFonts w:hint="eastAsia"/>
          <w:color w:val="auto"/>
          <w:lang w:eastAsia="zh-CN"/>
        </w:rPr>
      </w:pPr>
      <w:r>
        <w:rPr>
          <w:rFonts w:hint="eastAsia" w:ascii="宋体" w:hAnsi="宋体" w:eastAsia="宋体" w:cs="宋体"/>
          <w:b/>
          <w:bCs/>
          <w:color w:val="auto"/>
          <w:sz w:val="24"/>
          <w:szCs w:val="24"/>
          <w:highlight w:val="none"/>
          <w:lang w:eastAsia="zh-CN"/>
        </w:rPr>
        <w:t>采购人或者采购代理机构应当依法对投标人的资格进行审查，资格审查内容详见下表。</w:t>
      </w:r>
    </w:p>
    <w:tbl>
      <w:tblPr>
        <w:tblStyle w:val="35"/>
        <w:tblW w:w="52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979"/>
        <w:gridCol w:w="1165"/>
        <w:gridCol w:w="3878"/>
        <w:gridCol w:w="2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000" w:type="pct"/>
            <w:gridSpan w:val="5"/>
            <w:noWrap w:val="0"/>
            <w:vAlign w:val="center"/>
          </w:tcPr>
          <w:p>
            <w:pPr>
              <w:spacing w:line="240" w:lineRule="auto"/>
              <w:jc w:val="center"/>
              <w:rPr>
                <w:rFonts w:hint="eastAsia" w:ascii="宋体" w:hAnsi="宋体" w:eastAsia="宋体" w:cs="宋体"/>
                <w:b/>
                <w:bCs w:val="0"/>
                <w:color w:val="auto"/>
                <w:sz w:val="21"/>
                <w:szCs w:val="21"/>
                <w:highlight w:val="none"/>
                <w:vertAlign w:val="baseline"/>
                <w:lang w:val="en-US" w:eastAsia="zh-CN"/>
              </w:rPr>
            </w:pPr>
            <w:r>
              <w:rPr>
                <w:rFonts w:hint="eastAsia" w:ascii="宋体" w:hAnsi="宋体" w:eastAsia="宋体" w:cs="宋体"/>
                <w:b/>
                <w:bCs w:val="0"/>
                <w:color w:val="auto"/>
                <w:sz w:val="21"/>
                <w:szCs w:val="21"/>
                <w:highlight w:val="none"/>
                <w:vertAlign w:val="baseline"/>
                <w:lang w:val="en-US" w:eastAsia="zh-CN"/>
              </w:rPr>
              <w:t>资格性审查表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noWrap w:val="0"/>
            <w:vAlign w:val="center"/>
          </w:tcPr>
          <w:p>
            <w:pPr>
              <w:tabs>
                <w:tab w:val="left" w:pos="851"/>
              </w:tabs>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206" w:type="pct"/>
            <w:gridSpan w:val="2"/>
            <w:noWrap w:val="0"/>
            <w:vAlign w:val="center"/>
          </w:tcPr>
          <w:p>
            <w:pPr>
              <w:tabs>
                <w:tab w:val="left" w:pos="851"/>
              </w:tabs>
              <w:spacing w:line="24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 xml:space="preserve"> 投标人和投标产品的资格、资质性及其他类似效力要求</w:t>
            </w:r>
          </w:p>
        </w:tc>
        <w:tc>
          <w:tcPr>
            <w:tcW w:w="2183" w:type="pct"/>
            <w:noWrap w:val="0"/>
            <w:vAlign w:val="center"/>
          </w:tcPr>
          <w:p>
            <w:pPr>
              <w:tabs>
                <w:tab w:val="left" w:pos="851"/>
              </w:tabs>
              <w:spacing w:line="240" w:lineRule="auto"/>
              <w:jc w:val="center"/>
              <w:rPr>
                <w:rFonts w:hint="default"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证明材料</w:t>
            </w:r>
          </w:p>
        </w:tc>
        <w:tc>
          <w:tcPr>
            <w:tcW w:w="1134" w:type="pct"/>
            <w:noWrap w:val="0"/>
            <w:vAlign w:val="center"/>
          </w:tcPr>
          <w:p>
            <w:pPr>
              <w:spacing w:line="24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提交要求</w:t>
            </w:r>
            <w:r>
              <w:rPr>
                <w:rFonts w:hint="eastAsia" w:ascii="宋体" w:hAnsi="宋体" w:eastAsia="宋体" w:cs="宋体"/>
                <w:b w:val="0"/>
                <w:bCs w:val="0"/>
                <w:color w:val="auto"/>
                <w:sz w:val="21"/>
                <w:szCs w:val="21"/>
                <w:highlight w:val="none"/>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3" w:hRule="atLeast"/>
          <w:jc w:val="center"/>
        </w:trPr>
        <w:tc>
          <w:tcPr>
            <w:tcW w:w="476" w:type="pct"/>
            <w:vMerge w:val="restart"/>
            <w:noWrap w:val="0"/>
            <w:vAlign w:val="center"/>
          </w:tcPr>
          <w:p>
            <w:pPr>
              <w:spacing w:line="24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1</w:t>
            </w:r>
          </w:p>
        </w:tc>
        <w:tc>
          <w:tcPr>
            <w:tcW w:w="550" w:type="pct"/>
            <w:vMerge w:val="restart"/>
            <w:noWrap w:val="0"/>
            <w:vAlign w:val="center"/>
          </w:tcPr>
          <w:p>
            <w:pPr>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满足《中华人民共和国政府采购法》第二十二条规定</w:t>
            </w:r>
          </w:p>
        </w:tc>
        <w:tc>
          <w:tcPr>
            <w:tcW w:w="655" w:type="pct"/>
            <w:noWrap w:val="0"/>
            <w:vAlign w:val="center"/>
          </w:tcPr>
          <w:p>
            <w:pPr>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具有独立承担民事责任的能力</w:t>
            </w:r>
          </w:p>
        </w:tc>
        <w:tc>
          <w:tcPr>
            <w:tcW w:w="2183" w:type="pct"/>
            <w:noWrap w:val="0"/>
            <w:vAlign w:val="center"/>
          </w:tcPr>
          <w:p>
            <w:pPr>
              <w:pStyle w:val="86"/>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①供应商为企业法人</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提供“统一社会信用代码营业执照”；未换证的提供“营业执照、税务登记证、组织机构代码证或三证合一的营业执照”；②供应商为事业法人</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提供“统一社会信用代码法人登记证书”；未换证的提交“事业法人登记证书、组织机构代码证”；</w:t>
            </w:r>
          </w:p>
          <w:p>
            <w:pPr>
              <w:pStyle w:val="86"/>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③供应商为其他组织</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：提供“对应主管部门颁发的准许执业证明文件或营业执照”；</w:t>
            </w:r>
          </w:p>
          <w:p>
            <w:pPr>
              <w:pStyle w:val="86"/>
              <w:spacing w:line="240" w:lineRule="auto"/>
              <w:ind w:firstLine="0" w:firstLineChars="0"/>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④供应商为自然人</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提供“身份证明材料”；</w:t>
            </w:r>
          </w:p>
        </w:tc>
        <w:tc>
          <w:tcPr>
            <w:tcW w:w="1134" w:type="pct"/>
            <w:noWrap w:val="0"/>
            <w:vAlign w:val="center"/>
          </w:tcPr>
          <w:p>
            <w:pPr>
              <w:spacing w:line="24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投标人按照要求上传证明材料（复印件或扫扫描件），</w:t>
            </w:r>
            <w:r>
              <w:rPr>
                <w:rFonts w:hint="eastAsia" w:ascii="宋体" w:hAnsi="宋体" w:eastAsia="宋体" w:cs="宋体"/>
                <w:color w:val="auto"/>
                <w:sz w:val="21"/>
                <w:szCs w:val="21"/>
                <w:highlight w:val="none"/>
              </w:rPr>
              <w:t>采购人或者采购代理机构</w:t>
            </w:r>
            <w:r>
              <w:rPr>
                <w:rFonts w:hint="eastAsia" w:ascii="宋体" w:hAnsi="宋体" w:eastAsia="宋体" w:cs="宋体"/>
                <w:b w:val="0"/>
                <w:bCs/>
                <w:color w:val="auto"/>
                <w:sz w:val="21"/>
                <w:szCs w:val="21"/>
                <w:highlight w:val="none"/>
                <w:vertAlign w:val="baseline"/>
                <w:lang w:val="en-US" w:eastAsia="zh-CN"/>
              </w:rPr>
              <w:t>根据上传内容</w:t>
            </w:r>
            <w:r>
              <w:rPr>
                <w:rFonts w:hint="eastAsia" w:ascii="宋体" w:hAnsi="宋体" w:eastAsia="宋体" w:cs="宋体"/>
                <w:color w:val="auto"/>
                <w:sz w:val="21"/>
                <w:szCs w:val="21"/>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jc w:val="center"/>
        </w:trPr>
        <w:tc>
          <w:tcPr>
            <w:tcW w:w="476" w:type="pct"/>
            <w:vMerge w:val="continue"/>
            <w:noWrap w:val="0"/>
            <w:vAlign w:val="center"/>
          </w:tcPr>
          <w:p>
            <w:pPr>
              <w:spacing w:line="240" w:lineRule="auto"/>
              <w:jc w:val="center"/>
              <w:rPr>
                <w:rFonts w:hint="eastAsia" w:ascii="宋体" w:hAnsi="宋体" w:eastAsia="宋体" w:cs="宋体"/>
                <w:b w:val="0"/>
                <w:bCs/>
                <w:color w:val="auto"/>
                <w:sz w:val="21"/>
                <w:szCs w:val="21"/>
                <w:highlight w:val="none"/>
                <w:vertAlign w:val="baseline"/>
                <w:lang w:val="en-US" w:eastAsia="zh-CN"/>
              </w:rPr>
            </w:pPr>
          </w:p>
        </w:tc>
        <w:tc>
          <w:tcPr>
            <w:tcW w:w="550" w:type="pct"/>
            <w:vMerge w:val="continue"/>
            <w:noWrap w:val="0"/>
            <w:vAlign w:val="center"/>
          </w:tcPr>
          <w:p>
            <w:pPr>
              <w:spacing w:line="240" w:lineRule="auto"/>
              <w:rPr>
                <w:rFonts w:hint="eastAsia" w:ascii="宋体" w:hAnsi="宋体" w:eastAsia="宋体" w:cs="宋体"/>
                <w:b w:val="0"/>
                <w:bCs/>
                <w:color w:val="auto"/>
                <w:sz w:val="21"/>
                <w:szCs w:val="21"/>
                <w:highlight w:val="none"/>
                <w:lang w:val="en-US" w:eastAsia="zh-CN"/>
              </w:rPr>
            </w:pPr>
          </w:p>
        </w:tc>
        <w:tc>
          <w:tcPr>
            <w:tcW w:w="655" w:type="pct"/>
            <w:noWrap w:val="0"/>
            <w:vAlign w:val="center"/>
          </w:tcPr>
          <w:p>
            <w:pPr>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color w:val="auto"/>
                <w:sz w:val="21"/>
                <w:szCs w:val="21"/>
                <w:highlight w:val="none"/>
              </w:rPr>
              <w:t>具备良好商业信誉</w:t>
            </w:r>
          </w:p>
        </w:tc>
        <w:tc>
          <w:tcPr>
            <w:tcW w:w="2183" w:type="pct"/>
            <w:noWrap w:val="0"/>
            <w:vAlign w:val="center"/>
          </w:tcPr>
          <w:p>
            <w:pPr>
              <w:spacing w:line="24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具备良好商业信誉</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承诺函</w:t>
            </w:r>
            <w:r>
              <w:rPr>
                <w:rFonts w:hint="eastAsia" w:ascii="宋体" w:hAnsi="宋体" w:eastAsia="宋体" w:cs="宋体"/>
                <w:color w:val="auto"/>
                <w:sz w:val="21"/>
                <w:szCs w:val="21"/>
                <w:highlight w:val="none"/>
                <w:lang w:val="en-US" w:eastAsia="zh-CN"/>
              </w:rPr>
              <w:t>。</w:t>
            </w:r>
          </w:p>
          <w:p>
            <w:pPr>
              <w:spacing w:line="24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134" w:type="pct"/>
            <w:noWrap w:val="0"/>
            <w:vAlign w:val="center"/>
          </w:tcPr>
          <w:p>
            <w:pPr>
              <w:spacing w:line="240" w:lineRule="auto"/>
              <w:rPr>
                <w:rFonts w:hint="eastAsia"/>
                <w:color w:val="auto"/>
                <w:sz w:val="21"/>
                <w:szCs w:val="21"/>
                <w:lang w:val="en-US" w:eastAsia="zh-CN"/>
              </w:rPr>
            </w:pPr>
            <w:r>
              <w:rPr>
                <w:rFonts w:hint="eastAsia" w:ascii="宋体" w:hAnsi="宋体" w:eastAsia="宋体" w:cs="宋体"/>
                <w:color w:val="auto"/>
                <w:sz w:val="21"/>
                <w:szCs w:val="21"/>
                <w:highlight w:val="none"/>
                <w:lang w:val="en-US" w:eastAsia="zh-CN"/>
              </w:rPr>
              <w:t>单独的</w:t>
            </w:r>
            <w:r>
              <w:rPr>
                <w:rFonts w:hint="eastAsia" w:ascii="宋体" w:hAnsi="宋体" w:eastAsia="宋体" w:cs="宋体"/>
                <w:color w:val="auto"/>
                <w:sz w:val="21"/>
                <w:szCs w:val="21"/>
                <w:highlight w:val="none"/>
              </w:rPr>
              <w:t>具备良好商业信誉</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none"/>
              </w:rPr>
              <w:t>承诺函</w:t>
            </w:r>
            <w:r>
              <w:rPr>
                <w:rFonts w:hint="eastAsia" w:ascii="宋体" w:hAnsi="宋体" w:eastAsia="宋体" w:cs="宋体"/>
                <w:color w:val="auto"/>
                <w:sz w:val="21"/>
                <w:szCs w:val="21"/>
                <w:highlight w:val="none"/>
                <w:lang w:val="en-US" w:eastAsia="zh-CN"/>
              </w:rPr>
              <w:t>或按招标文件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val="en-US" w:eastAsia="zh-CN"/>
              </w:rPr>
              <w:t>提供的承诺函均可。</w:t>
            </w:r>
            <w:r>
              <w:rPr>
                <w:rFonts w:hint="eastAsia" w:ascii="宋体" w:hAnsi="宋体" w:eastAsia="宋体" w:cs="宋体"/>
                <w:color w:val="auto"/>
                <w:sz w:val="21"/>
                <w:szCs w:val="21"/>
                <w:highlight w:val="none"/>
              </w:rPr>
              <w:t>采购人或者采购代理机构</w:t>
            </w:r>
            <w:r>
              <w:rPr>
                <w:rFonts w:hint="eastAsia" w:ascii="宋体" w:hAnsi="宋体" w:eastAsia="宋体" w:cs="宋体"/>
                <w:color w:val="auto"/>
                <w:sz w:val="21"/>
                <w:szCs w:val="21"/>
                <w:highlight w:val="none"/>
                <w:lang w:val="en-US" w:eastAsia="zh-CN"/>
              </w:rPr>
              <w:t>根据上传内容</w:t>
            </w:r>
            <w:r>
              <w:rPr>
                <w:rFonts w:hint="eastAsia" w:ascii="宋体" w:hAnsi="宋体" w:eastAsia="宋体" w:cs="宋体"/>
                <w:color w:val="auto"/>
                <w:sz w:val="21"/>
                <w:szCs w:val="21"/>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76" w:type="pct"/>
            <w:vMerge w:val="continue"/>
            <w:noWrap w:val="0"/>
            <w:vAlign w:val="center"/>
          </w:tcPr>
          <w:p>
            <w:pPr>
              <w:spacing w:line="240" w:lineRule="auto"/>
              <w:jc w:val="center"/>
              <w:rPr>
                <w:rFonts w:hint="eastAsia" w:ascii="宋体" w:hAnsi="宋体" w:eastAsia="宋体" w:cs="宋体"/>
                <w:b w:val="0"/>
                <w:bCs/>
                <w:color w:val="auto"/>
                <w:sz w:val="21"/>
                <w:szCs w:val="21"/>
                <w:highlight w:val="none"/>
                <w:vertAlign w:val="baseline"/>
                <w:lang w:val="en-US" w:eastAsia="zh-CN"/>
              </w:rPr>
            </w:pPr>
          </w:p>
        </w:tc>
        <w:tc>
          <w:tcPr>
            <w:tcW w:w="550" w:type="pct"/>
            <w:vMerge w:val="continue"/>
            <w:noWrap w:val="0"/>
            <w:vAlign w:val="center"/>
          </w:tcPr>
          <w:p>
            <w:pPr>
              <w:spacing w:line="240" w:lineRule="auto"/>
              <w:rPr>
                <w:rFonts w:hint="eastAsia" w:ascii="宋体" w:hAnsi="宋体" w:eastAsia="宋体" w:cs="宋体"/>
                <w:b w:val="0"/>
                <w:bCs/>
                <w:color w:val="auto"/>
                <w:sz w:val="21"/>
                <w:szCs w:val="21"/>
                <w:highlight w:val="none"/>
                <w:lang w:val="en-US" w:eastAsia="zh-CN"/>
              </w:rPr>
            </w:pPr>
          </w:p>
        </w:tc>
        <w:tc>
          <w:tcPr>
            <w:tcW w:w="655" w:type="pct"/>
            <w:noWrap w:val="0"/>
            <w:vAlign w:val="center"/>
          </w:tcPr>
          <w:p>
            <w:pPr>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color w:val="auto"/>
                <w:sz w:val="21"/>
                <w:szCs w:val="21"/>
                <w:highlight w:val="none"/>
              </w:rPr>
              <w:t>具备健全的财务会计制度</w:t>
            </w:r>
          </w:p>
        </w:tc>
        <w:tc>
          <w:tcPr>
            <w:tcW w:w="2183" w:type="pct"/>
            <w:noWrap w:val="0"/>
            <w:vAlign w:val="center"/>
          </w:tcPr>
          <w:p>
            <w:pPr>
              <w:pStyle w:val="86"/>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①提供20</w:t>
            </w: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rPr>
              <w:t>或20</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年度经审计的财务报告复印件（包含审计报告和审计报告中所涉及的财务报表和报表附注），</w:t>
            </w:r>
          </w:p>
          <w:p>
            <w:pPr>
              <w:pStyle w:val="86"/>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w:t>
            </w:r>
            <w:r>
              <w:rPr>
                <w:rFonts w:hint="eastAsia" w:ascii="宋体" w:hAnsi="宋体" w:eastAsia="宋体" w:cs="宋体"/>
                <w:color w:val="auto"/>
                <w:sz w:val="21"/>
                <w:szCs w:val="21"/>
                <w:highlight w:val="none"/>
                <w:lang w:val="en-US" w:eastAsia="zh-CN"/>
              </w:rPr>
              <w:t>或</w:t>
            </w:r>
            <w:r>
              <w:rPr>
                <w:rFonts w:hint="eastAsia" w:ascii="宋体" w:hAnsi="宋体" w:eastAsia="宋体" w:cs="宋体"/>
                <w:color w:val="auto"/>
                <w:sz w:val="21"/>
                <w:szCs w:val="21"/>
                <w:highlight w:val="none"/>
              </w:rPr>
              <w:t>提供20</w:t>
            </w: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rPr>
              <w:t>或20</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年度供应商内部的财务报表复印件（（至少包含资产负债表），</w:t>
            </w:r>
          </w:p>
          <w:p>
            <w:pPr>
              <w:pStyle w:val="86"/>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w:t>
            </w:r>
            <w:r>
              <w:rPr>
                <w:rFonts w:hint="eastAsia" w:ascii="宋体" w:hAnsi="宋体" w:eastAsia="宋体" w:cs="宋体"/>
                <w:color w:val="auto"/>
                <w:sz w:val="21"/>
                <w:szCs w:val="21"/>
                <w:highlight w:val="none"/>
                <w:lang w:val="en-US" w:eastAsia="zh-CN"/>
              </w:rPr>
              <w:t>或</w:t>
            </w:r>
            <w:r>
              <w:rPr>
                <w:rFonts w:hint="eastAsia" w:ascii="宋体" w:hAnsi="宋体" w:eastAsia="宋体" w:cs="宋体"/>
                <w:color w:val="auto"/>
                <w:sz w:val="21"/>
                <w:szCs w:val="21"/>
                <w:highlight w:val="none"/>
              </w:rPr>
              <w:t>提供截至投标文件递交截止日一年内银行出具的资信证明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复印件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pStyle w:val="86"/>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④供应商注册时间截至投标文件递交截止日不足一年的，也可提供加盖工商备案主管部门印章的公司章程复印件。</w:t>
            </w:r>
          </w:p>
          <w:p>
            <w:pPr>
              <w:pStyle w:val="86"/>
              <w:spacing w:line="240" w:lineRule="auto"/>
              <w:ind w:firstLine="0" w:firstLineChars="0"/>
              <w:rPr>
                <w:rFonts w:hint="eastAsia" w:hAnsi="宋体" w:eastAsia="宋体" w:cs="宋体"/>
                <w:color w:val="auto"/>
                <w:sz w:val="21"/>
                <w:szCs w:val="21"/>
                <w:highlight w:val="none"/>
                <w:lang w:val="en-US" w:eastAsia="zh-CN"/>
              </w:rPr>
            </w:pPr>
            <w:r>
              <w:rPr>
                <w:rFonts w:hint="eastAsia" w:hAnsi="宋体" w:eastAsia="宋体" w:cs="宋体"/>
                <w:color w:val="auto"/>
                <w:sz w:val="21"/>
                <w:szCs w:val="21"/>
                <w:highlight w:val="none"/>
                <w:lang w:eastAsia="zh-CN"/>
              </w:rPr>
              <w:t>⑤供应商为事业单位或其他组织(不具备法人条件的组织，如合伙组织、个体工商户、农村承包经营户等)或自然人时，可提供</w:t>
            </w:r>
            <w:r>
              <w:rPr>
                <w:rFonts w:hint="eastAsia" w:ascii="宋体" w:hAnsi="宋体" w:eastAsia="宋体" w:cs="宋体"/>
                <w:color w:val="auto"/>
                <w:sz w:val="21"/>
                <w:szCs w:val="21"/>
                <w:highlight w:val="none"/>
              </w:rPr>
              <w:t>具备健全的财务会计制度</w:t>
            </w:r>
            <w:r>
              <w:rPr>
                <w:rFonts w:hint="eastAsia" w:ascii="宋体" w:hAnsi="宋体" w:eastAsia="宋体" w:cs="宋体"/>
                <w:color w:val="auto"/>
                <w:sz w:val="21"/>
                <w:szCs w:val="21"/>
                <w:highlight w:val="none"/>
                <w:lang w:val="en-US" w:eastAsia="zh-CN"/>
              </w:rPr>
              <w:t>的</w:t>
            </w:r>
            <w:r>
              <w:rPr>
                <w:rFonts w:hint="eastAsia" w:hAnsi="宋体" w:eastAsia="宋体" w:cs="宋体"/>
                <w:color w:val="auto"/>
                <w:sz w:val="21"/>
                <w:szCs w:val="21"/>
                <w:highlight w:val="none"/>
                <w:lang w:eastAsia="zh-CN"/>
              </w:rPr>
              <w:t>承诺函</w:t>
            </w:r>
            <w:r>
              <w:rPr>
                <w:rFonts w:hint="eastAsia" w:hAnsi="宋体" w:eastAsia="宋体" w:cs="宋体"/>
                <w:color w:val="auto"/>
                <w:sz w:val="21"/>
                <w:szCs w:val="21"/>
                <w:highlight w:val="none"/>
                <w:lang w:val="en-US" w:eastAsia="zh-CN"/>
              </w:rPr>
              <w:t>。</w:t>
            </w:r>
          </w:p>
          <w:p>
            <w:pPr>
              <w:pStyle w:val="86"/>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注：以上1-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项具有同等的投标效力，提供任一项即可。</w:t>
            </w:r>
          </w:p>
        </w:tc>
        <w:tc>
          <w:tcPr>
            <w:tcW w:w="1134" w:type="pct"/>
            <w:noWrap w:val="0"/>
            <w:vAlign w:val="center"/>
          </w:tcPr>
          <w:p>
            <w:pPr>
              <w:spacing w:line="240" w:lineRule="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投标人按照要求上传证明材料（复印件或扫扫描件），</w:t>
            </w:r>
            <w:r>
              <w:rPr>
                <w:rFonts w:hint="eastAsia" w:ascii="宋体" w:hAnsi="宋体" w:eastAsia="宋体" w:cs="宋体"/>
                <w:color w:val="auto"/>
                <w:sz w:val="21"/>
                <w:szCs w:val="21"/>
                <w:highlight w:val="none"/>
              </w:rPr>
              <w:t>采购人或者采购代理机构</w:t>
            </w:r>
            <w:r>
              <w:rPr>
                <w:rFonts w:hint="eastAsia" w:ascii="宋体" w:hAnsi="宋体" w:eastAsia="宋体" w:cs="宋体"/>
                <w:b w:val="0"/>
                <w:bCs/>
                <w:color w:val="auto"/>
                <w:sz w:val="21"/>
                <w:szCs w:val="21"/>
                <w:highlight w:val="none"/>
                <w:vertAlign w:val="baseline"/>
                <w:lang w:val="en-US" w:eastAsia="zh-CN"/>
              </w:rPr>
              <w:t>根据上传内容</w:t>
            </w:r>
            <w:r>
              <w:rPr>
                <w:rFonts w:hint="eastAsia" w:ascii="宋体" w:hAnsi="宋体" w:eastAsia="宋体" w:cs="宋体"/>
                <w:color w:val="auto"/>
                <w:sz w:val="21"/>
                <w:szCs w:val="21"/>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476" w:type="pct"/>
            <w:vMerge w:val="continue"/>
            <w:noWrap w:val="0"/>
            <w:vAlign w:val="center"/>
          </w:tcPr>
          <w:p>
            <w:pPr>
              <w:spacing w:line="240" w:lineRule="auto"/>
              <w:jc w:val="center"/>
              <w:rPr>
                <w:rFonts w:hint="eastAsia" w:ascii="宋体" w:hAnsi="宋体" w:eastAsia="宋体" w:cs="宋体"/>
                <w:b w:val="0"/>
                <w:bCs/>
                <w:color w:val="auto"/>
                <w:sz w:val="21"/>
                <w:szCs w:val="21"/>
                <w:highlight w:val="none"/>
                <w:vertAlign w:val="baseline"/>
                <w:lang w:val="en-US" w:eastAsia="zh-CN"/>
              </w:rPr>
            </w:pPr>
          </w:p>
        </w:tc>
        <w:tc>
          <w:tcPr>
            <w:tcW w:w="550" w:type="pct"/>
            <w:vMerge w:val="continue"/>
            <w:noWrap w:val="0"/>
            <w:vAlign w:val="center"/>
          </w:tcPr>
          <w:p>
            <w:pPr>
              <w:spacing w:line="240" w:lineRule="auto"/>
              <w:rPr>
                <w:rFonts w:hint="eastAsia" w:ascii="宋体" w:hAnsi="宋体" w:eastAsia="宋体" w:cs="宋体"/>
                <w:b w:val="0"/>
                <w:bCs/>
                <w:color w:val="auto"/>
                <w:sz w:val="21"/>
                <w:szCs w:val="21"/>
                <w:highlight w:val="none"/>
                <w:lang w:val="en-US" w:eastAsia="zh-CN"/>
              </w:rPr>
            </w:pPr>
          </w:p>
        </w:tc>
        <w:tc>
          <w:tcPr>
            <w:tcW w:w="655" w:type="pct"/>
            <w:noWrap w:val="0"/>
            <w:vAlign w:val="center"/>
          </w:tcPr>
          <w:p>
            <w:pPr>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color w:val="auto"/>
                <w:sz w:val="21"/>
                <w:szCs w:val="21"/>
                <w:highlight w:val="none"/>
              </w:rPr>
              <w:t>具有依法缴纳税收和社会保障资金的良好记录</w:t>
            </w:r>
          </w:p>
        </w:tc>
        <w:tc>
          <w:tcPr>
            <w:tcW w:w="2183" w:type="pct"/>
            <w:noWrap w:val="0"/>
            <w:vAlign w:val="center"/>
          </w:tcPr>
          <w:p>
            <w:pPr>
              <w:numPr>
                <w:ilvl w:val="0"/>
                <w:numId w:val="0"/>
              </w:numPr>
              <w:spacing w:after="50" w:line="240" w:lineRule="auto"/>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有依法缴纳税收和社会保障资金的良好记录</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承诺函；</w:t>
            </w:r>
          </w:p>
        </w:tc>
        <w:tc>
          <w:tcPr>
            <w:tcW w:w="1134" w:type="pct"/>
            <w:noWrap w:val="0"/>
            <w:vAlign w:val="center"/>
          </w:tcPr>
          <w:p>
            <w:pPr>
              <w:spacing w:line="240" w:lineRule="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单独的</w:t>
            </w:r>
            <w:r>
              <w:rPr>
                <w:rFonts w:hint="eastAsia" w:ascii="宋体" w:hAnsi="宋体" w:eastAsia="宋体" w:cs="宋体"/>
                <w:color w:val="auto"/>
                <w:sz w:val="21"/>
                <w:szCs w:val="21"/>
                <w:highlight w:val="none"/>
              </w:rPr>
              <w:t>具有依法缴纳税收和社会保障资金的良好记录</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承诺函</w:t>
            </w:r>
            <w:r>
              <w:rPr>
                <w:rFonts w:hint="eastAsia" w:ascii="宋体" w:hAnsi="宋体" w:eastAsia="宋体" w:cs="宋体"/>
                <w:color w:val="auto"/>
                <w:sz w:val="21"/>
                <w:szCs w:val="21"/>
                <w:highlight w:val="none"/>
                <w:lang w:val="en-US" w:eastAsia="zh-CN"/>
              </w:rPr>
              <w:t>或按招标文件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val="en-US" w:eastAsia="zh-CN"/>
              </w:rPr>
              <w:t>提供的承诺函均可。</w:t>
            </w:r>
            <w:r>
              <w:rPr>
                <w:rFonts w:hint="eastAsia" w:ascii="宋体" w:hAnsi="宋体" w:eastAsia="宋体" w:cs="宋体"/>
                <w:color w:val="auto"/>
                <w:sz w:val="21"/>
                <w:szCs w:val="21"/>
                <w:highlight w:val="none"/>
              </w:rPr>
              <w:t>采购人或者采购代理机构</w:t>
            </w:r>
            <w:r>
              <w:rPr>
                <w:rFonts w:hint="eastAsia" w:ascii="宋体" w:hAnsi="宋体" w:eastAsia="宋体" w:cs="宋体"/>
                <w:color w:val="auto"/>
                <w:sz w:val="21"/>
                <w:szCs w:val="21"/>
                <w:highlight w:val="none"/>
                <w:lang w:val="en-US" w:eastAsia="zh-CN"/>
              </w:rPr>
              <w:t>根据上传内容</w:t>
            </w:r>
            <w:r>
              <w:rPr>
                <w:rFonts w:hint="eastAsia" w:ascii="宋体" w:hAnsi="宋体" w:eastAsia="宋体" w:cs="宋体"/>
                <w:color w:val="auto"/>
                <w:sz w:val="21"/>
                <w:szCs w:val="21"/>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476" w:type="pct"/>
            <w:vMerge w:val="continue"/>
            <w:noWrap w:val="0"/>
            <w:vAlign w:val="center"/>
          </w:tcPr>
          <w:p>
            <w:pPr>
              <w:spacing w:line="240" w:lineRule="auto"/>
              <w:jc w:val="center"/>
              <w:rPr>
                <w:rFonts w:hint="eastAsia" w:ascii="宋体" w:hAnsi="宋体" w:eastAsia="宋体" w:cs="宋体"/>
                <w:b w:val="0"/>
                <w:bCs/>
                <w:color w:val="auto"/>
                <w:sz w:val="21"/>
                <w:szCs w:val="21"/>
                <w:highlight w:val="none"/>
                <w:vertAlign w:val="baseline"/>
                <w:lang w:val="en-US" w:eastAsia="zh-CN"/>
              </w:rPr>
            </w:pPr>
          </w:p>
        </w:tc>
        <w:tc>
          <w:tcPr>
            <w:tcW w:w="550" w:type="pct"/>
            <w:vMerge w:val="continue"/>
            <w:noWrap w:val="0"/>
            <w:vAlign w:val="center"/>
          </w:tcPr>
          <w:p>
            <w:pPr>
              <w:spacing w:line="240" w:lineRule="auto"/>
              <w:rPr>
                <w:rFonts w:hint="eastAsia" w:ascii="宋体" w:hAnsi="宋体" w:eastAsia="宋体" w:cs="宋体"/>
                <w:b w:val="0"/>
                <w:bCs/>
                <w:color w:val="auto"/>
                <w:sz w:val="21"/>
                <w:szCs w:val="21"/>
                <w:highlight w:val="none"/>
                <w:lang w:val="en-US" w:eastAsia="zh-CN"/>
              </w:rPr>
            </w:pPr>
          </w:p>
        </w:tc>
        <w:tc>
          <w:tcPr>
            <w:tcW w:w="655" w:type="pct"/>
            <w:noWrap w:val="0"/>
            <w:vAlign w:val="center"/>
          </w:tcPr>
          <w:p>
            <w:pPr>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color w:val="auto"/>
                <w:sz w:val="21"/>
                <w:szCs w:val="21"/>
                <w:highlight w:val="none"/>
              </w:rPr>
              <w:t>具备履行合同所必需的设备和专业技术能力</w:t>
            </w:r>
          </w:p>
        </w:tc>
        <w:tc>
          <w:tcPr>
            <w:tcW w:w="2183" w:type="pct"/>
            <w:noWrap w:val="0"/>
            <w:vAlign w:val="center"/>
          </w:tcPr>
          <w:p>
            <w:pPr>
              <w:pStyle w:val="86"/>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具备履行合同所必需的设备和专业技术能力</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承诺函；</w:t>
            </w:r>
          </w:p>
          <w:p>
            <w:pPr>
              <w:spacing w:line="240" w:lineRule="auto"/>
              <w:rPr>
                <w:rFonts w:hint="eastAsia" w:ascii="宋体" w:hAnsi="宋体" w:eastAsia="宋体" w:cs="宋体"/>
                <w:b w:val="0"/>
                <w:bCs/>
                <w:color w:val="auto"/>
                <w:sz w:val="21"/>
                <w:szCs w:val="21"/>
                <w:highlight w:val="none"/>
              </w:rPr>
            </w:pPr>
          </w:p>
        </w:tc>
        <w:tc>
          <w:tcPr>
            <w:tcW w:w="1134" w:type="pct"/>
            <w:noWrap w:val="0"/>
            <w:vAlign w:val="center"/>
          </w:tcPr>
          <w:p>
            <w:pPr>
              <w:spacing w:line="240" w:lineRule="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单独的</w:t>
            </w:r>
            <w:r>
              <w:rPr>
                <w:rFonts w:hint="eastAsia" w:ascii="宋体" w:hAnsi="宋体" w:eastAsia="宋体" w:cs="宋体"/>
                <w:color w:val="auto"/>
                <w:sz w:val="21"/>
                <w:szCs w:val="21"/>
                <w:highlight w:val="none"/>
              </w:rPr>
              <w:t>具备履行合同所必需的设备和专业技术能力</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承诺函</w:t>
            </w:r>
            <w:r>
              <w:rPr>
                <w:rFonts w:hint="eastAsia" w:ascii="宋体" w:hAnsi="宋体" w:eastAsia="宋体" w:cs="宋体"/>
                <w:color w:val="auto"/>
                <w:sz w:val="21"/>
                <w:szCs w:val="21"/>
                <w:highlight w:val="none"/>
                <w:lang w:val="en-US" w:eastAsia="zh-CN"/>
              </w:rPr>
              <w:t>或按招标文件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val="en-US" w:eastAsia="zh-CN"/>
              </w:rPr>
              <w:t>提供的承诺函均可。</w:t>
            </w:r>
            <w:r>
              <w:rPr>
                <w:rFonts w:hint="eastAsia" w:ascii="宋体" w:hAnsi="宋体" w:eastAsia="宋体" w:cs="宋体"/>
                <w:color w:val="auto"/>
                <w:sz w:val="21"/>
                <w:szCs w:val="21"/>
                <w:highlight w:val="none"/>
              </w:rPr>
              <w:t>采购人或者采购代理机构</w:t>
            </w:r>
            <w:r>
              <w:rPr>
                <w:rFonts w:hint="eastAsia" w:ascii="宋体" w:hAnsi="宋体" w:eastAsia="宋体" w:cs="宋体"/>
                <w:color w:val="auto"/>
                <w:sz w:val="21"/>
                <w:szCs w:val="21"/>
                <w:highlight w:val="none"/>
                <w:lang w:val="en-US" w:eastAsia="zh-CN"/>
              </w:rPr>
              <w:t>根据上传内容</w:t>
            </w:r>
            <w:r>
              <w:rPr>
                <w:rFonts w:hint="eastAsia" w:ascii="宋体" w:hAnsi="宋体" w:eastAsia="宋体" w:cs="宋体"/>
                <w:color w:val="auto"/>
                <w:sz w:val="21"/>
                <w:szCs w:val="21"/>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3" w:hRule="atLeast"/>
          <w:jc w:val="center"/>
        </w:trPr>
        <w:tc>
          <w:tcPr>
            <w:tcW w:w="476" w:type="pct"/>
            <w:vMerge w:val="continue"/>
            <w:noWrap w:val="0"/>
            <w:vAlign w:val="center"/>
          </w:tcPr>
          <w:p>
            <w:pPr>
              <w:spacing w:line="240" w:lineRule="auto"/>
              <w:jc w:val="center"/>
              <w:rPr>
                <w:rFonts w:hint="eastAsia" w:ascii="宋体" w:hAnsi="宋体" w:eastAsia="宋体" w:cs="宋体"/>
                <w:b w:val="0"/>
                <w:bCs/>
                <w:color w:val="auto"/>
                <w:sz w:val="21"/>
                <w:szCs w:val="21"/>
                <w:highlight w:val="none"/>
                <w:vertAlign w:val="baseline"/>
                <w:lang w:val="en-US" w:eastAsia="zh-CN"/>
              </w:rPr>
            </w:pPr>
          </w:p>
        </w:tc>
        <w:tc>
          <w:tcPr>
            <w:tcW w:w="550" w:type="pct"/>
            <w:vMerge w:val="continue"/>
            <w:noWrap w:val="0"/>
            <w:vAlign w:val="center"/>
          </w:tcPr>
          <w:p>
            <w:pPr>
              <w:spacing w:line="240" w:lineRule="auto"/>
              <w:rPr>
                <w:rFonts w:hint="eastAsia" w:ascii="宋体" w:hAnsi="宋体" w:eastAsia="宋体" w:cs="宋体"/>
                <w:b w:val="0"/>
                <w:bCs/>
                <w:color w:val="auto"/>
                <w:sz w:val="21"/>
                <w:szCs w:val="21"/>
                <w:highlight w:val="none"/>
                <w:lang w:val="en-US" w:eastAsia="zh-CN"/>
              </w:rPr>
            </w:pPr>
          </w:p>
        </w:tc>
        <w:tc>
          <w:tcPr>
            <w:tcW w:w="655" w:type="pct"/>
            <w:noWrap w:val="0"/>
            <w:vAlign w:val="center"/>
          </w:tcPr>
          <w:p>
            <w:pPr>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color w:val="auto"/>
                <w:sz w:val="21"/>
                <w:szCs w:val="21"/>
                <w:highlight w:val="none"/>
              </w:rPr>
              <w:t>参加政府采购活动前3年内在经营活动中没有重大违法记录</w:t>
            </w:r>
          </w:p>
        </w:tc>
        <w:tc>
          <w:tcPr>
            <w:tcW w:w="2183" w:type="pct"/>
            <w:noWrap w:val="0"/>
            <w:vAlign w:val="center"/>
          </w:tcPr>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参加政府采购活动前3年内在经营活动中没有重大违法记录</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承诺函；</w:t>
            </w:r>
          </w:p>
          <w:p>
            <w:pPr>
              <w:spacing w:line="240" w:lineRule="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34" w:type="pct"/>
            <w:noWrap w:val="0"/>
            <w:vAlign w:val="center"/>
          </w:tcPr>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单独的</w:t>
            </w:r>
            <w:r>
              <w:rPr>
                <w:rFonts w:hint="eastAsia" w:ascii="宋体" w:hAnsi="宋体" w:eastAsia="宋体" w:cs="宋体"/>
                <w:color w:val="auto"/>
                <w:sz w:val="21"/>
                <w:szCs w:val="21"/>
                <w:highlight w:val="none"/>
              </w:rPr>
              <w:t>参加政府采购活动前3年内在经营活动中没有重大违法记录</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承诺函</w:t>
            </w:r>
            <w:r>
              <w:rPr>
                <w:rFonts w:hint="eastAsia" w:ascii="宋体" w:hAnsi="宋体" w:eastAsia="宋体" w:cs="宋体"/>
                <w:color w:val="auto"/>
                <w:sz w:val="21"/>
                <w:szCs w:val="21"/>
                <w:highlight w:val="none"/>
                <w:lang w:val="en-US" w:eastAsia="zh-CN"/>
              </w:rPr>
              <w:t>或按招标文件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val="en-US" w:eastAsia="zh-CN"/>
              </w:rPr>
              <w:t>提供的承诺函均可。</w:t>
            </w:r>
            <w:r>
              <w:rPr>
                <w:rFonts w:hint="eastAsia" w:ascii="宋体" w:hAnsi="宋体" w:eastAsia="宋体" w:cs="宋体"/>
                <w:color w:val="auto"/>
                <w:sz w:val="21"/>
                <w:szCs w:val="21"/>
                <w:highlight w:val="none"/>
              </w:rPr>
              <w:t>采购人或者采购代理机构</w:t>
            </w:r>
            <w:r>
              <w:rPr>
                <w:rFonts w:hint="eastAsia" w:ascii="宋体" w:hAnsi="宋体" w:eastAsia="宋体" w:cs="宋体"/>
                <w:color w:val="auto"/>
                <w:sz w:val="21"/>
                <w:szCs w:val="21"/>
                <w:highlight w:val="none"/>
                <w:lang w:val="en-US" w:eastAsia="zh-CN"/>
              </w:rPr>
              <w:t>根据上传内容</w:t>
            </w:r>
            <w:r>
              <w:rPr>
                <w:rFonts w:hint="eastAsia" w:ascii="宋体" w:hAnsi="宋体" w:eastAsia="宋体" w:cs="宋体"/>
                <w:color w:val="auto"/>
                <w:sz w:val="21"/>
                <w:szCs w:val="21"/>
                <w:highlight w:val="none"/>
              </w:rPr>
              <w:t>对投标人的资格进行审查。</w:t>
            </w:r>
          </w:p>
          <w:p>
            <w:pPr>
              <w:spacing w:line="240" w:lineRule="auto"/>
              <w:rPr>
                <w:rFonts w:hint="eastAsia" w:ascii="宋体" w:hAnsi="宋体" w:eastAsia="宋体" w:cs="宋体"/>
                <w:b w:val="0"/>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8" w:hRule="atLeast"/>
          <w:jc w:val="center"/>
        </w:trPr>
        <w:tc>
          <w:tcPr>
            <w:tcW w:w="476" w:type="pct"/>
            <w:vMerge w:val="continue"/>
            <w:noWrap w:val="0"/>
            <w:vAlign w:val="center"/>
          </w:tcPr>
          <w:p>
            <w:pPr>
              <w:spacing w:line="240" w:lineRule="auto"/>
              <w:jc w:val="center"/>
              <w:rPr>
                <w:rFonts w:hint="eastAsia" w:ascii="宋体" w:hAnsi="宋体" w:eastAsia="宋体" w:cs="宋体"/>
                <w:b w:val="0"/>
                <w:bCs/>
                <w:color w:val="auto"/>
                <w:sz w:val="21"/>
                <w:szCs w:val="21"/>
                <w:highlight w:val="none"/>
                <w:vertAlign w:val="baseline"/>
                <w:lang w:val="en-US" w:eastAsia="zh-CN"/>
              </w:rPr>
            </w:pPr>
          </w:p>
        </w:tc>
        <w:tc>
          <w:tcPr>
            <w:tcW w:w="550" w:type="pct"/>
            <w:vMerge w:val="continue"/>
            <w:noWrap w:val="0"/>
            <w:vAlign w:val="center"/>
          </w:tcPr>
          <w:p>
            <w:pPr>
              <w:spacing w:line="240" w:lineRule="auto"/>
              <w:rPr>
                <w:rFonts w:hint="eastAsia" w:ascii="宋体" w:hAnsi="宋体" w:eastAsia="宋体" w:cs="宋体"/>
                <w:b w:val="0"/>
                <w:bCs/>
                <w:color w:val="auto"/>
                <w:sz w:val="21"/>
                <w:szCs w:val="21"/>
                <w:highlight w:val="none"/>
                <w:lang w:val="en-US" w:eastAsia="zh-CN"/>
              </w:rPr>
            </w:pPr>
          </w:p>
        </w:tc>
        <w:tc>
          <w:tcPr>
            <w:tcW w:w="655" w:type="pct"/>
            <w:noWrap w:val="0"/>
            <w:vAlign w:val="center"/>
          </w:tcPr>
          <w:p>
            <w:pPr>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color w:val="auto"/>
                <w:sz w:val="21"/>
                <w:szCs w:val="21"/>
                <w:highlight w:val="none"/>
              </w:rPr>
              <w:t>具备法律、行政法规规定的其他条件</w:t>
            </w:r>
          </w:p>
        </w:tc>
        <w:tc>
          <w:tcPr>
            <w:tcW w:w="2183" w:type="pct"/>
            <w:noWrap w:val="0"/>
            <w:vAlign w:val="center"/>
          </w:tcPr>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具备法律、行政法规规定的其他条件</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承诺函；</w:t>
            </w:r>
          </w:p>
          <w:p>
            <w:pPr>
              <w:spacing w:line="240" w:lineRule="auto"/>
              <w:rPr>
                <w:rFonts w:hint="eastAsia" w:ascii="宋体" w:hAnsi="宋体" w:eastAsia="宋体" w:cs="宋体"/>
                <w:b w:val="0"/>
                <w:bCs/>
                <w:color w:val="auto"/>
                <w:sz w:val="21"/>
                <w:szCs w:val="21"/>
                <w:highlight w:val="none"/>
              </w:rPr>
            </w:pPr>
          </w:p>
        </w:tc>
        <w:tc>
          <w:tcPr>
            <w:tcW w:w="1134" w:type="pct"/>
            <w:noWrap w:val="0"/>
            <w:vAlign w:val="center"/>
          </w:tcPr>
          <w:p>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单独的具备法律、行政法规规定的其他条件的承诺函或按招标文件格式提供的承诺函均可。采购人或者采购代理机构根据上传内容对投标人的资格进行审查。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476" w:type="pct"/>
            <w:noWrap w:val="0"/>
            <w:vAlign w:val="center"/>
          </w:tcPr>
          <w:p>
            <w:pPr>
              <w:spacing w:line="240" w:lineRule="auto"/>
              <w:jc w:val="center"/>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2</w:t>
            </w:r>
          </w:p>
        </w:tc>
        <w:tc>
          <w:tcPr>
            <w:tcW w:w="550" w:type="pct"/>
            <w:noWrap w:val="0"/>
            <w:vAlign w:val="center"/>
          </w:tcPr>
          <w:p>
            <w:pPr>
              <w:tabs>
                <w:tab w:val="left" w:pos="7665"/>
              </w:tabs>
              <w:spacing w:line="24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落实政府采购政策需满足的资格要求</w:t>
            </w:r>
          </w:p>
        </w:tc>
        <w:tc>
          <w:tcPr>
            <w:tcW w:w="655" w:type="pct"/>
            <w:noWrap w:val="0"/>
            <w:vAlign w:val="center"/>
          </w:tcPr>
          <w:p>
            <w:pPr>
              <w:tabs>
                <w:tab w:val="left" w:pos="7665"/>
              </w:tabs>
              <w:spacing w:line="240" w:lineRule="auto"/>
              <w:jc w:val="center"/>
              <w:rPr>
                <w:rFonts w:hint="default" w:ascii="宋体"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无</w:t>
            </w:r>
          </w:p>
        </w:tc>
        <w:tc>
          <w:tcPr>
            <w:tcW w:w="3878" w:type="dxa"/>
            <w:noWrap w:val="0"/>
            <w:vAlign w:val="center"/>
          </w:tcPr>
          <w:p>
            <w:pPr>
              <w:spacing w:line="24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w:t>
            </w:r>
          </w:p>
        </w:tc>
        <w:tc>
          <w:tcPr>
            <w:tcW w:w="2015" w:type="dxa"/>
            <w:noWrap w:val="0"/>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 w:val="21"/>
                <w:szCs w:val="21"/>
                <w:highlight w:val="none"/>
                <w:vertAlign w:val="baseline"/>
                <w:lang w:val="en-US" w:eastAsia="zh-CN"/>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noWrap w:val="0"/>
            <w:vAlign w:val="center"/>
          </w:tcPr>
          <w:p>
            <w:pPr>
              <w:spacing w:line="240" w:lineRule="auto"/>
              <w:jc w:val="center"/>
              <w:rPr>
                <w:rFonts w:hint="eastAsia" w:ascii="宋体"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3</w:t>
            </w:r>
          </w:p>
        </w:tc>
        <w:tc>
          <w:tcPr>
            <w:tcW w:w="550" w:type="pct"/>
            <w:noWrap w:val="0"/>
            <w:vAlign w:val="center"/>
          </w:tcPr>
          <w:p>
            <w:pPr>
              <w:numPr>
                <w:ilvl w:val="0"/>
                <w:numId w:val="0"/>
              </w:numPr>
              <w:tabs>
                <w:tab w:val="left" w:pos="7665"/>
              </w:tabs>
              <w:spacing w:line="240" w:lineRule="auto"/>
              <w:ind w:leftChars="0"/>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rPr>
              <w:t>本项目的特定资格要求</w:t>
            </w:r>
          </w:p>
        </w:tc>
        <w:tc>
          <w:tcPr>
            <w:tcW w:w="655" w:type="pct"/>
            <w:noWrap w:val="0"/>
            <w:vAlign w:val="center"/>
          </w:tcPr>
          <w:p>
            <w:pPr>
              <w:tabs>
                <w:tab w:val="left" w:pos="7665"/>
              </w:tabs>
              <w:spacing w:line="240" w:lineRule="auto"/>
              <w:jc w:val="center"/>
              <w:rPr>
                <w:rFonts w:hint="default"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无</w:t>
            </w:r>
          </w:p>
        </w:tc>
        <w:tc>
          <w:tcPr>
            <w:tcW w:w="2183" w:type="pct"/>
            <w:noWrap w:val="0"/>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134" w:type="pct"/>
            <w:noWrap w:val="0"/>
            <w:vAlign w:val="center"/>
          </w:tcPr>
          <w:p>
            <w:pPr>
              <w:spacing w:line="24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76" w:type="pct"/>
            <w:noWrap w:val="0"/>
            <w:vAlign w:val="center"/>
          </w:tcPr>
          <w:p>
            <w:pPr>
              <w:spacing w:line="24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4</w:t>
            </w:r>
          </w:p>
        </w:tc>
        <w:tc>
          <w:tcPr>
            <w:tcW w:w="550" w:type="pct"/>
            <w:noWrap w:val="0"/>
            <w:vAlign w:val="center"/>
          </w:tcPr>
          <w:p>
            <w:pPr>
              <w:pStyle w:val="86"/>
              <w:spacing w:line="240" w:lineRule="auto"/>
              <w:ind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rPr>
              <w:t>资质性要求</w:t>
            </w:r>
          </w:p>
        </w:tc>
        <w:tc>
          <w:tcPr>
            <w:tcW w:w="655" w:type="pct"/>
            <w:noWrap w:val="0"/>
            <w:vAlign w:val="center"/>
          </w:tcPr>
          <w:p>
            <w:pPr>
              <w:tabs>
                <w:tab w:val="left" w:pos="7665"/>
              </w:tabs>
              <w:spacing w:line="24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无</w:t>
            </w:r>
          </w:p>
        </w:tc>
        <w:tc>
          <w:tcPr>
            <w:tcW w:w="2183" w:type="pct"/>
            <w:noWrap w:val="0"/>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134" w:type="pct"/>
            <w:noWrap w:val="0"/>
            <w:vAlign w:val="center"/>
          </w:tcPr>
          <w:p>
            <w:pPr>
              <w:spacing w:line="24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76" w:type="pct"/>
            <w:noWrap w:val="0"/>
            <w:vAlign w:val="center"/>
          </w:tcPr>
          <w:p>
            <w:pPr>
              <w:spacing w:line="24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5</w:t>
            </w:r>
          </w:p>
        </w:tc>
        <w:tc>
          <w:tcPr>
            <w:tcW w:w="550" w:type="pct"/>
            <w:noWrap w:val="0"/>
            <w:vAlign w:val="center"/>
          </w:tcPr>
          <w:p>
            <w:pPr>
              <w:pStyle w:val="86"/>
              <w:spacing w:line="240" w:lineRule="auto"/>
              <w:ind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rPr>
              <w:t>其他类似效力要求</w:t>
            </w:r>
          </w:p>
        </w:tc>
        <w:tc>
          <w:tcPr>
            <w:tcW w:w="655" w:type="pct"/>
            <w:noWrap w:val="0"/>
            <w:vAlign w:val="center"/>
          </w:tcPr>
          <w:p>
            <w:pPr>
              <w:tabs>
                <w:tab w:val="left" w:pos="7665"/>
              </w:tabs>
              <w:spacing w:line="24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不属于限制投标情形</w:t>
            </w:r>
          </w:p>
        </w:tc>
        <w:tc>
          <w:tcPr>
            <w:tcW w:w="2183" w:type="pct"/>
            <w:noWrap w:val="0"/>
            <w:vAlign w:val="center"/>
          </w:tcPr>
          <w:p>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根据《关于在政府采购活动中查询及使用信用记录有关问题的通知》（财库〔2016〕125号）文件要求，采购人、采购代理机构应当通过“信用中国”网站（www.creditchina.gov.cn）、中国政府采购网（www.ccgp.gov.cn）渠道查询供应商在参加</w:t>
            </w:r>
            <w:r>
              <w:rPr>
                <w:rFonts w:hint="eastAsia" w:ascii="宋体" w:hAnsi="宋体" w:eastAsia="宋体" w:cs="宋体"/>
                <w:color w:val="auto"/>
                <w:sz w:val="21"/>
                <w:szCs w:val="21"/>
                <w:highlight w:val="none"/>
                <w:lang w:val="en-US" w:eastAsia="zh-CN"/>
              </w:rPr>
              <w:t>本次</w:t>
            </w:r>
            <w:r>
              <w:rPr>
                <w:rFonts w:hint="eastAsia" w:ascii="宋体" w:hAnsi="宋体" w:eastAsia="宋体" w:cs="宋体"/>
                <w:color w:val="auto"/>
                <w:sz w:val="21"/>
                <w:szCs w:val="21"/>
                <w:highlight w:val="none"/>
              </w:rPr>
              <w:t>政府采购活动前的信用记录，并保存信用记录结果网页截图，对列入失信被执行人、重大税收违法案件当事人名单、政府采购严重违法失信行为记录名单及其他不符合《中华人民共和国政府采购法》第二十二条规定条件的供应商，应当拒绝其参与</w:t>
            </w:r>
            <w:r>
              <w:rPr>
                <w:rFonts w:hint="eastAsia" w:ascii="宋体" w:hAnsi="宋体" w:eastAsia="宋体" w:cs="宋体"/>
                <w:color w:val="auto"/>
                <w:sz w:val="21"/>
                <w:szCs w:val="21"/>
                <w:highlight w:val="none"/>
                <w:lang w:val="en-US" w:eastAsia="zh-CN"/>
              </w:rPr>
              <w:t>本次</w:t>
            </w:r>
            <w:r>
              <w:rPr>
                <w:rFonts w:hint="eastAsia" w:ascii="宋体" w:hAnsi="宋体" w:eastAsia="宋体" w:cs="宋体"/>
                <w:color w:val="auto"/>
                <w:sz w:val="21"/>
                <w:szCs w:val="21"/>
                <w:highlight w:val="none"/>
              </w:rPr>
              <w:t>政府采购活动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信息查询来源：“</w:t>
            </w:r>
            <w:r>
              <w:rPr>
                <w:rFonts w:hint="eastAsia" w:ascii="宋体" w:hAnsi="宋体" w:eastAsia="宋体" w:cs="宋体"/>
                <w:color w:val="auto"/>
                <w:sz w:val="21"/>
                <w:szCs w:val="21"/>
                <w:highlight w:val="none"/>
              </w:rPr>
              <w:t>信用中国”www.creditchina.gov.cn、中国政府采购网www.ccgp.gov.cn</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（2）根据《企业信息公示暂行条例》（国务院令第654号）第十八条规定，投标供应商被列入经营异常名录或者严重违法企业名单的，禁止参与本次政府采购活动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信息查询来源：国家企业信用信息公示系统http://www.gsxt.gov.cn/index.html</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p>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注：由采购代理机构提供相关查询资料，投标人无须在投标文件中提供</w:t>
            </w:r>
            <w:r>
              <w:rPr>
                <w:rFonts w:hint="eastAsia" w:ascii="宋体" w:hAnsi="宋体" w:eastAsia="宋体" w:cs="宋体"/>
                <w:b/>
                <w:bCs/>
                <w:color w:val="auto"/>
                <w:sz w:val="21"/>
                <w:szCs w:val="21"/>
                <w:highlight w:val="none"/>
                <w:lang w:eastAsia="zh-CN"/>
              </w:rPr>
              <w:t>。</w:t>
            </w:r>
          </w:p>
        </w:tc>
        <w:tc>
          <w:tcPr>
            <w:tcW w:w="1134" w:type="pct"/>
            <w:noWrap w:val="0"/>
            <w:vAlign w:val="center"/>
          </w:tcPr>
          <w:p>
            <w:pPr>
              <w:spacing w:line="240" w:lineRule="auto"/>
              <w:jc w:val="center"/>
              <w:rPr>
                <w:rFonts w:hint="default"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说明：</w:t>
            </w:r>
            <w:r>
              <w:rPr>
                <w:rFonts w:hint="eastAsia" w:ascii="宋体" w:hAnsi="宋体" w:eastAsia="宋体" w:cs="宋体"/>
                <w:b/>
                <w:bCs/>
                <w:color w:val="auto"/>
                <w:sz w:val="24"/>
                <w:highlight w:val="none"/>
              </w:rPr>
              <w:sym w:font="Wingdings" w:char="F081"/>
            </w:r>
            <w:r>
              <w:rPr>
                <w:rFonts w:hint="eastAsia" w:ascii="宋体" w:hAnsi="宋体" w:eastAsia="宋体" w:cs="宋体"/>
                <w:b/>
                <w:bCs/>
                <w:color w:val="auto"/>
                <w:sz w:val="24"/>
                <w:highlight w:val="none"/>
              </w:rPr>
              <w:t>以上材料</w:t>
            </w:r>
            <w:r>
              <w:rPr>
                <w:rFonts w:hint="eastAsia" w:ascii="宋体" w:hAnsi="宋体" w:eastAsia="宋体" w:cs="宋体"/>
                <w:b/>
                <w:bCs/>
                <w:color w:val="auto"/>
                <w:sz w:val="24"/>
                <w:highlight w:val="none"/>
                <w:lang w:val="en-US" w:eastAsia="zh-CN"/>
              </w:rPr>
              <w:t>均应在有效期间，</w:t>
            </w:r>
            <w:r>
              <w:rPr>
                <w:rFonts w:hint="eastAsia" w:ascii="宋体" w:hAnsi="宋体" w:eastAsia="宋体" w:cs="宋体"/>
                <w:b/>
                <w:bCs/>
                <w:color w:val="auto"/>
                <w:sz w:val="24"/>
                <w:szCs w:val="22"/>
                <w:highlight w:val="none"/>
              </w:rPr>
              <w:t>复印件</w:t>
            </w:r>
            <w:r>
              <w:rPr>
                <w:rFonts w:hint="eastAsia" w:ascii="宋体" w:hAnsi="宋体" w:eastAsia="宋体" w:cs="宋体"/>
                <w:b/>
                <w:bCs/>
                <w:color w:val="auto"/>
                <w:sz w:val="24"/>
                <w:szCs w:val="22"/>
                <w:highlight w:val="none"/>
                <w:lang w:val="en-US" w:eastAsia="zh-CN"/>
              </w:rPr>
              <w:t>或扫描件均需</w:t>
            </w:r>
            <w:r>
              <w:rPr>
                <w:rFonts w:hint="eastAsia" w:ascii="宋体" w:hAnsi="宋体" w:eastAsia="宋体" w:cs="宋体"/>
                <w:b/>
                <w:bCs/>
                <w:color w:val="auto"/>
                <w:sz w:val="24"/>
                <w:szCs w:val="22"/>
                <w:highlight w:val="none"/>
              </w:rPr>
              <w:t>加盖</w:t>
            </w:r>
            <w:r>
              <w:rPr>
                <w:rFonts w:hint="eastAsia" w:ascii="宋体" w:hAnsi="宋体" w:eastAsia="宋体" w:cs="宋体"/>
                <w:b/>
                <w:bCs/>
                <w:color w:val="auto"/>
                <w:sz w:val="24"/>
                <w:szCs w:val="22"/>
                <w:highlight w:val="none"/>
                <w:lang w:val="en-US" w:eastAsia="zh-CN"/>
              </w:rPr>
              <w:t>供应商</w:t>
            </w:r>
            <w:r>
              <w:rPr>
                <w:rFonts w:hint="eastAsia" w:ascii="宋体" w:hAnsi="宋体" w:eastAsia="宋体" w:cs="宋体"/>
                <w:b/>
                <w:bCs/>
                <w:color w:val="auto"/>
                <w:sz w:val="24"/>
                <w:szCs w:val="22"/>
                <w:highlight w:val="none"/>
              </w:rPr>
              <w:t>单位公章（</w:t>
            </w:r>
            <w:r>
              <w:rPr>
                <w:rFonts w:hint="eastAsia" w:ascii="宋体" w:hAnsi="宋体" w:eastAsia="宋体" w:cs="宋体"/>
                <w:b/>
                <w:bCs/>
                <w:color w:val="auto"/>
                <w:sz w:val="24"/>
                <w:szCs w:val="22"/>
                <w:highlight w:val="none"/>
                <w:lang w:val="en-US" w:eastAsia="zh-CN"/>
              </w:rPr>
              <w:t>电子印章</w:t>
            </w:r>
            <w:r>
              <w:rPr>
                <w:rFonts w:hint="eastAsia" w:ascii="宋体" w:hAnsi="宋体" w:eastAsia="宋体" w:cs="宋体"/>
                <w:b/>
                <w:bCs/>
                <w:color w:val="auto"/>
                <w:sz w:val="24"/>
                <w:szCs w:val="22"/>
                <w:highlight w:val="none"/>
              </w:rPr>
              <w:t>）</w:t>
            </w:r>
            <w:r>
              <w:rPr>
                <w:rFonts w:hint="eastAsia" w:ascii="宋体" w:hAnsi="宋体" w:eastAsia="宋体" w:cs="宋体"/>
                <w:b/>
                <w:bCs/>
                <w:color w:val="auto"/>
                <w:sz w:val="24"/>
                <w:szCs w:val="22"/>
                <w:highlight w:val="none"/>
                <w:lang w:val="en-US" w:eastAsia="zh-CN"/>
              </w:rPr>
              <w:t>；</w:t>
            </w:r>
            <w:r>
              <w:rPr>
                <w:rFonts w:hint="eastAsia" w:ascii="宋体" w:hAnsi="宋体" w:eastAsia="宋体" w:cs="宋体"/>
                <w:b/>
                <w:bCs/>
                <w:color w:val="auto"/>
                <w:sz w:val="24"/>
                <w:highlight w:val="none"/>
              </w:rPr>
              <w:t>证明材料不齐或未按规定加盖</w:t>
            </w:r>
            <w:r>
              <w:rPr>
                <w:rFonts w:hint="eastAsia" w:hAnsi="宋体" w:eastAsia="宋体" w:cs="宋体"/>
                <w:b/>
                <w:bCs/>
                <w:color w:val="auto"/>
                <w:sz w:val="24"/>
                <w:highlight w:val="none"/>
                <w:lang w:val="en-US" w:eastAsia="zh-CN"/>
              </w:rPr>
              <w:t>公章</w:t>
            </w:r>
            <w:r>
              <w:rPr>
                <w:rFonts w:hint="eastAsia" w:ascii="宋体" w:hAnsi="宋体" w:eastAsia="宋体" w:cs="宋体"/>
                <w:b/>
                <w:bCs/>
                <w:color w:val="auto"/>
                <w:sz w:val="24"/>
                <w:szCs w:val="22"/>
                <w:highlight w:val="none"/>
              </w:rPr>
              <w:t>（</w:t>
            </w:r>
            <w:r>
              <w:rPr>
                <w:rFonts w:hint="eastAsia" w:ascii="宋体" w:hAnsi="宋体" w:eastAsia="宋体" w:cs="宋体"/>
                <w:b/>
                <w:bCs/>
                <w:color w:val="auto"/>
                <w:sz w:val="24"/>
                <w:szCs w:val="22"/>
                <w:highlight w:val="none"/>
                <w:lang w:val="en-US" w:eastAsia="zh-CN"/>
              </w:rPr>
              <w:t>电子印章</w:t>
            </w:r>
            <w:r>
              <w:rPr>
                <w:rFonts w:hint="eastAsia" w:ascii="宋体" w:hAnsi="宋体" w:eastAsia="宋体" w:cs="宋体"/>
                <w:b/>
                <w:bCs/>
                <w:color w:val="auto"/>
                <w:sz w:val="24"/>
                <w:szCs w:val="22"/>
                <w:highlight w:val="none"/>
              </w:rPr>
              <w:t>）</w:t>
            </w:r>
            <w:r>
              <w:rPr>
                <w:rFonts w:hint="eastAsia" w:ascii="宋体" w:hAnsi="宋体" w:eastAsia="宋体" w:cs="宋体"/>
                <w:b/>
                <w:bCs/>
                <w:color w:val="auto"/>
                <w:sz w:val="24"/>
                <w:szCs w:val="22"/>
                <w:highlight w:val="none"/>
                <w:lang w:val="en-US" w:eastAsia="zh-CN"/>
              </w:rPr>
              <w:t>的将视</w:t>
            </w:r>
            <w:r>
              <w:rPr>
                <w:rFonts w:hint="eastAsia" w:ascii="宋体" w:hAnsi="宋体" w:eastAsia="宋体" w:cs="宋体"/>
                <w:b/>
                <w:bCs/>
                <w:color w:val="auto"/>
                <w:sz w:val="24"/>
                <w:highlight w:val="none"/>
              </w:rPr>
              <w:t>为无效投标。</w:t>
            </w:r>
          </w:p>
          <w:p>
            <w:pPr>
              <w:spacing w:line="44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szCs w:val="22"/>
                <w:highlight w:val="none"/>
              </w:rPr>
              <w:t>②</w:t>
            </w:r>
            <w:r>
              <w:rPr>
                <w:rFonts w:hint="eastAsia" w:ascii="宋体" w:hAnsi="宋体" w:eastAsia="宋体" w:cs="宋体"/>
                <w:b/>
                <w:color w:val="auto"/>
                <w:sz w:val="24"/>
                <w:highlight w:val="none"/>
              </w:rPr>
              <w:t>本章要求提供的相关证明材料</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除供应商自愿以外，</w:t>
            </w:r>
            <w:r>
              <w:rPr>
                <w:rFonts w:hint="eastAsia" w:ascii="宋体" w:hAnsi="宋体" w:eastAsia="宋体" w:cs="宋体"/>
                <w:b/>
                <w:color w:val="auto"/>
                <w:sz w:val="24"/>
                <w:highlight w:val="none"/>
                <w:lang w:val="en-US" w:eastAsia="zh-CN"/>
              </w:rPr>
              <w:t>采购人或采购代理机构</w:t>
            </w:r>
            <w:r>
              <w:rPr>
                <w:rFonts w:hint="eastAsia" w:ascii="宋体" w:hAnsi="宋体" w:eastAsia="宋体" w:cs="宋体"/>
                <w:b/>
                <w:color w:val="auto"/>
                <w:sz w:val="24"/>
                <w:highlight w:val="none"/>
              </w:rPr>
              <w:t>不能要求供应商提供额外的证明材料。如果要求提供额外的证明材料，供应商有权拒绝提供，且不影响</w:t>
            </w:r>
            <w:r>
              <w:rPr>
                <w:rFonts w:hint="eastAsia" w:ascii="宋体" w:hAnsi="宋体" w:eastAsia="宋体" w:cs="宋体"/>
                <w:b/>
                <w:color w:val="auto"/>
                <w:sz w:val="24"/>
                <w:highlight w:val="none"/>
                <w:lang w:val="en-US" w:eastAsia="zh-CN"/>
              </w:rPr>
              <w:t>其响应</w:t>
            </w:r>
            <w:r>
              <w:rPr>
                <w:rFonts w:hint="eastAsia" w:ascii="宋体" w:hAnsi="宋体" w:eastAsia="宋体" w:cs="宋体"/>
                <w:b/>
                <w:color w:val="auto"/>
                <w:sz w:val="24"/>
                <w:highlight w:val="none"/>
              </w:rPr>
              <w:t>文件的有效性和完整性。</w:t>
            </w:r>
          </w:p>
          <w:p>
            <w:pPr>
              <w:spacing w:line="440" w:lineRule="exact"/>
              <w:ind w:firstLine="482" w:firstLineChars="200"/>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bCs/>
                <w:color w:val="auto"/>
                <w:sz w:val="24"/>
                <w:highlight w:val="none"/>
              </w:rPr>
              <w:sym w:font="Wingdings" w:char="F083"/>
            </w:r>
            <w:r>
              <w:rPr>
                <w:rFonts w:hint="eastAsia" w:ascii="宋体" w:hAnsi="宋体" w:eastAsia="宋体" w:cs="宋体"/>
                <w:b/>
                <w:bCs/>
                <w:color w:val="auto"/>
                <w:sz w:val="24"/>
                <w:highlight w:val="none"/>
              </w:rPr>
              <w:t>供应商应对其所提供的资格证明材料来源的合法性、真实性负责。</w:t>
            </w:r>
          </w:p>
        </w:tc>
      </w:tr>
    </w:tbl>
    <w:p>
      <w:pPr>
        <w:keepNext w:val="0"/>
        <w:keepLines w:val="0"/>
        <w:pageBreakBefore w:val="0"/>
        <w:widowControl w:val="0"/>
        <w:kinsoku/>
        <w:wordWrap/>
        <w:overflowPunct/>
        <w:topLinePunct w:val="0"/>
        <w:autoSpaceDE/>
        <w:autoSpaceDN/>
        <w:bidi w:val="0"/>
        <w:adjustRightInd/>
        <w:snapToGrid/>
        <w:spacing w:after="50" w:line="440" w:lineRule="exact"/>
        <w:textAlignment w:val="auto"/>
        <w:rPr>
          <w:rFonts w:hint="eastAsia" w:ascii="宋体" w:hAnsi="宋体" w:eastAsia="宋体" w:cs="宋体"/>
          <w:b/>
          <w:bCs/>
          <w:color w:val="auto"/>
          <w:sz w:val="24"/>
          <w:szCs w:val="22"/>
          <w:highlight w:val="none"/>
        </w:rPr>
      </w:pPr>
      <w:bookmarkStart w:id="1580" w:name="_Toc1709_WPSOffice_Level2"/>
      <w:r>
        <w:rPr>
          <w:rFonts w:hint="eastAsia" w:ascii="宋体" w:hAnsi="宋体" w:eastAsia="宋体" w:cs="宋体"/>
          <w:b/>
          <w:bCs/>
          <w:color w:val="auto"/>
          <w:sz w:val="24"/>
          <w:szCs w:val="22"/>
          <w:highlight w:val="none"/>
          <w:lang w:eastAsia="zh-CN"/>
        </w:rPr>
        <w:t>（</w:t>
      </w:r>
      <w:r>
        <w:rPr>
          <w:rFonts w:hint="eastAsia" w:ascii="宋体" w:hAnsi="宋体" w:eastAsia="宋体" w:cs="宋体"/>
          <w:b/>
          <w:bCs/>
          <w:color w:val="auto"/>
          <w:sz w:val="24"/>
          <w:szCs w:val="22"/>
          <w:highlight w:val="none"/>
          <w:lang w:val="en-US" w:eastAsia="zh-CN"/>
        </w:rPr>
        <w:t>四</w:t>
      </w:r>
      <w:r>
        <w:rPr>
          <w:rFonts w:hint="eastAsia" w:ascii="宋体" w:hAnsi="宋体" w:eastAsia="宋体" w:cs="宋体"/>
          <w:b/>
          <w:bCs/>
          <w:color w:val="auto"/>
          <w:sz w:val="24"/>
          <w:szCs w:val="22"/>
          <w:highlight w:val="none"/>
          <w:lang w:eastAsia="zh-CN"/>
        </w:rPr>
        <w:t>）</w:t>
      </w:r>
      <w:r>
        <w:rPr>
          <w:rFonts w:hint="eastAsia" w:ascii="宋体" w:hAnsi="宋体" w:eastAsia="宋体" w:cs="宋体"/>
          <w:b/>
          <w:bCs/>
          <w:color w:val="auto"/>
          <w:sz w:val="24"/>
          <w:szCs w:val="22"/>
          <w:highlight w:val="none"/>
        </w:rPr>
        <w:t>审查程序</w:t>
      </w:r>
      <w:bookmarkEnd w:id="1580"/>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lang w:eastAsia="zh-CN"/>
        </w:rPr>
        <w:t>（</w:t>
      </w:r>
      <w:r>
        <w:rPr>
          <w:rFonts w:hint="eastAsia" w:ascii="宋体" w:hAnsi="宋体" w:eastAsia="宋体" w:cs="宋体"/>
          <w:b/>
          <w:bCs/>
          <w:color w:val="auto"/>
          <w:sz w:val="24"/>
          <w:szCs w:val="22"/>
          <w:highlight w:val="none"/>
          <w:lang w:val="en-US" w:eastAsia="zh-CN"/>
        </w:rPr>
        <w:t>1</w:t>
      </w:r>
      <w:r>
        <w:rPr>
          <w:rFonts w:hint="eastAsia" w:ascii="宋体" w:hAnsi="宋体" w:eastAsia="宋体" w:cs="宋体"/>
          <w:b/>
          <w:bCs/>
          <w:color w:val="auto"/>
          <w:sz w:val="24"/>
          <w:szCs w:val="22"/>
          <w:highlight w:val="none"/>
          <w:lang w:eastAsia="zh-CN"/>
        </w:rPr>
        <w:t>）</w:t>
      </w:r>
      <w:r>
        <w:rPr>
          <w:rFonts w:hint="eastAsia" w:ascii="宋体" w:hAnsi="宋体" w:eastAsia="宋体" w:cs="宋体"/>
          <w:b/>
          <w:bCs/>
          <w:color w:val="auto"/>
          <w:sz w:val="24"/>
          <w:szCs w:val="22"/>
          <w:highlight w:val="none"/>
        </w:rPr>
        <w:t>根据《政府采购货物和服务招标投标管理办法》(财政部令第 87 号)第四十四条</w:t>
      </w:r>
      <w:r>
        <w:rPr>
          <w:rFonts w:hint="eastAsia" w:ascii="宋体" w:hAnsi="宋体" w:eastAsia="宋体" w:cs="宋体"/>
          <w:b/>
          <w:bCs/>
          <w:color w:val="auto"/>
          <w:sz w:val="24"/>
          <w:szCs w:val="22"/>
          <w:highlight w:val="none"/>
          <w:lang w:val="en-US" w:eastAsia="zh-CN"/>
        </w:rPr>
        <w:t>相关规定，</w:t>
      </w:r>
      <w:r>
        <w:rPr>
          <w:rFonts w:hint="eastAsia" w:ascii="宋体" w:hAnsi="宋体" w:eastAsia="宋体" w:cs="宋体"/>
          <w:b/>
          <w:bCs/>
          <w:color w:val="auto"/>
          <w:sz w:val="24"/>
          <w:szCs w:val="22"/>
          <w:highlight w:val="none"/>
        </w:rPr>
        <w:t>本项目由采购人</w:t>
      </w:r>
      <w:r>
        <w:rPr>
          <w:rFonts w:hint="eastAsia" w:ascii="宋体" w:hAnsi="宋体" w:eastAsia="宋体" w:cs="宋体"/>
          <w:b/>
          <w:bCs/>
          <w:color w:val="auto"/>
          <w:sz w:val="24"/>
          <w:szCs w:val="22"/>
          <w:highlight w:val="none"/>
          <w:lang w:val="en-US" w:eastAsia="zh-CN"/>
        </w:rPr>
        <w:t>或</w:t>
      </w:r>
      <w:r>
        <w:rPr>
          <w:rFonts w:hint="eastAsia" w:ascii="宋体" w:hAnsi="宋体" w:eastAsia="宋体" w:cs="宋体"/>
          <w:b/>
          <w:bCs/>
          <w:color w:val="auto"/>
          <w:sz w:val="24"/>
          <w:szCs w:val="22"/>
          <w:highlight w:val="none"/>
        </w:rPr>
        <w:t>采购代理机构依法对投标人的</w:t>
      </w:r>
      <w:r>
        <w:rPr>
          <w:rFonts w:hint="eastAsia" w:ascii="宋体" w:hAnsi="宋体" w:eastAsia="宋体" w:cs="宋体"/>
          <w:b/>
          <w:bCs/>
          <w:color w:val="auto"/>
          <w:sz w:val="24"/>
          <w:szCs w:val="22"/>
          <w:highlight w:val="none"/>
          <w:lang w:eastAsia="zh-CN"/>
        </w:rPr>
        <w:t>资格、资质性及其他类似效力投标文件</w:t>
      </w:r>
      <w:r>
        <w:rPr>
          <w:rFonts w:hint="eastAsia" w:ascii="宋体" w:hAnsi="宋体" w:eastAsia="宋体" w:cs="宋体"/>
          <w:b/>
          <w:bCs/>
          <w:color w:val="auto"/>
          <w:sz w:val="24"/>
          <w:szCs w:val="22"/>
          <w:highlight w:val="none"/>
        </w:rPr>
        <w:t>进行审查，并出具书面的资格审查</w:t>
      </w:r>
      <w:r>
        <w:rPr>
          <w:rFonts w:hint="eastAsia" w:ascii="宋体" w:hAnsi="宋体" w:eastAsia="宋体" w:cs="宋体"/>
          <w:b/>
          <w:bCs/>
          <w:color w:val="auto"/>
          <w:sz w:val="24"/>
          <w:szCs w:val="22"/>
          <w:highlight w:val="none"/>
          <w:lang w:val="en-US" w:eastAsia="zh-CN"/>
        </w:rPr>
        <w:t>报告</w:t>
      </w:r>
      <w:r>
        <w:rPr>
          <w:rFonts w:hint="eastAsia" w:ascii="宋体" w:hAnsi="宋体" w:eastAsia="宋体" w:cs="宋体"/>
          <w:b/>
          <w:bCs/>
          <w:color w:val="auto"/>
          <w:sz w:val="24"/>
          <w:szCs w:val="22"/>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lang w:eastAsia="zh-CN"/>
        </w:rPr>
        <w:t>（</w:t>
      </w:r>
      <w:r>
        <w:rPr>
          <w:rFonts w:hint="eastAsia" w:ascii="宋体" w:hAnsi="宋体" w:eastAsia="宋体" w:cs="宋体"/>
          <w:b/>
          <w:bCs/>
          <w:color w:val="auto"/>
          <w:sz w:val="24"/>
          <w:szCs w:val="22"/>
          <w:highlight w:val="none"/>
          <w:lang w:val="en-US" w:eastAsia="zh-CN"/>
        </w:rPr>
        <w:t>2</w:t>
      </w:r>
      <w:r>
        <w:rPr>
          <w:rFonts w:hint="eastAsia" w:ascii="宋体" w:hAnsi="宋体" w:eastAsia="宋体" w:cs="宋体"/>
          <w:b/>
          <w:bCs/>
          <w:color w:val="auto"/>
          <w:sz w:val="24"/>
          <w:szCs w:val="22"/>
          <w:highlight w:val="none"/>
          <w:lang w:eastAsia="zh-CN"/>
        </w:rPr>
        <w:t>）</w:t>
      </w:r>
      <w:r>
        <w:rPr>
          <w:rFonts w:hint="eastAsia" w:ascii="宋体" w:hAnsi="宋体" w:eastAsia="宋体" w:cs="宋体"/>
          <w:b/>
          <w:bCs/>
          <w:color w:val="auto"/>
          <w:sz w:val="24"/>
          <w:szCs w:val="22"/>
          <w:highlight w:val="none"/>
        </w:rPr>
        <w:t>合格投标人不足 3 家的，不得评标。</w:t>
      </w:r>
    </w:p>
    <w:p>
      <w:pPr>
        <w:spacing w:after="0" w:line="364" w:lineRule="auto"/>
        <w:jc w:val="both"/>
        <w:rPr>
          <w:rFonts w:hint="eastAsia" w:ascii="宋体" w:hAnsi="宋体" w:eastAsia="宋体" w:cs="宋体"/>
          <w:color w:val="auto"/>
          <w:sz w:val="24"/>
          <w:szCs w:val="24"/>
          <w:highlight w:val="none"/>
        </w:rPr>
        <w:sectPr>
          <w:footerReference r:id="rId12" w:type="default"/>
          <w:pgSz w:w="11910" w:h="16840"/>
          <w:pgMar w:top="1440" w:right="1800" w:bottom="1440" w:left="1800" w:header="0" w:footer="964" w:gutter="0"/>
          <w:pgNumType w:fmt="decimal"/>
          <w:cols w:space="720" w:num="1"/>
        </w:sectPr>
      </w:pPr>
      <w:bookmarkStart w:id="1581" w:name="_Toc217446093"/>
    </w:p>
    <w:bookmarkEnd w:id="1581"/>
    <w:p>
      <w:pPr>
        <w:pStyle w:val="3"/>
        <w:jc w:val="center"/>
        <w:rPr>
          <w:rFonts w:hint="eastAsia" w:ascii="宋体" w:hAnsi="宋体" w:eastAsia="宋体" w:cs="宋体"/>
          <w:b/>
          <w:bCs w:val="0"/>
          <w:color w:val="auto"/>
          <w:highlight w:val="none"/>
        </w:rPr>
      </w:pPr>
      <w:bookmarkStart w:id="1582" w:name="_Toc2261"/>
      <w:bookmarkStart w:id="1583" w:name="_Toc20104"/>
      <w:bookmarkStart w:id="1584" w:name="_Toc6415"/>
      <w:r>
        <w:rPr>
          <w:rFonts w:hint="eastAsia" w:ascii="宋体" w:hAnsi="宋体" w:eastAsia="宋体" w:cs="宋体"/>
          <w:b/>
          <w:bCs w:val="0"/>
          <w:color w:val="auto"/>
          <w:highlight w:val="none"/>
        </w:rPr>
        <w:t>第</w:t>
      </w:r>
      <w:r>
        <w:rPr>
          <w:rFonts w:hint="eastAsia" w:ascii="宋体" w:hAnsi="宋体" w:eastAsia="宋体" w:cs="宋体"/>
          <w:b/>
          <w:bCs w:val="0"/>
          <w:color w:val="auto"/>
          <w:highlight w:val="none"/>
          <w:lang w:val="en-US" w:eastAsia="zh-CN"/>
        </w:rPr>
        <w:t>六</w:t>
      </w:r>
      <w:r>
        <w:rPr>
          <w:rFonts w:hint="eastAsia" w:ascii="宋体" w:hAnsi="宋体" w:eastAsia="宋体" w:cs="宋体"/>
          <w:b/>
          <w:bCs w:val="0"/>
          <w:color w:val="auto"/>
          <w:highlight w:val="none"/>
        </w:rPr>
        <w:t xml:space="preserve">章 </w:t>
      </w:r>
      <w:r>
        <w:rPr>
          <w:rFonts w:hint="eastAsia" w:ascii="宋体" w:hAnsi="宋体" w:eastAsia="宋体" w:cs="宋体"/>
          <w:b/>
          <w:bCs w:val="0"/>
          <w:color w:val="auto"/>
          <w:highlight w:val="none"/>
          <w:lang w:eastAsia="zh-CN"/>
        </w:rPr>
        <w:t>采购项目</w:t>
      </w:r>
      <w:r>
        <w:rPr>
          <w:rFonts w:hint="eastAsia" w:ascii="宋体" w:hAnsi="宋体" w:eastAsia="宋体" w:cs="宋体"/>
          <w:b/>
          <w:bCs w:val="0"/>
          <w:color w:val="auto"/>
          <w:highlight w:val="none"/>
        </w:rPr>
        <w:t>技术、服务、政府采购合同内容条款及其他商务要求</w:t>
      </w:r>
      <w:bookmarkEnd w:id="1576"/>
      <w:bookmarkEnd w:id="1577"/>
      <w:bookmarkEnd w:id="1578"/>
      <w:bookmarkEnd w:id="1582"/>
      <w:bookmarkEnd w:id="1583"/>
      <w:bookmarkEnd w:id="1584"/>
    </w:p>
    <w:p>
      <w:pPr>
        <w:pStyle w:val="4"/>
        <w:spacing w:line="440" w:lineRule="exact"/>
        <w:ind w:firstLine="482" w:firstLineChars="200"/>
        <w:rPr>
          <w:rFonts w:hint="eastAsia" w:ascii="宋体" w:hAnsi="宋体" w:eastAsia="宋体" w:cs="宋体"/>
          <w:color w:val="auto"/>
          <w:sz w:val="24"/>
          <w:szCs w:val="24"/>
          <w:highlight w:val="none"/>
        </w:rPr>
      </w:pPr>
      <w:bookmarkStart w:id="1585" w:name="_Toc14452"/>
      <w:bookmarkStart w:id="1586" w:name="_Toc9308"/>
      <w:bookmarkStart w:id="1587" w:name="_Toc13897"/>
      <w:bookmarkStart w:id="1588" w:name="_Toc12275"/>
      <w:bookmarkStart w:id="1589" w:name="_Toc17056"/>
      <w:bookmarkStart w:id="1590" w:name="_Toc22121"/>
      <w:bookmarkStart w:id="1591" w:name="_Toc6374"/>
      <w:bookmarkStart w:id="1592" w:name="_Toc14643"/>
      <w:bookmarkStart w:id="1593" w:name="_Toc201"/>
      <w:bookmarkStart w:id="1594" w:name="_Toc17758"/>
      <w:bookmarkStart w:id="1595" w:name="_Toc32271"/>
      <w:bookmarkStart w:id="1596" w:name="_Toc10059"/>
      <w:bookmarkStart w:id="1597" w:name="_Toc26067"/>
      <w:bookmarkStart w:id="1598" w:name="_Toc22050"/>
      <w:r>
        <w:rPr>
          <w:rFonts w:hint="eastAsia" w:ascii="宋体" w:hAnsi="宋体" w:eastAsia="宋体" w:cs="宋体"/>
          <w:color w:val="auto"/>
          <w:sz w:val="24"/>
          <w:szCs w:val="24"/>
          <w:highlight w:val="none"/>
        </w:rPr>
        <w:t>前提：本章中标注“★”的条款为本项目的实质性条款，投标人不满足的，将按照无效投标处理。</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（一）项目概述</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为推进新津区的城市更新工作，指导下一步更新工作的实施，区公园城市建设局拟开展新津区城市更新总体规划及五津站、游河心(五津长岛)更新片区实施规划。</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b/>
          <w:bCs/>
          <w:color w:val="auto"/>
          <w:sz w:val="24"/>
          <w:highlight w:val="none"/>
        </w:rPr>
        <w:t>（二）服务内容及要求</w:t>
      </w:r>
      <w:r>
        <w:rPr>
          <w:rFonts w:hint="eastAsia" w:ascii="宋体" w:hAnsi="宋体" w:eastAsia="宋体" w:cs="宋体"/>
          <w:color w:val="auto"/>
          <w:sz w:val="24"/>
          <w:highlight w:val="non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1、服务内容</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新津区城市更新总体规划的背景研究、现状研究及更新问题研究，同时提出更新规划重点与思路、更新策略、更新单元的划分、更新计划与实施建议；五津站、游河心(五津长岛)更新片区实施规划，包括现状分析、区域评估、产业功能建议、空间设计；老旧场镇综合整治规划研究及策划项目，包括老旧场镇综合整治专项研究和一个重点场镇发展策划。</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2、服务要求</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w:t>
      </w:r>
      <w:r>
        <w:rPr>
          <w:rFonts w:hint="eastAsia" w:ascii="宋体" w:hAnsi="宋体" w:eastAsia="宋体" w:cs="宋体"/>
          <w:color w:val="auto"/>
          <w:sz w:val="24"/>
          <w:highlight w:val="none"/>
          <w:lang w:val="en-US" w:eastAsia="zh-CN"/>
        </w:rPr>
        <w:t>投标人</w:t>
      </w:r>
      <w:r>
        <w:rPr>
          <w:rFonts w:hint="eastAsia" w:ascii="宋体" w:hAnsi="宋体" w:eastAsia="宋体" w:cs="宋体"/>
          <w:color w:val="auto"/>
          <w:sz w:val="24"/>
          <w:highlight w:val="none"/>
        </w:rPr>
        <w:t>应配备与本项目相关专业人员，科学、客观、公正地开展设计，并承担相应法律责任和义务。</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投标人</w:t>
      </w:r>
      <w:r>
        <w:rPr>
          <w:rFonts w:hint="eastAsia" w:ascii="宋体" w:hAnsi="宋体" w:eastAsia="宋体" w:cs="宋体"/>
          <w:color w:val="auto"/>
          <w:sz w:val="24"/>
          <w:highlight w:val="none"/>
        </w:rPr>
        <w:t>须在服务期限内为采购人提供相关咨询与交流（不得另行收取相关费用）。</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投标人</w:t>
      </w:r>
      <w:r>
        <w:rPr>
          <w:rFonts w:hint="eastAsia" w:ascii="宋体" w:hAnsi="宋体" w:eastAsia="宋体" w:cs="宋体"/>
          <w:color w:val="auto"/>
          <w:sz w:val="24"/>
          <w:highlight w:val="none"/>
        </w:rPr>
        <w:t>应具有保密义务，未经采购人许可，不得将评估结果泄露给第三方，违者依法追究相关法律责任。</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3、法律法规及准则，包括但不限于：</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1.1《中华人民共和国</w:t>
      </w:r>
      <w:r>
        <w:rPr>
          <w:rFonts w:hint="eastAsia" w:ascii="宋体" w:hAnsi="宋体" w:eastAsia="宋体" w:cs="宋体"/>
          <w:color w:val="auto"/>
          <w:sz w:val="24"/>
          <w:highlight w:val="none"/>
          <w:lang w:val="en-US" w:eastAsia="zh-CN"/>
        </w:rPr>
        <w:t>民法典</w:t>
      </w:r>
      <w:r>
        <w:rPr>
          <w:rFonts w:hint="eastAsia" w:ascii="宋体" w:hAnsi="宋体" w:eastAsia="宋体" w:cs="宋体"/>
          <w:color w:val="auto"/>
          <w:sz w:val="24"/>
          <w:highlight w:val="none"/>
        </w:rPr>
        <w:t>》及其它相关法律及法规;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1.2国家及地方有关项目建设的规定。</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4.规划成果</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汇报演示电子文件刻盘1张及图文合订</w:t>
      </w:r>
      <w:r>
        <w:rPr>
          <w:rFonts w:hint="eastAsia" w:ascii="宋体" w:hAnsi="宋体" w:eastAsia="宋体" w:cs="宋体"/>
          <w:color w:val="auto"/>
          <w:sz w:val="24"/>
          <w:highlight w:val="none"/>
          <w:lang w:val="en-US" w:eastAsia="zh-CN"/>
        </w:rPr>
        <w:t>3套</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注：提供的设计成果要符合国家相关技术规范和行业标准。</w:t>
      </w:r>
    </w:p>
    <w:p>
      <w:pPr>
        <w:spacing w:line="360" w:lineRule="auto"/>
        <w:ind w:firstLine="480" w:firstLineChars="200"/>
        <w:rPr>
          <w:rFonts w:hint="eastAsia" w:ascii="宋体" w:hAnsi="宋体" w:eastAsia="宋体" w:cs="宋体"/>
          <w:b/>
          <w:bCs/>
          <w:color w:val="auto"/>
          <w:sz w:val="24"/>
          <w:highlight w:val="none"/>
        </w:rPr>
      </w:pPr>
      <w:r>
        <w:rPr>
          <w:rFonts w:hint="eastAsia" w:ascii="宋体" w:hAnsi="宋体" w:eastAsia="宋体" w:cs="宋体"/>
          <w:color w:val="auto"/>
          <w:sz w:val="24"/>
          <w:szCs w:val="24"/>
          <w:highlight w:val="none"/>
        </w:rPr>
        <w:t>★</w:t>
      </w:r>
      <w:r>
        <w:rPr>
          <w:rFonts w:hint="eastAsia" w:ascii="宋体" w:hAnsi="宋体" w:eastAsia="宋体" w:cs="宋体"/>
          <w:b/>
          <w:bCs/>
          <w:color w:val="auto"/>
          <w:sz w:val="24"/>
          <w:highlight w:val="none"/>
        </w:rPr>
        <w:t>（三）商务要</w:t>
      </w:r>
      <w:r>
        <w:rPr>
          <w:rFonts w:hint="eastAsia" w:ascii="宋体" w:hAnsi="宋体" w:eastAsia="宋体" w:cs="宋体"/>
          <w:b/>
          <w:bCs/>
          <w:color w:val="auto"/>
          <w:sz w:val="24"/>
          <w:highlight w:val="none"/>
          <w:lang w:val="en-US" w:eastAsia="zh-CN"/>
        </w:rPr>
        <w:t>求</w:t>
      </w:r>
    </w:p>
    <w:p>
      <w:pPr>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1、服务时间：合同签订日起至提交最终成果,并按</w:t>
      </w:r>
      <w:r>
        <w:rPr>
          <w:rFonts w:hint="eastAsia" w:ascii="宋体" w:hAnsi="宋体" w:eastAsia="宋体" w:cs="宋体"/>
          <w:b w:val="0"/>
          <w:bCs w:val="0"/>
          <w:color w:val="auto"/>
          <w:sz w:val="24"/>
          <w:highlight w:val="none"/>
          <w:lang w:val="en-US" w:eastAsia="zh-CN"/>
        </w:rPr>
        <w:t>招标人</w:t>
      </w:r>
      <w:r>
        <w:rPr>
          <w:rFonts w:hint="eastAsia" w:ascii="宋体" w:hAnsi="宋体" w:eastAsia="宋体" w:cs="宋体"/>
          <w:b w:val="0"/>
          <w:bCs w:val="0"/>
          <w:color w:val="auto"/>
          <w:sz w:val="24"/>
          <w:highlight w:val="none"/>
        </w:rPr>
        <w:t>具体要求交付其验收、使用。</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2、服务地点：</w:t>
      </w:r>
      <w:r>
        <w:rPr>
          <w:rFonts w:hint="eastAsia" w:ascii="宋体" w:hAnsi="宋体" w:eastAsia="宋体" w:cs="宋体"/>
          <w:color w:val="auto"/>
          <w:sz w:val="24"/>
          <w:highlight w:val="none"/>
          <w:lang w:val="en-US" w:eastAsia="zh-CN"/>
        </w:rPr>
        <w:t>招标人</w:t>
      </w:r>
      <w:r>
        <w:rPr>
          <w:rFonts w:hint="eastAsia" w:ascii="宋体" w:hAnsi="宋体" w:eastAsia="宋体" w:cs="宋体"/>
          <w:color w:val="auto"/>
          <w:sz w:val="24"/>
          <w:highlight w:val="none"/>
        </w:rPr>
        <w:t>指定地点。</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3、付款方式：</w:t>
      </w:r>
    </w:p>
    <w:tbl>
      <w:tblPr>
        <w:tblStyle w:val="35"/>
        <w:tblW w:w="88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942"/>
        <w:gridCol w:w="6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424" w:type="dxa"/>
            <w:noWrap w:val="0"/>
            <w:vAlign w:val="center"/>
          </w:tcPr>
          <w:p>
            <w:pPr>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付费次序</w:t>
            </w:r>
          </w:p>
        </w:tc>
        <w:tc>
          <w:tcPr>
            <w:tcW w:w="942" w:type="dxa"/>
            <w:noWrap w:val="0"/>
            <w:vAlign w:val="center"/>
          </w:tcPr>
          <w:p>
            <w:pPr>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付费额</w:t>
            </w:r>
          </w:p>
        </w:tc>
        <w:tc>
          <w:tcPr>
            <w:tcW w:w="6450" w:type="dxa"/>
            <w:noWrap w:val="0"/>
            <w:vAlign w:val="center"/>
          </w:tcPr>
          <w:p>
            <w:pPr>
              <w:spacing w:line="360" w:lineRule="auto"/>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付费时间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424" w:type="dxa"/>
            <w:noWrap w:val="0"/>
            <w:vAlign w:val="center"/>
          </w:tcPr>
          <w:p>
            <w:pPr>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第一次付费</w:t>
            </w:r>
          </w:p>
        </w:tc>
        <w:tc>
          <w:tcPr>
            <w:tcW w:w="942" w:type="dxa"/>
            <w:noWrap w:val="0"/>
            <w:vAlign w:val="center"/>
          </w:tcPr>
          <w:p>
            <w:pPr>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w:t>
            </w:r>
          </w:p>
        </w:tc>
        <w:tc>
          <w:tcPr>
            <w:tcW w:w="6450" w:type="dxa"/>
            <w:noWrap w:val="0"/>
            <w:vAlign w:val="center"/>
          </w:tcPr>
          <w:p>
            <w:pPr>
              <w:spacing w:line="400" w:lineRule="exact"/>
              <w:rPr>
                <w:rFonts w:ascii="宋体" w:hAnsi="宋体" w:eastAsia="宋体" w:cs="Times New Roman"/>
                <w:color w:val="auto"/>
                <w:kern w:val="2"/>
                <w:sz w:val="21"/>
                <w:szCs w:val="21"/>
              </w:rPr>
            </w:pPr>
            <w:r>
              <w:rPr>
                <w:rFonts w:hint="eastAsia" w:ascii="宋体" w:hAnsi="宋体" w:eastAsia="宋体" w:cs="宋体"/>
                <w:color w:val="auto"/>
                <w:kern w:val="2"/>
                <w:sz w:val="21"/>
                <w:szCs w:val="21"/>
              </w:rPr>
              <w:t>签订合同后，且甲方收到乙方提供的等额正式发票起30日内，甲方支付合同总价的30%。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1424" w:type="dxa"/>
            <w:noWrap w:val="0"/>
            <w:vAlign w:val="center"/>
          </w:tcPr>
          <w:p>
            <w:pPr>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第二次付费</w:t>
            </w:r>
          </w:p>
        </w:tc>
        <w:tc>
          <w:tcPr>
            <w:tcW w:w="942" w:type="dxa"/>
            <w:noWrap w:val="0"/>
            <w:vAlign w:val="center"/>
          </w:tcPr>
          <w:p>
            <w:pPr>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w:t>
            </w:r>
          </w:p>
        </w:tc>
        <w:tc>
          <w:tcPr>
            <w:tcW w:w="6450" w:type="dxa"/>
            <w:noWrap w:val="0"/>
            <w:vAlign w:val="center"/>
          </w:tcPr>
          <w:p>
            <w:pPr>
              <w:spacing w:line="400" w:lineRule="exact"/>
              <w:rPr>
                <w:rFonts w:ascii="宋体" w:hAnsi="宋体" w:eastAsia="宋体" w:cs="宋体"/>
                <w:color w:val="auto"/>
                <w:kern w:val="2"/>
                <w:sz w:val="21"/>
                <w:szCs w:val="21"/>
              </w:rPr>
            </w:pPr>
            <w:r>
              <w:rPr>
                <w:rFonts w:hint="eastAsia" w:ascii="宋体" w:hAnsi="宋体" w:eastAsia="宋体" w:cs="宋体"/>
                <w:color w:val="auto"/>
                <w:kern w:val="2"/>
                <w:sz w:val="21"/>
                <w:szCs w:val="21"/>
              </w:rPr>
              <w:t>本次服务项目，乙方提交新津城市更新总体规划初步成果文件后，且甲方自收到乙方提供的等额正式发票起30日内，甲方</w:t>
            </w:r>
            <w:r>
              <w:rPr>
                <w:rFonts w:hint="eastAsia" w:ascii="宋体" w:hAnsi="宋体" w:eastAsia="宋体" w:cs="宋体"/>
                <w:color w:val="auto"/>
                <w:kern w:val="2"/>
                <w:sz w:val="21"/>
                <w:szCs w:val="21"/>
                <w:lang w:eastAsia="zh-Hans"/>
              </w:rPr>
              <w:t>支付</w:t>
            </w:r>
            <w:r>
              <w:rPr>
                <w:rFonts w:hint="eastAsia" w:ascii="宋体" w:hAnsi="宋体" w:eastAsia="宋体" w:cs="宋体"/>
                <w:color w:val="auto"/>
                <w:kern w:val="2"/>
                <w:sz w:val="21"/>
                <w:szCs w:val="21"/>
              </w:rPr>
              <w:t>合同总额</w:t>
            </w:r>
            <w:r>
              <w:rPr>
                <w:rFonts w:hint="eastAsia" w:ascii="宋体" w:hAnsi="宋体" w:eastAsia="宋体" w:cs="宋体"/>
                <w:color w:val="auto"/>
                <w:kern w:val="2"/>
                <w:sz w:val="21"/>
                <w:szCs w:val="21"/>
                <w:lang w:eastAsia="zh-Hans"/>
              </w:rPr>
              <w:t>的</w:t>
            </w:r>
            <w:r>
              <w:rPr>
                <w:rFonts w:hint="eastAsia" w:hAnsi="宋体" w:eastAsia="宋体" w:cs="宋体"/>
                <w:color w:val="auto"/>
                <w:kern w:val="2"/>
                <w:sz w:val="21"/>
                <w:szCs w:val="21"/>
                <w:lang w:val="en-US" w:eastAsia="zh-CN"/>
              </w:rPr>
              <w:t>15</w:t>
            </w:r>
            <w:r>
              <w:rPr>
                <w:rFonts w:hint="eastAsia" w:ascii="宋体" w:hAnsi="宋体" w:eastAsia="宋体" w:cs="宋体"/>
                <w:color w:val="auto"/>
                <w:kern w:val="2"/>
                <w:sz w:val="21"/>
                <w:szCs w:val="21"/>
              </w:rPr>
              <w:t>%；</w:t>
            </w:r>
          </w:p>
          <w:p>
            <w:pPr>
              <w:widowControl/>
              <w:spacing w:line="400" w:lineRule="exact"/>
              <w:jc w:val="both"/>
              <w:rPr>
                <w:rFonts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提交五津站更新片区实施规划初步成果文件后，且甲方自收到乙方提供的等额正式发票起30日内，甲方</w:t>
            </w:r>
            <w:r>
              <w:rPr>
                <w:rFonts w:hint="eastAsia" w:ascii="宋体" w:hAnsi="宋体" w:eastAsia="宋体" w:cs="宋体"/>
                <w:color w:val="auto"/>
                <w:kern w:val="2"/>
                <w:sz w:val="21"/>
                <w:szCs w:val="21"/>
                <w:lang w:val="en-US" w:eastAsia="zh-Hans" w:bidi="ar-SA"/>
              </w:rPr>
              <w:t>支付</w:t>
            </w:r>
            <w:r>
              <w:rPr>
                <w:rFonts w:hint="eastAsia" w:ascii="宋体" w:hAnsi="宋体" w:eastAsia="宋体" w:cs="宋体"/>
                <w:color w:val="auto"/>
                <w:kern w:val="2"/>
                <w:sz w:val="21"/>
                <w:szCs w:val="21"/>
                <w:lang w:val="en-US" w:eastAsia="zh-CN" w:bidi="ar-SA"/>
              </w:rPr>
              <w:t>合同总额</w:t>
            </w:r>
            <w:r>
              <w:rPr>
                <w:rFonts w:hint="eastAsia" w:ascii="宋体" w:hAnsi="宋体" w:eastAsia="宋体" w:cs="宋体"/>
                <w:color w:val="auto"/>
                <w:kern w:val="2"/>
                <w:sz w:val="21"/>
                <w:szCs w:val="21"/>
                <w:lang w:val="en-US" w:eastAsia="zh-Hans" w:bidi="ar-SA"/>
              </w:rPr>
              <w:t>的</w:t>
            </w:r>
            <w:r>
              <w:rPr>
                <w:rFonts w:hint="eastAsia" w:hAnsi="宋体" w:eastAsia="宋体" w:cs="宋体"/>
                <w:color w:val="auto"/>
                <w:kern w:val="2"/>
                <w:sz w:val="21"/>
                <w:szCs w:val="21"/>
                <w:lang w:val="en-US" w:eastAsia="zh-CN" w:bidi="ar-SA"/>
              </w:rPr>
              <w:t>5</w:t>
            </w:r>
            <w:r>
              <w:rPr>
                <w:rFonts w:hint="eastAsia" w:ascii="宋体" w:hAnsi="宋体" w:eastAsia="宋体" w:cs="宋体"/>
                <w:color w:val="auto"/>
                <w:kern w:val="2"/>
                <w:sz w:val="21"/>
                <w:szCs w:val="21"/>
                <w:lang w:val="en-US" w:eastAsia="zh-CN" w:bidi="ar-SA"/>
              </w:rPr>
              <w:t>%；</w:t>
            </w:r>
          </w:p>
          <w:p>
            <w:pPr>
              <w:widowControl/>
              <w:spacing w:line="400" w:lineRule="exact"/>
              <w:jc w:val="both"/>
              <w:rPr>
                <w:rFonts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提交</w:t>
            </w:r>
            <w:r>
              <w:rPr>
                <w:rFonts w:hint="eastAsia" w:ascii="Calibri" w:hAnsi="Calibri" w:eastAsia="宋体" w:cs="Times New Roman"/>
                <w:color w:val="auto"/>
                <w:kern w:val="2"/>
                <w:sz w:val="21"/>
                <w:szCs w:val="22"/>
                <w:lang w:val="en-US" w:eastAsia="zh-CN" w:bidi="ar-SA"/>
              </w:rPr>
              <w:t>游河心（五津长岛）更新片区实施规划</w:t>
            </w:r>
            <w:r>
              <w:rPr>
                <w:rFonts w:hint="eastAsia" w:ascii="宋体" w:hAnsi="宋体" w:eastAsia="宋体" w:cs="宋体"/>
                <w:color w:val="auto"/>
                <w:kern w:val="2"/>
                <w:sz w:val="21"/>
                <w:szCs w:val="21"/>
                <w:lang w:val="en-US" w:eastAsia="zh-CN" w:bidi="ar-SA"/>
              </w:rPr>
              <w:t>初步成果文件后，且甲方自收到乙方提供的等额正式发票起30日内，甲方</w:t>
            </w:r>
            <w:r>
              <w:rPr>
                <w:rFonts w:hint="eastAsia" w:ascii="宋体" w:hAnsi="宋体" w:eastAsia="宋体" w:cs="宋体"/>
                <w:color w:val="auto"/>
                <w:kern w:val="2"/>
                <w:sz w:val="21"/>
                <w:szCs w:val="21"/>
                <w:lang w:val="en-US" w:eastAsia="zh-Hans" w:bidi="ar-SA"/>
              </w:rPr>
              <w:t>支付</w:t>
            </w:r>
            <w:r>
              <w:rPr>
                <w:rFonts w:hint="eastAsia" w:ascii="宋体" w:hAnsi="宋体" w:eastAsia="宋体" w:cs="宋体"/>
                <w:color w:val="auto"/>
                <w:kern w:val="2"/>
                <w:sz w:val="21"/>
                <w:szCs w:val="21"/>
                <w:lang w:val="en-US" w:eastAsia="zh-CN" w:bidi="ar-SA"/>
              </w:rPr>
              <w:t>至合同总额</w:t>
            </w:r>
            <w:r>
              <w:rPr>
                <w:rFonts w:hint="eastAsia" w:ascii="宋体" w:hAnsi="宋体" w:eastAsia="宋体" w:cs="宋体"/>
                <w:color w:val="auto"/>
                <w:kern w:val="2"/>
                <w:sz w:val="21"/>
                <w:szCs w:val="21"/>
                <w:lang w:val="en-US" w:eastAsia="zh-Hans" w:bidi="ar-SA"/>
              </w:rPr>
              <w:t>的</w:t>
            </w:r>
            <w:r>
              <w:rPr>
                <w:rFonts w:hint="eastAsia" w:hAnsi="宋体" w:eastAsia="宋体" w:cs="宋体"/>
                <w:color w:val="auto"/>
                <w:kern w:val="2"/>
                <w:sz w:val="21"/>
                <w:szCs w:val="21"/>
                <w:lang w:val="en-US" w:eastAsia="zh-CN" w:bidi="ar-SA"/>
              </w:rPr>
              <w:t>5</w:t>
            </w:r>
            <w:r>
              <w:rPr>
                <w:rFonts w:hint="eastAsia" w:ascii="宋体" w:hAnsi="宋体" w:eastAsia="宋体" w:cs="宋体"/>
                <w:color w:val="auto"/>
                <w:kern w:val="2"/>
                <w:sz w:val="21"/>
                <w:szCs w:val="21"/>
                <w:lang w:val="en-US" w:eastAsia="zh-CN" w:bidi="ar-SA"/>
              </w:rPr>
              <w:t>%；</w:t>
            </w:r>
          </w:p>
          <w:p>
            <w:pPr>
              <w:widowControl/>
              <w:spacing w:line="400" w:lineRule="exact"/>
              <w:jc w:val="both"/>
              <w:rPr>
                <w:rFonts w:ascii="宋体" w:hAnsi="宋体"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提交老旧场镇综合整治规划研究及策划初步成果文件后，且甲方自收到乙方提供的等额正式发票起30日内，甲方</w:t>
            </w:r>
            <w:r>
              <w:rPr>
                <w:rFonts w:hint="eastAsia" w:ascii="宋体" w:hAnsi="宋体" w:eastAsia="宋体" w:cs="宋体"/>
                <w:color w:val="auto"/>
                <w:kern w:val="2"/>
                <w:sz w:val="21"/>
                <w:szCs w:val="21"/>
                <w:lang w:val="en-US" w:eastAsia="zh-Hans" w:bidi="ar-SA"/>
              </w:rPr>
              <w:t>支付</w:t>
            </w:r>
            <w:r>
              <w:rPr>
                <w:rFonts w:hint="eastAsia" w:ascii="宋体" w:hAnsi="宋体" w:eastAsia="宋体" w:cs="宋体"/>
                <w:color w:val="auto"/>
                <w:kern w:val="2"/>
                <w:sz w:val="21"/>
                <w:szCs w:val="21"/>
                <w:lang w:val="en-US" w:eastAsia="zh-CN" w:bidi="ar-SA"/>
              </w:rPr>
              <w:t>合同总额</w:t>
            </w:r>
            <w:r>
              <w:rPr>
                <w:rFonts w:hint="eastAsia" w:ascii="宋体" w:hAnsi="宋体" w:eastAsia="宋体" w:cs="宋体"/>
                <w:color w:val="auto"/>
                <w:kern w:val="2"/>
                <w:sz w:val="21"/>
                <w:szCs w:val="21"/>
                <w:lang w:val="en-US" w:eastAsia="zh-Hans" w:bidi="ar-SA"/>
              </w:rPr>
              <w:t>的</w:t>
            </w:r>
            <w:r>
              <w:rPr>
                <w:rFonts w:hint="eastAsia" w:hAnsi="宋体" w:eastAsia="宋体" w:cs="宋体"/>
                <w:color w:val="auto"/>
                <w:kern w:val="2"/>
                <w:sz w:val="21"/>
                <w:szCs w:val="21"/>
                <w:lang w:val="en-US" w:eastAsia="zh-CN" w:bidi="ar-SA"/>
              </w:rPr>
              <w:t>5</w:t>
            </w:r>
            <w:r>
              <w:rPr>
                <w:rFonts w:hint="eastAsia" w:ascii="宋体" w:hAnsi="宋体" w:eastAsia="宋体" w:cs="宋体"/>
                <w:color w:val="auto"/>
                <w:kern w:val="2"/>
                <w:sz w:val="21"/>
                <w:szCs w:val="21"/>
                <w:lang w:val="en-US" w:eastAsia="zh-CN" w:bidi="ar-SA"/>
              </w:rPr>
              <w:t>%；</w:t>
            </w:r>
            <w:r>
              <w:rPr>
                <w:rFonts w:ascii="宋体" w:hAnsi="宋体" w:eastAsia="宋体" w:cs="Times New Roman"/>
                <w:color w:val="auto"/>
                <w:kern w:val="2"/>
                <w:sz w:val="21"/>
                <w:szCs w:val="21"/>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9" w:hRule="atLeast"/>
        </w:trPr>
        <w:tc>
          <w:tcPr>
            <w:tcW w:w="1424" w:type="dxa"/>
            <w:noWrap w:val="0"/>
            <w:vAlign w:val="center"/>
          </w:tcPr>
          <w:p>
            <w:pPr>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第三次付费</w:t>
            </w:r>
          </w:p>
        </w:tc>
        <w:tc>
          <w:tcPr>
            <w:tcW w:w="942" w:type="dxa"/>
            <w:noWrap w:val="0"/>
            <w:vAlign w:val="center"/>
          </w:tcPr>
          <w:p>
            <w:pPr>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w:t>
            </w:r>
          </w:p>
        </w:tc>
        <w:tc>
          <w:tcPr>
            <w:tcW w:w="6450" w:type="dxa"/>
            <w:noWrap w:val="0"/>
            <w:vAlign w:val="center"/>
          </w:tcPr>
          <w:p>
            <w:pPr>
              <w:spacing w:line="400" w:lineRule="exact"/>
              <w:rPr>
                <w:rFonts w:ascii="Calibri" w:hAnsi="Calibri" w:eastAsia="宋体" w:cs="Times New Roman"/>
                <w:color w:val="auto"/>
                <w:kern w:val="2"/>
                <w:sz w:val="21"/>
                <w:szCs w:val="22"/>
              </w:rPr>
            </w:pPr>
            <w:r>
              <w:rPr>
                <w:rFonts w:hint="eastAsia" w:ascii="Calibri" w:hAnsi="Calibri" w:eastAsia="宋体" w:cs="Times New Roman"/>
                <w:color w:val="auto"/>
                <w:kern w:val="2"/>
                <w:sz w:val="21"/>
                <w:szCs w:val="22"/>
              </w:rPr>
              <w:t>成果文件通过相关会议审查，根据审查意见修改完善，乙方提交经甲方确认后的成果文件。</w:t>
            </w:r>
          </w:p>
          <w:p>
            <w:pPr>
              <w:spacing w:line="400" w:lineRule="exact"/>
              <w:rPr>
                <w:rFonts w:ascii="宋体" w:hAnsi="宋体" w:eastAsia="宋体" w:cs="宋体"/>
                <w:color w:val="auto"/>
                <w:kern w:val="2"/>
                <w:sz w:val="21"/>
                <w:szCs w:val="21"/>
              </w:rPr>
            </w:pPr>
            <w:r>
              <w:rPr>
                <w:rFonts w:hint="eastAsia" w:ascii="宋体" w:hAnsi="宋体" w:eastAsia="宋体" w:cs="宋体"/>
                <w:color w:val="auto"/>
                <w:kern w:val="2"/>
                <w:sz w:val="21"/>
                <w:szCs w:val="21"/>
              </w:rPr>
              <w:t>乙方提交新津城市更新总体规划正式成果文件后，且甲方自收到乙方提供的等额正式发票起30日内，甲方</w:t>
            </w:r>
            <w:r>
              <w:rPr>
                <w:rFonts w:hint="eastAsia" w:ascii="宋体" w:hAnsi="宋体" w:eastAsia="宋体" w:cs="宋体"/>
                <w:color w:val="auto"/>
                <w:kern w:val="2"/>
                <w:sz w:val="21"/>
                <w:szCs w:val="21"/>
                <w:lang w:eastAsia="zh-Hans"/>
              </w:rPr>
              <w:t>支付</w:t>
            </w:r>
            <w:r>
              <w:rPr>
                <w:rFonts w:hint="eastAsia" w:ascii="宋体" w:hAnsi="宋体" w:eastAsia="宋体" w:cs="宋体"/>
                <w:color w:val="auto"/>
                <w:kern w:val="2"/>
                <w:sz w:val="21"/>
                <w:szCs w:val="21"/>
              </w:rPr>
              <w:t>合同总额</w:t>
            </w:r>
            <w:r>
              <w:rPr>
                <w:rFonts w:hint="eastAsia" w:ascii="宋体" w:hAnsi="宋体" w:eastAsia="宋体" w:cs="宋体"/>
                <w:color w:val="auto"/>
                <w:kern w:val="2"/>
                <w:sz w:val="21"/>
                <w:szCs w:val="21"/>
                <w:lang w:eastAsia="zh-Hans"/>
              </w:rPr>
              <w:t>的</w:t>
            </w:r>
            <w:r>
              <w:rPr>
                <w:rFonts w:ascii="宋体" w:hAnsi="宋体" w:eastAsia="宋体" w:cs="宋体"/>
                <w:color w:val="auto"/>
                <w:kern w:val="2"/>
                <w:sz w:val="21"/>
                <w:szCs w:val="21"/>
              </w:rPr>
              <w:t>15</w:t>
            </w:r>
            <w:r>
              <w:rPr>
                <w:rFonts w:hint="eastAsia" w:ascii="宋体" w:hAnsi="宋体" w:eastAsia="宋体" w:cs="宋体"/>
                <w:color w:val="auto"/>
                <w:kern w:val="2"/>
                <w:sz w:val="21"/>
                <w:szCs w:val="21"/>
              </w:rPr>
              <w:t>%；</w:t>
            </w:r>
          </w:p>
          <w:p>
            <w:pPr>
              <w:widowControl/>
              <w:spacing w:line="400" w:lineRule="exact"/>
              <w:jc w:val="both"/>
              <w:rPr>
                <w:rFonts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提交五津站更新片区实施规划正式成果文件后，且甲方自收到乙方提供的等额正式发票起30日内，甲方</w:t>
            </w:r>
            <w:r>
              <w:rPr>
                <w:rFonts w:hint="eastAsia" w:ascii="宋体" w:hAnsi="宋体" w:eastAsia="宋体" w:cs="宋体"/>
                <w:color w:val="auto"/>
                <w:kern w:val="2"/>
                <w:sz w:val="21"/>
                <w:szCs w:val="21"/>
                <w:lang w:val="en-US" w:eastAsia="zh-Hans" w:bidi="ar-SA"/>
              </w:rPr>
              <w:t>支付</w:t>
            </w:r>
            <w:r>
              <w:rPr>
                <w:rFonts w:hint="eastAsia" w:ascii="宋体" w:hAnsi="宋体" w:eastAsia="宋体" w:cs="宋体"/>
                <w:color w:val="auto"/>
                <w:kern w:val="2"/>
                <w:sz w:val="21"/>
                <w:szCs w:val="21"/>
                <w:lang w:val="en-US" w:eastAsia="zh-CN" w:bidi="ar-SA"/>
              </w:rPr>
              <w:t>合同总额</w:t>
            </w:r>
            <w:r>
              <w:rPr>
                <w:rFonts w:hint="eastAsia" w:ascii="宋体" w:hAnsi="宋体" w:eastAsia="宋体" w:cs="宋体"/>
                <w:color w:val="auto"/>
                <w:kern w:val="2"/>
                <w:sz w:val="21"/>
                <w:szCs w:val="21"/>
                <w:lang w:val="en-US" w:eastAsia="zh-Hans" w:bidi="ar-SA"/>
              </w:rPr>
              <w:t>的</w:t>
            </w:r>
            <w:r>
              <w:rPr>
                <w:rFonts w:hint="eastAsia" w:hAnsi="宋体" w:eastAsia="宋体" w:cs="宋体"/>
                <w:color w:val="auto"/>
                <w:kern w:val="2"/>
                <w:sz w:val="21"/>
                <w:szCs w:val="21"/>
                <w:lang w:val="en-US" w:eastAsia="zh-CN" w:bidi="ar-SA"/>
              </w:rPr>
              <w:t>10</w:t>
            </w:r>
            <w:r>
              <w:rPr>
                <w:rFonts w:hint="eastAsia" w:ascii="宋体" w:hAnsi="宋体" w:eastAsia="宋体" w:cs="宋体"/>
                <w:color w:val="auto"/>
                <w:kern w:val="2"/>
                <w:sz w:val="21"/>
                <w:szCs w:val="21"/>
                <w:lang w:val="en-US" w:eastAsia="zh-CN" w:bidi="ar-SA"/>
              </w:rPr>
              <w:t>%；</w:t>
            </w:r>
          </w:p>
          <w:p>
            <w:pPr>
              <w:widowControl/>
              <w:spacing w:line="400" w:lineRule="exact"/>
              <w:jc w:val="both"/>
              <w:rPr>
                <w:rFonts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提交</w:t>
            </w:r>
            <w:r>
              <w:rPr>
                <w:rFonts w:hint="eastAsia" w:ascii="Calibri" w:hAnsi="Calibri" w:eastAsia="宋体" w:cs="Times New Roman"/>
                <w:color w:val="auto"/>
                <w:kern w:val="2"/>
                <w:sz w:val="21"/>
                <w:szCs w:val="22"/>
                <w:lang w:val="en-US" w:eastAsia="zh-CN" w:bidi="ar-SA"/>
              </w:rPr>
              <w:t>游河心（五津长岛）更新片区实施规划</w:t>
            </w:r>
            <w:r>
              <w:rPr>
                <w:rFonts w:hint="eastAsia" w:ascii="宋体" w:hAnsi="宋体" w:eastAsia="宋体" w:cs="宋体"/>
                <w:color w:val="auto"/>
                <w:kern w:val="2"/>
                <w:sz w:val="21"/>
                <w:szCs w:val="21"/>
                <w:lang w:val="en-US" w:eastAsia="zh-CN" w:bidi="ar-SA"/>
              </w:rPr>
              <w:t>正式成果文件后，且甲方自收到乙方提供的等额正式发票起30日内，甲方</w:t>
            </w:r>
            <w:r>
              <w:rPr>
                <w:rFonts w:hint="eastAsia" w:ascii="宋体" w:hAnsi="宋体" w:eastAsia="宋体" w:cs="宋体"/>
                <w:color w:val="auto"/>
                <w:kern w:val="2"/>
                <w:sz w:val="21"/>
                <w:szCs w:val="21"/>
                <w:lang w:val="en-US" w:eastAsia="zh-Hans" w:bidi="ar-SA"/>
              </w:rPr>
              <w:t>支付</w:t>
            </w:r>
            <w:r>
              <w:rPr>
                <w:rFonts w:hint="eastAsia" w:ascii="宋体" w:hAnsi="宋体" w:eastAsia="宋体" w:cs="宋体"/>
                <w:color w:val="auto"/>
                <w:kern w:val="2"/>
                <w:sz w:val="21"/>
                <w:szCs w:val="21"/>
                <w:lang w:val="en-US" w:eastAsia="zh-CN" w:bidi="ar-SA"/>
              </w:rPr>
              <w:t>至合同总额</w:t>
            </w:r>
            <w:r>
              <w:rPr>
                <w:rFonts w:hint="eastAsia" w:ascii="宋体" w:hAnsi="宋体" w:eastAsia="宋体" w:cs="宋体"/>
                <w:color w:val="auto"/>
                <w:kern w:val="2"/>
                <w:sz w:val="21"/>
                <w:szCs w:val="21"/>
                <w:lang w:val="en-US" w:eastAsia="zh-Hans" w:bidi="ar-SA"/>
              </w:rPr>
              <w:t>的</w:t>
            </w:r>
            <w:r>
              <w:rPr>
                <w:rFonts w:hint="eastAsia" w:hAnsi="宋体" w:eastAsia="宋体" w:cs="宋体"/>
                <w:color w:val="auto"/>
                <w:kern w:val="2"/>
                <w:sz w:val="21"/>
                <w:szCs w:val="21"/>
                <w:lang w:val="en-US" w:eastAsia="zh-CN" w:bidi="ar-SA"/>
              </w:rPr>
              <w:t>10</w:t>
            </w:r>
            <w:r>
              <w:rPr>
                <w:rFonts w:hint="eastAsia" w:ascii="宋体" w:hAnsi="宋体" w:eastAsia="宋体" w:cs="宋体"/>
                <w:color w:val="auto"/>
                <w:kern w:val="2"/>
                <w:sz w:val="21"/>
                <w:szCs w:val="21"/>
                <w:lang w:val="en-US" w:eastAsia="zh-CN" w:bidi="ar-SA"/>
              </w:rPr>
              <w:t>%；</w:t>
            </w:r>
          </w:p>
          <w:p>
            <w:pPr>
              <w:spacing w:line="400" w:lineRule="exact"/>
              <w:rPr>
                <w:rFonts w:ascii="Calibri" w:hAnsi="Calibri" w:eastAsia="宋体" w:cs="Times New Roman"/>
                <w:color w:val="auto"/>
                <w:kern w:val="2"/>
                <w:sz w:val="21"/>
                <w:szCs w:val="22"/>
              </w:rPr>
            </w:pPr>
            <w:r>
              <w:rPr>
                <w:rFonts w:hint="eastAsia" w:ascii="宋体" w:hAnsi="宋体" w:eastAsia="宋体" w:cs="宋体"/>
                <w:color w:val="auto"/>
                <w:kern w:val="2"/>
                <w:sz w:val="21"/>
                <w:szCs w:val="21"/>
              </w:rPr>
              <w:t>提交老旧场镇综合整治规划研究及策划正式成果文件后，且甲方自收到乙方提供的等额正式发票起30日内，甲方</w:t>
            </w:r>
            <w:r>
              <w:rPr>
                <w:rFonts w:hint="eastAsia" w:ascii="宋体" w:hAnsi="宋体" w:eastAsia="宋体" w:cs="宋体"/>
                <w:color w:val="auto"/>
                <w:kern w:val="2"/>
                <w:sz w:val="21"/>
                <w:szCs w:val="21"/>
                <w:lang w:eastAsia="zh-Hans"/>
              </w:rPr>
              <w:t>支付</w:t>
            </w:r>
            <w:r>
              <w:rPr>
                <w:rFonts w:hint="eastAsia" w:ascii="宋体" w:hAnsi="宋体" w:eastAsia="宋体" w:cs="宋体"/>
                <w:color w:val="auto"/>
                <w:kern w:val="2"/>
                <w:sz w:val="21"/>
                <w:szCs w:val="21"/>
              </w:rPr>
              <w:t>合同总额</w:t>
            </w:r>
            <w:r>
              <w:rPr>
                <w:rFonts w:hint="eastAsia" w:ascii="宋体" w:hAnsi="宋体" w:eastAsia="宋体" w:cs="宋体"/>
                <w:color w:val="auto"/>
                <w:kern w:val="2"/>
                <w:sz w:val="21"/>
                <w:szCs w:val="21"/>
                <w:lang w:eastAsia="zh-Hans"/>
              </w:rPr>
              <w:t>的</w:t>
            </w:r>
            <w:r>
              <w:rPr>
                <w:rFonts w:ascii="宋体" w:hAnsi="宋体" w:eastAsia="宋体" w:cs="宋体"/>
                <w:color w:val="auto"/>
                <w:kern w:val="2"/>
                <w:sz w:val="21"/>
                <w:szCs w:val="21"/>
              </w:rPr>
              <w:t>5</w:t>
            </w:r>
            <w:r>
              <w:rPr>
                <w:rFonts w:hint="eastAsia" w:ascii="宋体" w:hAnsi="宋体" w:eastAsia="宋体" w:cs="宋体"/>
                <w:color w:val="auto"/>
                <w:kern w:val="2"/>
                <w:sz w:val="21"/>
                <w:szCs w:val="21"/>
              </w:rPr>
              <w:t>%；</w:t>
            </w:r>
          </w:p>
        </w:tc>
      </w:tr>
    </w:tbl>
    <w:p>
      <w:pPr>
        <w:pStyle w:val="2"/>
        <w:rPr>
          <w:rFonts w:hint="eastAsia"/>
          <w:color w:val="auto"/>
        </w:rPr>
      </w:pP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4、验收方法和标准：</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本项目招标人将严格按照相关法律法规的要求进行验收。</w:t>
      </w:r>
    </w:p>
    <w:p>
      <w:pPr>
        <w:pStyle w:val="2"/>
        <w:spacing w:before="2"/>
        <w:rPr>
          <w:rFonts w:hint="eastAsia" w:ascii="宋体" w:hAnsi="宋体" w:eastAsia="宋体" w:cs="宋体"/>
          <w:b/>
          <w:color w:val="auto"/>
          <w:sz w:val="18"/>
          <w:highlight w:val="none"/>
        </w:rPr>
      </w:pPr>
    </w:p>
    <w:p>
      <w:pPr>
        <w:rPr>
          <w:rFonts w:hint="eastAsia" w:ascii="宋体" w:hAnsi="宋体" w:eastAsia="宋体" w:cs="宋体"/>
          <w:color w:val="auto"/>
          <w:sz w:val="18"/>
          <w:highlight w:val="none"/>
        </w:rPr>
        <w:sectPr>
          <w:footerReference r:id="rId13" w:type="default"/>
          <w:pgSz w:w="11910" w:h="16840"/>
          <w:pgMar w:top="1440" w:right="1800" w:bottom="1440" w:left="1800" w:header="0" w:footer="964" w:gutter="0"/>
          <w:pgNumType w:fmt="decimal"/>
          <w:cols w:space="720" w:num="1"/>
        </w:sectPr>
      </w:pPr>
    </w:p>
    <w:p>
      <w:pPr>
        <w:pStyle w:val="3"/>
        <w:jc w:val="center"/>
        <w:rPr>
          <w:rFonts w:hint="eastAsia" w:ascii="宋体" w:hAnsi="宋体" w:eastAsia="宋体" w:cs="宋体"/>
          <w:b/>
          <w:bCs w:val="0"/>
          <w:color w:val="auto"/>
          <w:highlight w:val="none"/>
        </w:rPr>
      </w:pPr>
      <w:bookmarkStart w:id="1599" w:name="第七章 评标办法"/>
      <w:bookmarkEnd w:id="1599"/>
      <w:bookmarkStart w:id="1600" w:name="_Toc13080"/>
      <w:bookmarkStart w:id="1601" w:name="_Toc8939_WPSOffice_Level1"/>
      <w:bookmarkStart w:id="1602" w:name="_Toc417904359"/>
      <w:bookmarkStart w:id="1603" w:name="_Toc10971"/>
      <w:bookmarkStart w:id="1604" w:name="_Toc13142"/>
      <w:bookmarkStart w:id="1605" w:name="_Toc19840"/>
      <w:bookmarkStart w:id="1606" w:name="_Toc30195"/>
      <w:r>
        <w:rPr>
          <w:rFonts w:hint="eastAsia" w:ascii="宋体" w:hAnsi="宋体" w:eastAsia="宋体" w:cs="宋体"/>
          <w:b/>
          <w:bCs w:val="0"/>
          <w:color w:val="auto"/>
          <w:highlight w:val="none"/>
        </w:rPr>
        <w:t>第</w:t>
      </w:r>
      <w:r>
        <w:rPr>
          <w:rFonts w:hint="eastAsia" w:ascii="宋体" w:hAnsi="宋体" w:eastAsia="宋体" w:cs="宋体"/>
          <w:b/>
          <w:bCs w:val="0"/>
          <w:color w:val="auto"/>
          <w:highlight w:val="none"/>
          <w:lang w:val="en-US" w:eastAsia="zh-CN"/>
        </w:rPr>
        <w:t>七</w:t>
      </w:r>
      <w:r>
        <w:rPr>
          <w:rFonts w:hint="eastAsia" w:ascii="宋体" w:hAnsi="宋体" w:eastAsia="宋体" w:cs="宋体"/>
          <w:b/>
          <w:bCs w:val="0"/>
          <w:color w:val="auto"/>
          <w:highlight w:val="none"/>
        </w:rPr>
        <w:t>章  评标办法</w:t>
      </w:r>
      <w:bookmarkEnd w:id="1600"/>
      <w:bookmarkEnd w:id="1601"/>
      <w:bookmarkEnd w:id="1602"/>
      <w:bookmarkEnd w:id="1603"/>
      <w:bookmarkEnd w:id="1604"/>
      <w:bookmarkEnd w:id="1605"/>
      <w:bookmarkEnd w:id="1606"/>
      <w:bookmarkStart w:id="1607" w:name="_Hlt101846155"/>
      <w:bookmarkEnd w:id="1607"/>
      <w:bookmarkStart w:id="1608" w:name="_Toc183682415"/>
      <w:bookmarkStart w:id="1609" w:name="_Toc217446097"/>
      <w:bookmarkStart w:id="1610" w:name="_Toc183582280"/>
      <w:bookmarkStart w:id="1611" w:name="_Toc208849007"/>
    </w:p>
    <w:bookmarkEnd w:id="1608"/>
    <w:bookmarkEnd w:id="1609"/>
    <w:bookmarkEnd w:id="1610"/>
    <w:bookmarkEnd w:id="1611"/>
    <w:p>
      <w:pPr>
        <w:pStyle w:val="5"/>
        <w:spacing w:line="360" w:lineRule="auto"/>
        <w:ind w:firstLine="482" w:firstLineChars="200"/>
        <w:rPr>
          <w:rFonts w:hint="eastAsia" w:ascii="宋体" w:hAnsi="宋体" w:eastAsia="宋体" w:cs="宋体"/>
          <w:b/>
          <w:bCs/>
          <w:color w:val="auto"/>
          <w:sz w:val="24"/>
          <w:szCs w:val="24"/>
          <w:highlight w:val="none"/>
        </w:rPr>
      </w:pPr>
      <w:bookmarkStart w:id="1612" w:name="_Toc21495"/>
      <w:bookmarkStart w:id="1613" w:name="_Toc5779"/>
      <w:bookmarkStart w:id="1614" w:name="_Toc18904"/>
      <w:bookmarkStart w:id="1615" w:name="_Toc26784"/>
      <w:bookmarkStart w:id="1616" w:name="_Toc11801_WPSOffice_Level2"/>
      <w:bookmarkStart w:id="1617" w:name="_Toc19867"/>
      <w:bookmarkStart w:id="1618" w:name="_Toc25409"/>
      <w:bookmarkStart w:id="1619" w:name="_Toc217446060"/>
      <w:bookmarkStart w:id="1620" w:name="_Toc217446099"/>
      <w:r>
        <w:rPr>
          <w:rFonts w:hint="eastAsia" w:ascii="宋体" w:hAnsi="宋体" w:eastAsia="宋体" w:cs="宋体"/>
          <w:b/>
          <w:bCs/>
          <w:color w:val="auto"/>
          <w:sz w:val="24"/>
          <w:szCs w:val="24"/>
          <w:highlight w:val="none"/>
        </w:rPr>
        <w:t>1. 总则</w:t>
      </w:r>
      <w:bookmarkEnd w:id="1612"/>
      <w:bookmarkEnd w:id="1613"/>
      <w:bookmarkEnd w:id="1614"/>
      <w:bookmarkEnd w:id="1615"/>
      <w:bookmarkEnd w:id="1616"/>
      <w:bookmarkEnd w:id="1617"/>
      <w:bookmarkEnd w:id="1618"/>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 根据《中华人民共和国政府采购法》、《中华人民共和国政府采购法实施条例》和《政府采购货物和服务招标投标管理办法》（财政部第87号令）等法律规章，结合采购项目特点制定本评标办法。</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1.2 项目开标结束后，</w:t>
      </w:r>
      <w:r>
        <w:rPr>
          <w:rFonts w:hint="eastAsia" w:hAnsi="宋体" w:eastAsia="宋体" w:cs="宋体"/>
          <w:color w:val="auto"/>
          <w:sz w:val="24"/>
          <w:szCs w:val="22"/>
          <w:highlight w:val="none"/>
          <w:lang w:val="en-US" w:eastAsia="zh-CN"/>
        </w:rPr>
        <w:t>本项目由</w:t>
      </w:r>
      <w:r>
        <w:rPr>
          <w:rFonts w:hint="eastAsia" w:ascii="宋体" w:hAnsi="宋体" w:eastAsia="宋体" w:cs="宋体"/>
          <w:color w:val="auto"/>
          <w:sz w:val="24"/>
          <w:szCs w:val="22"/>
          <w:highlight w:val="none"/>
        </w:rPr>
        <w:t>采购人或者采购代理机构对投标人的资格进行审查。依据法律法规和本招标文件的规定，对投标文件是否按照规定要求提供资格性证明材料</w:t>
      </w:r>
      <w:r>
        <w:rPr>
          <w:rFonts w:hint="eastAsia" w:hAnsi="宋体" w:eastAsia="宋体" w:cs="宋体"/>
          <w:color w:val="auto"/>
          <w:sz w:val="24"/>
          <w:szCs w:val="22"/>
          <w:highlight w:val="none"/>
          <w:lang w:val="en-US" w:eastAsia="zh-CN"/>
        </w:rPr>
        <w:t>进行审查</w:t>
      </w:r>
      <w:r>
        <w:rPr>
          <w:rFonts w:hint="eastAsia" w:ascii="宋体" w:hAnsi="宋体" w:eastAsia="宋体" w:cs="宋体"/>
          <w:color w:val="auto"/>
          <w:sz w:val="24"/>
          <w:szCs w:val="22"/>
          <w:highlight w:val="none"/>
        </w:rPr>
        <w:t>，以确定投标供应商是否具备投标资格。</w:t>
      </w:r>
    </w:p>
    <w:p>
      <w:pPr>
        <w:spacing w:line="360" w:lineRule="auto"/>
        <w:ind w:firstLine="480" w:firstLineChars="200"/>
        <w:rPr>
          <w:rFonts w:hint="eastAsia" w:ascii="宋体" w:hAnsi="宋体" w:eastAsia="宋体" w:cs="宋体"/>
          <w:color w:val="auto"/>
          <w:sz w:val="24"/>
          <w:szCs w:val="22"/>
          <w:highlight w:val="none"/>
        </w:rPr>
      </w:pPr>
      <w:r>
        <w:rPr>
          <w:rFonts w:hint="eastAsia" w:hAnsi="宋体" w:eastAsia="宋体" w:cs="宋体"/>
          <w:color w:val="auto"/>
          <w:sz w:val="24"/>
          <w:szCs w:val="22"/>
          <w:highlight w:val="none"/>
          <w:lang w:val="en-US" w:eastAsia="zh-CN"/>
        </w:rPr>
        <w:t>1.3</w:t>
      </w:r>
      <w:r>
        <w:rPr>
          <w:rFonts w:hint="eastAsia" w:ascii="宋体" w:hAnsi="宋体" w:eastAsia="宋体" w:cs="宋体"/>
          <w:color w:val="auto"/>
          <w:sz w:val="24"/>
          <w:szCs w:val="22"/>
          <w:highlight w:val="none"/>
        </w:rPr>
        <w:t>合格投标人不足三家的，不得评标。</w:t>
      </w:r>
    </w:p>
    <w:p>
      <w:pPr>
        <w:spacing w:line="360" w:lineRule="auto"/>
        <w:ind w:firstLine="480" w:firstLineChars="200"/>
        <w:rPr>
          <w:rFonts w:hint="eastAsia" w:ascii="宋体" w:hAnsi="宋体" w:eastAsia="宋体" w:cs="宋体"/>
          <w:color w:val="auto"/>
          <w:sz w:val="24"/>
          <w:szCs w:val="22"/>
          <w:highlight w:val="none"/>
        </w:rPr>
      </w:pPr>
      <w:r>
        <w:rPr>
          <w:rFonts w:hint="eastAsia" w:hAnsi="宋体" w:eastAsia="宋体" w:cs="宋体"/>
          <w:color w:val="auto"/>
          <w:sz w:val="24"/>
          <w:szCs w:val="22"/>
          <w:highlight w:val="none"/>
          <w:lang w:val="en-US" w:eastAsia="zh-CN"/>
        </w:rPr>
        <w:t>1.4</w:t>
      </w:r>
      <w:r>
        <w:rPr>
          <w:rFonts w:hint="eastAsia" w:ascii="宋体" w:hAnsi="宋体" w:eastAsia="宋体" w:cs="宋体"/>
          <w:color w:val="auto"/>
          <w:sz w:val="24"/>
          <w:szCs w:val="22"/>
          <w:highlight w:val="none"/>
        </w:rPr>
        <w:t>评标工作由采购代理机构负责组织，具体评标事务由采购代理机构依法组建的评标委员会负责。评标委员会由采购人代表和</w:t>
      </w:r>
      <w:r>
        <w:rPr>
          <w:rFonts w:hint="eastAsia" w:hAnsi="宋体" w:eastAsia="宋体" w:cs="宋体"/>
          <w:color w:val="auto"/>
          <w:sz w:val="24"/>
          <w:szCs w:val="22"/>
          <w:highlight w:val="none"/>
          <w:lang w:val="en-US" w:eastAsia="zh-CN"/>
        </w:rPr>
        <w:t>评审专</w:t>
      </w:r>
      <w:r>
        <w:rPr>
          <w:rFonts w:hint="eastAsia" w:ascii="宋体" w:hAnsi="宋体" w:eastAsia="宋体" w:cs="宋体"/>
          <w:color w:val="auto"/>
          <w:sz w:val="24"/>
          <w:szCs w:val="22"/>
          <w:highlight w:val="none"/>
        </w:rPr>
        <w:t>家组成。</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1.5</w:t>
      </w:r>
      <w:r>
        <w:rPr>
          <w:rFonts w:hint="eastAsia" w:ascii="宋体" w:hAnsi="宋体" w:eastAsia="宋体" w:cs="宋体"/>
          <w:color w:val="auto"/>
          <w:sz w:val="24"/>
          <w:szCs w:val="22"/>
          <w:highlight w:val="none"/>
        </w:rPr>
        <w:t>采购人或者采购代理机构负责组织评标工作，并履行下列职责：</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（一）核对评审专家身份和采购人代表授权函，对评审专家在政府采购活动中的职责履行情况予以记录，并及时将有关违法违规行为向财政部门报告；</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（二）宣布评标纪律；</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（三）公布投标人名单，告知评审专家应当回避的情形；</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（四）组织</w:t>
      </w:r>
      <w:r>
        <w:rPr>
          <w:rFonts w:hint="eastAsia" w:ascii="宋体" w:hAnsi="宋体" w:eastAsia="宋体" w:cs="宋体"/>
          <w:color w:val="auto"/>
          <w:sz w:val="24"/>
          <w:szCs w:val="22"/>
          <w:highlight w:val="none"/>
          <w:lang w:eastAsia="zh-CN"/>
        </w:rPr>
        <w:t>评标委员会</w:t>
      </w:r>
      <w:r>
        <w:rPr>
          <w:rFonts w:hint="eastAsia" w:ascii="宋体" w:hAnsi="宋体" w:eastAsia="宋体" w:cs="宋体"/>
          <w:color w:val="auto"/>
          <w:sz w:val="24"/>
          <w:szCs w:val="22"/>
          <w:highlight w:val="none"/>
        </w:rPr>
        <w:t>推选评标组长，采购人代表不得担任组长；</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（五）在评标期间采取必要的通讯管理措施，保证评标活动不受外界干扰；</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（六）根据</w:t>
      </w:r>
      <w:r>
        <w:rPr>
          <w:rFonts w:hint="eastAsia" w:ascii="宋体" w:hAnsi="宋体" w:eastAsia="宋体" w:cs="宋体"/>
          <w:color w:val="auto"/>
          <w:sz w:val="24"/>
          <w:szCs w:val="22"/>
          <w:highlight w:val="none"/>
          <w:lang w:eastAsia="zh-CN"/>
        </w:rPr>
        <w:t>评标委员会</w:t>
      </w:r>
      <w:r>
        <w:rPr>
          <w:rFonts w:hint="eastAsia" w:ascii="宋体" w:hAnsi="宋体" w:eastAsia="宋体" w:cs="宋体"/>
          <w:color w:val="auto"/>
          <w:sz w:val="24"/>
          <w:szCs w:val="22"/>
          <w:highlight w:val="none"/>
        </w:rPr>
        <w:t>的要求介绍政府采购相关政策法规、招标文件；</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（七）维护评标秩序，监督</w:t>
      </w:r>
      <w:r>
        <w:rPr>
          <w:rFonts w:hint="eastAsia" w:ascii="宋体" w:hAnsi="宋体" w:eastAsia="宋体" w:cs="宋体"/>
          <w:color w:val="auto"/>
          <w:sz w:val="24"/>
          <w:szCs w:val="22"/>
          <w:highlight w:val="none"/>
          <w:lang w:eastAsia="zh-CN"/>
        </w:rPr>
        <w:t>评标委员会</w:t>
      </w:r>
      <w:r>
        <w:rPr>
          <w:rFonts w:hint="eastAsia" w:ascii="宋体" w:hAnsi="宋体" w:eastAsia="宋体" w:cs="宋体"/>
          <w:color w:val="auto"/>
          <w:sz w:val="24"/>
          <w:szCs w:val="22"/>
          <w:highlight w:val="none"/>
        </w:rPr>
        <w:t>依照招标文件规定的评标程序、方法和标准进行独立评审，及时制止和纠正采购人代表、评审专家的倾向性言论或者违法违规行为；</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（八）核对评标结果，有财政部87号令第六十四条规定情形的，要求</w:t>
      </w:r>
      <w:r>
        <w:rPr>
          <w:rFonts w:hint="eastAsia" w:ascii="宋体" w:hAnsi="宋体" w:eastAsia="宋体" w:cs="宋体"/>
          <w:color w:val="auto"/>
          <w:sz w:val="24"/>
          <w:szCs w:val="22"/>
          <w:highlight w:val="none"/>
          <w:lang w:eastAsia="zh-CN"/>
        </w:rPr>
        <w:t>评标委员会</w:t>
      </w:r>
      <w:r>
        <w:rPr>
          <w:rFonts w:hint="eastAsia" w:ascii="宋体" w:hAnsi="宋体" w:eastAsia="宋体" w:cs="宋体"/>
          <w:color w:val="auto"/>
          <w:sz w:val="24"/>
          <w:szCs w:val="22"/>
          <w:highlight w:val="none"/>
        </w:rPr>
        <w:t>复核或者书面说明理由，</w:t>
      </w:r>
      <w:r>
        <w:rPr>
          <w:rFonts w:hint="eastAsia" w:ascii="宋体" w:hAnsi="宋体" w:eastAsia="宋体" w:cs="宋体"/>
          <w:color w:val="auto"/>
          <w:sz w:val="24"/>
          <w:szCs w:val="22"/>
          <w:highlight w:val="none"/>
          <w:lang w:eastAsia="zh-CN"/>
        </w:rPr>
        <w:t>评标委员会</w:t>
      </w:r>
      <w:r>
        <w:rPr>
          <w:rFonts w:hint="eastAsia" w:ascii="宋体" w:hAnsi="宋体" w:eastAsia="宋体" w:cs="宋体"/>
          <w:color w:val="auto"/>
          <w:sz w:val="24"/>
          <w:szCs w:val="22"/>
          <w:highlight w:val="none"/>
        </w:rPr>
        <w:t>拒绝的，应予记录并向本级财政部门报告；</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（九）评审工作完成后，按照规定向评审专家支付劳务报酬和异地评审差旅费，不得向评审专家以外的其他人员支付评审劳务报酬；</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（十）处理与评标有关的其他事项。</w:t>
      </w:r>
    </w:p>
    <w:p>
      <w:pPr>
        <w:spacing w:line="360" w:lineRule="auto"/>
        <w:ind w:firstLine="480" w:firstLineChars="200"/>
        <w:rPr>
          <w:rFonts w:hint="eastAsia"/>
          <w:color w:val="auto"/>
        </w:rPr>
      </w:pPr>
      <w:r>
        <w:rPr>
          <w:rFonts w:hint="eastAsia" w:ascii="宋体" w:hAnsi="宋体" w:eastAsia="宋体" w:cs="宋体"/>
          <w:color w:val="auto"/>
          <w:sz w:val="24"/>
          <w:szCs w:val="22"/>
          <w:highlight w:val="none"/>
        </w:rPr>
        <w:t>采购人可以在评标前说明项目背景和采购需求，说明内容不得含有歧视性、倾向性意见，不得超出招标文件所述范围。说明应当提交书面材料，并随采购文件一并存档。</w:t>
      </w:r>
    </w:p>
    <w:p>
      <w:pPr>
        <w:spacing w:line="360" w:lineRule="auto"/>
        <w:ind w:firstLine="480" w:firstLineChars="200"/>
        <w:rPr>
          <w:rFonts w:hint="eastAsia" w:ascii="宋体" w:hAnsi="宋体" w:eastAsia="宋体" w:cs="宋体"/>
          <w:color w:val="auto"/>
          <w:sz w:val="24"/>
          <w:szCs w:val="22"/>
          <w:highlight w:val="none"/>
        </w:rPr>
      </w:pPr>
      <w:r>
        <w:rPr>
          <w:rFonts w:hint="eastAsia" w:hAnsi="宋体" w:eastAsia="宋体" w:cs="宋体"/>
          <w:color w:val="auto"/>
          <w:sz w:val="24"/>
          <w:szCs w:val="22"/>
          <w:highlight w:val="none"/>
          <w:lang w:val="en-US" w:eastAsia="zh-CN"/>
        </w:rPr>
        <w:t>1.6</w:t>
      </w:r>
      <w:r>
        <w:rPr>
          <w:rFonts w:hint="eastAsia" w:ascii="宋体" w:hAnsi="宋体" w:eastAsia="宋体" w:cs="宋体"/>
          <w:color w:val="auto"/>
          <w:sz w:val="24"/>
          <w:szCs w:val="22"/>
          <w:highlight w:val="none"/>
        </w:rPr>
        <w:t>评标工作应遵循公平、公正、科学及择优的原则，并以相同的评标程序和标准对待所有的投标人。</w:t>
      </w:r>
    </w:p>
    <w:p>
      <w:pPr>
        <w:spacing w:line="360" w:lineRule="auto"/>
        <w:ind w:firstLine="480" w:firstLineChars="200"/>
        <w:rPr>
          <w:rFonts w:hint="eastAsia" w:ascii="宋体" w:hAnsi="宋体" w:eastAsia="宋体" w:cs="宋体"/>
          <w:color w:val="auto"/>
          <w:sz w:val="24"/>
          <w:szCs w:val="22"/>
          <w:highlight w:val="none"/>
        </w:rPr>
      </w:pPr>
      <w:r>
        <w:rPr>
          <w:rFonts w:hint="eastAsia" w:hAnsi="宋体" w:eastAsia="宋体" w:cs="宋体"/>
          <w:color w:val="auto"/>
          <w:sz w:val="24"/>
          <w:szCs w:val="22"/>
          <w:highlight w:val="none"/>
          <w:lang w:val="en-US" w:eastAsia="zh-CN"/>
        </w:rPr>
        <w:t>1.7</w:t>
      </w:r>
      <w:r>
        <w:rPr>
          <w:rFonts w:hint="eastAsia" w:ascii="宋体" w:hAnsi="宋体" w:eastAsia="宋体" w:cs="宋体"/>
          <w:color w:val="auto"/>
          <w:sz w:val="24"/>
          <w:szCs w:val="22"/>
          <w:highlight w:val="none"/>
          <w:lang w:eastAsia="zh-CN"/>
        </w:rPr>
        <w:t>评标委员会</w:t>
      </w:r>
      <w:r>
        <w:rPr>
          <w:rFonts w:hint="eastAsia" w:hAnsi="宋体" w:eastAsia="宋体" w:cs="宋体"/>
          <w:color w:val="auto"/>
          <w:sz w:val="24"/>
          <w:szCs w:val="22"/>
          <w:highlight w:val="none"/>
          <w:lang w:val="en-US" w:eastAsia="zh-CN"/>
        </w:rPr>
        <w:t>负责具体的评标事务</w:t>
      </w:r>
      <w:r>
        <w:rPr>
          <w:rFonts w:hint="eastAsia" w:ascii="宋体" w:hAnsi="宋体" w:eastAsia="宋体" w:cs="宋体"/>
          <w:color w:val="auto"/>
          <w:sz w:val="24"/>
          <w:szCs w:val="22"/>
          <w:highlight w:val="none"/>
        </w:rPr>
        <w:t>，并独立履行下列职责：</w:t>
      </w:r>
    </w:p>
    <w:p>
      <w:pPr>
        <w:spacing w:line="360" w:lineRule="auto"/>
        <w:ind w:firstLine="480" w:firstLineChars="200"/>
        <w:rPr>
          <w:rFonts w:hint="eastAsia" w:hAnsi="宋体" w:eastAsia="宋体" w:cs="宋体"/>
          <w:color w:val="auto"/>
          <w:sz w:val="24"/>
          <w:szCs w:val="22"/>
          <w:highlight w:val="none"/>
          <w:lang w:val="en-US" w:eastAsia="zh-CN"/>
        </w:rPr>
      </w:pPr>
      <w:r>
        <w:rPr>
          <w:rFonts w:hint="eastAsia" w:hAnsi="宋体" w:eastAsia="宋体" w:cs="宋体"/>
          <w:color w:val="auto"/>
          <w:sz w:val="24"/>
          <w:szCs w:val="22"/>
          <w:highlight w:val="none"/>
          <w:lang w:val="en-US" w:eastAsia="zh-CN"/>
        </w:rPr>
        <w:t>（一）审查、评价投标文件是否符合招标文件的商务、技术等实质性要求；</w:t>
      </w:r>
    </w:p>
    <w:p>
      <w:pPr>
        <w:spacing w:line="360" w:lineRule="auto"/>
        <w:ind w:firstLine="480" w:firstLineChars="200"/>
        <w:rPr>
          <w:rFonts w:hint="eastAsia" w:hAnsi="宋体" w:eastAsia="宋体" w:cs="宋体"/>
          <w:color w:val="auto"/>
          <w:sz w:val="24"/>
          <w:szCs w:val="22"/>
          <w:highlight w:val="none"/>
          <w:lang w:val="en-US" w:eastAsia="zh-CN"/>
        </w:rPr>
      </w:pPr>
      <w:r>
        <w:rPr>
          <w:rFonts w:hint="eastAsia" w:hAnsi="宋体" w:eastAsia="宋体" w:cs="宋体"/>
          <w:color w:val="auto"/>
          <w:sz w:val="24"/>
          <w:szCs w:val="22"/>
          <w:highlight w:val="none"/>
          <w:lang w:val="en-US" w:eastAsia="zh-CN"/>
        </w:rPr>
        <w:t>（二）要求投标人对投标文件有关事项作出澄清或者说明；</w:t>
      </w:r>
    </w:p>
    <w:p>
      <w:pPr>
        <w:spacing w:line="360" w:lineRule="auto"/>
        <w:ind w:firstLine="480" w:firstLineChars="200"/>
        <w:rPr>
          <w:rFonts w:hint="eastAsia" w:hAnsi="宋体" w:eastAsia="宋体" w:cs="宋体"/>
          <w:color w:val="auto"/>
          <w:sz w:val="24"/>
          <w:szCs w:val="22"/>
          <w:highlight w:val="none"/>
          <w:lang w:val="en-US" w:eastAsia="zh-CN"/>
        </w:rPr>
      </w:pPr>
      <w:r>
        <w:rPr>
          <w:rFonts w:hint="eastAsia" w:hAnsi="宋体" w:eastAsia="宋体" w:cs="宋体"/>
          <w:color w:val="auto"/>
          <w:sz w:val="24"/>
          <w:szCs w:val="22"/>
          <w:highlight w:val="none"/>
          <w:lang w:val="en-US" w:eastAsia="zh-CN"/>
        </w:rPr>
        <w:t>（三）对投标文件进行比较和评价；</w:t>
      </w:r>
    </w:p>
    <w:p>
      <w:pPr>
        <w:spacing w:line="360" w:lineRule="auto"/>
        <w:ind w:firstLine="480" w:firstLineChars="200"/>
        <w:rPr>
          <w:rFonts w:hint="eastAsia" w:hAnsi="宋体" w:eastAsia="宋体" w:cs="宋体"/>
          <w:color w:val="auto"/>
          <w:sz w:val="24"/>
          <w:szCs w:val="22"/>
          <w:highlight w:val="none"/>
          <w:lang w:val="en-US" w:eastAsia="zh-CN"/>
        </w:rPr>
      </w:pPr>
      <w:r>
        <w:rPr>
          <w:rFonts w:hint="eastAsia" w:hAnsi="宋体" w:eastAsia="宋体" w:cs="宋体"/>
          <w:color w:val="auto"/>
          <w:sz w:val="24"/>
          <w:szCs w:val="22"/>
          <w:highlight w:val="none"/>
          <w:lang w:val="en-US" w:eastAsia="zh-CN"/>
        </w:rPr>
        <w:t>（四）确定中标候选人名单，以及根据采购人委托直接确定中标人；</w:t>
      </w:r>
    </w:p>
    <w:p>
      <w:pPr>
        <w:spacing w:line="360" w:lineRule="auto"/>
        <w:ind w:firstLine="480" w:firstLineChars="200"/>
        <w:rPr>
          <w:rFonts w:hint="eastAsia" w:hAnsi="宋体" w:eastAsia="宋体" w:cs="宋体"/>
          <w:color w:val="auto"/>
          <w:sz w:val="24"/>
          <w:szCs w:val="22"/>
          <w:highlight w:val="none"/>
          <w:lang w:val="en-US" w:eastAsia="zh-CN"/>
        </w:rPr>
      </w:pPr>
      <w:r>
        <w:rPr>
          <w:rFonts w:hint="eastAsia" w:hAnsi="宋体" w:eastAsia="宋体" w:cs="宋体"/>
          <w:color w:val="auto"/>
          <w:sz w:val="24"/>
          <w:szCs w:val="22"/>
          <w:highlight w:val="none"/>
          <w:lang w:val="en-US" w:eastAsia="zh-CN"/>
        </w:rPr>
        <w:t>（五）向采购人、采购代理机构或者有关部门报告评标中发现的违法行为。</w:t>
      </w:r>
    </w:p>
    <w:p>
      <w:pPr>
        <w:spacing w:line="360" w:lineRule="auto"/>
        <w:ind w:firstLine="480" w:firstLineChars="200"/>
        <w:rPr>
          <w:rFonts w:hint="eastAsia" w:ascii="宋体" w:hAnsi="宋体" w:eastAsia="宋体" w:cs="宋体"/>
          <w:color w:val="auto"/>
          <w:sz w:val="24"/>
          <w:szCs w:val="22"/>
          <w:highlight w:val="none"/>
        </w:rPr>
      </w:pPr>
      <w:r>
        <w:rPr>
          <w:rFonts w:hint="eastAsia" w:hAnsi="宋体" w:eastAsia="宋体" w:cs="宋体"/>
          <w:color w:val="auto"/>
          <w:sz w:val="24"/>
          <w:szCs w:val="22"/>
          <w:highlight w:val="none"/>
          <w:lang w:val="en-US" w:eastAsia="zh-CN"/>
        </w:rPr>
        <w:t>1.8</w:t>
      </w:r>
      <w:r>
        <w:rPr>
          <w:rFonts w:hint="eastAsia" w:ascii="宋体" w:hAnsi="宋体" w:eastAsia="宋体" w:cs="宋体"/>
          <w:color w:val="auto"/>
          <w:sz w:val="24"/>
          <w:szCs w:val="22"/>
          <w:highlight w:val="none"/>
        </w:rPr>
        <w:t xml:space="preserve"> 评标过程独立、保密。投标人非法干预评标评标过程的行为将导致其投标文件作为无效处理。</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w:t>
      </w:r>
      <w:r>
        <w:rPr>
          <w:rFonts w:hint="eastAsia" w:hAnsi="宋体" w:eastAsia="宋体" w:cs="宋体"/>
          <w:color w:val="auto"/>
          <w:sz w:val="24"/>
          <w:szCs w:val="22"/>
          <w:highlight w:val="none"/>
          <w:lang w:val="en-US" w:eastAsia="zh-CN"/>
        </w:rPr>
        <w:t>9</w:t>
      </w:r>
      <w:r>
        <w:rPr>
          <w:rFonts w:hint="eastAsia" w:ascii="宋体" w:hAnsi="宋体" w:eastAsia="宋体" w:cs="宋体"/>
          <w:color w:val="auto"/>
          <w:sz w:val="24"/>
          <w:szCs w:val="22"/>
          <w:highlight w:val="none"/>
          <w:lang w:eastAsia="zh-CN"/>
        </w:rPr>
        <w:t>评标委员会</w:t>
      </w:r>
      <w:r>
        <w:rPr>
          <w:rFonts w:hint="eastAsia" w:ascii="宋体" w:hAnsi="宋体" w:eastAsia="宋体" w:cs="宋体"/>
          <w:color w:val="auto"/>
          <w:sz w:val="24"/>
          <w:szCs w:val="22"/>
          <w:highlight w:val="none"/>
        </w:rPr>
        <w:t>评价投标文件的响应性，对于投标人而言，除</w:t>
      </w:r>
      <w:r>
        <w:rPr>
          <w:rFonts w:hint="eastAsia" w:ascii="宋体" w:hAnsi="宋体" w:eastAsia="宋体" w:cs="宋体"/>
          <w:color w:val="auto"/>
          <w:sz w:val="24"/>
          <w:szCs w:val="22"/>
          <w:highlight w:val="none"/>
          <w:lang w:eastAsia="zh-CN"/>
        </w:rPr>
        <w:t>评标委员会</w:t>
      </w:r>
      <w:r>
        <w:rPr>
          <w:rFonts w:hint="eastAsia" w:ascii="宋体" w:hAnsi="宋体" w:eastAsia="宋体" w:cs="宋体"/>
          <w:color w:val="auto"/>
          <w:sz w:val="24"/>
          <w:szCs w:val="22"/>
          <w:highlight w:val="none"/>
        </w:rPr>
        <w:t>要求其澄清、说明或者更正而提供的资料外，仅依据投标文件本身的内容，不寻求其他外部证据。</w:t>
      </w:r>
    </w:p>
    <w:p>
      <w:pPr>
        <w:pStyle w:val="5"/>
        <w:spacing w:line="360" w:lineRule="auto"/>
        <w:ind w:firstLine="482" w:firstLineChars="200"/>
        <w:rPr>
          <w:rFonts w:hint="eastAsia" w:ascii="宋体" w:hAnsi="宋体" w:eastAsia="宋体" w:cs="宋体"/>
          <w:b/>
          <w:bCs/>
          <w:color w:val="auto"/>
          <w:sz w:val="24"/>
          <w:szCs w:val="24"/>
          <w:highlight w:val="none"/>
        </w:rPr>
      </w:pPr>
      <w:bookmarkStart w:id="1621" w:name="_Toc9658"/>
      <w:bookmarkStart w:id="1622" w:name="_Toc4317"/>
      <w:bookmarkStart w:id="1623" w:name="_Toc30347"/>
      <w:bookmarkStart w:id="1624" w:name="_Toc4240_WPSOffice_Level2"/>
      <w:bookmarkStart w:id="1625" w:name="_Toc6175"/>
      <w:bookmarkStart w:id="1626" w:name="_Toc14735"/>
      <w:bookmarkStart w:id="1627" w:name="_Toc5120"/>
      <w:r>
        <w:rPr>
          <w:rFonts w:hint="eastAsia" w:ascii="宋体" w:hAnsi="宋体" w:eastAsia="宋体" w:cs="宋体"/>
          <w:b/>
          <w:bCs/>
          <w:color w:val="auto"/>
          <w:sz w:val="24"/>
          <w:szCs w:val="24"/>
          <w:highlight w:val="none"/>
        </w:rPr>
        <w:t>2、评标方法</w:t>
      </w:r>
      <w:bookmarkEnd w:id="1621"/>
      <w:bookmarkEnd w:id="1622"/>
      <w:bookmarkEnd w:id="1623"/>
      <w:bookmarkEnd w:id="1624"/>
      <w:bookmarkEnd w:id="1625"/>
      <w:bookmarkEnd w:id="1626"/>
      <w:bookmarkEnd w:id="1627"/>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本项目评标方法为：综合评分法。 综合评分法，是指投标文件满足招标文件全部实质性要求，且按照评审因素的量化指标评审得分最高的投标人为中标候选人的评标方法。</w:t>
      </w:r>
    </w:p>
    <w:p>
      <w:pPr>
        <w:pStyle w:val="5"/>
        <w:spacing w:line="360" w:lineRule="auto"/>
        <w:ind w:firstLine="482" w:firstLineChars="200"/>
        <w:rPr>
          <w:rFonts w:hint="eastAsia" w:ascii="宋体" w:hAnsi="宋体" w:eastAsia="宋体" w:cs="宋体"/>
          <w:b/>
          <w:bCs/>
          <w:color w:val="auto"/>
          <w:sz w:val="24"/>
          <w:szCs w:val="24"/>
          <w:highlight w:val="none"/>
        </w:rPr>
      </w:pPr>
      <w:bookmarkStart w:id="1628" w:name="_Toc9913"/>
      <w:bookmarkStart w:id="1629" w:name="_Toc17875_WPSOffice_Level2"/>
      <w:bookmarkStart w:id="1630" w:name="_Toc5263"/>
      <w:bookmarkStart w:id="1631" w:name="_Toc1558"/>
      <w:bookmarkStart w:id="1632" w:name="_Toc26579"/>
      <w:bookmarkStart w:id="1633" w:name="_Toc30772"/>
      <w:bookmarkStart w:id="1634" w:name="_Toc6329"/>
      <w:r>
        <w:rPr>
          <w:rFonts w:hint="eastAsia" w:ascii="宋体" w:hAnsi="宋体" w:eastAsia="宋体" w:cs="宋体"/>
          <w:b/>
          <w:bCs/>
          <w:color w:val="auto"/>
          <w:sz w:val="24"/>
          <w:szCs w:val="24"/>
          <w:highlight w:val="none"/>
        </w:rPr>
        <w:t>3、 评标程序</w:t>
      </w:r>
      <w:bookmarkEnd w:id="1628"/>
      <w:bookmarkEnd w:id="1629"/>
      <w:bookmarkEnd w:id="1630"/>
      <w:bookmarkEnd w:id="1631"/>
      <w:bookmarkEnd w:id="1632"/>
      <w:bookmarkEnd w:id="1633"/>
      <w:bookmarkEnd w:id="1634"/>
    </w:p>
    <w:p>
      <w:pPr>
        <w:spacing w:line="440" w:lineRule="exact"/>
        <w:ind w:firstLine="482" w:firstLineChars="200"/>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3.1熟悉和理解招标文件和停止评标</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3.1.1</w:t>
      </w:r>
      <w:r>
        <w:rPr>
          <w:rFonts w:hint="eastAsia" w:ascii="宋体" w:hAnsi="宋体" w:eastAsia="宋体" w:cs="宋体"/>
          <w:color w:val="auto"/>
          <w:sz w:val="24"/>
          <w:szCs w:val="22"/>
          <w:highlight w:val="none"/>
          <w:lang w:eastAsia="zh-CN"/>
        </w:rPr>
        <w:t>评标委员会</w:t>
      </w:r>
      <w:r>
        <w:rPr>
          <w:rFonts w:hint="eastAsia" w:ascii="宋体" w:hAnsi="宋体" w:eastAsia="宋体" w:cs="宋体"/>
          <w:color w:val="auto"/>
          <w:sz w:val="24"/>
          <w:szCs w:val="22"/>
          <w:highlight w:val="none"/>
        </w:rPr>
        <w:t>正式评标前，应当对招标文件进行熟悉和理解。</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3.1.2评标委员会熟悉和理解招标文件以及评标过程中，发现本招标文件有下列情形之一的，评标委员会应当停止评标：</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（1）招标文件的规定存在歧义、重大缺陷的；</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（2）招标文件明显以不合理条件对供应商实行差别待遇或者歧视待遇的；</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（3）采购项目属于国家规定的优先、强制采购范围，但是招标文件未依法体现优先、强制采购相关规定的；</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（4）采购项目属于政府采购促进中小企业发展的范围，但是招标文件未依法体现促进中小企业发展相关规定的</w:t>
      </w:r>
      <w:r>
        <w:rPr>
          <w:rFonts w:hint="eastAsia" w:hAnsi="宋体" w:eastAsia="宋体" w:cs="宋体"/>
          <w:color w:val="auto"/>
          <w:sz w:val="24"/>
          <w:szCs w:val="22"/>
          <w:highlight w:val="none"/>
          <w:lang w:eastAsia="zh-CN"/>
        </w:rPr>
        <w:t>（</w:t>
      </w:r>
      <w:r>
        <w:rPr>
          <w:rFonts w:hint="eastAsia" w:hAnsi="宋体" w:eastAsia="宋体" w:cs="宋体"/>
          <w:color w:val="auto"/>
          <w:sz w:val="24"/>
          <w:szCs w:val="22"/>
          <w:highlight w:val="none"/>
          <w:lang w:val="en-US" w:eastAsia="zh-CN"/>
        </w:rPr>
        <w:t>专门面向中小微企业采购的除外</w:t>
      </w:r>
      <w:r>
        <w:rPr>
          <w:rFonts w:hint="eastAsia" w:hAnsi="宋体" w:eastAsia="宋体" w:cs="宋体"/>
          <w:color w:val="auto"/>
          <w:sz w:val="24"/>
          <w:szCs w:val="22"/>
          <w:highlight w:val="none"/>
          <w:lang w:eastAsia="zh-CN"/>
        </w:rPr>
        <w:t>）</w:t>
      </w:r>
      <w:r>
        <w:rPr>
          <w:rFonts w:hint="eastAsia" w:ascii="宋体" w:hAnsi="宋体" w:eastAsia="宋体" w:cs="宋体"/>
          <w:color w:val="auto"/>
          <w:sz w:val="24"/>
          <w:szCs w:val="22"/>
          <w:highlight w:val="none"/>
        </w:rPr>
        <w:t>；</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（5）招标文件规定的评标方法是综合评分法、最低评标价法之外的评标方法，或者虽然名称为综合评分法、最低评标价法，但实际上不符合国家规定；</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（6）招标文件将投标人的资格条件列为评分因素的；</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（7）招标文件有违反国家其他有关强制性规定的情形。</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3.1.3出现本条3.1.2规定应当停止评标情形的，评标委员会成员应当向招标采购单位书面说明情况。除本条规定和评标委员会无法依法组建的情形外，评标委员会成员不得以任何方式和理由停止评标。3.1.3出现3.1.2规定应当停止评标情形的，</w:t>
      </w:r>
      <w:r>
        <w:rPr>
          <w:rFonts w:hint="eastAsia" w:ascii="宋体" w:hAnsi="宋体" w:eastAsia="宋体" w:cs="宋体"/>
          <w:color w:val="auto"/>
          <w:sz w:val="24"/>
          <w:szCs w:val="22"/>
          <w:highlight w:val="none"/>
          <w:lang w:eastAsia="zh-CN"/>
        </w:rPr>
        <w:t>评标委员会</w:t>
      </w:r>
      <w:r>
        <w:rPr>
          <w:rFonts w:hint="eastAsia" w:ascii="宋体" w:hAnsi="宋体" w:eastAsia="宋体" w:cs="宋体"/>
          <w:color w:val="auto"/>
          <w:sz w:val="24"/>
          <w:szCs w:val="22"/>
          <w:highlight w:val="none"/>
        </w:rPr>
        <w:t>成员应当向招标采购单位书面说明情况。除3.1.2规定的情形和</w:t>
      </w:r>
      <w:r>
        <w:rPr>
          <w:rFonts w:hint="eastAsia" w:ascii="宋体" w:hAnsi="宋体" w:eastAsia="宋体" w:cs="宋体"/>
          <w:color w:val="auto"/>
          <w:sz w:val="24"/>
          <w:szCs w:val="22"/>
          <w:highlight w:val="none"/>
          <w:lang w:eastAsia="zh-CN"/>
        </w:rPr>
        <w:t>评标委员会</w:t>
      </w:r>
      <w:r>
        <w:rPr>
          <w:rFonts w:hint="eastAsia" w:ascii="宋体" w:hAnsi="宋体" w:eastAsia="宋体" w:cs="宋体"/>
          <w:color w:val="auto"/>
          <w:sz w:val="24"/>
          <w:szCs w:val="22"/>
          <w:highlight w:val="none"/>
        </w:rPr>
        <w:t>无法依法组建的情形外，</w:t>
      </w:r>
      <w:r>
        <w:rPr>
          <w:rFonts w:hint="eastAsia" w:ascii="宋体" w:hAnsi="宋体" w:eastAsia="宋体" w:cs="宋体"/>
          <w:color w:val="auto"/>
          <w:sz w:val="24"/>
          <w:szCs w:val="22"/>
          <w:highlight w:val="none"/>
          <w:lang w:eastAsia="zh-CN"/>
        </w:rPr>
        <w:t>评标委员会</w:t>
      </w:r>
      <w:r>
        <w:rPr>
          <w:rFonts w:hint="eastAsia" w:ascii="宋体" w:hAnsi="宋体" w:eastAsia="宋体" w:cs="宋体"/>
          <w:color w:val="auto"/>
          <w:sz w:val="24"/>
          <w:szCs w:val="22"/>
          <w:highlight w:val="none"/>
        </w:rPr>
        <w:t>成员不得以任何方式和理由停止评标。</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3.1.4出现3.1.2规定应当停止评审情形的，采购人或采购代理机构应当书面告知参加采购活动的供应商，并说明具体原因，同时在四川政府采购公告。采购人或采购代理机构认为</w:t>
      </w:r>
      <w:r>
        <w:rPr>
          <w:rFonts w:hint="eastAsia" w:ascii="宋体" w:hAnsi="宋体" w:eastAsia="宋体" w:cs="宋体"/>
          <w:color w:val="auto"/>
          <w:sz w:val="24"/>
          <w:szCs w:val="22"/>
          <w:highlight w:val="none"/>
          <w:lang w:eastAsia="zh-CN"/>
        </w:rPr>
        <w:t>评标委员会</w:t>
      </w:r>
      <w:r>
        <w:rPr>
          <w:rFonts w:hint="eastAsia" w:ascii="宋体" w:hAnsi="宋体" w:eastAsia="宋体" w:cs="宋体"/>
          <w:color w:val="auto"/>
          <w:sz w:val="24"/>
          <w:szCs w:val="22"/>
          <w:highlight w:val="none"/>
        </w:rPr>
        <w:t>不应当停止评审的，可以书面报告采购项目同级财政部门依法处理，并提供相关证明材料。</w:t>
      </w:r>
    </w:p>
    <w:p>
      <w:pPr>
        <w:spacing w:line="440" w:lineRule="exact"/>
        <w:ind w:firstLine="482" w:firstLineChars="200"/>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2</w:t>
      </w:r>
      <w:r>
        <w:rPr>
          <w:rFonts w:hint="eastAsia" w:ascii="宋体" w:hAnsi="宋体" w:eastAsia="宋体" w:cs="宋体"/>
          <w:b/>
          <w:bCs/>
          <w:color w:val="auto"/>
          <w:sz w:val="24"/>
          <w:szCs w:val="22"/>
          <w:highlight w:val="none"/>
        </w:rPr>
        <w:t>符合性</w:t>
      </w:r>
      <w:r>
        <w:rPr>
          <w:rFonts w:hint="eastAsia" w:ascii="宋体" w:hAnsi="宋体" w:eastAsia="宋体" w:cs="宋体"/>
          <w:b/>
          <w:bCs/>
          <w:color w:val="auto"/>
          <w:sz w:val="24"/>
          <w:szCs w:val="22"/>
          <w:highlight w:val="none"/>
          <w:lang w:val="en-US" w:eastAsia="zh-CN"/>
        </w:rPr>
        <w:t>审</w:t>
      </w:r>
      <w:r>
        <w:rPr>
          <w:rFonts w:hint="eastAsia" w:ascii="宋体" w:hAnsi="宋体" w:eastAsia="宋体" w:cs="宋体"/>
          <w:b/>
          <w:bCs/>
          <w:color w:val="auto"/>
          <w:sz w:val="24"/>
          <w:szCs w:val="22"/>
          <w:highlight w:val="none"/>
        </w:rPr>
        <w:t>查</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3.2.1评标委员会依据本招标文件的实质性要求</w:t>
      </w:r>
      <w:r>
        <w:rPr>
          <w:rFonts w:hint="eastAsia" w:ascii="宋体" w:hAnsi="宋体" w:eastAsia="宋体" w:cs="宋体"/>
          <w:color w:val="auto"/>
          <w:sz w:val="24"/>
          <w:szCs w:val="22"/>
          <w:lang w:eastAsia="zh-CN"/>
        </w:rPr>
        <w:t>及无效投标情</w:t>
      </w:r>
      <w:r>
        <w:rPr>
          <w:rFonts w:hint="eastAsia" w:ascii="宋体" w:hAnsi="宋体" w:eastAsia="宋体" w:cs="宋体"/>
          <w:color w:val="auto"/>
          <w:sz w:val="24"/>
          <w:szCs w:val="22"/>
          <w:lang w:val="en-US" w:eastAsia="zh-CN"/>
        </w:rPr>
        <w:t>形</w:t>
      </w:r>
      <w:r>
        <w:rPr>
          <w:rFonts w:hint="eastAsia" w:ascii="宋体" w:hAnsi="宋体" w:eastAsia="宋体" w:cs="宋体"/>
          <w:color w:val="auto"/>
          <w:sz w:val="24"/>
          <w:szCs w:val="22"/>
        </w:rPr>
        <w:t>，对符合资格的投标文件进行审查，以确定其是否满足本招标文件的</w:t>
      </w:r>
      <w:r>
        <w:rPr>
          <w:rFonts w:hint="eastAsia" w:ascii="宋体" w:hAnsi="宋体" w:eastAsia="宋体" w:cs="宋体"/>
          <w:color w:val="auto"/>
          <w:sz w:val="24"/>
          <w:szCs w:val="22"/>
          <w:lang w:eastAsia="zh-CN"/>
        </w:rPr>
        <w:t>符合</w:t>
      </w:r>
      <w:r>
        <w:rPr>
          <w:rFonts w:hint="eastAsia" w:ascii="宋体" w:hAnsi="宋体" w:eastAsia="宋体" w:cs="宋体"/>
          <w:color w:val="auto"/>
          <w:sz w:val="24"/>
          <w:szCs w:val="22"/>
        </w:rPr>
        <w:t>性要求</w:t>
      </w:r>
      <w:r>
        <w:rPr>
          <w:rFonts w:hint="eastAsia" w:ascii="宋体" w:hAnsi="宋体" w:eastAsia="宋体" w:cs="宋体"/>
          <w:color w:val="auto"/>
          <w:sz w:val="24"/>
          <w:szCs w:val="22"/>
          <w:lang w:eastAsia="zh-CN"/>
        </w:rPr>
        <w:t>（</w:t>
      </w:r>
      <w:r>
        <w:rPr>
          <w:rFonts w:hint="eastAsia" w:ascii="宋体" w:hAnsi="宋体" w:eastAsia="宋体" w:cs="宋体"/>
          <w:color w:val="auto"/>
          <w:sz w:val="24"/>
          <w:szCs w:val="22"/>
          <w:lang w:val="en-US" w:eastAsia="zh-CN"/>
        </w:rPr>
        <w:t>如下表</w:t>
      </w:r>
      <w:r>
        <w:rPr>
          <w:rFonts w:hint="eastAsia" w:ascii="宋体" w:hAnsi="宋体" w:eastAsia="宋体" w:cs="宋体"/>
          <w:color w:val="auto"/>
          <w:sz w:val="24"/>
          <w:szCs w:val="22"/>
          <w:lang w:eastAsia="zh-CN"/>
        </w:rPr>
        <w:t>）</w:t>
      </w:r>
      <w:r>
        <w:rPr>
          <w:rFonts w:hint="eastAsia" w:ascii="宋体" w:hAnsi="宋体" w:eastAsia="宋体" w:cs="宋体"/>
          <w:color w:val="auto"/>
          <w:sz w:val="24"/>
          <w:szCs w:val="22"/>
        </w:rPr>
        <w:t>。本项目符合性审查事项仅限于本招标文件的明确规定。投标文件是否满足招标文件的</w:t>
      </w:r>
      <w:r>
        <w:rPr>
          <w:rFonts w:hint="eastAsia" w:ascii="宋体" w:hAnsi="宋体" w:eastAsia="宋体" w:cs="宋体"/>
          <w:color w:val="auto"/>
          <w:sz w:val="24"/>
          <w:szCs w:val="22"/>
          <w:lang w:eastAsia="zh-CN"/>
        </w:rPr>
        <w:t>符合</w:t>
      </w:r>
      <w:r>
        <w:rPr>
          <w:rFonts w:hint="eastAsia" w:ascii="宋体" w:hAnsi="宋体" w:eastAsia="宋体" w:cs="宋体"/>
          <w:color w:val="auto"/>
          <w:sz w:val="24"/>
          <w:szCs w:val="22"/>
        </w:rPr>
        <w:t>性要求</w:t>
      </w:r>
      <w:r>
        <w:rPr>
          <w:rFonts w:hint="eastAsia" w:ascii="宋体" w:hAnsi="宋体" w:eastAsia="宋体" w:cs="宋体"/>
          <w:color w:val="auto"/>
          <w:sz w:val="24"/>
          <w:szCs w:val="22"/>
          <w:lang w:eastAsia="zh-CN"/>
        </w:rPr>
        <w:t>（</w:t>
      </w:r>
      <w:r>
        <w:rPr>
          <w:rFonts w:hint="eastAsia" w:ascii="宋体" w:hAnsi="宋体" w:eastAsia="宋体" w:cs="宋体"/>
          <w:color w:val="auto"/>
          <w:sz w:val="24"/>
          <w:szCs w:val="22"/>
          <w:lang w:val="en-US" w:eastAsia="zh-CN"/>
        </w:rPr>
        <w:t>如下表</w:t>
      </w:r>
      <w:r>
        <w:rPr>
          <w:rFonts w:hint="eastAsia" w:ascii="宋体" w:hAnsi="宋体" w:eastAsia="宋体" w:cs="宋体"/>
          <w:color w:val="auto"/>
          <w:sz w:val="24"/>
          <w:szCs w:val="22"/>
          <w:lang w:eastAsia="zh-CN"/>
        </w:rPr>
        <w:t>）</w:t>
      </w:r>
      <w:r>
        <w:rPr>
          <w:rFonts w:hint="eastAsia" w:ascii="宋体" w:hAnsi="宋体" w:eastAsia="宋体" w:cs="宋体"/>
          <w:color w:val="auto"/>
          <w:sz w:val="24"/>
          <w:szCs w:val="22"/>
        </w:rPr>
        <w:t>，必须以本招标文件的明确规定作为依据，否则，不能对投标文件作为无效处理，评标委员会不得臆测符合性审查事项。</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3.2.</w:t>
      </w:r>
      <w:r>
        <w:rPr>
          <w:rFonts w:hint="eastAsia" w:hAnsi="宋体" w:eastAsia="宋体" w:cs="宋体"/>
          <w:color w:val="auto"/>
          <w:sz w:val="24"/>
          <w:szCs w:val="22"/>
          <w:lang w:val="en-US" w:eastAsia="zh-CN"/>
        </w:rPr>
        <w:t>2</w:t>
      </w:r>
      <w:r>
        <w:rPr>
          <w:rFonts w:hint="eastAsia" w:ascii="宋体" w:hAnsi="宋体" w:eastAsia="宋体" w:cs="宋体"/>
          <w:color w:val="auto"/>
          <w:sz w:val="24"/>
          <w:szCs w:val="22"/>
        </w:rPr>
        <w:t>除政府采购法律制度规定的情形外，本项目投标人或者其投标文件有下列情形之一的，作为无效投标处理：</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w:t>
      </w:r>
      <w:r>
        <w:rPr>
          <w:rFonts w:hint="eastAsia" w:ascii="宋体" w:hAnsi="宋体" w:eastAsia="宋体" w:cs="宋体"/>
          <w:color w:val="auto"/>
          <w:sz w:val="24"/>
          <w:szCs w:val="22"/>
          <w:lang w:eastAsia="zh-CN"/>
        </w:rPr>
        <w:t>一</w:t>
      </w:r>
      <w:r>
        <w:rPr>
          <w:rFonts w:hint="eastAsia" w:ascii="宋体" w:hAnsi="宋体" w:eastAsia="宋体" w:cs="宋体"/>
          <w:color w:val="auto"/>
          <w:sz w:val="24"/>
          <w:szCs w:val="22"/>
        </w:rPr>
        <w:t>）投标文件组成明显不符合招标文件的规定要求，影响评标委员会评判的；</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rPr>
        <w:t>（</w:t>
      </w:r>
      <w:r>
        <w:rPr>
          <w:rFonts w:hint="eastAsia" w:ascii="宋体" w:hAnsi="宋体" w:eastAsia="宋体" w:cs="宋体"/>
          <w:color w:val="auto"/>
          <w:sz w:val="24"/>
          <w:szCs w:val="22"/>
          <w:lang w:eastAsia="zh-CN"/>
        </w:rPr>
        <w:t>二</w:t>
      </w:r>
      <w:r>
        <w:rPr>
          <w:rFonts w:hint="eastAsia" w:ascii="宋体" w:hAnsi="宋体" w:eastAsia="宋体" w:cs="宋体"/>
          <w:color w:val="auto"/>
          <w:sz w:val="24"/>
          <w:szCs w:val="22"/>
        </w:rPr>
        <w:t>）投标文件未按招标文件</w:t>
      </w:r>
      <w:r>
        <w:rPr>
          <w:rFonts w:hint="eastAsia" w:ascii="宋体" w:hAnsi="宋体" w:eastAsia="宋体" w:cs="宋体"/>
          <w:color w:val="auto"/>
          <w:sz w:val="24"/>
          <w:szCs w:val="22"/>
          <w:lang w:eastAsia="zh-CN"/>
        </w:rPr>
        <w:t>第二章</w:t>
      </w:r>
      <w:r>
        <w:rPr>
          <w:rFonts w:hint="eastAsia" w:ascii="宋体" w:hAnsi="宋体" w:eastAsia="宋体" w:cs="宋体"/>
          <w:color w:val="auto"/>
          <w:sz w:val="24"/>
          <w:szCs w:val="22"/>
          <w:lang w:val="en-US" w:eastAsia="zh-CN"/>
        </w:rPr>
        <w:t>1</w:t>
      </w:r>
      <w:r>
        <w:rPr>
          <w:rFonts w:hint="eastAsia" w:hAnsi="宋体" w:eastAsia="宋体" w:cs="宋体"/>
          <w:color w:val="auto"/>
          <w:sz w:val="24"/>
          <w:szCs w:val="22"/>
          <w:lang w:val="en-US" w:eastAsia="zh-CN"/>
        </w:rPr>
        <w:t>8</w:t>
      </w:r>
      <w:r>
        <w:rPr>
          <w:rFonts w:hint="eastAsia" w:ascii="宋体" w:hAnsi="宋体" w:eastAsia="宋体" w:cs="宋体"/>
          <w:color w:val="auto"/>
          <w:sz w:val="24"/>
          <w:szCs w:val="22"/>
          <w:lang w:val="en-US" w:eastAsia="zh-CN"/>
        </w:rPr>
        <w:t>.</w:t>
      </w:r>
      <w:r>
        <w:rPr>
          <w:rFonts w:hint="eastAsia" w:ascii="宋体" w:hAnsi="宋体" w:eastAsia="宋体" w:cs="宋体"/>
          <w:color w:val="auto"/>
          <w:sz w:val="24"/>
          <w:szCs w:val="22"/>
          <w:lang w:eastAsia="zh-CN"/>
        </w:rPr>
        <w:t>2</w:t>
      </w:r>
      <w:r>
        <w:rPr>
          <w:rFonts w:hint="eastAsia" w:ascii="宋体" w:hAnsi="宋体" w:eastAsia="宋体" w:cs="宋体"/>
          <w:color w:val="auto"/>
          <w:sz w:val="24"/>
          <w:szCs w:val="22"/>
        </w:rPr>
        <w:t>要求盖</w:t>
      </w:r>
      <w:r>
        <w:rPr>
          <w:rFonts w:hint="eastAsia" w:ascii="宋体" w:hAnsi="宋体" w:eastAsia="宋体" w:cs="宋体"/>
          <w:color w:val="auto"/>
          <w:sz w:val="24"/>
          <w:szCs w:val="22"/>
          <w:lang w:eastAsia="zh-CN"/>
        </w:rPr>
        <w:t>电子印章</w:t>
      </w:r>
      <w:r>
        <w:rPr>
          <w:rFonts w:hint="eastAsia" w:ascii="宋体" w:hAnsi="宋体" w:eastAsia="宋体" w:cs="宋体"/>
          <w:color w:val="auto"/>
          <w:sz w:val="24"/>
          <w:szCs w:val="22"/>
        </w:rPr>
        <w:t>的</w:t>
      </w:r>
      <w:r>
        <w:rPr>
          <w:rFonts w:hint="eastAsia" w:ascii="宋体" w:hAnsi="宋体" w:eastAsia="宋体" w:cs="宋体"/>
          <w:color w:val="auto"/>
          <w:sz w:val="24"/>
          <w:szCs w:val="22"/>
          <w:lang w:eastAsia="zh-CN"/>
        </w:rPr>
        <w:t>；</w:t>
      </w:r>
    </w:p>
    <w:tbl>
      <w:tblPr>
        <w:tblStyle w:val="35"/>
        <w:tblW w:w="5433" w:type="pct"/>
        <w:tblInd w:w="-6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109"/>
        <w:gridCol w:w="4044"/>
        <w:gridCol w:w="2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5000" w:type="pct"/>
            <w:gridSpan w:val="4"/>
            <w:noWrap w:val="0"/>
            <w:vAlign w:val="center"/>
          </w:tcPr>
          <w:p>
            <w:pPr>
              <w:pageBreakBefore w:val="0"/>
              <w:widowControl w:val="0"/>
              <w:kinsoku/>
              <w:wordWrap/>
              <w:overflowPunct/>
              <w:topLinePunct w:val="0"/>
              <w:autoSpaceDE/>
              <w:autoSpaceDN/>
              <w:bidi w:val="0"/>
              <w:adjustRightInd/>
              <w:snapToGrid/>
              <w:spacing w:line="440" w:lineRule="exact"/>
              <w:ind w:firstLine="3920" w:firstLineChars="1400"/>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28"/>
                <w:szCs w:val="28"/>
                <w:lang w:val="en-US" w:eastAsia="zh-CN"/>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序号</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ind w:firstLine="360" w:firstLineChars="20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招标文件条目</w:t>
            </w: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ind w:firstLine="360" w:firstLineChars="20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实质性要求及无效投标情形</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ind w:firstLine="720" w:firstLineChars="400"/>
              <w:jc w:val="both"/>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ageBreakBefore w:val="0"/>
              <w:widowControl w:val="0"/>
              <w:kinsoku/>
              <w:wordWrap/>
              <w:overflowPunct/>
              <w:topLinePunct w:val="0"/>
              <w:autoSpaceDE/>
              <w:autoSpaceDN/>
              <w:bidi w:val="0"/>
              <w:adjustRightInd/>
              <w:snapToGrid/>
              <w:spacing w:line="440" w:lineRule="exact"/>
              <w:ind w:firstLine="180" w:firstLineChars="100"/>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招标文件第二章</w:t>
            </w:r>
            <w:r>
              <w:rPr>
                <w:rFonts w:hint="eastAsia" w:ascii="宋体" w:hAnsi="宋体" w:eastAsia="宋体" w:cs="宋体"/>
                <w:color w:val="auto"/>
                <w:sz w:val="18"/>
                <w:szCs w:val="18"/>
              </w:rPr>
              <w:t>一、投标人须知</w:t>
            </w:r>
            <w:r>
              <w:rPr>
                <w:rFonts w:hint="eastAsia" w:hAnsi="宋体" w:cs="宋体"/>
                <w:color w:val="auto"/>
                <w:sz w:val="18"/>
                <w:szCs w:val="18"/>
                <w:lang w:val="en-US" w:eastAsia="zh-CN"/>
              </w:rPr>
              <w:t>前</w:t>
            </w:r>
            <w:r>
              <w:rPr>
                <w:rFonts w:hint="eastAsia" w:ascii="宋体" w:hAnsi="宋体" w:eastAsia="宋体" w:cs="宋体"/>
                <w:color w:val="auto"/>
                <w:sz w:val="18"/>
                <w:szCs w:val="18"/>
              </w:rPr>
              <w:t>附表</w:t>
            </w:r>
            <w:r>
              <w:rPr>
                <w:rFonts w:hint="eastAsia" w:ascii="宋体" w:hAnsi="宋体" w:eastAsia="宋体" w:cs="宋体"/>
                <w:color w:val="auto"/>
                <w:sz w:val="18"/>
                <w:szCs w:val="18"/>
                <w:lang w:eastAsia="zh-CN"/>
              </w:rPr>
              <w:t>序号</w:t>
            </w:r>
            <w:r>
              <w:rPr>
                <w:rFonts w:hint="eastAsia" w:ascii="宋体" w:hAnsi="宋体" w:eastAsia="宋体" w:cs="宋体"/>
                <w:color w:val="auto"/>
                <w:sz w:val="18"/>
                <w:szCs w:val="18"/>
                <w:lang w:val="en-US" w:eastAsia="zh-CN"/>
              </w:rPr>
              <w:t>1采购预算</w:t>
            </w:r>
            <w:r>
              <w:rPr>
                <w:rFonts w:hint="eastAsia" w:hAnsi="宋体" w:cs="宋体"/>
                <w:color w:val="auto"/>
                <w:sz w:val="18"/>
                <w:szCs w:val="18"/>
                <w:lang w:val="en-US" w:eastAsia="zh-CN"/>
              </w:rPr>
              <w:t>、最高限价</w:t>
            </w: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本项目采购预算为</w:t>
            </w:r>
            <w:r>
              <w:rPr>
                <w:rFonts w:hint="eastAsia" w:hAnsi="宋体" w:eastAsia="宋体" w:cs="宋体"/>
                <w:color w:val="auto"/>
                <w:sz w:val="18"/>
                <w:szCs w:val="18"/>
                <w:lang w:val="en-US" w:eastAsia="zh-CN"/>
              </w:rPr>
              <w:t>514</w:t>
            </w:r>
            <w:r>
              <w:rPr>
                <w:rFonts w:hint="eastAsia" w:ascii="宋体" w:hAnsi="宋体" w:eastAsia="宋体" w:cs="宋体"/>
                <w:color w:val="auto"/>
                <w:sz w:val="18"/>
                <w:szCs w:val="18"/>
              </w:rPr>
              <w:t>万元</w:t>
            </w:r>
            <w:r>
              <w:rPr>
                <w:rFonts w:hint="eastAsia" w:hAnsi="宋体" w:cs="宋体"/>
                <w:color w:val="auto"/>
                <w:sz w:val="18"/>
                <w:szCs w:val="18"/>
                <w:lang w:val="en-US" w:eastAsia="zh-CN"/>
              </w:rPr>
              <w:t>；</w:t>
            </w:r>
            <w:r>
              <w:rPr>
                <w:rFonts w:hint="eastAsia" w:ascii="宋体" w:hAnsi="宋体" w:eastAsia="宋体" w:cs="宋体"/>
                <w:color w:val="auto"/>
                <w:sz w:val="18"/>
                <w:szCs w:val="18"/>
              </w:rPr>
              <w:t>超过采购预算的报价视为无效投标。</w:t>
            </w:r>
          </w:p>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本项目最高限价为</w:t>
            </w:r>
            <w:r>
              <w:rPr>
                <w:rFonts w:hint="eastAsia" w:hAnsi="宋体" w:eastAsia="宋体" w:cs="宋体"/>
                <w:color w:val="auto"/>
                <w:sz w:val="18"/>
                <w:szCs w:val="18"/>
                <w:lang w:val="en-US" w:eastAsia="zh-CN"/>
              </w:rPr>
              <w:t>514</w:t>
            </w:r>
            <w:r>
              <w:rPr>
                <w:rFonts w:hint="eastAsia" w:ascii="宋体" w:hAnsi="宋体" w:eastAsia="宋体" w:cs="宋体"/>
                <w:color w:val="auto"/>
                <w:sz w:val="18"/>
                <w:szCs w:val="18"/>
              </w:rPr>
              <w:t>万元</w:t>
            </w:r>
            <w:r>
              <w:rPr>
                <w:rFonts w:hint="eastAsia" w:hAnsi="宋体" w:cs="宋体"/>
                <w:color w:val="auto"/>
                <w:sz w:val="18"/>
                <w:szCs w:val="18"/>
                <w:lang w:val="en-US" w:eastAsia="zh-CN"/>
              </w:rPr>
              <w:t>；</w:t>
            </w:r>
            <w:r>
              <w:rPr>
                <w:rFonts w:hint="eastAsia" w:ascii="宋体" w:hAnsi="宋体" w:eastAsia="宋体" w:cs="宋体"/>
                <w:color w:val="auto"/>
                <w:sz w:val="18"/>
                <w:szCs w:val="18"/>
              </w:rPr>
              <w:t>超过最高限价的报价视为无效投标。</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投标人根据招标文件第三章格式2-</w:t>
            </w:r>
            <w:r>
              <w:rPr>
                <w:rFonts w:hint="eastAsia" w:hAnsi="宋体" w:eastAsia="宋体" w:cs="宋体"/>
                <w:color w:val="auto"/>
                <w:sz w:val="18"/>
                <w:szCs w:val="18"/>
                <w:lang w:val="en-US" w:eastAsia="zh-CN"/>
              </w:rPr>
              <w:t>5</w:t>
            </w:r>
            <w:r>
              <w:rPr>
                <w:rFonts w:hint="eastAsia" w:hAnsi="宋体" w:cs="宋体"/>
                <w:color w:val="auto"/>
                <w:sz w:val="18"/>
                <w:szCs w:val="18"/>
                <w:lang w:val="en-US" w:eastAsia="zh-CN"/>
              </w:rPr>
              <w:t>《开标一览表》</w:t>
            </w:r>
            <w:r>
              <w:rPr>
                <w:rFonts w:hint="eastAsia" w:ascii="宋体" w:hAnsi="宋体" w:eastAsia="宋体" w:cs="宋体"/>
                <w:color w:val="auto"/>
                <w:sz w:val="18"/>
                <w:szCs w:val="18"/>
                <w:lang w:val="en-US" w:eastAsia="zh-CN"/>
              </w:rPr>
              <w:t>填写。评标委员会对上传内容按照招标文件要求进行评审。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ageBreakBefore w:val="0"/>
              <w:widowControl w:val="0"/>
              <w:kinsoku/>
              <w:wordWrap/>
              <w:overflowPunct/>
              <w:topLinePunct w:val="0"/>
              <w:autoSpaceDE/>
              <w:autoSpaceDN/>
              <w:bidi w:val="0"/>
              <w:adjustRightInd/>
              <w:snapToGrid/>
              <w:spacing w:line="440" w:lineRule="exact"/>
              <w:ind w:firstLine="360" w:firstLineChars="200"/>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ind w:firstLine="360" w:firstLineChars="20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招标文件第二章</w:t>
            </w:r>
            <w:r>
              <w:rPr>
                <w:rFonts w:hint="eastAsia" w:ascii="宋体" w:hAnsi="宋体" w:eastAsia="宋体" w:cs="宋体"/>
                <w:color w:val="auto"/>
                <w:sz w:val="18"/>
                <w:szCs w:val="18"/>
              </w:rPr>
              <w:t>一、投标人须知</w:t>
            </w:r>
            <w:r>
              <w:rPr>
                <w:rFonts w:hint="eastAsia" w:hAnsi="宋体" w:cs="宋体"/>
                <w:color w:val="auto"/>
                <w:sz w:val="18"/>
                <w:szCs w:val="18"/>
                <w:lang w:val="en-US" w:eastAsia="zh-CN"/>
              </w:rPr>
              <w:t>前</w:t>
            </w:r>
            <w:r>
              <w:rPr>
                <w:rFonts w:hint="eastAsia" w:ascii="宋体" w:hAnsi="宋体" w:eastAsia="宋体" w:cs="宋体"/>
                <w:color w:val="auto"/>
                <w:sz w:val="18"/>
                <w:szCs w:val="18"/>
              </w:rPr>
              <w:t>附表</w:t>
            </w:r>
            <w:r>
              <w:rPr>
                <w:rFonts w:hint="eastAsia" w:ascii="宋体" w:hAnsi="宋体" w:eastAsia="宋体" w:cs="宋体"/>
                <w:color w:val="auto"/>
                <w:sz w:val="18"/>
                <w:szCs w:val="18"/>
                <w:lang w:eastAsia="zh-CN"/>
              </w:rPr>
              <w:t>序号</w:t>
            </w:r>
            <w:r>
              <w:rPr>
                <w:rFonts w:hint="eastAsia" w:ascii="宋体" w:hAnsi="宋体" w:eastAsia="宋体" w:cs="宋体"/>
                <w:color w:val="auto"/>
                <w:sz w:val="18"/>
                <w:szCs w:val="18"/>
                <w:lang w:val="en-US" w:eastAsia="zh-CN"/>
              </w:rPr>
              <w:t>2不正当竞争预防措施</w:t>
            </w:r>
          </w:p>
          <w:p>
            <w:pPr>
              <w:pageBreakBefore w:val="0"/>
              <w:widowControl w:val="0"/>
              <w:kinsoku/>
              <w:wordWrap/>
              <w:overflowPunct/>
              <w:topLinePunct w:val="0"/>
              <w:autoSpaceDE/>
              <w:autoSpaceDN/>
              <w:bidi w:val="0"/>
              <w:adjustRightInd/>
              <w:snapToGrid/>
              <w:spacing w:line="440" w:lineRule="exact"/>
              <w:ind w:firstLine="360" w:firstLineChars="200"/>
              <w:jc w:val="center"/>
              <w:textAlignment w:val="auto"/>
              <w:rPr>
                <w:rFonts w:hint="eastAsia" w:ascii="宋体" w:hAnsi="宋体" w:eastAsia="宋体" w:cs="宋体"/>
                <w:color w:val="auto"/>
                <w:sz w:val="18"/>
                <w:szCs w:val="18"/>
              </w:rPr>
            </w:pP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注：</w:t>
            </w:r>
            <w:r>
              <w:rPr>
                <w:rFonts w:hint="eastAsia" w:ascii="宋体" w:hAnsi="宋体" w:eastAsia="宋体" w:cs="宋体"/>
                <w:color w:val="auto"/>
                <w:sz w:val="18"/>
                <w:szCs w:val="18"/>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宋体" w:hAnsi="宋体" w:eastAsia="宋体" w:cs="宋体"/>
                <w:color w:val="auto"/>
                <w:sz w:val="18"/>
                <w:szCs w:val="18"/>
              </w:rPr>
              <w:t>30分钟，供应商已明确表示澄清、说明完毕的除外</w:t>
            </w:r>
            <w:r>
              <w:rPr>
                <w:rFonts w:hint="eastAsia" w:ascii="宋体" w:hAnsi="宋体" w:eastAsia="宋体" w:cs="宋体"/>
                <w:color w:val="auto"/>
                <w:sz w:val="18"/>
                <w:szCs w:val="18"/>
                <w:lang w:val="zh-CN"/>
              </w:rPr>
              <w:t>）。如因系统故障（</w:t>
            </w:r>
            <w:r>
              <w:rPr>
                <w:rFonts w:hint="eastAsia" w:ascii="宋体" w:hAnsi="宋体" w:eastAsia="宋体" w:cs="宋体"/>
                <w:color w:val="auto"/>
                <w:sz w:val="18"/>
                <w:szCs w:val="18"/>
                <w:lang w:val="en-US" w:eastAsia="zh-CN"/>
              </w:rPr>
              <w:t>包括组织场所停电、断网等）</w:t>
            </w:r>
            <w:r>
              <w:rPr>
                <w:rFonts w:hint="eastAsia" w:ascii="宋体" w:hAnsi="宋体" w:eastAsia="宋体" w:cs="宋体"/>
                <w:color w:val="auto"/>
                <w:sz w:val="18"/>
                <w:szCs w:val="18"/>
                <w:lang w:val="zh-CN"/>
              </w:rPr>
              <w:t>导致系统无法使用的，由投标人按评标委员会的要求进行澄清或者说明。</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上传空白页即可</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若有需要请按评标委员会要求提供书面说明、相关证明材料</w:t>
            </w:r>
            <w:r>
              <w:rPr>
                <w:rFonts w:hint="eastAsia" w:ascii="宋体" w:hAnsi="宋体" w:eastAsia="宋体" w:cs="宋体"/>
                <w:color w:val="auto"/>
                <w:sz w:val="18"/>
                <w:szCs w:val="18"/>
                <w:lang w:val="zh-CN"/>
              </w:rPr>
              <w:t>（如涉及）</w:t>
            </w:r>
            <w:r>
              <w:rPr>
                <w:rFonts w:hint="eastAsia" w:ascii="宋体" w:hAnsi="宋体" w:eastAsia="宋体" w:cs="宋体"/>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ageBreakBefore w:val="0"/>
              <w:widowControl w:val="0"/>
              <w:kinsoku/>
              <w:wordWrap/>
              <w:overflowPunct/>
              <w:topLinePunct w:val="0"/>
              <w:autoSpaceDE/>
              <w:autoSpaceDN/>
              <w:bidi w:val="0"/>
              <w:adjustRightInd/>
              <w:snapToGrid/>
              <w:spacing w:line="440" w:lineRule="exact"/>
              <w:ind w:firstLine="360" w:firstLineChars="200"/>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招标文件第二章</w:t>
            </w:r>
            <w:r>
              <w:rPr>
                <w:rFonts w:hint="eastAsia" w:ascii="宋体" w:hAnsi="宋体" w:eastAsia="宋体" w:cs="宋体"/>
                <w:color w:val="auto"/>
                <w:sz w:val="18"/>
                <w:szCs w:val="18"/>
              </w:rPr>
              <w:t>一、投标人须知</w:t>
            </w:r>
            <w:r>
              <w:rPr>
                <w:rFonts w:hint="eastAsia" w:hAnsi="宋体" w:cs="宋体"/>
                <w:color w:val="auto"/>
                <w:sz w:val="18"/>
                <w:szCs w:val="18"/>
                <w:lang w:val="en-US" w:eastAsia="zh-CN"/>
              </w:rPr>
              <w:t>前</w:t>
            </w:r>
            <w:r>
              <w:rPr>
                <w:rFonts w:hint="eastAsia" w:ascii="宋体" w:hAnsi="宋体" w:eastAsia="宋体" w:cs="宋体"/>
                <w:color w:val="auto"/>
                <w:sz w:val="18"/>
                <w:szCs w:val="18"/>
              </w:rPr>
              <w:t>附表</w:t>
            </w:r>
            <w:r>
              <w:rPr>
                <w:rFonts w:hint="eastAsia" w:ascii="宋体" w:hAnsi="宋体" w:eastAsia="宋体" w:cs="宋体"/>
                <w:color w:val="auto"/>
                <w:sz w:val="18"/>
                <w:szCs w:val="18"/>
                <w:lang w:eastAsia="zh-CN"/>
              </w:rPr>
              <w:t>序号</w:t>
            </w:r>
            <w:r>
              <w:rPr>
                <w:rFonts w:hint="eastAsia" w:ascii="宋体" w:hAnsi="宋体" w:eastAsia="宋体" w:cs="宋体"/>
                <w:color w:val="auto"/>
                <w:sz w:val="18"/>
                <w:szCs w:val="18"/>
                <w:lang w:val="en-US" w:eastAsia="zh-CN"/>
              </w:rPr>
              <w:t>3</w:t>
            </w:r>
            <w:r>
              <w:rPr>
                <w:rFonts w:hint="eastAsia" w:hAnsi="宋体" w:cs="宋体"/>
                <w:color w:val="auto"/>
                <w:sz w:val="18"/>
                <w:szCs w:val="18"/>
                <w:lang w:val="en-US" w:eastAsia="zh-CN"/>
              </w:rPr>
              <w:t>投标有效期</w:t>
            </w: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投标截止时间届满后90天（投标有效期从递交投标文件截止之日起算，有效期短于该规定期限的投标无效）。</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投标人根据招标文件第三章格式2-</w:t>
            </w:r>
            <w:r>
              <w:rPr>
                <w:rFonts w:hint="eastAsia" w:hAnsi="宋体" w:cs="宋体"/>
                <w:color w:val="auto"/>
                <w:sz w:val="18"/>
                <w:szCs w:val="18"/>
                <w:lang w:val="en-US" w:eastAsia="zh-CN"/>
              </w:rPr>
              <w:t>2《投标函》</w:t>
            </w:r>
            <w:r>
              <w:rPr>
                <w:rFonts w:hint="eastAsia" w:ascii="宋体" w:hAnsi="宋体" w:eastAsia="宋体" w:cs="宋体"/>
                <w:color w:val="auto"/>
                <w:sz w:val="18"/>
                <w:szCs w:val="18"/>
                <w:lang w:val="en-US" w:eastAsia="zh-CN"/>
              </w:rPr>
              <w:t>填写。评标委员会对上传内容按照招标文件要求进行评审。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404" w:type="pct"/>
            <w:noWrap w:val="0"/>
            <w:vAlign w:val="center"/>
          </w:tcPr>
          <w:p>
            <w:pPr>
              <w:pageBreakBefore w:val="0"/>
              <w:widowControl w:val="0"/>
              <w:kinsoku/>
              <w:wordWrap/>
              <w:overflowPunct/>
              <w:topLinePunct w:val="0"/>
              <w:autoSpaceDE/>
              <w:autoSpaceDN/>
              <w:bidi w:val="0"/>
              <w:adjustRightInd/>
              <w:snapToGrid/>
              <w:spacing w:line="440" w:lineRule="exact"/>
              <w:ind w:firstLine="360" w:firstLineChars="200"/>
              <w:jc w:val="center"/>
              <w:textAlignment w:val="auto"/>
              <w:rPr>
                <w:rFonts w:hint="default" w:hAnsi="宋体" w:eastAsia="宋体" w:cs="宋体"/>
                <w:color w:val="auto"/>
                <w:sz w:val="18"/>
                <w:szCs w:val="18"/>
                <w:lang w:val="en-US" w:eastAsia="zh-CN"/>
              </w:rPr>
            </w:pPr>
            <w:r>
              <w:rPr>
                <w:rFonts w:hint="eastAsia" w:hAnsi="宋体" w:eastAsia="宋体" w:cs="宋体"/>
                <w:color w:val="auto"/>
                <w:sz w:val="18"/>
                <w:szCs w:val="18"/>
                <w:lang w:val="en-US" w:eastAsia="zh-CN"/>
              </w:rPr>
              <w:t>4</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lang w:eastAsia="zh-CN"/>
              </w:rPr>
              <w:t>招标文件第二章</w:t>
            </w:r>
            <w:r>
              <w:rPr>
                <w:rFonts w:hint="eastAsia" w:ascii="宋体" w:hAnsi="宋体" w:eastAsia="宋体" w:cs="宋体"/>
                <w:color w:val="auto"/>
                <w:sz w:val="18"/>
                <w:szCs w:val="18"/>
              </w:rPr>
              <w:t>一、投标人须知</w:t>
            </w:r>
            <w:r>
              <w:rPr>
                <w:rFonts w:hint="eastAsia" w:hAnsi="宋体" w:cs="宋体"/>
                <w:color w:val="auto"/>
                <w:sz w:val="18"/>
                <w:szCs w:val="18"/>
                <w:lang w:val="en-US" w:eastAsia="zh-CN"/>
              </w:rPr>
              <w:t>前</w:t>
            </w:r>
            <w:r>
              <w:rPr>
                <w:rFonts w:hint="eastAsia" w:ascii="宋体" w:hAnsi="宋体" w:eastAsia="宋体" w:cs="宋体"/>
                <w:color w:val="auto"/>
                <w:sz w:val="18"/>
                <w:szCs w:val="18"/>
              </w:rPr>
              <w:t>附表</w:t>
            </w:r>
            <w:r>
              <w:rPr>
                <w:rFonts w:hint="eastAsia" w:ascii="宋体" w:hAnsi="宋体" w:eastAsia="宋体" w:cs="宋体"/>
                <w:color w:val="auto"/>
                <w:sz w:val="18"/>
                <w:szCs w:val="18"/>
                <w:lang w:eastAsia="zh-CN"/>
              </w:rPr>
              <w:t>序号</w:t>
            </w:r>
            <w:r>
              <w:rPr>
                <w:rFonts w:hint="eastAsia" w:hAnsi="宋体" w:cs="宋体"/>
                <w:color w:val="auto"/>
                <w:sz w:val="18"/>
                <w:szCs w:val="18"/>
                <w:lang w:val="en-US" w:eastAsia="zh-CN"/>
              </w:rPr>
              <w:t>18履约保证金</w:t>
            </w: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eastAsia="zh-CN"/>
              </w:rPr>
            </w:pPr>
            <w:r>
              <w:rPr>
                <w:rFonts w:hint="eastAsia" w:hAnsi="宋体" w:cs="宋体"/>
                <w:color w:val="auto"/>
                <w:sz w:val="18"/>
                <w:szCs w:val="18"/>
                <w:lang w:val="en-US" w:eastAsia="zh-CN"/>
              </w:rPr>
              <w:t>履约保证金</w:t>
            </w:r>
            <w:r>
              <w:rPr>
                <w:rFonts w:hint="eastAsia" w:ascii="宋体" w:hAnsi="宋体" w:eastAsia="宋体" w:cs="宋体"/>
                <w:color w:val="auto"/>
                <w:sz w:val="18"/>
                <w:szCs w:val="18"/>
                <w:lang w:eastAsia="zh-CN"/>
              </w:rPr>
              <w:t>金额</w:t>
            </w:r>
            <w:r>
              <w:rPr>
                <w:rFonts w:hint="eastAsia" w:hAnsi="宋体" w:cs="宋体"/>
                <w:color w:val="auto"/>
                <w:sz w:val="18"/>
                <w:szCs w:val="18"/>
                <w:lang w:eastAsia="zh-CN"/>
              </w:rPr>
              <w:t>、</w:t>
            </w:r>
            <w:r>
              <w:rPr>
                <w:rFonts w:hint="eastAsia" w:ascii="宋体" w:hAnsi="宋体" w:eastAsia="宋体" w:cs="宋体"/>
                <w:color w:val="auto"/>
                <w:sz w:val="18"/>
                <w:szCs w:val="18"/>
                <w:lang w:eastAsia="zh-CN"/>
              </w:rPr>
              <w:t>交款方式</w:t>
            </w:r>
            <w:r>
              <w:rPr>
                <w:rFonts w:hint="eastAsia" w:hAnsi="宋体" w:cs="宋体"/>
                <w:color w:val="auto"/>
                <w:sz w:val="18"/>
                <w:szCs w:val="18"/>
                <w:lang w:eastAsia="zh-CN"/>
              </w:rPr>
              <w:t>、</w:t>
            </w:r>
            <w:r>
              <w:rPr>
                <w:rFonts w:hint="eastAsia" w:ascii="宋体" w:hAnsi="宋体" w:eastAsia="宋体" w:cs="宋体"/>
                <w:color w:val="auto"/>
                <w:sz w:val="18"/>
                <w:szCs w:val="18"/>
                <w:lang w:eastAsia="zh-CN"/>
              </w:rPr>
              <w:t>交款时间</w:t>
            </w:r>
            <w:r>
              <w:rPr>
                <w:rFonts w:hint="eastAsia" w:hAnsi="宋体" w:cs="宋体"/>
                <w:color w:val="auto"/>
                <w:sz w:val="18"/>
                <w:szCs w:val="18"/>
                <w:lang w:eastAsia="zh-CN"/>
              </w:rPr>
              <w:t>、</w:t>
            </w:r>
            <w:r>
              <w:rPr>
                <w:rFonts w:hint="eastAsia" w:ascii="宋体" w:hAnsi="宋体" w:eastAsia="宋体" w:cs="宋体"/>
                <w:color w:val="auto"/>
                <w:sz w:val="18"/>
                <w:szCs w:val="18"/>
                <w:lang w:eastAsia="zh-CN"/>
              </w:rPr>
              <w:t>退还时间及退还方式</w:t>
            </w:r>
            <w:r>
              <w:rPr>
                <w:rFonts w:hint="eastAsia" w:hAnsi="宋体" w:cs="宋体"/>
                <w:color w:val="auto"/>
                <w:sz w:val="18"/>
                <w:szCs w:val="18"/>
                <w:lang w:eastAsia="zh-CN"/>
              </w:rPr>
              <w:t>、</w:t>
            </w:r>
            <w:r>
              <w:rPr>
                <w:rFonts w:hint="eastAsia" w:ascii="宋体" w:hAnsi="宋体" w:eastAsia="宋体" w:cs="宋体"/>
                <w:color w:val="auto"/>
                <w:sz w:val="18"/>
                <w:szCs w:val="18"/>
                <w:lang w:eastAsia="zh-CN"/>
              </w:rPr>
              <w:t>不予退还情形</w:t>
            </w:r>
            <w:r>
              <w:rPr>
                <w:rFonts w:hint="eastAsia" w:hAnsi="宋体" w:cs="宋体"/>
                <w:color w:val="auto"/>
                <w:sz w:val="18"/>
                <w:szCs w:val="18"/>
                <w:lang w:eastAsia="zh-CN"/>
              </w:rPr>
              <w:t>。</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上传空白页即可</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7" w:hRule="atLeast"/>
        </w:trPr>
        <w:tc>
          <w:tcPr>
            <w:tcW w:w="404" w:type="pct"/>
            <w:noWrap w:val="0"/>
            <w:vAlign w:val="center"/>
          </w:tcPr>
          <w:p>
            <w:pPr>
              <w:pageBreakBefore w:val="0"/>
              <w:widowControl w:val="0"/>
              <w:kinsoku/>
              <w:wordWrap/>
              <w:overflowPunct/>
              <w:topLinePunct w:val="0"/>
              <w:autoSpaceDE/>
              <w:autoSpaceDN/>
              <w:bidi w:val="0"/>
              <w:adjustRightInd/>
              <w:snapToGrid/>
              <w:spacing w:line="440" w:lineRule="exact"/>
              <w:ind w:firstLine="360" w:firstLineChars="200"/>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highlight w:val="none"/>
                <w:lang w:eastAsia="zh-CN"/>
              </w:rPr>
              <w:t>招标文件第</w:t>
            </w:r>
            <w:r>
              <w:rPr>
                <w:rFonts w:hint="eastAsia" w:hAnsi="宋体" w:cs="宋体"/>
                <w:color w:val="auto"/>
                <w:sz w:val="18"/>
                <w:szCs w:val="18"/>
                <w:highlight w:val="none"/>
                <w:lang w:val="en-US" w:eastAsia="zh-CN"/>
              </w:rPr>
              <w:t>二</w:t>
            </w:r>
            <w:r>
              <w:rPr>
                <w:rFonts w:hint="eastAsia" w:ascii="宋体" w:hAnsi="宋体" w:eastAsia="宋体" w:cs="宋体"/>
                <w:color w:val="auto"/>
                <w:sz w:val="18"/>
                <w:szCs w:val="18"/>
                <w:highlight w:val="none"/>
                <w:lang w:eastAsia="zh-CN"/>
              </w:rPr>
              <w:t>章</w:t>
            </w:r>
            <w:r>
              <w:rPr>
                <w:rFonts w:hint="eastAsia" w:hAnsi="宋体" w:cs="宋体"/>
                <w:color w:val="auto"/>
                <w:sz w:val="18"/>
                <w:szCs w:val="18"/>
                <w:highlight w:val="none"/>
                <w:lang w:val="en-US" w:eastAsia="zh-CN"/>
              </w:rPr>
              <w:t>二、总则3.合格的投标人</w:t>
            </w: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合格供应商应具备以下条件：</w:t>
            </w:r>
          </w:p>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3.1具备法律法规和本采购文件规定的资格条件；</w:t>
            </w:r>
          </w:p>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3.2按招标文件规定的方式成功报名并获取了招标文件，属于实质性参加政府采购活动的供应商。</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投标人根据招标文件第三章格式2-3</w:t>
            </w:r>
            <w:r>
              <w:rPr>
                <w:rFonts w:hint="eastAsia" w:hAnsi="宋体" w:cs="宋体"/>
                <w:color w:val="auto"/>
                <w:sz w:val="18"/>
                <w:szCs w:val="18"/>
                <w:lang w:val="en-US" w:eastAsia="zh-CN"/>
              </w:rPr>
              <w:t>《承诺函》</w:t>
            </w:r>
            <w:r>
              <w:rPr>
                <w:rFonts w:hint="eastAsia" w:ascii="宋体" w:hAnsi="宋体" w:eastAsia="宋体" w:cs="宋体"/>
                <w:color w:val="auto"/>
                <w:sz w:val="18"/>
                <w:szCs w:val="18"/>
                <w:lang w:val="en-US" w:eastAsia="zh-CN"/>
              </w:rPr>
              <w:t>填写</w:t>
            </w:r>
            <w:r>
              <w:rPr>
                <w:rFonts w:hint="eastAsia" w:ascii="宋体" w:hAnsi="宋体" w:eastAsia="宋体" w:cs="宋体"/>
                <w:color w:val="auto"/>
                <w:sz w:val="18"/>
                <w:szCs w:val="18"/>
                <w:lang w:eastAsia="zh-CN"/>
              </w:rPr>
              <w:t>。</w:t>
            </w:r>
            <w:r>
              <w:rPr>
                <w:rFonts w:hint="eastAsia" w:hAnsi="宋体" w:cs="宋体"/>
                <w:color w:val="auto"/>
                <w:sz w:val="18"/>
                <w:szCs w:val="18"/>
                <w:lang w:val="en-US" w:eastAsia="zh-CN"/>
              </w:rPr>
              <w:t>招标代理机构提供报名成功的供应商名单，</w:t>
            </w:r>
            <w:r>
              <w:rPr>
                <w:rFonts w:hint="eastAsia" w:ascii="宋体" w:hAnsi="宋体" w:eastAsia="宋体" w:cs="宋体"/>
                <w:color w:val="auto"/>
                <w:sz w:val="18"/>
                <w:szCs w:val="18"/>
                <w:lang w:eastAsia="zh-CN"/>
              </w:rPr>
              <w:t>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ageBreakBefore w:val="0"/>
              <w:widowControl w:val="0"/>
              <w:kinsoku/>
              <w:wordWrap/>
              <w:overflowPunct/>
              <w:topLinePunct w:val="0"/>
              <w:autoSpaceDE/>
              <w:autoSpaceDN/>
              <w:bidi w:val="0"/>
              <w:adjustRightInd/>
              <w:snapToGrid/>
              <w:spacing w:line="440" w:lineRule="exact"/>
              <w:ind w:firstLine="360" w:firstLineChars="200"/>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lang w:eastAsia="zh-CN"/>
              </w:rPr>
              <w:t>招标文件</w:t>
            </w:r>
            <w:r>
              <w:rPr>
                <w:rFonts w:hint="eastAsia" w:hAnsi="宋体" w:cs="宋体"/>
                <w:color w:val="auto"/>
                <w:sz w:val="18"/>
                <w:szCs w:val="18"/>
                <w:lang w:val="en-US" w:eastAsia="zh-CN"/>
              </w:rPr>
              <w:t>第二章</w:t>
            </w:r>
            <w:r>
              <w:rPr>
                <w:rFonts w:hint="eastAsia" w:ascii="宋体" w:hAnsi="宋体" w:eastAsia="宋体" w:cs="宋体"/>
                <w:color w:val="auto"/>
                <w:sz w:val="18"/>
                <w:szCs w:val="18"/>
                <w:lang w:val="zh-CN"/>
              </w:rPr>
              <w:t>二</w:t>
            </w:r>
            <w:r>
              <w:rPr>
                <w:rFonts w:hint="eastAsia" w:hAnsi="宋体" w:eastAsia="宋体" w:cs="宋体"/>
                <w:color w:val="auto"/>
                <w:sz w:val="18"/>
                <w:szCs w:val="18"/>
                <w:lang w:val="zh-CN"/>
              </w:rPr>
              <w:t>、</w:t>
            </w:r>
            <w:r>
              <w:rPr>
                <w:rFonts w:hint="eastAsia" w:hAnsi="宋体" w:eastAsia="宋体" w:cs="宋体"/>
                <w:color w:val="auto"/>
                <w:sz w:val="18"/>
                <w:szCs w:val="18"/>
                <w:lang w:val="en-US" w:eastAsia="zh-CN"/>
              </w:rPr>
              <w:t>总则</w:t>
            </w:r>
            <w:r>
              <w:rPr>
                <w:rFonts w:hint="eastAsia" w:hAnsi="宋体" w:cs="宋体"/>
                <w:color w:val="auto"/>
                <w:sz w:val="18"/>
                <w:szCs w:val="18"/>
                <w:lang w:val="en-US" w:eastAsia="zh-CN"/>
              </w:rPr>
              <w:t>4</w:t>
            </w:r>
            <w:r>
              <w:rPr>
                <w:rFonts w:hint="eastAsia" w:ascii="宋体" w:hAnsi="宋体" w:eastAsia="宋体" w:cs="宋体"/>
                <w:color w:val="auto"/>
                <w:sz w:val="18"/>
                <w:szCs w:val="18"/>
                <w:lang w:val="en-US" w:eastAsia="zh-CN"/>
              </w:rPr>
              <w:t>.</w:t>
            </w:r>
            <w:r>
              <w:rPr>
                <w:rFonts w:hint="eastAsia" w:ascii="宋体" w:hAnsi="宋体" w:eastAsia="宋体" w:cs="宋体"/>
                <w:color w:val="auto"/>
                <w:sz w:val="18"/>
                <w:szCs w:val="18"/>
                <w:lang w:val="zh-CN"/>
              </w:rPr>
              <w:t>投标费用</w:t>
            </w: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zh-CN"/>
              </w:rPr>
              <w:t>投标人参加投标的有关费用由投标人自行承担。</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投标人根据招标文件第三章格式2-3</w:t>
            </w:r>
            <w:r>
              <w:rPr>
                <w:rFonts w:hint="eastAsia" w:hAnsi="宋体" w:cs="宋体"/>
                <w:color w:val="auto"/>
                <w:sz w:val="18"/>
                <w:szCs w:val="18"/>
                <w:lang w:val="en-US" w:eastAsia="zh-CN"/>
              </w:rPr>
              <w:t>《承诺函》</w:t>
            </w:r>
            <w:r>
              <w:rPr>
                <w:rFonts w:hint="eastAsia" w:ascii="宋体" w:hAnsi="宋体" w:eastAsia="宋体" w:cs="宋体"/>
                <w:color w:val="auto"/>
                <w:sz w:val="18"/>
                <w:szCs w:val="18"/>
                <w:lang w:val="en-US" w:eastAsia="zh-CN"/>
              </w:rPr>
              <w:t>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ageBreakBefore w:val="0"/>
              <w:widowControl w:val="0"/>
              <w:kinsoku/>
              <w:wordWrap/>
              <w:overflowPunct/>
              <w:topLinePunct w:val="0"/>
              <w:autoSpaceDE/>
              <w:autoSpaceDN/>
              <w:bidi w:val="0"/>
              <w:adjustRightInd/>
              <w:snapToGrid/>
              <w:spacing w:line="440" w:lineRule="exact"/>
              <w:ind w:firstLine="360" w:firstLineChars="200"/>
              <w:jc w:val="center"/>
              <w:textAlignment w:val="auto"/>
              <w:rPr>
                <w:rFonts w:hint="default" w:hAnsi="宋体" w:eastAsia="宋体" w:cs="宋体"/>
                <w:color w:val="auto"/>
                <w:sz w:val="18"/>
                <w:szCs w:val="18"/>
                <w:lang w:val="en-US" w:eastAsia="zh-CN"/>
              </w:rPr>
            </w:pPr>
            <w:r>
              <w:rPr>
                <w:rFonts w:hint="eastAsia" w:hAnsi="宋体" w:eastAsia="宋体" w:cs="宋体"/>
                <w:color w:val="auto"/>
                <w:sz w:val="18"/>
                <w:szCs w:val="18"/>
                <w:lang w:val="en-US" w:eastAsia="zh-CN"/>
              </w:rPr>
              <w:t>7</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lang w:eastAsia="zh-CN"/>
              </w:rPr>
              <w:t>招标文件</w:t>
            </w:r>
            <w:r>
              <w:rPr>
                <w:rFonts w:hint="eastAsia" w:hAnsi="宋体" w:cs="宋体"/>
                <w:color w:val="auto"/>
                <w:sz w:val="18"/>
                <w:szCs w:val="18"/>
                <w:lang w:val="en-US" w:eastAsia="zh-CN"/>
              </w:rPr>
              <w:t>第二章</w:t>
            </w:r>
            <w:r>
              <w:rPr>
                <w:rFonts w:hint="eastAsia" w:ascii="宋体" w:hAnsi="宋体" w:eastAsia="宋体" w:cs="宋体"/>
                <w:color w:val="auto"/>
                <w:sz w:val="18"/>
                <w:szCs w:val="18"/>
                <w:lang w:val="zh-CN"/>
              </w:rPr>
              <w:t>二</w:t>
            </w:r>
            <w:r>
              <w:rPr>
                <w:rFonts w:hint="eastAsia" w:hAnsi="宋体" w:eastAsia="宋体" w:cs="宋体"/>
                <w:color w:val="auto"/>
                <w:sz w:val="18"/>
                <w:szCs w:val="18"/>
                <w:lang w:val="zh-CN"/>
              </w:rPr>
              <w:t>、</w:t>
            </w:r>
            <w:r>
              <w:rPr>
                <w:rFonts w:hint="eastAsia" w:hAnsi="宋体" w:eastAsia="宋体" w:cs="宋体"/>
                <w:color w:val="auto"/>
                <w:sz w:val="18"/>
                <w:szCs w:val="18"/>
                <w:lang w:val="en-US" w:eastAsia="zh-CN"/>
              </w:rPr>
              <w:t>总则5</w:t>
            </w:r>
            <w:r>
              <w:rPr>
                <w:rFonts w:hint="eastAsia" w:ascii="宋体" w:hAnsi="宋体" w:eastAsia="宋体" w:cs="宋体"/>
                <w:color w:val="auto"/>
                <w:sz w:val="18"/>
                <w:szCs w:val="18"/>
                <w:lang w:val="en-US" w:eastAsia="zh-CN"/>
              </w:rPr>
              <w:t>.充分、公平竞争保障措施</w:t>
            </w: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lang w:val="zh-CN"/>
              </w:rPr>
              <w:t>5.1利害关系供应商处理。单位负责人为同一人或者存在直接控股、管理关系的不同供应商不得参加同一合同项下的政府采购活动。同一集团、总公司或母公司等，连同其下属的全资子公司或（持股50%以上的）绝对控股子公司等（非控股子公司除外），只能由一家参加同一分包的投标。否则，其投标文件均作为无效投标文件处理。</w:t>
            </w:r>
          </w:p>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lang w:val="zh-CN"/>
              </w:rPr>
              <w:t>5.2前期参与供应商处理。除单一来源采购项目外，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lang w:val="zh-CN"/>
              </w:rPr>
              <w:t>5.3利害关系代理人处理。2家以上的供应商不得在同一合同项下的采购项目中，同时委托同一个自然人、同一家庭的人员、同一单位的人员作为其代理人，否则，其投标文件均作为无效投标文件处理。</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投标人根据招标文件第三章格式2-3</w:t>
            </w:r>
            <w:r>
              <w:rPr>
                <w:rFonts w:hint="eastAsia" w:hAnsi="宋体" w:cs="宋体"/>
                <w:color w:val="auto"/>
                <w:sz w:val="18"/>
                <w:szCs w:val="18"/>
                <w:lang w:val="en-US" w:eastAsia="zh-CN"/>
              </w:rPr>
              <w:t>《承诺函》</w:t>
            </w:r>
            <w:r>
              <w:rPr>
                <w:rFonts w:hint="eastAsia" w:ascii="宋体" w:hAnsi="宋体" w:eastAsia="宋体" w:cs="宋体"/>
                <w:color w:val="auto"/>
                <w:sz w:val="18"/>
                <w:szCs w:val="18"/>
                <w:lang w:val="en-US" w:eastAsia="zh-CN"/>
              </w:rPr>
              <w:t>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18"/>
                <w:szCs w:val="18"/>
                <w:lang w:eastAsia="zh-CN"/>
              </w:rPr>
            </w:pPr>
            <w:r>
              <w:rPr>
                <w:rFonts w:hint="eastAsia" w:hAnsi="宋体" w:cs="宋体"/>
                <w:color w:val="auto"/>
                <w:sz w:val="18"/>
                <w:szCs w:val="18"/>
                <w:highlight w:val="none"/>
                <w:lang w:val="en-US" w:eastAsia="zh-CN"/>
              </w:rPr>
              <w:t>招</w:t>
            </w:r>
            <w:r>
              <w:rPr>
                <w:rFonts w:hint="eastAsia" w:ascii="宋体" w:hAnsi="宋体" w:eastAsia="宋体" w:cs="宋体"/>
                <w:color w:val="auto"/>
                <w:sz w:val="18"/>
                <w:szCs w:val="18"/>
                <w:highlight w:val="none"/>
                <w:lang w:eastAsia="zh-CN"/>
              </w:rPr>
              <w:t>标文件</w:t>
            </w:r>
            <w:r>
              <w:rPr>
                <w:rFonts w:hint="eastAsia" w:hAnsi="宋体" w:cs="宋体"/>
                <w:color w:val="auto"/>
                <w:sz w:val="18"/>
                <w:szCs w:val="18"/>
                <w:highlight w:val="none"/>
                <w:lang w:val="en-US" w:eastAsia="zh-CN"/>
              </w:rPr>
              <w:t>第二章</w:t>
            </w:r>
            <w:r>
              <w:rPr>
                <w:rFonts w:hint="eastAsia" w:ascii="宋体" w:hAnsi="宋体" w:eastAsia="宋体" w:cs="宋体"/>
                <w:color w:val="auto"/>
                <w:sz w:val="18"/>
                <w:szCs w:val="18"/>
                <w:highlight w:val="none"/>
                <w:lang w:val="zh-CN"/>
              </w:rPr>
              <w:t>二</w:t>
            </w:r>
            <w:r>
              <w:rPr>
                <w:rFonts w:hint="eastAsia" w:hAnsi="宋体" w:eastAsia="宋体" w:cs="宋体"/>
                <w:color w:val="auto"/>
                <w:sz w:val="18"/>
                <w:szCs w:val="18"/>
                <w:highlight w:val="none"/>
                <w:lang w:val="zh-CN"/>
              </w:rPr>
              <w:t>、</w:t>
            </w:r>
            <w:r>
              <w:rPr>
                <w:rFonts w:hint="eastAsia" w:hAnsi="宋体" w:eastAsia="宋体" w:cs="宋体"/>
                <w:color w:val="auto"/>
                <w:sz w:val="18"/>
                <w:szCs w:val="18"/>
                <w:highlight w:val="none"/>
                <w:lang w:val="en-US" w:eastAsia="zh-CN"/>
              </w:rPr>
              <w:t>总则</w:t>
            </w:r>
            <w:r>
              <w:rPr>
                <w:rFonts w:hint="eastAsia" w:hAnsi="宋体" w:cs="宋体"/>
                <w:color w:val="auto"/>
                <w:sz w:val="18"/>
                <w:szCs w:val="18"/>
                <w:highlight w:val="none"/>
                <w:lang w:val="en-US" w:eastAsia="zh-CN"/>
              </w:rPr>
              <w:t>10</w:t>
            </w:r>
            <w:r>
              <w:rPr>
                <w:rFonts w:hint="eastAsia" w:ascii="宋体" w:hAnsi="宋体" w:eastAsia="宋体" w:cs="宋体"/>
                <w:color w:val="auto"/>
                <w:sz w:val="18"/>
                <w:szCs w:val="18"/>
                <w:highlight w:val="none"/>
                <w:lang w:val="zh-CN"/>
              </w:rPr>
              <w:t>．计量单位</w:t>
            </w: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zh-CN"/>
              </w:rPr>
              <w:t>除招标文件中另有规定外，本次采购项目所有合同项下的投标均采用国家法定的计量单位。</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上传空白页即可</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zh-CN"/>
              </w:rPr>
              <w:t>招标文件</w:t>
            </w:r>
            <w:r>
              <w:rPr>
                <w:rFonts w:hint="eastAsia" w:hAnsi="宋体" w:cs="宋体"/>
                <w:color w:val="auto"/>
                <w:sz w:val="18"/>
                <w:szCs w:val="18"/>
                <w:lang w:val="en-US" w:eastAsia="zh-CN"/>
              </w:rPr>
              <w:t>第二章</w:t>
            </w:r>
            <w:r>
              <w:rPr>
                <w:rFonts w:hint="eastAsia" w:ascii="宋体" w:hAnsi="宋体" w:eastAsia="宋体" w:cs="宋体"/>
                <w:color w:val="auto"/>
                <w:sz w:val="18"/>
                <w:szCs w:val="18"/>
                <w:lang w:val="zh-CN"/>
              </w:rPr>
              <w:t>二</w:t>
            </w:r>
            <w:r>
              <w:rPr>
                <w:rFonts w:hint="eastAsia" w:hAnsi="宋体" w:eastAsia="宋体" w:cs="宋体"/>
                <w:color w:val="auto"/>
                <w:sz w:val="18"/>
                <w:szCs w:val="18"/>
                <w:lang w:val="zh-CN"/>
              </w:rPr>
              <w:t>、</w:t>
            </w:r>
            <w:r>
              <w:rPr>
                <w:rFonts w:hint="eastAsia" w:hAnsi="宋体" w:eastAsia="宋体" w:cs="宋体"/>
                <w:color w:val="auto"/>
                <w:sz w:val="18"/>
                <w:szCs w:val="18"/>
                <w:lang w:val="en-US" w:eastAsia="zh-CN"/>
              </w:rPr>
              <w:t>总则</w:t>
            </w:r>
            <w:r>
              <w:rPr>
                <w:rFonts w:hint="eastAsia" w:hAnsi="宋体" w:cs="宋体"/>
                <w:color w:val="auto"/>
                <w:sz w:val="18"/>
                <w:szCs w:val="18"/>
                <w:lang w:val="en-US" w:eastAsia="zh-CN"/>
              </w:rPr>
              <w:t>11.</w:t>
            </w:r>
            <w:r>
              <w:rPr>
                <w:rFonts w:hint="eastAsia" w:ascii="宋体" w:hAnsi="宋体" w:eastAsia="宋体" w:cs="宋体"/>
                <w:color w:val="auto"/>
                <w:sz w:val="18"/>
                <w:szCs w:val="18"/>
                <w:lang w:val="zh-CN"/>
              </w:rPr>
              <w:t xml:space="preserve"> 投标货币</w:t>
            </w: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zh-CN"/>
              </w:rPr>
              <w:t>本次招标项目的投标均以人民币报价。</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上传空白页即可</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zh-CN"/>
              </w:rPr>
              <w:t>招标文件</w:t>
            </w:r>
            <w:r>
              <w:rPr>
                <w:rFonts w:hint="eastAsia" w:hAnsi="宋体" w:cs="宋体"/>
                <w:color w:val="auto"/>
                <w:sz w:val="18"/>
                <w:szCs w:val="18"/>
                <w:highlight w:val="none"/>
                <w:lang w:val="en-US" w:eastAsia="zh-CN"/>
              </w:rPr>
              <w:t>第</w:t>
            </w:r>
            <w:r>
              <w:rPr>
                <w:rFonts w:hint="eastAsia" w:ascii="宋体" w:hAnsi="宋体" w:eastAsia="宋体" w:cs="宋体"/>
                <w:color w:val="auto"/>
                <w:sz w:val="18"/>
                <w:szCs w:val="18"/>
                <w:highlight w:val="none"/>
                <w:lang w:val="zh-CN"/>
              </w:rPr>
              <w:t>二</w:t>
            </w:r>
            <w:r>
              <w:rPr>
                <w:rFonts w:hint="eastAsia" w:hAnsi="宋体" w:cs="宋体"/>
                <w:color w:val="auto"/>
                <w:sz w:val="18"/>
                <w:szCs w:val="18"/>
                <w:highlight w:val="none"/>
                <w:lang w:val="en-US" w:eastAsia="zh-CN"/>
              </w:rPr>
              <w:t>章</w:t>
            </w:r>
            <w:r>
              <w:rPr>
                <w:rFonts w:hint="eastAsia" w:hAnsi="宋体" w:eastAsia="宋体" w:cs="宋体"/>
                <w:color w:val="auto"/>
                <w:sz w:val="18"/>
                <w:szCs w:val="18"/>
                <w:highlight w:val="none"/>
                <w:lang w:val="zh-CN"/>
              </w:rPr>
              <w:t>、</w:t>
            </w:r>
            <w:r>
              <w:rPr>
                <w:rFonts w:hint="eastAsia" w:hAnsi="宋体" w:eastAsia="宋体" w:cs="宋体"/>
                <w:color w:val="auto"/>
                <w:sz w:val="18"/>
                <w:szCs w:val="18"/>
                <w:highlight w:val="none"/>
                <w:lang w:val="en-US" w:eastAsia="zh-CN"/>
              </w:rPr>
              <w:t>总则</w:t>
            </w:r>
            <w:r>
              <w:rPr>
                <w:rFonts w:hint="eastAsia" w:hAnsi="宋体" w:cs="宋体"/>
                <w:color w:val="auto"/>
                <w:sz w:val="18"/>
                <w:szCs w:val="18"/>
                <w:highlight w:val="none"/>
                <w:lang w:val="en-US" w:eastAsia="zh-CN"/>
              </w:rPr>
              <w:t>12.联合体投标</w:t>
            </w: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lang w:val="zh-CN"/>
              </w:rPr>
              <w:t>本项目不接受联合体投标。</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上传空白页即可</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highlight w:val="none"/>
                <w:lang w:val="zh-CN"/>
              </w:rPr>
              <w:t>招标文件</w:t>
            </w:r>
            <w:r>
              <w:rPr>
                <w:rFonts w:hint="eastAsia" w:hAnsi="宋体" w:cs="宋体"/>
                <w:color w:val="auto"/>
                <w:sz w:val="18"/>
                <w:szCs w:val="18"/>
                <w:highlight w:val="none"/>
                <w:lang w:val="en-US" w:eastAsia="zh-CN"/>
              </w:rPr>
              <w:t>第二章</w:t>
            </w:r>
            <w:r>
              <w:rPr>
                <w:rFonts w:hint="eastAsia" w:ascii="宋体" w:hAnsi="宋体" w:eastAsia="宋体" w:cs="宋体"/>
                <w:color w:val="auto"/>
                <w:sz w:val="18"/>
                <w:szCs w:val="18"/>
                <w:highlight w:val="none"/>
                <w:lang w:val="zh-CN"/>
              </w:rPr>
              <w:t>二</w:t>
            </w:r>
            <w:r>
              <w:rPr>
                <w:rFonts w:hint="eastAsia" w:hAnsi="宋体" w:eastAsia="宋体" w:cs="宋体"/>
                <w:color w:val="auto"/>
                <w:sz w:val="18"/>
                <w:szCs w:val="18"/>
                <w:highlight w:val="none"/>
                <w:lang w:val="zh-CN"/>
              </w:rPr>
              <w:t>、</w:t>
            </w:r>
            <w:r>
              <w:rPr>
                <w:rFonts w:hint="eastAsia" w:hAnsi="宋体" w:eastAsia="宋体" w:cs="宋体"/>
                <w:color w:val="auto"/>
                <w:sz w:val="18"/>
                <w:szCs w:val="18"/>
                <w:highlight w:val="none"/>
                <w:lang w:val="en-US" w:eastAsia="zh-CN"/>
              </w:rPr>
              <w:t>总则</w:t>
            </w:r>
            <w:r>
              <w:rPr>
                <w:rFonts w:hint="eastAsia" w:hAnsi="宋体" w:cs="宋体"/>
                <w:color w:val="auto"/>
                <w:sz w:val="18"/>
                <w:szCs w:val="18"/>
                <w:highlight w:val="none"/>
                <w:lang w:val="en-US" w:eastAsia="zh-CN"/>
              </w:rPr>
              <w:t>13</w:t>
            </w:r>
            <w:r>
              <w:rPr>
                <w:rFonts w:hint="eastAsia" w:ascii="宋体" w:hAnsi="宋体" w:eastAsia="宋体" w:cs="宋体"/>
                <w:color w:val="auto"/>
                <w:sz w:val="18"/>
                <w:szCs w:val="18"/>
                <w:highlight w:val="none"/>
                <w:lang w:val="zh-CN"/>
              </w:rPr>
              <w:t>. 知识产权</w:t>
            </w: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lang w:val="zh-CN"/>
              </w:rPr>
              <w:t>13.2 采购人享有本项目实施过程中产生的知识成果及知识产权。</w:t>
            </w:r>
          </w:p>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lang w:val="zh-CN"/>
              </w:rPr>
              <w:t xml:space="preserve">13.4 如采用投标人所不拥有的知识产权，则在投标报价中必须包括合法获取该知识产权的相关费用。 </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投标人根据招标文件第三章格式2-3</w:t>
            </w:r>
            <w:r>
              <w:rPr>
                <w:rFonts w:hint="eastAsia" w:hAnsi="宋体" w:cs="宋体"/>
                <w:color w:val="auto"/>
                <w:sz w:val="18"/>
                <w:szCs w:val="18"/>
                <w:lang w:val="en-US" w:eastAsia="zh-CN"/>
              </w:rPr>
              <w:t>《承诺函》</w:t>
            </w:r>
            <w:r>
              <w:rPr>
                <w:rFonts w:hint="eastAsia" w:ascii="宋体" w:hAnsi="宋体" w:eastAsia="宋体" w:cs="宋体"/>
                <w:color w:val="auto"/>
                <w:sz w:val="18"/>
                <w:szCs w:val="18"/>
                <w:lang w:val="en-US" w:eastAsia="zh-CN"/>
              </w:rPr>
              <w:t>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lang w:val="zh-CN"/>
              </w:rPr>
              <w:t>招标文件</w:t>
            </w:r>
            <w:r>
              <w:rPr>
                <w:rFonts w:hint="eastAsia" w:hAnsi="宋体" w:cs="宋体"/>
                <w:color w:val="auto"/>
                <w:sz w:val="18"/>
                <w:szCs w:val="18"/>
                <w:lang w:val="en-US" w:eastAsia="zh-CN"/>
              </w:rPr>
              <w:t>第二章</w:t>
            </w:r>
            <w:r>
              <w:rPr>
                <w:rFonts w:hint="eastAsia" w:ascii="宋体" w:hAnsi="宋体" w:eastAsia="宋体" w:cs="宋体"/>
                <w:color w:val="auto"/>
                <w:sz w:val="18"/>
                <w:szCs w:val="18"/>
                <w:lang w:val="zh-CN"/>
              </w:rPr>
              <w:t>二</w:t>
            </w:r>
            <w:r>
              <w:rPr>
                <w:rFonts w:hint="eastAsia" w:hAnsi="宋体" w:eastAsia="宋体" w:cs="宋体"/>
                <w:color w:val="auto"/>
                <w:sz w:val="18"/>
                <w:szCs w:val="18"/>
                <w:lang w:val="zh-CN"/>
              </w:rPr>
              <w:t>、</w:t>
            </w:r>
            <w:r>
              <w:rPr>
                <w:rFonts w:hint="eastAsia" w:hAnsi="宋体" w:eastAsia="宋体" w:cs="宋体"/>
                <w:color w:val="auto"/>
                <w:sz w:val="18"/>
                <w:szCs w:val="18"/>
                <w:lang w:val="en-US" w:eastAsia="zh-CN"/>
              </w:rPr>
              <w:t>总则</w:t>
            </w:r>
            <w:r>
              <w:rPr>
                <w:rFonts w:hint="eastAsia" w:ascii="宋体" w:hAnsi="宋体" w:eastAsia="宋体" w:cs="宋体"/>
                <w:color w:val="auto"/>
                <w:sz w:val="18"/>
                <w:szCs w:val="18"/>
                <w:lang w:val="zh-CN"/>
              </w:rPr>
              <w:t>1</w:t>
            </w:r>
            <w:r>
              <w:rPr>
                <w:rFonts w:hint="eastAsia" w:hAnsi="宋体" w:eastAsia="宋体" w:cs="宋体"/>
                <w:color w:val="auto"/>
                <w:sz w:val="18"/>
                <w:szCs w:val="18"/>
                <w:lang w:val="en-US" w:eastAsia="zh-CN"/>
              </w:rPr>
              <w:t>4</w:t>
            </w:r>
            <w:r>
              <w:rPr>
                <w:rFonts w:hint="eastAsia" w:ascii="宋体" w:hAnsi="宋体" w:eastAsia="宋体" w:cs="宋体"/>
                <w:color w:val="auto"/>
                <w:sz w:val="18"/>
                <w:szCs w:val="18"/>
                <w:lang w:val="zh-CN"/>
              </w:rPr>
              <w:t>．投标文件的组成</w:t>
            </w:r>
            <w:r>
              <w:rPr>
                <w:rFonts w:hint="eastAsia" w:ascii="宋体" w:hAnsi="宋体" w:eastAsia="宋体" w:cs="宋体"/>
                <w:color w:val="auto"/>
                <w:sz w:val="18"/>
                <w:szCs w:val="18"/>
                <w:lang w:val="en-US" w:eastAsia="zh-CN"/>
              </w:rPr>
              <w:t>1</w:t>
            </w:r>
            <w:r>
              <w:rPr>
                <w:rFonts w:hint="eastAsia" w:hAnsi="宋体" w:eastAsia="宋体" w:cs="宋体"/>
                <w:color w:val="auto"/>
                <w:sz w:val="18"/>
                <w:szCs w:val="18"/>
                <w:lang w:val="en-US" w:eastAsia="zh-CN"/>
              </w:rPr>
              <w:t>4</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lang w:val="zh-CN"/>
              </w:rPr>
              <w:t>本次招标</w:t>
            </w:r>
            <w:r>
              <w:rPr>
                <w:rFonts w:hint="eastAsia" w:ascii="宋体" w:hAnsi="宋体" w:eastAsia="宋体" w:cs="宋体"/>
                <w:color w:val="auto"/>
                <w:sz w:val="18"/>
                <w:szCs w:val="18"/>
                <w:lang w:val="en-US" w:eastAsia="zh-CN"/>
              </w:rPr>
              <w:t>关于</w:t>
            </w:r>
            <w:r>
              <w:rPr>
                <w:rFonts w:hint="eastAsia" w:ascii="宋体" w:hAnsi="宋体" w:eastAsia="宋体" w:cs="宋体"/>
                <w:color w:val="auto"/>
                <w:sz w:val="18"/>
                <w:szCs w:val="18"/>
                <w:lang w:val="zh-CN"/>
              </w:rPr>
              <w:t>报价要求</w:t>
            </w:r>
          </w:p>
          <w:p>
            <w:pPr>
              <w:pageBreakBefore w:val="0"/>
              <w:widowControl w:val="0"/>
              <w:kinsoku/>
              <w:wordWrap/>
              <w:overflowPunct/>
              <w:topLinePunct w:val="0"/>
              <w:autoSpaceDE/>
              <w:autoSpaceDN/>
              <w:bidi w:val="0"/>
              <w:adjustRightInd/>
              <w:snapToGrid/>
              <w:spacing w:line="440" w:lineRule="exact"/>
              <w:ind w:firstLine="360" w:firstLineChars="200"/>
              <w:jc w:val="center"/>
              <w:textAlignment w:val="auto"/>
              <w:rPr>
                <w:rFonts w:hint="eastAsia" w:ascii="宋体" w:hAnsi="宋体" w:eastAsia="宋体" w:cs="宋体"/>
                <w:color w:val="auto"/>
                <w:sz w:val="18"/>
                <w:szCs w:val="18"/>
                <w:lang w:val="zh-CN"/>
              </w:rPr>
            </w:pP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lang w:val="en-US" w:eastAsia="zh-CN"/>
              </w:rPr>
              <w:t>1</w:t>
            </w:r>
            <w:r>
              <w:rPr>
                <w:rFonts w:hint="eastAsia" w:hAnsi="宋体" w:eastAsia="宋体" w:cs="宋体"/>
                <w:color w:val="auto"/>
                <w:sz w:val="18"/>
                <w:szCs w:val="18"/>
                <w:lang w:val="en-US" w:eastAsia="zh-CN"/>
              </w:rPr>
              <w:t>4</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lang w:val="zh-CN"/>
              </w:rPr>
              <w:t>本次招标</w:t>
            </w:r>
            <w:r>
              <w:rPr>
                <w:rFonts w:hint="eastAsia" w:ascii="宋体" w:hAnsi="宋体" w:eastAsia="宋体" w:cs="宋体"/>
                <w:color w:val="auto"/>
                <w:sz w:val="18"/>
                <w:szCs w:val="18"/>
                <w:lang w:val="en-US" w:eastAsia="zh-CN"/>
              </w:rPr>
              <w:t>关于</w:t>
            </w:r>
            <w:r>
              <w:rPr>
                <w:rFonts w:hint="eastAsia" w:ascii="宋体" w:hAnsi="宋体" w:eastAsia="宋体" w:cs="宋体"/>
                <w:color w:val="auto"/>
                <w:sz w:val="18"/>
                <w:szCs w:val="18"/>
                <w:lang w:val="zh-CN"/>
              </w:rPr>
              <w:t>报价要求：</w:t>
            </w:r>
          </w:p>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lang w:val="zh-CN"/>
              </w:rPr>
              <w:t>（1）投标人的报价是投标人响应</w:t>
            </w:r>
            <w:r>
              <w:rPr>
                <w:rFonts w:hint="eastAsia" w:ascii="宋体" w:hAnsi="宋体" w:eastAsia="宋体" w:cs="宋体"/>
                <w:color w:val="auto"/>
                <w:sz w:val="18"/>
                <w:szCs w:val="18"/>
                <w:lang w:val="en-US" w:eastAsia="zh-CN"/>
              </w:rPr>
              <w:t>本次</w:t>
            </w:r>
            <w:r>
              <w:rPr>
                <w:rFonts w:hint="eastAsia" w:ascii="宋体" w:hAnsi="宋体" w:eastAsia="宋体" w:cs="宋体"/>
                <w:color w:val="auto"/>
                <w:sz w:val="18"/>
                <w:szCs w:val="18"/>
                <w:lang w:val="zh-CN" w:eastAsia="zh-CN"/>
              </w:rPr>
              <w:t>采购项目</w:t>
            </w:r>
            <w:r>
              <w:rPr>
                <w:rFonts w:hint="eastAsia" w:ascii="宋体" w:hAnsi="宋体" w:eastAsia="宋体" w:cs="宋体"/>
                <w:color w:val="auto"/>
                <w:sz w:val="18"/>
                <w:szCs w:val="18"/>
                <w:lang w:val="zh-CN"/>
              </w:rPr>
              <w:t>要求的全部工作内容的价格体现，包括投标人完成本项目所需的一切费用</w:t>
            </w:r>
            <w:r>
              <w:rPr>
                <w:rFonts w:hint="eastAsia" w:hAnsi="宋体" w:cs="宋体"/>
                <w:color w:val="auto"/>
                <w:sz w:val="18"/>
                <w:szCs w:val="18"/>
                <w:lang w:val="zh-CN"/>
              </w:rPr>
              <w:t>。</w:t>
            </w:r>
          </w:p>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lang w:val="zh-CN"/>
              </w:rPr>
              <w:t>（2）投标人只允许有一个报价，并且在合同履行过程中是固定不变的，任何有选择或可调整的报价将不予接受，</w:t>
            </w:r>
            <w:r>
              <w:rPr>
                <w:rFonts w:hint="eastAsia" w:ascii="宋体" w:hAnsi="宋体" w:eastAsia="宋体" w:cs="宋体"/>
                <w:color w:val="auto"/>
                <w:sz w:val="18"/>
                <w:szCs w:val="18"/>
                <w:lang w:val="en-US" w:eastAsia="zh-CN"/>
              </w:rPr>
              <w:t>其投标文件</w:t>
            </w:r>
            <w:r>
              <w:rPr>
                <w:rFonts w:hint="eastAsia" w:ascii="宋体" w:hAnsi="宋体" w:eastAsia="宋体" w:cs="宋体"/>
                <w:color w:val="auto"/>
                <w:sz w:val="18"/>
                <w:szCs w:val="18"/>
                <w:lang w:val="zh-CN"/>
              </w:rPr>
              <w:t>按无效投标处理</w:t>
            </w:r>
            <w:r>
              <w:rPr>
                <w:rFonts w:hint="eastAsia" w:hAnsi="宋体" w:cs="宋体"/>
                <w:color w:val="auto"/>
                <w:sz w:val="18"/>
                <w:szCs w:val="18"/>
                <w:lang w:val="zh-CN"/>
              </w:rPr>
              <w:t>。</w:t>
            </w:r>
          </w:p>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rPr>
            </w:pP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上传空白页即可</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zh-CN"/>
              </w:rPr>
              <w:t>招标文件</w:t>
            </w:r>
            <w:r>
              <w:rPr>
                <w:rFonts w:hint="eastAsia" w:hAnsi="宋体" w:cs="宋体"/>
                <w:color w:val="auto"/>
                <w:sz w:val="18"/>
                <w:szCs w:val="18"/>
                <w:lang w:val="en-US" w:eastAsia="zh-CN"/>
              </w:rPr>
              <w:t>第二章</w:t>
            </w:r>
            <w:r>
              <w:rPr>
                <w:rFonts w:hint="eastAsia" w:ascii="宋体" w:hAnsi="宋体" w:eastAsia="宋体" w:cs="宋体"/>
                <w:color w:val="auto"/>
                <w:sz w:val="18"/>
                <w:szCs w:val="18"/>
                <w:lang w:val="zh-CN"/>
              </w:rPr>
              <w:t>二</w:t>
            </w:r>
            <w:r>
              <w:rPr>
                <w:rFonts w:hint="eastAsia" w:hAnsi="宋体" w:eastAsia="宋体" w:cs="宋体"/>
                <w:color w:val="auto"/>
                <w:sz w:val="18"/>
                <w:szCs w:val="18"/>
                <w:lang w:val="zh-CN"/>
              </w:rPr>
              <w:t>、</w:t>
            </w:r>
            <w:r>
              <w:rPr>
                <w:rFonts w:hint="eastAsia" w:hAnsi="宋体" w:eastAsia="宋体" w:cs="宋体"/>
                <w:color w:val="auto"/>
                <w:sz w:val="18"/>
                <w:szCs w:val="18"/>
                <w:lang w:val="en-US" w:eastAsia="zh-CN"/>
              </w:rPr>
              <w:t>总则</w:t>
            </w:r>
            <w:r>
              <w:rPr>
                <w:rFonts w:hint="eastAsia" w:ascii="宋体" w:hAnsi="宋体" w:eastAsia="宋体" w:cs="宋体"/>
                <w:color w:val="auto"/>
                <w:sz w:val="18"/>
                <w:szCs w:val="18"/>
                <w:lang w:val="zh-CN"/>
              </w:rPr>
              <w:t>1</w:t>
            </w:r>
            <w:r>
              <w:rPr>
                <w:rFonts w:hint="eastAsia" w:hAnsi="宋体" w:eastAsia="宋体" w:cs="宋体"/>
                <w:color w:val="auto"/>
                <w:sz w:val="18"/>
                <w:szCs w:val="18"/>
                <w:lang w:val="en-US" w:eastAsia="zh-CN"/>
              </w:rPr>
              <w:t>7</w:t>
            </w:r>
            <w:r>
              <w:rPr>
                <w:rFonts w:hint="eastAsia" w:ascii="宋体" w:hAnsi="宋体" w:eastAsia="宋体" w:cs="宋体"/>
                <w:color w:val="auto"/>
                <w:sz w:val="18"/>
                <w:szCs w:val="18"/>
                <w:lang w:val="zh-CN"/>
              </w:rPr>
              <w:t>．投标文件的制作和签章、加密</w:t>
            </w:r>
          </w:p>
          <w:p>
            <w:pPr>
              <w:pageBreakBefore w:val="0"/>
              <w:widowControl w:val="0"/>
              <w:kinsoku/>
              <w:wordWrap/>
              <w:overflowPunct/>
              <w:topLinePunct w:val="0"/>
              <w:autoSpaceDE/>
              <w:autoSpaceDN/>
              <w:bidi w:val="0"/>
              <w:adjustRightInd/>
              <w:snapToGrid/>
              <w:spacing w:line="440" w:lineRule="exact"/>
              <w:ind w:firstLine="360" w:firstLineChars="200"/>
              <w:jc w:val="center"/>
              <w:textAlignment w:val="auto"/>
              <w:rPr>
                <w:rFonts w:hint="eastAsia" w:ascii="宋体" w:hAnsi="宋体" w:eastAsia="宋体" w:cs="宋体"/>
                <w:color w:val="auto"/>
                <w:sz w:val="18"/>
                <w:szCs w:val="18"/>
                <w:lang w:val="zh-CN"/>
              </w:rPr>
            </w:pP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lang w:val="zh-CN" w:eastAsia="zh-CN"/>
              </w:rPr>
              <w:t>17.2 资格性投标文件、其他响应性投标文件封面均应加盖投标人（法定名称）电子签章，不得使用投标人专用章（如经济合同章、投标专用章等）或下属单位印章代替。（实质性要求）</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上传</w:t>
            </w:r>
            <w:r>
              <w:rPr>
                <w:rFonts w:hint="eastAsia" w:hAnsi="宋体" w:eastAsia="宋体" w:cs="宋体"/>
                <w:color w:val="auto"/>
                <w:sz w:val="18"/>
                <w:szCs w:val="18"/>
                <w:lang w:val="en-US" w:eastAsia="zh-CN"/>
              </w:rPr>
              <w:t>封面页</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default" w:ascii="宋体" w:hAnsi="宋体" w:eastAsia="宋体" w:cs="宋体"/>
                <w:color w:val="auto"/>
                <w:sz w:val="18"/>
                <w:szCs w:val="18"/>
                <w:lang w:val="en-US" w:eastAsia="zh-CN"/>
              </w:rPr>
            </w:pPr>
            <w:r>
              <w:rPr>
                <w:rFonts w:hint="eastAsia" w:hAnsi="宋体" w:cs="宋体"/>
                <w:color w:val="auto"/>
                <w:sz w:val="18"/>
                <w:szCs w:val="18"/>
                <w:lang w:val="en-US" w:eastAsia="zh-CN"/>
              </w:rPr>
              <w:t>14</w:t>
            </w:r>
          </w:p>
          <w:p>
            <w:pPr>
              <w:pageBreakBefore w:val="0"/>
              <w:widowControl w:val="0"/>
              <w:kinsoku/>
              <w:wordWrap/>
              <w:overflowPunct/>
              <w:topLinePunct w:val="0"/>
              <w:autoSpaceDE/>
              <w:autoSpaceDN/>
              <w:bidi w:val="0"/>
              <w:adjustRightInd/>
              <w:snapToGrid/>
              <w:spacing w:line="440" w:lineRule="exact"/>
              <w:ind w:firstLine="360" w:firstLineChars="200"/>
              <w:jc w:val="center"/>
              <w:textAlignment w:val="auto"/>
              <w:rPr>
                <w:rFonts w:hint="default" w:ascii="宋体" w:hAnsi="宋体" w:eastAsia="宋体" w:cs="宋体"/>
                <w:color w:val="auto"/>
                <w:sz w:val="18"/>
                <w:szCs w:val="18"/>
                <w:lang w:val="en-US" w:eastAsia="zh-CN"/>
              </w:rPr>
            </w:pP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hAnsi="宋体" w:eastAsia="宋体" w:cs="宋体"/>
                <w:color w:val="auto"/>
                <w:sz w:val="18"/>
                <w:szCs w:val="18"/>
                <w:lang w:val="en-US" w:eastAsia="zh-CN"/>
              </w:rPr>
            </w:pPr>
            <w:r>
              <w:rPr>
                <w:rFonts w:hint="eastAsia" w:ascii="宋体" w:hAnsi="宋体" w:eastAsia="宋体" w:cs="宋体"/>
                <w:color w:val="auto"/>
                <w:sz w:val="18"/>
                <w:szCs w:val="18"/>
                <w:lang w:val="zh-CN"/>
              </w:rPr>
              <w:t>招标文件</w:t>
            </w:r>
            <w:r>
              <w:rPr>
                <w:rFonts w:hint="eastAsia" w:hAnsi="宋体" w:cs="宋体"/>
                <w:color w:val="auto"/>
                <w:sz w:val="18"/>
                <w:szCs w:val="18"/>
                <w:lang w:val="en-US" w:eastAsia="zh-CN"/>
              </w:rPr>
              <w:t>第二章</w:t>
            </w:r>
            <w:r>
              <w:rPr>
                <w:rFonts w:hint="eastAsia" w:ascii="宋体" w:hAnsi="宋体" w:eastAsia="宋体" w:cs="宋体"/>
                <w:color w:val="auto"/>
                <w:sz w:val="18"/>
                <w:szCs w:val="18"/>
                <w:lang w:val="zh-CN"/>
              </w:rPr>
              <w:t>二</w:t>
            </w:r>
            <w:r>
              <w:rPr>
                <w:rFonts w:hint="eastAsia" w:hAnsi="宋体" w:cs="宋体"/>
                <w:color w:val="auto"/>
                <w:sz w:val="18"/>
                <w:szCs w:val="18"/>
                <w:lang w:val="zh-CN"/>
              </w:rPr>
              <w:t>、</w:t>
            </w:r>
            <w:r>
              <w:rPr>
                <w:rFonts w:hint="eastAsia" w:hAnsi="宋体" w:eastAsia="宋体" w:cs="宋体"/>
                <w:color w:val="auto"/>
                <w:sz w:val="18"/>
                <w:szCs w:val="18"/>
                <w:lang w:val="en-US" w:eastAsia="zh-CN"/>
              </w:rPr>
              <w:t>总则</w:t>
            </w:r>
          </w:p>
          <w:p>
            <w:pPr>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lang w:val="zh-CN"/>
              </w:rPr>
              <w:t>2</w:t>
            </w:r>
            <w:r>
              <w:rPr>
                <w:rFonts w:hint="eastAsia" w:hAnsi="宋体" w:eastAsia="宋体" w:cs="宋体"/>
                <w:color w:val="auto"/>
                <w:sz w:val="18"/>
                <w:szCs w:val="18"/>
                <w:lang w:val="en-US" w:eastAsia="zh-CN"/>
              </w:rPr>
              <w:t>6</w:t>
            </w:r>
            <w:r>
              <w:rPr>
                <w:rFonts w:hint="eastAsia" w:ascii="宋体" w:hAnsi="宋体" w:eastAsia="宋体" w:cs="宋体"/>
                <w:color w:val="auto"/>
                <w:sz w:val="18"/>
                <w:szCs w:val="18"/>
                <w:lang w:val="zh-CN"/>
              </w:rPr>
              <w:t>.合同分包</w:t>
            </w: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lang w:val="zh-CN"/>
              </w:rPr>
              <w:t>本项目不允许采取分包方式履行合同。</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上传空白页即可</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auto"/>
                <w:sz w:val="18"/>
                <w:szCs w:val="18"/>
                <w:highlight w:val="none"/>
                <w:lang w:val="en-US" w:eastAsia="zh-CN"/>
              </w:rPr>
            </w:pPr>
            <w:r>
              <w:rPr>
                <w:rFonts w:hint="eastAsia" w:hAnsi="宋体" w:cs="宋体"/>
                <w:color w:val="auto"/>
                <w:sz w:val="18"/>
                <w:szCs w:val="18"/>
                <w:highlight w:val="none"/>
                <w:lang w:val="en-US" w:eastAsia="zh-CN"/>
              </w:rPr>
              <w:t>15</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18"/>
                <w:szCs w:val="18"/>
                <w:highlight w:val="none"/>
                <w:lang w:val="zh-CN"/>
              </w:rPr>
            </w:pPr>
            <w:r>
              <w:rPr>
                <w:rFonts w:hint="eastAsia" w:ascii="宋体" w:hAnsi="宋体" w:eastAsia="宋体" w:cs="宋体"/>
                <w:color w:val="auto"/>
                <w:sz w:val="18"/>
                <w:szCs w:val="18"/>
                <w:highlight w:val="none"/>
                <w:lang w:val="zh-CN"/>
              </w:rPr>
              <w:t>招标文件</w:t>
            </w:r>
            <w:r>
              <w:rPr>
                <w:rFonts w:hint="eastAsia" w:hAnsi="宋体" w:cs="宋体"/>
                <w:color w:val="auto"/>
                <w:sz w:val="18"/>
                <w:szCs w:val="18"/>
                <w:highlight w:val="none"/>
                <w:lang w:val="en-US" w:eastAsia="zh-CN"/>
              </w:rPr>
              <w:t>第二章</w:t>
            </w:r>
            <w:r>
              <w:rPr>
                <w:rFonts w:hint="eastAsia" w:ascii="宋体" w:hAnsi="宋体" w:eastAsia="宋体" w:cs="宋体"/>
                <w:color w:val="auto"/>
                <w:sz w:val="18"/>
                <w:szCs w:val="18"/>
                <w:highlight w:val="none"/>
                <w:lang w:val="zh-CN"/>
              </w:rPr>
              <w:t>二</w:t>
            </w:r>
            <w:r>
              <w:rPr>
                <w:rFonts w:hint="eastAsia" w:hAnsi="宋体" w:eastAsia="宋体" w:cs="宋体"/>
                <w:color w:val="auto"/>
                <w:sz w:val="18"/>
                <w:szCs w:val="18"/>
                <w:highlight w:val="none"/>
                <w:lang w:val="zh-CN"/>
              </w:rPr>
              <w:t>、</w:t>
            </w:r>
            <w:r>
              <w:rPr>
                <w:rFonts w:hint="eastAsia" w:hAnsi="宋体" w:eastAsia="宋体" w:cs="宋体"/>
                <w:color w:val="auto"/>
                <w:sz w:val="18"/>
                <w:szCs w:val="18"/>
                <w:highlight w:val="none"/>
                <w:lang w:val="en-US" w:eastAsia="zh-CN"/>
              </w:rPr>
              <w:t>总则</w:t>
            </w:r>
            <w:r>
              <w:rPr>
                <w:rFonts w:hint="eastAsia" w:ascii="宋体" w:hAnsi="宋体" w:eastAsia="宋体" w:cs="宋体"/>
                <w:color w:val="auto"/>
                <w:sz w:val="18"/>
                <w:szCs w:val="18"/>
                <w:highlight w:val="none"/>
                <w:lang w:val="zh-CN"/>
              </w:rPr>
              <w:t>2</w:t>
            </w:r>
            <w:r>
              <w:rPr>
                <w:rFonts w:hint="eastAsia" w:hAnsi="宋体" w:eastAsia="宋体" w:cs="宋体"/>
                <w:color w:val="auto"/>
                <w:sz w:val="18"/>
                <w:szCs w:val="18"/>
                <w:highlight w:val="none"/>
                <w:lang w:val="en-US" w:eastAsia="zh-CN"/>
              </w:rPr>
              <w:t>7</w:t>
            </w:r>
            <w:r>
              <w:rPr>
                <w:rFonts w:hint="eastAsia" w:ascii="宋体" w:hAnsi="宋体" w:eastAsia="宋体" w:cs="宋体"/>
                <w:color w:val="auto"/>
                <w:sz w:val="18"/>
                <w:szCs w:val="18"/>
                <w:highlight w:val="none"/>
                <w:lang w:val="zh-CN"/>
              </w:rPr>
              <w:t>.合同</w:t>
            </w:r>
            <w:r>
              <w:rPr>
                <w:rFonts w:hint="eastAsia" w:hAnsi="宋体" w:eastAsia="宋体" w:cs="宋体"/>
                <w:color w:val="auto"/>
                <w:sz w:val="18"/>
                <w:szCs w:val="18"/>
                <w:highlight w:val="none"/>
                <w:lang w:val="en-US" w:eastAsia="zh-CN"/>
              </w:rPr>
              <w:t>转</w:t>
            </w:r>
            <w:r>
              <w:rPr>
                <w:rFonts w:hint="eastAsia" w:ascii="宋体" w:hAnsi="宋体" w:eastAsia="宋体" w:cs="宋体"/>
                <w:color w:val="auto"/>
                <w:sz w:val="18"/>
                <w:szCs w:val="18"/>
                <w:highlight w:val="none"/>
                <w:lang w:val="zh-CN"/>
              </w:rPr>
              <w:t>包</w:t>
            </w: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lang w:val="zh-CN" w:eastAsia="zh-CN"/>
              </w:rPr>
              <w:t>27.1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lang w:val="zh-CN" w:eastAsia="zh-CN"/>
              </w:rPr>
              <w:t>27.2中标人转包的，视同拒绝履行政府采购合同义务，将依法追究法律责任。</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上传空白页即可</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auto"/>
                <w:sz w:val="18"/>
                <w:szCs w:val="18"/>
                <w:lang w:val="en-US" w:eastAsia="zh-CN"/>
              </w:rPr>
            </w:pPr>
            <w:r>
              <w:rPr>
                <w:rFonts w:hint="eastAsia" w:hAnsi="宋体" w:cs="宋体"/>
                <w:color w:val="auto"/>
                <w:sz w:val="18"/>
                <w:szCs w:val="18"/>
                <w:lang w:val="en-US" w:eastAsia="zh-CN"/>
              </w:rPr>
              <w:t>16</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18"/>
                <w:szCs w:val="18"/>
                <w:lang w:val="en-US"/>
              </w:rPr>
            </w:pPr>
            <w:r>
              <w:rPr>
                <w:rFonts w:hint="eastAsia" w:ascii="宋体" w:hAnsi="宋体" w:eastAsia="宋体" w:cs="宋体"/>
                <w:color w:val="auto"/>
                <w:sz w:val="18"/>
                <w:szCs w:val="18"/>
                <w:highlight w:val="none"/>
                <w:lang w:val="zh-CN"/>
              </w:rPr>
              <w:t>招标文件</w:t>
            </w:r>
            <w:r>
              <w:rPr>
                <w:rFonts w:hint="eastAsia" w:hAnsi="宋体" w:cs="宋体"/>
                <w:color w:val="auto"/>
                <w:sz w:val="18"/>
                <w:szCs w:val="18"/>
                <w:highlight w:val="none"/>
                <w:lang w:val="en-US" w:eastAsia="zh-CN"/>
              </w:rPr>
              <w:t>第二章</w:t>
            </w:r>
            <w:r>
              <w:rPr>
                <w:rFonts w:hint="eastAsia" w:ascii="宋体" w:hAnsi="宋体" w:eastAsia="宋体" w:cs="宋体"/>
                <w:color w:val="auto"/>
                <w:sz w:val="18"/>
                <w:szCs w:val="18"/>
                <w:highlight w:val="none"/>
                <w:lang w:val="zh-CN"/>
              </w:rPr>
              <w:t>二</w:t>
            </w:r>
            <w:r>
              <w:rPr>
                <w:rFonts w:hint="eastAsia" w:hAnsi="宋体" w:eastAsia="宋体" w:cs="宋体"/>
                <w:color w:val="auto"/>
                <w:sz w:val="18"/>
                <w:szCs w:val="18"/>
                <w:highlight w:val="none"/>
                <w:lang w:val="zh-CN"/>
              </w:rPr>
              <w:t>、</w:t>
            </w:r>
            <w:r>
              <w:rPr>
                <w:rFonts w:hint="eastAsia" w:hAnsi="宋体" w:eastAsia="宋体" w:cs="宋体"/>
                <w:color w:val="auto"/>
                <w:sz w:val="18"/>
                <w:szCs w:val="18"/>
                <w:highlight w:val="none"/>
                <w:lang w:val="en-US" w:eastAsia="zh-CN"/>
              </w:rPr>
              <w:t>总则</w:t>
            </w:r>
            <w:r>
              <w:rPr>
                <w:rFonts w:hint="eastAsia" w:hAnsi="宋体" w:cs="宋体"/>
                <w:color w:val="auto"/>
                <w:sz w:val="18"/>
                <w:szCs w:val="18"/>
                <w:lang w:val="en-US" w:eastAsia="zh-CN"/>
              </w:rPr>
              <w:t>37.</w:t>
            </w: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zh-CN"/>
              </w:rPr>
            </w:pPr>
            <w:r>
              <w:rPr>
                <w:rFonts w:hint="eastAsia" w:ascii="宋体" w:hAnsi="宋体" w:eastAsia="宋体" w:cs="宋体"/>
                <w:color w:val="auto"/>
                <w:sz w:val="18"/>
                <w:szCs w:val="18"/>
                <w:lang w:val="zh-CN"/>
              </w:rPr>
              <w:t>国家或行业主管部门对采购产品的技术标准、质量标准和资格资质条件等有强制性规定的，必须符合其要求。</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投标人根据招标文件第三章格式2-3</w:t>
            </w:r>
            <w:r>
              <w:rPr>
                <w:rFonts w:hint="eastAsia" w:hAnsi="宋体" w:cs="宋体"/>
                <w:color w:val="auto"/>
                <w:sz w:val="18"/>
                <w:szCs w:val="18"/>
                <w:lang w:val="en-US" w:eastAsia="zh-CN"/>
              </w:rPr>
              <w:t>《承诺函》</w:t>
            </w:r>
            <w:r>
              <w:rPr>
                <w:rFonts w:hint="eastAsia" w:ascii="宋体" w:hAnsi="宋体" w:eastAsia="宋体" w:cs="宋体"/>
                <w:color w:val="auto"/>
                <w:sz w:val="18"/>
                <w:szCs w:val="18"/>
                <w:lang w:val="en-US" w:eastAsia="zh-CN"/>
              </w:rPr>
              <w:t>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auto"/>
                <w:sz w:val="18"/>
                <w:szCs w:val="18"/>
                <w:lang w:val="en-US" w:eastAsia="zh-CN"/>
              </w:rPr>
            </w:pPr>
            <w:r>
              <w:rPr>
                <w:rFonts w:hint="eastAsia" w:hAnsi="宋体" w:cs="宋体"/>
                <w:color w:val="auto"/>
                <w:sz w:val="18"/>
                <w:szCs w:val="18"/>
                <w:lang w:val="en-US" w:eastAsia="zh-CN"/>
              </w:rPr>
              <w:t>17</w:t>
            </w:r>
          </w:p>
        </w:tc>
        <w:tc>
          <w:tcPr>
            <w:tcW w:w="1138"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highlight w:val="none"/>
                <w:lang w:val="zh-CN"/>
              </w:rPr>
              <w:t>招标文件</w:t>
            </w:r>
            <w:r>
              <w:rPr>
                <w:rFonts w:hint="eastAsia" w:hAnsi="宋体" w:cs="宋体"/>
                <w:color w:val="auto"/>
                <w:sz w:val="18"/>
                <w:szCs w:val="18"/>
                <w:highlight w:val="none"/>
                <w:lang w:val="en-US" w:eastAsia="zh-CN"/>
              </w:rPr>
              <w:t>第七章3.2.2</w:t>
            </w:r>
          </w:p>
        </w:tc>
        <w:tc>
          <w:tcPr>
            <w:tcW w:w="2182" w:type="pct"/>
            <w:noWrap w:val="0"/>
            <w:vAlign w:val="center"/>
          </w:tcPr>
          <w:p>
            <w:pPr>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lang w:val="zh-CN" w:eastAsia="zh-CN"/>
              </w:rPr>
              <w:t>3.2.2除政府采购法律制度规定的情形外，本项目投标人或者其投标文件有下列情形之一的，作为无效投标处理：</w:t>
            </w:r>
          </w:p>
          <w:p>
            <w:pPr>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lang w:val="zh-CN" w:eastAsia="zh-CN"/>
              </w:rPr>
              <w:t>（一）投标文件组成明显不符合招标文件的规定要求，影响评标委员会评判的；</w:t>
            </w:r>
          </w:p>
          <w:p>
            <w:pPr>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18"/>
                <w:szCs w:val="18"/>
                <w:lang w:val="zh-CN" w:eastAsia="zh-CN"/>
              </w:rPr>
            </w:pPr>
            <w:r>
              <w:rPr>
                <w:rFonts w:hint="eastAsia" w:ascii="宋体" w:hAnsi="宋体" w:eastAsia="宋体" w:cs="宋体"/>
                <w:color w:val="auto"/>
                <w:sz w:val="18"/>
                <w:szCs w:val="18"/>
                <w:lang w:val="zh-CN" w:eastAsia="zh-CN"/>
              </w:rPr>
              <w:t>（二）投标文件未按招标文件第二章1</w:t>
            </w:r>
            <w:r>
              <w:rPr>
                <w:rFonts w:hint="eastAsia" w:hAnsi="宋体" w:eastAsia="宋体" w:cs="宋体"/>
                <w:color w:val="auto"/>
                <w:sz w:val="18"/>
                <w:szCs w:val="18"/>
                <w:lang w:val="en-US" w:eastAsia="zh-CN"/>
              </w:rPr>
              <w:t>7</w:t>
            </w:r>
            <w:r>
              <w:rPr>
                <w:rFonts w:hint="eastAsia" w:ascii="宋体" w:hAnsi="宋体" w:eastAsia="宋体" w:cs="宋体"/>
                <w:color w:val="auto"/>
                <w:sz w:val="18"/>
                <w:szCs w:val="18"/>
                <w:lang w:val="zh-CN" w:eastAsia="zh-CN"/>
              </w:rPr>
              <w:t>.2要求盖电子印章的；</w:t>
            </w:r>
          </w:p>
        </w:tc>
        <w:tc>
          <w:tcPr>
            <w:tcW w:w="1274" w:type="pct"/>
            <w:noWrap w:val="0"/>
            <w:vAlign w:val="center"/>
          </w:tcPr>
          <w:p>
            <w:pPr>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上传空白页即可</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评审委员会根据投标文件评审。</w:t>
            </w:r>
          </w:p>
        </w:tc>
      </w:tr>
    </w:tbl>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3.3比较与评价。按招标文件中规定的评标方法和标准，对未作无效投标处理的投标文件进行技术、服务、商务等方面评估，综合比较与评价。</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3.4复核。评分汇总结束后，评标委员会应当进行复核，特别要对拟推荐为中标候选供应商的、报价最低的、投标文件被认定为无效的进行重点复核。</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3.5推荐中标候选供应商。中标候选供应商应当排序。本项目采用综合评分法，评标结果按评审后得分由高到低顺序排列。得分相同的，按投标报价由低到高顺序排列；</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hAnsi="宋体" w:eastAsia="宋体" w:cs="宋体"/>
          <w:color w:val="auto"/>
          <w:sz w:val="24"/>
          <w:szCs w:val="22"/>
          <w:lang w:val="en-US" w:eastAsia="zh-CN"/>
        </w:rPr>
        <w:t>3.6</w:t>
      </w:r>
      <w:r>
        <w:rPr>
          <w:rFonts w:hint="eastAsia" w:ascii="宋体" w:hAnsi="宋体" w:eastAsia="宋体" w:cs="宋体"/>
          <w:color w:val="auto"/>
          <w:sz w:val="24"/>
          <w:szCs w:val="22"/>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3.</w:t>
      </w:r>
      <w:r>
        <w:rPr>
          <w:rFonts w:hint="eastAsia" w:ascii="宋体" w:hAnsi="宋体" w:eastAsia="宋体" w:cs="宋体"/>
          <w:color w:val="auto"/>
          <w:sz w:val="24"/>
          <w:szCs w:val="22"/>
          <w:lang w:val="en-US" w:eastAsia="zh-CN"/>
        </w:rPr>
        <w:t>7</w:t>
      </w:r>
      <w:r>
        <w:rPr>
          <w:rFonts w:hint="eastAsia" w:ascii="宋体" w:hAnsi="宋体" w:eastAsia="宋体" w:cs="宋体"/>
          <w:color w:val="auto"/>
          <w:sz w:val="24"/>
          <w:szCs w:val="22"/>
        </w:rPr>
        <w:t>出具评标报告。评标委员会推荐中标候选</w:t>
      </w:r>
      <w:r>
        <w:rPr>
          <w:rFonts w:hint="eastAsia" w:ascii="宋体" w:hAnsi="宋体" w:eastAsia="宋体" w:cs="宋体"/>
          <w:color w:val="auto"/>
          <w:sz w:val="24"/>
          <w:szCs w:val="22"/>
          <w:lang w:val="en-US" w:eastAsia="zh-CN"/>
        </w:rPr>
        <w:t>人</w:t>
      </w:r>
      <w:r>
        <w:rPr>
          <w:rFonts w:hint="eastAsia" w:ascii="宋体" w:hAnsi="宋体" w:eastAsia="宋体" w:cs="宋体"/>
          <w:color w:val="auto"/>
          <w:sz w:val="24"/>
          <w:szCs w:val="22"/>
        </w:rPr>
        <w:t>后，应当向招标采购单位出具评标报告。评标报告应当包括下列内容：</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（一）招标公告刊登的媒体名称、开标日期和地点；</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（二）获取招标文件的投标人名单和评标委员会成员名单；</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（三）评标方法和标准；</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（四）开标记录和评标情况及说明，包括无效投标人名单及原因；</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（五）评标结果和中标候选</w:t>
      </w:r>
      <w:r>
        <w:rPr>
          <w:rFonts w:hint="eastAsia" w:ascii="宋体" w:hAnsi="宋体" w:eastAsia="宋体" w:cs="宋体"/>
          <w:color w:val="auto"/>
          <w:sz w:val="24"/>
          <w:szCs w:val="22"/>
          <w:lang w:val="en-US" w:eastAsia="zh-CN"/>
        </w:rPr>
        <w:t>人</w:t>
      </w:r>
      <w:r>
        <w:rPr>
          <w:rFonts w:hint="eastAsia" w:ascii="宋体" w:hAnsi="宋体" w:eastAsia="宋体" w:cs="宋体"/>
          <w:color w:val="auto"/>
          <w:sz w:val="24"/>
          <w:szCs w:val="22"/>
        </w:rPr>
        <w:t>排序表；</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（六）评标委员会授标建议；</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（七）报价最高的投标人为中标候选人的，评标委员会应当对其报价的合理性予以特别说明。</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3.</w:t>
      </w:r>
      <w:r>
        <w:rPr>
          <w:rFonts w:hint="eastAsia" w:ascii="宋体" w:hAnsi="宋体" w:eastAsia="宋体" w:cs="宋体"/>
          <w:color w:val="auto"/>
          <w:sz w:val="24"/>
          <w:szCs w:val="22"/>
          <w:lang w:val="en-US" w:eastAsia="zh-CN"/>
        </w:rPr>
        <w:t>8</w:t>
      </w:r>
      <w:r>
        <w:rPr>
          <w:rFonts w:hint="eastAsia" w:ascii="宋体" w:hAnsi="宋体" w:eastAsia="宋体" w:cs="宋体"/>
          <w:color w:val="auto"/>
          <w:sz w:val="24"/>
          <w:szCs w:val="22"/>
        </w:rPr>
        <w:t>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pStyle w:val="5"/>
        <w:spacing w:line="360" w:lineRule="auto"/>
        <w:ind w:firstLine="482" w:firstLineChars="200"/>
        <w:outlineLvl w:val="1"/>
        <w:rPr>
          <w:rFonts w:hint="eastAsia" w:ascii="宋体" w:hAnsi="宋体" w:eastAsia="宋体" w:cs="宋体"/>
          <w:b/>
          <w:bCs/>
          <w:color w:val="auto"/>
          <w:sz w:val="24"/>
          <w:szCs w:val="24"/>
        </w:rPr>
      </w:pPr>
      <w:bookmarkStart w:id="1635" w:name="_Toc6077"/>
      <w:bookmarkStart w:id="1636" w:name="_Toc14392"/>
      <w:bookmarkStart w:id="1637" w:name="_Toc3366"/>
      <w:bookmarkStart w:id="1638" w:name="_Toc30600"/>
      <w:bookmarkStart w:id="1639" w:name="_Toc10735"/>
      <w:bookmarkStart w:id="1640" w:name="_Toc2971"/>
      <w:bookmarkStart w:id="1641" w:name="_Toc25720_WPSOffice_Level2"/>
      <w:r>
        <w:rPr>
          <w:rFonts w:hint="eastAsia" w:ascii="宋体" w:hAnsi="宋体" w:eastAsia="宋体" w:cs="宋体"/>
          <w:b/>
          <w:bCs/>
          <w:color w:val="auto"/>
          <w:sz w:val="24"/>
          <w:szCs w:val="24"/>
        </w:rPr>
        <w:t>4. 评标细则及标准</w:t>
      </w:r>
      <w:bookmarkEnd w:id="1635"/>
      <w:bookmarkEnd w:id="1636"/>
      <w:bookmarkEnd w:id="1637"/>
      <w:bookmarkEnd w:id="1638"/>
      <w:bookmarkEnd w:id="1639"/>
      <w:bookmarkEnd w:id="1640"/>
      <w:bookmarkEnd w:id="164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4.1评标委员会只对通过符合性审查的投标文件，根据招标文件的要求采用相同的评标程序、评分办法及标准进行评价和比较。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4.2</w:t>
      </w:r>
      <w:r>
        <w:rPr>
          <w:rFonts w:hint="eastAsia" w:ascii="宋体" w:hAnsi="宋体" w:eastAsia="宋体" w:cs="宋体"/>
          <w:color w:val="auto"/>
          <w:sz w:val="24"/>
          <w:szCs w:val="22"/>
        </w:rPr>
        <w:t>本项目采用综合评分法。评分因素详见综合评分明细表。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eastAsia="宋体" w:cs="宋体"/>
          <w:color w:val="auto"/>
          <w:sz w:val="24"/>
          <w:szCs w:val="22"/>
          <w:highlight w:val="none"/>
          <w:lang w:val="en-US"/>
        </w:rPr>
      </w:pPr>
      <w:r>
        <w:rPr>
          <w:rFonts w:hint="eastAsia" w:ascii="宋体" w:hAnsi="宋体" w:eastAsia="宋体" w:cs="宋体"/>
          <w:color w:val="auto"/>
          <w:sz w:val="24"/>
          <w:szCs w:val="22"/>
          <w:lang w:val="en-US" w:eastAsia="zh-CN"/>
        </w:rPr>
        <w:t>4.3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采购人代表原则上对技术类评分因素独立评分。价格和其他不能明确区分的评分因素由评标委员会成员共同评分。</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4.4评分办法</w:t>
      </w:r>
    </w:p>
    <w:tbl>
      <w:tblPr>
        <w:tblStyle w:val="34"/>
        <w:tblW w:w="9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709"/>
        <w:gridCol w:w="562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4" w:type="dxa"/>
            <w:noWrap w:val="0"/>
            <w:vAlign w:val="center"/>
          </w:tcPr>
          <w:p>
            <w:pPr>
              <w:widowControl/>
              <w:adjustRightInd w:val="0"/>
              <w:snapToGrid w:val="0"/>
              <w:spacing w:before="78" w:beforeLines="25" w:line="240" w:lineRule="auto"/>
              <w:ind w:firstLine="0" w:firstLineChars="0"/>
              <w:jc w:val="center"/>
              <w:textAlignment w:val="baseline"/>
              <w:rPr>
                <w:rFonts w:ascii="Calibri" w:hAnsi="宋体" w:eastAsia="宋体" w:cs="Times New Roman"/>
                <w:b/>
                <w:bCs w:val="0"/>
                <w:color w:val="auto"/>
                <w:kern w:val="2"/>
                <w:sz w:val="16"/>
                <w:szCs w:val="18"/>
                <w:lang w:val="en-US" w:eastAsia="zh-CN" w:bidi="ar-SA"/>
              </w:rPr>
            </w:pPr>
            <w:bookmarkStart w:id="1642" w:name="_Toc217446059"/>
            <w:r>
              <w:rPr>
                <w:rFonts w:hint="eastAsia" w:ascii="宋体" w:hAnsi="宋体" w:eastAsia="宋体" w:cs="宋体"/>
                <w:b/>
                <w:bCs w:val="0"/>
                <w:color w:val="auto"/>
                <w:kern w:val="2"/>
                <w:sz w:val="20"/>
                <w:szCs w:val="20"/>
                <w:lang w:val="en-US" w:eastAsia="zh-CN" w:bidi="ar-SA"/>
              </w:rPr>
              <w:t>序号</w:t>
            </w:r>
          </w:p>
        </w:tc>
        <w:tc>
          <w:tcPr>
            <w:tcW w:w="1134" w:type="dxa"/>
            <w:noWrap w:val="0"/>
            <w:vAlign w:val="center"/>
          </w:tcPr>
          <w:p>
            <w:pPr>
              <w:widowControl/>
              <w:adjustRightInd w:val="0"/>
              <w:snapToGrid w:val="0"/>
              <w:spacing w:before="78" w:beforeLines="25" w:line="240" w:lineRule="auto"/>
              <w:ind w:firstLine="0" w:firstLineChars="0"/>
              <w:jc w:val="center"/>
              <w:textAlignment w:val="baseline"/>
              <w:rPr>
                <w:rFonts w:ascii="Calibri" w:hAnsi="宋体" w:eastAsia="宋体" w:cs="Times New Roman"/>
                <w:b/>
                <w:bCs w:val="0"/>
                <w:color w:val="auto"/>
                <w:kern w:val="2"/>
                <w:sz w:val="16"/>
                <w:szCs w:val="18"/>
                <w:lang w:val="en-US" w:eastAsia="zh-CN" w:bidi="ar-SA"/>
              </w:rPr>
            </w:pPr>
            <w:r>
              <w:rPr>
                <w:rFonts w:hint="eastAsia" w:ascii="宋体" w:hAnsi="宋体" w:eastAsia="宋体" w:cs="宋体"/>
                <w:b/>
                <w:bCs w:val="0"/>
                <w:color w:val="auto"/>
                <w:kern w:val="2"/>
                <w:sz w:val="20"/>
                <w:szCs w:val="20"/>
                <w:lang w:val="en-US" w:eastAsia="zh-CN" w:bidi="ar-SA"/>
              </w:rPr>
              <w:t>评分因素及权重</w:t>
            </w:r>
          </w:p>
        </w:tc>
        <w:tc>
          <w:tcPr>
            <w:tcW w:w="709" w:type="dxa"/>
            <w:noWrap w:val="0"/>
            <w:vAlign w:val="center"/>
          </w:tcPr>
          <w:p>
            <w:pPr>
              <w:widowControl/>
              <w:adjustRightInd w:val="0"/>
              <w:snapToGrid w:val="0"/>
              <w:spacing w:before="78" w:beforeLines="25" w:line="240" w:lineRule="auto"/>
              <w:ind w:firstLine="0" w:firstLineChars="0"/>
              <w:jc w:val="center"/>
              <w:textAlignment w:val="baseline"/>
              <w:rPr>
                <w:rFonts w:ascii="Calibri" w:hAnsi="宋体" w:eastAsia="宋体" w:cs="Times New Roman"/>
                <w:b/>
                <w:bCs w:val="0"/>
                <w:color w:val="auto"/>
                <w:kern w:val="2"/>
                <w:sz w:val="16"/>
                <w:szCs w:val="18"/>
                <w:lang w:val="en-US" w:eastAsia="zh-CN" w:bidi="ar-SA"/>
              </w:rPr>
            </w:pPr>
            <w:r>
              <w:rPr>
                <w:rFonts w:hint="eastAsia" w:ascii="宋体" w:hAnsi="宋体" w:eastAsia="宋体" w:cs="宋体"/>
                <w:b/>
                <w:bCs w:val="0"/>
                <w:color w:val="auto"/>
                <w:kern w:val="2"/>
                <w:sz w:val="20"/>
                <w:szCs w:val="20"/>
                <w:lang w:val="en-US" w:eastAsia="zh-CN" w:bidi="ar-SA"/>
              </w:rPr>
              <w:t>分值</w:t>
            </w:r>
          </w:p>
        </w:tc>
        <w:tc>
          <w:tcPr>
            <w:tcW w:w="5627" w:type="dxa"/>
            <w:noWrap w:val="0"/>
            <w:vAlign w:val="center"/>
          </w:tcPr>
          <w:p>
            <w:pPr>
              <w:widowControl/>
              <w:adjustRightInd w:val="0"/>
              <w:snapToGrid w:val="0"/>
              <w:spacing w:before="78" w:beforeLines="25" w:line="240" w:lineRule="auto"/>
              <w:ind w:firstLine="402" w:firstLineChars="200"/>
              <w:jc w:val="center"/>
              <w:textAlignment w:val="baseline"/>
              <w:rPr>
                <w:rFonts w:ascii="Calibri" w:hAnsi="宋体" w:eastAsia="宋体" w:cs="Times New Roman"/>
                <w:b/>
                <w:bCs w:val="0"/>
                <w:color w:val="auto"/>
                <w:kern w:val="2"/>
                <w:sz w:val="16"/>
                <w:szCs w:val="18"/>
                <w:lang w:val="en-US" w:eastAsia="zh-CN" w:bidi="ar-SA"/>
              </w:rPr>
            </w:pPr>
            <w:r>
              <w:rPr>
                <w:rFonts w:hint="eastAsia" w:ascii="宋体" w:hAnsi="宋体" w:eastAsia="宋体" w:cs="宋体"/>
                <w:b/>
                <w:bCs w:val="0"/>
                <w:color w:val="auto"/>
                <w:kern w:val="2"/>
                <w:sz w:val="20"/>
                <w:szCs w:val="20"/>
                <w:lang w:val="en-US" w:eastAsia="zh-CN" w:bidi="ar-SA"/>
              </w:rPr>
              <w:t>评分标准</w:t>
            </w:r>
          </w:p>
        </w:tc>
        <w:tc>
          <w:tcPr>
            <w:tcW w:w="850" w:type="dxa"/>
            <w:noWrap w:val="0"/>
            <w:vAlign w:val="center"/>
          </w:tcPr>
          <w:p>
            <w:pPr>
              <w:widowControl/>
              <w:adjustRightInd w:val="0"/>
              <w:snapToGrid w:val="0"/>
              <w:spacing w:before="78" w:beforeLines="25" w:line="240" w:lineRule="auto"/>
              <w:ind w:firstLine="0" w:firstLineChars="0"/>
              <w:jc w:val="center"/>
              <w:textAlignment w:val="baseline"/>
              <w:rPr>
                <w:rFonts w:ascii="Calibri" w:hAnsi="宋体" w:eastAsia="宋体" w:cs="Times New Roman"/>
                <w:b/>
                <w:bCs w:val="0"/>
                <w:color w:val="auto"/>
                <w:kern w:val="2"/>
                <w:sz w:val="16"/>
                <w:szCs w:val="18"/>
                <w:lang w:val="en-US" w:eastAsia="zh-CN" w:bidi="ar-SA"/>
              </w:rPr>
            </w:pPr>
            <w:r>
              <w:rPr>
                <w:rFonts w:hint="eastAsia" w:ascii="宋体" w:hAnsi="宋体" w:eastAsia="宋体" w:cs="宋体"/>
                <w:b/>
                <w:bCs w:val="0"/>
                <w:color w:val="auto"/>
                <w:kern w:val="2"/>
                <w:sz w:val="20"/>
                <w:szCs w:val="20"/>
                <w:lang w:val="en-US" w:eastAsia="zh-CN" w:bidi="ar-S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704" w:type="dxa"/>
            <w:noWrap w:val="0"/>
            <w:vAlign w:val="center"/>
          </w:tcPr>
          <w:p>
            <w:pPr>
              <w:widowControl/>
              <w:adjustRightInd w:val="0"/>
              <w:snapToGrid w:val="0"/>
              <w:spacing w:before="78" w:beforeLines="25" w:line="240" w:lineRule="auto"/>
              <w:ind w:firstLine="0" w:firstLineChars="0"/>
              <w:jc w:val="center"/>
              <w:textAlignment w:val="baseline"/>
              <w:rPr>
                <w:rFonts w:ascii="Calibri" w:hAnsi="宋体" w:eastAsia="宋体" w:cs="Times New Roman"/>
                <w:color w:val="auto"/>
                <w:kern w:val="2"/>
                <w:sz w:val="16"/>
                <w:szCs w:val="18"/>
                <w:lang w:val="en-US" w:eastAsia="zh-CN" w:bidi="ar-SA"/>
              </w:rPr>
            </w:pPr>
            <w:r>
              <w:rPr>
                <w:rFonts w:hint="eastAsia" w:ascii="宋体" w:hAnsi="宋体" w:eastAsia="宋体" w:cs="宋体"/>
                <w:color w:val="auto"/>
                <w:kern w:val="2"/>
                <w:sz w:val="20"/>
                <w:szCs w:val="20"/>
                <w:lang w:val="en-US" w:eastAsia="zh-CN" w:bidi="ar-SA"/>
              </w:rPr>
              <w:t>1</w:t>
            </w:r>
          </w:p>
        </w:tc>
        <w:tc>
          <w:tcPr>
            <w:tcW w:w="1134" w:type="dxa"/>
            <w:noWrap w:val="0"/>
            <w:vAlign w:val="center"/>
          </w:tcPr>
          <w:p>
            <w:pPr>
              <w:widowControl/>
              <w:jc w:val="center"/>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报价10%</w:t>
            </w:r>
          </w:p>
        </w:tc>
        <w:tc>
          <w:tcPr>
            <w:tcW w:w="709" w:type="dxa"/>
            <w:noWrap w:val="0"/>
            <w:vAlign w:val="center"/>
          </w:tcPr>
          <w:p>
            <w:pPr>
              <w:widowControl/>
              <w:jc w:val="center"/>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10分</w:t>
            </w:r>
          </w:p>
        </w:tc>
        <w:tc>
          <w:tcPr>
            <w:tcW w:w="5627" w:type="dxa"/>
            <w:noWrap w:val="0"/>
            <w:vAlign w:val="center"/>
          </w:tcPr>
          <w:p>
            <w:pPr>
              <w:widowControl/>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1.以满足招标文件要求且投标价格最低的投标报价为评标基准价，其价格分为满分。其他投标人的价格分统一按照下列公式计算：投标报价得分=(评标基准价／投标报价)×分值。</w:t>
            </w:r>
          </w:p>
          <w:p>
            <w:pPr>
              <w:widowControl w:val="0"/>
              <w:spacing w:after="120" w:afterLines="0"/>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2.小微企业（残疾人福利性单位、监狱企业视同小微企业）价格扣除按照须知附表规定执行。</w:t>
            </w:r>
          </w:p>
        </w:tc>
        <w:tc>
          <w:tcPr>
            <w:tcW w:w="850" w:type="dxa"/>
            <w:noWrap w:val="0"/>
            <w:vAlign w:val="center"/>
          </w:tcPr>
          <w:p>
            <w:pPr>
              <w:widowControl/>
              <w:adjustRightInd w:val="0"/>
              <w:snapToGrid w:val="0"/>
              <w:spacing w:before="78" w:beforeLines="25" w:line="240" w:lineRule="auto"/>
              <w:ind w:firstLine="0" w:firstLineChars="0"/>
              <w:jc w:val="center"/>
              <w:textAlignment w:val="baseline"/>
              <w:rPr>
                <w:rFonts w:hint="eastAsia" w:ascii="Times New Roman" w:hAnsi="宋体" w:eastAsia="宋体" w:cs="宋体"/>
                <w:color w:val="auto"/>
                <w:kern w:val="2"/>
                <w:sz w:val="24"/>
                <w:szCs w:val="24"/>
                <w:lang w:val="en-US" w:eastAsia="zh-CN" w:bidi="ar-SA"/>
              </w:rPr>
            </w:pPr>
            <w:r>
              <w:rPr>
                <w:rFonts w:hint="eastAsia" w:ascii="Times New Roman" w:hAnsi="Times New Roman" w:eastAsia="宋体" w:cs="Times New Roman"/>
                <w:color w:val="auto"/>
                <w:kern w:val="2"/>
                <w:sz w:val="21"/>
                <w:szCs w:val="22"/>
                <w:lang w:val="en-US"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04" w:type="dxa"/>
            <w:noWrap w:val="0"/>
            <w:vAlign w:val="center"/>
          </w:tcPr>
          <w:p>
            <w:pPr>
              <w:widowControl/>
              <w:adjustRightInd w:val="0"/>
              <w:snapToGrid w:val="0"/>
              <w:spacing w:before="78" w:beforeLines="25" w:line="240" w:lineRule="auto"/>
              <w:ind w:firstLine="0" w:firstLineChars="0"/>
              <w:jc w:val="center"/>
              <w:textAlignment w:val="baseline"/>
              <w:rPr>
                <w:rFonts w:ascii="Calibri" w:hAnsi="宋体" w:eastAsia="宋体" w:cs="Times New Roman"/>
                <w:color w:val="auto"/>
                <w:kern w:val="2"/>
                <w:sz w:val="16"/>
                <w:szCs w:val="18"/>
                <w:lang w:val="en-US" w:eastAsia="zh-CN" w:bidi="ar-SA"/>
              </w:rPr>
            </w:pPr>
            <w:r>
              <w:rPr>
                <w:rFonts w:hint="eastAsia" w:ascii="宋体" w:hAnsi="宋体" w:eastAsia="宋体" w:cs="宋体"/>
                <w:color w:val="auto"/>
                <w:kern w:val="2"/>
                <w:sz w:val="20"/>
                <w:szCs w:val="20"/>
                <w:lang w:val="en-US" w:eastAsia="zh-CN" w:bidi="ar-SA"/>
              </w:rPr>
              <w:t>2</w:t>
            </w:r>
          </w:p>
        </w:tc>
        <w:tc>
          <w:tcPr>
            <w:tcW w:w="1134" w:type="dxa"/>
            <w:noWrap w:val="0"/>
            <w:vAlign w:val="center"/>
          </w:tcPr>
          <w:p>
            <w:pPr>
              <w:widowControl/>
              <w:jc w:val="center"/>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服务方案56%</w:t>
            </w:r>
          </w:p>
        </w:tc>
        <w:tc>
          <w:tcPr>
            <w:tcW w:w="709" w:type="dxa"/>
            <w:noWrap w:val="0"/>
            <w:vAlign w:val="center"/>
          </w:tcPr>
          <w:p>
            <w:pPr>
              <w:widowControl/>
              <w:jc w:val="center"/>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56分</w:t>
            </w:r>
          </w:p>
        </w:tc>
        <w:tc>
          <w:tcPr>
            <w:tcW w:w="5627" w:type="dxa"/>
            <w:noWrap w:val="0"/>
            <w:vAlign w:val="center"/>
          </w:tcPr>
          <w:p>
            <w:pPr>
              <w:widowControl/>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根据投标人提供的项目实施方案进行评审，包括但不限于：</w:t>
            </w:r>
          </w:p>
          <w:p>
            <w:pPr>
              <w:widowControl/>
              <w:numPr>
                <w:ilvl w:val="0"/>
                <w:numId w:val="5"/>
              </w:numPr>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项目背景的解读包括：</w:t>
            </w:r>
          </w:p>
          <w:p>
            <w:pPr>
              <w:widowControl/>
              <w:numPr>
                <w:ilvl w:val="0"/>
                <w:numId w:val="0"/>
              </w:numPr>
              <w:jc w:val="left"/>
              <w:rPr>
                <w:rFonts w:hint="eastAsia" w:ascii="Times New Roman" w:hAnsi="Times New Roman" w:eastAsia="宋体" w:cs="Times New Roman"/>
                <w:color w:val="auto"/>
                <w:kern w:val="2"/>
                <w:sz w:val="21"/>
                <w:szCs w:val="22"/>
                <w:lang w:val="en-US" w:eastAsia="zh-CN"/>
              </w:rPr>
            </w:pPr>
            <w:r>
              <w:rPr>
                <w:rFonts w:hint="eastAsia" w:ascii="新宋体" w:hAnsi="新宋体" w:eastAsia="新宋体" w:cs="新宋体"/>
                <w:color w:val="auto"/>
                <w:kern w:val="2"/>
                <w:sz w:val="21"/>
                <w:szCs w:val="22"/>
                <w:lang w:val="en-US" w:eastAsia="zh-CN"/>
              </w:rPr>
              <w:t>①</w:t>
            </w:r>
            <w:r>
              <w:rPr>
                <w:rFonts w:hint="eastAsia" w:ascii="Times New Roman" w:hAnsi="Times New Roman" w:eastAsia="宋体" w:cs="Times New Roman"/>
                <w:color w:val="auto"/>
                <w:kern w:val="2"/>
                <w:sz w:val="21"/>
                <w:szCs w:val="22"/>
                <w:lang w:val="en-US" w:eastAsia="zh-CN"/>
              </w:rPr>
              <w:t>背景研究</w:t>
            </w:r>
          </w:p>
          <w:p>
            <w:pPr>
              <w:widowControl/>
              <w:numPr>
                <w:ilvl w:val="0"/>
                <w:numId w:val="0"/>
              </w:numPr>
              <w:jc w:val="left"/>
              <w:rPr>
                <w:rFonts w:hint="eastAsia" w:ascii="Times New Roman" w:hAnsi="Times New Roman" w:eastAsia="宋体" w:cs="Times New Roman"/>
                <w:color w:val="auto"/>
                <w:kern w:val="2"/>
                <w:sz w:val="21"/>
                <w:szCs w:val="22"/>
                <w:lang w:val="en-US" w:eastAsia="zh-CN"/>
              </w:rPr>
            </w:pPr>
            <w:r>
              <w:rPr>
                <w:rFonts w:hint="eastAsia" w:ascii="新宋体" w:hAnsi="新宋体" w:eastAsia="新宋体" w:cs="新宋体"/>
                <w:color w:val="auto"/>
                <w:kern w:val="2"/>
                <w:sz w:val="21"/>
                <w:szCs w:val="22"/>
                <w:lang w:val="en-US" w:eastAsia="zh-CN"/>
              </w:rPr>
              <w:t>②</w:t>
            </w:r>
            <w:r>
              <w:rPr>
                <w:rFonts w:hint="eastAsia" w:ascii="Times New Roman" w:hAnsi="Times New Roman" w:eastAsia="宋体" w:cs="Times New Roman"/>
                <w:color w:val="auto"/>
                <w:kern w:val="2"/>
                <w:sz w:val="21"/>
                <w:szCs w:val="22"/>
                <w:lang w:val="en-US" w:eastAsia="zh-CN"/>
              </w:rPr>
              <w:t>相关规划</w:t>
            </w:r>
          </w:p>
          <w:p>
            <w:pPr>
              <w:widowControl/>
              <w:numPr>
                <w:ilvl w:val="0"/>
                <w:numId w:val="0"/>
              </w:numPr>
              <w:jc w:val="left"/>
              <w:rPr>
                <w:rFonts w:hint="eastAsia" w:ascii="Times New Roman" w:hAnsi="Times New Roman" w:eastAsia="宋体" w:cs="Times New Roman"/>
                <w:color w:val="auto"/>
                <w:kern w:val="2"/>
                <w:sz w:val="21"/>
                <w:szCs w:val="22"/>
                <w:lang w:val="en-US" w:eastAsia="zh-CN"/>
              </w:rPr>
            </w:pPr>
            <w:r>
              <w:rPr>
                <w:rFonts w:hint="eastAsia" w:ascii="新宋体" w:hAnsi="新宋体" w:eastAsia="新宋体" w:cs="新宋体"/>
                <w:color w:val="auto"/>
                <w:kern w:val="2"/>
                <w:sz w:val="21"/>
                <w:szCs w:val="22"/>
                <w:lang w:val="en-US" w:eastAsia="zh-CN"/>
              </w:rPr>
              <w:t>③</w:t>
            </w:r>
            <w:r>
              <w:rPr>
                <w:rFonts w:hint="eastAsia" w:ascii="Times New Roman" w:hAnsi="Times New Roman" w:eastAsia="宋体" w:cs="Times New Roman"/>
                <w:color w:val="auto"/>
                <w:kern w:val="2"/>
                <w:sz w:val="21"/>
                <w:szCs w:val="22"/>
                <w:lang w:val="en-US" w:eastAsia="zh-CN"/>
              </w:rPr>
              <w:t>现状研究</w:t>
            </w:r>
          </w:p>
          <w:p>
            <w:pPr>
              <w:widowControl/>
              <w:numPr>
                <w:ilvl w:val="0"/>
                <w:numId w:val="0"/>
              </w:numPr>
              <w:jc w:val="left"/>
              <w:rPr>
                <w:rFonts w:hint="eastAsia" w:ascii="Times New Roman" w:hAnsi="Times New Roman" w:eastAsia="宋体" w:cs="Times New Roman"/>
                <w:color w:val="auto"/>
                <w:kern w:val="2"/>
                <w:sz w:val="21"/>
                <w:szCs w:val="22"/>
                <w:lang w:val="en-US" w:eastAsia="zh-CN"/>
              </w:rPr>
            </w:pPr>
            <w:r>
              <w:rPr>
                <w:rFonts w:hint="eastAsia" w:ascii="新宋体" w:hAnsi="新宋体" w:eastAsia="新宋体" w:cs="新宋体"/>
                <w:color w:val="auto"/>
                <w:kern w:val="2"/>
                <w:sz w:val="21"/>
                <w:szCs w:val="22"/>
                <w:lang w:val="en-US" w:eastAsia="zh-CN"/>
              </w:rPr>
              <w:t>④</w:t>
            </w:r>
            <w:r>
              <w:rPr>
                <w:rFonts w:hint="eastAsia" w:ascii="Times New Roman" w:hAnsi="Times New Roman" w:eastAsia="宋体" w:cs="Times New Roman"/>
                <w:color w:val="auto"/>
                <w:kern w:val="2"/>
                <w:sz w:val="21"/>
                <w:szCs w:val="22"/>
                <w:lang w:val="en-US" w:eastAsia="zh-CN"/>
              </w:rPr>
              <w:t>更新问题研究等</w:t>
            </w:r>
          </w:p>
          <w:p>
            <w:pPr>
              <w:widowControl/>
              <w:numPr>
                <w:ilvl w:val="0"/>
                <w:numId w:val="0"/>
              </w:numPr>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上述方案全面详细且完全满足本次采购需求的得8分，如有缺陷或描述不完整的有一处扣1分，每有一项漏项扣2分，直至本项目分值扣完为止，未提供的不得分。</w:t>
            </w:r>
          </w:p>
          <w:p>
            <w:pPr>
              <w:widowControl w:val="0"/>
              <w:spacing w:after="120" w:afterLines="0"/>
              <w:jc w:val="both"/>
              <w:rPr>
                <w:rFonts w:hint="eastAsia" w:ascii="Times New Roman" w:hAnsi="Times New Roman" w:eastAsia="宋体" w:cs="Times New Roman"/>
                <w:color w:val="auto"/>
                <w:kern w:val="2"/>
                <w:sz w:val="21"/>
                <w:szCs w:val="22"/>
                <w:lang w:val="en-US" w:eastAsia="zh-CN" w:bidi="ar-SA"/>
              </w:rPr>
            </w:pPr>
          </w:p>
          <w:p>
            <w:pPr>
              <w:widowControl/>
              <w:numPr>
                <w:ilvl w:val="0"/>
                <w:numId w:val="5"/>
              </w:numPr>
              <w:ind w:left="0" w:leftChars="0" w:firstLine="0" w:firstLine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整体思路包括：</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①更新规划重点</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②更新规划思路</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③更新实施建议等</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上述方案全面详细且完全满足本次采购需求的得18分，如有缺陷或描述不完整的有一处扣3分，每有一项漏项扣6分，直至本项目分值扣完为止，未提供的不得分。</w:t>
            </w:r>
          </w:p>
          <w:p>
            <w:pPr>
              <w:widowControl w:val="0"/>
              <w:spacing w:after="120" w:afterLines="0"/>
              <w:jc w:val="both"/>
              <w:rPr>
                <w:rFonts w:hint="eastAsia" w:ascii="Times New Roman" w:hAnsi="Times New Roman" w:eastAsia="宋体" w:cs="Times New Roman"/>
                <w:color w:val="auto"/>
                <w:kern w:val="2"/>
                <w:sz w:val="21"/>
                <w:szCs w:val="22"/>
                <w:lang w:val="en-US" w:eastAsia="zh-CN" w:bidi="ar-SA"/>
              </w:rPr>
            </w:pPr>
          </w:p>
          <w:p>
            <w:pPr>
              <w:widowControl/>
              <w:numPr>
                <w:ilvl w:val="0"/>
                <w:numId w:val="5"/>
              </w:numPr>
              <w:ind w:left="0" w:leftChars="0" w:firstLine="0" w:firstLine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更新片区实施规划包括：</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①现状分析</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②更新思路</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③功能策划等</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上述方案全面详细且完全满足本次采购需求的得12分，如有缺陷或描述不完整的有一处扣2分，每有一项漏项扣4分，直至本项目分值扣完为止，未提供的不得分。</w:t>
            </w:r>
          </w:p>
          <w:p>
            <w:pPr>
              <w:widowControl w:val="0"/>
              <w:numPr>
                <w:ilvl w:val="0"/>
                <w:numId w:val="0"/>
              </w:numPr>
              <w:spacing w:after="120" w:afterLines="0"/>
              <w:ind w:leftChars="0"/>
              <w:jc w:val="both"/>
              <w:rPr>
                <w:rFonts w:hint="eastAsia" w:ascii="Times New Roman" w:hAnsi="Times New Roman" w:eastAsia="宋体" w:cs="Times New Roman"/>
                <w:color w:val="auto"/>
                <w:kern w:val="2"/>
                <w:sz w:val="21"/>
                <w:szCs w:val="22"/>
                <w:lang w:val="en-US" w:eastAsia="zh-CN" w:bidi="ar-SA"/>
              </w:rPr>
            </w:pPr>
          </w:p>
          <w:p>
            <w:pPr>
              <w:widowControl/>
              <w:numPr>
                <w:ilvl w:val="0"/>
                <w:numId w:val="5"/>
              </w:numPr>
              <w:ind w:left="0" w:leftChars="0" w:firstLine="0" w:firstLine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老旧场镇整治规划专题研究包括：</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①现状研究</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②场镇发展思路等</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上述方案全面详细且完全满足本次采购需求的得6分，如有缺陷或描述不完整的有一处扣1.5分，每有一项漏项扣3分，直至本项目分值扣完为止，未提供的不得分。</w:t>
            </w:r>
          </w:p>
          <w:p>
            <w:pPr>
              <w:widowControl w:val="0"/>
              <w:numPr>
                <w:ilvl w:val="0"/>
                <w:numId w:val="0"/>
              </w:numPr>
              <w:spacing w:after="120" w:afterLines="0"/>
              <w:ind w:leftChars="0"/>
              <w:jc w:val="both"/>
              <w:rPr>
                <w:rFonts w:hint="eastAsia" w:ascii="Times New Roman" w:hAnsi="Times New Roman" w:eastAsia="宋体" w:cs="Times New Roman"/>
                <w:color w:val="auto"/>
                <w:kern w:val="2"/>
                <w:sz w:val="21"/>
                <w:szCs w:val="22"/>
                <w:lang w:val="en-US" w:eastAsia="zh-CN" w:bidi="ar-SA"/>
              </w:rPr>
            </w:pPr>
          </w:p>
          <w:p>
            <w:pPr>
              <w:widowControl/>
              <w:numPr>
                <w:ilvl w:val="0"/>
                <w:numId w:val="5"/>
              </w:numPr>
              <w:ind w:left="0" w:leftChars="0" w:firstLine="0" w:firstLine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时间进度控制包括：</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①工作进度</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②计划控制</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③关键环节的进度管理计划</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上述方案全面详细且完全满足本次采购需求的得6分，如有缺陷或描述不完整的有一处扣1分，每有一项漏项扣2分，直至本项目分值扣完为止，未提供的不得分。</w:t>
            </w:r>
          </w:p>
          <w:p>
            <w:pPr>
              <w:widowControl w:val="0"/>
              <w:numPr>
                <w:ilvl w:val="0"/>
                <w:numId w:val="0"/>
              </w:numPr>
              <w:spacing w:after="120" w:afterLines="0"/>
              <w:ind w:leftChars="0"/>
              <w:jc w:val="both"/>
              <w:rPr>
                <w:rFonts w:hint="eastAsia" w:ascii="Times New Roman" w:hAnsi="Times New Roman" w:eastAsia="宋体" w:cs="Times New Roman"/>
                <w:color w:val="auto"/>
                <w:kern w:val="2"/>
                <w:sz w:val="21"/>
                <w:szCs w:val="22"/>
                <w:lang w:val="en-US" w:eastAsia="zh-CN" w:bidi="ar-SA"/>
              </w:rPr>
            </w:pPr>
          </w:p>
          <w:p>
            <w:pPr>
              <w:widowControl/>
              <w:numPr>
                <w:ilvl w:val="0"/>
                <w:numId w:val="5"/>
              </w:numPr>
              <w:ind w:left="0" w:leftChars="0" w:firstLine="0" w:firstLine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质量保证包括：</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①服务质量保障措施</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②项目实施保障措施</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③进度保障措施</w:t>
            </w:r>
          </w:p>
          <w:p>
            <w:pPr>
              <w:widowControl/>
              <w:numPr>
                <w:ilvl w:val="0"/>
                <w:numId w:val="0"/>
              </w:numPr>
              <w:ind w:leftChars="0"/>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上述方案全面详细且完全满足本次采购需求的得6分，如有缺陷或描述不完整的有一处扣1分，每有一项漏项扣2分，直至本项目分值扣完为止，未提供的不得分。</w:t>
            </w:r>
          </w:p>
        </w:tc>
        <w:tc>
          <w:tcPr>
            <w:tcW w:w="850" w:type="dxa"/>
            <w:noWrap w:val="0"/>
            <w:vAlign w:val="center"/>
          </w:tcPr>
          <w:p>
            <w:pPr>
              <w:widowControl/>
              <w:jc w:val="center"/>
              <w:rPr>
                <w:rFonts w:hint="eastAsia" w:ascii="Times New Roman" w:hAnsi="Times New Roman" w:eastAsia="宋体" w:cs="Times New Roman"/>
                <w:color w:val="auto"/>
                <w:kern w:val="2"/>
                <w:sz w:val="21"/>
                <w:szCs w:val="22"/>
                <w:lang w:val="en-US" w:eastAsia="zh-CN"/>
              </w:rPr>
            </w:pPr>
          </w:p>
          <w:p>
            <w:pPr>
              <w:widowControl/>
              <w:jc w:val="center"/>
              <w:rPr>
                <w:rFonts w:hint="eastAsia" w:ascii="Times New Roman" w:hAnsi="Times New Roman" w:eastAsia="宋体" w:cs="Times New Roman"/>
                <w:color w:val="auto"/>
                <w:kern w:val="2"/>
                <w:sz w:val="21"/>
                <w:szCs w:val="22"/>
                <w:lang w:val="en-US" w:eastAsia="zh-CN"/>
              </w:rPr>
            </w:pPr>
          </w:p>
          <w:p>
            <w:pPr>
              <w:widowControl/>
              <w:jc w:val="center"/>
              <w:rPr>
                <w:rFonts w:hint="eastAsia" w:ascii="Times New Roman" w:hAnsi="Times New Roman" w:eastAsia="宋体" w:cs="Times New Roman"/>
                <w:color w:val="auto"/>
                <w:kern w:val="2"/>
                <w:sz w:val="21"/>
                <w:szCs w:val="22"/>
                <w:lang w:val="en-US" w:eastAsia="zh-CN"/>
              </w:rPr>
            </w:pPr>
          </w:p>
          <w:p>
            <w:pPr>
              <w:widowControl/>
              <w:jc w:val="center"/>
              <w:rPr>
                <w:rFonts w:hint="eastAsia" w:ascii="Times New Roman" w:hAnsi="Times New Roman" w:eastAsia="宋体" w:cs="Times New Roman"/>
                <w:color w:val="auto"/>
                <w:kern w:val="2"/>
                <w:sz w:val="21"/>
                <w:szCs w:val="22"/>
                <w:lang w:val="en-US" w:eastAsia="zh-CN"/>
              </w:rPr>
            </w:pPr>
          </w:p>
          <w:p>
            <w:pPr>
              <w:widowControl/>
              <w:jc w:val="center"/>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jc w:val="center"/>
        </w:trPr>
        <w:tc>
          <w:tcPr>
            <w:tcW w:w="704" w:type="dxa"/>
            <w:noWrap w:val="0"/>
            <w:vAlign w:val="top"/>
          </w:tcPr>
          <w:p>
            <w:pPr>
              <w:widowControl/>
              <w:spacing w:line="240" w:lineRule="auto"/>
              <w:jc w:val="center"/>
              <w:rPr>
                <w:rFonts w:ascii="宋体" w:hAnsi="宋体" w:eastAsia="宋体" w:cs="宋体"/>
                <w:color w:val="auto"/>
                <w:kern w:val="2"/>
                <w:sz w:val="20"/>
                <w:szCs w:val="20"/>
                <w:lang w:val="en-US" w:eastAsia="zh-CN" w:bidi="ar-SA"/>
              </w:rPr>
            </w:pPr>
          </w:p>
          <w:p>
            <w:pPr>
              <w:widowControl/>
              <w:spacing w:line="240" w:lineRule="auto"/>
              <w:jc w:val="center"/>
              <w:rPr>
                <w:rFonts w:ascii="宋体" w:hAnsi="宋体" w:eastAsia="宋体" w:cs="宋体"/>
                <w:color w:val="auto"/>
                <w:kern w:val="2"/>
                <w:sz w:val="20"/>
                <w:szCs w:val="20"/>
                <w:lang w:val="en-US" w:eastAsia="zh-CN" w:bidi="ar-SA"/>
              </w:rPr>
            </w:pPr>
          </w:p>
          <w:p>
            <w:pPr>
              <w:widowControl/>
              <w:spacing w:line="240" w:lineRule="auto"/>
              <w:jc w:val="center"/>
              <w:rPr>
                <w:rFonts w:ascii="宋体" w:hAnsi="宋体" w:eastAsia="宋体" w:cs="宋体"/>
                <w:color w:val="auto"/>
                <w:kern w:val="2"/>
                <w:sz w:val="20"/>
                <w:szCs w:val="20"/>
                <w:lang w:val="en-US" w:eastAsia="zh-CN" w:bidi="ar-SA"/>
              </w:rPr>
            </w:pPr>
          </w:p>
          <w:p>
            <w:pPr>
              <w:widowControl/>
              <w:spacing w:line="240" w:lineRule="auto"/>
              <w:jc w:val="center"/>
              <w:rPr>
                <w:rFonts w:ascii="Times New Roman" w:hAnsi="Times New Roman" w:eastAsia="宋体" w:cs="Times New Roman"/>
                <w:color w:val="auto"/>
                <w:kern w:val="2"/>
                <w:sz w:val="16"/>
                <w:szCs w:val="20"/>
                <w:lang w:val="en-US" w:eastAsia="zh-CN" w:bidi="ar-SA"/>
              </w:rPr>
            </w:pPr>
            <w:r>
              <w:rPr>
                <w:rFonts w:hint="eastAsia" w:ascii="宋体" w:hAnsi="宋体" w:eastAsia="宋体" w:cs="宋体"/>
                <w:color w:val="auto"/>
                <w:kern w:val="2"/>
                <w:sz w:val="20"/>
                <w:szCs w:val="20"/>
                <w:lang w:val="en-US" w:eastAsia="zh-CN" w:bidi="ar-SA"/>
              </w:rPr>
              <w:t>3</w:t>
            </w:r>
          </w:p>
        </w:tc>
        <w:tc>
          <w:tcPr>
            <w:tcW w:w="1134" w:type="dxa"/>
            <w:noWrap w:val="0"/>
            <w:vAlign w:val="center"/>
          </w:tcPr>
          <w:p>
            <w:pPr>
              <w:widowControl/>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项目人员配备16%</w:t>
            </w:r>
          </w:p>
          <w:p>
            <w:pPr>
              <w:widowControl/>
              <w:jc w:val="left"/>
              <w:rPr>
                <w:rFonts w:hint="eastAsia" w:ascii="Times New Roman" w:hAnsi="Times New Roman" w:eastAsia="宋体" w:cs="Times New Roman"/>
                <w:color w:val="auto"/>
                <w:kern w:val="2"/>
                <w:sz w:val="21"/>
                <w:szCs w:val="22"/>
                <w:lang w:val="en-US" w:eastAsia="zh-CN"/>
              </w:rPr>
            </w:pPr>
          </w:p>
        </w:tc>
        <w:tc>
          <w:tcPr>
            <w:tcW w:w="709" w:type="dxa"/>
            <w:noWrap w:val="0"/>
            <w:vAlign w:val="center"/>
          </w:tcPr>
          <w:p>
            <w:pPr>
              <w:widowControl/>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16分</w:t>
            </w:r>
          </w:p>
        </w:tc>
        <w:tc>
          <w:tcPr>
            <w:tcW w:w="5627" w:type="dxa"/>
            <w:noWrap w:val="0"/>
            <w:vAlign w:val="center"/>
          </w:tcPr>
          <w:p>
            <w:pPr>
              <w:widowControl/>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1.项目负责人：具有注册城市(或城乡)规划师资格证书得4分；同时具有规划专业高级工程师及以上技术职称的加3分。本项最多得7分；</w:t>
            </w:r>
          </w:p>
          <w:p>
            <w:pPr>
              <w:widowControl/>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2.规划专业人员：每有一名成员具备规划（或城市规划）专业中级工程师及以上职称或注册城市（或城乡）规划师证书的得3分，本项最多得9分。</w:t>
            </w:r>
          </w:p>
        </w:tc>
        <w:tc>
          <w:tcPr>
            <w:tcW w:w="850" w:type="dxa"/>
            <w:noWrap w:val="0"/>
            <w:vAlign w:val="center"/>
          </w:tcPr>
          <w:p>
            <w:pPr>
              <w:widowControl/>
              <w:jc w:val="center"/>
              <w:rPr>
                <w:rFonts w:hint="eastAsia" w:ascii="Times New Roman" w:hAnsi="Times New Roman" w:eastAsia="宋体" w:cs="Times New Roman"/>
                <w:color w:val="auto"/>
                <w:kern w:val="2"/>
                <w:sz w:val="21"/>
                <w:szCs w:val="22"/>
                <w:lang w:val="en-US" w:eastAsia="zh-CN"/>
              </w:rPr>
            </w:pPr>
          </w:p>
          <w:p>
            <w:pPr>
              <w:widowControl/>
              <w:jc w:val="center"/>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noWrap w:val="0"/>
            <w:vAlign w:val="center"/>
          </w:tcPr>
          <w:p>
            <w:pPr>
              <w:widowControl/>
              <w:adjustRightInd w:val="0"/>
              <w:snapToGrid w:val="0"/>
              <w:spacing w:before="78" w:beforeLines="25" w:line="240" w:lineRule="auto"/>
              <w:ind w:firstLine="0" w:firstLineChars="0"/>
              <w:jc w:val="center"/>
              <w:textAlignment w:val="baseline"/>
              <w:rPr>
                <w:rFonts w:ascii="宋体" w:hAnsi="宋体" w:eastAsia="宋体" w:cs="宋体"/>
                <w:color w:val="auto"/>
                <w:kern w:val="2"/>
                <w:sz w:val="20"/>
                <w:szCs w:val="20"/>
                <w:lang w:val="en-US" w:eastAsia="zh-CN" w:bidi="ar-SA"/>
              </w:rPr>
            </w:pPr>
            <w:r>
              <w:rPr>
                <w:rFonts w:hint="eastAsia" w:ascii="宋体" w:hAnsi="宋体" w:eastAsia="宋体" w:cs="宋体"/>
                <w:color w:val="auto"/>
                <w:kern w:val="2"/>
                <w:sz w:val="20"/>
                <w:szCs w:val="20"/>
                <w:lang w:val="en-US" w:eastAsia="zh-CN" w:bidi="ar-SA"/>
              </w:rPr>
              <w:t>4</w:t>
            </w:r>
          </w:p>
        </w:tc>
        <w:tc>
          <w:tcPr>
            <w:tcW w:w="1134" w:type="dxa"/>
            <w:noWrap w:val="0"/>
            <w:vAlign w:val="center"/>
          </w:tcPr>
          <w:p>
            <w:pPr>
              <w:widowControl/>
              <w:jc w:val="center"/>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业绩要求18%</w:t>
            </w:r>
          </w:p>
        </w:tc>
        <w:tc>
          <w:tcPr>
            <w:tcW w:w="709" w:type="dxa"/>
            <w:noWrap w:val="0"/>
            <w:vAlign w:val="center"/>
          </w:tcPr>
          <w:p>
            <w:pPr>
              <w:widowControl/>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18分</w:t>
            </w:r>
          </w:p>
        </w:tc>
        <w:tc>
          <w:tcPr>
            <w:tcW w:w="5627" w:type="dxa"/>
            <w:noWrap w:val="0"/>
            <w:vAlign w:val="center"/>
          </w:tcPr>
          <w:p>
            <w:pPr>
              <w:widowControl/>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供应商2018年1月1日以后（含1日）具有规划设计</w:t>
            </w:r>
            <w:r>
              <w:rPr>
                <w:rFonts w:hint="eastAsia" w:ascii="Times New Roman" w:cs="Times New Roman"/>
                <w:color w:val="auto"/>
                <w:kern w:val="2"/>
                <w:sz w:val="21"/>
                <w:szCs w:val="22"/>
                <w:lang w:val="en-US" w:eastAsia="zh-CN"/>
              </w:rPr>
              <w:t>等</w:t>
            </w:r>
            <w:r>
              <w:rPr>
                <w:rFonts w:hint="eastAsia" w:ascii="Times New Roman" w:hAnsi="Times New Roman" w:eastAsia="宋体" w:cs="Times New Roman"/>
                <w:color w:val="auto"/>
                <w:kern w:val="2"/>
                <w:sz w:val="21"/>
                <w:szCs w:val="22"/>
                <w:lang w:val="en-US" w:eastAsia="zh-CN"/>
              </w:rPr>
              <w:t xml:space="preserve">项目类似经验的得3分，本项最多的18分。 </w:t>
            </w:r>
          </w:p>
          <w:p>
            <w:pPr>
              <w:widowControl/>
              <w:jc w:val="left"/>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(注：提供中标/成交通知书或协议/合同复印件加盖公章）</w:t>
            </w:r>
          </w:p>
        </w:tc>
        <w:tc>
          <w:tcPr>
            <w:tcW w:w="850" w:type="dxa"/>
            <w:noWrap w:val="0"/>
            <w:vAlign w:val="center"/>
          </w:tcPr>
          <w:p>
            <w:pPr>
              <w:widowControl/>
              <w:jc w:val="center"/>
              <w:rPr>
                <w:rFonts w:hint="eastAsia" w:ascii="Times New Roman" w:hAnsi="Times New Roman" w:eastAsia="宋体" w:cs="Times New Roman"/>
                <w:color w:val="auto"/>
                <w:kern w:val="2"/>
                <w:sz w:val="21"/>
                <w:szCs w:val="22"/>
                <w:lang w:val="en-US" w:eastAsia="zh-CN"/>
              </w:rPr>
            </w:pPr>
            <w:r>
              <w:rPr>
                <w:rFonts w:hint="eastAsia" w:ascii="Times New Roman" w:hAnsi="Times New Roman" w:eastAsia="宋体" w:cs="Times New Roman"/>
                <w:color w:val="auto"/>
                <w:kern w:val="2"/>
                <w:sz w:val="21"/>
                <w:szCs w:val="22"/>
                <w:lang w:val="en-US" w:eastAsia="zh-CN"/>
              </w:rPr>
              <w:t>共同评分因素</w:t>
            </w:r>
          </w:p>
        </w:tc>
      </w:tr>
    </w:tbl>
    <w:p>
      <w:pPr>
        <w:spacing w:line="360" w:lineRule="auto"/>
        <w:ind w:firstLine="480" w:firstLineChars="200"/>
        <w:rPr>
          <w:rFonts w:hint="eastAsia" w:ascii="宋体" w:hAnsi="宋体" w:eastAsia="宋体" w:cs="宋体"/>
          <w:color w:val="auto"/>
          <w:sz w:val="24"/>
          <w:szCs w:val="22"/>
          <w:highlight w:val="none"/>
        </w:rPr>
      </w:pP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4.</w:t>
      </w: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 xml:space="preserve"> 本次综合评分法由评标委员会各成员独立对通过初审（资格检查和符合性检查）的投标人的投标文件进行评审和打分，</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评标得分＝（A1＋A2＋……＋An）/NA＋（B1＋B2＋……＋Bn）/ NB＋（C1＋C2＋……＋Cn）/ NC＋（D1＋D2＋……＋Dn）/ ND</w:t>
      </w:r>
    </w:p>
    <w:p>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w:t>
      </w:r>
      <w:r>
        <w:rPr>
          <w:rFonts w:hint="eastAsia" w:ascii="宋体" w:hAnsi="宋体" w:eastAsia="宋体" w:cs="宋体"/>
          <w:color w:val="auto"/>
          <w:sz w:val="24"/>
          <w:szCs w:val="22"/>
          <w:highlight w:val="none"/>
          <w:lang w:val="en-US" w:eastAsia="zh-CN"/>
        </w:rPr>
        <w:t>D1、D2……Dn 分别为评审委员会每个成员的打分（共同评分类），ND为评标委员会人数。</w:t>
      </w:r>
    </w:p>
    <w:bookmarkEnd w:id="1642"/>
    <w:p>
      <w:pPr>
        <w:pStyle w:val="20"/>
        <w:ind w:left="0" w:leftChars="0" w:firstLine="0" w:firstLineChars="0"/>
        <w:rPr>
          <w:rFonts w:hint="eastAsia" w:ascii="宋体" w:hAnsi="宋体" w:eastAsia="宋体" w:cs="宋体"/>
          <w:b/>
          <w:bCs/>
          <w:color w:val="auto"/>
          <w:sz w:val="24"/>
          <w:highlight w:val="none"/>
        </w:rPr>
        <w:sectPr>
          <w:pgSz w:w="11910" w:h="16840"/>
          <w:pgMar w:top="1440" w:right="1800" w:bottom="1440" w:left="1800" w:header="0" w:footer="895" w:gutter="0"/>
          <w:pgNumType w:fmt="decimal"/>
          <w:cols w:space="720" w:num="1"/>
        </w:sectPr>
      </w:pPr>
    </w:p>
    <w:p>
      <w:pPr>
        <w:spacing w:line="440" w:lineRule="exact"/>
        <w:ind w:firstLine="482" w:firstLineChars="200"/>
        <w:rPr>
          <w:rFonts w:hint="eastAsia" w:ascii="宋体" w:hAnsi="宋体" w:eastAsia="宋体" w:cs="宋体"/>
          <w:b/>
          <w:bCs/>
          <w:color w:val="auto"/>
          <w:sz w:val="24"/>
          <w:szCs w:val="22"/>
          <w:highlight w:val="none"/>
        </w:rPr>
      </w:pPr>
      <w:bookmarkStart w:id="1643" w:name="_Toc31067"/>
      <w:bookmarkStart w:id="1644" w:name="_Toc24829"/>
      <w:bookmarkStart w:id="1645" w:name="_Toc25252"/>
      <w:bookmarkStart w:id="1646" w:name="_Toc1852"/>
      <w:bookmarkStart w:id="1647" w:name="_Toc32149"/>
      <w:bookmarkStart w:id="1648" w:name="_Toc9685"/>
      <w:bookmarkStart w:id="1649" w:name="_Toc21371"/>
      <w:bookmarkStart w:id="1650" w:name="_Toc25320_WPSOffice_Level2"/>
      <w:bookmarkStart w:id="1651" w:name="_Toc10178"/>
      <w:bookmarkStart w:id="1652" w:name="_Toc1677"/>
      <w:bookmarkStart w:id="1653" w:name="_Toc24467"/>
      <w:r>
        <w:rPr>
          <w:rFonts w:hint="eastAsia" w:ascii="宋体" w:hAnsi="宋体" w:eastAsia="宋体" w:cs="宋体"/>
          <w:b/>
          <w:bCs/>
          <w:color w:val="auto"/>
          <w:sz w:val="24"/>
          <w:szCs w:val="22"/>
          <w:highlight w:val="none"/>
        </w:rPr>
        <w:t>注：</w:t>
      </w:r>
    </w:p>
    <w:p>
      <w:pPr>
        <w:spacing w:line="440" w:lineRule="exact"/>
        <w:ind w:firstLine="482" w:firstLineChars="200"/>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1．评分的取值按四舍五入法，保留小数点后两位。 </w:t>
      </w:r>
    </w:p>
    <w:p>
      <w:pPr>
        <w:spacing w:line="440" w:lineRule="exact"/>
        <w:ind w:firstLine="482" w:firstLineChars="200"/>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lang w:val="en-US" w:eastAsia="zh-CN"/>
        </w:rPr>
        <w:t>2.</w:t>
      </w:r>
      <w:r>
        <w:rPr>
          <w:rFonts w:hint="eastAsia" w:ascii="宋体" w:hAnsi="宋体" w:eastAsia="宋体" w:cs="宋体"/>
          <w:b/>
          <w:bCs/>
          <w:color w:val="auto"/>
          <w:sz w:val="24"/>
          <w:szCs w:val="22"/>
          <w:highlight w:val="none"/>
        </w:rPr>
        <w:t xml:space="preserve">评审专家应对每个供应商每项评分因素给出详细的评审说明（报价评分项除外）。 </w:t>
      </w:r>
    </w:p>
    <w:p>
      <w:pPr>
        <w:pStyle w:val="5"/>
        <w:spacing w:line="360" w:lineRule="auto"/>
        <w:rPr>
          <w:rFonts w:hint="eastAsia" w:ascii="宋体" w:hAnsi="宋体" w:eastAsia="宋体" w:cs="宋体"/>
          <w:b/>
          <w:bCs/>
          <w:color w:val="auto"/>
          <w:sz w:val="24"/>
          <w:szCs w:val="24"/>
          <w:highlight w:val="none"/>
        </w:rPr>
      </w:pPr>
      <w:bookmarkStart w:id="1654" w:name="_Toc18699"/>
      <w:bookmarkStart w:id="1655" w:name="_Toc22858"/>
      <w:r>
        <w:rPr>
          <w:rFonts w:hint="eastAsia" w:ascii="宋体" w:hAnsi="宋体" w:eastAsia="宋体" w:cs="宋体"/>
          <w:b/>
          <w:bCs/>
          <w:color w:val="auto"/>
          <w:sz w:val="24"/>
          <w:szCs w:val="24"/>
          <w:highlight w:val="none"/>
        </w:rPr>
        <w:t>5、 废 标</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5.1本次政府采购活动中，出现下列情形之一的，予以废标：</w:t>
      </w:r>
    </w:p>
    <w:p>
      <w:pPr>
        <w:spacing w:line="440" w:lineRule="exact"/>
        <w:ind w:firstLine="480" w:firstLineChars="200"/>
        <w:rPr>
          <w:rFonts w:hint="eastAsia" w:ascii="宋体" w:hAnsi="宋体" w:eastAsia="宋体" w:cs="宋体"/>
          <w:color w:val="auto"/>
          <w:sz w:val="24"/>
          <w:szCs w:val="22"/>
          <w:highlight w:val="none"/>
        </w:rPr>
      </w:pPr>
      <w:bookmarkStart w:id="1656" w:name="_Toc15148"/>
      <w:bookmarkStart w:id="1657" w:name="_Toc18751"/>
      <w:bookmarkStart w:id="1658" w:name="_Toc28928"/>
      <w:r>
        <w:rPr>
          <w:rFonts w:hint="eastAsia" w:ascii="宋体" w:hAnsi="宋体" w:eastAsia="宋体" w:cs="宋体"/>
          <w:color w:val="auto"/>
          <w:sz w:val="24"/>
          <w:szCs w:val="22"/>
          <w:highlight w:val="none"/>
        </w:rPr>
        <w:t>（1）符合专业条件的供应商或者对招标文件作实质响应的供应商不足三家的；</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（2）出现影响采购公正的违法、违规行为的；</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（3）投标人的报价均超过了采购预算，采购人不能支付的；</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（4）因重大变故，采购任务取消的。</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废标后，采购代理机构应在四川政府采购网上公告，并公告废标的情形。投标人需要知晓导致废标情形的具体原因和理由的，可以通过书面形式询问招标采购单位。</w:t>
      </w:r>
    </w:p>
    <w:p>
      <w:pPr>
        <w:spacing w:line="440" w:lineRule="exact"/>
        <w:ind w:firstLine="480" w:firstLineChars="200"/>
        <w:rPr>
          <w:rFonts w:hint="eastAsia" w:ascii="宋体" w:hAnsi="宋体" w:eastAsia="宋体" w:cs="宋体"/>
          <w:color w:val="auto"/>
          <w:sz w:val="24"/>
          <w:szCs w:val="22"/>
          <w:highlight w:val="none"/>
        </w:rPr>
      </w:pPr>
      <w:bookmarkStart w:id="1659" w:name="_Toc18315"/>
      <w:bookmarkStart w:id="1660" w:name="_Toc31248"/>
      <w:bookmarkStart w:id="1661" w:name="_Toc31562"/>
      <w:r>
        <w:rPr>
          <w:rFonts w:hint="eastAsia" w:ascii="宋体" w:hAnsi="宋体" w:eastAsia="宋体" w:cs="宋体"/>
          <w:color w:val="auto"/>
          <w:sz w:val="24"/>
          <w:szCs w:val="22"/>
          <w:highlight w:val="none"/>
        </w:rPr>
        <w:t>5.2</w:t>
      </w:r>
      <w:r>
        <w:rPr>
          <w:rFonts w:hint="eastAsia" w:ascii="宋体" w:hAnsi="宋体" w:eastAsia="宋体" w:cs="宋体"/>
          <w:color w:val="auto"/>
          <w:sz w:val="24"/>
          <w:szCs w:val="22"/>
          <w:highlight w:val="none"/>
          <w:lang w:val="en-US" w:eastAsia="zh-CN"/>
        </w:rPr>
        <w:t>采购项目在评审过程中废标的</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eastAsia="zh-CN"/>
        </w:rPr>
        <w:t>评标委员会</w:t>
      </w:r>
      <w:r>
        <w:rPr>
          <w:rFonts w:hint="eastAsia" w:ascii="宋体" w:hAnsi="宋体" w:eastAsia="宋体" w:cs="宋体"/>
          <w:color w:val="auto"/>
          <w:sz w:val="24"/>
          <w:szCs w:val="22"/>
          <w:highlight w:val="none"/>
        </w:rPr>
        <w:t>应当对招标文件是否存在倾向性和歧视性、是否存在不合理条款进行论证，并出具书面论证意见。</w:t>
      </w:r>
      <w:bookmarkEnd w:id="1659"/>
      <w:bookmarkEnd w:id="1660"/>
      <w:bookmarkEnd w:id="1661"/>
    </w:p>
    <w:p>
      <w:pPr>
        <w:pStyle w:val="5"/>
        <w:spacing w:line="360" w:lineRule="auto"/>
        <w:ind w:firstLine="482" w:firstLineChars="200"/>
        <w:rPr>
          <w:rFonts w:hint="eastAsia" w:ascii="宋体" w:hAnsi="宋体" w:eastAsia="宋体" w:cs="宋体"/>
          <w:b/>
          <w:bCs/>
          <w:color w:val="auto"/>
          <w:sz w:val="24"/>
          <w:szCs w:val="24"/>
          <w:highlight w:val="none"/>
        </w:rPr>
      </w:pPr>
      <w:bookmarkStart w:id="1662" w:name="_Toc19253"/>
      <w:bookmarkStart w:id="1663" w:name="_Toc7223"/>
      <w:bookmarkStart w:id="1664" w:name="_Toc3203"/>
      <w:bookmarkStart w:id="1665" w:name="_Toc12376"/>
      <w:bookmarkStart w:id="1666" w:name="_Toc935"/>
      <w:bookmarkStart w:id="1667" w:name="_Toc22659_WPSOffice_Level2"/>
      <w:bookmarkStart w:id="1668" w:name="_Toc5624"/>
      <w:bookmarkStart w:id="1669" w:name="_Toc19492"/>
      <w:bookmarkStart w:id="1670" w:name="_Toc15036"/>
      <w:bookmarkStart w:id="1671" w:name="_Toc4415"/>
      <w:r>
        <w:rPr>
          <w:rFonts w:hint="eastAsia" w:ascii="宋体" w:hAnsi="宋体" w:eastAsia="宋体" w:cs="宋体"/>
          <w:b/>
          <w:bCs/>
          <w:color w:val="auto"/>
          <w:sz w:val="24"/>
          <w:szCs w:val="24"/>
          <w:highlight w:val="none"/>
        </w:rPr>
        <w:t>6、 定标</w:t>
      </w:r>
      <w:bookmarkEnd w:id="1619"/>
      <w:bookmarkEnd w:id="1656"/>
      <w:bookmarkEnd w:id="1657"/>
      <w:bookmarkEnd w:id="1658"/>
      <w:bookmarkEnd w:id="1662"/>
      <w:bookmarkEnd w:id="1663"/>
      <w:bookmarkEnd w:id="1664"/>
      <w:bookmarkEnd w:id="1665"/>
      <w:bookmarkEnd w:id="1666"/>
      <w:bookmarkEnd w:id="1667"/>
      <w:bookmarkEnd w:id="1668"/>
      <w:bookmarkEnd w:id="1669"/>
      <w:bookmarkEnd w:id="1670"/>
      <w:bookmarkEnd w:id="1671"/>
      <w:bookmarkStart w:id="1672" w:name="_Toc217446061"/>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6.1 定标原则</w:t>
      </w:r>
      <w:bookmarkEnd w:id="1672"/>
      <w:r>
        <w:rPr>
          <w:rFonts w:hint="eastAsia" w:ascii="宋体" w:hAnsi="宋体" w:eastAsia="宋体" w:cs="宋体"/>
          <w:color w:val="auto"/>
          <w:sz w:val="24"/>
          <w:szCs w:val="22"/>
          <w:highlight w:val="none"/>
        </w:rPr>
        <w:t>：本项目根据评委会推荐的中标候选人名单，按顺序确定中标人。</w:t>
      </w:r>
    </w:p>
    <w:p>
      <w:pPr>
        <w:spacing w:line="440" w:lineRule="exact"/>
        <w:ind w:firstLine="480" w:firstLineChars="200"/>
        <w:rPr>
          <w:rFonts w:hint="eastAsia" w:ascii="宋体" w:hAnsi="宋体" w:eastAsia="宋体" w:cs="宋体"/>
          <w:color w:val="auto"/>
          <w:sz w:val="24"/>
          <w:szCs w:val="22"/>
          <w:highlight w:val="none"/>
        </w:rPr>
      </w:pPr>
      <w:bookmarkStart w:id="1673" w:name="_Toc217446062"/>
      <w:r>
        <w:rPr>
          <w:rFonts w:hint="eastAsia" w:ascii="宋体" w:hAnsi="宋体" w:eastAsia="宋体" w:cs="宋体"/>
          <w:color w:val="auto"/>
          <w:sz w:val="24"/>
          <w:szCs w:val="22"/>
          <w:highlight w:val="none"/>
        </w:rPr>
        <w:t>6.2 定标程序</w:t>
      </w:r>
      <w:bookmarkEnd w:id="1673"/>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6.2.1 评委会将评标情况写出书面报告，推荐中标候选人</w:t>
      </w:r>
      <w:r>
        <w:rPr>
          <w:rFonts w:hint="eastAsia" w:ascii="宋体" w:hAnsi="宋体" w:eastAsia="宋体" w:cs="宋体"/>
          <w:color w:val="auto"/>
          <w:sz w:val="24"/>
          <w:highlight w:val="none"/>
        </w:rPr>
        <w:t>（三名）</w:t>
      </w:r>
      <w:r>
        <w:rPr>
          <w:rFonts w:hint="eastAsia" w:ascii="宋体" w:hAnsi="宋体" w:eastAsia="宋体" w:cs="宋体"/>
          <w:color w:val="auto"/>
          <w:sz w:val="24"/>
          <w:szCs w:val="22"/>
          <w:highlight w:val="none"/>
        </w:rPr>
        <w:t>，并按照综合得分高低标明排列顺序。综合得分相同的，按投标报价由低到高顺序排列。得分且投标报价相同的，按技术指标优劣顺序排列。</w:t>
      </w:r>
    </w:p>
    <w:p>
      <w:pPr>
        <w:spacing w:line="4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6.2.1.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价相同且满足招标文件全部实质性要求且按照评审因素的量化指标评审得分也相同的并列，由采购人自主采取公平、择优的方式选择中标人。</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6.2.2 采购代理机构在评标结束后2个工作日内将评标报告送采购人。</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6.2.3 采购人在收到评标报告5个工作日内，</w:t>
      </w:r>
      <w:r>
        <w:rPr>
          <w:rFonts w:hint="eastAsia" w:ascii="宋体" w:hAnsi="宋体" w:eastAsia="宋体" w:cs="宋体"/>
          <w:color w:val="auto"/>
          <w:sz w:val="24"/>
          <w:szCs w:val="22"/>
          <w:highlight w:val="none"/>
          <w:lang w:val="en-US" w:eastAsia="zh-CN"/>
        </w:rPr>
        <w:t>在评</w:t>
      </w:r>
      <w:r>
        <w:rPr>
          <w:rFonts w:hint="eastAsia" w:ascii="宋体" w:hAnsi="宋体" w:eastAsia="宋体" w:cs="宋体"/>
          <w:color w:val="auto"/>
          <w:sz w:val="24"/>
          <w:szCs w:val="22"/>
          <w:highlight w:val="none"/>
        </w:rPr>
        <w:t>标报告</w:t>
      </w:r>
      <w:r>
        <w:rPr>
          <w:rFonts w:hint="eastAsia" w:ascii="宋体" w:hAnsi="宋体" w:eastAsia="宋体" w:cs="宋体"/>
          <w:color w:val="auto"/>
          <w:sz w:val="24"/>
          <w:szCs w:val="22"/>
          <w:highlight w:val="none"/>
          <w:lang w:val="en-US" w:eastAsia="zh-CN"/>
        </w:rPr>
        <w:t>确定的</w:t>
      </w:r>
      <w:r>
        <w:rPr>
          <w:rFonts w:hint="eastAsia" w:ascii="宋体" w:hAnsi="宋体" w:eastAsia="宋体" w:cs="宋体"/>
          <w:color w:val="auto"/>
          <w:sz w:val="24"/>
          <w:szCs w:val="22"/>
          <w:highlight w:val="none"/>
        </w:rPr>
        <w:t>中标候选</w:t>
      </w:r>
      <w:r>
        <w:rPr>
          <w:rFonts w:hint="eastAsia" w:ascii="宋体" w:hAnsi="宋体" w:eastAsia="宋体" w:cs="宋体"/>
          <w:color w:val="auto"/>
          <w:sz w:val="24"/>
          <w:szCs w:val="22"/>
          <w:highlight w:val="none"/>
          <w:lang w:val="en-US" w:eastAsia="zh-CN"/>
        </w:rPr>
        <w:t>人名单中按顺序</w:t>
      </w:r>
      <w:r>
        <w:rPr>
          <w:rFonts w:hint="eastAsia" w:ascii="宋体" w:hAnsi="宋体" w:eastAsia="宋体" w:cs="宋体"/>
          <w:color w:val="auto"/>
          <w:sz w:val="24"/>
          <w:szCs w:val="22"/>
          <w:highlight w:val="none"/>
        </w:rPr>
        <w:t>确定中标</w:t>
      </w:r>
      <w:r>
        <w:rPr>
          <w:rFonts w:hint="eastAsia" w:ascii="宋体" w:hAnsi="宋体" w:eastAsia="宋体" w:cs="宋体"/>
          <w:color w:val="auto"/>
          <w:sz w:val="24"/>
          <w:szCs w:val="22"/>
          <w:highlight w:val="none"/>
          <w:lang w:val="en-US" w:eastAsia="zh-CN"/>
        </w:rPr>
        <w:t>人</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中标候选人并列的，</w:t>
      </w:r>
      <w:r>
        <w:rPr>
          <w:rFonts w:hint="eastAsia" w:ascii="宋体" w:hAnsi="宋体" w:eastAsia="宋体" w:cs="宋体"/>
          <w:color w:val="auto"/>
          <w:sz w:val="24"/>
          <w:szCs w:val="22"/>
          <w:highlight w:val="none"/>
        </w:rPr>
        <w:t>采用最低评标价法的，评标结果按投标报价由低到高顺序排列；投标报价相同的并列，投标文件满足招标文件全部实质性要求且投标报价最低的供应商为中标候选</w:t>
      </w:r>
      <w:r>
        <w:rPr>
          <w:rFonts w:hint="eastAsia" w:ascii="宋体" w:hAnsi="宋体" w:eastAsia="宋体" w:cs="宋体"/>
          <w:color w:val="auto"/>
          <w:sz w:val="24"/>
          <w:szCs w:val="22"/>
          <w:highlight w:val="none"/>
          <w:lang w:val="en-US" w:eastAsia="zh-CN"/>
        </w:rPr>
        <w:t>人</w:t>
      </w:r>
      <w:r>
        <w:rPr>
          <w:rFonts w:hint="eastAsia" w:ascii="宋体" w:hAnsi="宋体" w:eastAsia="宋体" w:cs="宋体"/>
          <w:color w:val="auto"/>
          <w:sz w:val="24"/>
          <w:szCs w:val="22"/>
          <w:highlight w:val="none"/>
        </w:rPr>
        <w:t>；报价相同且满足招标文件全部实质性要求的并列，由采购人自主采取公平、择优的方式选择中标</w:t>
      </w:r>
      <w:r>
        <w:rPr>
          <w:rFonts w:hint="eastAsia" w:ascii="宋体" w:hAnsi="宋体" w:eastAsia="宋体" w:cs="宋体"/>
          <w:color w:val="auto"/>
          <w:sz w:val="24"/>
          <w:szCs w:val="22"/>
          <w:highlight w:val="none"/>
          <w:lang w:val="en-US" w:eastAsia="zh-CN"/>
        </w:rPr>
        <w:t>人</w:t>
      </w:r>
      <w:r>
        <w:rPr>
          <w:rFonts w:hint="eastAsia" w:ascii="宋体" w:hAnsi="宋体" w:eastAsia="宋体" w:cs="宋体"/>
          <w:color w:val="auto"/>
          <w:sz w:val="24"/>
          <w:szCs w:val="22"/>
          <w:highlight w:val="none"/>
        </w:rPr>
        <w:t>。采用综合评分法的，按评审后得分由高到低顺序排列。得分相同的，按投标报价由低到高顺序排列。得分且投标报价相同的，按技术指标优劣顺序排列；报价相同且满足招标文件全部实质性要求且按照技术指标得分也相同的并列，由采购人自主采取公平、择优的方式选择中标</w:t>
      </w:r>
      <w:r>
        <w:rPr>
          <w:rFonts w:hint="eastAsia" w:ascii="宋体" w:hAnsi="宋体" w:eastAsia="宋体" w:cs="宋体"/>
          <w:color w:val="auto"/>
          <w:sz w:val="24"/>
          <w:szCs w:val="22"/>
          <w:highlight w:val="none"/>
          <w:lang w:val="en-US" w:eastAsia="zh-CN"/>
        </w:rPr>
        <w:t>人</w:t>
      </w:r>
      <w:r>
        <w:rPr>
          <w:rFonts w:hint="eastAsia" w:ascii="宋体" w:hAnsi="宋体" w:eastAsia="宋体" w:cs="宋体"/>
          <w:color w:val="auto"/>
          <w:sz w:val="24"/>
          <w:szCs w:val="22"/>
          <w:highlight w:val="none"/>
        </w:rPr>
        <w:t>。</w:t>
      </w:r>
    </w:p>
    <w:p>
      <w:pPr>
        <w:spacing w:line="440" w:lineRule="exact"/>
        <w:ind w:firstLine="482" w:firstLineChars="200"/>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注意，采购人按照推荐的中标候选人顺序确定中标人，不能认为采购人只能确定第一中标候选人为中标人，采购人有正当理由的，可以确定后一顺序中标候选人为中标人，依次类推。</w:t>
      </w:r>
    </w:p>
    <w:p>
      <w:pPr>
        <w:spacing w:line="440" w:lineRule="exact"/>
        <w:ind w:firstLine="482" w:firstLineChars="200"/>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采购人逾期未确定</w:t>
      </w:r>
      <w:r>
        <w:rPr>
          <w:rFonts w:hint="eastAsia" w:ascii="宋体" w:hAnsi="宋体" w:eastAsia="宋体" w:cs="宋体"/>
          <w:b/>
          <w:bCs/>
          <w:color w:val="auto"/>
          <w:sz w:val="24"/>
          <w:szCs w:val="22"/>
          <w:highlight w:val="none"/>
          <w:lang w:val="en-US" w:eastAsia="zh-CN"/>
        </w:rPr>
        <w:t>中标人</w:t>
      </w:r>
      <w:r>
        <w:rPr>
          <w:rFonts w:hint="eastAsia" w:ascii="宋体" w:hAnsi="宋体" w:eastAsia="宋体" w:cs="宋体"/>
          <w:b/>
          <w:bCs/>
          <w:color w:val="auto"/>
          <w:sz w:val="24"/>
          <w:szCs w:val="22"/>
          <w:highlight w:val="none"/>
        </w:rPr>
        <w:t>且</w:t>
      </w:r>
      <w:r>
        <w:rPr>
          <w:rFonts w:hint="eastAsia" w:ascii="宋体" w:hAnsi="宋体" w:eastAsia="宋体" w:cs="宋体"/>
          <w:b/>
          <w:bCs/>
          <w:color w:val="auto"/>
          <w:sz w:val="24"/>
          <w:szCs w:val="22"/>
          <w:highlight w:val="none"/>
          <w:lang w:val="en-US" w:eastAsia="zh-CN"/>
        </w:rPr>
        <w:t>无正当理由</w:t>
      </w:r>
      <w:r>
        <w:rPr>
          <w:rFonts w:hint="eastAsia" w:ascii="宋体" w:hAnsi="宋体" w:eastAsia="宋体" w:cs="宋体"/>
          <w:b/>
          <w:bCs/>
          <w:color w:val="auto"/>
          <w:sz w:val="24"/>
          <w:szCs w:val="22"/>
          <w:highlight w:val="none"/>
        </w:rPr>
        <w:t>的，视为确定评审报告</w:t>
      </w:r>
      <w:r>
        <w:rPr>
          <w:rFonts w:hint="eastAsia" w:ascii="宋体" w:hAnsi="宋体" w:eastAsia="宋体" w:cs="宋体"/>
          <w:b/>
          <w:bCs/>
          <w:color w:val="auto"/>
          <w:sz w:val="24"/>
          <w:szCs w:val="22"/>
          <w:highlight w:val="none"/>
          <w:lang w:val="en-US" w:eastAsia="zh-CN"/>
        </w:rPr>
        <w:t>推荐</w:t>
      </w:r>
      <w:r>
        <w:rPr>
          <w:rFonts w:hint="eastAsia" w:ascii="宋体" w:hAnsi="宋体" w:eastAsia="宋体" w:cs="宋体"/>
          <w:b/>
          <w:bCs/>
          <w:color w:val="auto"/>
          <w:sz w:val="24"/>
          <w:szCs w:val="22"/>
          <w:highlight w:val="none"/>
        </w:rPr>
        <w:t>的</w:t>
      </w:r>
      <w:r>
        <w:rPr>
          <w:rFonts w:hint="eastAsia" w:ascii="宋体" w:hAnsi="宋体" w:eastAsia="宋体" w:cs="宋体"/>
          <w:b/>
          <w:bCs/>
          <w:color w:val="auto"/>
          <w:sz w:val="24"/>
          <w:szCs w:val="22"/>
          <w:highlight w:val="none"/>
          <w:lang w:val="en-US" w:eastAsia="zh-CN"/>
        </w:rPr>
        <w:t>第一中标候选人</w:t>
      </w:r>
      <w:r>
        <w:rPr>
          <w:rFonts w:hint="eastAsia" w:ascii="宋体" w:hAnsi="宋体" w:eastAsia="宋体" w:cs="宋体"/>
          <w:b/>
          <w:bCs/>
          <w:color w:val="auto"/>
          <w:sz w:val="24"/>
          <w:szCs w:val="22"/>
          <w:highlight w:val="none"/>
        </w:rPr>
        <w:t>为</w:t>
      </w:r>
      <w:r>
        <w:rPr>
          <w:rFonts w:hint="eastAsia" w:ascii="宋体" w:hAnsi="宋体" w:eastAsia="宋体" w:cs="宋体"/>
          <w:b/>
          <w:bCs/>
          <w:color w:val="auto"/>
          <w:sz w:val="24"/>
          <w:szCs w:val="22"/>
          <w:highlight w:val="none"/>
          <w:lang w:val="en-US" w:eastAsia="zh-CN"/>
        </w:rPr>
        <w:t>中标人</w:t>
      </w:r>
      <w:r>
        <w:rPr>
          <w:rFonts w:hint="eastAsia" w:ascii="宋体" w:hAnsi="宋体" w:eastAsia="宋体" w:cs="宋体"/>
          <w:b/>
          <w:bCs/>
          <w:color w:val="auto"/>
          <w:sz w:val="24"/>
          <w:szCs w:val="22"/>
          <w:highlight w:val="none"/>
        </w:rPr>
        <w:t>。</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6.2.4 根据采购人确定的中标供应商，采购代理机构在四川政府采购网上发布中标公告，并</w:t>
      </w:r>
      <w:r>
        <w:rPr>
          <w:rFonts w:hint="eastAsia" w:ascii="宋体" w:hAnsi="宋体" w:eastAsia="宋体" w:cs="宋体"/>
          <w:color w:val="auto"/>
          <w:sz w:val="24"/>
          <w:szCs w:val="22"/>
          <w:highlight w:val="none"/>
          <w:lang w:val="en-US" w:eastAsia="zh-CN"/>
        </w:rPr>
        <w:t>在公告中标结果的同时向中标人发出中标通知书</w:t>
      </w:r>
      <w:r>
        <w:rPr>
          <w:rFonts w:hint="eastAsia" w:ascii="宋体" w:hAnsi="宋体" w:eastAsia="宋体" w:cs="宋体"/>
          <w:color w:val="auto"/>
          <w:sz w:val="24"/>
          <w:szCs w:val="22"/>
          <w:highlight w:val="none"/>
        </w:rPr>
        <w:t>。</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6.2.5中标结果公告期限为1个工作日。</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6.2.6 招标采购单位不退回投标人投标文件和其他投标资料。</w:t>
      </w:r>
    </w:p>
    <w:p>
      <w:pPr>
        <w:pStyle w:val="5"/>
        <w:spacing w:line="360" w:lineRule="auto"/>
        <w:ind w:firstLine="482" w:firstLineChars="200"/>
        <w:rPr>
          <w:rFonts w:hint="eastAsia" w:ascii="宋体" w:hAnsi="宋体" w:eastAsia="宋体" w:cs="宋体"/>
          <w:b/>
          <w:bCs/>
          <w:color w:val="auto"/>
          <w:sz w:val="24"/>
          <w:szCs w:val="24"/>
          <w:highlight w:val="none"/>
        </w:rPr>
      </w:pPr>
      <w:bookmarkStart w:id="1674" w:name="_Toc5521"/>
      <w:bookmarkStart w:id="1675" w:name="_Toc21884"/>
      <w:bookmarkStart w:id="1676" w:name="_Toc2291"/>
      <w:bookmarkStart w:id="1677" w:name="_Toc17054_WPSOffice_Level2"/>
      <w:bookmarkStart w:id="1678" w:name="_Toc7222"/>
      <w:bookmarkStart w:id="1679" w:name="_Toc1527"/>
      <w:bookmarkStart w:id="1680" w:name="_Toc17465"/>
      <w:r>
        <w:rPr>
          <w:rFonts w:hint="eastAsia" w:ascii="宋体" w:hAnsi="宋体" w:eastAsia="宋体" w:cs="宋体"/>
          <w:b/>
          <w:bCs/>
          <w:color w:val="auto"/>
          <w:sz w:val="24"/>
          <w:szCs w:val="24"/>
          <w:highlight w:val="none"/>
        </w:rPr>
        <w:t>7．中标</w:t>
      </w:r>
      <w:bookmarkEnd w:id="1674"/>
      <w:bookmarkEnd w:id="1675"/>
      <w:bookmarkEnd w:id="1676"/>
      <w:bookmarkEnd w:id="1677"/>
      <w:bookmarkEnd w:id="1678"/>
      <w:bookmarkEnd w:id="1679"/>
      <w:bookmarkEnd w:id="1680"/>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7.1中标人按代理机构要求领取中标通知书。</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7.2中标通知书发出后，采购人不得违法改变中标结果，中标人无正当理由不得放弃中标。</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7.3采购人应当自中标通知书发出之日起30日内，按照招标文件合和中标人投标文件的规定，与中标人签订书面合同。所签订的合同不得对招标文件确定的事项和中标人投标文件作实质性修改。</w:t>
      </w:r>
    </w:p>
    <w:p>
      <w:pPr>
        <w:spacing w:line="440" w:lineRule="exact"/>
        <w:ind w:firstLine="480" w:firstLineChars="200"/>
        <w:rPr>
          <w:rFonts w:hint="eastAsia" w:ascii="宋体" w:hAnsi="宋体" w:eastAsia="宋体" w:cs="宋体"/>
          <w:color w:val="auto"/>
          <w:highlight w:val="none"/>
        </w:rPr>
      </w:pPr>
      <w:r>
        <w:rPr>
          <w:rFonts w:hint="eastAsia" w:ascii="宋体" w:hAnsi="宋体" w:eastAsia="宋体" w:cs="宋体"/>
          <w:color w:val="auto"/>
          <w:sz w:val="24"/>
          <w:szCs w:val="22"/>
          <w:highlight w:val="none"/>
        </w:rPr>
        <w:t>7.4采购人不得向中标人提出任何不合理的要求作为签订合同的条件。</w:t>
      </w:r>
    </w:p>
    <w:bookmarkEnd w:id="1620"/>
    <w:p>
      <w:pPr>
        <w:pStyle w:val="5"/>
        <w:spacing w:line="360" w:lineRule="auto"/>
        <w:ind w:firstLine="482" w:firstLineChars="200"/>
        <w:rPr>
          <w:rFonts w:hint="eastAsia" w:ascii="宋体" w:hAnsi="宋体" w:eastAsia="宋体" w:cs="宋体"/>
          <w:b/>
          <w:bCs/>
          <w:color w:val="auto"/>
          <w:sz w:val="24"/>
          <w:szCs w:val="24"/>
          <w:highlight w:val="none"/>
        </w:rPr>
      </w:pPr>
      <w:bookmarkStart w:id="1681" w:name="_Toc217446105"/>
      <w:bookmarkStart w:id="1682" w:name="_Toc183682432"/>
      <w:bookmarkStart w:id="1683" w:name="_Toc183582297"/>
      <w:bookmarkStart w:id="1684" w:name="_Toc208849022"/>
      <w:bookmarkStart w:id="1685" w:name="_Toc8393"/>
      <w:bookmarkStart w:id="1686" w:name="_Toc24877"/>
      <w:bookmarkStart w:id="1687" w:name="_Toc11867"/>
      <w:bookmarkStart w:id="1688" w:name="_Toc22105"/>
      <w:bookmarkStart w:id="1689" w:name="_Toc4402"/>
      <w:bookmarkStart w:id="1690" w:name="_Toc4210"/>
      <w:bookmarkStart w:id="1691" w:name="_Toc2679_WPSOffice_Level2"/>
      <w:bookmarkStart w:id="1692" w:name="_Toc18113"/>
      <w:bookmarkStart w:id="1693" w:name="_Toc16588"/>
      <w:bookmarkStart w:id="1694" w:name="_Toc14479"/>
      <w:bookmarkStart w:id="1695" w:name="_Toc6548"/>
      <w:bookmarkStart w:id="1696" w:name="_Toc13849"/>
      <w:bookmarkStart w:id="1697" w:name="_Toc25346"/>
      <w:r>
        <w:rPr>
          <w:rFonts w:hint="eastAsia" w:ascii="宋体" w:hAnsi="宋体" w:eastAsia="宋体" w:cs="宋体"/>
          <w:b/>
          <w:bCs/>
          <w:color w:val="auto"/>
          <w:sz w:val="24"/>
          <w:szCs w:val="24"/>
          <w:highlight w:val="none"/>
        </w:rPr>
        <w:t xml:space="preserve">8、 </w:t>
      </w:r>
      <w:bookmarkEnd w:id="1681"/>
      <w:bookmarkEnd w:id="1682"/>
      <w:bookmarkEnd w:id="1683"/>
      <w:bookmarkEnd w:id="1684"/>
      <w:r>
        <w:rPr>
          <w:rFonts w:hint="eastAsia" w:ascii="宋体" w:hAnsi="宋体" w:eastAsia="宋体" w:cs="宋体"/>
          <w:b/>
          <w:bCs/>
          <w:color w:val="auto"/>
          <w:sz w:val="24"/>
          <w:szCs w:val="24"/>
          <w:highlight w:val="none"/>
        </w:rPr>
        <w:t>评标专家在政府采购活动中承担以下义务</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（一）遵纪守法，客观、公正、廉洁地履行职责。</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（二）按照政府采购法律法规和采购文件的规定要求对供应商的资格条件和供应商提供的产品价格、技术、服务等方面严格进行评判，提供科学合理、公平公正的评审意见，参与起草评审报告，并予签字确认。</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（三）保守秘密。不得透露采购文件咨询情况，不得泄漏供应商的投标文件及知悉的商业秘密，不得向供应商透露评审情况。</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（四）发现供应商在政府采购活动中有不正当竞争或恶意串通等违规行为，及时向政府采购评审工作的组织者或财政部门报告并加以制止。</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（五）发现采购人、政府采购代理机构及其工作人员在政府采购活动中有干预评审、发表倾向性和歧视性言论、受贿或者接受供应商的其他好处及其他违法违规行为，及时向财政部门报告。</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（六）解答有关方面对政府采购评审工作中有关问题的询问，配合采购人或者政府采购代理机构答复供应商质疑，配合财政部门的投诉处理工作等事宜。</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（七）法律、法规和规章规定的其他义务。</w:t>
      </w:r>
    </w:p>
    <w:p>
      <w:pPr>
        <w:pStyle w:val="5"/>
        <w:spacing w:line="360" w:lineRule="auto"/>
        <w:ind w:firstLine="482" w:firstLineChars="200"/>
        <w:rPr>
          <w:rFonts w:hint="eastAsia" w:ascii="宋体" w:hAnsi="宋体" w:eastAsia="宋体" w:cs="宋体"/>
          <w:b/>
          <w:bCs/>
          <w:color w:val="auto"/>
          <w:sz w:val="24"/>
          <w:szCs w:val="24"/>
          <w:highlight w:val="none"/>
        </w:rPr>
      </w:pPr>
      <w:bookmarkStart w:id="1698" w:name="_Toc32736"/>
      <w:bookmarkStart w:id="1699" w:name="_Toc8239"/>
      <w:bookmarkStart w:id="1700" w:name="_Toc17786"/>
      <w:bookmarkStart w:id="1701" w:name="_Toc10109"/>
      <w:bookmarkStart w:id="1702" w:name="_Toc31720"/>
      <w:bookmarkStart w:id="1703" w:name="_Toc5789"/>
      <w:bookmarkStart w:id="1704" w:name="_Toc11167_WPSOffice_Level2"/>
      <w:bookmarkStart w:id="1705" w:name="_Toc23619"/>
      <w:bookmarkStart w:id="1706" w:name="_Toc25555"/>
      <w:bookmarkStart w:id="1707" w:name="_Toc20368"/>
      <w:bookmarkStart w:id="1708" w:name="_Toc11198"/>
      <w:bookmarkStart w:id="1709" w:name="_Toc22463"/>
      <w:bookmarkStart w:id="1710" w:name="_Toc9914"/>
      <w:r>
        <w:rPr>
          <w:rFonts w:hint="eastAsia" w:ascii="宋体" w:hAnsi="宋体" w:eastAsia="宋体" w:cs="宋体"/>
          <w:b/>
          <w:bCs/>
          <w:color w:val="auto"/>
          <w:sz w:val="24"/>
          <w:szCs w:val="24"/>
          <w:highlight w:val="none"/>
        </w:rPr>
        <w:t>9、 评审专家在政府采购活动中应当遵守以下工作纪律</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（一）遵守《</w:t>
      </w:r>
      <w:r>
        <w:rPr>
          <w:rFonts w:hint="eastAsia" w:hAnsi="宋体" w:eastAsia="宋体" w:cs="宋体"/>
          <w:color w:val="auto"/>
          <w:sz w:val="24"/>
          <w:szCs w:val="22"/>
          <w:highlight w:val="none"/>
          <w:lang w:val="en-US" w:eastAsia="zh-CN"/>
        </w:rPr>
        <w:t>中华人民共和国</w:t>
      </w:r>
      <w:r>
        <w:rPr>
          <w:rFonts w:hint="eastAsia" w:ascii="宋体" w:hAnsi="宋体" w:eastAsia="宋体" w:cs="宋体"/>
          <w:color w:val="auto"/>
          <w:sz w:val="24"/>
          <w:szCs w:val="22"/>
          <w:highlight w:val="none"/>
        </w:rPr>
        <w:t>政府采购法》第十二条和《</w:t>
      </w:r>
      <w:r>
        <w:rPr>
          <w:rFonts w:hint="eastAsia" w:hAnsi="宋体" w:eastAsia="宋体" w:cs="宋体"/>
          <w:color w:val="auto"/>
          <w:sz w:val="24"/>
          <w:szCs w:val="22"/>
          <w:highlight w:val="none"/>
          <w:lang w:val="en-US" w:eastAsia="zh-CN"/>
        </w:rPr>
        <w:t>中华人民共和国</w:t>
      </w:r>
      <w:r>
        <w:rPr>
          <w:rFonts w:hint="eastAsia" w:ascii="宋体" w:hAnsi="宋体" w:eastAsia="宋体" w:cs="宋体"/>
          <w:color w:val="auto"/>
          <w:sz w:val="24"/>
          <w:szCs w:val="22"/>
          <w:highlight w:val="none"/>
        </w:rPr>
        <w:t>政府采购法实施条例》第九条及财政部关于回避的规定。</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（二）评标前，应当将通讯工具或者相关电子设备交由招标采购单位统一保管。</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（三）评标过程中，不得与外界联系，因发生不可预见情况，确实需要与外界联系的，应当在监督人员监督之下办理。</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（五）在评标过程中和评标结束后，不得记录、复制或带走任何评标资料，除因规定的义务外，不得向外界透露评标内容。</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（六）服从评标现场招标采购单位的现场秩序管理，接受评标现场监督人员的合法监督。</w:t>
      </w:r>
    </w:p>
    <w:p>
      <w:pPr>
        <w:spacing w:line="44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（七）遵守有关廉洁自律规定，不得私下接触供应商，不得收受供应商及有关业务单位和个人的财物或好处，不得接受采购组织单位的请托。</w:t>
      </w:r>
    </w:p>
    <w:p>
      <w:pPr>
        <w:spacing w:line="440" w:lineRule="exact"/>
        <w:ind w:firstLine="482" w:firstLineChars="200"/>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lang w:eastAsia="zh-CN"/>
        </w:rPr>
        <w:t>评标委员会</w:t>
      </w:r>
      <w:r>
        <w:rPr>
          <w:rFonts w:hint="eastAsia" w:ascii="宋体" w:hAnsi="宋体" w:eastAsia="宋体" w:cs="宋体"/>
          <w:b/>
          <w:bCs/>
          <w:color w:val="auto"/>
          <w:sz w:val="24"/>
          <w:szCs w:val="22"/>
          <w:highlight w:val="none"/>
        </w:rPr>
        <w:t>成员有前款第一至六项行为之一的，其评审意见无效，并不得获取评审劳务报酬和报销异地评审差旅费。</w:t>
      </w:r>
    </w:p>
    <w:p>
      <w:pPr>
        <w:pStyle w:val="20"/>
        <w:ind w:left="680"/>
        <w:rPr>
          <w:rFonts w:hint="eastAsia" w:ascii="宋体" w:hAnsi="宋体" w:eastAsia="宋体" w:cs="宋体"/>
          <w:color w:val="auto"/>
          <w:sz w:val="24"/>
          <w:szCs w:val="22"/>
          <w:highlight w:val="none"/>
        </w:rPr>
      </w:pPr>
    </w:p>
    <w:p>
      <w:pPr>
        <w:pStyle w:val="20"/>
        <w:ind w:left="680"/>
        <w:rPr>
          <w:rFonts w:hint="eastAsia" w:ascii="宋体" w:hAnsi="宋体" w:eastAsia="宋体" w:cs="宋体"/>
          <w:color w:val="auto"/>
          <w:sz w:val="24"/>
          <w:szCs w:val="22"/>
          <w:highlight w:val="none"/>
        </w:rPr>
      </w:pPr>
    </w:p>
    <w:p>
      <w:pPr>
        <w:pStyle w:val="20"/>
        <w:ind w:left="680"/>
        <w:rPr>
          <w:rFonts w:hint="eastAsia" w:ascii="宋体" w:hAnsi="宋体" w:eastAsia="宋体" w:cs="宋体"/>
          <w:color w:val="auto"/>
          <w:sz w:val="24"/>
          <w:szCs w:val="22"/>
          <w:highlight w:val="none"/>
        </w:rPr>
      </w:pPr>
    </w:p>
    <w:p>
      <w:pPr>
        <w:pStyle w:val="20"/>
        <w:ind w:left="680"/>
        <w:rPr>
          <w:rFonts w:hint="eastAsia" w:ascii="宋体" w:hAnsi="宋体" w:eastAsia="宋体" w:cs="宋体"/>
          <w:color w:val="auto"/>
          <w:sz w:val="24"/>
          <w:szCs w:val="22"/>
          <w:highlight w:val="none"/>
        </w:rPr>
      </w:pPr>
    </w:p>
    <w:p>
      <w:pPr>
        <w:pStyle w:val="20"/>
        <w:ind w:left="680"/>
        <w:rPr>
          <w:rFonts w:hint="eastAsia" w:ascii="宋体" w:hAnsi="宋体" w:eastAsia="宋体" w:cs="宋体"/>
          <w:color w:val="auto"/>
          <w:sz w:val="24"/>
          <w:szCs w:val="22"/>
          <w:highlight w:val="none"/>
        </w:rPr>
      </w:pPr>
    </w:p>
    <w:p>
      <w:pPr>
        <w:pStyle w:val="20"/>
        <w:ind w:left="680"/>
        <w:rPr>
          <w:rFonts w:hint="eastAsia" w:ascii="宋体" w:hAnsi="宋体" w:eastAsia="宋体" w:cs="宋体"/>
          <w:color w:val="auto"/>
          <w:sz w:val="24"/>
          <w:szCs w:val="22"/>
          <w:highlight w:val="none"/>
        </w:rPr>
      </w:pPr>
    </w:p>
    <w:p>
      <w:pPr>
        <w:pStyle w:val="20"/>
        <w:ind w:left="680"/>
        <w:rPr>
          <w:rFonts w:hint="eastAsia" w:ascii="宋体" w:hAnsi="宋体" w:eastAsia="宋体" w:cs="宋体"/>
          <w:color w:val="auto"/>
          <w:sz w:val="24"/>
          <w:szCs w:val="22"/>
          <w:highlight w:val="none"/>
        </w:rPr>
      </w:pPr>
    </w:p>
    <w:p>
      <w:pPr>
        <w:pStyle w:val="20"/>
        <w:ind w:left="680"/>
        <w:rPr>
          <w:rFonts w:hint="eastAsia" w:ascii="宋体" w:hAnsi="宋体" w:eastAsia="宋体" w:cs="宋体"/>
          <w:color w:val="auto"/>
          <w:sz w:val="24"/>
          <w:szCs w:val="22"/>
          <w:highlight w:val="none"/>
        </w:rPr>
      </w:pPr>
    </w:p>
    <w:p>
      <w:pPr>
        <w:pStyle w:val="20"/>
        <w:ind w:left="680"/>
        <w:rPr>
          <w:rFonts w:hint="eastAsia" w:ascii="宋体" w:hAnsi="宋体" w:eastAsia="宋体" w:cs="宋体"/>
          <w:color w:val="auto"/>
          <w:sz w:val="24"/>
          <w:szCs w:val="22"/>
          <w:highlight w:val="none"/>
        </w:rPr>
      </w:pPr>
    </w:p>
    <w:p>
      <w:pPr>
        <w:pStyle w:val="20"/>
        <w:ind w:left="680"/>
        <w:rPr>
          <w:rFonts w:hint="eastAsia" w:ascii="宋体" w:hAnsi="宋体" w:eastAsia="宋体" w:cs="宋体"/>
          <w:color w:val="auto"/>
          <w:sz w:val="24"/>
          <w:szCs w:val="22"/>
          <w:highlight w:val="none"/>
        </w:rPr>
      </w:pPr>
    </w:p>
    <w:p>
      <w:pPr>
        <w:pStyle w:val="20"/>
        <w:ind w:left="680"/>
        <w:rPr>
          <w:rFonts w:hint="eastAsia" w:ascii="宋体" w:hAnsi="宋体" w:eastAsia="宋体" w:cs="宋体"/>
          <w:color w:val="auto"/>
          <w:sz w:val="24"/>
          <w:szCs w:val="22"/>
          <w:highlight w:val="none"/>
        </w:rPr>
      </w:pPr>
    </w:p>
    <w:p>
      <w:pPr>
        <w:pStyle w:val="20"/>
        <w:ind w:left="680"/>
        <w:rPr>
          <w:rFonts w:hint="eastAsia" w:ascii="宋体" w:hAnsi="宋体" w:eastAsia="宋体" w:cs="宋体"/>
          <w:color w:val="auto"/>
          <w:sz w:val="24"/>
          <w:szCs w:val="22"/>
          <w:highlight w:val="none"/>
        </w:rPr>
      </w:pPr>
    </w:p>
    <w:p>
      <w:pPr>
        <w:pStyle w:val="20"/>
        <w:ind w:left="680"/>
        <w:rPr>
          <w:rFonts w:hint="eastAsia" w:ascii="宋体" w:hAnsi="宋体" w:eastAsia="宋体" w:cs="宋体"/>
          <w:color w:val="auto"/>
          <w:sz w:val="24"/>
          <w:szCs w:val="22"/>
          <w:highlight w:val="none"/>
        </w:rPr>
      </w:pPr>
    </w:p>
    <w:p>
      <w:pPr>
        <w:pStyle w:val="20"/>
        <w:ind w:left="680"/>
        <w:rPr>
          <w:rFonts w:hint="eastAsia" w:ascii="宋体" w:hAnsi="宋体" w:eastAsia="宋体" w:cs="宋体"/>
          <w:color w:val="auto"/>
          <w:sz w:val="24"/>
          <w:szCs w:val="22"/>
          <w:highlight w:val="none"/>
        </w:rPr>
      </w:pPr>
    </w:p>
    <w:p>
      <w:pPr>
        <w:pStyle w:val="20"/>
        <w:ind w:left="680"/>
        <w:rPr>
          <w:rFonts w:hint="eastAsia" w:ascii="宋体" w:hAnsi="宋体" w:eastAsia="宋体" w:cs="宋体"/>
          <w:color w:val="auto"/>
          <w:sz w:val="24"/>
          <w:szCs w:val="22"/>
          <w:highlight w:val="none"/>
        </w:rPr>
      </w:pPr>
    </w:p>
    <w:p>
      <w:pPr>
        <w:pStyle w:val="20"/>
        <w:ind w:left="680"/>
        <w:rPr>
          <w:rFonts w:hint="eastAsia" w:ascii="宋体" w:hAnsi="宋体" w:eastAsia="宋体" w:cs="宋体"/>
          <w:color w:val="auto"/>
          <w:sz w:val="24"/>
          <w:szCs w:val="22"/>
          <w:highlight w:val="none"/>
        </w:rPr>
      </w:pPr>
    </w:p>
    <w:p>
      <w:pPr>
        <w:pStyle w:val="20"/>
        <w:ind w:left="680"/>
        <w:rPr>
          <w:rFonts w:hint="eastAsia" w:ascii="宋体" w:hAnsi="宋体" w:eastAsia="宋体" w:cs="宋体"/>
          <w:color w:val="auto"/>
          <w:sz w:val="24"/>
          <w:szCs w:val="22"/>
          <w:highlight w:val="none"/>
        </w:rPr>
      </w:pPr>
    </w:p>
    <w:p>
      <w:pPr>
        <w:pStyle w:val="3"/>
        <w:jc w:val="center"/>
        <w:rPr>
          <w:rFonts w:hint="eastAsia" w:ascii="宋体" w:hAnsi="宋体" w:eastAsia="宋体" w:cs="宋体"/>
          <w:b/>
          <w:bCs w:val="0"/>
          <w:color w:val="auto"/>
          <w:highlight w:val="none"/>
        </w:rPr>
      </w:pPr>
      <w:bookmarkStart w:id="1711" w:name="_Toc4837"/>
      <w:bookmarkStart w:id="1712" w:name="_Toc26538"/>
      <w:bookmarkStart w:id="1713" w:name="_Toc6593"/>
      <w:bookmarkStart w:id="1714" w:name="_Toc13558"/>
      <w:bookmarkStart w:id="1715" w:name="_Toc31864_WPSOffice_Level1"/>
      <w:bookmarkStart w:id="1716" w:name="_Toc7651"/>
      <w:bookmarkStart w:id="1717" w:name="_Toc417904360"/>
      <w:r>
        <w:rPr>
          <w:rFonts w:hint="eastAsia" w:ascii="宋体" w:hAnsi="宋体" w:eastAsia="宋体" w:cs="宋体"/>
          <w:b/>
          <w:bCs w:val="0"/>
          <w:color w:val="auto"/>
          <w:highlight w:val="none"/>
        </w:rPr>
        <w:t>第</w:t>
      </w:r>
      <w:r>
        <w:rPr>
          <w:rFonts w:hint="eastAsia" w:ascii="宋体" w:hAnsi="宋体" w:eastAsia="宋体" w:cs="宋体"/>
          <w:b/>
          <w:bCs w:val="0"/>
          <w:color w:val="auto"/>
          <w:highlight w:val="none"/>
          <w:lang w:val="en-US" w:eastAsia="zh-CN"/>
        </w:rPr>
        <w:t>八</w:t>
      </w:r>
      <w:r>
        <w:rPr>
          <w:rFonts w:hint="eastAsia" w:ascii="宋体" w:hAnsi="宋体" w:eastAsia="宋体" w:cs="宋体"/>
          <w:b/>
          <w:bCs w:val="0"/>
          <w:color w:val="auto"/>
          <w:highlight w:val="none"/>
        </w:rPr>
        <w:t>章 政府采购合同须知</w:t>
      </w:r>
      <w:bookmarkEnd w:id="1711"/>
      <w:bookmarkEnd w:id="1712"/>
      <w:bookmarkEnd w:id="1713"/>
      <w:bookmarkEnd w:id="1714"/>
      <w:bookmarkEnd w:id="1715"/>
      <w:bookmarkEnd w:id="1716"/>
    </w:p>
    <w:p>
      <w:pPr>
        <w:rPr>
          <w:rFonts w:hint="eastAsia" w:ascii="宋体" w:hAnsi="宋体" w:eastAsia="宋体" w:cs="宋体"/>
          <w:color w:val="auto"/>
          <w:highlight w:val="none"/>
        </w:rPr>
      </w:pP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1、采购人与中标人应当于中标通知书发出之日起30个日历日内，依据招标文件、投标文件、以及评审过程中确定的事项签订政府采购合同。需要缴纳履约保证金的，应当</w:t>
      </w:r>
      <w:r>
        <w:rPr>
          <w:rFonts w:hint="eastAsia" w:hAnsi="宋体" w:eastAsia="宋体" w:cs="宋体"/>
          <w:color w:val="auto"/>
          <w:sz w:val="24"/>
          <w:szCs w:val="24"/>
          <w:highlight w:val="none"/>
          <w:lang w:val="en-US" w:eastAsia="zh-CN"/>
        </w:rPr>
        <w:t>按照招标文件规定</w:t>
      </w:r>
      <w:r>
        <w:rPr>
          <w:rFonts w:hint="eastAsia" w:ascii="宋体" w:hAnsi="宋体" w:eastAsia="宋体" w:cs="宋体"/>
          <w:color w:val="auto"/>
          <w:sz w:val="24"/>
          <w:szCs w:val="24"/>
          <w:highlight w:val="none"/>
        </w:rPr>
        <w:t>向采购人缴纳。</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与中标人除应当对规定的政府采购合同必备条款进行约定外，还应当对供应商提供的货物、工程和服务的名称、数量、单价和总价、规定和型号、主要技术参数及配置清单、履约时间和地点、验收时间和地点、验收标准和清单、付款时间和方式以及其他实质内容进行明确约定，并将这些约定内容事项所涉及合同当事人之间的权利义务在政府采购合同中充分体现。</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3、采购人与中标人之间约定的权利和义务，不得改变采购文件的规定要求、投标文件和评审、商定过程中的响应承认范围。</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采购人拒绝在规定时间内签订政府采购合同的，中标人可以依照有关民事法律的规定进行司法救济。中标人拒绝与采购人签订采购合同的，采购人可以按照评审报告推荐的成交侯选供应商排序，确定下一位成交侯选供应商为中标人，也可以重新开展政府采购活动。</w:t>
      </w:r>
    </w:p>
    <w:p>
      <w:pPr>
        <w:snapToGrid w:val="0"/>
        <w:spacing w:line="360" w:lineRule="auto"/>
        <w:ind w:firstLine="482" w:firstLineChars="20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5、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snapToGrid w:val="0"/>
        <w:spacing w:line="360" w:lineRule="auto"/>
        <w:ind w:firstLine="482" w:firstLineChars="20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6、采购人应当将政府采购合同副本自签订（双方当事人均已签字盖章）之日起7个工作日内通过四川政府采购网报同级财政部门备案。</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7、政府采购合同签订后，中标人应当严格按照政府采购合同的约定履约，保持质量、不得拖延、降低标准、以次充好。</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8、中标人履约结束后，采购人应当按照我省规定的程序进行履约验收。</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9、采购人应当按照政府采购合同的规定，及时向中标人支付采购资金。采购资金支付程序，按照有关财政资金支付管理的规定执行。</w:t>
      </w:r>
      <w:bookmarkEnd w:id="1717"/>
      <w:bookmarkStart w:id="1718" w:name="_Toc2345"/>
      <w:bookmarkStart w:id="1719" w:name="_Toc4698"/>
      <w:bookmarkStart w:id="1720" w:name="_Toc23735"/>
      <w:bookmarkStart w:id="1721" w:name="_Toc23495"/>
      <w:bookmarkStart w:id="1722" w:name="_Toc20905_WPSOffice_Level1"/>
    </w:p>
    <w:p>
      <w:pPr>
        <w:pStyle w:val="20"/>
        <w:rPr>
          <w:rFonts w:hint="eastAsia" w:ascii="宋体" w:hAnsi="宋体" w:eastAsia="宋体" w:cs="宋体"/>
          <w:color w:val="auto"/>
          <w:highlight w:val="none"/>
        </w:rPr>
      </w:pPr>
    </w:p>
    <w:p>
      <w:pPr>
        <w:pStyle w:val="3"/>
        <w:jc w:val="center"/>
        <w:rPr>
          <w:rFonts w:hint="eastAsia" w:ascii="宋体" w:hAnsi="宋体" w:eastAsia="宋体" w:cs="宋体"/>
          <w:b/>
          <w:bCs w:val="0"/>
          <w:color w:val="auto"/>
          <w:highlight w:val="none"/>
        </w:rPr>
      </w:pPr>
      <w:bookmarkStart w:id="1723" w:name="_Toc12868"/>
      <w:r>
        <w:rPr>
          <w:rFonts w:hint="eastAsia" w:ascii="宋体" w:hAnsi="宋体" w:eastAsia="宋体" w:cs="宋体"/>
          <w:b/>
          <w:bCs w:val="0"/>
          <w:color w:val="auto"/>
          <w:highlight w:val="none"/>
        </w:rPr>
        <w:t>第</w:t>
      </w:r>
      <w:r>
        <w:rPr>
          <w:rFonts w:hint="eastAsia" w:ascii="宋体" w:hAnsi="宋体" w:eastAsia="宋体" w:cs="宋体"/>
          <w:b/>
          <w:bCs w:val="0"/>
          <w:color w:val="auto"/>
          <w:highlight w:val="none"/>
          <w:lang w:val="en-US" w:eastAsia="zh-CN"/>
        </w:rPr>
        <w:t>九</w:t>
      </w:r>
      <w:r>
        <w:rPr>
          <w:rFonts w:hint="eastAsia" w:ascii="宋体" w:hAnsi="宋体" w:eastAsia="宋体" w:cs="宋体"/>
          <w:b/>
          <w:bCs w:val="0"/>
          <w:color w:val="auto"/>
          <w:highlight w:val="none"/>
        </w:rPr>
        <w:t>章  政府采购合同</w:t>
      </w:r>
      <w:bookmarkEnd w:id="1718"/>
      <w:r>
        <w:rPr>
          <w:rFonts w:hint="eastAsia" w:ascii="宋体" w:hAnsi="宋体" w:eastAsia="宋体" w:cs="宋体"/>
          <w:b/>
          <w:bCs w:val="0"/>
          <w:color w:val="auto"/>
          <w:highlight w:val="none"/>
        </w:rPr>
        <w:t>（参考）</w:t>
      </w:r>
      <w:bookmarkEnd w:id="1719"/>
      <w:bookmarkEnd w:id="1720"/>
      <w:bookmarkEnd w:id="1721"/>
      <w:bookmarkEnd w:id="1722"/>
      <w:bookmarkEnd w:id="1723"/>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（本合同</w:t>
      </w:r>
      <w:r>
        <w:rPr>
          <w:rFonts w:hint="eastAsia" w:ascii="宋体" w:hAnsi="宋体" w:eastAsia="宋体" w:cs="宋体"/>
          <w:b/>
          <w:color w:val="auto"/>
          <w:sz w:val="24"/>
          <w:highlight w:val="none"/>
          <w:lang w:val="en-US" w:eastAsia="zh-CN"/>
        </w:rPr>
        <w:t>格式仅供参考，可</w:t>
      </w:r>
      <w:r>
        <w:rPr>
          <w:rFonts w:hint="eastAsia" w:ascii="宋体" w:hAnsi="宋体" w:eastAsia="宋体" w:cs="宋体"/>
          <w:b/>
          <w:color w:val="auto"/>
          <w:sz w:val="24"/>
          <w:highlight w:val="none"/>
        </w:rPr>
        <w:t>由采购人和供应商根据</w:t>
      </w:r>
      <w:r>
        <w:rPr>
          <w:rFonts w:hint="eastAsia" w:ascii="宋体" w:hAnsi="宋体" w:eastAsia="宋体" w:cs="宋体"/>
          <w:b/>
          <w:color w:val="auto"/>
          <w:sz w:val="24"/>
          <w:highlight w:val="none"/>
          <w:lang w:val="en-US" w:eastAsia="zh-CN"/>
        </w:rPr>
        <w:t>招标</w:t>
      </w:r>
      <w:r>
        <w:rPr>
          <w:rFonts w:hint="eastAsia" w:ascii="宋体" w:hAnsi="宋体" w:eastAsia="宋体" w:cs="宋体"/>
          <w:b/>
          <w:color w:val="auto"/>
          <w:sz w:val="24"/>
          <w:highlight w:val="none"/>
        </w:rPr>
        <w:t>文件的要求和投标文件的响应科学合理签订</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lang w:val="en-US" w:eastAsia="zh-CN"/>
        </w:rPr>
        <w:t>但实质性内容不得变更</w:t>
      </w:r>
      <w:r>
        <w:rPr>
          <w:rFonts w:hint="eastAsia" w:ascii="宋体" w:hAnsi="宋体" w:eastAsia="宋体" w:cs="宋体"/>
          <w:b/>
          <w:color w:val="auto"/>
          <w:sz w:val="24"/>
          <w:highlight w:val="none"/>
        </w:rPr>
        <w:t>）</w:t>
      </w:r>
    </w:p>
    <w:p>
      <w:pPr>
        <w:spacing w:line="360" w:lineRule="auto"/>
        <w:jc w:val="both"/>
        <w:rPr>
          <w:rFonts w:hint="eastAsia" w:ascii="仿宋_GB2312" w:hAnsi="新宋体" w:eastAsia="仿宋_GB2312" w:cs="Times New Roman"/>
          <w:b/>
          <w:color w:val="auto"/>
          <w:kern w:val="2"/>
          <w:sz w:val="56"/>
          <w:szCs w:val="56"/>
        </w:rPr>
      </w:pPr>
    </w:p>
    <w:p>
      <w:pPr>
        <w:spacing w:line="360" w:lineRule="auto"/>
        <w:jc w:val="center"/>
        <w:rPr>
          <w:rFonts w:hint="eastAsia" w:ascii="仿宋_GB2312" w:hAnsi="新宋体" w:eastAsia="仿宋_GB2312" w:cs="Times New Roman"/>
          <w:b/>
          <w:color w:val="auto"/>
          <w:kern w:val="2"/>
          <w:sz w:val="56"/>
          <w:szCs w:val="56"/>
        </w:rPr>
      </w:pPr>
    </w:p>
    <w:p>
      <w:pPr>
        <w:spacing w:line="360" w:lineRule="auto"/>
        <w:jc w:val="center"/>
        <w:rPr>
          <w:rFonts w:ascii="仿宋_GB2312" w:hAnsi="新宋体" w:eastAsia="仿宋_GB2312" w:cs="Times New Roman"/>
          <w:b/>
          <w:color w:val="auto"/>
          <w:kern w:val="2"/>
          <w:sz w:val="56"/>
          <w:szCs w:val="56"/>
        </w:rPr>
      </w:pPr>
      <w:r>
        <w:rPr>
          <w:rFonts w:hint="eastAsia" w:ascii="仿宋_GB2312" w:hAnsi="新宋体" w:eastAsia="仿宋_GB2312" w:cs="Times New Roman"/>
          <w:b/>
          <w:color w:val="auto"/>
          <w:kern w:val="2"/>
          <w:sz w:val="56"/>
          <w:szCs w:val="56"/>
        </w:rPr>
        <w:t>规划设计合同</w:t>
      </w:r>
    </w:p>
    <w:p>
      <w:pPr>
        <w:spacing w:line="360" w:lineRule="auto"/>
        <w:jc w:val="center"/>
        <w:rPr>
          <w:rFonts w:ascii="仿宋_GB2312" w:hAnsi="Calibri" w:eastAsia="仿宋_GB2312" w:cs="Times New Roman"/>
          <w:b/>
          <w:color w:val="auto"/>
          <w:kern w:val="2"/>
          <w:sz w:val="32"/>
          <w:szCs w:val="32"/>
        </w:rPr>
      </w:pPr>
    </w:p>
    <w:p>
      <w:pPr>
        <w:spacing w:line="360" w:lineRule="auto"/>
        <w:jc w:val="center"/>
        <w:rPr>
          <w:rFonts w:ascii="仿宋_GB2312" w:hAnsi="Calibri" w:eastAsia="仿宋_GB2312" w:cs="Times New Roman"/>
          <w:b/>
          <w:color w:val="auto"/>
          <w:kern w:val="2"/>
          <w:sz w:val="32"/>
          <w:szCs w:val="32"/>
        </w:rPr>
      </w:pPr>
    </w:p>
    <w:p>
      <w:pPr>
        <w:spacing w:line="360" w:lineRule="auto"/>
        <w:jc w:val="center"/>
        <w:rPr>
          <w:rFonts w:ascii="仿宋_GB2312" w:hAnsi="Calibri" w:eastAsia="仿宋_GB2312" w:cs="Times New Roman"/>
          <w:b/>
          <w:color w:val="auto"/>
          <w:kern w:val="2"/>
          <w:sz w:val="32"/>
          <w:szCs w:val="32"/>
        </w:rPr>
      </w:pPr>
    </w:p>
    <w:p>
      <w:pPr>
        <w:spacing w:line="360" w:lineRule="auto"/>
        <w:jc w:val="center"/>
        <w:rPr>
          <w:rFonts w:ascii="仿宋_GB2312" w:hAnsi="Calibri" w:eastAsia="仿宋_GB2312" w:cs="Times New Roman"/>
          <w:b/>
          <w:color w:val="auto"/>
          <w:kern w:val="2"/>
          <w:sz w:val="32"/>
          <w:szCs w:val="32"/>
        </w:rPr>
      </w:pPr>
    </w:p>
    <w:p>
      <w:pPr>
        <w:widowControl/>
        <w:spacing w:before="158" w:after="153" w:line="323" w:lineRule="atLeast"/>
        <w:ind w:right="-120"/>
        <w:jc w:val="center"/>
        <w:textAlignment w:val="baseline"/>
        <w:rPr>
          <w:rFonts w:ascii="Times New Roman" w:hAnsi="Times New Roman" w:eastAsia="宋体" w:cs="Times New Roman"/>
          <w:color w:val="auto"/>
          <w:kern w:val="0"/>
          <w:sz w:val="18"/>
          <w:szCs w:val="18"/>
          <w:lang w:val="en-US" w:eastAsia="zh-CN" w:bidi="ar-SA"/>
        </w:rPr>
      </w:pPr>
    </w:p>
    <w:p>
      <w:pPr>
        <w:widowControl/>
        <w:spacing w:before="158" w:after="153" w:line="323" w:lineRule="atLeast"/>
        <w:ind w:right="-120"/>
        <w:jc w:val="center"/>
        <w:textAlignment w:val="baseline"/>
        <w:rPr>
          <w:rFonts w:ascii="Times New Roman" w:hAnsi="Times New Roman" w:eastAsia="宋体" w:cs="Times New Roman"/>
          <w:color w:val="auto"/>
          <w:kern w:val="0"/>
          <w:sz w:val="18"/>
          <w:szCs w:val="18"/>
          <w:lang w:val="en-US" w:eastAsia="zh-CN" w:bidi="ar-SA"/>
        </w:rPr>
      </w:pPr>
    </w:p>
    <w:p>
      <w:pPr>
        <w:widowControl/>
        <w:ind w:firstLine="643" w:firstLineChars="200"/>
        <w:jc w:val="left"/>
        <w:rPr>
          <w:rFonts w:ascii="仿宋_GB2312" w:hAnsi="Calibri" w:eastAsia="仿宋_GB2312" w:cs="Times New Roman"/>
          <w:b/>
          <w:color w:val="auto"/>
          <w:kern w:val="2"/>
          <w:sz w:val="32"/>
          <w:szCs w:val="32"/>
          <w:u w:val="single"/>
        </w:rPr>
      </w:pPr>
      <w:r>
        <w:rPr>
          <w:rFonts w:hint="eastAsia" w:ascii="仿宋_GB2312" w:hAnsi="Calibri" w:eastAsia="仿宋_GB2312" w:cs="Times New Roman"/>
          <w:b/>
          <w:color w:val="auto"/>
          <w:kern w:val="2"/>
          <w:sz w:val="32"/>
          <w:szCs w:val="32"/>
        </w:rPr>
        <w:t>合同编号：510132202100144</w:t>
      </w:r>
      <w:r>
        <w:rPr>
          <w:rFonts w:hint="eastAsia" w:ascii="仿宋_GB2312" w:hAnsi="Calibri" w:eastAsia="仿宋_GB2312" w:cs="Times New Roman"/>
          <w:b/>
          <w:color w:val="auto"/>
          <w:kern w:val="2"/>
          <w:sz w:val="32"/>
          <w:szCs w:val="32"/>
          <w:u w:val="single"/>
        </w:rPr>
        <w:t xml:space="preserve">                                      </w:t>
      </w:r>
    </w:p>
    <w:p>
      <w:pPr>
        <w:spacing w:line="480" w:lineRule="exact"/>
        <w:ind w:left="0" w:leftChars="0" w:firstLine="643" w:firstLineChars="200"/>
        <w:rPr>
          <w:rFonts w:ascii="仿宋_GB2312" w:hAnsi="Calibri" w:eastAsia="仿宋_GB2312" w:cs="Times New Roman"/>
          <w:b/>
          <w:color w:val="auto"/>
          <w:kern w:val="2"/>
          <w:sz w:val="32"/>
          <w:szCs w:val="32"/>
          <w:u w:val="single"/>
        </w:rPr>
      </w:pPr>
      <w:r>
        <w:rPr>
          <w:rFonts w:hint="eastAsia" w:ascii="仿宋_GB2312" w:hAnsi="Calibri" w:eastAsia="仿宋_GB2312" w:cs="Times New Roman"/>
          <w:b/>
          <w:color w:val="auto"/>
          <w:kern w:val="2"/>
          <w:sz w:val="32"/>
          <w:szCs w:val="32"/>
        </w:rPr>
        <w:t>项目名称：</w:t>
      </w:r>
      <w:r>
        <w:rPr>
          <w:rFonts w:hint="eastAsia" w:ascii="仿宋_GB2312" w:hAnsi="Calibri" w:eastAsia="仿宋_GB2312" w:cs="Times New Roman"/>
          <w:b/>
          <w:color w:val="auto"/>
          <w:kern w:val="2"/>
          <w:sz w:val="32"/>
          <w:szCs w:val="32"/>
          <w:u w:val="single"/>
        </w:rPr>
        <w:t>新津区城市更新总体规划及五津站、游河心</w:t>
      </w:r>
    </w:p>
    <w:p>
      <w:pPr>
        <w:spacing w:line="480" w:lineRule="exact"/>
        <w:ind w:left="0" w:leftChars="0" w:firstLine="643" w:firstLineChars="200"/>
        <w:rPr>
          <w:rFonts w:ascii="仿宋_GB2312" w:hAnsi="Calibri" w:eastAsia="仿宋_GB2312" w:cs="Times New Roman"/>
          <w:b/>
          <w:color w:val="auto"/>
          <w:kern w:val="2"/>
          <w:sz w:val="32"/>
          <w:szCs w:val="32"/>
          <w:u w:val="single"/>
        </w:rPr>
      </w:pPr>
      <w:r>
        <w:rPr>
          <w:rFonts w:hint="eastAsia" w:ascii="仿宋_GB2312" w:hAnsi="Calibri" w:eastAsia="仿宋_GB2312" w:cs="Times New Roman"/>
          <w:b/>
          <w:color w:val="auto"/>
          <w:kern w:val="2"/>
          <w:sz w:val="32"/>
          <w:szCs w:val="32"/>
          <w:u w:val="single"/>
        </w:rPr>
        <w:t>(五津长岛)更新片区实施规划</w:t>
      </w:r>
    </w:p>
    <w:p>
      <w:pPr>
        <w:spacing w:before="312" w:beforeLines="100" w:after="312" w:afterLines="100" w:line="480" w:lineRule="exact"/>
        <w:ind w:firstLine="643" w:firstLineChars="200"/>
        <w:jc w:val="left"/>
        <w:rPr>
          <w:rFonts w:ascii="仿宋_GB2312" w:hAnsi="Calibri" w:eastAsia="仿宋_GB2312" w:cs="Times New Roman"/>
          <w:b/>
          <w:color w:val="auto"/>
          <w:kern w:val="2"/>
          <w:sz w:val="32"/>
          <w:szCs w:val="32"/>
          <w:u w:val="single"/>
        </w:rPr>
      </w:pPr>
      <w:r>
        <w:rPr>
          <w:rFonts w:hint="eastAsia" w:ascii="仿宋_GB2312" w:hAnsi="Calibri" w:eastAsia="仿宋_GB2312" w:cs="Times New Roman"/>
          <w:b/>
          <w:color w:val="auto"/>
          <w:kern w:val="2"/>
          <w:sz w:val="32"/>
          <w:szCs w:val="32"/>
        </w:rPr>
        <w:t>发 包 人：</w:t>
      </w:r>
      <w:r>
        <w:rPr>
          <w:rFonts w:hint="eastAsia" w:ascii="仿宋_GB2312" w:hAnsi="Calibri" w:eastAsia="仿宋_GB2312" w:cs="Times New Roman"/>
          <w:b/>
          <w:color w:val="auto"/>
          <w:kern w:val="2"/>
          <w:sz w:val="32"/>
          <w:szCs w:val="32"/>
          <w:u w:val="single"/>
        </w:rPr>
        <w:t xml:space="preserve">                                      </w:t>
      </w:r>
    </w:p>
    <w:p>
      <w:pPr>
        <w:spacing w:before="312" w:beforeLines="100" w:after="312" w:afterLines="100" w:line="480" w:lineRule="exact"/>
        <w:ind w:firstLine="643" w:firstLineChars="200"/>
        <w:jc w:val="left"/>
        <w:rPr>
          <w:rFonts w:ascii="仿宋_GB2312" w:hAnsi="Calibri" w:eastAsia="仿宋_GB2312" w:cs="Times New Roman"/>
          <w:b/>
          <w:color w:val="auto"/>
          <w:kern w:val="2"/>
          <w:sz w:val="32"/>
          <w:szCs w:val="32"/>
          <w:u w:val="single"/>
        </w:rPr>
      </w:pPr>
      <w:r>
        <w:rPr>
          <w:rFonts w:hint="eastAsia" w:ascii="仿宋_GB2312" w:hAnsi="Calibri" w:eastAsia="仿宋_GB2312" w:cs="Times New Roman"/>
          <w:b/>
          <w:color w:val="auto"/>
          <w:kern w:val="2"/>
          <w:sz w:val="32"/>
          <w:szCs w:val="32"/>
        </w:rPr>
        <w:t>承 包 人：</w:t>
      </w:r>
      <w:r>
        <w:rPr>
          <w:rFonts w:hint="eastAsia" w:ascii="仿宋_GB2312" w:hAnsi="Calibri" w:eastAsia="仿宋_GB2312" w:cs="Times New Roman"/>
          <w:b/>
          <w:color w:val="auto"/>
          <w:kern w:val="2"/>
          <w:sz w:val="32"/>
          <w:szCs w:val="32"/>
          <w:u w:val="single"/>
        </w:rPr>
        <w:t xml:space="preserve">                                      </w:t>
      </w:r>
    </w:p>
    <w:p>
      <w:pPr>
        <w:spacing w:before="312" w:beforeLines="100" w:after="312" w:afterLines="100" w:line="480" w:lineRule="exact"/>
        <w:ind w:firstLine="643" w:firstLineChars="200"/>
        <w:rPr>
          <w:rFonts w:ascii="仿宋_GB2312" w:hAnsi="Calibri" w:eastAsia="仿宋_GB2312" w:cs="Times New Roman"/>
          <w:b/>
          <w:bCs/>
          <w:color w:val="auto"/>
          <w:kern w:val="2"/>
          <w:sz w:val="32"/>
          <w:szCs w:val="32"/>
          <w:u w:val="single"/>
        </w:rPr>
      </w:pPr>
      <w:r>
        <w:rPr>
          <w:rFonts w:hint="eastAsia" w:ascii="仿宋_GB2312" w:hAnsi="Calibri" w:eastAsia="仿宋_GB2312" w:cs="Times New Roman"/>
          <w:b/>
          <w:bCs/>
          <w:color w:val="auto"/>
          <w:kern w:val="2"/>
          <w:sz w:val="32"/>
          <w:szCs w:val="32"/>
        </w:rPr>
        <w:t>签订日期：</w:t>
      </w:r>
      <w:r>
        <w:rPr>
          <w:rFonts w:hint="eastAsia" w:ascii="仿宋_GB2312" w:hAnsi="Calibri" w:eastAsia="仿宋_GB2312" w:cs="Times New Roman"/>
          <w:b/>
          <w:bCs/>
          <w:color w:val="auto"/>
          <w:kern w:val="2"/>
          <w:sz w:val="32"/>
          <w:szCs w:val="32"/>
          <w:u w:val="single"/>
        </w:rPr>
        <w:t xml:space="preserve"> 2021年    月    日   </w:t>
      </w:r>
      <w:r>
        <w:rPr>
          <w:rFonts w:ascii="仿宋_GB2312" w:hAnsi="Calibri" w:eastAsia="仿宋_GB2312" w:cs="Times New Roman"/>
          <w:b/>
          <w:bCs/>
          <w:color w:val="auto"/>
          <w:kern w:val="2"/>
          <w:sz w:val="32"/>
          <w:szCs w:val="32"/>
          <w:u w:val="single"/>
        </w:rPr>
        <w:t xml:space="preserve">  </w:t>
      </w:r>
      <w:r>
        <w:rPr>
          <w:rFonts w:hint="eastAsia" w:ascii="仿宋_GB2312" w:hAnsi="Calibri" w:eastAsia="仿宋_GB2312" w:cs="Times New Roman"/>
          <w:b/>
          <w:bCs/>
          <w:color w:val="auto"/>
          <w:kern w:val="2"/>
          <w:sz w:val="32"/>
          <w:szCs w:val="32"/>
          <w:u w:val="single"/>
        </w:rPr>
        <w:t xml:space="preserve">   </w:t>
      </w:r>
      <w:r>
        <w:rPr>
          <w:rFonts w:ascii="仿宋_GB2312" w:hAnsi="Calibri" w:eastAsia="仿宋_GB2312" w:cs="Times New Roman"/>
          <w:b/>
          <w:bCs/>
          <w:color w:val="auto"/>
          <w:kern w:val="2"/>
          <w:sz w:val="32"/>
          <w:szCs w:val="32"/>
          <w:u w:val="single"/>
        </w:rPr>
        <w:t xml:space="preserve">     </w:t>
      </w:r>
    </w:p>
    <w:p>
      <w:pPr>
        <w:spacing w:line="640" w:lineRule="exact"/>
        <w:jc w:val="center"/>
        <w:rPr>
          <w:rFonts w:ascii="仿宋_GB2312" w:hAnsi="Calibri" w:eastAsia="仿宋_GB2312" w:cs="Times New Roman"/>
          <w:b/>
          <w:color w:val="auto"/>
          <w:kern w:val="2"/>
          <w:sz w:val="52"/>
          <w:szCs w:val="52"/>
        </w:rPr>
      </w:pPr>
    </w:p>
    <w:p>
      <w:pPr>
        <w:rPr>
          <w:rFonts w:ascii="黑体" w:hAnsi="黑体" w:eastAsia="黑体" w:cs="Times New Roman"/>
          <w:b/>
          <w:bCs/>
          <w:color w:val="auto"/>
          <w:kern w:val="2"/>
          <w:sz w:val="32"/>
          <w:szCs w:val="32"/>
        </w:rPr>
      </w:pPr>
      <w:r>
        <w:rPr>
          <w:rFonts w:hint="eastAsia" w:ascii="黑体" w:hAnsi="黑体" w:eastAsia="黑体" w:cs="Times New Roman"/>
          <w:b/>
          <w:bCs/>
          <w:color w:val="auto"/>
          <w:kern w:val="2"/>
          <w:sz w:val="32"/>
          <w:szCs w:val="32"/>
        </w:rPr>
        <w:br w:type="page"/>
      </w:r>
    </w:p>
    <w:p>
      <w:pPr>
        <w:spacing w:line="500" w:lineRule="exact"/>
        <w:ind w:firstLine="602" w:firstLineChars="150"/>
        <w:jc w:val="center"/>
        <w:rPr>
          <w:rFonts w:ascii="黑体" w:hAnsi="黑体" w:eastAsia="黑体" w:cs="Times New Roman"/>
          <w:b/>
          <w:bCs/>
          <w:color w:val="auto"/>
          <w:kern w:val="2"/>
          <w:sz w:val="40"/>
          <w:szCs w:val="40"/>
        </w:rPr>
      </w:pPr>
      <w:r>
        <w:rPr>
          <w:rFonts w:hint="eastAsia" w:ascii="黑体" w:hAnsi="黑体" w:eastAsia="黑体" w:cs="Times New Roman"/>
          <w:b/>
          <w:bCs/>
          <w:color w:val="auto"/>
          <w:kern w:val="2"/>
          <w:sz w:val="40"/>
          <w:szCs w:val="40"/>
        </w:rPr>
        <w:t>新津区城市更新总体规划及五津站、游河心</w:t>
      </w:r>
    </w:p>
    <w:p>
      <w:pPr>
        <w:spacing w:line="500" w:lineRule="exact"/>
        <w:ind w:firstLine="602" w:firstLineChars="150"/>
        <w:jc w:val="center"/>
        <w:rPr>
          <w:rFonts w:ascii="黑体" w:hAnsi="黑体" w:eastAsia="黑体" w:cs="Times New Roman"/>
          <w:b/>
          <w:bCs/>
          <w:color w:val="auto"/>
          <w:kern w:val="2"/>
          <w:sz w:val="40"/>
          <w:szCs w:val="40"/>
        </w:rPr>
      </w:pPr>
      <w:r>
        <w:rPr>
          <w:rFonts w:hint="eastAsia" w:ascii="黑体" w:hAnsi="黑体" w:eastAsia="黑体" w:cs="Times New Roman"/>
          <w:b/>
          <w:bCs/>
          <w:color w:val="auto"/>
          <w:kern w:val="2"/>
          <w:sz w:val="40"/>
          <w:szCs w:val="40"/>
        </w:rPr>
        <w:t>(五津长岛)更新片区实施规划项目</w:t>
      </w:r>
    </w:p>
    <w:p>
      <w:pPr>
        <w:spacing w:line="500" w:lineRule="exact"/>
        <w:jc w:val="center"/>
        <w:rPr>
          <w:rFonts w:ascii="黑体" w:hAnsi="黑体" w:eastAsia="黑体" w:cs="Times New Roman"/>
          <w:b/>
          <w:bCs/>
          <w:color w:val="auto"/>
          <w:kern w:val="2"/>
          <w:sz w:val="40"/>
          <w:szCs w:val="40"/>
        </w:rPr>
      </w:pPr>
      <w:r>
        <w:rPr>
          <w:rFonts w:hint="eastAsia" w:ascii="黑体" w:hAnsi="黑体" w:eastAsia="黑体" w:cs="Times New Roman"/>
          <w:b/>
          <w:bCs/>
          <w:color w:val="auto"/>
          <w:kern w:val="2"/>
          <w:sz w:val="40"/>
          <w:szCs w:val="40"/>
        </w:rPr>
        <w:t>规划设计合同</w:t>
      </w:r>
    </w:p>
    <w:p>
      <w:pPr>
        <w:spacing w:line="500" w:lineRule="exact"/>
        <w:ind w:firstLine="542" w:firstLineChars="150"/>
        <w:jc w:val="center"/>
        <w:rPr>
          <w:rFonts w:ascii="黑体" w:hAnsi="黑体" w:eastAsia="黑体" w:cs="Times New Roman"/>
          <w:b/>
          <w:bCs/>
          <w:color w:val="auto"/>
          <w:kern w:val="2"/>
          <w:sz w:val="36"/>
          <w:szCs w:val="36"/>
        </w:rPr>
      </w:pPr>
    </w:p>
    <w:p>
      <w:pPr>
        <w:spacing w:line="360" w:lineRule="auto"/>
        <w:ind w:firstLine="560" w:firstLineChars="200"/>
        <w:rPr>
          <w:rFonts w:ascii="仿宋" w:hAnsi="仿宋" w:eastAsia="仿宋" w:cs="Times New Roman"/>
          <w:color w:val="auto"/>
          <w:kern w:val="2"/>
          <w:sz w:val="28"/>
          <w:szCs w:val="24"/>
        </w:rPr>
      </w:pPr>
      <w:r>
        <w:rPr>
          <w:rFonts w:hint="eastAsia" w:ascii="仿宋" w:hAnsi="仿宋" w:eastAsia="仿宋" w:cs="Times New Roman"/>
          <w:color w:val="auto"/>
          <w:kern w:val="2"/>
          <w:sz w:val="28"/>
          <w:szCs w:val="24"/>
        </w:rPr>
        <w:t>根据《中华人民共和国政府采购法》、《中华人民共和国》及</w:t>
      </w:r>
      <w:r>
        <w:rPr>
          <w:rFonts w:hint="eastAsia"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项目的《招标》、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spacing w:before="156" w:line="360" w:lineRule="auto"/>
        <w:rPr>
          <w:rFonts w:ascii="仿宋" w:hAnsi="仿宋" w:eastAsia="仿宋" w:cs="Times New Roman"/>
          <w:b/>
          <w:color w:val="auto"/>
          <w:kern w:val="2"/>
          <w:sz w:val="28"/>
          <w:szCs w:val="24"/>
        </w:rPr>
      </w:pPr>
      <w:r>
        <w:rPr>
          <w:rFonts w:hint="eastAsia" w:ascii="仿宋" w:hAnsi="仿宋" w:eastAsia="仿宋" w:cs="Times New Roman"/>
          <w:b/>
          <w:color w:val="auto"/>
          <w:kern w:val="2"/>
          <w:sz w:val="28"/>
          <w:szCs w:val="24"/>
        </w:rPr>
        <w:t>第一条</w:t>
      </w:r>
      <w:r>
        <w:rPr>
          <w:rFonts w:ascii="仿宋" w:hAnsi="仿宋" w:eastAsia="仿宋" w:cs="Times New Roman"/>
          <w:b/>
          <w:color w:val="auto"/>
          <w:kern w:val="2"/>
          <w:sz w:val="28"/>
          <w:szCs w:val="24"/>
        </w:rPr>
        <w:t xml:space="preserve">  </w:t>
      </w:r>
      <w:r>
        <w:rPr>
          <w:rFonts w:hint="eastAsia" w:ascii="仿宋" w:hAnsi="仿宋" w:eastAsia="仿宋" w:cs="Times New Roman"/>
          <w:b/>
          <w:color w:val="auto"/>
          <w:kern w:val="2"/>
          <w:sz w:val="28"/>
          <w:szCs w:val="24"/>
        </w:rPr>
        <w:t>本合同签订依据</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1.1  </w:t>
      </w:r>
      <w:r>
        <w:rPr>
          <w:rFonts w:hint="eastAsia" w:ascii="仿宋" w:hAnsi="仿宋" w:eastAsia="仿宋" w:cs="Times New Roman"/>
          <w:color w:val="auto"/>
          <w:kern w:val="2"/>
          <w:sz w:val="28"/>
          <w:szCs w:val="24"/>
        </w:rPr>
        <w:t>《中华人民共和国》。</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1.2  </w:t>
      </w:r>
      <w:r>
        <w:rPr>
          <w:rFonts w:hint="eastAsia" w:ascii="仿宋" w:hAnsi="仿宋" w:eastAsia="仿宋" w:cs="Times New Roman"/>
          <w:color w:val="auto"/>
          <w:kern w:val="2"/>
          <w:sz w:val="28"/>
          <w:szCs w:val="24"/>
        </w:rPr>
        <w:t>《中华人民共和国城乡规划法》。</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1.3  </w:t>
      </w:r>
      <w:r>
        <w:rPr>
          <w:rFonts w:hint="eastAsia" w:ascii="仿宋" w:hAnsi="仿宋" w:eastAsia="仿宋" w:cs="Times New Roman"/>
          <w:color w:val="auto"/>
          <w:kern w:val="2"/>
          <w:sz w:val="28"/>
          <w:szCs w:val="24"/>
        </w:rPr>
        <w:t>国家及地方有关城市规划设计管理法规和规章。</w:t>
      </w:r>
    </w:p>
    <w:p>
      <w:pPr>
        <w:spacing w:before="156" w:line="360" w:lineRule="auto"/>
        <w:rPr>
          <w:rFonts w:ascii="仿宋" w:hAnsi="仿宋" w:eastAsia="仿宋" w:cs="Times New Roman"/>
          <w:b/>
          <w:color w:val="auto"/>
          <w:kern w:val="2"/>
          <w:sz w:val="28"/>
          <w:szCs w:val="24"/>
        </w:rPr>
      </w:pPr>
      <w:r>
        <w:rPr>
          <w:rFonts w:hint="eastAsia" w:ascii="仿宋" w:hAnsi="仿宋" w:eastAsia="仿宋" w:cs="Times New Roman"/>
          <w:b/>
          <w:color w:val="auto"/>
          <w:kern w:val="2"/>
          <w:sz w:val="28"/>
          <w:szCs w:val="24"/>
        </w:rPr>
        <w:t>第二条</w:t>
      </w:r>
      <w:r>
        <w:rPr>
          <w:rFonts w:ascii="仿宋" w:hAnsi="仿宋" w:eastAsia="仿宋" w:cs="Times New Roman"/>
          <w:b/>
          <w:color w:val="auto"/>
          <w:kern w:val="2"/>
          <w:sz w:val="28"/>
          <w:szCs w:val="24"/>
        </w:rPr>
        <w:t xml:space="preserve">  </w:t>
      </w:r>
      <w:r>
        <w:rPr>
          <w:rFonts w:hint="eastAsia" w:ascii="仿宋" w:hAnsi="仿宋" w:eastAsia="仿宋" w:cs="Times New Roman"/>
          <w:b/>
          <w:color w:val="auto"/>
          <w:kern w:val="2"/>
          <w:sz w:val="28"/>
          <w:szCs w:val="24"/>
        </w:rPr>
        <w:t>甲方向乙方提供的技术资料和工作条件</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2.1  </w:t>
      </w:r>
      <w:r>
        <w:rPr>
          <w:rFonts w:hint="eastAsia" w:ascii="仿宋" w:hAnsi="仿宋" w:eastAsia="仿宋" w:cs="Times New Roman"/>
          <w:color w:val="auto"/>
          <w:kern w:val="2"/>
          <w:sz w:val="28"/>
          <w:szCs w:val="24"/>
        </w:rPr>
        <w:t>本项目甲方向乙方提供主要技术资料，且提供的资料复印件由乙方随设计任务书一并归档，不再退还甲方。</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2.2  </w:t>
      </w:r>
      <w:r>
        <w:rPr>
          <w:rFonts w:hint="eastAsia" w:ascii="仿宋" w:hAnsi="仿宋" w:eastAsia="仿宋" w:cs="Times New Roman"/>
          <w:color w:val="auto"/>
          <w:kern w:val="2"/>
          <w:sz w:val="28"/>
          <w:szCs w:val="24"/>
        </w:rPr>
        <w:t>在本合同签订之日起</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工作日内，甲方向乙方提交本项目主要技术资料，并对所提供资料的完整性、正确性、时限性负责。若逾期提交上述材料，则工期应相应顺延。</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2.3  </w:t>
      </w:r>
      <w:r>
        <w:rPr>
          <w:rFonts w:hint="eastAsia" w:ascii="仿宋" w:hAnsi="仿宋" w:eastAsia="仿宋" w:cs="Times New Roman"/>
          <w:color w:val="auto"/>
          <w:kern w:val="2"/>
          <w:sz w:val="28"/>
          <w:szCs w:val="24"/>
        </w:rPr>
        <w:t>甲方应积极与相关部门协调，并安排专人协助乙方开展工作。</w:t>
      </w:r>
    </w:p>
    <w:p>
      <w:pPr>
        <w:spacing w:before="156" w:line="360" w:lineRule="auto"/>
        <w:rPr>
          <w:rFonts w:ascii="仿宋" w:hAnsi="仿宋" w:eastAsia="仿宋" w:cs="Times New Roman"/>
          <w:b/>
          <w:color w:val="auto"/>
          <w:kern w:val="2"/>
          <w:sz w:val="28"/>
          <w:szCs w:val="24"/>
        </w:rPr>
      </w:pPr>
      <w:r>
        <w:rPr>
          <w:rFonts w:hint="eastAsia" w:ascii="仿宋" w:hAnsi="仿宋" w:eastAsia="仿宋" w:cs="Times New Roman"/>
          <w:b/>
          <w:color w:val="auto"/>
          <w:kern w:val="2"/>
          <w:sz w:val="28"/>
          <w:szCs w:val="24"/>
        </w:rPr>
        <w:t>第三条</w:t>
      </w:r>
      <w:r>
        <w:rPr>
          <w:rFonts w:ascii="仿宋" w:hAnsi="仿宋" w:eastAsia="仿宋" w:cs="Times New Roman"/>
          <w:b/>
          <w:color w:val="auto"/>
          <w:kern w:val="2"/>
          <w:sz w:val="28"/>
          <w:szCs w:val="24"/>
        </w:rPr>
        <w:t xml:space="preserve">  </w:t>
      </w:r>
      <w:r>
        <w:rPr>
          <w:rFonts w:hint="eastAsia" w:ascii="仿宋" w:hAnsi="仿宋" w:eastAsia="仿宋" w:cs="Times New Roman"/>
          <w:b/>
          <w:color w:val="auto"/>
          <w:kern w:val="2"/>
          <w:sz w:val="28"/>
          <w:szCs w:val="24"/>
        </w:rPr>
        <w:t>乙方的工作内容、向甲方交付的规划文件及时间</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3.1  </w:t>
      </w:r>
      <w:r>
        <w:rPr>
          <w:rFonts w:hint="eastAsia" w:ascii="仿宋" w:hAnsi="仿宋" w:eastAsia="仿宋" w:cs="Times New Roman"/>
          <w:color w:val="auto"/>
          <w:kern w:val="2"/>
          <w:sz w:val="28"/>
          <w:szCs w:val="24"/>
        </w:rPr>
        <w:t>规划范围及规模</w:t>
      </w:r>
    </w:p>
    <w:p>
      <w:pPr>
        <w:spacing w:line="360" w:lineRule="auto"/>
        <w:ind w:firstLine="560" w:firstLineChars="200"/>
        <w:rPr>
          <w:rFonts w:ascii="仿宋" w:hAnsi="仿宋" w:eastAsia="仿宋" w:cs="Times New Roman"/>
          <w:color w:val="auto"/>
          <w:kern w:val="2"/>
          <w:sz w:val="28"/>
          <w:szCs w:val="24"/>
        </w:rPr>
      </w:pPr>
      <w:r>
        <w:rPr>
          <w:rFonts w:hint="eastAsia" w:ascii="仿宋" w:hAnsi="仿宋" w:eastAsia="仿宋" w:cs="Times New Roman"/>
          <w:color w:val="auto"/>
          <w:kern w:val="2"/>
          <w:sz w:val="28"/>
          <w:szCs w:val="24"/>
        </w:rPr>
        <w:t>项目地点：新津城区范围约74.74平方公里。</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3.2  </w:t>
      </w:r>
      <w:r>
        <w:rPr>
          <w:rFonts w:hint="eastAsia" w:ascii="仿宋" w:hAnsi="仿宋" w:eastAsia="仿宋" w:cs="Times New Roman"/>
          <w:color w:val="auto"/>
          <w:kern w:val="2"/>
          <w:sz w:val="28"/>
          <w:szCs w:val="24"/>
        </w:rPr>
        <w:t>规划深度及内容</w:t>
      </w:r>
    </w:p>
    <w:p>
      <w:pPr>
        <w:spacing w:line="360" w:lineRule="auto"/>
        <w:ind w:firstLine="560" w:firstLineChars="200"/>
        <w:rPr>
          <w:rFonts w:ascii="仿宋" w:hAnsi="仿宋" w:eastAsia="仿宋" w:cs="Times New Roman"/>
          <w:color w:val="auto"/>
          <w:kern w:val="2"/>
          <w:sz w:val="28"/>
          <w:szCs w:val="24"/>
        </w:rPr>
      </w:pPr>
      <w:r>
        <w:rPr>
          <w:rFonts w:hint="eastAsia" w:ascii="仿宋" w:hAnsi="仿宋" w:eastAsia="仿宋" w:cs="Times New Roman"/>
          <w:color w:val="auto"/>
          <w:kern w:val="2"/>
          <w:sz w:val="28"/>
          <w:szCs w:val="24"/>
        </w:rPr>
        <w:t>为推进新津区的城市更新工作，指导下一步更新工作的实施，区公园城市建设局拟开展新津区城市更新总体规划及五津站、游河心(五津长岛)更新片区实施规划。</w:t>
      </w:r>
    </w:p>
    <w:p>
      <w:pPr>
        <w:spacing w:line="360" w:lineRule="auto"/>
        <w:ind w:firstLine="560" w:firstLineChars="200"/>
        <w:rPr>
          <w:rFonts w:ascii="仿宋" w:hAnsi="仿宋" w:eastAsia="仿宋" w:cs="Times New Roman"/>
          <w:color w:val="auto"/>
          <w:kern w:val="2"/>
          <w:sz w:val="28"/>
          <w:szCs w:val="24"/>
        </w:rPr>
      </w:pPr>
      <w:r>
        <w:rPr>
          <w:rFonts w:hint="eastAsia" w:ascii="仿宋" w:hAnsi="仿宋" w:eastAsia="仿宋" w:cs="Times New Roman"/>
          <w:color w:val="auto"/>
          <w:kern w:val="2"/>
          <w:sz w:val="28"/>
          <w:szCs w:val="24"/>
        </w:rPr>
        <w:t>新津区城市更新总体规划的背景研究、现状研究及更新问题研究，同时提出更新规划重点与思路、更新策略、更新单元的划分、更新计划与实施建议；五津站、游河心(五津长岛)更新片区实施规划，包括现状分析、区域评估、产业功能建议、空间设计；老旧场镇综合整治规划研究及策划项目，包括老旧场镇综合整治专项研究和一个重点场镇发展策划。</w:t>
      </w:r>
    </w:p>
    <w:p>
      <w:pPr>
        <w:spacing w:line="360" w:lineRule="auto"/>
        <w:ind w:firstLine="560" w:firstLineChars="200"/>
        <w:rPr>
          <w:rFonts w:ascii="仿宋" w:hAnsi="仿宋" w:eastAsia="仿宋" w:cs="Times New Roman"/>
          <w:color w:val="auto"/>
          <w:kern w:val="2"/>
          <w:sz w:val="28"/>
          <w:szCs w:val="24"/>
        </w:rPr>
      </w:pPr>
      <w:r>
        <w:rPr>
          <w:rFonts w:hint="eastAsia" w:ascii="仿宋" w:hAnsi="仿宋" w:eastAsia="仿宋" w:cs="Times New Roman"/>
          <w:color w:val="auto"/>
          <w:kern w:val="2"/>
          <w:sz w:val="28"/>
          <w:szCs w:val="24"/>
        </w:rPr>
        <w:t>设计成果：汇报演示电子文件刻盘1张及图文合订3套。</w:t>
      </w:r>
    </w:p>
    <w:p>
      <w:pPr>
        <w:spacing w:line="360" w:lineRule="auto"/>
        <w:ind w:firstLine="560" w:firstLineChars="200"/>
        <w:rPr>
          <w:rFonts w:ascii="仿宋" w:hAnsi="仿宋" w:eastAsia="仿宋" w:cs="Times New Roman"/>
          <w:color w:val="auto"/>
          <w:kern w:val="2"/>
          <w:sz w:val="28"/>
          <w:szCs w:val="24"/>
        </w:rPr>
      </w:pPr>
      <w:r>
        <w:rPr>
          <w:rFonts w:hint="eastAsia" w:ascii="仿宋" w:hAnsi="仿宋" w:eastAsia="仿宋" w:cs="Times New Roman"/>
          <w:color w:val="auto"/>
          <w:kern w:val="2"/>
          <w:sz w:val="28"/>
          <w:szCs w:val="24"/>
        </w:rPr>
        <w:t>注：提供的设计成果要符合国家相关技术规范和行业标准。</w:t>
      </w:r>
    </w:p>
    <w:p>
      <w:pPr>
        <w:spacing w:line="360" w:lineRule="auto"/>
        <w:ind w:firstLine="560" w:firstLineChars="200"/>
        <w:rPr>
          <w:rFonts w:ascii="仿宋" w:hAnsi="仿宋" w:eastAsia="仿宋" w:cs="Times New Roman"/>
          <w:color w:val="auto"/>
          <w:kern w:val="2"/>
          <w:sz w:val="28"/>
          <w:szCs w:val="24"/>
        </w:rPr>
      </w:pPr>
      <w:r>
        <w:rPr>
          <w:rFonts w:hint="eastAsia" w:ascii="仿宋" w:hAnsi="仿宋" w:eastAsia="仿宋" w:cs="Times New Roman"/>
          <w:color w:val="auto"/>
          <w:kern w:val="2"/>
          <w:sz w:val="28"/>
          <w:szCs w:val="24"/>
        </w:rPr>
        <w:t>3.3设计进度安排：</w:t>
      </w:r>
    </w:p>
    <w:p>
      <w:pPr>
        <w:spacing w:line="360" w:lineRule="auto"/>
        <w:ind w:firstLine="560" w:firstLineChars="200"/>
        <w:rPr>
          <w:rFonts w:ascii="仿宋" w:hAnsi="仿宋" w:eastAsia="仿宋" w:cs="Times New Roman"/>
          <w:color w:val="auto"/>
          <w:kern w:val="2"/>
          <w:sz w:val="28"/>
          <w:szCs w:val="24"/>
        </w:rPr>
      </w:pPr>
      <w:r>
        <w:rPr>
          <w:rFonts w:hint="eastAsia" w:ascii="仿宋" w:hAnsi="仿宋" w:eastAsia="仿宋" w:cs="Times New Roman"/>
          <w:color w:val="auto"/>
          <w:kern w:val="2"/>
          <w:sz w:val="28"/>
          <w:szCs w:val="24"/>
        </w:rPr>
        <w:t>第一阶段：合同生效后</w:t>
      </w:r>
      <w:r>
        <w:rPr>
          <w:rFonts w:hint="eastAsia"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工作日内，完成规划设计初步成果，并提交甲方。</w:t>
      </w:r>
    </w:p>
    <w:p>
      <w:pPr>
        <w:spacing w:line="360" w:lineRule="auto"/>
        <w:ind w:firstLine="560" w:firstLineChars="200"/>
        <w:rPr>
          <w:rFonts w:ascii="仿宋" w:hAnsi="仿宋" w:eastAsia="仿宋" w:cs="Times New Roman"/>
          <w:color w:val="auto"/>
          <w:kern w:val="2"/>
          <w:sz w:val="28"/>
          <w:szCs w:val="24"/>
        </w:rPr>
      </w:pPr>
      <w:r>
        <w:rPr>
          <w:rFonts w:hint="eastAsia" w:ascii="仿宋" w:hAnsi="仿宋" w:eastAsia="仿宋" w:cs="Times New Roman"/>
          <w:color w:val="auto"/>
          <w:kern w:val="2"/>
          <w:sz w:val="28"/>
          <w:szCs w:val="24"/>
        </w:rPr>
        <w:t>第二阶段：根据甲方修改意见，乙方于</w:t>
      </w:r>
      <w:r>
        <w:rPr>
          <w:rFonts w:hint="eastAsia"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工作日完成规划设计完善深化成果；</w:t>
      </w:r>
    </w:p>
    <w:p>
      <w:pPr>
        <w:spacing w:line="360" w:lineRule="auto"/>
        <w:ind w:firstLine="560" w:firstLineChars="200"/>
        <w:rPr>
          <w:rFonts w:ascii="仿宋" w:hAnsi="仿宋" w:eastAsia="仿宋" w:cs="Times New Roman"/>
          <w:color w:val="auto"/>
          <w:kern w:val="2"/>
          <w:sz w:val="28"/>
          <w:szCs w:val="24"/>
        </w:rPr>
      </w:pPr>
      <w:r>
        <w:rPr>
          <w:rFonts w:hint="eastAsia" w:ascii="仿宋" w:hAnsi="仿宋" w:eastAsia="仿宋" w:cs="Times New Roman"/>
          <w:color w:val="auto"/>
          <w:kern w:val="2"/>
          <w:sz w:val="28"/>
          <w:szCs w:val="24"/>
        </w:rPr>
        <w:t>第三阶段：根据规委会审查意见，乙方于</w:t>
      </w:r>
      <w:r>
        <w:rPr>
          <w:rFonts w:hint="eastAsia"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工作日修改</w:t>
      </w:r>
      <w:r>
        <w:rPr>
          <w:rFonts w:ascii="仿宋" w:hAnsi="仿宋" w:eastAsia="仿宋" w:cs="Times New Roman"/>
          <w:color w:val="auto"/>
          <w:kern w:val="2"/>
          <w:sz w:val="28"/>
          <w:szCs w:val="24"/>
        </w:rPr>
        <w:t>合格并提交</w:t>
      </w:r>
      <w:r>
        <w:rPr>
          <w:rFonts w:hint="eastAsia" w:ascii="仿宋" w:hAnsi="仿宋" w:eastAsia="仿宋" w:cs="Times New Roman"/>
          <w:color w:val="auto"/>
          <w:kern w:val="2"/>
          <w:sz w:val="28"/>
          <w:szCs w:val="24"/>
        </w:rPr>
        <w:t>最终成果。</w:t>
      </w:r>
    </w:p>
    <w:p>
      <w:pPr>
        <w:spacing w:line="360" w:lineRule="auto"/>
        <w:ind w:firstLine="560" w:firstLineChars="200"/>
        <w:rPr>
          <w:rFonts w:ascii="Calibri" w:hAnsi="Calibri" w:eastAsia="宋体" w:cs="Times New Roman"/>
          <w:color w:val="auto"/>
          <w:kern w:val="2"/>
          <w:sz w:val="21"/>
          <w:szCs w:val="22"/>
        </w:rPr>
      </w:pPr>
      <w:r>
        <w:rPr>
          <w:rFonts w:hint="eastAsia" w:ascii="仿宋" w:hAnsi="仿宋" w:eastAsia="仿宋" w:cs="Times New Roman"/>
          <w:color w:val="auto"/>
          <w:kern w:val="2"/>
          <w:sz w:val="28"/>
          <w:szCs w:val="24"/>
        </w:rPr>
        <w:t>以上时间安排不包括甲乙双方方案的讨论、评议、等待甲方回复意见所需的时间。 因甲方或乙方原因推迟或延误时间，由甲方与乙方协商确定，项目进度顺延。如遇不可抗力原因造成工作延误，合同约定时间自然顺延，或重新约定。</w:t>
      </w:r>
    </w:p>
    <w:p>
      <w:pPr>
        <w:spacing w:before="156" w:line="360" w:lineRule="auto"/>
        <w:rPr>
          <w:rFonts w:ascii="仿宋" w:hAnsi="仿宋" w:eastAsia="仿宋" w:cs="Times New Roman"/>
          <w:b/>
          <w:color w:val="auto"/>
          <w:kern w:val="2"/>
          <w:sz w:val="28"/>
          <w:szCs w:val="24"/>
        </w:rPr>
      </w:pPr>
      <w:r>
        <w:rPr>
          <w:rFonts w:hint="eastAsia" w:ascii="仿宋" w:hAnsi="仿宋" w:eastAsia="仿宋" w:cs="Times New Roman"/>
          <w:b/>
          <w:color w:val="auto"/>
          <w:kern w:val="2"/>
          <w:sz w:val="28"/>
          <w:szCs w:val="24"/>
        </w:rPr>
        <w:t>第四条</w:t>
      </w:r>
      <w:r>
        <w:rPr>
          <w:rFonts w:ascii="仿宋" w:hAnsi="仿宋" w:eastAsia="仿宋" w:cs="Times New Roman"/>
          <w:b/>
          <w:color w:val="auto"/>
          <w:kern w:val="2"/>
          <w:sz w:val="28"/>
          <w:szCs w:val="24"/>
        </w:rPr>
        <w:t xml:space="preserve">  </w:t>
      </w:r>
      <w:r>
        <w:rPr>
          <w:rFonts w:hint="eastAsia" w:ascii="仿宋" w:hAnsi="仿宋" w:eastAsia="仿宋" w:cs="Times New Roman"/>
          <w:b/>
          <w:color w:val="auto"/>
          <w:kern w:val="2"/>
          <w:sz w:val="28"/>
          <w:szCs w:val="24"/>
        </w:rPr>
        <w:t>服务费用及支付方式</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4.1  </w:t>
      </w:r>
      <w:r>
        <w:rPr>
          <w:rFonts w:hint="eastAsia" w:ascii="仿宋" w:hAnsi="仿宋" w:eastAsia="仿宋" w:cs="Times New Roman"/>
          <w:color w:val="auto"/>
          <w:kern w:val="2"/>
          <w:sz w:val="28"/>
          <w:szCs w:val="24"/>
        </w:rPr>
        <w:t>服务费用</w:t>
      </w:r>
    </w:p>
    <w:p>
      <w:pPr>
        <w:spacing w:line="360" w:lineRule="auto"/>
        <w:ind w:firstLine="560" w:firstLineChars="200"/>
        <w:rPr>
          <w:rFonts w:ascii="仿宋" w:hAnsi="仿宋" w:eastAsia="仿宋" w:cs="Times New Roman"/>
          <w:color w:val="auto"/>
          <w:kern w:val="2"/>
          <w:sz w:val="28"/>
          <w:szCs w:val="24"/>
        </w:rPr>
      </w:pPr>
      <w:r>
        <w:rPr>
          <w:rFonts w:hint="eastAsia" w:ascii="仿宋" w:hAnsi="仿宋" w:eastAsia="仿宋" w:cs="Times New Roman"/>
          <w:color w:val="auto"/>
          <w:kern w:val="2"/>
          <w:sz w:val="28"/>
          <w:szCs w:val="24"/>
        </w:rPr>
        <w:t>甲方向乙方支付本项目服务费用为</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u w:val="single"/>
        </w:rPr>
        <w:t xml:space="preserve">    </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元（大写：人民币</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u w:val="single"/>
        </w:rPr>
        <w:t xml:space="preserve">     </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元整）。以上费用为乙方完成本合同约定义务的全部费用，包括但不限于人工、材料、资料、设计、税费、修改、完善、复审、后期指导、咨询等，除该费用外，乙方不得以任何理由要求甲方另行支付其他费用。</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4.2  </w:t>
      </w:r>
      <w:r>
        <w:rPr>
          <w:rFonts w:hint="eastAsia" w:ascii="仿宋" w:hAnsi="仿宋" w:eastAsia="仿宋" w:cs="Times New Roman"/>
          <w:color w:val="auto"/>
          <w:kern w:val="2"/>
          <w:sz w:val="28"/>
          <w:szCs w:val="24"/>
        </w:rPr>
        <w:t>乙方应在甲方付款前向甲方提交正式全额完税发票，否则甲方有权拒绝付款，且无需承担任何违约责任，乙方不得因此影响规划设计工作的进展。</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4.3  </w:t>
      </w:r>
      <w:r>
        <w:rPr>
          <w:rFonts w:hint="eastAsia" w:ascii="仿宋" w:hAnsi="仿宋" w:eastAsia="仿宋" w:cs="Times New Roman"/>
          <w:color w:val="auto"/>
          <w:kern w:val="2"/>
          <w:sz w:val="28"/>
          <w:szCs w:val="24"/>
        </w:rPr>
        <w:t>服务费用支付方式</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105"/>
        <w:gridCol w:w="5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466" w:type="dxa"/>
            <w:noWrap w:val="0"/>
            <w:vAlign w:val="center"/>
          </w:tcPr>
          <w:p>
            <w:pPr>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付费次序</w:t>
            </w:r>
          </w:p>
        </w:tc>
        <w:tc>
          <w:tcPr>
            <w:tcW w:w="1133" w:type="dxa"/>
            <w:noWrap w:val="0"/>
            <w:vAlign w:val="center"/>
          </w:tcPr>
          <w:p>
            <w:pPr>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付费额</w:t>
            </w:r>
          </w:p>
        </w:tc>
        <w:tc>
          <w:tcPr>
            <w:tcW w:w="6217" w:type="dxa"/>
            <w:noWrap w:val="0"/>
            <w:vAlign w:val="center"/>
          </w:tcPr>
          <w:p>
            <w:pPr>
              <w:spacing w:line="360" w:lineRule="auto"/>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付费时间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466" w:type="dxa"/>
            <w:noWrap w:val="0"/>
            <w:vAlign w:val="center"/>
          </w:tcPr>
          <w:p>
            <w:pPr>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第一次付费</w:t>
            </w:r>
          </w:p>
        </w:tc>
        <w:tc>
          <w:tcPr>
            <w:tcW w:w="1133" w:type="dxa"/>
            <w:noWrap w:val="0"/>
            <w:vAlign w:val="center"/>
          </w:tcPr>
          <w:p>
            <w:pPr>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w:t>
            </w:r>
          </w:p>
        </w:tc>
        <w:tc>
          <w:tcPr>
            <w:tcW w:w="6217" w:type="dxa"/>
            <w:noWrap w:val="0"/>
            <w:vAlign w:val="center"/>
          </w:tcPr>
          <w:p>
            <w:pPr>
              <w:spacing w:line="400" w:lineRule="exact"/>
              <w:rPr>
                <w:rFonts w:ascii="宋体" w:hAnsi="宋体" w:eastAsia="宋体" w:cs="Times New Roman"/>
                <w:color w:val="auto"/>
                <w:kern w:val="2"/>
                <w:sz w:val="21"/>
                <w:szCs w:val="21"/>
              </w:rPr>
            </w:pPr>
            <w:r>
              <w:rPr>
                <w:rFonts w:hint="eastAsia" w:ascii="宋体" w:hAnsi="宋体" w:eastAsia="宋体" w:cs="宋体"/>
                <w:color w:val="auto"/>
                <w:kern w:val="2"/>
                <w:sz w:val="21"/>
                <w:szCs w:val="21"/>
              </w:rPr>
              <w:t>签订合同后，且甲方收到乙方提供的等额正式发票起30日内，甲方支付合同总价的30%。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1466" w:type="dxa"/>
            <w:noWrap w:val="0"/>
            <w:vAlign w:val="center"/>
          </w:tcPr>
          <w:p>
            <w:pPr>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第二次付费</w:t>
            </w:r>
          </w:p>
        </w:tc>
        <w:tc>
          <w:tcPr>
            <w:tcW w:w="1133" w:type="dxa"/>
            <w:noWrap w:val="0"/>
            <w:vAlign w:val="center"/>
          </w:tcPr>
          <w:p>
            <w:pPr>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w:t>
            </w:r>
          </w:p>
        </w:tc>
        <w:tc>
          <w:tcPr>
            <w:tcW w:w="6217" w:type="dxa"/>
            <w:noWrap w:val="0"/>
            <w:vAlign w:val="center"/>
          </w:tcPr>
          <w:p>
            <w:pPr>
              <w:spacing w:line="400" w:lineRule="exact"/>
              <w:rPr>
                <w:rFonts w:ascii="宋体" w:hAnsi="宋体" w:eastAsia="宋体" w:cs="宋体"/>
                <w:color w:val="auto"/>
                <w:kern w:val="2"/>
                <w:sz w:val="21"/>
                <w:szCs w:val="21"/>
              </w:rPr>
            </w:pPr>
            <w:r>
              <w:rPr>
                <w:rFonts w:hint="eastAsia" w:ascii="宋体" w:hAnsi="宋体" w:eastAsia="宋体" w:cs="宋体"/>
                <w:color w:val="auto"/>
                <w:kern w:val="2"/>
                <w:sz w:val="21"/>
                <w:szCs w:val="21"/>
              </w:rPr>
              <w:t>本次服务项目，乙方提交新津城市更新总体规划初步成果文件后，且甲方自收到乙方提供的等额正式发票起30日内，甲方</w:t>
            </w:r>
            <w:r>
              <w:rPr>
                <w:rFonts w:hint="eastAsia" w:ascii="宋体" w:hAnsi="宋体" w:eastAsia="宋体" w:cs="宋体"/>
                <w:color w:val="auto"/>
                <w:kern w:val="2"/>
                <w:sz w:val="21"/>
                <w:szCs w:val="21"/>
                <w:lang w:eastAsia="zh-Hans"/>
              </w:rPr>
              <w:t>支付</w:t>
            </w:r>
            <w:r>
              <w:rPr>
                <w:rFonts w:hint="eastAsia" w:ascii="宋体" w:hAnsi="宋体" w:eastAsia="宋体" w:cs="宋体"/>
                <w:color w:val="auto"/>
                <w:kern w:val="2"/>
                <w:sz w:val="21"/>
                <w:szCs w:val="21"/>
              </w:rPr>
              <w:t>合同总额</w:t>
            </w:r>
            <w:r>
              <w:rPr>
                <w:rFonts w:hint="eastAsia" w:ascii="宋体" w:hAnsi="宋体" w:eastAsia="宋体" w:cs="宋体"/>
                <w:color w:val="auto"/>
                <w:kern w:val="2"/>
                <w:sz w:val="21"/>
                <w:szCs w:val="21"/>
                <w:lang w:eastAsia="zh-Hans"/>
              </w:rPr>
              <w:t>的</w:t>
            </w:r>
            <w:r>
              <w:rPr>
                <w:rFonts w:hint="eastAsia" w:hAnsi="宋体" w:eastAsia="宋体" w:cs="宋体"/>
                <w:color w:val="auto"/>
                <w:kern w:val="2"/>
                <w:sz w:val="21"/>
                <w:szCs w:val="21"/>
                <w:lang w:val="en-US" w:eastAsia="zh-CN"/>
              </w:rPr>
              <w:t>15</w:t>
            </w:r>
            <w:r>
              <w:rPr>
                <w:rFonts w:hint="eastAsia" w:ascii="宋体" w:hAnsi="宋体" w:eastAsia="宋体" w:cs="宋体"/>
                <w:color w:val="auto"/>
                <w:kern w:val="2"/>
                <w:sz w:val="21"/>
                <w:szCs w:val="21"/>
              </w:rPr>
              <w:t>%；</w:t>
            </w:r>
          </w:p>
          <w:p>
            <w:pPr>
              <w:widowControl/>
              <w:spacing w:line="400" w:lineRule="exact"/>
              <w:jc w:val="both"/>
              <w:rPr>
                <w:rFonts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提交五津站更新片区实施规划初步成果文件后，且甲方自收到乙方提供的等额正式发票起30日内，甲方</w:t>
            </w:r>
            <w:r>
              <w:rPr>
                <w:rFonts w:hint="eastAsia" w:ascii="宋体" w:hAnsi="宋体" w:eastAsia="宋体" w:cs="宋体"/>
                <w:color w:val="auto"/>
                <w:kern w:val="2"/>
                <w:sz w:val="21"/>
                <w:szCs w:val="21"/>
                <w:lang w:val="en-US" w:eastAsia="zh-Hans" w:bidi="ar-SA"/>
              </w:rPr>
              <w:t>支付</w:t>
            </w:r>
            <w:r>
              <w:rPr>
                <w:rFonts w:hint="eastAsia" w:ascii="宋体" w:hAnsi="宋体" w:eastAsia="宋体" w:cs="宋体"/>
                <w:color w:val="auto"/>
                <w:kern w:val="2"/>
                <w:sz w:val="21"/>
                <w:szCs w:val="21"/>
                <w:lang w:val="en-US" w:eastAsia="zh-CN" w:bidi="ar-SA"/>
              </w:rPr>
              <w:t>合同总额</w:t>
            </w:r>
            <w:r>
              <w:rPr>
                <w:rFonts w:hint="eastAsia" w:ascii="宋体" w:hAnsi="宋体" w:eastAsia="宋体" w:cs="宋体"/>
                <w:color w:val="auto"/>
                <w:kern w:val="2"/>
                <w:sz w:val="21"/>
                <w:szCs w:val="21"/>
                <w:lang w:val="en-US" w:eastAsia="zh-Hans" w:bidi="ar-SA"/>
              </w:rPr>
              <w:t>的</w:t>
            </w:r>
            <w:r>
              <w:rPr>
                <w:rFonts w:hint="eastAsia" w:hAnsi="宋体" w:eastAsia="宋体" w:cs="宋体"/>
                <w:color w:val="auto"/>
                <w:kern w:val="2"/>
                <w:sz w:val="21"/>
                <w:szCs w:val="21"/>
                <w:lang w:val="en-US" w:eastAsia="zh-CN" w:bidi="ar-SA"/>
              </w:rPr>
              <w:t>5</w:t>
            </w:r>
            <w:r>
              <w:rPr>
                <w:rFonts w:hint="eastAsia" w:ascii="宋体" w:hAnsi="宋体" w:eastAsia="宋体" w:cs="宋体"/>
                <w:color w:val="auto"/>
                <w:kern w:val="2"/>
                <w:sz w:val="21"/>
                <w:szCs w:val="21"/>
                <w:lang w:val="en-US" w:eastAsia="zh-CN" w:bidi="ar-SA"/>
              </w:rPr>
              <w:t>%；</w:t>
            </w:r>
          </w:p>
          <w:p>
            <w:pPr>
              <w:widowControl/>
              <w:spacing w:line="400" w:lineRule="exact"/>
              <w:jc w:val="both"/>
              <w:rPr>
                <w:rFonts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提交</w:t>
            </w:r>
            <w:r>
              <w:rPr>
                <w:rFonts w:hint="eastAsia" w:ascii="Calibri" w:hAnsi="Calibri" w:eastAsia="宋体" w:cs="Times New Roman"/>
                <w:color w:val="auto"/>
                <w:kern w:val="2"/>
                <w:sz w:val="21"/>
                <w:szCs w:val="22"/>
                <w:lang w:val="en-US" w:eastAsia="zh-CN" w:bidi="ar-SA"/>
              </w:rPr>
              <w:t>游河心（五津长岛）更新片区实施规划</w:t>
            </w:r>
            <w:r>
              <w:rPr>
                <w:rFonts w:hint="eastAsia" w:ascii="宋体" w:hAnsi="宋体" w:eastAsia="宋体" w:cs="宋体"/>
                <w:color w:val="auto"/>
                <w:kern w:val="2"/>
                <w:sz w:val="21"/>
                <w:szCs w:val="21"/>
                <w:lang w:val="en-US" w:eastAsia="zh-CN" w:bidi="ar-SA"/>
              </w:rPr>
              <w:t>初步成果文件后，且甲方自收到乙方提供的等额正式发票起30日内，甲方</w:t>
            </w:r>
            <w:r>
              <w:rPr>
                <w:rFonts w:hint="eastAsia" w:ascii="宋体" w:hAnsi="宋体" w:eastAsia="宋体" w:cs="宋体"/>
                <w:color w:val="auto"/>
                <w:kern w:val="2"/>
                <w:sz w:val="21"/>
                <w:szCs w:val="21"/>
                <w:lang w:val="en-US" w:eastAsia="zh-Hans" w:bidi="ar-SA"/>
              </w:rPr>
              <w:t>支付</w:t>
            </w:r>
            <w:r>
              <w:rPr>
                <w:rFonts w:hint="eastAsia" w:ascii="宋体" w:hAnsi="宋体" w:eastAsia="宋体" w:cs="宋体"/>
                <w:color w:val="auto"/>
                <w:kern w:val="2"/>
                <w:sz w:val="21"/>
                <w:szCs w:val="21"/>
                <w:lang w:val="en-US" w:eastAsia="zh-CN" w:bidi="ar-SA"/>
              </w:rPr>
              <w:t>合同总额</w:t>
            </w:r>
            <w:r>
              <w:rPr>
                <w:rFonts w:hint="eastAsia" w:ascii="宋体" w:hAnsi="宋体" w:eastAsia="宋体" w:cs="宋体"/>
                <w:color w:val="auto"/>
                <w:kern w:val="2"/>
                <w:sz w:val="21"/>
                <w:szCs w:val="21"/>
                <w:lang w:val="en-US" w:eastAsia="zh-Hans" w:bidi="ar-SA"/>
              </w:rPr>
              <w:t>的</w:t>
            </w:r>
            <w:r>
              <w:rPr>
                <w:rFonts w:hint="eastAsia" w:hAnsi="宋体" w:eastAsia="宋体" w:cs="宋体"/>
                <w:color w:val="auto"/>
                <w:kern w:val="2"/>
                <w:sz w:val="21"/>
                <w:szCs w:val="21"/>
                <w:lang w:val="en-US" w:eastAsia="zh-CN" w:bidi="ar-SA"/>
              </w:rPr>
              <w:t>5</w:t>
            </w:r>
            <w:r>
              <w:rPr>
                <w:rFonts w:hint="eastAsia" w:ascii="宋体" w:hAnsi="宋体" w:eastAsia="宋体" w:cs="宋体"/>
                <w:color w:val="auto"/>
                <w:kern w:val="2"/>
                <w:sz w:val="21"/>
                <w:szCs w:val="21"/>
                <w:lang w:val="en-US" w:eastAsia="zh-CN" w:bidi="ar-SA"/>
              </w:rPr>
              <w:t>%；</w:t>
            </w:r>
          </w:p>
          <w:p>
            <w:pPr>
              <w:widowControl/>
              <w:spacing w:line="400" w:lineRule="exact"/>
              <w:jc w:val="both"/>
              <w:rPr>
                <w:rFonts w:ascii="宋体" w:hAnsi="宋体"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提交老旧场镇综合整治规划研究及策划初步成果文件后，且甲方自收到乙方提供的等额正式发票起30日内，甲方</w:t>
            </w:r>
            <w:r>
              <w:rPr>
                <w:rFonts w:hint="eastAsia" w:ascii="宋体" w:hAnsi="宋体" w:eastAsia="宋体" w:cs="宋体"/>
                <w:color w:val="auto"/>
                <w:kern w:val="2"/>
                <w:sz w:val="21"/>
                <w:szCs w:val="21"/>
                <w:lang w:val="en-US" w:eastAsia="zh-Hans" w:bidi="ar-SA"/>
              </w:rPr>
              <w:t>支付</w:t>
            </w:r>
            <w:r>
              <w:rPr>
                <w:rFonts w:hint="eastAsia" w:ascii="宋体" w:hAnsi="宋体" w:eastAsia="宋体" w:cs="宋体"/>
                <w:color w:val="auto"/>
                <w:kern w:val="2"/>
                <w:sz w:val="21"/>
                <w:szCs w:val="21"/>
                <w:lang w:val="en-US" w:eastAsia="zh-CN" w:bidi="ar-SA"/>
              </w:rPr>
              <w:t>合同总额</w:t>
            </w:r>
            <w:r>
              <w:rPr>
                <w:rFonts w:hint="eastAsia" w:ascii="宋体" w:hAnsi="宋体" w:eastAsia="宋体" w:cs="宋体"/>
                <w:color w:val="auto"/>
                <w:kern w:val="2"/>
                <w:sz w:val="21"/>
                <w:szCs w:val="21"/>
                <w:lang w:val="en-US" w:eastAsia="zh-Hans" w:bidi="ar-SA"/>
              </w:rPr>
              <w:t>的</w:t>
            </w:r>
            <w:r>
              <w:rPr>
                <w:rFonts w:hint="eastAsia" w:hAnsi="宋体" w:eastAsia="宋体" w:cs="宋体"/>
                <w:color w:val="auto"/>
                <w:kern w:val="2"/>
                <w:sz w:val="21"/>
                <w:szCs w:val="21"/>
                <w:lang w:val="en-US" w:eastAsia="zh-CN" w:bidi="ar-SA"/>
              </w:rPr>
              <w:t>5</w:t>
            </w:r>
            <w:r>
              <w:rPr>
                <w:rFonts w:hint="eastAsia" w:ascii="宋体" w:hAnsi="宋体" w:eastAsia="宋体" w:cs="宋体"/>
                <w:color w:val="auto"/>
                <w:kern w:val="2"/>
                <w:sz w:val="21"/>
                <w:szCs w:val="21"/>
                <w:lang w:val="en-US" w:eastAsia="zh-CN" w:bidi="ar-SA"/>
              </w:rPr>
              <w:t>%；</w:t>
            </w:r>
            <w:r>
              <w:rPr>
                <w:rFonts w:ascii="宋体" w:hAnsi="宋体" w:eastAsia="宋体" w:cs="Times New Roman"/>
                <w:color w:val="auto"/>
                <w:kern w:val="2"/>
                <w:sz w:val="21"/>
                <w:szCs w:val="21"/>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1466" w:type="dxa"/>
            <w:noWrap w:val="0"/>
            <w:vAlign w:val="center"/>
          </w:tcPr>
          <w:p>
            <w:pPr>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第三次付费</w:t>
            </w:r>
          </w:p>
        </w:tc>
        <w:tc>
          <w:tcPr>
            <w:tcW w:w="1133" w:type="dxa"/>
            <w:noWrap w:val="0"/>
            <w:vAlign w:val="center"/>
          </w:tcPr>
          <w:p>
            <w:pPr>
              <w:jc w:val="center"/>
              <w:rPr>
                <w:rFonts w:ascii="宋体" w:hAnsi="宋体" w:eastAsia="宋体" w:cs="Times New Roman"/>
                <w:color w:val="auto"/>
                <w:kern w:val="2"/>
                <w:sz w:val="21"/>
                <w:szCs w:val="21"/>
              </w:rPr>
            </w:pPr>
            <w:r>
              <w:rPr>
                <w:rFonts w:hint="eastAsia" w:ascii="宋体" w:hAnsi="宋体" w:eastAsia="宋体" w:cs="Times New Roman"/>
                <w:color w:val="auto"/>
                <w:kern w:val="2"/>
                <w:sz w:val="21"/>
                <w:szCs w:val="21"/>
              </w:rPr>
              <w:t>/</w:t>
            </w:r>
          </w:p>
        </w:tc>
        <w:tc>
          <w:tcPr>
            <w:tcW w:w="6217" w:type="dxa"/>
            <w:noWrap w:val="0"/>
            <w:vAlign w:val="center"/>
          </w:tcPr>
          <w:p>
            <w:pPr>
              <w:spacing w:line="400" w:lineRule="exact"/>
              <w:rPr>
                <w:rFonts w:ascii="Calibri" w:hAnsi="Calibri" w:eastAsia="宋体" w:cs="Times New Roman"/>
                <w:color w:val="auto"/>
                <w:kern w:val="2"/>
                <w:sz w:val="21"/>
                <w:szCs w:val="22"/>
              </w:rPr>
            </w:pPr>
            <w:r>
              <w:rPr>
                <w:rFonts w:hint="eastAsia" w:ascii="Calibri" w:hAnsi="Calibri" w:eastAsia="宋体" w:cs="Times New Roman"/>
                <w:color w:val="auto"/>
                <w:kern w:val="2"/>
                <w:sz w:val="21"/>
                <w:szCs w:val="22"/>
              </w:rPr>
              <w:t>成果文件通过相关会议审查，根据审查意见修改完善，乙方提交经甲方确认后的成果文件。</w:t>
            </w:r>
          </w:p>
          <w:p>
            <w:pPr>
              <w:spacing w:line="400" w:lineRule="exact"/>
              <w:rPr>
                <w:rFonts w:ascii="宋体" w:hAnsi="宋体" w:eastAsia="宋体" w:cs="宋体"/>
                <w:color w:val="auto"/>
                <w:kern w:val="2"/>
                <w:sz w:val="21"/>
                <w:szCs w:val="21"/>
              </w:rPr>
            </w:pPr>
            <w:r>
              <w:rPr>
                <w:rFonts w:hint="eastAsia" w:ascii="宋体" w:hAnsi="宋体" w:eastAsia="宋体" w:cs="宋体"/>
                <w:color w:val="auto"/>
                <w:kern w:val="2"/>
                <w:sz w:val="21"/>
                <w:szCs w:val="21"/>
              </w:rPr>
              <w:t>乙方提交新津城市更新总体规划正式成果文件后，且甲方自收到乙方提供的等额正式发票起30日内，甲方</w:t>
            </w:r>
            <w:r>
              <w:rPr>
                <w:rFonts w:hint="eastAsia" w:ascii="宋体" w:hAnsi="宋体" w:eastAsia="宋体" w:cs="宋体"/>
                <w:color w:val="auto"/>
                <w:kern w:val="2"/>
                <w:sz w:val="21"/>
                <w:szCs w:val="21"/>
                <w:lang w:eastAsia="zh-Hans"/>
              </w:rPr>
              <w:t>支付</w:t>
            </w:r>
            <w:r>
              <w:rPr>
                <w:rFonts w:hint="eastAsia" w:ascii="宋体" w:hAnsi="宋体" w:eastAsia="宋体" w:cs="宋体"/>
                <w:color w:val="auto"/>
                <w:kern w:val="2"/>
                <w:sz w:val="21"/>
                <w:szCs w:val="21"/>
              </w:rPr>
              <w:t>合同总额</w:t>
            </w:r>
            <w:r>
              <w:rPr>
                <w:rFonts w:hint="eastAsia" w:ascii="宋体" w:hAnsi="宋体" w:eastAsia="宋体" w:cs="宋体"/>
                <w:color w:val="auto"/>
                <w:kern w:val="2"/>
                <w:sz w:val="21"/>
                <w:szCs w:val="21"/>
                <w:lang w:eastAsia="zh-Hans"/>
              </w:rPr>
              <w:t>的</w:t>
            </w:r>
            <w:r>
              <w:rPr>
                <w:rFonts w:ascii="宋体" w:hAnsi="宋体" w:eastAsia="宋体" w:cs="宋体"/>
                <w:color w:val="auto"/>
                <w:kern w:val="2"/>
                <w:sz w:val="21"/>
                <w:szCs w:val="21"/>
              </w:rPr>
              <w:t>15</w:t>
            </w:r>
            <w:r>
              <w:rPr>
                <w:rFonts w:hint="eastAsia" w:ascii="宋体" w:hAnsi="宋体" w:eastAsia="宋体" w:cs="宋体"/>
                <w:color w:val="auto"/>
                <w:kern w:val="2"/>
                <w:sz w:val="21"/>
                <w:szCs w:val="21"/>
              </w:rPr>
              <w:t>%；</w:t>
            </w:r>
          </w:p>
          <w:p>
            <w:pPr>
              <w:widowControl/>
              <w:spacing w:line="400" w:lineRule="exact"/>
              <w:jc w:val="both"/>
              <w:rPr>
                <w:rFonts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提交五津站更新片区实施规划正式成果文件后，且甲方自收到乙方提供的等额正式发票起30日内，甲方</w:t>
            </w:r>
            <w:r>
              <w:rPr>
                <w:rFonts w:hint="eastAsia" w:ascii="宋体" w:hAnsi="宋体" w:eastAsia="宋体" w:cs="宋体"/>
                <w:color w:val="auto"/>
                <w:kern w:val="2"/>
                <w:sz w:val="21"/>
                <w:szCs w:val="21"/>
                <w:lang w:val="en-US" w:eastAsia="zh-Hans" w:bidi="ar-SA"/>
              </w:rPr>
              <w:t>支付</w:t>
            </w:r>
            <w:r>
              <w:rPr>
                <w:rFonts w:hint="eastAsia" w:ascii="宋体" w:hAnsi="宋体" w:eastAsia="宋体" w:cs="宋体"/>
                <w:color w:val="auto"/>
                <w:kern w:val="2"/>
                <w:sz w:val="21"/>
                <w:szCs w:val="21"/>
                <w:lang w:val="en-US" w:eastAsia="zh-CN" w:bidi="ar-SA"/>
              </w:rPr>
              <w:t>合同总额</w:t>
            </w:r>
            <w:r>
              <w:rPr>
                <w:rFonts w:hint="eastAsia" w:ascii="宋体" w:hAnsi="宋体" w:eastAsia="宋体" w:cs="宋体"/>
                <w:color w:val="auto"/>
                <w:kern w:val="2"/>
                <w:sz w:val="21"/>
                <w:szCs w:val="21"/>
                <w:lang w:val="en-US" w:eastAsia="zh-Hans" w:bidi="ar-SA"/>
              </w:rPr>
              <w:t>的</w:t>
            </w:r>
            <w:r>
              <w:rPr>
                <w:rFonts w:hint="eastAsia" w:hAnsi="宋体" w:eastAsia="宋体" w:cs="宋体"/>
                <w:color w:val="auto"/>
                <w:kern w:val="2"/>
                <w:sz w:val="21"/>
                <w:szCs w:val="21"/>
                <w:lang w:val="en-US" w:eastAsia="zh-CN" w:bidi="ar-SA"/>
              </w:rPr>
              <w:t>10</w:t>
            </w:r>
            <w:r>
              <w:rPr>
                <w:rFonts w:hint="eastAsia" w:ascii="宋体" w:hAnsi="宋体" w:eastAsia="宋体" w:cs="宋体"/>
                <w:color w:val="auto"/>
                <w:kern w:val="2"/>
                <w:sz w:val="21"/>
                <w:szCs w:val="21"/>
                <w:lang w:val="en-US" w:eastAsia="zh-CN" w:bidi="ar-SA"/>
              </w:rPr>
              <w:t>%；</w:t>
            </w:r>
          </w:p>
          <w:p>
            <w:pPr>
              <w:widowControl/>
              <w:spacing w:line="400" w:lineRule="exact"/>
              <w:jc w:val="both"/>
              <w:rPr>
                <w:rFonts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提交</w:t>
            </w:r>
            <w:r>
              <w:rPr>
                <w:rFonts w:hint="eastAsia" w:ascii="Calibri" w:hAnsi="Calibri" w:eastAsia="宋体" w:cs="Times New Roman"/>
                <w:color w:val="auto"/>
                <w:kern w:val="2"/>
                <w:sz w:val="21"/>
                <w:szCs w:val="22"/>
                <w:lang w:val="en-US" w:eastAsia="zh-CN" w:bidi="ar-SA"/>
              </w:rPr>
              <w:t>游河心（五津长岛）更新片区实施规划</w:t>
            </w:r>
            <w:r>
              <w:rPr>
                <w:rFonts w:hint="eastAsia" w:ascii="宋体" w:hAnsi="宋体" w:eastAsia="宋体" w:cs="宋体"/>
                <w:color w:val="auto"/>
                <w:kern w:val="2"/>
                <w:sz w:val="21"/>
                <w:szCs w:val="21"/>
                <w:lang w:val="en-US" w:eastAsia="zh-CN" w:bidi="ar-SA"/>
              </w:rPr>
              <w:t>正式成果文件后，且甲方自收到乙方提供的等额正式发票起30日内，甲方</w:t>
            </w:r>
            <w:r>
              <w:rPr>
                <w:rFonts w:hint="eastAsia" w:ascii="宋体" w:hAnsi="宋体" w:eastAsia="宋体" w:cs="宋体"/>
                <w:color w:val="auto"/>
                <w:kern w:val="2"/>
                <w:sz w:val="21"/>
                <w:szCs w:val="21"/>
                <w:lang w:val="en-US" w:eastAsia="zh-Hans" w:bidi="ar-SA"/>
              </w:rPr>
              <w:t>支付</w:t>
            </w:r>
            <w:r>
              <w:rPr>
                <w:rFonts w:hint="eastAsia" w:ascii="宋体" w:hAnsi="宋体" w:eastAsia="宋体" w:cs="宋体"/>
                <w:color w:val="auto"/>
                <w:kern w:val="2"/>
                <w:sz w:val="21"/>
                <w:szCs w:val="21"/>
                <w:lang w:val="en-US" w:eastAsia="zh-CN" w:bidi="ar-SA"/>
              </w:rPr>
              <w:t>合同总额</w:t>
            </w:r>
            <w:r>
              <w:rPr>
                <w:rFonts w:hint="eastAsia" w:ascii="宋体" w:hAnsi="宋体" w:eastAsia="宋体" w:cs="宋体"/>
                <w:color w:val="auto"/>
                <w:kern w:val="2"/>
                <w:sz w:val="21"/>
                <w:szCs w:val="21"/>
                <w:lang w:val="en-US" w:eastAsia="zh-Hans" w:bidi="ar-SA"/>
              </w:rPr>
              <w:t>的</w:t>
            </w:r>
            <w:r>
              <w:rPr>
                <w:rFonts w:hint="eastAsia" w:hAnsi="宋体" w:eastAsia="宋体" w:cs="宋体"/>
                <w:color w:val="auto"/>
                <w:kern w:val="2"/>
                <w:sz w:val="21"/>
                <w:szCs w:val="21"/>
                <w:lang w:val="en-US" w:eastAsia="zh-CN" w:bidi="ar-SA"/>
              </w:rPr>
              <w:t>10</w:t>
            </w:r>
            <w:r>
              <w:rPr>
                <w:rFonts w:hint="eastAsia" w:ascii="宋体" w:hAnsi="宋体" w:eastAsia="宋体" w:cs="宋体"/>
                <w:color w:val="auto"/>
                <w:kern w:val="2"/>
                <w:sz w:val="21"/>
                <w:szCs w:val="21"/>
                <w:lang w:val="en-US" w:eastAsia="zh-CN" w:bidi="ar-SA"/>
              </w:rPr>
              <w:t>%；</w:t>
            </w:r>
          </w:p>
          <w:p>
            <w:pPr>
              <w:spacing w:line="400" w:lineRule="exact"/>
              <w:rPr>
                <w:rFonts w:ascii="Calibri" w:hAnsi="Calibri" w:eastAsia="宋体" w:cs="Times New Roman"/>
                <w:color w:val="auto"/>
                <w:kern w:val="2"/>
                <w:sz w:val="21"/>
                <w:szCs w:val="22"/>
              </w:rPr>
            </w:pPr>
            <w:r>
              <w:rPr>
                <w:rFonts w:hint="eastAsia" w:ascii="宋体" w:hAnsi="宋体" w:eastAsia="宋体" w:cs="宋体"/>
                <w:color w:val="auto"/>
                <w:kern w:val="2"/>
                <w:sz w:val="21"/>
                <w:szCs w:val="21"/>
              </w:rPr>
              <w:t>提交老旧场镇综合整治规划研究及策划正式成果文件后，且甲方自收到乙方提供的等额正式发票起30日内，甲方</w:t>
            </w:r>
            <w:r>
              <w:rPr>
                <w:rFonts w:hint="eastAsia" w:ascii="宋体" w:hAnsi="宋体" w:eastAsia="宋体" w:cs="宋体"/>
                <w:color w:val="auto"/>
                <w:kern w:val="2"/>
                <w:sz w:val="21"/>
                <w:szCs w:val="21"/>
                <w:lang w:eastAsia="zh-Hans"/>
              </w:rPr>
              <w:t>支付</w:t>
            </w:r>
            <w:r>
              <w:rPr>
                <w:rFonts w:hint="eastAsia" w:ascii="宋体" w:hAnsi="宋体" w:eastAsia="宋体" w:cs="宋体"/>
                <w:color w:val="auto"/>
                <w:kern w:val="2"/>
                <w:sz w:val="21"/>
                <w:szCs w:val="21"/>
              </w:rPr>
              <w:t>合同总额</w:t>
            </w:r>
            <w:r>
              <w:rPr>
                <w:rFonts w:hint="eastAsia" w:ascii="宋体" w:hAnsi="宋体" w:eastAsia="宋体" w:cs="宋体"/>
                <w:color w:val="auto"/>
                <w:kern w:val="2"/>
                <w:sz w:val="21"/>
                <w:szCs w:val="21"/>
                <w:lang w:eastAsia="zh-Hans"/>
              </w:rPr>
              <w:t>的</w:t>
            </w:r>
            <w:r>
              <w:rPr>
                <w:rFonts w:ascii="宋体" w:hAnsi="宋体" w:eastAsia="宋体" w:cs="宋体"/>
                <w:color w:val="auto"/>
                <w:kern w:val="2"/>
                <w:sz w:val="21"/>
                <w:szCs w:val="21"/>
              </w:rPr>
              <w:t>5</w:t>
            </w:r>
            <w:r>
              <w:rPr>
                <w:rFonts w:hint="eastAsia" w:ascii="宋体" w:hAnsi="宋体" w:eastAsia="宋体" w:cs="宋体"/>
                <w:color w:val="auto"/>
                <w:kern w:val="2"/>
                <w:sz w:val="21"/>
                <w:szCs w:val="21"/>
              </w:rPr>
              <w:t>%；</w:t>
            </w:r>
          </w:p>
        </w:tc>
      </w:tr>
    </w:tbl>
    <w:p>
      <w:pPr>
        <w:spacing w:line="360" w:lineRule="auto"/>
        <w:ind w:firstLine="560" w:firstLineChars="200"/>
        <w:rPr>
          <w:rFonts w:ascii="仿宋" w:hAnsi="仿宋" w:eastAsia="仿宋" w:cs="Times New Roman"/>
          <w:bCs/>
          <w:color w:val="auto"/>
          <w:kern w:val="2"/>
          <w:sz w:val="28"/>
          <w:szCs w:val="24"/>
        </w:rPr>
      </w:pP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4.4  </w:t>
      </w:r>
      <w:r>
        <w:rPr>
          <w:rFonts w:hint="eastAsia" w:ascii="仿宋" w:hAnsi="仿宋" w:eastAsia="仿宋" w:cs="Times New Roman"/>
          <w:color w:val="auto"/>
          <w:kern w:val="2"/>
          <w:sz w:val="28"/>
          <w:szCs w:val="24"/>
        </w:rPr>
        <w:t>甲方在乙方开展下阶段工作前，须按</w:t>
      </w:r>
      <w:r>
        <w:rPr>
          <w:rFonts w:ascii="仿宋" w:hAnsi="仿宋" w:eastAsia="仿宋" w:cs="Times New Roman"/>
          <w:color w:val="auto"/>
          <w:kern w:val="2"/>
          <w:sz w:val="28"/>
          <w:szCs w:val="24"/>
          <w:u w:val="single"/>
        </w:rPr>
        <w:t xml:space="preserve"> 4.3 </w:t>
      </w:r>
      <w:r>
        <w:rPr>
          <w:rFonts w:hint="eastAsia" w:ascii="仿宋" w:hAnsi="仿宋" w:eastAsia="仿宋" w:cs="Times New Roman"/>
          <w:color w:val="auto"/>
          <w:kern w:val="2"/>
          <w:sz w:val="28"/>
          <w:szCs w:val="24"/>
        </w:rPr>
        <w:t>的规定付清上阶段工作的有关费用，乙方在收齐上阶段工作的有关费用后，开展下阶段的编制工作或提交下阶段设计文件。</w:t>
      </w:r>
    </w:p>
    <w:p>
      <w:pPr>
        <w:spacing w:before="156" w:line="360" w:lineRule="auto"/>
        <w:rPr>
          <w:rFonts w:ascii="仿宋" w:hAnsi="仿宋" w:eastAsia="仿宋" w:cs="Times New Roman"/>
          <w:b/>
          <w:color w:val="auto"/>
          <w:kern w:val="2"/>
          <w:sz w:val="28"/>
          <w:szCs w:val="24"/>
        </w:rPr>
      </w:pPr>
      <w:r>
        <w:rPr>
          <w:rFonts w:hint="eastAsia" w:ascii="仿宋" w:hAnsi="仿宋" w:eastAsia="仿宋" w:cs="Times New Roman"/>
          <w:b/>
          <w:color w:val="auto"/>
          <w:kern w:val="2"/>
          <w:sz w:val="28"/>
          <w:szCs w:val="24"/>
        </w:rPr>
        <w:t>第五条</w:t>
      </w:r>
      <w:r>
        <w:rPr>
          <w:rFonts w:ascii="仿宋" w:hAnsi="仿宋" w:eastAsia="仿宋" w:cs="Times New Roman"/>
          <w:b/>
          <w:color w:val="auto"/>
          <w:kern w:val="2"/>
          <w:sz w:val="28"/>
          <w:szCs w:val="24"/>
        </w:rPr>
        <w:t xml:space="preserve">  </w:t>
      </w:r>
      <w:r>
        <w:rPr>
          <w:rFonts w:hint="eastAsia" w:ascii="仿宋" w:hAnsi="仿宋" w:eastAsia="仿宋" w:cs="Times New Roman"/>
          <w:b/>
          <w:color w:val="auto"/>
          <w:kern w:val="2"/>
          <w:sz w:val="28"/>
          <w:szCs w:val="24"/>
        </w:rPr>
        <w:t>双方的权利、义务和责任</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5.1  </w:t>
      </w:r>
      <w:r>
        <w:rPr>
          <w:rFonts w:hint="eastAsia" w:ascii="仿宋" w:hAnsi="仿宋" w:eastAsia="仿宋" w:cs="Times New Roman"/>
          <w:color w:val="auto"/>
          <w:kern w:val="2"/>
          <w:sz w:val="28"/>
          <w:szCs w:val="24"/>
        </w:rPr>
        <w:t>甲方的权利、义务和责任</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5.1.1  </w:t>
      </w:r>
      <w:r>
        <w:rPr>
          <w:rFonts w:hint="eastAsia" w:ascii="仿宋" w:hAnsi="仿宋" w:eastAsia="仿宋" w:cs="Times New Roman"/>
          <w:color w:val="auto"/>
          <w:kern w:val="2"/>
          <w:sz w:val="28"/>
          <w:szCs w:val="24"/>
        </w:rPr>
        <w:t>甲方不得要求乙方违反国家、省、市相关法律、法规、规章、规范、规程和标准进行规划设计。</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5.1.2  </w:t>
      </w:r>
      <w:r>
        <w:rPr>
          <w:rFonts w:hint="eastAsia" w:ascii="仿宋" w:hAnsi="仿宋" w:eastAsia="仿宋" w:cs="Times New Roman"/>
          <w:color w:val="auto"/>
          <w:kern w:val="2"/>
          <w:sz w:val="28"/>
          <w:szCs w:val="24"/>
        </w:rPr>
        <w:t>甲方应负责及时组织本项目各阶段设计成果的汇报交流，并出具书面交流意见。并应按本合同</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u w:val="single"/>
        </w:rPr>
        <w:t>第四条</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约定的时间、金额、方式向乙方支付各阶段规划设计费。由于甲方原因造成的项目进度暂停和延后，则完成时间相应顺延。</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5.1.3  </w:t>
      </w:r>
      <w:r>
        <w:rPr>
          <w:rFonts w:hint="eastAsia" w:ascii="仿宋" w:hAnsi="仿宋" w:eastAsia="仿宋" w:cs="Times New Roman"/>
          <w:color w:val="auto"/>
          <w:kern w:val="2"/>
          <w:sz w:val="28"/>
          <w:szCs w:val="24"/>
        </w:rPr>
        <w:t>甲方应协助配合乙方设计人员收集相关资料及组织现场踏勘工作。并按本合同规定的内容，在规定的时间内向乙方提交规划设计需要的资料及文件，并对其完整性、正确性和时限性负责。由于甲方的原因，造成规划设计所需资料不齐、不准、错误或收集困难时，乙方交付规划设计成果时间顺延。</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5.1.4  </w:t>
      </w:r>
      <w:r>
        <w:rPr>
          <w:rFonts w:hint="eastAsia" w:ascii="仿宋" w:hAnsi="仿宋" w:eastAsia="仿宋" w:cs="Times New Roman"/>
          <w:color w:val="auto"/>
          <w:kern w:val="2"/>
          <w:sz w:val="28"/>
          <w:szCs w:val="24"/>
        </w:rPr>
        <w:t>在合同履行期间，因甲方原因解除或终止合同，应及时以书面形式通知乙方。如乙方已开始工作的，甲方应根据乙方已进行的实际工作量支付相应的规划设计费：不足一半时，按该阶段规划设计费用的一半支付；超过一半时，按该阶段规划设计费用的全部支付。并且，按本合同约定规划设计服务费用总额的</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u w:val="single"/>
        </w:rPr>
        <w:t>万分之二</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向乙方支付违约金。</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5.1.5  </w:t>
      </w:r>
      <w:r>
        <w:rPr>
          <w:rFonts w:hint="eastAsia" w:ascii="仿宋" w:hAnsi="仿宋" w:eastAsia="仿宋" w:cs="Times New Roman"/>
          <w:color w:val="auto"/>
          <w:kern w:val="2"/>
          <w:sz w:val="28"/>
          <w:szCs w:val="24"/>
        </w:rPr>
        <w:t>甲方有权对乙方的规划设计工作和乙方提交的规划设计文件、规划设计成果提出建议，乙方应采纳，不能采纳的须向甲方书面说明原因。</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5.1.6  </w:t>
      </w:r>
      <w:r>
        <w:rPr>
          <w:rFonts w:hint="eastAsia" w:ascii="仿宋" w:hAnsi="仿宋" w:eastAsia="仿宋" w:cs="Times New Roman"/>
          <w:color w:val="auto"/>
          <w:kern w:val="2"/>
          <w:sz w:val="28"/>
          <w:szCs w:val="24"/>
        </w:rPr>
        <w:t>乙方向甲方交付规划设计方案并征求甲方意见时，甲方未将对规划设计方案的意见返交乙方，时间</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u w:val="single"/>
        </w:rPr>
        <w:t>超过</w:t>
      </w:r>
      <w:r>
        <w:rPr>
          <w:rFonts w:ascii="仿宋" w:hAnsi="仿宋" w:eastAsia="仿宋" w:cs="Times New Roman"/>
          <w:color w:val="auto"/>
          <w:kern w:val="2"/>
          <w:sz w:val="28"/>
          <w:szCs w:val="24"/>
          <w:u w:val="single"/>
        </w:rPr>
        <w:t>5</w:t>
      </w:r>
      <w:r>
        <w:rPr>
          <w:rFonts w:hint="eastAsia" w:ascii="仿宋" w:hAnsi="仿宋" w:eastAsia="仿宋" w:cs="Times New Roman"/>
          <w:color w:val="auto"/>
          <w:kern w:val="2"/>
          <w:sz w:val="28"/>
          <w:szCs w:val="24"/>
          <w:u w:val="single"/>
        </w:rPr>
        <w:t>个</w:t>
      </w:r>
      <w:r>
        <w:rPr>
          <w:rFonts w:ascii="仿宋" w:hAnsi="仿宋" w:eastAsia="仿宋" w:cs="Times New Roman"/>
          <w:color w:val="auto"/>
          <w:kern w:val="2"/>
          <w:sz w:val="28"/>
          <w:szCs w:val="24"/>
          <w:u w:val="single"/>
        </w:rPr>
        <w:t xml:space="preserve">工作日 </w:t>
      </w:r>
      <w:r>
        <w:rPr>
          <w:rFonts w:hint="eastAsia" w:ascii="仿宋" w:hAnsi="仿宋" w:eastAsia="仿宋" w:cs="Times New Roman"/>
          <w:color w:val="auto"/>
          <w:kern w:val="2"/>
          <w:sz w:val="28"/>
          <w:szCs w:val="24"/>
        </w:rPr>
        <w:t>，本合同再继续履行时，应对工期及规划设计费予以重新商定；如不继续履行时，则视为甲方终止或解除合同，按</w:t>
      </w:r>
      <w:r>
        <w:rPr>
          <w:rFonts w:ascii="仿宋" w:hAnsi="仿宋" w:eastAsia="仿宋" w:cs="Times New Roman"/>
          <w:color w:val="auto"/>
          <w:kern w:val="2"/>
          <w:sz w:val="28"/>
          <w:szCs w:val="24"/>
          <w:u w:val="single"/>
        </w:rPr>
        <w:t xml:space="preserve"> 5.1.4 </w:t>
      </w:r>
      <w:r>
        <w:rPr>
          <w:rFonts w:hint="eastAsia" w:ascii="仿宋" w:hAnsi="仿宋" w:eastAsia="仿宋" w:cs="Times New Roman"/>
          <w:color w:val="auto"/>
          <w:kern w:val="2"/>
          <w:sz w:val="28"/>
          <w:szCs w:val="24"/>
        </w:rPr>
        <w:t>条处理。</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5.1.7  </w:t>
      </w:r>
      <w:r>
        <w:rPr>
          <w:rFonts w:hint="eastAsia" w:ascii="仿宋" w:hAnsi="仿宋" w:eastAsia="仿宋" w:cs="Times New Roman"/>
          <w:color w:val="auto"/>
          <w:kern w:val="2"/>
          <w:sz w:val="28"/>
          <w:szCs w:val="24"/>
        </w:rPr>
        <w:t>甲方变更设计项目、规模、条件或因提交的资料错误，或所提交资料做较大修改，以致造成乙方设计需返工时，双方除需另行协商签订补充协议，重新明确有关条款，并按本合同的内容根据乙方已完成的工作量支付设计费外，甲方还应按乙方所耗工作量向乙方增付设计费。</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5.2  </w:t>
      </w:r>
      <w:r>
        <w:rPr>
          <w:rFonts w:hint="eastAsia" w:ascii="仿宋" w:hAnsi="仿宋" w:eastAsia="仿宋" w:cs="Times New Roman"/>
          <w:color w:val="auto"/>
          <w:kern w:val="2"/>
          <w:sz w:val="28"/>
          <w:szCs w:val="24"/>
        </w:rPr>
        <w:t>乙方的权利、义务和责任</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5.2.1  </w:t>
      </w:r>
      <w:r>
        <w:rPr>
          <w:rFonts w:hint="eastAsia" w:ascii="仿宋" w:hAnsi="仿宋" w:eastAsia="仿宋" w:cs="Times New Roman"/>
          <w:color w:val="auto"/>
          <w:kern w:val="2"/>
          <w:sz w:val="28"/>
          <w:szCs w:val="24"/>
        </w:rPr>
        <w:t>乙方应按国家的法律、法规、规章及国家规定的技术规范、标准规程及合同约定的深度要求进行相关资料收集和规划设计工作，按本合同</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u w:val="single"/>
        </w:rPr>
        <w:t>第三条</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规定的内容、时间及份数等向甲方交付质量合格的规划设计文件，并对提交的规划设计文件的合法性、真实性、完整性及质量负责。</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5.2.2  </w:t>
      </w:r>
      <w:r>
        <w:rPr>
          <w:rFonts w:hint="eastAsia" w:ascii="仿宋" w:hAnsi="仿宋" w:eastAsia="仿宋" w:cs="Times New Roman"/>
          <w:color w:val="auto"/>
          <w:kern w:val="2"/>
          <w:sz w:val="28"/>
          <w:szCs w:val="24"/>
        </w:rPr>
        <w:t>乙方对规划设计成果出现的遗漏、错误、不符合本合同约定的情形负责修改、补充并自行承担相应费用。由于乙方规划或设计原因造成项目进度、质量等损失，乙方除负责修改完善外，应免收受损失部分的规划设计费。</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5.2.3  </w:t>
      </w:r>
      <w:r>
        <w:rPr>
          <w:rFonts w:hint="eastAsia" w:ascii="仿宋" w:hAnsi="仿宋" w:eastAsia="仿宋" w:cs="Times New Roman"/>
          <w:color w:val="auto"/>
          <w:kern w:val="2"/>
          <w:sz w:val="28"/>
          <w:szCs w:val="24"/>
        </w:rPr>
        <w:t>本合同生效后，乙方终止或解除本合同，应及时以书面形式通知甲方。乙方应向甲方返还甲方已支付全部费用，并按本合同约定规划设计服务费用总额的</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u w:val="single"/>
        </w:rPr>
        <w:t>万分之二</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向甲方支付违约金。</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5.2.4  </w:t>
      </w:r>
      <w:r>
        <w:rPr>
          <w:rFonts w:hint="eastAsia" w:ascii="仿宋" w:hAnsi="仿宋" w:eastAsia="仿宋" w:cs="Times New Roman"/>
          <w:color w:val="auto"/>
          <w:kern w:val="2"/>
          <w:sz w:val="28"/>
          <w:szCs w:val="24"/>
        </w:rPr>
        <w:t>乙方交付规划设计方案后，按规定负责参加甲方组织或有关上级的交流会议，负责汇报、讲解，并根据交流会议书面意见负责不超过本合同规定范围内的必要修改和补充。</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5.2.5</w:t>
      </w:r>
      <w:r>
        <w:rPr>
          <w:rFonts w:hint="eastAsia" w:ascii="仿宋" w:hAnsi="仿宋" w:eastAsia="仿宋" w:cs="Times New Roman"/>
          <w:color w:val="auto"/>
          <w:kern w:val="2"/>
          <w:sz w:val="28"/>
          <w:szCs w:val="24"/>
        </w:rPr>
        <w:t xml:space="preserve">  乙方应保证所提供的设计成果和相关服务不侵犯其他任何人的权利，若有侵权行为发生，由乙方承担相应责任。</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5.2.</w:t>
      </w:r>
      <w:r>
        <w:rPr>
          <w:rFonts w:hint="eastAsia" w:ascii="仿宋" w:hAnsi="仿宋" w:eastAsia="仿宋" w:cs="Times New Roman"/>
          <w:color w:val="auto"/>
          <w:kern w:val="2"/>
          <w:sz w:val="28"/>
          <w:szCs w:val="24"/>
        </w:rPr>
        <w:t>6</w:t>
      </w:r>
      <w:r>
        <w:rPr>
          <w:rFonts w:ascii="仿宋" w:hAnsi="仿宋" w:eastAsia="仿宋" w:cs="Times New Roman"/>
          <w:color w:val="auto"/>
          <w:kern w:val="2"/>
          <w:sz w:val="28"/>
          <w:szCs w:val="24"/>
        </w:rPr>
        <w:t xml:space="preserve">  </w:t>
      </w:r>
      <w:r>
        <w:rPr>
          <w:rFonts w:hint="eastAsia" w:ascii="仿宋" w:hAnsi="仿宋" w:eastAsia="仿宋" w:cs="Times New Roman"/>
          <w:color w:val="auto"/>
          <w:kern w:val="2"/>
          <w:sz w:val="28"/>
          <w:szCs w:val="24"/>
        </w:rPr>
        <w:t>乙方应按本合同</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u w:val="single"/>
        </w:rPr>
        <w:t>第四条</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约定的时间、金额向甲方开具各阶段规划设计服务费用正式全额完税发票。</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5.2.6  </w:t>
      </w:r>
      <w:r>
        <w:rPr>
          <w:rFonts w:hint="eastAsia" w:ascii="仿宋" w:hAnsi="仿宋" w:eastAsia="仿宋" w:cs="Times New Roman"/>
          <w:color w:val="auto"/>
          <w:kern w:val="2"/>
          <w:sz w:val="28"/>
          <w:szCs w:val="24"/>
        </w:rPr>
        <w:t>乙方自行承担因完成本项目所产生的交通、生活、住宿费用，并对工作期间乙方工作人员的安全负责。</w:t>
      </w:r>
    </w:p>
    <w:p>
      <w:pPr>
        <w:spacing w:before="156" w:line="360" w:lineRule="auto"/>
        <w:rPr>
          <w:rFonts w:ascii="仿宋" w:hAnsi="仿宋" w:eastAsia="仿宋" w:cs="Times New Roman"/>
          <w:b/>
          <w:color w:val="auto"/>
          <w:kern w:val="2"/>
          <w:sz w:val="28"/>
          <w:szCs w:val="24"/>
        </w:rPr>
      </w:pPr>
      <w:r>
        <w:rPr>
          <w:rFonts w:hint="eastAsia" w:ascii="仿宋" w:hAnsi="仿宋" w:eastAsia="仿宋" w:cs="Times New Roman"/>
          <w:b/>
          <w:color w:val="auto"/>
          <w:kern w:val="2"/>
          <w:sz w:val="28"/>
          <w:szCs w:val="24"/>
        </w:rPr>
        <w:t>第六条</w:t>
      </w:r>
      <w:r>
        <w:rPr>
          <w:rFonts w:ascii="仿宋" w:hAnsi="仿宋" w:eastAsia="仿宋" w:cs="Times New Roman"/>
          <w:b/>
          <w:color w:val="auto"/>
          <w:kern w:val="2"/>
          <w:sz w:val="28"/>
          <w:szCs w:val="24"/>
        </w:rPr>
        <w:t xml:space="preserve">  </w:t>
      </w:r>
      <w:r>
        <w:rPr>
          <w:rFonts w:hint="eastAsia" w:ascii="仿宋" w:hAnsi="仿宋" w:eastAsia="仿宋" w:cs="Times New Roman"/>
          <w:b/>
          <w:color w:val="auto"/>
          <w:kern w:val="2"/>
          <w:sz w:val="28"/>
          <w:szCs w:val="24"/>
        </w:rPr>
        <w:t>违约责任</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6.1  </w:t>
      </w:r>
      <w:r>
        <w:rPr>
          <w:rFonts w:hint="eastAsia" w:ascii="仿宋" w:hAnsi="仿宋" w:eastAsia="仿宋" w:cs="Times New Roman"/>
          <w:color w:val="auto"/>
          <w:kern w:val="2"/>
          <w:sz w:val="28"/>
          <w:szCs w:val="24"/>
        </w:rPr>
        <w:t>甲、乙任何一方不履行本合同义务或者履行本合同义务不符合本合同规定的，应当承担继续履行、采取补救措施或者赔偿损失等违约责任。</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6.2  </w:t>
      </w:r>
      <w:r>
        <w:rPr>
          <w:rFonts w:hint="eastAsia" w:ascii="仿宋" w:hAnsi="仿宋" w:eastAsia="仿宋" w:cs="Times New Roman"/>
          <w:color w:val="auto"/>
          <w:kern w:val="2"/>
          <w:sz w:val="28"/>
          <w:szCs w:val="24"/>
        </w:rPr>
        <w:t>甲方应按本合同</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u w:val="single"/>
        </w:rPr>
        <w:t>第四条</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规定的时间、金额和方式向乙方支付各阶段设计费，若甲方未及时支付相关费用，每逾期一天，甲方需向乙方支付该项目该阶段设计费的</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u w:val="single"/>
        </w:rPr>
        <w:t>万分之二</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的违约金。超过付款期限</w:t>
      </w:r>
      <w:r>
        <w:rPr>
          <w:rFonts w:ascii="仿宋" w:hAnsi="仿宋" w:eastAsia="仿宋" w:cs="Times New Roman"/>
          <w:color w:val="auto"/>
          <w:kern w:val="2"/>
          <w:sz w:val="28"/>
          <w:szCs w:val="24"/>
          <w:u w:val="single"/>
        </w:rPr>
        <w:t xml:space="preserve"> 15</w:t>
      </w:r>
      <w:r>
        <w:rPr>
          <w:rFonts w:hint="eastAsia" w:ascii="仿宋" w:hAnsi="仿宋" w:eastAsia="仿宋" w:cs="Times New Roman"/>
          <w:color w:val="auto"/>
          <w:kern w:val="2"/>
          <w:sz w:val="28"/>
          <w:szCs w:val="24"/>
          <w:u w:val="single"/>
        </w:rPr>
        <w:t>个工作日</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以上时（不可抗力除外），乙方有权书面通知甲方并暂停履行下阶段工作。</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6.3  </w:t>
      </w:r>
      <w:r>
        <w:rPr>
          <w:rFonts w:hint="eastAsia" w:ascii="仿宋" w:hAnsi="仿宋" w:eastAsia="仿宋" w:cs="Times New Roman"/>
          <w:color w:val="auto"/>
          <w:kern w:val="2"/>
          <w:sz w:val="28"/>
          <w:szCs w:val="24"/>
        </w:rPr>
        <w:t>由于乙方自身原因，未按本合同</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u w:val="single"/>
        </w:rPr>
        <w:t>第三条</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约定内容及时完成各阶段工作，甲方有权不支付相应费用，延误了本合同规定的设计资料文件的交付时间的，每延误一天应减收该项目该阶段设计费的</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u w:val="single"/>
        </w:rPr>
        <w:t>万分之二</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。如乙方延误交付时间达</w:t>
      </w:r>
      <w:r>
        <w:rPr>
          <w:rFonts w:ascii="仿宋" w:hAnsi="仿宋" w:eastAsia="仿宋" w:cs="Times New Roman"/>
          <w:color w:val="auto"/>
          <w:kern w:val="2"/>
          <w:sz w:val="28"/>
          <w:szCs w:val="24"/>
          <w:u w:val="single"/>
        </w:rPr>
        <w:t xml:space="preserve"> 15</w:t>
      </w:r>
      <w:r>
        <w:rPr>
          <w:rFonts w:hint="eastAsia" w:ascii="仿宋" w:hAnsi="仿宋" w:eastAsia="仿宋" w:cs="Times New Roman"/>
          <w:color w:val="auto"/>
          <w:kern w:val="2"/>
          <w:sz w:val="28"/>
          <w:szCs w:val="24"/>
          <w:u w:val="single"/>
        </w:rPr>
        <w:t>个工作日</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以上时（不可抗力除外），甲方有权书面通知乙方终止合同,并要求乙方承担甲方已支付设计费总额20%的违约责任。</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6.4  </w:t>
      </w:r>
      <w:r>
        <w:rPr>
          <w:rFonts w:hint="eastAsia" w:ascii="仿宋" w:hAnsi="仿宋" w:eastAsia="仿宋" w:cs="Times New Roman"/>
          <w:color w:val="auto"/>
          <w:kern w:val="2"/>
          <w:sz w:val="28"/>
          <w:szCs w:val="24"/>
        </w:rPr>
        <w:t>当事人一方不履行合同义务或者履行合同义务不符合约定，给对方造成损失的，损失赔偿额应当相当于因违约所造成的实际损失，包括诉讼费用（仲裁费用）、律师费用等相关费用。但赔偿金额总额以甲方已向乙方支付的服务费用为限，在任何情况下累计赔偿金额不超过甲方已向乙方支付的服务费用金额。</w:t>
      </w:r>
    </w:p>
    <w:p>
      <w:pPr>
        <w:spacing w:before="156" w:line="360" w:lineRule="auto"/>
        <w:rPr>
          <w:rFonts w:ascii="仿宋" w:hAnsi="仿宋" w:eastAsia="仿宋" w:cs="Times New Roman"/>
          <w:b/>
          <w:color w:val="auto"/>
          <w:kern w:val="2"/>
          <w:sz w:val="28"/>
          <w:szCs w:val="24"/>
        </w:rPr>
      </w:pPr>
      <w:r>
        <w:rPr>
          <w:rFonts w:hint="eastAsia" w:ascii="仿宋" w:hAnsi="仿宋" w:eastAsia="仿宋" w:cs="Times New Roman"/>
          <w:b/>
          <w:color w:val="auto"/>
          <w:kern w:val="2"/>
          <w:sz w:val="28"/>
          <w:szCs w:val="24"/>
        </w:rPr>
        <w:t>第七条</w:t>
      </w:r>
      <w:r>
        <w:rPr>
          <w:rFonts w:ascii="仿宋" w:hAnsi="仿宋" w:eastAsia="仿宋" w:cs="Times New Roman"/>
          <w:b/>
          <w:color w:val="auto"/>
          <w:kern w:val="2"/>
          <w:sz w:val="28"/>
          <w:szCs w:val="24"/>
        </w:rPr>
        <w:t xml:space="preserve">  </w:t>
      </w:r>
      <w:r>
        <w:rPr>
          <w:rFonts w:hint="eastAsia" w:ascii="仿宋" w:hAnsi="仿宋" w:eastAsia="仿宋" w:cs="Times New Roman"/>
          <w:b/>
          <w:color w:val="auto"/>
          <w:kern w:val="2"/>
          <w:sz w:val="28"/>
          <w:szCs w:val="24"/>
        </w:rPr>
        <w:t>知识产权和保密</w:t>
      </w:r>
    </w:p>
    <w:p>
      <w:pPr>
        <w:widowControl/>
        <w:jc w:val="left"/>
        <w:rPr>
          <w:rFonts w:ascii="仿宋" w:hAnsi="仿宋" w:eastAsia="仿宋" w:cs="Times New Roman"/>
          <w:color w:val="auto"/>
          <w:kern w:val="2"/>
          <w:sz w:val="28"/>
          <w:szCs w:val="24"/>
        </w:rPr>
      </w:pPr>
      <w:r>
        <w:rPr>
          <w:rFonts w:hint="eastAsia" w:ascii="仿宋" w:hAnsi="仿宋" w:eastAsia="仿宋" w:cs="Times New Roman"/>
          <w:color w:val="auto"/>
          <w:kern w:val="2"/>
          <w:sz w:val="28"/>
          <w:szCs w:val="24"/>
        </w:rPr>
        <w:t xml:space="preserve">    </w:t>
      </w:r>
      <w:r>
        <w:rPr>
          <w:rFonts w:ascii="仿宋" w:hAnsi="仿宋" w:eastAsia="仿宋" w:cs="Times New Roman"/>
          <w:color w:val="auto"/>
          <w:kern w:val="2"/>
          <w:sz w:val="28"/>
          <w:szCs w:val="24"/>
        </w:rPr>
        <w:t>7.</w:t>
      </w:r>
      <w:r>
        <w:rPr>
          <w:rFonts w:hint="eastAsia" w:ascii="仿宋" w:hAnsi="仿宋" w:eastAsia="仿宋" w:cs="Times New Roman"/>
          <w:color w:val="auto"/>
          <w:kern w:val="2"/>
          <w:sz w:val="28"/>
          <w:szCs w:val="24"/>
        </w:rPr>
        <w:t>1  乙方提交的设计成果等全部资料的知识产权和所有权归甲乙双方共有。</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7.2  </w:t>
      </w:r>
      <w:r>
        <w:rPr>
          <w:rFonts w:hint="eastAsia" w:ascii="仿宋" w:hAnsi="仿宋" w:eastAsia="仿宋" w:cs="Times New Roman"/>
          <w:color w:val="auto"/>
          <w:kern w:val="2"/>
          <w:sz w:val="28"/>
          <w:szCs w:val="24"/>
        </w:rPr>
        <w:t>甲乙双方均应对履行本合同项下义务获取的对方的资料、信息等进行保密直至相关信息公开为止，未经对方书面同意，不得披露、泄露、公开、允许他人使用或用于本合同项目外的其他项目。否则，甲方有权向乙方进行索赔，且赔偿金额不超过甲方已向乙方支付的服务费用金额。</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7.3  </w:t>
      </w:r>
      <w:r>
        <w:rPr>
          <w:rFonts w:hint="eastAsia" w:ascii="仿宋" w:hAnsi="仿宋" w:eastAsia="仿宋" w:cs="Times New Roman"/>
          <w:color w:val="auto"/>
          <w:kern w:val="2"/>
          <w:sz w:val="28"/>
          <w:szCs w:val="24"/>
        </w:rPr>
        <w:t>甲乙双方均应保护对方的知识产权，未经对方同意，任何一方均不得对对方的资料及文件擅自修改、复制或向第三人转让或用于本合同项目外的项目。如发生以上情况，有权向违约方进行索赔，且赔偿金额不超过甲方已向乙方支付的服务费用金额。</w:t>
      </w:r>
    </w:p>
    <w:p>
      <w:pPr>
        <w:spacing w:before="156" w:line="360" w:lineRule="auto"/>
        <w:rPr>
          <w:rFonts w:ascii="仿宋" w:hAnsi="仿宋" w:eastAsia="仿宋" w:cs="Times New Roman"/>
          <w:b/>
          <w:color w:val="auto"/>
          <w:kern w:val="2"/>
          <w:sz w:val="28"/>
          <w:szCs w:val="24"/>
        </w:rPr>
      </w:pPr>
      <w:r>
        <w:rPr>
          <w:rFonts w:hint="eastAsia" w:ascii="仿宋" w:hAnsi="仿宋" w:eastAsia="仿宋" w:cs="Times New Roman"/>
          <w:b/>
          <w:color w:val="auto"/>
          <w:kern w:val="2"/>
          <w:sz w:val="28"/>
          <w:szCs w:val="24"/>
        </w:rPr>
        <w:t>第八条</w:t>
      </w:r>
      <w:r>
        <w:rPr>
          <w:rFonts w:ascii="仿宋" w:hAnsi="仿宋" w:eastAsia="仿宋" w:cs="Times New Roman"/>
          <w:b/>
          <w:color w:val="auto"/>
          <w:kern w:val="2"/>
          <w:sz w:val="28"/>
          <w:szCs w:val="24"/>
        </w:rPr>
        <w:t xml:space="preserve">  </w:t>
      </w:r>
      <w:r>
        <w:rPr>
          <w:rFonts w:hint="eastAsia" w:ascii="仿宋" w:hAnsi="仿宋" w:eastAsia="仿宋" w:cs="Times New Roman"/>
          <w:b/>
          <w:color w:val="auto"/>
          <w:kern w:val="2"/>
          <w:sz w:val="28"/>
          <w:szCs w:val="24"/>
        </w:rPr>
        <w:t>解决合同纠纷的方式</w:t>
      </w:r>
    </w:p>
    <w:p>
      <w:pPr>
        <w:spacing w:line="360" w:lineRule="auto"/>
        <w:ind w:firstLine="560" w:firstLineChars="200"/>
        <w:rPr>
          <w:rFonts w:ascii="仿宋" w:hAnsi="仿宋" w:eastAsia="仿宋" w:cs="Times New Roman"/>
          <w:color w:val="auto"/>
          <w:kern w:val="2"/>
          <w:sz w:val="28"/>
          <w:szCs w:val="24"/>
        </w:rPr>
      </w:pPr>
      <w:r>
        <w:rPr>
          <w:rFonts w:hint="eastAsia" w:ascii="仿宋" w:hAnsi="仿宋" w:eastAsia="仿宋" w:cs="Times New Roman"/>
          <w:color w:val="auto"/>
          <w:kern w:val="2"/>
          <w:sz w:val="28"/>
          <w:szCs w:val="24"/>
        </w:rPr>
        <w:t>在执行本合同中发生的或与本合同有关的争端，双方应当本着互谅互让的原则进行友好协商，经协商在</w:t>
      </w:r>
      <w:r>
        <w:rPr>
          <w:rFonts w:ascii="仿宋" w:hAnsi="仿宋" w:eastAsia="仿宋" w:cs="Times New Roman"/>
          <w:color w:val="auto"/>
          <w:kern w:val="2"/>
          <w:sz w:val="28"/>
          <w:szCs w:val="24"/>
          <w:u w:val="single"/>
        </w:rPr>
        <w:t xml:space="preserve"> 30 </w:t>
      </w:r>
      <w:r>
        <w:rPr>
          <w:rFonts w:hint="eastAsia" w:ascii="仿宋" w:hAnsi="仿宋" w:eastAsia="仿宋" w:cs="Times New Roman"/>
          <w:color w:val="auto"/>
          <w:kern w:val="2"/>
          <w:sz w:val="28"/>
          <w:szCs w:val="24"/>
        </w:rPr>
        <w:t>天内不能达成协议时，任何一方可以按下列</w:t>
      </w:r>
      <w:r>
        <w:rPr>
          <w:rFonts w:ascii="仿宋" w:hAnsi="仿宋" w:eastAsia="仿宋" w:cs="Times New Roman"/>
          <w:color w:val="auto"/>
          <w:kern w:val="2"/>
          <w:sz w:val="28"/>
          <w:szCs w:val="24"/>
          <w:u w:val="single"/>
        </w:rPr>
        <w:t xml:space="preserve"> 8.2 </w:t>
      </w:r>
      <w:r>
        <w:rPr>
          <w:rFonts w:hint="eastAsia" w:ascii="仿宋" w:hAnsi="仿宋" w:eastAsia="仿宋" w:cs="Times New Roman"/>
          <w:color w:val="auto"/>
          <w:kern w:val="2"/>
          <w:sz w:val="28"/>
          <w:szCs w:val="24"/>
        </w:rPr>
        <w:t>种方式解决：</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8.1  </w:t>
      </w:r>
      <w:r>
        <w:rPr>
          <w:rFonts w:hint="eastAsia" w:ascii="仿宋" w:hAnsi="仿宋" w:eastAsia="仿宋" w:cs="Times New Roman"/>
          <w:color w:val="auto"/>
          <w:kern w:val="2"/>
          <w:sz w:val="28"/>
          <w:szCs w:val="24"/>
        </w:rPr>
        <w:t>提交成都仲裁委员会仲裁；</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8.2  </w:t>
      </w:r>
      <w:r>
        <w:rPr>
          <w:rFonts w:hint="eastAsia" w:ascii="仿宋" w:hAnsi="仿宋" w:eastAsia="仿宋" w:cs="Times New Roman"/>
          <w:color w:val="auto"/>
          <w:kern w:val="2"/>
          <w:sz w:val="28"/>
          <w:szCs w:val="24"/>
        </w:rPr>
        <w:t>依法向甲方住所地人民法院起诉。</w:t>
      </w:r>
    </w:p>
    <w:p>
      <w:pPr>
        <w:spacing w:before="156" w:line="360" w:lineRule="auto"/>
        <w:rPr>
          <w:rFonts w:ascii="仿宋" w:hAnsi="仿宋" w:eastAsia="仿宋" w:cs="Times New Roman"/>
          <w:b/>
          <w:color w:val="auto"/>
          <w:kern w:val="2"/>
          <w:sz w:val="28"/>
          <w:szCs w:val="24"/>
        </w:rPr>
      </w:pPr>
      <w:r>
        <w:rPr>
          <w:rFonts w:hint="eastAsia" w:ascii="仿宋" w:hAnsi="仿宋" w:eastAsia="仿宋" w:cs="Times New Roman"/>
          <w:b/>
          <w:color w:val="auto"/>
          <w:kern w:val="2"/>
          <w:sz w:val="28"/>
          <w:szCs w:val="24"/>
        </w:rPr>
        <w:t>第九条</w:t>
      </w:r>
      <w:r>
        <w:rPr>
          <w:rFonts w:ascii="仿宋" w:hAnsi="仿宋" w:eastAsia="仿宋" w:cs="Times New Roman"/>
          <w:b/>
          <w:color w:val="auto"/>
          <w:kern w:val="2"/>
          <w:sz w:val="28"/>
          <w:szCs w:val="24"/>
        </w:rPr>
        <w:t xml:space="preserve">  </w:t>
      </w:r>
      <w:r>
        <w:rPr>
          <w:rFonts w:hint="eastAsia" w:ascii="仿宋" w:hAnsi="仿宋" w:eastAsia="仿宋" w:cs="Times New Roman"/>
          <w:b/>
          <w:color w:val="auto"/>
          <w:kern w:val="2"/>
          <w:sz w:val="28"/>
          <w:szCs w:val="24"/>
        </w:rPr>
        <w:t>附则</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9.1  </w:t>
      </w:r>
      <w:r>
        <w:rPr>
          <w:rFonts w:hint="eastAsia" w:ascii="仿宋" w:hAnsi="仿宋" w:eastAsia="仿宋" w:cs="Times New Roman"/>
          <w:color w:val="auto"/>
          <w:kern w:val="2"/>
          <w:sz w:val="28"/>
          <w:szCs w:val="24"/>
        </w:rPr>
        <w:t>甲方委托乙方承担本合同内容以外的工作服务，应另外支付费用。</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9.2  </w:t>
      </w:r>
      <w:r>
        <w:rPr>
          <w:rFonts w:hint="eastAsia" w:ascii="仿宋" w:hAnsi="仿宋" w:eastAsia="仿宋" w:cs="Times New Roman"/>
          <w:color w:val="auto"/>
          <w:kern w:val="2"/>
          <w:sz w:val="28"/>
          <w:szCs w:val="24"/>
        </w:rPr>
        <w:t>由于不可抗力因素造成本合同无法履行时，双方应及时协商解决，均不负责任。本条前款所指不可抗力包括因战争、动乱或其它非甲乙方责任造成的爆炸、火灾及其它不能预见、不能避免并不能克服的客观情况。</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9.3  </w:t>
      </w:r>
      <w:r>
        <w:rPr>
          <w:rFonts w:hint="eastAsia" w:ascii="仿宋" w:hAnsi="仿宋" w:eastAsia="仿宋" w:cs="Times New Roman"/>
          <w:color w:val="auto"/>
          <w:kern w:val="2"/>
          <w:sz w:val="28"/>
          <w:szCs w:val="24"/>
        </w:rPr>
        <w:t>若甲方要求乙方提供超过本合同约定的图纸和文件份数，或需增加新规划设计内容，甲方应向乙方支付增加工作和文件成本部分的费用，具体数额按实际发生量结算支付。</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9.4  </w:t>
      </w:r>
      <w:r>
        <w:rPr>
          <w:rFonts w:hint="eastAsia" w:ascii="仿宋" w:hAnsi="仿宋" w:eastAsia="仿宋" w:cs="Times New Roman"/>
          <w:color w:val="auto"/>
          <w:kern w:val="2"/>
          <w:sz w:val="28"/>
          <w:szCs w:val="24"/>
        </w:rPr>
        <w:t>因甲方责任造成规划设计工作的调整、修改、返工或重作设计，应另行支付增加部分设计费用，具体费用由双方另行商议，并签订补充协议。</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9.5  </w:t>
      </w:r>
      <w:r>
        <w:rPr>
          <w:rFonts w:hint="eastAsia" w:ascii="仿宋" w:hAnsi="仿宋" w:eastAsia="仿宋" w:cs="Times New Roman"/>
          <w:color w:val="auto"/>
          <w:kern w:val="2"/>
          <w:sz w:val="28"/>
          <w:szCs w:val="24"/>
        </w:rPr>
        <w:t>任何一方若需对本合同另作修改或补充，须经双方共同协商，并签订书面补充协议，补充协议是本合同的组成部分，与本合同具有同等法律效力。</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9.6  </w:t>
      </w:r>
      <w:r>
        <w:rPr>
          <w:rFonts w:hint="eastAsia" w:ascii="仿宋" w:hAnsi="仿宋" w:eastAsia="仿宋" w:cs="Times New Roman"/>
          <w:color w:val="auto"/>
          <w:kern w:val="2"/>
          <w:sz w:val="28"/>
          <w:szCs w:val="24"/>
        </w:rPr>
        <w:t>双方认可的来往传真、电报、会议纪要等，均为合同的组成部分，与本合同具有同等法律效力。</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9.7  </w:t>
      </w:r>
      <w:r>
        <w:rPr>
          <w:rFonts w:hint="eastAsia" w:ascii="仿宋" w:hAnsi="仿宋" w:eastAsia="仿宋" w:cs="Times New Roman"/>
          <w:color w:val="auto"/>
          <w:kern w:val="2"/>
          <w:sz w:val="28"/>
          <w:szCs w:val="24"/>
        </w:rPr>
        <w:t>如有未尽事宜，须经双方共同协商，签订书面补充协议，补充协议是本合同的组成部分，与本合同具有同等法律效力。</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9.8  </w:t>
      </w:r>
      <w:r>
        <w:rPr>
          <w:rFonts w:hint="eastAsia" w:ascii="仿宋" w:hAnsi="仿宋" w:eastAsia="仿宋" w:cs="Times New Roman"/>
          <w:color w:val="auto"/>
          <w:kern w:val="2"/>
          <w:sz w:val="28"/>
          <w:szCs w:val="24"/>
        </w:rPr>
        <w:t>双方履行完本合同规定的全部权利和义务后，本合同自行失效。</w:t>
      </w:r>
    </w:p>
    <w:p>
      <w:pPr>
        <w:spacing w:line="360" w:lineRule="auto"/>
        <w:ind w:firstLine="560" w:firstLineChars="200"/>
        <w:rPr>
          <w:rFonts w:ascii="仿宋" w:hAnsi="仿宋" w:eastAsia="仿宋" w:cs="Times New Roman"/>
          <w:color w:val="auto"/>
          <w:kern w:val="2"/>
          <w:sz w:val="28"/>
          <w:szCs w:val="24"/>
        </w:rPr>
      </w:pPr>
      <w:r>
        <w:rPr>
          <w:rFonts w:ascii="仿宋" w:hAnsi="仿宋" w:eastAsia="仿宋" w:cs="Times New Roman"/>
          <w:color w:val="auto"/>
          <w:kern w:val="2"/>
          <w:sz w:val="28"/>
          <w:szCs w:val="24"/>
        </w:rPr>
        <w:t xml:space="preserve">9.9  </w:t>
      </w:r>
      <w:r>
        <w:rPr>
          <w:rFonts w:hint="eastAsia" w:ascii="仿宋" w:hAnsi="仿宋" w:eastAsia="仿宋" w:cs="Times New Roman"/>
          <w:color w:val="auto"/>
          <w:kern w:val="2"/>
          <w:sz w:val="28"/>
          <w:szCs w:val="24"/>
        </w:rPr>
        <w:t>本合同一式</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u w:val="single"/>
        </w:rPr>
        <w:t>捌</w:t>
      </w:r>
      <w:r>
        <w:rPr>
          <w:rFonts w:ascii="仿宋" w:hAnsi="仿宋" w:eastAsia="仿宋" w:cs="Times New Roman"/>
          <w:color w:val="auto"/>
          <w:kern w:val="2"/>
          <w:sz w:val="28"/>
          <w:szCs w:val="24"/>
          <w:u w:val="single"/>
        </w:rPr>
        <w:t xml:space="preserve"> </w:t>
      </w:r>
      <w:r>
        <w:rPr>
          <w:rFonts w:hint="eastAsia" w:ascii="仿宋" w:hAnsi="仿宋" w:eastAsia="仿宋" w:cs="Times New Roman"/>
          <w:color w:val="auto"/>
          <w:kern w:val="2"/>
          <w:sz w:val="28"/>
          <w:szCs w:val="24"/>
        </w:rPr>
        <w:t>份，甲、乙双方各执</w:t>
      </w:r>
      <w:r>
        <w:rPr>
          <w:rFonts w:hint="eastAsia" w:ascii="仿宋" w:hAnsi="仿宋" w:eastAsia="仿宋" w:cs="Times New Roman"/>
          <w:color w:val="auto"/>
          <w:kern w:val="2"/>
          <w:sz w:val="28"/>
          <w:szCs w:val="24"/>
          <w:u w:val="single"/>
        </w:rPr>
        <w:t xml:space="preserve"> 肆 </w:t>
      </w:r>
      <w:r>
        <w:rPr>
          <w:rFonts w:hint="eastAsia" w:ascii="仿宋" w:hAnsi="仿宋" w:eastAsia="仿宋" w:cs="Times New Roman"/>
          <w:color w:val="auto"/>
          <w:kern w:val="2"/>
          <w:sz w:val="28"/>
          <w:szCs w:val="24"/>
        </w:rPr>
        <w:t>份，由双方签字、盖章后即生效。</w:t>
      </w:r>
    </w:p>
    <w:p>
      <w:pPr>
        <w:spacing w:line="480" w:lineRule="exact"/>
        <w:rPr>
          <w:rFonts w:ascii="宋体" w:hAnsi="宋体" w:eastAsia="宋体" w:cs="Times New Roman"/>
          <w:color w:val="auto"/>
          <w:kern w:val="0"/>
          <w:sz w:val="24"/>
          <w:szCs w:val="28"/>
        </w:rPr>
      </w:pPr>
    </w:p>
    <w:p>
      <w:pPr>
        <w:spacing w:line="360" w:lineRule="auto"/>
        <w:ind w:firstLine="560" w:firstLineChars="200"/>
        <w:rPr>
          <w:rFonts w:ascii="仿宋" w:hAnsi="仿宋" w:eastAsia="仿宋" w:cs="Times New Roman"/>
          <w:color w:val="auto"/>
          <w:kern w:val="2"/>
          <w:sz w:val="28"/>
          <w:szCs w:val="24"/>
        </w:rPr>
      </w:pPr>
      <w:r>
        <w:rPr>
          <w:rFonts w:hint="eastAsia" w:ascii="仿宋" w:hAnsi="仿宋" w:eastAsia="仿宋" w:cs="Times New Roman"/>
          <w:color w:val="auto"/>
          <w:kern w:val="2"/>
          <w:sz w:val="28"/>
          <w:szCs w:val="24"/>
        </w:rPr>
        <w:t>（以下无正文，为本合同签字盖章页）</w:t>
      </w:r>
    </w:p>
    <w:p>
      <w:pPr>
        <w:pStyle w:val="4"/>
        <w:bidi w:val="0"/>
        <w:outlineLvl w:val="0"/>
        <w:rPr>
          <w:rFonts w:hint="eastAsia" w:ascii="宋体" w:hAnsi="宋体" w:eastAsia="宋体" w:cs="宋体"/>
          <w:color w:val="auto"/>
          <w:sz w:val="24"/>
          <w:szCs w:val="24"/>
          <w:highlight w:val="none"/>
        </w:rPr>
      </w:pPr>
      <w:bookmarkStart w:id="1724" w:name="_Toc1421"/>
      <w:bookmarkStart w:id="1725" w:name="_Toc22219"/>
      <w:bookmarkStart w:id="1726" w:name="_Toc25623"/>
      <w:r>
        <w:rPr>
          <w:rFonts w:hint="eastAsia" w:ascii="宋体" w:hAnsi="宋体" w:eastAsia="宋体" w:cs="宋体"/>
          <w:color w:val="auto"/>
          <w:sz w:val="24"/>
          <w:szCs w:val="24"/>
          <w:highlight w:val="none"/>
          <w:lang w:val="en-US" w:eastAsia="zh-CN"/>
        </w:rPr>
        <w:t>附件一：川财采【2018】123号</w:t>
      </w:r>
      <w:r>
        <w:rPr>
          <w:rFonts w:hint="eastAsia" w:ascii="宋体" w:hAnsi="宋体" w:eastAsia="宋体" w:cs="宋体"/>
          <w:color w:val="auto"/>
          <w:sz w:val="24"/>
          <w:szCs w:val="24"/>
          <w:highlight w:val="none"/>
        </w:rPr>
        <w:t> </w:t>
      </w:r>
      <w:bookmarkEnd w:id="1724"/>
      <w:bookmarkEnd w:id="1725"/>
      <w:bookmarkEnd w:id="1726"/>
    </w:p>
    <w:p>
      <w:pPr>
        <w:pStyle w:val="90"/>
        <w:spacing w:before="0" w:after="0" w:line="240" w:lineRule="atLeast"/>
        <w:jc w:val="center"/>
        <w:rPr>
          <w:rStyle w:val="69"/>
          <w:rFonts w:hint="eastAsia" w:ascii="宋体" w:hAnsi="宋体" w:eastAsia="宋体" w:cs="宋体"/>
          <w:color w:val="auto"/>
          <w:highlight w:val="none"/>
        </w:rPr>
      </w:pPr>
      <w:r>
        <w:rPr>
          <w:rStyle w:val="69"/>
          <w:rFonts w:hint="eastAsia" w:ascii="宋体" w:hAnsi="宋体" w:eastAsia="宋体" w:cs="宋体"/>
          <w:color w:val="auto"/>
          <w:highlight w:val="none"/>
        </w:rPr>
        <w:drawing>
          <wp:inline distT="0" distB="0" distL="114300" distR="114300">
            <wp:extent cx="4480560" cy="1571625"/>
            <wp:effectExtent l="0" t="0" r="0" b="13335"/>
            <wp:docPr id="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2"/>
                    <pic:cNvPicPr>
                      <a:picLocks noChangeAspect="1"/>
                    </pic:cNvPicPr>
                  </pic:nvPicPr>
                  <pic:blipFill>
                    <a:blip r:embed="rId17"/>
                    <a:stretch>
                      <a:fillRect/>
                    </a:stretch>
                  </pic:blipFill>
                  <pic:spPr>
                    <a:xfrm>
                      <a:off x="0" y="0"/>
                      <a:ext cx="4480560" cy="1571625"/>
                    </a:xfrm>
                    <a:prstGeom prst="rect">
                      <a:avLst/>
                    </a:prstGeom>
                    <a:noFill/>
                    <a:ln>
                      <a:noFill/>
                    </a:ln>
                  </pic:spPr>
                </pic:pic>
              </a:graphicData>
            </a:graphic>
          </wp:inline>
        </w:drawing>
      </w:r>
    </w:p>
    <w:p>
      <w:pPr>
        <w:pStyle w:val="90"/>
        <w:spacing w:before="0" w:after="0" w:line="240" w:lineRule="atLeast"/>
        <w:rPr>
          <w:rStyle w:val="69"/>
          <w:rFonts w:hint="eastAsia" w:ascii="宋体" w:hAnsi="宋体" w:eastAsia="宋体" w:cs="宋体"/>
          <w:color w:val="auto"/>
          <w:highlight w:val="none"/>
        </w:rPr>
      </w:pPr>
      <w:r>
        <w:rPr>
          <w:rStyle w:val="69"/>
          <w:rFonts w:hint="eastAsia" w:ascii="宋体" w:hAnsi="宋体" w:eastAsia="宋体" w:cs="宋体"/>
          <w:color w:val="auto"/>
          <w:sz w:val="32"/>
          <w:szCs w:val="32"/>
          <w:highlight w:val="none"/>
        </w:rPr>
        <w:t> </w:t>
      </w:r>
    </w:p>
    <w:p>
      <w:pPr>
        <w:pStyle w:val="90"/>
        <w:keepNext w:val="0"/>
        <w:keepLines w:val="0"/>
        <w:pageBreakBefore w:val="0"/>
        <w:widowControl/>
        <w:kinsoku/>
        <w:wordWrap/>
        <w:overflowPunct/>
        <w:topLinePunct w:val="0"/>
        <w:autoSpaceDE/>
        <w:autoSpaceDN/>
        <w:bidi w:val="0"/>
        <w:adjustRightInd/>
        <w:snapToGrid/>
        <w:spacing w:before="0" w:after="0" w:line="440" w:lineRule="atLeast"/>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各市（州）、扩权县（市）财政局，各省直机关、事业单位、团体组织，各金融机构，各采购代理机构，各政府采购供应商：</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一、融资概念</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left="634"/>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二、基本原则</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（一）财政引导，市场运行</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财政部门推进“政采贷”，银行和供应商按照自愿原则参与。供应商自愿选择是否申请“政采贷”，银行依据其内部审查制度和决策程序决定是否为供应商提供融资，自担风险。</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（二）建立机制，服务银企</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（三）优质优惠，加强扶持</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三、基本条件</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（一）银行暨“政采贷”金融产品</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1、征集。</w:t>
      </w:r>
      <w:r>
        <w:rPr>
          <w:rStyle w:val="69"/>
          <w:rFonts w:hint="eastAsia" w:ascii="宋体" w:hAnsi="宋体" w:eastAsia="宋体" w:cs="宋体"/>
          <w:color w:val="auto"/>
          <w:sz w:val="24"/>
          <w:szCs w:val="24"/>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申请材料应当包括银行基本情况、“政采贷”产品名称、申请贷款条件、申请贷款方式、申请贷款程序、贷款审查流程、贷款额度、发放贷款时间、收款方式及其他优质服务和优惠承诺等。</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银行提供的“政采贷”产品应当满足“无抵押担保、程序简便、利率优惠、放款及时”的基本条件以及本通知其他相关规定。</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银行申请材料中应当载明其自愿提供“政采贷”产品，自担风险，不得要求或者变相要求财政部门和采购人为其提供风险担保、承诺。</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2、公示。</w:t>
      </w:r>
      <w:r>
        <w:rPr>
          <w:rStyle w:val="69"/>
          <w:rFonts w:hint="eastAsia" w:ascii="宋体" w:hAnsi="宋体" w:eastAsia="宋体" w:cs="宋体"/>
          <w:color w:val="auto"/>
          <w:sz w:val="24"/>
          <w:szCs w:val="24"/>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9"/>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（二）供应商</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9"/>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政府采购供应商向银行申请“政采贷”，应当满足下列基本条件：</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9"/>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1、具有依法承担民事责任的能力；</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9"/>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2、具有依法履行政府采购合同的能力；</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9"/>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3、参加的政府采购活动未被财政部门依法暂停、责令重新开展或者认定中标、成交无效；</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9"/>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4、无《</w:t>
      </w:r>
      <w:r>
        <w:rPr>
          <w:rStyle w:val="69"/>
          <w:rFonts w:hint="eastAsia" w:ascii="宋体" w:hAnsi="宋体" w:eastAsia="宋体" w:cs="宋体"/>
          <w:color w:val="auto"/>
          <w:sz w:val="24"/>
          <w:szCs w:val="24"/>
          <w:highlight w:val="none"/>
          <w:lang w:val="en-US" w:eastAsia="zh-CN"/>
        </w:rPr>
        <w:t>中华人民共和国</w:t>
      </w:r>
      <w:r>
        <w:rPr>
          <w:rStyle w:val="69"/>
          <w:rFonts w:hint="eastAsia" w:ascii="宋体" w:hAnsi="宋体" w:eastAsia="宋体" w:cs="宋体"/>
          <w:color w:val="auto"/>
          <w:sz w:val="24"/>
          <w:szCs w:val="24"/>
          <w:highlight w:val="none"/>
        </w:rPr>
        <w:t>政府采购法》第二十二条第一款第（五）项所称的重大违法记录；</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9"/>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5、未被法院、市场监管、税务、银行等部门单位纳入失信名单且在有效期内；</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9"/>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6、</w:t>
      </w:r>
      <w:r>
        <w:rPr>
          <w:rStyle w:val="69"/>
          <w:rFonts w:hint="eastAsia" w:ascii="宋体" w:hAnsi="宋体" w:eastAsia="宋体" w:cs="宋体"/>
          <w:color w:val="auto"/>
          <w:sz w:val="24"/>
          <w:szCs w:val="24"/>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9"/>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7、</w:t>
      </w:r>
      <w:r>
        <w:rPr>
          <w:rStyle w:val="69"/>
          <w:rFonts w:hint="eastAsia" w:ascii="宋体" w:hAnsi="宋体" w:eastAsia="宋体" w:cs="宋体"/>
          <w:color w:val="auto"/>
          <w:sz w:val="24"/>
          <w:szCs w:val="24"/>
          <w:highlight w:val="none"/>
        </w:rPr>
        <w:t>其他银行要求的不属于提供财产抵押或第三方担保的条件。</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四、构建平台</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四川省财政厅将在四川政府采购网统一构建四川省“政采贷”信息化服务平台，推进四川省“政采贷”工作信息化建设。</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五、财金互动</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六、基本流程</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（一）意向申请</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 xml:space="preserve">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 </w:t>
      </w:r>
      <w:r>
        <w:rPr>
          <w:rStyle w:val="69"/>
          <w:rFonts w:hint="eastAsia" w:ascii="宋体" w:hAnsi="宋体" w:eastAsia="宋体" w:cs="宋体"/>
          <w:b/>
          <w:color w:val="auto"/>
          <w:sz w:val="24"/>
          <w:szCs w:val="24"/>
          <w:highlight w:val="none"/>
        </w:rPr>
        <w:t>                                 （二）正式申请</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2"/>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（三）贷款审查</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（四）信息报送</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（五）资金支付</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政府采购资金支付过程中，银行需要查询采购资金支付进程有关信息的，财政部门和采购人应当支持。</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七、职责要求</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2"/>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（一）</w:t>
      </w:r>
      <w:r>
        <w:rPr>
          <w:rStyle w:val="69"/>
          <w:rFonts w:hint="eastAsia" w:ascii="宋体" w:hAnsi="宋体" w:eastAsia="宋体" w:cs="宋体"/>
          <w:color w:val="auto"/>
          <w:sz w:val="24"/>
          <w:szCs w:val="24"/>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2"/>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（二）</w:t>
      </w:r>
      <w:r>
        <w:rPr>
          <w:rStyle w:val="69"/>
          <w:rFonts w:hint="eastAsia" w:ascii="宋体" w:hAnsi="宋体" w:eastAsia="宋体" w:cs="宋体"/>
          <w:color w:val="auto"/>
          <w:sz w:val="24"/>
          <w:szCs w:val="24"/>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（三）</w:t>
      </w:r>
      <w:r>
        <w:rPr>
          <w:rStyle w:val="69"/>
          <w:rFonts w:hint="eastAsia" w:ascii="宋体" w:hAnsi="宋体" w:eastAsia="宋体" w:cs="宋体"/>
          <w:color w:val="auto"/>
          <w:sz w:val="24"/>
          <w:szCs w:val="24"/>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2"/>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（四）</w:t>
      </w:r>
      <w:r>
        <w:rPr>
          <w:rStyle w:val="69"/>
          <w:rFonts w:hint="eastAsia" w:ascii="宋体" w:hAnsi="宋体" w:eastAsia="宋体" w:cs="宋体"/>
          <w:color w:val="auto"/>
          <w:sz w:val="24"/>
          <w:szCs w:val="24"/>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（五）</w:t>
      </w:r>
      <w:r>
        <w:rPr>
          <w:rStyle w:val="69"/>
          <w:rFonts w:hint="eastAsia" w:ascii="宋体" w:hAnsi="宋体" w:eastAsia="宋体" w:cs="宋体"/>
          <w:color w:val="auto"/>
          <w:sz w:val="24"/>
          <w:szCs w:val="24"/>
          <w:highlight w:val="none"/>
        </w:rPr>
        <w:t>供应商应当依法参加政府采购活动，公平竞争，诚实守信，严格按照政府采购合同履约，严格按照借款合同偿还债务。</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（六）</w:t>
      </w:r>
      <w:r>
        <w:rPr>
          <w:rStyle w:val="69"/>
          <w:rFonts w:hint="eastAsia" w:ascii="宋体" w:hAnsi="宋体" w:eastAsia="宋体" w:cs="宋体"/>
          <w:color w:val="auto"/>
          <w:sz w:val="24"/>
          <w:szCs w:val="24"/>
          <w:highlight w:val="none"/>
        </w:rPr>
        <w:t>财政部门、采购人、采购代理机构及其他有关单位和个人不得违规干预供应商选择“政采贷”银行及其产品，也不得违规干预银行向供应商进行贷款。</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（七）</w:t>
      </w:r>
      <w:r>
        <w:rPr>
          <w:rStyle w:val="69"/>
          <w:rFonts w:hint="eastAsia" w:ascii="宋体" w:hAnsi="宋体" w:eastAsia="宋体" w:cs="宋体"/>
          <w:color w:val="auto"/>
          <w:sz w:val="24"/>
          <w:szCs w:val="24"/>
          <w:highlight w:val="none"/>
        </w:rPr>
        <w:t>相关单位和个人在开展“政采贷”工作过程中，发现新问题、新情况或者有意见建议的，请及时向四川省财政厅反馈。</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八、违规处理</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（一）银行违规处理</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（二）供应商违规处理</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b/>
          <w:color w:val="auto"/>
          <w:sz w:val="24"/>
          <w:szCs w:val="24"/>
          <w:highlight w:val="none"/>
        </w:rPr>
        <w:t>（三）其他违规处理</w:t>
      </w:r>
    </w:p>
    <w:p>
      <w:pPr>
        <w:pStyle w:val="90"/>
        <w:keepNext w:val="0"/>
        <w:keepLines w:val="0"/>
        <w:pageBreakBefore w:val="0"/>
        <w:widowControl/>
        <w:kinsoku/>
        <w:wordWrap/>
        <w:overflowPunct/>
        <w:topLinePunct w:val="0"/>
        <w:autoSpaceDE/>
        <w:autoSpaceDN/>
        <w:bidi w:val="0"/>
        <w:adjustRightInd/>
        <w:snapToGrid/>
        <w:spacing w:before="0" w:after="0" w:line="440" w:lineRule="atLeast"/>
        <w:ind w:firstLine="628"/>
        <w:textAlignment w:val="baseline"/>
        <w:rPr>
          <w:rStyle w:val="69"/>
          <w:rFonts w:hint="eastAsia" w:ascii="宋体" w:hAnsi="宋体" w:eastAsia="宋体" w:cs="宋体"/>
          <w:color w:val="auto"/>
          <w:sz w:val="24"/>
          <w:szCs w:val="24"/>
          <w:highlight w:val="none"/>
        </w:rPr>
      </w:pPr>
      <w:r>
        <w:rPr>
          <w:rStyle w:val="69"/>
          <w:rFonts w:hint="eastAsia" w:ascii="宋体" w:hAnsi="宋体" w:eastAsia="宋体" w:cs="宋体"/>
          <w:color w:val="auto"/>
          <w:sz w:val="24"/>
          <w:szCs w:val="24"/>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90"/>
        <w:spacing w:before="0" w:after="0" w:line="580" w:lineRule="atLeast"/>
        <w:ind w:firstLine="628"/>
        <w:jc w:val="right"/>
        <w:rPr>
          <w:rStyle w:val="69"/>
          <w:rFonts w:hint="eastAsia" w:ascii="宋体" w:hAnsi="宋体" w:eastAsia="宋体" w:cs="宋体"/>
          <w:color w:val="auto"/>
          <w:highlight w:val="none"/>
        </w:rPr>
      </w:pPr>
      <w:r>
        <w:rPr>
          <w:rStyle w:val="69"/>
          <w:rFonts w:hint="eastAsia" w:ascii="宋体" w:hAnsi="宋体" w:eastAsia="宋体" w:cs="宋体"/>
          <w:color w:val="auto"/>
          <w:sz w:val="32"/>
          <w:szCs w:val="32"/>
          <w:highlight w:val="none"/>
        </w:rPr>
        <w:t> </w:t>
      </w:r>
      <w:r>
        <w:rPr>
          <w:rStyle w:val="69"/>
          <w:rFonts w:hint="eastAsia" w:ascii="宋体" w:hAnsi="宋体" w:eastAsia="宋体" w:cs="宋体"/>
          <w:color w:val="auto"/>
          <w:sz w:val="18"/>
          <w:szCs w:val="18"/>
          <w:highlight w:val="none"/>
        </w:rPr>
        <w:drawing>
          <wp:inline distT="0" distB="0" distL="114300" distR="114300">
            <wp:extent cx="1771650" cy="1781175"/>
            <wp:effectExtent l="0" t="0" r="11430" b="1905"/>
            <wp:docPr id="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3"/>
                    <pic:cNvPicPr>
                      <a:picLocks noChangeAspect="1"/>
                    </pic:cNvPicPr>
                  </pic:nvPicPr>
                  <pic:blipFill>
                    <a:blip r:embed="rId18"/>
                    <a:stretch>
                      <a:fillRect/>
                    </a:stretch>
                  </pic:blipFill>
                  <pic:spPr>
                    <a:xfrm>
                      <a:off x="0" y="0"/>
                      <a:ext cx="1771650" cy="1781175"/>
                    </a:xfrm>
                    <a:prstGeom prst="rect">
                      <a:avLst/>
                    </a:prstGeom>
                    <a:noFill/>
                    <a:ln>
                      <a:noFill/>
                    </a:ln>
                  </pic:spPr>
                </pic:pic>
              </a:graphicData>
            </a:graphic>
          </wp:inline>
        </w:drawing>
      </w:r>
    </w:p>
    <w:p>
      <w:pPr>
        <w:pStyle w:val="88"/>
        <w:widowControl/>
        <w:rPr>
          <w:rStyle w:val="69"/>
          <w:rFonts w:hint="eastAsia" w:ascii="宋体" w:hAnsi="宋体" w:eastAsia="宋体" w:cs="宋体"/>
          <w:color w:val="auto"/>
          <w:sz w:val="18"/>
          <w:szCs w:val="18"/>
          <w:highlight w:val="none"/>
        </w:rPr>
      </w:pPr>
    </w:p>
    <w:p>
      <w:pPr>
        <w:pStyle w:val="4"/>
        <w:bidi w:val="0"/>
        <w:outlineLvl w:val="0"/>
        <w:rPr>
          <w:rStyle w:val="69"/>
          <w:rFonts w:hint="eastAsia" w:ascii="宋体" w:hAnsi="宋体" w:eastAsia="宋体" w:cs="宋体"/>
          <w:color w:val="auto"/>
          <w:sz w:val="18"/>
          <w:szCs w:val="18"/>
          <w:highlight w:val="none"/>
        </w:rPr>
      </w:pPr>
      <w:bookmarkStart w:id="1727" w:name="_Toc19473"/>
      <w:bookmarkStart w:id="1728" w:name="_Toc30471"/>
      <w:r>
        <w:rPr>
          <w:rFonts w:hint="eastAsia" w:ascii="宋体" w:hAnsi="宋体" w:eastAsia="宋体" w:cs="宋体"/>
          <w:color w:val="auto"/>
          <w:sz w:val="24"/>
          <w:szCs w:val="24"/>
          <w:highlight w:val="none"/>
          <w:lang w:val="en-US" w:eastAsia="zh-CN"/>
        </w:rPr>
        <w:t>附件二：成</w:t>
      </w:r>
      <w:bookmarkEnd w:id="1727"/>
      <w:r>
        <w:rPr>
          <w:rFonts w:hint="eastAsia" w:ascii="宋体" w:hAnsi="宋体" w:eastAsia="宋体" w:cs="宋体"/>
          <w:color w:val="auto"/>
          <w:sz w:val="24"/>
          <w:szCs w:val="24"/>
          <w:highlight w:val="none"/>
          <w:lang w:val="en-US" w:eastAsia="zh-CN"/>
        </w:rPr>
        <w:t>财采【2019】17号文</w:t>
      </w:r>
      <w:bookmarkEnd w:id="1728"/>
      <w:r>
        <w:rPr>
          <w:rStyle w:val="69"/>
          <w:rFonts w:hint="eastAsia" w:ascii="宋体" w:hAnsi="宋体" w:eastAsia="宋体" w:cs="宋体"/>
          <w:color w:val="auto"/>
          <w:sz w:val="18"/>
          <w:szCs w:val="18"/>
          <w:highlight w:val="none"/>
        </w:rPr>
        <w:t xml:space="preserve">   </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4873625" cy="7276465"/>
            <wp:effectExtent l="0" t="0" r="3175" b="8255"/>
            <wp:docPr id="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4"/>
                    <pic:cNvPicPr>
                      <a:picLocks noChangeAspect="1"/>
                    </pic:cNvPicPr>
                  </pic:nvPicPr>
                  <pic:blipFill>
                    <a:blip r:embed="rId19"/>
                    <a:stretch>
                      <a:fillRect/>
                    </a:stretch>
                  </pic:blipFill>
                  <pic:spPr>
                    <a:xfrm>
                      <a:off x="0" y="0"/>
                      <a:ext cx="4873625" cy="7276465"/>
                    </a:xfrm>
                    <a:prstGeom prst="rect">
                      <a:avLst/>
                    </a:prstGeom>
                    <a:noFill/>
                    <a:ln>
                      <a:noFill/>
                    </a:ln>
                  </pic:spPr>
                </pic:pic>
              </a:graphicData>
            </a:graphic>
          </wp:inline>
        </w:drawing>
      </w: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64785" cy="7888605"/>
            <wp:effectExtent l="0" t="0" r="8255" b="5715"/>
            <wp:docPr id="1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5"/>
                    <pic:cNvPicPr>
                      <a:picLocks noChangeAspect="1"/>
                    </pic:cNvPicPr>
                  </pic:nvPicPr>
                  <pic:blipFill>
                    <a:blip r:embed="rId20"/>
                    <a:stretch>
                      <a:fillRect/>
                    </a:stretch>
                  </pic:blipFill>
                  <pic:spPr>
                    <a:xfrm>
                      <a:off x="0" y="0"/>
                      <a:ext cx="5264785" cy="7888605"/>
                    </a:xfrm>
                    <a:prstGeom prst="rect">
                      <a:avLst/>
                    </a:prstGeom>
                    <a:noFill/>
                    <a:ln>
                      <a:noFill/>
                    </a:ln>
                  </pic:spPr>
                </pic:pic>
              </a:graphicData>
            </a:graphic>
          </wp:inline>
        </w:drawing>
      </w: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26685" cy="7235825"/>
            <wp:effectExtent l="0" t="0" r="635" b="3175"/>
            <wp:docPr id="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6"/>
                    <pic:cNvPicPr>
                      <a:picLocks noChangeAspect="1"/>
                    </pic:cNvPicPr>
                  </pic:nvPicPr>
                  <pic:blipFill>
                    <a:blip r:embed="rId21"/>
                    <a:stretch>
                      <a:fillRect/>
                    </a:stretch>
                  </pic:blipFill>
                  <pic:spPr>
                    <a:xfrm>
                      <a:off x="0" y="0"/>
                      <a:ext cx="5226685" cy="7235825"/>
                    </a:xfrm>
                    <a:prstGeom prst="rect">
                      <a:avLst/>
                    </a:prstGeom>
                    <a:noFill/>
                    <a:ln>
                      <a:noFill/>
                    </a:ln>
                  </pic:spPr>
                </pic:pic>
              </a:graphicData>
            </a:graphic>
          </wp:inline>
        </w:drawing>
      </w: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450840" cy="7713980"/>
            <wp:effectExtent l="0" t="0" r="5080" b="12700"/>
            <wp:docPr id="1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7"/>
                    <pic:cNvPicPr>
                      <a:picLocks noChangeAspect="1"/>
                    </pic:cNvPicPr>
                  </pic:nvPicPr>
                  <pic:blipFill>
                    <a:blip r:embed="rId22"/>
                    <a:stretch>
                      <a:fillRect/>
                    </a:stretch>
                  </pic:blipFill>
                  <pic:spPr>
                    <a:xfrm>
                      <a:off x="0" y="0"/>
                      <a:ext cx="5450840" cy="7713980"/>
                    </a:xfrm>
                    <a:prstGeom prst="rect">
                      <a:avLst/>
                    </a:prstGeom>
                    <a:noFill/>
                    <a:ln>
                      <a:noFill/>
                    </a:ln>
                  </pic:spPr>
                </pic:pic>
              </a:graphicData>
            </a:graphic>
          </wp:inline>
        </w:drawing>
      </w: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66055" cy="6833235"/>
            <wp:effectExtent l="0" t="0" r="6985" b="9525"/>
            <wp:docPr id="1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8"/>
                    <pic:cNvPicPr>
                      <a:picLocks noChangeAspect="1"/>
                    </pic:cNvPicPr>
                  </pic:nvPicPr>
                  <pic:blipFill>
                    <a:blip r:embed="rId23"/>
                    <a:stretch>
                      <a:fillRect/>
                    </a:stretch>
                  </pic:blipFill>
                  <pic:spPr>
                    <a:xfrm>
                      <a:off x="0" y="0"/>
                      <a:ext cx="5266055" cy="6833235"/>
                    </a:xfrm>
                    <a:prstGeom prst="rect">
                      <a:avLst/>
                    </a:prstGeom>
                    <a:noFill/>
                    <a:ln>
                      <a:noFill/>
                    </a:ln>
                  </pic:spPr>
                </pic:pic>
              </a:graphicData>
            </a:graphic>
          </wp:inline>
        </w:drawing>
      </w: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86375" cy="7481570"/>
            <wp:effectExtent l="0" t="0" r="1905" b="1270"/>
            <wp:docPr id="1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9"/>
                    <pic:cNvPicPr>
                      <a:picLocks noChangeAspect="1"/>
                    </pic:cNvPicPr>
                  </pic:nvPicPr>
                  <pic:blipFill>
                    <a:blip r:embed="rId24"/>
                    <a:stretch>
                      <a:fillRect/>
                    </a:stretch>
                  </pic:blipFill>
                  <pic:spPr>
                    <a:xfrm>
                      <a:off x="0" y="0"/>
                      <a:ext cx="5286375" cy="7481570"/>
                    </a:xfrm>
                    <a:prstGeom prst="rect">
                      <a:avLst/>
                    </a:prstGeom>
                    <a:noFill/>
                    <a:ln>
                      <a:noFill/>
                    </a:ln>
                  </pic:spPr>
                </pic:pic>
              </a:graphicData>
            </a:graphic>
          </wp:inline>
        </w:drawing>
      </w: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12080" cy="7030720"/>
            <wp:effectExtent l="0" t="0" r="0" b="10160"/>
            <wp:docPr id="1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0"/>
                    <pic:cNvPicPr>
                      <a:picLocks noChangeAspect="1"/>
                    </pic:cNvPicPr>
                  </pic:nvPicPr>
                  <pic:blipFill>
                    <a:blip r:embed="rId25"/>
                    <a:stretch>
                      <a:fillRect/>
                    </a:stretch>
                  </pic:blipFill>
                  <pic:spPr>
                    <a:xfrm>
                      <a:off x="0" y="0"/>
                      <a:ext cx="5212080" cy="7030720"/>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403215" cy="7634605"/>
            <wp:effectExtent l="0" t="0" r="6985" b="635"/>
            <wp:docPr id="1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1"/>
                    <pic:cNvPicPr>
                      <a:picLocks noChangeAspect="1"/>
                    </pic:cNvPicPr>
                  </pic:nvPicPr>
                  <pic:blipFill>
                    <a:blip r:embed="rId26"/>
                    <a:stretch>
                      <a:fillRect/>
                    </a:stretch>
                  </pic:blipFill>
                  <pic:spPr>
                    <a:xfrm>
                      <a:off x="0" y="0"/>
                      <a:ext cx="5403215" cy="7634605"/>
                    </a:xfrm>
                    <a:prstGeom prst="rect">
                      <a:avLst/>
                    </a:prstGeom>
                    <a:noFill/>
                    <a:ln>
                      <a:noFill/>
                    </a:ln>
                  </pic:spPr>
                </pic:pic>
              </a:graphicData>
            </a:graphic>
          </wp:inline>
        </w:drawing>
      </w: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449570" cy="7125970"/>
            <wp:effectExtent l="0" t="0" r="6350" b="6350"/>
            <wp:docPr id="1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2"/>
                    <pic:cNvPicPr>
                      <a:picLocks noChangeAspect="1"/>
                    </pic:cNvPicPr>
                  </pic:nvPicPr>
                  <pic:blipFill>
                    <a:blip r:embed="rId27"/>
                    <a:stretch>
                      <a:fillRect/>
                    </a:stretch>
                  </pic:blipFill>
                  <pic:spPr>
                    <a:xfrm>
                      <a:off x="0" y="0"/>
                      <a:ext cx="5449570" cy="7125970"/>
                    </a:xfrm>
                    <a:prstGeom prst="rect">
                      <a:avLst/>
                    </a:prstGeom>
                    <a:noFill/>
                    <a:ln>
                      <a:noFill/>
                    </a:ln>
                  </pic:spPr>
                </pic:pic>
              </a:graphicData>
            </a:graphic>
          </wp:inline>
        </w:drawing>
      </w: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361305" cy="7586980"/>
            <wp:effectExtent l="0" t="0" r="3175" b="2540"/>
            <wp:docPr id="1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3"/>
                    <pic:cNvPicPr>
                      <a:picLocks noChangeAspect="1"/>
                    </pic:cNvPicPr>
                  </pic:nvPicPr>
                  <pic:blipFill>
                    <a:blip r:embed="rId28"/>
                    <a:stretch>
                      <a:fillRect/>
                    </a:stretch>
                  </pic:blipFill>
                  <pic:spPr>
                    <a:xfrm>
                      <a:off x="0" y="0"/>
                      <a:ext cx="5361305" cy="7586980"/>
                    </a:xfrm>
                    <a:prstGeom prst="rect">
                      <a:avLst/>
                    </a:prstGeom>
                    <a:noFill/>
                    <a:ln>
                      <a:noFill/>
                    </a:ln>
                  </pic:spPr>
                </pic:pic>
              </a:graphicData>
            </a:graphic>
          </wp:inline>
        </w:drawing>
      </w: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120640" cy="6731635"/>
            <wp:effectExtent l="0" t="0" r="0" b="4445"/>
            <wp:docPr id="1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4"/>
                    <pic:cNvPicPr>
                      <a:picLocks noChangeAspect="1"/>
                    </pic:cNvPicPr>
                  </pic:nvPicPr>
                  <pic:blipFill>
                    <a:blip r:embed="rId29"/>
                    <a:stretch>
                      <a:fillRect/>
                    </a:stretch>
                  </pic:blipFill>
                  <pic:spPr>
                    <a:xfrm>
                      <a:off x="0" y="0"/>
                      <a:ext cx="5120640" cy="6731635"/>
                    </a:xfrm>
                    <a:prstGeom prst="rect">
                      <a:avLst/>
                    </a:prstGeom>
                    <a:noFill/>
                    <a:ln>
                      <a:noFill/>
                    </a:ln>
                  </pic:spPr>
                </pic:pic>
              </a:graphicData>
            </a:graphic>
          </wp:inline>
        </w:drawing>
      </w: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450205" cy="7700010"/>
            <wp:effectExtent l="0" t="0" r="5715" b="11430"/>
            <wp:docPr id="2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5"/>
                    <pic:cNvPicPr>
                      <a:picLocks noChangeAspect="1"/>
                    </pic:cNvPicPr>
                  </pic:nvPicPr>
                  <pic:blipFill>
                    <a:blip r:embed="rId30"/>
                    <a:stretch>
                      <a:fillRect/>
                    </a:stretch>
                  </pic:blipFill>
                  <pic:spPr>
                    <a:xfrm>
                      <a:off x="0" y="0"/>
                      <a:ext cx="5450205" cy="7700010"/>
                    </a:xfrm>
                    <a:prstGeom prst="rect">
                      <a:avLst/>
                    </a:prstGeom>
                    <a:noFill/>
                    <a:ln>
                      <a:noFill/>
                    </a:ln>
                  </pic:spPr>
                </pic:pic>
              </a:graphicData>
            </a:graphic>
          </wp:inline>
        </w:drawing>
      </w: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22240" cy="6724650"/>
            <wp:effectExtent l="0" t="0" r="5080" b="11430"/>
            <wp:docPr id="2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6"/>
                    <pic:cNvPicPr>
                      <a:picLocks noChangeAspect="1"/>
                    </pic:cNvPicPr>
                  </pic:nvPicPr>
                  <pic:blipFill>
                    <a:blip r:embed="rId31"/>
                    <a:stretch>
                      <a:fillRect/>
                    </a:stretch>
                  </pic:blipFill>
                  <pic:spPr>
                    <a:xfrm>
                      <a:off x="0" y="0"/>
                      <a:ext cx="5222240" cy="6724650"/>
                    </a:xfrm>
                    <a:prstGeom prst="rect">
                      <a:avLst/>
                    </a:prstGeom>
                    <a:noFill/>
                    <a:ln>
                      <a:noFill/>
                    </a:ln>
                  </pic:spPr>
                </pic:pic>
              </a:graphicData>
            </a:graphic>
          </wp:inline>
        </w:drawing>
      </w: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48910" cy="7428230"/>
            <wp:effectExtent l="0" t="0" r="8890" b="8890"/>
            <wp:docPr id="2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7"/>
                    <pic:cNvPicPr>
                      <a:picLocks noChangeAspect="1"/>
                    </pic:cNvPicPr>
                  </pic:nvPicPr>
                  <pic:blipFill>
                    <a:blip r:embed="rId32"/>
                    <a:stretch>
                      <a:fillRect/>
                    </a:stretch>
                  </pic:blipFill>
                  <pic:spPr>
                    <a:xfrm>
                      <a:off x="0" y="0"/>
                      <a:ext cx="5248910" cy="7428230"/>
                    </a:xfrm>
                    <a:prstGeom prst="rect">
                      <a:avLst/>
                    </a:prstGeom>
                    <a:noFill/>
                    <a:ln>
                      <a:noFill/>
                    </a:ln>
                  </pic:spPr>
                </pic:pic>
              </a:graphicData>
            </a:graphic>
          </wp:inline>
        </w:drawing>
      </w: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highlight w:val="none"/>
        </w:rPr>
        <w:drawing>
          <wp:inline distT="0" distB="0" distL="114300" distR="114300">
            <wp:extent cx="5323205" cy="6654800"/>
            <wp:effectExtent l="0" t="0" r="10795" b="5080"/>
            <wp:docPr id="2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8"/>
                    <pic:cNvPicPr>
                      <a:picLocks noChangeAspect="1"/>
                    </pic:cNvPicPr>
                  </pic:nvPicPr>
                  <pic:blipFill>
                    <a:blip r:embed="rId33"/>
                    <a:stretch>
                      <a:fillRect/>
                    </a:stretch>
                  </pic:blipFill>
                  <pic:spPr>
                    <a:xfrm>
                      <a:off x="0" y="0"/>
                      <a:ext cx="5323205" cy="6654800"/>
                    </a:xfrm>
                    <a:prstGeom prst="rect">
                      <a:avLst/>
                    </a:prstGeom>
                    <a:noFill/>
                    <a:ln>
                      <a:noFill/>
                    </a:ln>
                  </pic:spPr>
                </pic:pic>
              </a:graphicData>
            </a:graphic>
          </wp:inline>
        </w:drawing>
      </w:r>
      <w:r>
        <w:rPr>
          <w:rFonts w:hint="eastAsia" w:ascii="宋体" w:hAnsi="宋体" w:eastAsia="宋体" w:cs="宋体"/>
          <w:b/>
          <w:bCs/>
          <w:color w:val="auto"/>
          <w:sz w:val="24"/>
          <w:szCs w:val="24"/>
          <w:highlight w:val="none"/>
          <w:lang w:val="en-US" w:eastAsia="zh-CN"/>
        </w:rPr>
        <w:t xml:space="preserve"> </w:t>
      </w:r>
    </w:p>
    <w:p>
      <w:pPr>
        <w:pStyle w:val="4"/>
        <w:bidi w:val="0"/>
        <w:outlineLvl w:val="9"/>
        <w:rPr>
          <w:rStyle w:val="69"/>
          <w:rFonts w:hint="eastAsia" w:ascii="宋体" w:hAnsi="宋体" w:eastAsia="宋体" w:cs="宋体"/>
          <w:color w:val="auto"/>
          <w:highlight w:val="none"/>
        </w:rPr>
      </w:pPr>
      <w:bookmarkStart w:id="1729" w:name="_Toc19910"/>
      <w:bookmarkStart w:id="1730" w:name="_Toc19297"/>
      <w:bookmarkStart w:id="1731" w:name="_Toc6253"/>
      <w:bookmarkStart w:id="1732" w:name="_Toc10607"/>
      <w:bookmarkStart w:id="1733" w:name="_Toc11310"/>
      <w:r>
        <w:rPr>
          <w:rFonts w:hint="eastAsia" w:ascii="宋体" w:hAnsi="宋体" w:eastAsia="宋体" w:cs="宋体"/>
          <w:b/>
          <w:bCs/>
          <w:color w:val="auto"/>
          <w:sz w:val="24"/>
          <w:szCs w:val="24"/>
          <w:highlight w:val="none"/>
          <w:lang w:val="en-US" w:eastAsia="zh-CN"/>
        </w:rPr>
        <w:drawing>
          <wp:inline distT="0" distB="0" distL="114300" distR="114300">
            <wp:extent cx="5233670" cy="7395210"/>
            <wp:effectExtent l="0" t="0" r="8890" b="11430"/>
            <wp:docPr id="24" name="图片 59" descr="关于增补“蓉采贷”政策合作银行及做好相关工作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9" descr="关于增补“蓉采贷”政策合作银行及做好相关工作的通知_01"/>
                    <pic:cNvPicPr>
                      <a:picLocks noChangeAspect="1"/>
                    </pic:cNvPicPr>
                  </pic:nvPicPr>
                  <pic:blipFill>
                    <a:blip r:embed="rId34"/>
                    <a:stretch>
                      <a:fillRect/>
                    </a:stretch>
                  </pic:blipFill>
                  <pic:spPr>
                    <a:xfrm>
                      <a:off x="0" y="0"/>
                      <a:ext cx="5233670" cy="7395210"/>
                    </a:xfrm>
                    <a:prstGeom prst="rect">
                      <a:avLst/>
                    </a:prstGeom>
                    <a:noFill/>
                    <a:ln>
                      <a:noFill/>
                    </a:ln>
                  </pic:spPr>
                </pic:pic>
              </a:graphicData>
            </a:graphic>
          </wp:inline>
        </w:drawing>
      </w:r>
      <w:r>
        <w:rPr>
          <w:rFonts w:hint="eastAsia" w:ascii="宋体" w:hAnsi="宋体" w:eastAsia="宋体" w:cs="宋体"/>
          <w:b/>
          <w:bCs/>
          <w:color w:val="auto"/>
          <w:sz w:val="24"/>
          <w:szCs w:val="24"/>
          <w:highlight w:val="none"/>
          <w:lang w:val="en-US" w:eastAsia="zh-CN"/>
        </w:rPr>
        <w:drawing>
          <wp:inline distT="0" distB="0" distL="114300" distR="114300">
            <wp:extent cx="5233670" cy="7395210"/>
            <wp:effectExtent l="0" t="0" r="8890" b="11430"/>
            <wp:docPr id="25" name="图片 60" descr="关于增补“蓉采贷”政策合作银行及做好相关工作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0" descr="关于增补“蓉采贷”政策合作银行及做好相关工作的通知_02"/>
                    <pic:cNvPicPr>
                      <a:picLocks noChangeAspect="1"/>
                    </pic:cNvPicPr>
                  </pic:nvPicPr>
                  <pic:blipFill>
                    <a:blip r:embed="rId35"/>
                    <a:stretch>
                      <a:fillRect/>
                    </a:stretch>
                  </pic:blipFill>
                  <pic:spPr>
                    <a:xfrm>
                      <a:off x="0" y="0"/>
                      <a:ext cx="5233670" cy="7395210"/>
                    </a:xfrm>
                    <a:prstGeom prst="rect">
                      <a:avLst/>
                    </a:prstGeom>
                    <a:noFill/>
                    <a:ln>
                      <a:noFill/>
                    </a:ln>
                  </pic:spPr>
                </pic:pic>
              </a:graphicData>
            </a:graphic>
          </wp:inline>
        </w:drawing>
      </w:r>
      <w:bookmarkEnd w:id="1729"/>
      <w:bookmarkEnd w:id="1730"/>
      <w:bookmarkEnd w:id="1731"/>
      <w:bookmarkEnd w:id="1732"/>
      <w:bookmarkEnd w:id="1733"/>
      <w:r>
        <w:rPr>
          <w:rFonts w:hint="eastAsia" w:ascii="宋体" w:hAnsi="宋体" w:eastAsia="宋体" w:cs="宋体"/>
          <w:b/>
          <w:bCs/>
          <w:color w:val="auto"/>
          <w:sz w:val="24"/>
          <w:szCs w:val="24"/>
          <w:highlight w:val="none"/>
          <w:lang w:val="en-US" w:eastAsia="zh-CN"/>
        </w:rPr>
        <w:t xml:space="preserve">                                               </w:t>
      </w:r>
    </w:p>
    <w:p>
      <w:pPr>
        <w:pStyle w:val="20"/>
        <w:rPr>
          <w:rFonts w:hint="eastAsia" w:ascii="宋体" w:hAnsi="宋体" w:eastAsia="宋体" w:cs="宋体"/>
          <w:color w:val="auto"/>
          <w:highlight w:val="none"/>
        </w:rPr>
      </w:pPr>
    </w:p>
    <w:p>
      <w:pPr>
        <w:pStyle w:val="20"/>
        <w:rPr>
          <w:rFonts w:hint="eastAsia" w:ascii="宋体" w:hAnsi="宋体" w:eastAsia="宋体" w:cs="宋体"/>
          <w:color w:val="auto"/>
          <w:highlight w:val="none"/>
        </w:rPr>
      </w:pPr>
    </w:p>
    <w:p>
      <w:pPr>
        <w:pStyle w:val="4"/>
        <w:bidi w:val="0"/>
        <w:rPr>
          <w:rFonts w:hint="eastAsia" w:ascii="宋体" w:hAnsi="宋体" w:eastAsia="宋体" w:cs="宋体"/>
          <w:b/>
          <w:bCs/>
          <w:color w:val="auto"/>
          <w:sz w:val="24"/>
          <w:szCs w:val="24"/>
          <w:highlight w:val="none"/>
          <w:lang w:val="en-US" w:eastAsia="zh-CN"/>
        </w:rPr>
      </w:pPr>
      <w:bookmarkStart w:id="1734" w:name="_Toc25538"/>
      <w:bookmarkStart w:id="1735" w:name="_Toc15042"/>
      <w:r>
        <w:rPr>
          <w:rFonts w:hint="eastAsia" w:ascii="宋体" w:hAnsi="宋体" w:eastAsia="宋体" w:cs="宋体"/>
          <w:b/>
          <w:bCs/>
          <w:color w:val="auto"/>
          <w:sz w:val="24"/>
          <w:szCs w:val="24"/>
          <w:highlight w:val="none"/>
          <w:lang w:val="en-US" w:eastAsia="zh-CN" w:bidi="ar-SA"/>
        </w:rPr>
        <w:t>附件三</w:t>
      </w:r>
      <w:r>
        <w:rPr>
          <w:rFonts w:hint="eastAsia" w:ascii="宋体" w:hAnsi="宋体" w:eastAsia="宋体" w:cs="宋体"/>
          <w:b/>
          <w:bCs/>
          <w:color w:val="auto"/>
          <w:sz w:val="24"/>
          <w:szCs w:val="24"/>
          <w:highlight w:val="none"/>
          <w:lang w:val="en-US" w:eastAsia="zh-CN"/>
        </w:rPr>
        <w:t>：成财采发【2020】20号</w:t>
      </w:r>
      <w:bookmarkEnd w:id="1734"/>
      <w:bookmarkEnd w:id="1735"/>
      <w:r>
        <w:rPr>
          <w:rFonts w:hint="eastAsia" w:ascii="宋体" w:hAnsi="宋体" w:eastAsia="宋体" w:cs="宋体"/>
          <w:b/>
          <w:bCs/>
          <w:color w:val="auto"/>
          <w:sz w:val="24"/>
          <w:szCs w:val="24"/>
          <w:highlight w:val="none"/>
          <w:lang w:val="en-US" w:eastAsia="zh-CN"/>
        </w:rPr>
        <w:t xml:space="preserve">  </w:t>
      </w:r>
    </w:p>
    <w:p>
      <w:pPr>
        <w:pStyle w:val="4"/>
        <w:bidi w:val="0"/>
        <w:rPr>
          <w:rFonts w:hint="eastAsia" w:ascii="宋体" w:hAnsi="宋体" w:eastAsia="宋体" w:cs="宋体"/>
          <w:b/>
          <w:bCs/>
          <w:color w:val="auto"/>
          <w:sz w:val="24"/>
          <w:szCs w:val="24"/>
          <w:highlight w:val="none"/>
          <w:lang w:val="en-US" w:eastAsia="zh-CN"/>
        </w:rPr>
      </w:pPr>
      <w:bookmarkStart w:id="1736" w:name="_Toc5169"/>
      <w:bookmarkStart w:id="1737" w:name="_Toc25471"/>
      <w:bookmarkStart w:id="1738" w:name="_Toc1682"/>
      <w:bookmarkStart w:id="1739" w:name="_Toc23825"/>
      <w:r>
        <w:rPr>
          <w:rFonts w:hint="eastAsia" w:ascii="宋体" w:hAnsi="宋体" w:eastAsia="宋体" w:cs="宋体"/>
          <w:b/>
          <w:bCs/>
          <w:color w:val="auto"/>
          <w:sz w:val="24"/>
          <w:szCs w:val="24"/>
          <w:highlight w:val="none"/>
          <w:lang w:val="en-US" w:eastAsia="zh-CN"/>
        </w:rPr>
        <w:drawing>
          <wp:inline distT="0" distB="0" distL="114300" distR="114300">
            <wp:extent cx="5112385" cy="7225665"/>
            <wp:effectExtent l="0" t="0" r="8255" b="13335"/>
            <wp:docPr id="26" name="图片 61" descr="关于增补“蓉采贷”政策合作银行及做好相关工作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1" descr="关于增补“蓉采贷”政策合作银行及做好相关工作的通知_00"/>
                    <pic:cNvPicPr>
                      <a:picLocks noChangeAspect="1"/>
                    </pic:cNvPicPr>
                  </pic:nvPicPr>
                  <pic:blipFill>
                    <a:blip r:embed="rId36"/>
                    <a:stretch>
                      <a:fillRect/>
                    </a:stretch>
                  </pic:blipFill>
                  <pic:spPr>
                    <a:xfrm>
                      <a:off x="0" y="0"/>
                      <a:ext cx="5112385" cy="7225665"/>
                    </a:xfrm>
                    <a:prstGeom prst="rect">
                      <a:avLst/>
                    </a:prstGeom>
                    <a:noFill/>
                    <a:ln>
                      <a:noFill/>
                    </a:ln>
                  </pic:spPr>
                </pic:pic>
              </a:graphicData>
            </a:graphic>
          </wp:inline>
        </w:drawing>
      </w:r>
      <w:bookmarkEnd w:id="1736"/>
      <w:bookmarkEnd w:id="1737"/>
      <w:bookmarkEnd w:id="1738"/>
      <w:bookmarkEnd w:id="1739"/>
      <w:r>
        <w:rPr>
          <w:rFonts w:hint="eastAsia" w:ascii="宋体" w:hAnsi="宋体" w:eastAsia="宋体" w:cs="宋体"/>
          <w:b/>
          <w:bCs/>
          <w:color w:val="auto"/>
          <w:sz w:val="24"/>
          <w:szCs w:val="24"/>
          <w:highlight w:val="none"/>
          <w:lang w:val="en-US" w:eastAsia="zh-CN"/>
        </w:rPr>
        <w:t xml:space="preserve">   </w:t>
      </w:r>
    </w:p>
    <w:p>
      <w:pPr>
        <w:pStyle w:val="4"/>
        <w:bidi w:val="0"/>
        <w:rPr>
          <w:rStyle w:val="69"/>
          <w:rFonts w:hint="eastAsia" w:ascii="宋体" w:hAnsi="宋体" w:eastAsia="宋体" w:cs="宋体"/>
          <w:color w:val="auto"/>
          <w:highlight w:val="none"/>
        </w:rPr>
      </w:pPr>
      <w:bookmarkStart w:id="1740" w:name="_Toc11805"/>
      <w:bookmarkStart w:id="1741" w:name="_Toc2397"/>
      <w:bookmarkStart w:id="1742" w:name="_Toc24240"/>
      <w:r>
        <w:rPr>
          <w:rFonts w:hint="eastAsia" w:ascii="宋体" w:hAnsi="宋体" w:eastAsia="宋体" w:cs="宋体"/>
          <w:b/>
          <w:bCs/>
          <w:color w:val="auto"/>
          <w:sz w:val="24"/>
          <w:szCs w:val="24"/>
          <w:highlight w:val="none"/>
          <w:lang w:val="en-US" w:eastAsia="zh-CN"/>
        </w:rPr>
        <w:drawing>
          <wp:inline distT="0" distB="0" distL="114300" distR="114300">
            <wp:extent cx="5233670" cy="7395210"/>
            <wp:effectExtent l="0" t="0" r="8890" b="11430"/>
            <wp:docPr id="27" name="图片 62" descr="关于增补“蓉采贷”政策合作银行及做好相关工作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2" descr="关于增补“蓉采贷”政策合作银行及做好相关工作的通知_01"/>
                    <pic:cNvPicPr>
                      <a:picLocks noChangeAspect="1"/>
                    </pic:cNvPicPr>
                  </pic:nvPicPr>
                  <pic:blipFill>
                    <a:blip r:embed="rId34"/>
                    <a:stretch>
                      <a:fillRect/>
                    </a:stretch>
                  </pic:blipFill>
                  <pic:spPr>
                    <a:xfrm>
                      <a:off x="0" y="0"/>
                      <a:ext cx="5233670" cy="7395210"/>
                    </a:xfrm>
                    <a:prstGeom prst="rect">
                      <a:avLst/>
                    </a:prstGeom>
                    <a:noFill/>
                    <a:ln>
                      <a:noFill/>
                    </a:ln>
                  </pic:spPr>
                </pic:pic>
              </a:graphicData>
            </a:graphic>
          </wp:inline>
        </w:drawing>
      </w:r>
      <w:r>
        <w:rPr>
          <w:rFonts w:hint="eastAsia" w:ascii="宋体" w:hAnsi="宋体" w:eastAsia="宋体" w:cs="宋体"/>
          <w:b/>
          <w:bCs/>
          <w:color w:val="auto"/>
          <w:sz w:val="24"/>
          <w:szCs w:val="24"/>
          <w:highlight w:val="none"/>
          <w:lang w:val="en-US" w:eastAsia="zh-CN"/>
        </w:rPr>
        <w:drawing>
          <wp:inline distT="0" distB="0" distL="114300" distR="114300">
            <wp:extent cx="5233670" cy="7395210"/>
            <wp:effectExtent l="0" t="0" r="8890" b="11430"/>
            <wp:docPr id="28" name="图片 63" descr="关于增补“蓉采贷”政策合作银行及做好相关工作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3" descr="关于增补“蓉采贷”政策合作银行及做好相关工作的通知_02"/>
                    <pic:cNvPicPr>
                      <a:picLocks noChangeAspect="1"/>
                    </pic:cNvPicPr>
                  </pic:nvPicPr>
                  <pic:blipFill>
                    <a:blip r:embed="rId35"/>
                    <a:stretch>
                      <a:fillRect/>
                    </a:stretch>
                  </pic:blipFill>
                  <pic:spPr>
                    <a:xfrm>
                      <a:off x="0" y="0"/>
                      <a:ext cx="5233670" cy="7395210"/>
                    </a:xfrm>
                    <a:prstGeom prst="rect">
                      <a:avLst/>
                    </a:prstGeom>
                    <a:noFill/>
                    <a:ln>
                      <a:noFill/>
                    </a:ln>
                  </pic:spPr>
                </pic:pic>
              </a:graphicData>
            </a:graphic>
          </wp:inline>
        </w:drawing>
      </w:r>
      <w:bookmarkEnd w:id="1740"/>
      <w:bookmarkEnd w:id="1741"/>
      <w:bookmarkEnd w:id="1742"/>
      <w:r>
        <w:rPr>
          <w:rFonts w:hint="eastAsia" w:ascii="宋体" w:hAnsi="宋体" w:eastAsia="宋体" w:cs="宋体"/>
          <w:b/>
          <w:bCs/>
          <w:color w:val="auto"/>
          <w:sz w:val="24"/>
          <w:szCs w:val="24"/>
          <w:highlight w:val="none"/>
          <w:lang w:val="en-US" w:eastAsia="zh-CN"/>
        </w:rPr>
        <w:t xml:space="preserve">                                               </w:t>
      </w:r>
    </w:p>
    <w:p>
      <w:pPr>
        <w:pStyle w:val="20"/>
        <w:ind w:left="0" w:leftChars="0" w:firstLine="0" w:firstLineChars="0"/>
        <w:rPr>
          <w:rFonts w:hint="eastAsia" w:ascii="宋体" w:hAnsi="宋体" w:eastAsia="宋体" w:cs="宋体"/>
          <w:color w:val="auto"/>
          <w:sz w:val="24"/>
          <w:highlight w:val="none"/>
          <w:lang w:val="en-US" w:eastAsia="zh-CN"/>
        </w:rPr>
      </w:pPr>
    </w:p>
    <w:p>
      <w:pPr>
        <w:spacing w:before="0"/>
        <w:ind w:right="386"/>
        <w:jc w:val="both"/>
        <w:rPr>
          <w:rFonts w:hint="eastAsia" w:ascii="宋体" w:hAnsi="宋体" w:eastAsia="宋体" w:cs="宋体"/>
          <w:b/>
          <w:color w:val="auto"/>
          <w:sz w:val="32"/>
          <w:szCs w:val="32"/>
          <w:highlight w:val="none"/>
          <w:lang w:val="en-US" w:eastAsia="zh-CN"/>
        </w:rPr>
      </w:pPr>
    </w:p>
    <w:p>
      <w:pPr>
        <w:spacing w:before="0"/>
        <w:ind w:right="386"/>
        <w:jc w:val="both"/>
        <w:rPr>
          <w:rFonts w:hint="eastAsia" w:ascii="宋体" w:hAnsi="宋体" w:eastAsia="宋体" w:cs="宋体"/>
          <w:b/>
          <w:color w:val="auto"/>
          <w:sz w:val="32"/>
          <w:szCs w:val="32"/>
          <w:highlight w:val="none"/>
          <w:lang w:val="en-US" w:eastAsia="zh-CN"/>
        </w:rPr>
      </w:pPr>
    </w:p>
    <w:p>
      <w:pPr>
        <w:pStyle w:val="4"/>
        <w:bidi w:val="0"/>
        <w:rPr>
          <w:rFonts w:hint="eastAsia" w:ascii="宋体" w:hAnsi="宋体" w:eastAsia="宋体" w:cs="宋体"/>
          <w:b/>
          <w:bCs/>
          <w:color w:val="auto"/>
          <w:sz w:val="17"/>
          <w:highlight w:val="none"/>
        </w:rPr>
      </w:pPr>
      <w:bookmarkStart w:id="1743" w:name="_Toc3807"/>
      <w:bookmarkStart w:id="1744" w:name="_Toc17266"/>
      <w:r>
        <w:rPr>
          <w:rFonts w:hint="eastAsia" w:ascii="宋体" w:hAnsi="宋体" w:eastAsia="宋体" w:cs="宋体"/>
          <w:b/>
          <w:bCs/>
          <w:color w:val="auto"/>
          <w:sz w:val="24"/>
          <w:szCs w:val="24"/>
          <w:highlight w:val="none"/>
          <w:lang w:val="en-US" w:eastAsia="zh-CN"/>
        </w:rPr>
        <w:t>附件四：</w:t>
      </w:r>
      <w:r>
        <w:rPr>
          <w:rFonts w:hint="eastAsia" w:ascii="宋体" w:hAnsi="宋体" w:eastAsia="宋体" w:cs="宋体"/>
          <w:b/>
          <w:bCs/>
          <w:color w:val="auto"/>
          <w:sz w:val="24"/>
          <w:szCs w:val="24"/>
          <w:highlight w:val="none"/>
        </w:rPr>
        <w:t>各行政监管领域“较大数额罚款"标准一览表</w:t>
      </w:r>
      <w:bookmarkEnd w:id="1743"/>
      <w:bookmarkEnd w:id="1744"/>
    </w:p>
    <w:tbl>
      <w:tblPr>
        <w:tblStyle w:val="34"/>
        <w:tblW w:w="8148" w:type="dxa"/>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6"/>
        <w:gridCol w:w="1031"/>
        <w:gridCol w:w="1455"/>
        <w:gridCol w:w="1350"/>
        <w:gridCol w:w="3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56" w:type="dxa"/>
            <w:noWrap w:val="0"/>
            <w:vAlign w:val="top"/>
          </w:tcPr>
          <w:p>
            <w:pPr>
              <w:pStyle w:val="94"/>
              <w:spacing w:before="15" w:line="280" w:lineRule="atLeast"/>
              <w:ind w:left="218" w:right="204"/>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031" w:type="dxa"/>
            <w:noWrap w:val="0"/>
            <w:vAlign w:val="top"/>
          </w:tcPr>
          <w:p>
            <w:pPr>
              <w:pStyle w:val="94"/>
              <w:spacing w:before="15" w:line="280" w:lineRule="atLeast"/>
              <w:ind w:left="294" w:right="282"/>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部委名称</w:t>
            </w:r>
          </w:p>
        </w:tc>
        <w:tc>
          <w:tcPr>
            <w:tcW w:w="1455" w:type="dxa"/>
            <w:noWrap w:val="0"/>
            <w:vAlign w:val="top"/>
          </w:tcPr>
          <w:p>
            <w:pPr>
              <w:pStyle w:val="94"/>
              <w:spacing w:before="159"/>
              <w:ind w:left="334"/>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规章名称</w:t>
            </w:r>
          </w:p>
        </w:tc>
        <w:tc>
          <w:tcPr>
            <w:tcW w:w="1350" w:type="dxa"/>
            <w:noWrap w:val="0"/>
            <w:vAlign w:val="top"/>
          </w:tcPr>
          <w:p>
            <w:pPr>
              <w:pStyle w:val="94"/>
              <w:spacing w:before="159"/>
              <w:ind w:left="122" w:right="112"/>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规章条文</w:t>
            </w:r>
          </w:p>
        </w:tc>
        <w:tc>
          <w:tcPr>
            <w:tcW w:w="3656" w:type="dxa"/>
            <w:noWrap w:val="0"/>
            <w:vAlign w:val="top"/>
          </w:tcPr>
          <w:p>
            <w:pPr>
              <w:pStyle w:val="94"/>
              <w:spacing w:before="15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「较大数额罚款」简易标准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8148" w:type="dxa"/>
            <w:gridSpan w:val="5"/>
            <w:noWrap w:val="0"/>
            <w:vAlign w:val="top"/>
          </w:tcPr>
          <w:p>
            <w:pPr>
              <w:pStyle w:val="94"/>
              <w:spacing w:before="158"/>
              <w:ind w:left="108"/>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国务院组成部门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6" w:hRule="atLeast"/>
        </w:trPr>
        <w:tc>
          <w:tcPr>
            <w:tcW w:w="656"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5"/>
              <w:rPr>
                <w:rFonts w:hint="eastAsia" w:ascii="宋体" w:hAnsi="宋体" w:eastAsia="宋体" w:cs="宋体"/>
                <w:b/>
                <w:color w:val="auto"/>
                <w:sz w:val="21"/>
                <w:szCs w:val="21"/>
                <w:highlight w:val="none"/>
              </w:rPr>
            </w:pPr>
          </w:p>
          <w:p>
            <w:pPr>
              <w:pStyle w:val="94"/>
              <w:spacing w:before="1"/>
              <w:ind w:left="7"/>
              <w:jc w:val="center"/>
              <w:rPr>
                <w:rFonts w:hint="eastAsia" w:ascii="宋体" w:hAnsi="宋体" w:eastAsia="宋体" w:cs="宋体"/>
                <w:color w:val="auto"/>
                <w:sz w:val="21"/>
                <w:szCs w:val="21"/>
                <w:highlight w:val="none"/>
              </w:rPr>
            </w:pPr>
            <w:r>
              <w:rPr>
                <w:rFonts w:hint="eastAsia" w:ascii="宋体" w:hAnsi="宋体" w:eastAsia="宋体" w:cs="宋体"/>
                <w:color w:val="auto"/>
                <w:w w:val="100"/>
                <w:sz w:val="21"/>
                <w:szCs w:val="21"/>
                <w:highlight w:val="none"/>
              </w:rPr>
              <w:t>1</w:t>
            </w:r>
          </w:p>
        </w:tc>
        <w:tc>
          <w:tcPr>
            <w:tcW w:w="1031"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5"/>
              <w:rPr>
                <w:rFonts w:hint="eastAsia" w:ascii="宋体" w:hAnsi="宋体" w:eastAsia="宋体" w:cs="宋体"/>
                <w:b/>
                <w:color w:val="auto"/>
                <w:sz w:val="21"/>
                <w:szCs w:val="21"/>
                <w:highlight w:val="none"/>
              </w:rPr>
            </w:pPr>
          </w:p>
          <w:p>
            <w:pPr>
              <w:pStyle w:val="94"/>
              <w:spacing w:before="1"/>
              <w:ind w:left="164" w:right="15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公安部</w:t>
            </w:r>
          </w:p>
        </w:tc>
        <w:tc>
          <w:tcPr>
            <w:tcW w:w="1455"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2"/>
              <w:rPr>
                <w:rFonts w:hint="eastAsia" w:ascii="宋体" w:hAnsi="宋体" w:eastAsia="宋体" w:cs="宋体"/>
                <w:b/>
                <w:color w:val="auto"/>
                <w:sz w:val="21"/>
                <w:szCs w:val="21"/>
                <w:highlight w:val="none"/>
              </w:rPr>
            </w:pPr>
          </w:p>
          <w:p>
            <w:pPr>
              <w:pStyle w:val="94"/>
              <w:spacing w:line="242" w:lineRule="auto"/>
              <w:ind w:left="113" w:right="10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《公安机关办理行政案件程序规定》</w:t>
            </w:r>
          </w:p>
        </w:tc>
        <w:tc>
          <w:tcPr>
            <w:tcW w:w="1350"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6" w:line="242" w:lineRule="auto"/>
              <w:ind w:left="472" w:right="128" w:hanging="32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第一百二十三条</w:t>
            </w:r>
          </w:p>
        </w:tc>
        <w:tc>
          <w:tcPr>
            <w:tcW w:w="3656" w:type="dxa"/>
            <w:noWrap w:val="0"/>
            <w:vAlign w:val="top"/>
          </w:tcPr>
          <w:p>
            <w:pPr>
              <w:pStyle w:val="94"/>
              <w:spacing w:before="2" w:line="242" w:lineRule="auto"/>
              <w:ind w:left="108" w:right="95"/>
              <w:jc w:val="both"/>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在作出下列行政处罚决定之前，应当告知违法嫌疑人有要求举行听证的权利：</w:t>
            </w:r>
            <w:r>
              <w:rPr>
                <w:rFonts w:hint="eastAsia" w:ascii="宋体" w:hAnsi="宋体" w:eastAsia="宋体" w:cs="宋体"/>
                <w:color w:val="auto"/>
                <w:sz w:val="21"/>
                <w:szCs w:val="21"/>
                <w:highlight w:val="none"/>
              </w:rPr>
              <w:t>（一</w:t>
            </w:r>
            <w:r>
              <w:rPr>
                <w:rFonts w:hint="eastAsia" w:ascii="宋体" w:hAnsi="宋体" w:eastAsia="宋体" w:cs="宋体"/>
                <w:color w:val="auto"/>
                <w:spacing w:val="-3"/>
                <w:sz w:val="21"/>
                <w:szCs w:val="21"/>
                <w:highlight w:val="none"/>
              </w:rPr>
              <w:t>）</w:t>
            </w:r>
            <w:r>
              <w:rPr>
                <w:rFonts w:hint="eastAsia" w:ascii="宋体" w:hAnsi="宋体" w:eastAsia="宋体" w:cs="宋体"/>
                <w:color w:val="auto"/>
                <w:sz w:val="21"/>
                <w:szCs w:val="21"/>
                <w:highlight w:val="none"/>
              </w:rPr>
              <w:t>责令停</w:t>
            </w:r>
            <w:r>
              <w:rPr>
                <w:rFonts w:hint="eastAsia" w:ascii="宋体" w:hAnsi="宋体" w:eastAsia="宋体" w:cs="宋体"/>
                <w:color w:val="auto"/>
                <w:spacing w:val="-2"/>
                <w:sz w:val="21"/>
                <w:szCs w:val="21"/>
                <w:highlight w:val="none"/>
              </w:rPr>
              <w:t>产停业；</w:t>
            </w:r>
            <w:r>
              <w:rPr>
                <w:rFonts w:hint="eastAsia" w:ascii="宋体" w:hAnsi="宋体" w:eastAsia="宋体" w:cs="宋体"/>
                <w:color w:val="auto"/>
                <w:sz w:val="21"/>
                <w:szCs w:val="21"/>
                <w:highlight w:val="none"/>
              </w:rPr>
              <w:t>（二）</w:t>
            </w:r>
            <w:r>
              <w:rPr>
                <w:rFonts w:hint="eastAsia" w:ascii="宋体" w:hAnsi="宋体" w:eastAsia="宋体" w:cs="宋体"/>
                <w:color w:val="auto"/>
                <w:spacing w:val="-3"/>
                <w:sz w:val="21"/>
                <w:szCs w:val="21"/>
                <w:highlight w:val="none"/>
              </w:rPr>
              <w:t>吊销许可证或者执照；</w:t>
            </w:r>
            <w:r>
              <w:rPr>
                <w:rFonts w:hint="eastAsia" w:ascii="宋体" w:hAnsi="宋体" w:eastAsia="宋体" w:cs="宋体"/>
                <w:color w:val="auto"/>
                <w:sz w:val="21"/>
                <w:szCs w:val="21"/>
                <w:highlight w:val="none"/>
              </w:rPr>
              <w:t xml:space="preserve">（三） </w:t>
            </w:r>
            <w:r>
              <w:rPr>
                <w:rFonts w:hint="eastAsia" w:ascii="宋体" w:hAnsi="宋体" w:eastAsia="宋体" w:cs="宋体"/>
                <w:color w:val="auto"/>
                <w:spacing w:val="-3"/>
                <w:sz w:val="21"/>
                <w:szCs w:val="21"/>
                <w:highlight w:val="none"/>
              </w:rPr>
              <w:t>较大数额罚款；</w:t>
            </w:r>
            <w:r>
              <w:rPr>
                <w:rFonts w:hint="eastAsia" w:ascii="宋体" w:hAnsi="宋体" w:eastAsia="宋体" w:cs="宋体"/>
                <w:color w:val="auto"/>
                <w:sz w:val="21"/>
                <w:szCs w:val="21"/>
                <w:highlight w:val="none"/>
              </w:rPr>
              <w:t>（四）</w:t>
            </w:r>
            <w:r>
              <w:rPr>
                <w:rFonts w:hint="eastAsia" w:ascii="宋体" w:hAnsi="宋体" w:eastAsia="宋体" w:cs="宋体"/>
                <w:color w:val="auto"/>
                <w:spacing w:val="-3"/>
                <w:sz w:val="21"/>
                <w:szCs w:val="21"/>
                <w:highlight w:val="none"/>
              </w:rPr>
              <w:t>法律、法规和规章规定</w:t>
            </w:r>
            <w:r>
              <w:rPr>
                <w:rFonts w:hint="eastAsia" w:ascii="宋体" w:hAnsi="宋体" w:eastAsia="宋体" w:cs="宋体"/>
                <w:color w:val="auto"/>
                <w:spacing w:val="-6"/>
                <w:sz w:val="21"/>
                <w:szCs w:val="21"/>
                <w:highlight w:val="none"/>
              </w:rPr>
              <w:t>违法嫌疑人可以要求举行听证的其他情形。 前</w:t>
            </w:r>
            <w:r>
              <w:rPr>
                <w:rFonts w:hint="eastAsia" w:ascii="宋体" w:hAnsi="宋体" w:eastAsia="宋体" w:cs="宋体"/>
                <w:color w:val="auto"/>
                <w:spacing w:val="-3"/>
                <w:sz w:val="21"/>
                <w:szCs w:val="21"/>
                <w:highlight w:val="none"/>
              </w:rPr>
              <w:t>款第三项所称“较大数额罚款”，是指对个人处以二千元以上罚款，对单位处以一万元以上罚款，对违反边防出境入境管理法律、法规和规章的个人处以六千元以上罚款。对依据地方性法规或者地方政府规章作出的罚款处罚，适</w:t>
            </w:r>
            <w:r>
              <w:rPr>
                <w:rFonts w:hint="eastAsia" w:ascii="宋体" w:hAnsi="宋体" w:eastAsia="宋体" w:cs="宋体"/>
                <w:color w:val="auto"/>
                <w:sz w:val="21"/>
                <w:szCs w:val="21"/>
                <w:highlight w:val="none"/>
              </w:rPr>
              <w:t>用听证的罚款数额按照地方规定执行。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3" w:hRule="atLeast"/>
        </w:trPr>
        <w:tc>
          <w:tcPr>
            <w:tcW w:w="656"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1"/>
              <w:rPr>
                <w:rFonts w:hint="eastAsia" w:ascii="宋体" w:hAnsi="宋体" w:eastAsia="宋体" w:cs="宋体"/>
                <w:b/>
                <w:color w:val="auto"/>
                <w:sz w:val="21"/>
                <w:szCs w:val="21"/>
                <w:highlight w:val="none"/>
              </w:rPr>
            </w:pPr>
          </w:p>
          <w:p>
            <w:pPr>
              <w:pStyle w:val="94"/>
              <w:ind w:left="7"/>
              <w:jc w:val="center"/>
              <w:rPr>
                <w:rFonts w:hint="eastAsia" w:ascii="宋体" w:hAnsi="宋体" w:eastAsia="宋体" w:cs="宋体"/>
                <w:color w:val="auto"/>
                <w:sz w:val="21"/>
                <w:szCs w:val="21"/>
                <w:highlight w:val="none"/>
              </w:rPr>
            </w:pPr>
            <w:r>
              <w:rPr>
                <w:rFonts w:hint="eastAsia" w:ascii="宋体" w:hAnsi="宋体" w:eastAsia="宋体" w:cs="宋体"/>
                <w:color w:val="auto"/>
                <w:w w:val="100"/>
                <w:sz w:val="21"/>
                <w:szCs w:val="21"/>
                <w:highlight w:val="none"/>
              </w:rPr>
              <w:t>2</w:t>
            </w:r>
          </w:p>
        </w:tc>
        <w:tc>
          <w:tcPr>
            <w:tcW w:w="1031"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1"/>
              <w:rPr>
                <w:rFonts w:hint="eastAsia" w:ascii="宋体" w:hAnsi="宋体" w:eastAsia="宋体" w:cs="宋体"/>
                <w:b/>
                <w:color w:val="auto"/>
                <w:sz w:val="21"/>
                <w:szCs w:val="21"/>
                <w:highlight w:val="none"/>
              </w:rPr>
            </w:pPr>
          </w:p>
          <w:p>
            <w:pPr>
              <w:pStyle w:val="94"/>
              <w:ind w:left="164" w:right="15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财政部</w:t>
            </w:r>
          </w:p>
        </w:tc>
        <w:tc>
          <w:tcPr>
            <w:tcW w:w="1455"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7"/>
              <w:rPr>
                <w:rFonts w:hint="eastAsia" w:ascii="宋体" w:hAnsi="宋体" w:eastAsia="宋体" w:cs="宋体"/>
                <w:b/>
                <w:color w:val="auto"/>
                <w:sz w:val="21"/>
                <w:szCs w:val="21"/>
                <w:highlight w:val="none"/>
              </w:rPr>
            </w:pPr>
          </w:p>
          <w:p>
            <w:pPr>
              <w:pStyle w:val="94"/>
              <w:spacing w:before="1" w:line="242" w:lineRule="auto"/>
              <w:ind w:left="113" w:right="10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《财政机关行政处罚听证实施办法》</w:t>
            </w:r>
          </w:p>
        </w:tc>
        <w:tc>
          <w:tcPr>
            <w:tcW w:w="1350"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1"/>
              <w:rPr>
                <w:rFonts w:hint="eastAsia" w:ascii="宋体" w:hAnsi="宋体" w:eastAsia="宋体" w:cs="宋体"/>
                <w:b/>
                <w:color w:val="auto"/>
                <w:sz w:val="21"/>
                <w:szCs w:val="21"/>
                <w:highlight w:val="none"/>
              </w:rPr>
            </w:pPr>
          </w:p>
          <w:p>
            <w:pPr>
              <w:pStyle w:val="94"/>
              <w:ind w:left="120" w:right="11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第六条</w:t>
            </w:r>
          </w:p>
        </w:tc>
        <w:tc>
          <w:tcPr>
            <w:tcW w:w="3656" w:type="dxa"/>
            <w:noWrap w:val="0"/>
            <w:vAlign w:val="top"/>
          </w:tcPr>
          <w:p>
            <w:pPr>
              <w:pStyle w:val="94"/>
              <w:spacing w:before="3" w:line="242" w:lineRule="auto"/>
              <w:ind w:left="108" w:right="-15"/>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财政机关在行政处罚案件调查终结后，对公民、</w:t>
            </w:r>
            <w:r>
              <w:rPr>
                <w:rFonts w:hint="eastAsia" w:ascii="宋体" w:hAnsi="宋体" w:eastAsia="宋体" w:cs="宋体"/>
                <w:color w:val="auto"/>
                <w:spacing w:val="-3"/>
                <w:sz w:val="21"/>
                <w:szCs w:val="21"/>
                <w:highlight w:val="none"/>
              </w:rPr>
              <w:t>法人或者其他组织依法作出下列行政处罚决定</w:t>
            </w:r>
            <w:r>
              <w:rPr>
                <w:rFonts w:hint="eastAsia" w:ascii="宋体" w:hAnsi="宋体" w:eastAsia="宋体" w:cs="宋体"/>
                <w:color w:val="auto"/>
                <w:spacing w:val="-9"/>
                <w:sz w:val="21"/>
                <w:szCs w:val="21"/>
                <w:highlight w:val="none"/>
              </w:rPr>
              <w:t>之前，应当告知当事人有要求举行听证的权利：</w:t>
            </w:r>
          </w:p>
          <w:p>
            <w:pPr>
              <w:pStyle w:val="94"/>
              <w:spacing w:line="242" w:lineRule="auto"/>
              <w:ind w:left="108" w:right="-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pacing w:val="-3"/>
                <w:sz w:val="21"/>
                <w:szCs w:val="21"/>
                <w:highlight w:val="none"/>
              </w:rPr>
              <w:t>一</w:t>
            </w:r>
            <w:r>
              <w:rPr>
                <w:rFonts w:hint="eastAsia" w:ascii="宋体" w:hAnsi="宋体" w:eastAsia="宋体" w:cs="宋体"/>
                <w:color w:val="auto"/>
                <w:sz w:val="21"/>
                <w:szCs w:val="21"/>
                <w:highlight w:val="none"/>
              </w:rPr>
              <w:t>）</w:t>
            </w:r>
            <w:r>
              <w:rPr>
                <w:rFonts w:hint="eastAsia" w:ascii="宋体" w:hAnsi="宋体" w:eastAsia="宋体" w:cs="宋体"/>
                <w:color w:val="auto"/>
                <w:spacing w:val="-3"/>
                <w:sz w:val="21"/>
                <w:szCs w:val="21"/>
                <w:highlight w:val="none"/>
              </w:rPr>
              <w:t>暂停会计师事务所经营业务；</w:t>
            </w:r>
            <w:r>
              <w:rPr>
                <w:rFonts w:hint="eastAsia" w:ascii="宋体" w:hAnsi="宋体" w:eastAsia="宋体" w:cs="宋体"/>
                <w:color w:val="auto"/>
                <w:sz w:val="21"/>
                <w:szCs w:val="21"/>
                <w:highlight w:val="none"/>
              </w:rPr>
              <w:t>（二）暂</w:t>
            </w:r>
            <w:r>
              <w:rPr>
                <w:rFonts w:hint="eastAsia" w:ascii="宋体" w:hAnsi="宋体" w:eastAsia="宋体" w:cs="宋体"/>
                <w:color w:val="auto"/>
                <w:spacing w:val="-3"/>
                <w:sz w:val="21"/>
                <w:szCs w:val="21"/>
                <w:highlight w:val="none"/>
              </w:rPr>
              <w:t>停注册会计师执行业务；</w:t>
            </w:r>
            <w:r>
              <w:rPr>
                <w:rFonts w:hint="eastAsia" w:ascii="宋体" w:hAnsi="宋体" w:eastAsia="宋体" w:cs="宋体"/>
                <w:color w:val="auto"/>
                <w:sz w:val="21"/>
                <w:szCs w:val="21"/>
                <w:highlight w:val="none"/>
              </w:rPr>
              <w:t>（三</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1"/>
                <w:sz w:val="21"/>
                <w:szCs w:val="21"/>
                <w:highlight w:val="none"/>
              </w:rPr>
              <w:t>吊销注册会计</w:t>
            </w:r>
            <w:r>
              <w:rPr>
                <w:rFonts w:hint="eastAsia" w:ascii="宋体" w:hAnsi="宋体" w:eastAsia="宋体" w:cs="宋体"/>
                <w:color w:val="auto"/>
                <w:spacing w:val="-14"/>
                <w:sz w:val="21"/>
                <w:szCs w:val="21"/>
                <w:highlight w:val="none"/>
              </w:rPr>
              <w:t xml:space="preserve">师证书； </w:t>
            </w:r>
            <w:r>
              <w:rPr>
                <w:rFonts w:hint="eastAsia" w:ascii="宋体" w:hAnsi="宋体" w:eastAsia="宋体" w:cs="宋体"/>
                <w:color w:val="auto"/>
                <w:spacing w:val="-3"/>
                <w:sz w:val="21"/>
                <w:szCs w:val="21"/>
                <w:highlight w:val="none"/>
              </w:rPr>
              <w:t>（</w:t>
            </w:r>
            <w:r>
              <w:rPr>
                <w:rFonts w:hint="eastAsia" w:ascii="宋体" w:hAnsi="宋体" w:eastAsia="宋体" w:cs="宋体"/>
                <w:color w:val="auto"/>
                <w:sz w:val="21"/>
                <w:szCs w:val="21"/>
                <w:highlight w:val="none"/>
              </w:rPr>
              <w:t>四</w:t>
            </w:r>
            <w:r>
              <w:rPr>
                <w:rFonts w:hint="eastAsia" w:ascii="宋体" w:hAnsi="宋体" w:eastAsia="宋体" w:cs="宋体"/>
                <w:color w:val="auto"/>
                <w:spacing w:val="-34"/>
                <w:sz w:val="21"/>
                <w:szCs w:val="21"/>
                <w:highlight w:val="none"/>
              </w:rPr>
              <w:t>）</w:t>
            </w:r>
            <w:r>
              <w:rPr>
                <w:rFonts w:hint="eastAsia" w:ascii="宋体" w:hAnsi="宋体" w:eastAsia="宋体" w:cs="宋体"/>
                <w:color w:val="auto"/>
                <w:spacing w:val="-6"/>
                <w:sz w:val="21"/>
                <w:szCs w:val="21"/>
                <w:highlight w:val="none"/>
              </w:rPr>
              <w:t>吊销会计从业资格证书；</w:t>
            </w:r>
            <w:r>
              <w:rPr>
                <w:rFonts w:hint="eastAsia" w:ascii="宋体" w:hAnsi="宋体" w:eastAsia="宋体" w:cs="宋体"/>
                <w:color w:val="auto"/>
                <w:spacing w:val="-36"/>
                <w:sz w:val="21"/>
                <w:szCs w:val="21"/>
                <w:highlight w:val="none"/>
              </w:rPr>
              <w:t>（</w:t>
            </w:r>
            <w:r>
              <w:rPr>
                <w:rFonts w:hint="eastAsia" w:ascii="宋体" w:hAnsi="宋体" w:eastAsia="宋体" w:cs="宋体"/>
                <w:color w:val="auto"/>
                <w:sz w:val="21"/>
                <w:szCs w:val="21"/>
                <w:highlight w:val="none"/>
              </w:rPr>
              <w:t xml:space="preserve">五） </w:t>
            </w:r>
            <w:r>
              <w:rPr>
                <w:rFonts w:hint="eastAsia" w:ascii="宋体" w:hAnsi="宋体" w:eastAsia="宋体" w:cs="宋体"/>
                <w:color w:val="auto"/>
                <w:spacing w:val="-3"/>
                <w:sz w:val="21"/>
                <w:szCs w:val="21"/>
                <w:highlight w:val="none"/>
              </w:rPr>
              <w:t>撤销会计师事务所</w:t>
            </w:r>
            <w:r>
              <w:rPr>
                <w:rFonts w:hint="eastAsia" w:ascii="宋体" w:hAnsi="宋体" w:eastAsia="宋体" w:cs="宋体"/>
                <w:color w:val="auto"/>
                <w:sz w:val="21"/>
                <w:szCs w:val="21"/>
                <w:highlight w:val="none"/>
              </w:rPr>
              <w:t>；（</w:t>
            </w:r>
            <w:r>
              <w:rPr>
                <w:rFonts w:hint="eastAsia" w:ascii="宋体" w:hAnsi="宋体" w:eastAsia="宋体" w:cs="宋体"/>
                <w:color w:val="auto"/>
                <w:spacing w:val="-3"/>
                <w:sz w:val="21"/>
                <w:szCs w:val="21"/>
                <w:highlight w:val="none"/>
              </w:rPr>
              <w:t>六</w:t>
            </w:r>
            <w:r>
              <w:rPr>
                <w:rFonts w:hint="eastAsia" w:ascii="宋体" w:hAnsi="宋体" w:eastAsia="宋体" w:cs="宋体"/>
                <w:color w:val="auto"/>
                <w:sz w:val="21"/>
                <w:szCs w:val="21"/>
                <w:highlight w:val="none"/>
              </w:rPr>
              <w:t>）</w:t>
            </w:r>
            <w:r>
              <w:rPr>
                <w:rFonts w:hint="eastAsia" w:ascii="宋体" w:hAnsi="宋体" w:eastAsia="宋体" w:cs="宋体"/>
                <w:color w:val="auto"/>
                <w:spacing w:val="-3"/>
                <w:sz w:val="21"/>
                <w:szCs w:val="21"/>
                <w:highlight w:val="none"/>
              </w:rPr>
              <w:t>取消政府采购业务</w:t>
            </w:r>
            <w:r>
              <w:rPr>
                <w:rFonts w:hint="eastAsia" w:ascii="宋体" w:hAnsi="宋体" w:eastAsia="宋体" w:cs="宋体"/>
                <w:color w:val="auto"/>
                <w:spacing w:val="-5"/>
                <w:sz w:val="21"/>
                <w:szCs w:val="21"/>
                <w:highlight w:val="none"/>
              </w:rPr>
              <w:t>代理资格；</w:t>
            </w:r>
            <w:r>
              <w:rPr>
                <w:rFonts w:hint="eastAsia" w:ascii="宋体" w:hAnsi="宋体" w:eastAsia="宋体" w:cs="宋体"/>
                <w:color w:val="auto"/>
                <w:spacing w:val="-12"/>
                <w:sz w:val="21"/>
                <w:szCs w:val="21"/>
                <w:highlight w:val="none"/>
              </w:rPr>
              <w:t>（</w:t>
            </w:r>
            <w:r>
              <w:rPr>
                <w:rFonts w:hint="eastAsia" w:ascii="宋体" w:hAnsi="宋体" w:eastAsia="宋体" w:cs="宋体"/>
                <w:color w:val="auto"/>
                <w:sz w:val="21"/>
                <w:szCs w:val="21"/>
                <w:highlight w:val="none"/>
              </w:rPr>
              <w:t>七</w:t>
            </w:r>
            <w:r>
              <w:rPr>
                <w:rFonts w:hint="eastAsia" w:ascii="宋体" w:hAnsi="宋体" w:eastAsia="宋体" w:cs="宋体"/>
                <w:color w:val="auto"/>
                <w:spacing w:val="-13"/>
                <w:sz w:val="21"/>
                <w:szCs w:val="21"/>
                <w:highlight w:val="none"/>
              </w:rPr>
              <w:t>）</w:t>
            </w:r>
            <w:r>
              <w:rPr>
                <w:rFonts w:hint="eastAsia" w:ascii="宋体" w:hAnsi="宋体" w:eastAsia="宋体" w:cs="宋体"/>
                <w:color w:val="auto"/>
                <w:spacing w:val="-5"/>
                <w:sz w:val="21"/>
                <w:szCs w:val="21"/>
                <w:highlight w:val="none"/>
              </w:rPr>
              <w:t>较大数额罚款；</w:t>
            </w:r>
            <w:r>
              <w:rPr>
                <w:rFonts w:hint="eastAsia" w:ascii="宋体" w:hAnsi="宋体" w:eastAsia="宋体" w:cs="宋体"/>
                <w:color w:val="auto"/>
                <w:spacing w:val="-12"/>
                <w:sz w:val="21"/>
                <w:szCs w:val="21"/>
                <w:highlight w:val="none"/>
              </w:rPr>
              <w:t>（</w:t>
            </w:r>
            <w:r>
              <w:rPr>
                <w:rFonts w:hint="eastAsia" w:ascii="宋体" w:hAnsi="宋体" w:eastAsia="宋体" w:cs="宋体"/>
                <w:color w:val="auto"/>
                <w:sz w:val="21"/>
                <w:szCs w:val="21"/>
                <w:highlight w:val="none"/>
              </w:rPr>
              <w:t>八</w:t>
            </w:r>
            <w:r>
              <w:rPr>
                <w:rFonts w:hint="eastAsia" w:ascii="宋体" w:hAnsi="宋体" w:eastAsia="宋体" w:cs="宋体"/>
                <w:color w:val="auto"/>
                <w:spacing w:val="-10"/>
                <w:sz w:val="21"/>
                <w:szCs w:val="21"/>
                <w:highlight w:val="none"/>
              </w:rPr>
              <w:t>）</w:t>
            </w:r>
            <w:r>
              <w:rPr>
                <w:rFonts w:hint="eastAsia" w:ascii="宋体" w:hAnsi="宋体" w:eastAsia="宋体" w:cs="宋体"/>
                <w:color w:val="auto"/>
                <w:spacing w:val="-2"/>
                <w:sz w:val="21"/>
                <w:szCs w:val="21"/>
                <w:highlight w:val="none"/>
              </w:rPr>
              <w:t>法律、</w:t>
            </w:r>
            <w:r>
              <w:rPr>
                <w:rFonts w:hint="eastAsia" w:ascii="宋体" w:hAnsi="宋体" w:eastAsia="宋体" w:cs="宋体"/>
                <w:color w:val="auto"/>
                <w:spacing w:val="-3"/>
                <w:sz w:val="21"/>
                <w:szCs w:val="21"/>
                <w:highlight w:val="none"/>
              </w:rPr>
              <w:t xml:space="preserve">法规和规章规定的其他应当告知听证权利的事项。财政部以及专员办作出罚款行政处罚的， </w:t>
            </w:r>
            <w:r>
              <w:rPr>
                <w:rFonts w:hint="eastAsia" w:ascii="宋体" w:hAnsi="宋体" w:eastAsia="宋体" w:cs="宋体"/>
                <w:color w:val="auto"/>
                <w:spacing w:val="-7"/>
                <w:sz w:val="21"/>
                <w:szCs w:val="21"/>
                <w:highlight w:val="none"/>
              </w:rPr>
              <w:t xml:space="preserve">其“较大数额罚款”的标准为对公民作出 </w:t>
            </w:r>
            <w:r>
              <w:rPr>
                <w:rFonts w:hint="eastAsia" w:ascii="宋体" w:hAnsi="宋体" w:eastAsia="宋体" w:cs="宋体"/>
                <w:color w:val="auto"/>
                <w:sz w:val="21"/>
                <w:szCs w:val="21"/>
                <w:highlight w:val="none"/>
              </w:rPr>
              <w:t>5000</w:t>
            </w:r>
            <w:r>
              <w:rPr>
                <w:rFonts w:hint="eastAsia" w:ascii="宋体" w:hAnsi="宋体" w:eastAsia="宋体" w:cs="宋体"/>
                <w:color w:val="auto"/>
                <w:spacing w:val="-6"/>
                <w:sz w:val="21"/>
                <w:szCs w:val="21"/>
                <w:highlight w:val="none"/>
              </w:rPr>
              <w:t xml:space="preserve">元以上罚款，对法人或者其他组织作出 </w:t>
            </w:r>
            <w:r>
              <w:rPr>
                <w:rFonts w:hint="eastAsia" w:ascii="宋体" w:hAnsi="宋体" w:eastAsia="宋体" w:cs="宋体"/>
                <w:color w:val="auto"/>
                <w:sz w:val="21"/>
                <w:szCs w:val="21"/>
                <w:highlight w:val="none"/>
              </w:rPr>
              <w:t>5</w:t>
            </w:r>
            <w:r>
              <w:rPr>
                <w:rFonts w:hint="eastAsia" w:ascii="宋体" w:hAnsi="宋体" w:eastAsia="宋体" w:cs="宋体"/>
                <w:color w:val="auto"/>
                <w:spacing w:val="-18"/>
                <w:sz w:val="21"/>
                <w:szCs w:val="21"/>
                <w:highlight w:val="none"/>
              </w:rPr>
              <w:t xml:space="preserve"> 万元</w:t>
            </w:r>
            <w:r>
              <w:rPr>
                <w:rFonts w:hint="eastAsia" w:ascii="宋体" w:hAnsi="宋体" w:eastAsia="宋体" w:cs="宋体"/>
                <w:color w:val="auto"/>
                <w:spacing w:val="-10"/>
                <w:sz w:val="21"/>
                <w:szCs w:val="21"/>
                <w:highlight w:val="none"/>
              </w:rPr>
              <w:t xml:space="preserve">以上罚款。地方财政机关作出罚款行政处罚的， </w:t>
            </w:r>
            <w:r>
              <w:rPr>
                <w:rFonts w:hint="eastAsia" w:ascii="宋体" w:hAnsi="宋体" w:eastAsia="宋体" w:cs="宋体"/>
                <w:color w:val="auto"/>
                <w:spacing w:val="-9"/>
                <w:sz w:val="21"/>
                <w:szCs w:val="21"/>
                <w:highlight w:val="none"/>
              </w:rPr>
              <w:t>其“较大数额罚款”的标准按照各省、自治区、</w:t>
            </w:r>
            <w:r>
              <w:rPr>
                <w:rFonts w:hint="eastAsia" w:ascii="宋体" w:hAnsi="宋体" w:eastAsia="宋体" w:cs="宋体"/>
                <w:color w:val="auto"/>
                <w:spacing w:val="-3"/>
                <w:sz w:val="21"/>
                <w:szCs w:val="21"/>
                <w:highlight w:val="none"/>
              </w:rPr>
              <w:t>直辖市人大常委会或者人民政府的规定执行。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2" w:hRule="atLeast"/>
        </w:trPr>
        <w:tc>
          <w:tcPr>
            <w:tcW w:w="656"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60"/>
              <w:ind w:left="7"/>
              <w:jc w:val="center"/>
              <w:rPr>
                <w:rFonts w:hint="eastAsia" w:ascii="宋体" w:hAnsi="宋体" w:eastAsia="宋体" w:cs="宋体"/>
                <w:color w:val="auto"/>
                <w:sz w:val="21"/>
                <w:szCs w:val="21"/>
                <w:highlight w:val="none"/>
              </w:rPr>
            </w:pPr>
            <w:r>
              <w:rPr>
                <w:rFonts w:hint="eastAsia" w:ascii="宋体" w:hAnsi="宋体" w:eastAsia="宋体" w:cs="宋体"/>
                <w:color w:val="auto"/>
                <w:w w:val="100"/>
                <w:sz w:val="21"/>
                <w:szCs w:val="21"/>
                <w:highlight w:val="none"/>
              </w:rPr>
              <w:t>3</w:t>
            </w:r>
          </w:p>
        </w:tc>
        <w:tc>
          <w:tcPr>
            <w:tcW w:w="1031"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60"/>
              <w:ind w:left="164" w:right="15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教育部</w:t>
            </w:r>
          </w:p>
        </w:tc>
        <w:tc>
          <w:tcPr>
            <w:tcW w:w="1455"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8" w:line="242" w:lineRule="auto"/>
              <w:ind w:left="113" w:right="103"/>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《教育行政处</w:t>
            </w:r>
            <w:r>
              <w:rPr>
                <w:rFonts w:hint="eastAsia" w:ascii="宋体" w:hAnsi="宋体" w:eastAsia="宋体" w:cs="宋体"/>
                <w:color w:val="auto"/>
                <w:spacing w:val="-2"/>
                <w:sz w:val="21"/>
                <w:szCs w:val="21"/>
                <w:highlight w:val="none"/>
              </w:rPr>
              <w:t>罚暂行实施 办法》</w:t>
            </w:r>
          </w:p>
        </w:tc>
        <w:tc>
          <w:tcPr>
            <w:tcW w:w="1350"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60"/>
              <w:ind w:left="124" w:right="11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第二十七条</w:t>
            </w:r>
          </w:p>
        </w:tc>
        <w:tc>
          <w:tcPr>
            <w:tcW w:w="3656" w:type="dxa"/>
            <w:noWrap w:val="0"/>
            <w:vAlign w:val="top"/>
          </w:tcPr>
          <w:p>
            <w:pPr>
              <w:pStyle w:val="94"/>
              <w:spacing w:before="2"/>
              <w:ind w:left="108"/>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3"/>
                <w:sz w:val="21"/>
                <w:szCs w:val="21"/>
                <w:highlight w:val="none"/>
              </w:rPr>
              <w:t>教育行政部门在作出本办法第九条第（</w:t>
            </w:r>
            <w:r>
              <w:rPr>
                <w:rFonts w:hint="eastAsia" w:ascii="宋体" w:hAnsi="宋体" w:eastAsia="宋体" w:cs="宋体"/>
                <w:color w:val="auto"/>
                <w:spacing w:val="-1"/>
                <w:sz w:val="21"/>
                <w:szCs w:val="21"/>
                <w:highlight w:val="none"/>
              </w:rPr>
              <w:t>三）</w:t>
            </w:r>
            <w:r>
              <w:rPr>
                <w:rFonts w:hint="eastAsia" w:ascii="宋体" w:hAnsi="宋体" w:eastAsia="宋体" w:cs="宋体"/>
                <w:color w:val="auto"/>
                <w:sz w:val="21"/>
                <w:szCs w:val="21"/>
                <w:highlight w:val="none"/>
              </w:rPr>
              <w:t>、</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3"/>
                <w:sz w:val="21"/>
                <w:szCs w:val="21"/>
                <w:highlight w:val="none"/>
              </w:rPr>
              <w:t>四</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1"/>
                <w:sz w:val="21"/>
                <w:szCs w:val="21"/>
                <w:highlight w:val="none"/>
              </w:rPr>
              <w:t>五）</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1"/>
                <w:sz w:val="21"/>
                <w:szCs w:val="21"/>
                <w:highlight w:val="none"/>
              </w:rPr>
              <w:t>（六</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3"/>
                <w:sz w:val="21"/>
                <w:szCs w:val="21"/>
                <w:highlight w:val="none"/>
              </w:rPr>
              <w:t>七</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1"/>
                <w:sz w:val="21"/>
                <w:szCs w:val="21"/>
                <w:highlight w:val="none"/>
              </w:rPr>
              <w:t>八）</w:t>
            </w:r>
            <w:r>
              <w:rPr>
                <w:rFonts w:hint="eastAsia" w:ascii="宋体" w:hAnsi="宋体" w:eastAsia="宋体" w:cs="宋体"/>
                <w:color w:val="auto"/>
                <w:sz w:val="21"/>
                <w:szCs w:val="21"/>
                <w:highlight w:val="none"/>
              </w:rPr>
              <w:t>、</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3"/>
                <w:sz w:val="21"/>
                <w:szCs w:val="21"/>
                <w:highlight w:val="none"/>
              </w:rPr>
              <w:t>九</w:t>
            </w:r>
            <w:r>
              <w:rPr>
                <w:rFonts w:hint="eastAsia" w:ascii="宋体" w:hAnsi="宋体" w:eastAsia="宋体" w:cs="宋体"/>
                <w:color w:val="auto"/>
                <w:spacing w:val="-61"/>
                <w:sz w:val="21"/>
                <w:szCs w:val="21"/>
                <w:highlight w:val="none"/>
              </w:rPr>
              <w:t>）</w:t>
            </w:r>
            <w:r>
              <w:rPr>
                <w:rFonts w:hint="eastAsia" w:ascii="宋体" w:hAnsi="宋体" w:eastAsia="宋体" w:cs="宋体"/>
                <w:color w:val="auto"/>
                <w:spacing w:val="-3"/>
                <w:sz w:val="21"/>
                <w:szCs w:val="21"/>
                <w:highlight w:val="none"/>
              </w:rPr>
              <w:t>项之一以及较大数额罚款的处罚决定前， 除应当告知作出处罚决定的事实、理由和依据外，还应当书面告知当事人有要求举行听证的权利。前款所指的较大数额的罚款，标准为： 由国务院教育行政部门作出罚款决定的，为五千元以上；由地方人民政府教育行政部门作出</w:t>
            </w:r>
            <w:r>
              <w:rPr>
                <w:rFonts w:hint="eastAsia" w:ascii="宋体" w:hAnsi="宋体" w:eastAsia="宋体" w:cs="宋体"/>
                <w:color w:val="auto"/>
                <w:spacing w:val="-9"/>
                <w:sz w:val="21"/>
                <w:szCs w:val="21"/>
                <w:highlight w:val="none"/>
              </w:rPr>
              <w:t>罚款决定的，具体标准由省一级人民政府决定。</w:t>
            </w:r>
            <w:r>
              <w:rPr>
                <w:rFonts w:hint="eastAsia" w:ascii="宋体" w:hAnsi="宋体" w:eastAsia="宋体" w:cs="宋体"/>
                <w:color w:val="auto"/>
                <w:spacing w:val="-3"/>
                <w:sz w:val="21"/>
                <w:szCs w:val="21"/>
                <w:highlight w:val="none"/>
              </w:rPr>
              <w:t>当事人在教育行政部门告知后三日内提出举行听证要求的，教育行政部门应当按照《中华人民共和国行政处罚法》第四十二条的规定，组</w:t>
            </w:r>
            <w:r>
              <w:rPr>
                <w:rFonts w:hint="eastAsia" w:ascii="宋体" w:hAnsi="宋体" w:eastAsia="宋体" w:cs="宋体"/>
                <w:color w:val="auto"/>
                <w:spacing w:val="-3"/>
                <w:sz w:val="21"/>
                <w:szCs w:val="21"/>
                <w:highlight w:val="none"/>
                <w:lang w:val="en-US" w:eastAsia="zh-CN"/>
              </w:rPr>
              <w:t>织听证的。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2" w:hRule="atLeast"/>
        </w:trPr>
        <w:tc>
          <w:tcPr>
            <w:tcW w:w="656"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0"/>
              <w:rPr>
                <w:rFonts w:hint="eastAsia" w:ascii="宋体" w:hAnsi="宋体" w:eastAsia="宋体" w:cs="宋体"/>
                <w:b/>
                <w:color w:val="auto"/>
                <w:sz w:val="21"/>
                <w:szCs w:val="21"/>
                <w:highlight w:val="none"/>
              </w:rPr>
            </w:pPr>
          </w:p>
          <w:p>
            <w:pPr>
              <w:pStyle w:val="94"/>
              <w:ind w:left="7" w:leftChars="0"/>
              <w:jc w:val="center"/>
              <w:rPr>
                <w:rFonts w:hint="eastAsia" w:ascii="宋体" w:hAnsi="宋体" w:eastAsia="宋体" w:cs="宋体"/>
                <w:color w:val="auto"/>
                <w:w w:val="100"/>
                <w:sz w:val="21"/>
                <w:szCs w:val="21"/>
                <w:highlight w:val="none"/>
              </w:rPr>
            </w:pPr>
            <w:r>
              <w:rPr>
                <w:rFonts w:hint="eastAsia" w:ascii="宋体" w:hAnsi="宋体" w:eastAsia="宋体" w:cs="宋体"/>
                <w:color w:val="auto"/>
                <w:w w:val="100"/>
                <w:sz w:val="21"/>
                <w:szCs w:val="21"/>
                <w:highlight w:val="none"/>
              </w:rPr>
              <w:t>4</w:t>
            </w:r>
          </w:p>
        </w:tc>
        <w:tc>
          <w:tcPr>
            <w:tcW w:w="1031"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0"/>
              <w:rPr>
                <w:rFonts w:hint="eastAsia" w:ascii="宋体" w:hAnsi="宋体" w:eastAsia="宋体" w:cs="宋体"/>
                <w:b/>
                <w:color w:val="auto"/>
                <w:sz w:val="21"/>
                <w:szCs w:val="21"/>
                <w:highlight w:val="none"/>
              </w:rPr>
            </w:pPr>
          </w:p>
          <w:p>
            <w:pPr>
              <w:pStyle w:val="94"/>
              <w:ind w:left="184"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司法部</w:t>
            </w:r>
          </w:p>
        </w:tc>
        <w:tc>
          <w:tcPr>
            <w:tcW w:w="1455" w:type="dxa"/>
            <w:noWrap w:val="0"/>
            <w:vAlign w:val="top"/>
          </w:tcPr>
          <w:p>
            <w:pPr>
              <w:pStyle w:val="94"/>
              <w:rPr>
                <w:rFonts w:hint="eastAsia" w:ascii="宋体" w:hAnsi="宋体" w:eastAsia="宋体" w:cs="宋体"/>
                <w:b/>
                <w:color w:val="auto"/>
                <w:sz w:val="21"/>
                <w:szCs w:val="21"/>
                <w:highlight w:val="none"/>
              </w:rPr>
            </w:pPr>
          </w:p>
          <w:p>
            <w:pPr>
              <w:pStyle w:val="94"/>
              <w:spacing w:before="9"/>
              <w:rPr>
                <w:rFonts w:hint="eastAsia" w:ascii="宋体" w:hAnsi="宋体" w:eastAsia="宋体" w:cs="宋体"/>
                <w:b/>
                <w:color w:val="auto"/>
                <w:sz w:val="21"/>
                <w:szCs w:val="21"/>
                <w:highlight w:val="none"/>
              </w:rPr>
            </w:pPr>
          </w:p>
          <w:p>
            <w:pPr>
              <w:pStyle w:val="94"/>
              <w:spacing w:line="242" w:lineRule="auto"/>
              <w:ind w:left="113" w:leftChars="0" w:right="103" w:rightChars="0"/>
              <w:jc w:val="both"/>
              <w:rPr>
                <w:rFonts w:hint="eastAsia" w:ascii="宋体" w:hAnsi="宋体" w:eastAsia="宋体" w:cs="宋体"/>
                <w:color w:val="auto"/>
                <w:spacing w:val="-5"/>
                <w:sz w:val="21"/>
                <w:szCs w:val="21"/>
                <w:highlight w:val="none"/>
              </w:rPr>
            </w:pPr>
            <w:r>
              <w:rPr>
                <w:rFonts w:hint="eastAsia" w:ascii="宋体" w:hAnsi="宋体" w:eastAsia="宋体" w:cs="宋体"/>
                <w:color w:val="auto"/>
                <w:sz w:val="21"/>
                <w:szCs w:val="21"/>
                <w:highlight w:val="none"/>
              </w:rPr>
              <w:t>《司法行政机关行政处罚听证程序规定》</w:t>
            </w:r>
          </w:p>
        </w:tc>
        <w:tc>
          <w:tcPr>
            <w:tcW w:w="1350"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0"/>
              <w:rPr>
                <w:rFonts w:hint="eastAsia" w:ascii="宋体" w:hAnsi="宋体" w:eastAsia="宋体" w:cs="宋体"/>
                <w:b/>
                <w:color w:val="auto"/>
                <w:sz w:val="21"/>
                <w:szCs w:val="21"/>
                <w:highlight w:val="none"/>
              </w:rPr>
            </w:pPr>
          </w:p>
          <w:p>
            <w:pPr>
              <w:pStyle w:val="94"/>
              <w:ind w:left="120" w:leftChars="0" w:right="112"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第二十条</w:t>
            </w:r>
          </w:p>
        </w:tc>
        <w:tc>
          <w:tcPr>
            <w:tcW w:w="3656" w:type="dxa"/>
            <w:noWrap w:val="0"/>
            <w:vAlign w:val="top"/>
          </w:tcPr>
          <w:p>
            <w:pPr>
              <w:pStyle w:val="94"/>
              <w:spacing w:before="2" w:line="242" w:lineRule="auto"/>
              <w:ind w:left="108" w:right="143"/>
              <w:jc w:val="both"/>
              <w:rPr>
                <w:rFonts w:hint="eastAsia" w:ascii="宋体" w:hAnsi="宋体" w:eastAsia="宋体" w:cs="宋体"/>
                <w:color w:val="auto"/>
                <w:spacing w:val="-3"/>
                <w:sz w:val="21"/>
                <w:szCs w:val="21"/>
                <w:highlight w:val="none"/>
              </w:rPr>
            </w:pPr>
            <w:r>
              <w:rPr>
                <w:rFonts w:hint="eastAsia" w:ascii="宋体" w:hAnsi="宋体" w:eastAsia="宋体" w:cs="宋体"/>
                <w:color w:val="auto"/>
                <w:sz w:val="21"/>
                <w:szCs w:val="21"/>
                <w:highlight w:val="none"/>
              </w:rPr>
              <w:t>司法行政机关在作出下列行政处罚之前，案件调查部门应当告知当事人在三日内有要求举行听证的权利：（一）责令停业；（二）吊销许可证或者执业证书；（三）对个人处以三千元以上罚款，对法人或者其他组织处以二万元以上罚款；（四）法律法规以及规章规定的其他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2" w:hRule="atLeast"/>
        </w:trPr>
        <w:tc>
          <w:tcPr>
            <w:tcW w:w="656"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7"/>
              <w:ind w:left="7" w:leftChars="0"/>
              <w:jc w:val="center"/>
              <w:rPr>
                <w:rFonts w:hint="eastAsia" w:ascii="宋体" w:hAnsi="宋体" w:eastAsia="宋体" w:cs="宋体"/>
                <w:color w:val="auto"/>
                <w:w w:val="100"/>
                <w:sz w:val="21"/>
                <w:szCs w:val="21"/>
                <w:highlight w:val="none"/>
              </w:rPr>
            </w:pPr>
            <w:r>
              <w:rPr>
                <w:rFonts w:hint="eastAsia" w:ascii="宋体" w:hAnsi="宋体" w:eastAsia="宋体" w:cs="宋体"/>
                <w:color w:val="auto"/>
                <w:w w:val="100"/>
                <w:sz w:val="21"/>
                <w:szCs w:val="21"/>
                <w:highlight w:val="none"/>
              </w:rPr>
              <w:t>5</w:t>
            </w:r>
          </w:p>
        </w:tc>
        <w:tc>
          <w:tcPr>
            <w:tcW w:w="1031"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3"/>
              <w:rPr>
                <w:rFonts w:hint="eastAsia" w:ascii="宋体" w:hAnsi="宋体" w:eastAsia="宋体" w:cs="宋体"/>
                <w:b/>
                <w:color w:val="auto"/>
                <w:sz w:val="21"/>
                <w:szCs w:val="21"/>
                <w:highlight w:val="none"/>
              </w:rPr>
            </w:pPr>
          </w:p>
          <w:p>
            <w:pPr>
              <w:pStyle w:val="94"/>
              <w:spacing w:line="242" w:lineRule="auto"/>
              <w:ind w:left="294" w:leftChars="0" w:right="174" w:rightChars="0" w:hanging="1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应急管理部</w:t>
            </w:r>
          </w:p>
        </w:tc>
        <w:tc>
          <w:tcPr>
            <w:tcW w:w="1455"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4" w:line="242" w:lineRule="auto"/>
              <w:ind w:left="113" w:leftChars="0" w:right="103" w:rightChars="0"/>
              <w:jc w:val="center"/>
              <w:rPr>
                <w:rFonts w:hint="eastAsia" w:ascii="宋体" w:hAnsi="宋体" w:eastAsia="宋体" w:cs="宋体"/>
                <w:color w:val="auto"/>
                <w:spacing w:val="-5"/>
                <w:sz w:val="21"/>
                <w:szCs w:val="21"/>
                <w:highlight w:val="none"/>
              </w:rPr>
            </w:pPr>
            <w:r>
              <w:rPr>
                <w:rFonts w:hint="eastAsia" w:ascii="宋体" w:hAnsi="宋体" w:eastAsia="宋体" w:cs="宋体"/>
                <w:color w:val="auto"/>
                <w:sz w:val="21"/>
                <w:szCs w:val="21"/>
                <w:highlight w:val="none"/>
              </w:rPr>
              <w:t>《安全生产违法行为行政处罚办法》</w:t>
            </w:r>
          </w:p>
        </w:tc>
        <w:tc>
          <w:tcPr>
            <w:tcW w:w="1350"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7"/>
              <w:ind w:left="124" w:leftChars="0" w:right="112"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第三十二条</w:t>
            </w:r>
          </w:p>
        </w:tc>
        <w:tc>
          <w:tcPr>
            <w:tcW w:w="3656" w:type="dxa"/>
            <w:noWrap w:val="0"/>
            <w:vAlign w:val="top"/>
          </w:tcPr>
          <w:p>
            <w:pPr>
              <w:pStyle w:val="94"/>
              <w:spacing w:before="1" w:line="242" w:lineRule="auto"/>
              <w:ind w:left="108" w:right="-15"/>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安全监管监察部门作出责令停产停业整顿、责令停产停业、吊销有关许可证、撤销有关执业资格、岗位证书或者较大数额罚款的行政处罚决定之前，应当告知当事人有要求举行听证的权利；当事人要求听证的，安全监管监察部门应当组织听证，不得向当事人收取听证费用。前款所称较大数额罚款，为省、自治区、直辖市人大常委会或者人民政府规定的数额；没有</w:t>
            </w:r>
            <w:r>
              <w:rPr>
                <w:rFonts w:hint="eastAsia" w:ascii="宋体" w:hAnsi="宋体" w:eastAsia="宋体" w:cs="宋体"/>
                <w:color w:val="auto"/>
                <w:spacing w:val="-12"/>
                <w:sz w:val="21"/>
                <w:szCs w:val="21"/>
                <w:highlight w:val="none"/>
              </w:rPr>
              <w:t xml:space="preserve">规定数额的，其数额对个人罚款为 </w:t>
            </w:r>
            <w:r>
              <w:rPr>
                <w:rFonts w:hint="eastAsia" w:ascii="宋体" w:hAnsi="宋体" w:eastAsia="宋体" w:cs="宋体"/>
                <w:color w:val="auto"/>
                <w:sz w:val="21"/>
                <w:szCs w:val="21"/>
                <w:highlight w:val="none"/>
              </w:rPr>
              <w:t>1</w:t>
            </w:r>
            <w:r>
              <w:rPr>
                <w:rFonts w:hint="eastAsia" w:ascii="宋体" w:hAnsi="宋体" w:eastAsia="宋体" w:cs="宋体"/>
                <w:color w:val="auto"/>
                <w:spacing w:val="-10"/>
                <w:sz w:val="21"/>
                <w:szCs w:val="21"/>
                <w:highlight w:val="none"/>
              </w:rPr>
              <w:t xml:space="preserve"> 万元以上，</w:t>
            </w:r>
            <w:r>
              <w:rPr>
                <w:rFonts w:hint="eastAsia" w:ascii="宋体" w:hAnsi="宋体" w:eastAsia="宋体" w:cs="宋体"/>
                <w:color w:val="auto"/>
                <w:sz w:val="21"/>
                <w:szCs w:val="21"/>
                <w:highlight w:val="none"/>
              </w:rPr>
              <w:t>对生产经营单位罚款为 3 万元以上。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656"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8"/>
              <w:rPr>
                <w:rFonts w:hint="eastAsia" w:ascii="宋体" w:hAnsi="宋体" w:eastAsia="宋体" w:cs="宋体"/>
                <w:b/>
                <w:color w:val="auto"/>
                <w:sz w:val="21"/>
                <w:szCs w:val="21"/>
                <w:highlight w:val="none"/>
              </w:rPr>
            </w:pPr>
          </w:p>
          <w:p>
            <w:pPr>
              <w:pStyle w:val="94"/>
              <w:ind w:left="7" w:leftChars="0"/>
              <w:jc w:val="center"/>
              <w:rPr>
                <w:rFonts w:hint="eastAsia" w:ascii="宋体" w:hAnsi="宋体" w:eastAsia="宋体" w:cs="宋体"/>
                <w:color w:val="auto"/>
                <w:w w:val="100"/>
                <w:sz w:val="21"/>
                <w:szCs w:val="21"/>
                <w:highlight w:val="none"/>
              </w:rPr>
            </w:pPr>
            <w:r>
              <w:rPr>
                <w:rFonts w:hint="eastAsia" w:ascii="宋体" w:hAnsi="宋体" w:eastAsia="宋体" w:cs="宋体"/>
                <w:color w:val="auto"/>
                <w:w w:val="100"/>
                <w:sz w:val="21"/>
                <w:szCs w:val="21"/>
                <w:highlight w:val="none"/>
              </w:rPr>
              <w:t>6</w:t>
            </w:r>
          </w:p>
        </w:tc>
        <w:tc>
          <w:tcPr>
            <w:tcW w:w="1031"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61" w:line="242" w:lineRule="auto"/>
              <w:ind w:left="294" w:leftChars="0" w:right="174" w:rightChars="0" w:hanging="1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生态环境部</w:t>
            </w:r>
          </w:p>
        </w:tc>
        <w:tc>
          <w:tcPr>
            <w:tcW w:w="1455"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4"/>
              <w:rPr>
                <w:rFonts w:hint="eastAsia" w:ascii="宋体" w:hAnsi="宋体" w:eastAsia="宋体" w:cs="宋体"/>
                <w:b/>
                <w:color w:val="auto"/>
                <w:sz w:val="21"/>
                <w:szCs w:val="21"/>
                <w:highlight w:val="none"/>
              </w:rPr>
            </w:pPr>
          </w:p>
          <w:p>
            <w:pPr>
              <w:pStyle w:val="94"/>
              <w:spacing w:before="1" w:line="242" w:lineRule="auto"/>
              <w:ind w:left="113" w:leftChars="0" w:right="103" w:right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《环境行政处</w:t>
            </w:r>
            <w:r>
              <w:rPr>
                <w:rFonts w:hint="eastAsia" w:ascii="宋体" w:hAnsi="宋体" w:eastAsia="宋体" w:cs="宋体"/>
                <w:color w:val="auto"/>
                <w:spacing w:val="-2"/>
                <w:sz w:val="21"/>
                <w:szCs w:val="21"/>
                <w:highlight w:val="none"/>
              </w:rPr>
              <w:t>罚听证程序 规定》</w:t>
            </w:r>
          </w:p>
        </w:tc>
        <w:tc>
          <w:tcPr>
            <w:tcW w:w="1350"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8"/>
              <w:rPr>
                <w:rFonts w:hint="eastAsia" w:ascii="宋体" w:hAnsi="宋体" w:eastAsia="宋体" w:cs="宋体"/>
                <w:b/>
                <w:color w:val="auto"/>
                <w:sz w:val="21"/>
                <w:szCs w:val="21"/>
                <w:highlight w:val="none"/>
              </w:rPr>
            </w:pPr>
          </w:p>
          <w:p>
            <w:pPr>
              <w:pStyle w:val="94"/>
              <w:ind w:left="120" w:leftChars="0" w:right="112"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第五条</w:t>
            </w:r>
          </w:p>
        </w:tc>
        <w:tc>
          <w:tcPr>
            <w:tcW w:w="3656" w:type="dxa"/>
            <w:noWrap w:val="0"/>
            <w:vAlign w:val="top"/>
          </w:tcPr>
          <w:p>
            <w:pPr>
              <w:pStyle w:val="94"/>
              <w:spacing w:before="1" w:line="242" w:lineRule="auto"/>
              <w:ind w:left="108" w:right="143"/>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环境保护主管部门在作出以下行政处罚决定之前，应当告知当事人有申请听证的权利；当事人申请听证的，环境保护主管部门应当组织听证：</w:t>
            </w:r>
          </w:p>
          <w:p>
            <w:pPr>
              <w:pStyle w:val="94"/>
              <w:spacing w:before="4"/>
              <w:ind w:left="108"/>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（一）拟对法人、其他组织处以人民币 50000</w:t>
            </w:r>
            <w:r>
              <w:rPr>
                <w:rFonts w:hint="eastAsia" w:ascii="宋体" w:hAnsi="宋体" w:eastAsia="宋体" w:cs="宋体"/>
                <w:color w:val="auto"/>
                <w:spacing w:val="-7"/>
                <w:sz w:val="21"/>
                <w:szCs w:val="21"/>
                <w:highlight w:val="none"/>
              </w:rPr>
              <w:t xml:space="preserve">元以上或者对公民处以人民币 </w:t>
            </w:r>
            <w:r>
              <w:rPr>
                <w:rFonts w:hint="eastAsia" w:ascii="宋体" w:hAnsi="宋体" w:eastAsia="宋体" w:cs="宋体"/>
                <w:color w:val="auto"/>
                <w:sz w:val="21"/>
                <w:szCs w:val="21"/>
                <w:highlight w:val="none"/>
              </w:rPr>
              <w:t>5000</w:t>
            </w:r>
            <w:r>
              <w:rPr>
                <w:rFonts w:hint="eastAsia" w:ascii="宋体" w:hAnsi="宋体" w:eastAsia="宋体" w:cs="宋体"/>
                <w:color w:val="auto"/>
                <w:spacing w:val="-13"/>
                <w:sz w:val="21"/>
                <w:szCs w:val="21"/>
                <w:highlight w:val="none"/>
              </w:rPr>
              <w:t xml:space="preserve"> 元以上罚</w:t>
            </w:r>
            <w:r>
              <w:rPr>
                <w:rFonts w:hint="eastAsia" w:ascii="宋体" w:hAnsi="宋体" w:eastAsia="宋体" w:cs="宋体"/>
                <w:color w:val="auto"/>
                <w:spacing w:val="-2"/>
                <w:sz w:val="21"/>
                <w:szCs w:val="21"/>
                <w:highlight w:val="none"/>
              </w:rPr>
              <w:t>款的</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3"/>
                <w:sz w:val="21"/>
                <w:szCs w:val="21"/>
                <w:highlight w:val="none"/>
              </w:rPr>
              <w:t>二</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3"/>
                <w:sz w:val="21"/>
                <w:szCs w:val="21"/>
                <w:highlight w:val="none"/>
              </w:rPr>
              <w:t>拟对法人、其他组织处以人民币</w:t>
            </w:r>
            <w:r>
              <w:rPr>
                <w:rFonts w:hint="eastAsia" w:ascii="宋体" w:hAnsi="宋体" w:eastAsia="宋体" w:cs="宋体"/>
                <w:color w:val="auto"/>
                <w:sz w:val="21"/>
                <w:szCs w:val="21"/>
                <w:highlight w:val="none"/>
              </w:rPr>
              <w:t>（</w:t>
            </w:r>
            <w:r>
              <w:rPr>
                <w:rFonts w:hint="eastAsia" w:ascii="宋体" w:hAnsi="宋体" w:eastAsia="宋体" w:cs="宋体"/>
                <w:color w:val="auto"/>
                <w:spacing w:val="-3"/>
                <w:sz w:val="21"/>
                <w:szCs w:val="21"/>
                <w:highlight w:val="none"/>
              </w:rPr>
              <w:t>或者等值物品价值</w:t>
            </w:r>
            <w:r>
              <w:rPr>
                <w:rFonts w:hint="eastAsia" w:ascii="宋体" w:hAnsi="宋体" w:eastAsia="宋体" w:cs="宋体"/>
                <w:color w:val="auto"/>
                <w:sz w:val="21"/>
                <w:szCs w:val="21"/>
                <w:highlight w:val="none"/>
              </w:rPr>
              <w:t>）50000</w:t>
            </w:r>
            <w:r>
              <w:rPr>
                <w:rFonts w:hint="eastAsia" w:ascii="宋体" w:hAnsi="宋体" w:eastAsia="宋体" w:cs="宋体"/>
                <w:color w:val="auto"/>
                <w:spacing w:val="-7"/>
                <w:sz w:val="21"/>
                <w:szCs w:val="21"/>
                <w:highlight w:val="none"/>
              </w:rPr>
              <w:t xml:space="preserve"> 元以上或者对公民</w:t>
            </w:r>
            <w:r>
              <w:rPr>
                <w:rFonts w:hint="eastAsia" w:ascii="宋体" w:hAnsi="宋体" w:eastAsia="宋体" w:cs="宋体"/>
                <w:color w:val="auto"/>
                <w:spacing w:val="-3"/>
                <w:sz w:val="21"/>
                <w:szCs w:val="21"/>
                <w:highlight w:val="none"/>
              </w:rPr>
              <w:t>处以人民币（或者等值物品价值</w:t>
            </w:r>
            <w:r>
              <w:rPr>
                <w:rFonts w:hint="eastAsia" w:ascii="宋体" w:hAnsi="宋体" w:eastAsia="宋体" w:cs="宋体"/>
                <w:color w:val="auto"/>
                <w:sz w:val="21"/>
                <w:szCs w:val="21"/>
                <w:highlight w:val="none"/>
              </w:rPr>
              <w:t>）5000</w:t>
            </w:r>
            <w:r>
              <w:rPr>
                <w:rFonts w:hint="eastAsia" w:ascii="宋体" w:hAnsi="宋体" w:eastAsia="宋体" w:cs="宋体"/>
                <w:color w:val="auto"/>
                <w:spacing w:val="-16"/>
                <w:sz w:val="21"/>
                <w:szCs w:val="21"/>
                <w:highlight w:val="none"/>
              </w:rPr>
              <w:t xml:space="preserve"> 元以上</w:t>
            </w:r>
            <w:r>
              <w:rPr>
                <w:rFonts w:hint="eastAsia" w:ascii="宋体" w:hAnsi="宋体" w:eastAsia="宋体" w:cs="宋体"/>
                <w:color w:val="auto"/>
                <w:spacing w:val="-5"/>
                <w:sz w:val="21"/>
                <w:szCs w:val="21"/>
                <w:highlight w:val="none"/>
              </w:rPr>
              <w:t>的没收违法所得或者没收非法财物的；</w:t>
            </w:r>
            <w:r>
              <w:rPr>
                <w:rFonts w:hint="eastAsia" w:ascii="宋体" w:hAnsi="宋体" w:eastAsia="宋体" w:cs="宋体"/>
                <w:color w:val="auto"/>
                <w:spacing w:val="-32"/>
                <w:sz w:val="21"/>
                <w:szCs w:val="21"/>
                <w:highlight w:val="none"/>
              </w:rPr>
              <w:t>（</w:t>
            </w:r>
            <w:r>
              <w:rPr>
                <w:rFonts w:hint="eastAsia" w:ascii="宋体" w:hAnsi="宋体" w:eastAsia="宋体" w:cs="宋体"/>
                <w:color w:val="auto"/>
                <w:sz w:val="21"/>
                <w:szCs w:val="21"/>
                <w:highlight w:val="none"/>
              </w:rPr>
              <w:t xml:space="preserve">三） </w:t>
            </w:r>
            <w:r>
              <w:rPr>
                <w:rFonts w:hint="eastAsia" w:ascii="宋体" w:hAnsi="宋体" w:eastAsia="宋体" w:cs="宋体"/>
                <w:color w:val="auto"/>
                <w:spacing w:val="-3"/>
                <w:sz w:val="21"/>
                <w:szCs w:val="21"/>
                <w:highlight w:val="none"/>
              </w:rPr>
              <w:t>拟处以暂扣、吊销许可证或者其他具有许可性质的证件的</w:t>
            </w:r>
            <w:r>
              <w:rPr>
                <w:rFonts w:hint="eastAsia" w:ascii="宋体" w:hAnsi="宋体" w:eastAsia="宋体" w:cs="宋体"/>
                <w:color w:val="auto"/>
                <w:sz w:val="21"/>
                <w:szCs w:val="21"/>
                <w:highlight w:val="none"/>
              </w:rPr>
              <w:t>；（</w:t>
            </w:r>
            <w:r>
              <w:rPr>
                <w:rFonts w:hint="eastAsia" w:ascii="宋体" w:hAnsi="宋体" w:eastAsia="宋体" w:cs="宋体"/>
                <w:color w:val="auto"/>
                <w:spacing w:val="-3"/>
                <w:sz w:val="21"/>
                <w:szCs w:val="21"/>
                <w:highlight w:val="none"/>
              </w:rPr>
              <w:t>四</w:t>
            </w:r>
            <w:r>
              <w:rPr>
                <w:rFonts w:hint="eastAsia" w:ascii="宋体" w:hAnsi="宋体" w:eastAsia="宋体" w:cs="宋体"/>
                <w:color w:val="auto"/>
                <w:sz w:val="21"/>
                <w:szCs w:val="21"/>
                <w:highlight w:val="none"/>
              </w:rPr>
              <w:t>）</w:t>
            </w:r>
            <w:r>
              <w:rPr>
                <w:rFonts w:hint="eastAsia" w:ascii="宋体" w:hAnsi="宋体" w:eastAsia="宋体" w:cs="宋体"/>
                <w:color w:val="auto"/>
                <w:spacing w:val="-3"/>
                <w:sz w:val="21"/>
                <w:szCs w:val="21"/>
                <w:highlight w:val="none"/>
              </w:rPr>
              <w:t>拟责令停产、停业、关闭</w:t>
            </w:r>
            <w:r>
              <w:rPr>
                <w:rFonts w:hint="eastAsia" w:ascii="宋体" w:hAnsi="宋体" w:eastAsia="宋体" w:cs="宋体"/>
                <w:color w:val="auto"/>
                <w:sz w:val="21"/>
                <w:szCs w:val="21"/>
                <w:highlight w:val="none"/>
              </w:rPr>
              <w:t>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2" w:hRule="atLeast"/>
        </w:trPr>
        <w:tc>
          <w:tcPr>
            <w:tcW w:w="656"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1"/>
              <w:rPr>
                <w:rFonts w:hint="eastAsia" w:ascii="宋体" w:hAnsi="宋体" w:eastAsia="宋体" w:cs="宋体"/>
                <w:b/>
                <w:color w:val="auto"/>
                <w:sz w:val="21"/>
                <w:szCs w:val="21"/>
                <w:highlight w:val="none"/>
              </w:rPr>
            </w:pPr>
          </w:p>
          <w:p>
            <w:pPr>
              <w:pStyle w:val="94"/>
              <w:ind w:left="7" w:leftChars="0"/>
              <w:jc w:val="center"/>
              <w:rPr>
                <w:rFonts w:hint="eastAsia" w:ascii="宋体" w:hAnsi="宋体" w:eastAsia="宋体" w:cs="宋体"/>
                <w:color w:val="auto"/>
                <w:w w:val="100"/>
                <w:sz w:val="21"/>
                <w:szCs w:val="21"/>
                <w:highlight w:val="none"/>
              </w:rPr>
            </w:pPr>
            <w:r>
              <w:rPr>
                <w:rFonts w:hint="eastAsia" w:ascii="宋体" w:hAnsi="宋体" w:eastAsia="宋体" w:cs="宋体"/>
                <w:color w:val="auto"/>
                <w:w w:val="100"/>
                <w:sz w:val="21"/>
                <w:szCs w:val="21"/>
                <w:highlight w:val="none"/>
              </w:rPr>
              <w:t>7</w:t>
            </w:r>
          </w:p>
        </w:tc>
        <w:tc>
          <w:tcPr>
            <w:tcW w:w="1031" w:type="dxa"/>
            <w:noWrap w:val="0"/>
            <w:vAlign w:val="top"/>
          </w:tcPr>
          <w:p>
            <w:pPr>
              <w:pStyle w:val="94"/>
              <w:rPr>
                <w:rFonts w:hint="eastAsia" w:ascii="宋体" w:hAnsi="宋体" w:eastAsia="宋体" w:cs="宋体"/>
                <w:b/>
                <w:color w:val="auto"/>
                <w:sz w:val="21"/>
                <w:szCs w:val="21"/>
                <w:highlight w:val="none"/>
              </w:rPr>
            </w:pPr>
          </w:p>
          <w:p>
            <w:pPr>
              <w:pStyle w:val="94"/>
              <w:spacing w:before="147" w:line="242" w:lineRule="auto"/>
              <w:ind w:left="184" w:leftChars="0" w:right="174" w:right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人力资源与社</w:t>
            </w:r>
            <w:r>
              <w:rPr>
                <w:rFonts w:hint="eastAsia" w:ascii="宋体" w:hAnsi="宋体" w:eastAsia="宋体" w:cs="宋体"/>
                <w:color w:val="auto"/>
                <w:sz w:val="21"/>
                <w:szCs w:val="21"/>
                <w:highlight w:val="none"/>
              </w:rPr>
              <w:t>会保 障部</w:t>
            </w:r>
          </w:p>
        </w:tc>
        <w:tc>
          <w:tcPr>
            <w:tcW w:w="1455" w:type="dxa"/>
            <w:noWrap w:val="0"/>
            <w:vAlign w:val="top"/>
          </w:tcPr>
          <w:p>
            <w:pPr>
              <w:pStyle w:val="94"/>
              <w:rPr>
                <w:rFonts w:hint="eastAsia" w:ascii="宋体" w:hAnsi="宋体" w:eastAsia="宋体" w:cs="宋体"/>
                <w:b/>
                <w:color w:val="auto"/>
                <w:sz w:val="21"/>
                <w:szCs w:val="21"/>
                <w:highlight w:val="none"/>
              </w:rPr>
            </w:pPr>
          </w:p>
          <w:p>
            <w:pPr>
              <w:pStyle w:val="94"/>
              <w:spacing w:before="7"/>
              <w:rPr>
                <w:rFonts w:hint="eastAsia" w:ascii="宋体" w:hAnsi="宋体" w:eastAsia="宋体" w:cs="宋体"/>
                <w:b/>
                <w:color w:val="auto"/>
                <w:sz w:val="21"/>
                <w:szCs w:val="21"/>
                <w:highlight w:val="none"/>
              </w:rPr>
            </w:pPr>
          </w:p>
          <w:p>
            <w:pPr>
              <w:pStyle w:val="94"/>
              <w:spacing w:line="242" w:lineRule="auto"/>
              <w:ind w:left="113" w:leftChars="0" w:right="103" w:rightChars="0"/>
              <w:jc w:val="center"/>
              <w:rPr>
                <w:rFonts w:hint="eastAsia" w:ascii="宋体" w:hAnsi="宋体" w:eastAsia="宋体" w:cs="宋体"/>
                <w:color w:val="auto"/>
                <w:spacing w:val="-5"/>
                <w:sz w:val="21"/>
                <w:szCs w:val="21"/>
                <w:highlight w:val="none"/>
              </w:rPr>
            </w:pPr>
            <w:r>
              <w:rPr>
                <w:rFonts w:hint="eastAsia" w:ascii="宋体" w:hAnsi="宋体" w:eastAsia="宋体" w:cs="宋体"/>
                <w:color w:val="auto"/>
                <w:spacing w:val="-5"/>
                <w:sz w:val="21"/>
                <w:szCs w:val="21"/>
                <w:highlight w:val="none"/>
              </w:rPr>
              <w:t>《劳动行政处</w:t>
            </w:r>
            <w:r>
              <w:rPr>
                <w:rFonts w:hint="eastAsia" w:ascii="宋体" w:hAnsi="宋体" w:eastAsia="宋体" w:cs="宋体"/>
                <w:color w:val="auto"/>
                <w:spacing w:val="-2"/>
                <w:sz w:val="21"/>
                <w:szCs w:val="21"/>
                <w:highlight w:val="none"/>
              </w:rPr>
              <w:t>罚听证程序 规定》</w:t>
            </w:r>
          </w:p>
        </w:tc>
        <w:tc>
          <w:tcPr>
            <w:tcW w:w="1350" w:type="dxa"/>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1"/>
              <w:rPr>
                <w:rFonts w:hint="eastAsia" w:ascii="宋体" w:hAnsi="宋体" w:eastAsia="宋体" w:cs="宋体"/>
                <w:b/>
                <w:color w:val="auto"/>
                <w:sz w:val="21"/>
                <w:szCs w:val="21"/>
                <w:highlight w:val="none"/>
              </w:rPr>
            </w:pPr>
          </w:p>
          <w:p>
            <w:pPr>
              <w:pStyle w:val="94"/>
              <w:ind w:left="120" w:leftChars="0" w:right="112"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第三条</w:t>
            </w:r>
          </w:p>
        </w:tc>
        <w:tc>
          <w:tcPr>
            <w:tcW w:w="3656" w:type="dxa"/>
            <w:noWrap w:val="0"/>
            <w:vAlign w:val="top"/>
          </w:tcPr>
          <w:p>
            <w:pPr>
              <w:pStyle w:val="94"/>
              <w:spacing w:before="2" w:line="242" w:lineRule="auto"/>
              <w:ind w:left="108" w:right="-15"/>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劳动行政部门作出责令停产停业、吊销许可证、</w:t>
            </w:r>
            <w:r>
              <w:rPr>
                <w:rFonts w:hint="eastAsia" w:ascii="宋体" w:hAnsi="宋体" w:eastAsia="宋体" w:cs="宋体"/>
                <w:color w:val="auto"/>
                <w:spacing w:val="-3"/>
                <w:sz w:val="21"/>
                <w:szCs w:val="21"/>
                <w:highlight w:val="none"/>
              </w:rPr>
              <w:t>较大数额罚款等行政处罚决定之前，应当告知</w:t>
            </w:r>
            <w:r>
              <w:rPr>
                <w:rFonts w:hint="eastAsia" w:ascii="宋体" w:hAnsi="宋体" w:eastAsia="宋体" w:cs="宋体"/>
                <w:color w:val="auto"/>
                <w:spacing w:val="-8"/>
                <w:sz w:val="21"/>
                <w:szCs w:val="21"/>
                <w:highlight w:val="none"/>
              </w:rPr>
              <w:t xml:space="preserve">当事人有要求听证的权利；当事人要求听证的， </w:t>
            </w:r>
            <w:r>
              <w:rPr>
                <w:rFonts w:hint="eastAsia" w:ascii="宋体" w:hAnsi="宋体" w:eastAsia="宋体" w:cs="宋体"/>
                <w:color w:val="auto"/>
                <w:spacing w:val="-3"/>
                <w:sz w:val="21"/>
                <w:szCs w:val="21"/>
                <w:highlight w:val="none"/>
              </w:rPr>
              <w:t>劳动行政部门应当组织听证。当事人不承担组</w:t>
            </w:r>
            <w:r>
              <w:rPr>
                <w:rFonts w:hint="eastAsia" w:ascii="宋体" w:hAnsi="宋体" w:eastAsia="宋体" w:cs="宋体"/>
                <w:color w:val="auto"/>
                <w:spacing w:val="-9"/>
                <w:sz w:val="21"/>
                <w:szCs w:val="21"/>
                <w:highlight w:val="none"/>
              </w:rPr>
              <w:t>织听证的费用。 根据国务院的规定，较大数额</w:t>
            </w:r>
            <w:r>
              <w:rPr>
                <w:rFonts w:hint="eastAsia" w:ascii="宋体" w:hAnsi="宋体" w:eastAsia="宋体" w:cs="宋体"/>
                <w:color w:val="auto"/>
                <w:spacing w:val="-3"/>
                <w:sz w:val="21"/>
                <w:szCs w:val="21"/>
                <w:highlight w:val="none"/>
              </w:rPr>
              <w:t>罚款的听证范围，由省、自治区、直辖市人大</w:t>
            </w:r>
            <w:r>
              <w:rPr>
                <w:rFonts w:hint="eastAsia" w:ascii="宋体" w:hAnsi="宋体" w:eastAsia="宋体" w:cs="宋体"/>
                <w:color w:val="auto"/>
                <w:sz w:val="21"/>
                <w:szCs w:val="21"/>
                <w:highlight w:val="none"/>
              </w:rPr>
              <w:t>常委会或人民政府确定。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2" w:hRule="atLeast"/>
        </w:trPr>
        <w:tc>
          <w:tcPr>
            <w:tcW w:w="656" w:type="dxa"/>
            <w:noWrap w:val="0"/>
            <w:vAlign w:val="center"/>
          </w:tcPr>
          <w:p>
            <w:pPr>
              <w:pStyle w:val="94"/>
              <w:spacing w:before="5"/>
              <w:jc w:val="center"/>
              <w:rPr>
                <w:rFonts w:hint="eastAsia" w:ascii="宋体" w:hAnsi="宋体" w:eastAsia="宋体" w:cs="宋体"/>
                <w:b/>
                <w:color w:val="auto"/>
                <w:sz w:val="21"/>
                <w:szCs w:val="21"/>
                <w:highlight w:val="none"/>
              </w:rPr>
            </w:pPr>
          </w:p>
          <w:p>
            <w:pPr>
              <w:pStyle w:val="94"/>
              <w:spacing w:before="1"/>
              <w:ind w:left="7" w:leftChars="0"/>
              <w:jc w:val="center"/>
              <w:rPr>
                <w:rFonts w:hint="eastAsia" w:ascii="宋体" w:hAnsi="宋体" w:eastAsia="宋体" w:cs="宋体"/>
                <w:color w:val="auto"/>
                <w:w w:val="100"/>
                <w:sz w:val="21"/>
                <w:szCs w:val="21"/>
                <w:highlight w:val="none"/>
              </w:rPr>
            </w:pPr>
            <w:r>
              <w:rPr>
                <w:rFonts w:hint="eastAsia" w:ascii="宋体" w:hAnsi="宋体" w:eastAsia="宋体" w:cs="宋体"/>
                <w:color w:val="auto"/>
                <w:w w:val="100"/>
                <w:sz w:val="21"/>
                <w:szCs w:val="21"/>
                <w:highlight w:val="none"/>
              </w:rPr>
              <w:t>8</w:t>
            </w:r>
          </w:p>
        </w:tc>
        <w:tc>
          <w:tcPr>
            <w:tcW w:w="1031" w:type="dxa"/>
            <w:noWrap w:val="0"/>
            <w:vAlign w:val="center"/>
          </w:tcPr>
          <w:p>
            <w:pPr>
              <w:pStyle w:val="94"/>
              <w:spacing w:before="2"/>
              <w:ind w:left="294" w:hanging="11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工业和</w:t>
            </w:r>
          </w:p>
          <w:p>
            <w:pPr>
              <w:pStyle w:val="94"/>
              <w:spacing w:before="4" w:line="280" w:lineRule="atLeast"/>
              <w:ind w:left="294" w:leftChars="0" w:right="282" w:rightChars="0"/>
              <w:jc w:val="center"/>
              <w:rPr>
                <w:rFonts w:hint="eastAsia" w:ascii="宋体" w:hAnsi="宋体" w:eastAsia="宋体" w:cs="宋体"/>
                <w:color w:val="auto"/>
                <w:spacing w:val="-7"/>
                <w:sz w:val="21"/>
                <w:szCs w:val="21"/>
                <w:highlight w:val="none"/>
              </w:rPr>
            </w:pPr>
            <w:r>
              <w:rPr>
                <w:rFonts w:hint="eastAsia" w:ascii="宋体" w:hAnsi="宋体" w:eastAsia="宋体" w:cs="宋体"/>
                <w:color w:val="auto"/>
                <w:sz w:val="21"/>
                <w:szCs w:val="21"/>
                <w:highlight w:val="none"/>
              </w:rPr>
              <w:t>信息化部</w:t>
            </w:r>
          </w:p>
        </w:tc>
        <w:tc>
          <w:tcPr>
            <w:tcW w:w="1455" w:type="dxa"/>
            <w:noWrap w:val="0"/>
            <w:vAlign w:val="center"/>
          </w:tcPr>
          <w:p>
            <w:pPr>
              <w:pStyle w:val="94"/>
              <w:spacing w:before="144" w:line="242" w:lineRule="auto"/>
              <w:ind w:left="113" w:leftChars="0" w:right="103" w:rightChars="0"/>
              <w:jc w:val="center"/>
              <w:rPr>
                <w:rFonts w:hint="eastAsia" w:ascii="宋体" w:hAnsi="宋体" w:eastAsia="宋体" w:cs="宋体"/>
                <w:color w:val="auto"/>
                <w:spacing w:val="-5"/>
                <w:sz w:val="21"/>
                <w:szCs w:val="21"/>
                <w:highlight w:val="none"/>
              </w:rPr>
            </w:pPr>
            <w:r>
              <w:rPr>
                <w:rFonts w:hint="eastAsia" w:ascii="宋体" w:hAnsi="宋体" w:eastAsia="宋体" w:cs="宋体"/>
                <w:color w:val="auto"/>
                <w:sz w:val="21"/>
                <w:szCs w:val="21"/>
                <w:highlight w:val="none"/>
              </w:rPr>
              <w:t>《通信行政处罚程序规定》</w:t>
            </w:r>
          </w:p>
        </w:tc>
        <w:tc>
          <w:tcPr>
            <w:tcW w:w="1350" w:type="dxa"/>
            <w:noWrap w:val="0"/>
            <w:vAlign w:val="center"/>
          </w:tcPr>
          <w:p>
            <w:pPr>
              <w:pStyle w:val="94"/>
              <w:spacing w:before="5"/>
              <w:jc w:val="center"/>
              <w:rPr>
                <w:rFonts w:hint="eastAsia" w:ascii="宋体" w:hAnsi="宋体" w:eastAsia="宋体" w:cs="宋体"/>
                <w:b/>
                <w:color w:val="auto"/>
                <w:sz w:val="21"/>
                <w:szCs w:val="21"/>
                <w:highlight w:val="none"/>
              </w:rPr>
            </w:pPr>
          </w:p>
          <w:p>
            <w:pPr>
              <w:pStyle w:val="94"/>
              <w:spacing w:before="1"/>
              <w:ind w:left="120" w:leftChars="0" w:right="112"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第三十条</w:t>
            </w:r>
          </w:p>
        </w:tc>
        <w:tc>
          <w:tcPr>
            <w:tcW w:w="3656" w:type="dxa"/>
            <w:noWrap w:val="0"/>
            <w:vAlign w:val="top"/>
          </w:tcPr>
          <w:p>
            <w:pPr>
              <w:pStyle w:val="94"/>
              <w:spacing w:before="13" w:line="262" w:lineRule="exact"/>
              <w:ind w:left="108"/>
              <w:rPr>
                <w:rFonts w:hint="eastAsia" w:ascii="宋体" w:hAnsi="宋体" w:eastAsia="宋体" w:cs="宋体"/>
                <w:color w:val="auto"/>
                <w:spacing w:val="-7"/>
                <w:sz w:val="21"/>
                <w:szCs w:val="21"/>
                <w:highlight w:val="none"/>
              </w:rPr>
            </w:pPr>
            <w:r>
              <w:rPr>
                <w:rFonts w:hint="eastAsia" w:ascii="宋体" w:hAnsi="宋体" w:eastAsia="宋体" w:cs="宋体"/>
                <w:color w:val="auto"/>
                <w:sz w:val="21"/>
                <w:szCs w:val="21"/>
                <w:highlight w:val="none"/>
              </w:rPr>
              <w:t>通信主管部门拟作出责令停产停业（关闭网站）、吊销许可证或者执照、较大数额罚款等行政处罚决定之前，应当告知当事人有要求举</w:t>
            </w:r>
            <w:r>
              <w:rPr>
                <w:rFonts w:hint="eastAsia" w:ascii="宋体" w:hAnsi="宋体" w:eastAsia="宋体" w:cs="宋体"/>
                <w:color w:val="auto"/>
                <w:spacing w:val="-3"/>
                <w:sz w:val="21"/>
                <w:szCs w:val="21"/>
                <w:highlight w:val="none"/>
              </w:rPr>
              <w:t>行听证的权利。当事人要求听证的，应当组织</w:t>
            </w:r>
            <w:r>
              <w:rPr>
                <w:rFonts w:hint="eastAsia" w:ascii="宋体" w:hAnsi="宋体" w:eastAsia="宋体" w:cs="宋体"/>
                <w:color w:val="auto"/>
                <w:spacing w:val="-8"/>
                <w:sz w:val="21"/>
                <w:szCs w:val="21"/>
                <w:highlight w:val="none"/>
              </w:rPr>
              <w:t>听证。 本条前款所称较大数额，是指对公民罚</w:t>
            </w:r>
            <w:r>
              <w:rPr>
                <w:rFonts w:hint="eastAsia" w:ascii="宋体" w:hAnsi="宋体" w:eastAsia="宋体" w:cs="宋体"/>
                <w:color w:val="auto"/>
                <w:spacing w:val="-3"/>
                <w:sz w:val="21"/>
                <w:szCs w:val="21"/>
                <w:highlight w:val="none"/>
              </w:rPr>
              <w:t>款１万元以上、对法人或其他组织罚款１０万</w:t>
            </w:r>
            <w:r>
              <w:rPr>
                <w:rFonts w:hint="eastAsia" w:ascii="宋体" w:hAnsi="宋体" w:eastAsia="宋体" w:cs="宋体"/>
                <w:color w:val="auto"/>
                <w:sz w:val="21"/>
                <w:szCs w:val="21"/>
                <w:highlight w:val="none"/>
              </w:rPr>
              <w:t>元以上；地方通信主管部门也可以按照省、自治区、直辖市人大常委会或者人民政府规定的标准执行。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2" w:hRule="atLeast"/>
        </w:trPr>
        <w:tc>
          <w:tcPr>
            <w:tcW w:w="656" w:type="dxa"/>
            <w:vMerge w:val="restart"/>
            <w:noWrap w:val="0"/>
            <w:vAlign w:val="center"/>
          </w:tcPr>
          <w:p>
            <w:pPr>
              <w:pStyle w:val="94"/>
              <w:spacing w:before="151"/>
              <w:ind w:left="7" w:leftChars="0"/>
              <w:jc w:val="center"/>
              <w:rPr>
                <w:rFonts w:hint="eastAsia" w:ascii="宋体" w:hAnsi="宋体" w:eastAsia="宋体" w:cs="宋体"/>
                <w:color w:val="auto"/>
                <w:w w:val="100"/>
                <w:sz w:val="21"/>
                <w:szCs w:val="21"/>
                <w:highlight w:val="none"/>
              </w:rPr>
            </w:pPr>
            <w:r>
              <w:rPr>
                <w:rFonts w:hint="eastAsia" w:ascii="宋体" w:hAnsi="宋体" w:eastAsia="宋体" w:cs="宋体"/>
                <w:color w:val="auto"/>
                <w:w w:val="100"/>
                <w:sz w:val="21"/>
                <w:szCs w:val="21"/>
                <w:highlight w:val="none"/>
              </w:rPr>
              <w:t>9</w:t>
            </w:r>
          </w:p>
        </w:tc>
        <w:tc>
          <w:tcPr>
            <w:tcW w:w="1031" w:type="dxa"/>
            <w:vMerge w:val="restart"/>
            <w:noWrap w:val="0"/>
            <w:vAlign w:val="center"/>
          </w:tcPr>
          <w:p>
            <w:pPr>
              <w:pStyle w:val="94"/>
              <w:spacing w:before="7" w:line="280" w:lineRule="atLeast"/>
              <w:ind w:left="294" w:leftChars="0" w:right="174" w:rightChars="0" w:hanging="111"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自然资源部</w:t>
            </w:r>
          </w:p>
        </w:tc>
        <w:tc>
          <w:tcPr>
            <w:tcW w:w="1455" w:type="dxa"/>
            <w:noWrap w:val="0"/>
            <w:vAlign w:val="center"/>
          </w:tcPr>
          <w:p>
            <w:pPr>
              <w:pStyle w:val="94"/>
              <w:spacing w:before="2"/>
              <w:ind w:left="113"/>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《测绘行政处</w:t>
            </w:r>
          </w:p>
          <w:p>
            <w:pPr>
              <w:pStyle w:val="94"/>
              <w:spacing w:before="4" w:line="262" w:lineRule="exact"/>
              <w:ind w:left="113" w:left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罚程序规定》</w:t>
            </w:r>
          </w:p>
        </w:tc>
        <w:tc>
          <w:tcPr>
            <w:tcW w:w="1350" w:type="dxa"/>
            <w:noWrap w:val="0"/>
            <w:vAlign w:val="center"/>
          </w:tcPr>
          <w:p>
            <w:pPr>
              <w:pStyle w:val="94"/>
              <w:spacing w:before="144"/>
              <w:ind w:left="124" w:leftChars="0" w:right="112"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第二十六条</w:t>
            </w:r>
          </w:p>
        </w:tc>
        <w:tc>
          <w:tcPr>
            <w:tcW w:w="3656" w:type="dxa"/>
            <w:noWrap w:val="0"/>
            <w:vAlign w:val="top"/>
          </w:tcPr>
          <w:p>
            <w:pPr>
              <w:pStyle w:val="94"/>
              <w:spacing w:line="263"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测绘主管部门在作出下列行政处罚决定之前，应当告知当事人有要求举行听证的权利，当事人要求听证的，作出行政处罚决定的测绘主管部门应当依照法律法规的规定组织听证：(一)</w:t>
            </w:r>
          </w:p>
          <w:p>
            <w:pPr>
              <w:pStyle w:val="94"/>
              <w:spacing w:before="2"/>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取消测绘资格；(二)停止测绘活动、停止地图</w:t>
            </w:r>
            <w:r>
              <w:rPr>
                <w:rFonts w:hint="eastAsia" w:ascii="宋体" w:hAnsi="宋体" w:eastAsia="宋体" w:cs="宋体"/>
                <w:color w:val="auto"/>
                <w:spacing w:val="-9"/>
                <w:sz w:val="21"/>
                <w:szCs w:val="21"/>
                <w:highlight w:val="none"/>
              </w:rPr>
              <w:t>编制活动；(三)没收违法所得、没收测绘成果；</w:t>
            </w:r>
          </w:p>
          <w:p>
            <w:pPr>
              <w:pStyle w:val="94"/>
              <w:spacing w:before="1" w:line="263"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(四)对公民处以一千元以上罚款、对法人处以一万元以上罚款，省级人民政府或者省级人民政府法制部门对罚款数额另有规定的，也可以依规定进行。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2" w:hRule="atLeast"/>
        </w:trPr>
        <w:tc>
          <w:tcPr>
            <w:tcW w:w="656" w:type="dxa"/>
            <w:vMerge w:val="continue"/>
            <w:noWrap w:val="0"/>
            <w:vAlign w:val="center"/>
          </w:tcPr>
          <w:p>
            <w:pPr>
              <w:pStyle w:val="94"/>
              <w:spacing w:before="151"/>
              <w:ind w:left="7" w:leftChars="0"/>
              <w:jc w:val="center"/>
              <w:rPr>
                <w:rFonts w:hint="eastAsia" w:ascii="宋体" w:hAnsi="宋体" w:eastAsia="宋体" w:cs="宋体"/>
                <w:color w:val="auto"/>
                <w:w w:val="100"/>
                <w:sz w:val="21"/>
                <w:szCs w:val="21"/>
                <w:highlight w:val="none"/>
              </w:rPr>
            </w:pPr>
          </w:p>
        </w:tc>
        <w:tc>
          <w:tcPr>
            <w:tcW w:w="1031" w:type="dxa"/>
            <w:vMerge w:val="continue"/>
            <w:noWrap w:val="0"/>
            <w:vAlign w:val="center"/>
          </w:tcPr>
          <w:p>
            <w:pPr>
              <w:pStyle w:val="94"/>
              <w:spacing w:before="7" w:line="280" w:lineRule="atLeast"/>
              <w:ind w:left="294" w:leftChars="0" w:right="174" w:rightChars="0" w:hanging="111" w:firstLineChars="0"/>
              <w:jc w:val="center"/>
              <w:rPr>
                <w:rFonts w:hint="eastAsia" w:ascii="宋体" w:hAnsi="宋体" w:eastAsia="宋体" w:cs="宋体"/>
                <w:color w:val="auto"/>
                <w:sz w:val="21"/>
                <w:szCs w:val="21"/>
                <w:highlight w:val="none"/>
              </w:rPr>
            </w:pPr>
          </w:p>
        </w:tc>
        <w:tc>
          <w:tcPr>
            <w:tcW w:w="1455" w:type="dxa"/>
            <w:noWrap w:val="0"/>
            <w:vAlign w:val="center"/>
          </w:tcPr>
          <w:p>
            <w:pPr>
              <w:pStyle w:val="94"/>
              <w:spacing w:before="2" w:line="280" w:lineRule="atLeast"/>
              <w:ind w:left="113" w:leftChars="0" w:right="103"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《海洋行政处罚实施办法》</w:t>
            </w:r>
          </w:p>
        </w:tc>
        <w:tc>
          <w:tcPr>
            <w:tcW w:w="1350" w:type="dxa"/>
            <w:noWrap w:val="0"/>
            <w:vAlign w:val="center"/>
          </w:tcPr>
          <w:p>
            <w:pPr>
              <w:pStyle w:val="94"/>
              <w:spacing w:before="144"/>
              <w:ind w:left="124" w:leftChars="0" w:right="112"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第四十一条</w:t>
            </w:r>
          </w:p>
        </w:tc>
        <w:tc>
          <w:tcPr>
            <w:tcW w:w="3656" w:type="dxa"/>
            <w:noWrap w:val="0"/>
            <w:vAlign w:val="top"/>
          </w:tcPr>
          <w:p>
            <w:pPr>
              <w:pStyle w:val="94"/>
              <w:spacing w:line="263"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重大海洋违法案件，是指拟作出下列海洋行政处罚的案件：（一）责令停止经批准的海底电缆管道海上作业、责令停止经批准的涉外海洋科学研究活动、责令停止经批准的海洋工程建</w:t>
            </w:r>
          </w:p>
          <w:p>
            <w:pPr>
              <w:pStyle w:val="94"/>
              <w:spacing w:before="2" w:line="280" w:lineRule="atLeast"/>
              <w:ind w:left="108" w:right="14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设项目施工或者生产、使用的以及其他责令停止经批准的作业活动的；（二）吊销废弃物海</w:t>
            </w:r>
            <w:r>
              <w:rPr>
                <w:rFonts w:hint="eastAsia" w:ascii="宋体" w:hAnsi="宋体" w:eastAsia="宋体" w:cs="宋体"/>
                <w:color w:val="auto"/>
                <w:spacing w:val="-6"/>
                <w:sz w:val="21"/>
                <w:szCs w:val="21"/>
                <w:highlight w:val="none"/>
              </w:rPr>
              <w:t>洋倾倒许可证的；</w:t>
            </w:r>
            <w:r>
              <w:rPr>
                <w:rFonts w:hint="eastAsia" w:ascii="宋体" w:hAnsi="宋体" w:eastAsia="宋体" w:cs="宋体"/>
                <w:color w:val="auto"/>
                <w:spacing w:val="-21"/>
                <w:sz w:val="21"/>
                <w:szCs w:val="21"/>
                <w:highlight w:val="none"/>
              </w:rPr>
              <w:t>（</w:t>
            </w:r>
            <w:r>
              <w:rPr>
                <w:rFonts w:hint="eastAsia" w:ascii="宋体" w:hAnsi="宋体" w:eastAsia="宋体" w:cs="宋体"/>
                <w:color w:val="auto"/>
                <w:sz w:val="21"/>
                <w:szCs w:val="21"/>
                <w:highlight w:val="none"/>
              </w:rPr>
              <w:t>三</w:t>
            </w:r>
            <w:r>
              <w:rPr>
                <w:rFonts w:hint="eastAsia" w:ascii="宋体" w:hAnsi="宋体" w:eastAsia="宋体" w:cs="宋体"/>
                <w:color w:val="auto"/>
                <w:spacing w:val="-22"/>
                <w:sz w:val="21"/>
                <w:szCs w:val="21"/>
                <w:highlight w:val="none"/>
              </w:rPr>
              <w:t>）</w:t>
            </w:r>
            <w:r>
              <w:rPr>
                <w:rFonts w:hint="eastAsia" w:ascii="宋体" w:hAnsi="宋体" w:eastAsia="宋体" w:cs="宋体"/>
                <w:color w:val="auto"/>
                <w:spacing w:val="-3"/>
                <w:sz w:val="21"/>
                <w:szCs w:val="21"/>
                <w:highlight w:val="none"/>
              </w:rPr>
              <w:t>注销海域使用权证书，</w:t>
            </w:r>
          </w:p>
          <w:p>
            <w:pPr>
              <w:pStyle w:val="94"/>
              <w:spacing w:before="2" w:line="263"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收回海域使用权的；（四）对个人处以超过五千元罚款、对单位处以超过五万元罚款等海洋行政处罚的。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656" w:type="dxa"/>
            <w:noWrap w:val="0"/>
            <w:vAlign w:val="center"/>
          </w:tcPr>
          <w:p>
            <w:pPr>
              <w:pStyle w:val="94"/>
              <w:spacing w:line="254" w:lineRule="exact"/>
              <w:ind w:left="199" w:leftChars="0" w:right="187" w:rightChars="0"/>
              <w:jc w:val="center"/>
              <w:rPr>
                <w:rFonts w:hint="eastAsia" w:ascii="宋体" w:hAnsi="宋体" w:eastAsia="宋体" w:cs="宋体"/>
                <w:color w:val="auto"/>
                <w:w w:val="100"/>
                <w:sz w:val="21"/>
                <w:szCs w:val="21"/>
                <w:highlight w:val="none"/>
              </w:rPr>
            </w:pPr>
            <w:r>
              <w:rPr>
                <w:rFonts w:hint="eastAsia" w:ascii="宋体" w:hAnsi="宋体" w:eastAsia="宋体" w:cs="宋体"/>
                <w:color w:val="auto"/>
                <w:sz w:val="21"/>
                <w:szCs w:val="21"/>
                <w:highlight w:val="none"/>
              </w:rPr>
              <w:t>10</w:t>
            </w:r>
          </w:p>
        </w:tc>
        <w:tc>
          <w:tcPr>
            <w:tcW w:w="1031" w:type="dxa"/>
            <w:noWrap w:val="0"/>
            <w:vAlign w:val="center"/>
          </w:tcPr>
          <w:p>
            <w:pPr>
              <w:pStyle w:val="94"/>
              <w:spacing w:line="256" w:lineRule="exact"/>
              <w:ind w:left="164" w:right="15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国家卫</w:t>
            </w:r>
          </w:p>
          <w:p>
            <w:pPr>
              <w:pStyle w:val="94"/>
              <w:spacing w:line="254" w:lineRule="exact"/>
              <w:ind w:left="164" w:right="15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生健康</w:t>
            </w:r>
          </w:p>
          <w:p>
            <w:pPr>
              <w:pStyle w:val="94"/>
              <w:spacing w:line="257" w:lineRule="exact"/>
              <w:ind w:left="164" w:leftChars="0" w:right="157"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委员会</w:t>
            </w:r>
          </w:p>
        </w:tc>
        <w:tc>
          <w:tcPr>
            <w:tcW w:w="1455" w:type="dxa"/>
            <w:noWrap w:val="0"/>
            <w:vAlign w:val="center"/>
          </w:tcPr>
          <w:p>
            <w:pPr>
              <w:pStyle w:val="94"/>
              <w:jc w:val="center"/>
              <w:rPr>
                <w:rFonts w:hint="eastAsia" w:ascii="宋体" w:hAnsi="宋体" w:eastAsia="宋体" w:cs="宋体"/>
                <w:b/>
                <w:color w:val="auto"/>
                <w:sz w:val="21"/>
                <w:szCs w:val="21"/>
                <w:highlight w:val="none"/>
              </w:rPr>
            </w:pPr>
          </w:p>
          <w:p>
            <w:pPr>
              <w:pStyle w:val="94"/>
              <w:jc w:val="center"/>
              <w:rPr>
                <w:rFonts w:hint="eastAsia" w:ascii="宋体" w:hAnsi="宋体" w:eastAsia="宋体" w:cs="宋体"/>
                <w:b/>
                <w:color w:val="auto"/>
                <w:sz w:val="21"/>
                <w:szCs w:val="21"/>
                <w:highlight w:val="none"/>
              </w:rPr>
            </w:pPr>
          </w:p>
          <w:p>
            <w:pPr>
              <w:pStyle w:val="94"/>
              <w:jc w:val="center"/>
              <w:rPr>
                <w:rFonts w:hint="eastAsia" w:ascii="宋体" w:hAnsi="宋体" w:eastAsia="宋体" w:cs="宋体"/>
                <w:b/>
                <w:color w:val="auto"/>
                <w:sz w:val="21"/>
                <w:szCs w:val="21"/>
                <w:highlight w:val="none"/>
              </w:rPr>
            </w:pPr>
          </w:p>
          <w:p>
            <w:pPr>
              <w:pStyle w:val="94"/>
              <w:spacing w:before="153" w:line="242" w:lineRule="auto"/>
              <w:ind w:left="334" w:leftChars="0" w:right="103" w:rightChars="0" w:hanging="221"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《卫生行政处罚程序》</w:t>
            </w:r>
          </w:p>
        </w:tc>
        <w:tc>
          <w:tcPr>
            <w:tcW w:w="1350" w:type="dxa"/>
            <w:noWrap w:val="0"/>
            <w:vAlign w:val="center"/>
          </w:tcPr>
          <w:p>
            <w:pPr>
              <w:pStyle w:val="94"/>
              <w:spacing w:line="254" w:lineRule="exact"/>
              <w:ind w:left="120" w:leftChars="0" w:right="112"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第三十条</w:t>
            </w:r>
          </w:p>
        </w:tc>
        <w:tc>
          <w:tcPr>
            <w:tcW w:w="3656" w:type="dxa"/>
            <w:noWrap w:val="0"/>
            <w:vAlign w:val="top"/>
          </w:tcPr>
          <w:p>
            <w:pPr>
              <w:pStyle w:val="94"/>
              <w:spacing w:before="3" w:line="257"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卫生行政机关在作出的责令停产停业、吊销许可证或者较大数额罚款等行政处罚决定前，应当告知当事人有要求举行听证的权利。当事人要求听证的，卫生行政机关应当组织听证。听证由卫生机关内部法制机构或主管法制工作的综合机构负责。对较大数额罚款的听证范围依照省、自治区、直辖市人大常委会或人民政府的具体规定执行。国境卫生检疫机关对二万元以上数额的罚款实行听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2" w:hRule="atLeast"/>
        </w:trPr>
        <w:tc>
          <w:tcPr>
            <w:tcW w:w="656" w:type="dxa"/>
            <w:noWrap w:val="0"/>
            <w:vAlign w:val="center"/>
          </w:tcPr>
          <w:p>
            <w:pPr>
              <w:pStyle w:val="94"/>
              <w:jc w:val="center"/>
              <w:rPr>
                <w:rFonts w:hint="eastAsia" w:ascii="宋体" w:hAnsi="宋体" w:eastAsia="宋体" w:cs="宋体"/>
                <w:b/>
                <w:color w:val="auto"/>
                <w:sz w:val="21"/>
                <w:szCs w:val="21"/>
                <w:highlight w:val="none"/>
              </w:rPr>
            </w:pPr>
          </w:p>
          <w:p>
            <w:pPr>
              <w:pStyle w:val="94"/>
              <w:spacing w:before="147"/>
              <w:ind w:left="199" w:leftChars="0" w:right="187" w:rightChars="0"/>
              <w:jc w:val="center"/>
              <w:rPr>
                <w:rFonts w:hint="eastAsia" w:ascii="宋体" w:hAnsi="宋体" w:eastAsia="宋体" w:cs="宋体"/>
                <w:color w:val="auto"/>
                <w:w w:val="100"/>
                <w:sz w:val="21"/>
                <w:szCs w:val="21"/>
                <w:highlight w:val="none"/>
              </w:rPr>
            </w:pPr>
            <w:r>
              <w:rPr>
                <w:rFonts w:hint="eastAsia" w:ascii="宋体" w:hAnsi="宋体" w:eastAsia="宋体" w:cs="宋体"/>
                <w:color w:val="auto"/>
                <w:sz w:val="21"/>
                <w:szCs w:val="21"/>
                <w:highlight w:val="none"/>
              </w:rPr>
              <w:t>11</w:t>
            </w:r>
          </w:p>
        </w:tc>
        <w:tc>
          <w:tcPr>
            <w:tcW w:w="1031" w:type="dxa"/>
            <w:noWrap w:val="0"/>
            <w:vAlign w:val="center"/>
          </w:tcPr>
          <w:p>
            <w:pPr>
              <w:pStyle w:val="94"/>
              <w:spacing w:before="5"/>
              <w:jc w:val="center"/>
              <w:rPr>
                <w:rFonts w:hint="eastAsia" w:ascii="宋体" w:hAnsi="宋体" w:eastAsia="宋体" w:cs="宋体"/>
                <w:b/>
                <w:color w:val="auto"/>
                <w:sz w:val="21"/>
                <w:szCs w:val="21"/>
                <w:highlight w:val="none"/>
              </w:rPr>
            </w:pPr>
          </w:p>
          <w:p>
            <w:pPr>
              <w:pStyle w:val="94"/>
              <w:spacing w:before="1" w:line="242" w:lineRule="auto"/>
              <w:ind w:left="294" w:leftChars="0" w:right="174" w:rightChars="0" w:hanging="111"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交通运输部</w:t>
            </w:r>
          </w:p>
        </w:tc>
        <w:tc>
          <w:tcPr>
            <w:tcW w:w="1455" w:type="dxa"/>
            <w:noWrap w:val="0"/>
            <w:vAlign w:val="center"/>
          </w:tcPr>
          <w:p>
            <w:pPr>
              <w:pStyle w:val="94"/>
              <w:spacing w:before="144" w:line="242" w:lineRule="auto"/>
              <w:ind w:left="113" w:leftChars="0" w:right="103"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《交通远输行政执法程序规定》</w:t>
            </w:r>
          </w:p>
        </w:tc>
        <w:tc>
          <w:tcPr>
            <w:tcW w:w="1350" w:type="dxa"/>
            <w:noWrap w:val="0"/>
            <w:vAlign w:val="center"/>
          </w:tcPr>
          <w:p>
            <w:pPr>
              <w:pStyle w:val="94"/>
              <w:jc w:val="center"/>
              <w:rPr>
                <w:rFonts w:hint="eastAsia" w:ascii="宋体" w:hAnsi="宋体" w:eastAsia="宋体" w:cs="宋体"/>
                <w:b/>
                <w:color w:val="auto"/>
                <w:sz w:val="21"/>
                <w:szCs w:val="21"/>
                <w:highlight w:val="none"/>
              </w:rPr>
            </w:pPr>
          </w:p>
          <w:p>
            <w:pPr>
              <w:pStyle w:val="94"/>
              <w:spacing w:before="147"/>
              <w:ind w:left="124" w:leftChars="0" w:right="112"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第七十六条</w:t>
            </w:r>
          </w:p>
        </w:tc>
        <w:tc>
          <w:tcPr>
            <w:tcW w:w="3656" w:type="dxa"/>
            <w:noWrap w:val="0"/>
            <w:vAlign w:val="top"/>
          </w:tcPr>
          <w:p>
            <w:pPr>
              <w:pStyle w:val="94"/>
              <w:spacing w:line="263"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执法部门作出下列行政处罚决定之前，应当在送达《违法行为通知书》时告知当事人有要求</w:t>
            </w:r>
            <w:r>
              <w:rPr>
                <w:rFonts w:hint="eastAsia" w:ascii="宋体" w:hAnsi="宋体" w:eastAsia="宋体" w:cs="宋体"/>
                <w:color w:val="auto"/>
                <w:spacing w:val="-5"/>
                <w:sz w:val="21"/>
                <w:szCs w:val="21"/>
                <w:highlight w:val="none"/>
              </w:rPr>
              <w:t>举行听证的权利：</w:t>
            </w:r>
            <w:r>
              <w:rPr>
                <w:rFonts w:hint="eastAsia" w:ascii="宋体" w:hAnsi="宋体" w:eastAsia="宋体" w:cs="宋体"/>
                <w:color w:val="auto"/>
                <w:spacing w:val="-13"/>
                <w:sz w:val="21"/>
                <w:szCs w:val="21"/>
                <w:highlight w:val="none"/>
              </w:rPr>
              <w:t>（</w:t>
            </w:r>
            <w:r>
              <w:rPr>
                <w:rFonts w:hint="eastAsia" w:ascii="宋体" w:hAnsi="宋体" w:eastAsia="宋体" w:cs="宋体"/>
                <w:color w:val="auto"/>
                <w:spacing w:val="-3"/>
                <w:sz w:val="21"/>
                <w:szCs w:val="21"/>
                <w:highlight w:val="none"/>
              </w:rPr>
              <w:t>一</w:t>
            </w:r>
            <w:r>
              <w:rPr>
                <w:rFonts w:hint="eastAsia" w:ascii="宋体" w:hAnsi="宋体" w:eastAsia="宋体" w:cs="宋体"/>
                <w:color w:val="auto"/>
                <w:spacing w:val="-13"/>
                <w:sz w:val="21"/>
                <w:szCs w:val="21"/>
                <w:highlight w:val="none"/>
              </w:rPr>
              <w:t>）</w:t>
            </w:r>
            <w:r>
              <w:rPr>
                <w:rFonts w:hint="eastAsia" w:ascii="宋体" w:hAnsi="宋体" w:eastAsia="宋体" w:cs="宋体"/>
                <w:color w:val="auto"/>
                <w:spacing w:val="-5"/>
                <w:sz w:val="21"/>
                <w:szCs w:val="21"/>
                <w:highlight w:val="none"/>
              </w:rPr>
              <w:t>责令停产停业；</w:t>
            </w:r>
            <w:r>
              <w:rPr>
                <w:rFonts w:hint="eastAsia" w:ascii="宋体" w:hAnsi="宋体" w:eastAsia="宋体" w:cs="宋体"/>
                <w:color w:val="auto"/>
                <w:spacing w:val="-14"/>
                <w:sz w:val="21"/>
                <w:szCs w:val="21"/>
                <w:highlight w:val="none"/>
              </w:rPr>
              <w:t>（</w:t>
            </w:r>
            <w:r>
              <w:rPr>
                <w:rFonts w:hint="eastAsia" w:ascii="宋体" w:hAnsi="宋体" w:eastAsia="宋体" w:cs="宋体"/>
                <w:color w:val="auto"/>
                <w:sz w:val="21"/>
                <w:szCs w:val="21"/>
                <w:highlight w:val="none"/>
              </w:rPr>
              <w:t>二）</w:t>
            </w:r>
            <w:r>
              <w:rPr>
                <w:rFonts w:hint="eastAsia" w:ascii="宋体" w:hAnsi="宋体" w:eastAsia="宋体" w:cs="宋体"/>
                <w:color w:val="auto"/>
                <w:spacing w:val="-3"/>
                <w:sz w:val="21"/>
                <w:szCs w:val="21"/>
                <w:highlight w:val="none"/>
              </w:rPr>
              <w:t>吊销许可证或者执照；</w:t>
            </w:r>
            <w:r>
              <w:rPr>
                <w:rFonts w:hint="eastAsia" w:ascii="宋体" w:hAnsi="宋体" w:eastAsia="宋体" w:cs="宋体"/>
                <w:color w:val="auto"/>
                <w:spacing w:val="-1"/>
                <w:sz w:val="21"/>
                <w:szCs w:val="21"/>
                <w:highlight w:val="none"/>
              </w:rPr>
              <w:t>（三）</w:t>
            </w:r>
            <w:r>
              <w:rPr>
                <w:rFonts w:hint="eastAsia" w:ascii="宋体" w:hAnsi="宋体" w:eastAsia="宋体" w:cs="宋体"/>
                <w:color w:val="auto"/>
                <w:spacing w:val="-3"/>
                <w:sz w:val="21"/>
                <w:szCs w:val="21"/>
                <w:highlight w:val="none"/>
              </w:rPr>
              <w:t>较大数额罚款；</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3"/>
                <w:sz w:val="21"/>
                <w:szCs w:val="21"/>
                <w:highlight w:val="none"/>
              </w:rPr>
              <w:t>四</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3"/>
                <w:sz w:val="21"/>
                <w:szCs w:val="21"/>
                <w:highlight w:val="none"/>
              </w:rPr>
              <w:t>法律、法规和规章规定的当事人可以要求举行听证的其他情形。前款第</w:t>
            </w:r>
            <w:r>
              <w:rPr>
                <w:rFonts w:hint="eastAsia" w:ascii="宋体" w:hAnsi="宋体" w:eastAsia="宋体" w:cs="宋体"/>
                <w:color w:val="auto"/>
                <w:sz w:val="21"/>
                <w:szCs w:val="21"/>
                <w:highlight w:val="none"/>
              </w:rPr>
              <w:t>（三</w:t>
            </w:r>
            <w:r>
              <w:rPr>
                <w:rFonts w:hint="eastAsia" w:ascii="宋体" w:hAnsi="宋体" w:eastAsia="宋体" w:cs="宋体"/>
                <w:color w:val="auto"/>
                <w:spacing w:val="-3"/>
                <w:sz w:val="21"/>
                <w:szCs w:val="21"/>
                <w:highlight w:val="none"/>
              </w:rPr>
              <w:t>）</w:t>
            </w:r>
            <w:r>
              <w:rPr>
                <w:rFonts w:hint="eastAsia" w:ascii="宋体" w:hAnsi="宋体" w:eastAsia="宋体" w:cs="宋体"/>
                <w:color w:val="auto"/>
                <w:sz w:val="21"/>
                <w:szCs w:val="21"/>
                <w:highlight w:val="none"/>
              </w:rPr>
              <w:t>项规定</w:t>
            </w:r>
            <w:r>
              <w:rPr>
                <w:rFonts w:hint="eastAsia" w:ascii="宋体" w:hAnsi="宋体" w:eastAsia="宋体" w:cs="宋体"/>
                <w:color w:val="auto"/>
                <w:spacing w:val="-3"/>
                <w:sz w:val="21"/>
                <w:szCs w:val="21"/>
                <w:highlight w:val="none"/>
              </w:rPr>
              <w:t>的较大数额，地方执法部门按照省级人大常委</w:t>
            </w:r>
            <w:r>
              <w:rPr>
                <w:rFonts w:hint="eastAsia" w:ascii="宋体" w:hAnsi="宋体" w:eastAsia="宋体" w:cs="宋体"/>
                <w:color w:val="auto"/>
                <w:sz w:val="21"/>
                <w:szCs w:val="21"/>
                <w:highlight w:val="none"/>
              </w:rPr>
              <w:t>会或者人民政府规定或者其授权部门规定的标准执行。海事执法部门按照对自然人处 1 万元</w:t>
            </w:r>
            <w:r>
              <w:rPr>
                <w:rFonts w:hint="eastAsia" w:ascii="宋体" w:hAnsi="宋体" w:eastAsia="宋体" w:cs="宋体"/>
                <w:color w:val="auto"/>
                <w:spacing w:val="-8"/>
                <w:sz w:val="21"/>
                <w:szCs w:val="21"/>
                <w:highlight w:val="none"/>
              </w:rPr>
              <w:t xml:space="preserve">以上、对法人或者其他组织 </w:t>
            </w:r>
            <w:r>
              <w:rPr>
                <w:rFonts w:hint="eastAsia" w:ascii="宋体" w:hAnsi="宋体" w:eastAsia="宋体" w:cs="宋体"/>
                <w:color w:val="auto"/>
                <w:sz w:val="21"/>
                <w:szCs w:val="21"/>
                <w:highlight w:val="none"/>
              </w:rPr>
              <w:t>10</w:t>
            </w:r>
            <w:r>
              <w:rPr>
                <w:rFonts w:hint="eastAsia" w:ascii="宋体" w:hAnsi="宋体" w:eastAsia="宋体" w:cs="宋体"/>
                <w:color w:val="auto"/>
                <w:spacing w:val="-9"/>
                <w:sz w:val="21"/>
                <w:szCs w:val="21"/>
                <w:highlight w:val="none"/>
              </w:rPr>
              <w:t xml:space="preserve"> 万元以上执行。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0" w:hRule="atLeast"/>
        </w:trPr>
        <w:tc>
          <w:tcPr>
            <w:tcW w:w="656" w:type="dxa"/>
            <w:tcBorders>
              <w:left w:val="single" w:color="000000" w:sz="4" w:space="0"/>
              <w:right w:val="single" w:color="000000" w:sz="4" w:space="0"/>
            </w:tcBorders>
            <w:noWrap w:val="0"/>
            <w:vAlign w:val="center"/>
          </w:tcPr>
          <w:p>
            <w:pPr>
              <w:pStyle w:val="94"/>
              <w:spacing w:before="4"/>
              <w:jc w:val="center"/>
              <w:rPr>
                <w:rFonts w:hint="eastAsia" w:ascii="宋体" w:hAnsi="宋体" w:eastAsia="宋体" w:cs="宋体"/>
                <w:b/>
                <w:color w:val="auto"/>
                <w:sz w:val="21"/>
                <w:szCs w:val="21"/>
                <w:highlight w:val="none"/>
              </w:rPr>
            </w:pPr>
          </w:p>
          <w:p>
            <w:pPr>
              <w:pStyle w:val="94"/>
              <w:ind w:left="199" w:right="18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031" w:type="dxa"/>
            <w:tcBorders>
              <w:left w:val="single" w:color="000000" w:sz="4" w:space="0"/>
              <w:right w:val="single" w:color="000000" w:sz="4" w:space="0"/>
            </w:tcBorders>
            <w:noWrap w:val="0"/>
            <w:vAlign w:val="center"/>
          </w:tcPr>
          <w:p>
            <w:pPr>
              <w:pStyle w:val="94"/>
              <w:spacing w:before="4"/>
              <w:jc w:val="center"/>
              <w:rPr>
                <w:rFonts w:hint="eastAsia" w:ascii="宋体" w:hAnsi="宋体" w:eastAsia="宋体" w:cs="宋体"/>
                <w:b/>
                <w:color w:val="auto"/>
                <w:sz w:val="21"/>
                <w:szCs w:val="21"/>
                <w:highlight w:val="none"/>
              </w:rPr>
            </w:pPr>
          </w:p>
          <w:p>
            <w:pPr>
              <w:pStyle w:val="94"/>
              <w:ind w:left="164" w:right="15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水利部</w:t>
            </w:r>
          </w:p>
        </w:tc>
        <w:tc>
          <w:tcPr>
            <w:tcW w:w="1455" w:type="dxa"/>
            <w:tcBorders>
              <w:left w:val="single" w:color="000000" w:sz="4" w:space="0"/>
              <w:right w:val="single" w:color="000000" w:sz="4" w:space="0"/>
            </w:tcBorders>
            <w:noWrap w:val="0"/>
            <w:vAlign w:val="center"/>
          </w:tcPr>
          <w:p>
            <w:pPr>
              <w:pStyle w:val="94"/>
              <w:spacing w:before="145"/>
              <w:ind w:left="223" w:right="103" w:hanging="11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《水行政处罚实施办法》</w:t>
            </w:r>
          </w:p>
        </w:tc>
        <w:tc>
          <w:tcPr>
            <w:tcW w:w="1350" w:type="dxa"/>
            <w:tcBorders>
              <w:left w:val="single" w:color="000000" w:sz="4" w:space="0"/>
              <w:right w:val="single" w:color="000000" w:sz="4" w:space="0"/>
            </w:tcBorders>
            <w:noWrap w:val="0"/>
            <w:vAlign w:val="center"/>
          </w:tcPr>
          <w:p>
            <w:pPr>
              <w:pStyle w:val="94"/>
              <w:spacing w:before="4"/>
              <w:jc w:val="center"/>
              <w:rPr>
                <w:rFonts w:hint="eastAsia" w:ascii="宋体" w:hAnsi="宋体" w:eastAsia="宋体" w:cs="宋体"/>
                <w:b/>
                <w:color w:val="auto"/>
                <w:sz w:val="21"/>
                <w:szCs w:val="21"/>
                <w:highlight w:val="none"/>
              </w:rPr>
            </w:pPr>
          </w:p>
          <w:p>
            <w:pPr>
              <w:pStyle w:val="94"/>
              <w:ind w:left="124" w:right="11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第三十四条</w:t>
            </w:r>
          </w:p>
        </w:tc>
        <w:tc>
          <w:tcPr>
            <w:tcW w:w="3656" w:type="dxa"/>
            <w:tcBorders>
              <w:left w:val="single" w:color="000000" w:sz="4" w:space="0"/>
              <w:bottom w:val="single" w:color="000000" w:sz="4" w:space="0"/>
              <w:right w:val="single" w:color="000000" w:sz="4" w:space="0"/>
            </w:tcBorders>
            <w:noWrap w:val="0"/>
            <w:vAlign w:val="top"/>
          </w:tcPr>
          <w:p>
            <w:pPr>
              <w:pStyle w:val="94"/>
              <w:spacing w:before="13" w:line="262"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行政处罚机关作出对公民处以超过五千元、对法人或者其他组织处以超过五万元罚款以及</w:t>
            </w:r>
            <w:r>
              <w:rPr>
                <w:rFonts w:hint="eastAsia" w:ascii="宋体" w:hAnsi="宋体" w:eastAsia="宋体" w:cs="宋体"/>
                <w:color w:val="auto"/>
                <w:spacing w:val="-3"/>
                <w:sz w:val="21"/>
                <w:szCs w:val="21"/>
                <w:highlight w:val="none"/>
              </w:rPr>
              <w:t>吊销许可证等水行政处罚之前，应当告知当事</w:t>
            </w:r>
            <w:r>
              <w:rPr>
                <w:rFonts w:hint="eastAsia" w:ascii="宋体" w:hAnsi="宋体" w:eastAsia="宋体" w:cs="宋体"/>
                <w:color w:val="auto"/>
                <w:spacing w:val="-8"/>
                <w:sz w:val="21"/>
                <w:szCs w:val="21"/>
                <w:highlight w:val="none"/>
              </w:rPr>
              <w:t>人有要求举行听证的权利；当事人要求听证的，</w:t>
            </w:r>
            <w:r>
              <w:rPr>
                <w:rFonts w:hint="eastAsia" w:ascii="宋体" w:hAnsi="宋体" w:eastAsia="宋体" w:cs="宋体"/>
                <w:color w:val="auto"/>
                <w:sz w:val="21"/>
                <w:szCs w:val="21"/>
                <w:highlight w:val="none"/>
              </w:rPr>
              <w:t>行政处罚机关应当组织听证。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0" w:hRule="atLeast"/>
        </w:trPr>
        <w:tc>
          <w:tcPr>
            <w:tcW w:w="656" w:type="dxa"/>
            <w:tcBorders>
              <w:top w:val="single" w:color="000000" w:sz="4" w:space="0"/>
              <w:left w:val="single" w:color="000000" w:sz="4" w:space="0"/>
              <w:right w:val="single" w:color="000000" w:sz="4" w:space="0"/>
            </w:tcBorders>
            <w:noWrap w:val="0"/>
            <w:vAlign w:val="center"/>
          </w:tcPr>
          <w:p>
            <w:pPr>
              <w:pStyle w:val="94"/>
              <w:spacing w:before="3"/>
              <w:jc w:val="center"/>
              <w:rPr>
                <w:rFonts w:hint="eastAsia" w:ascii="宋体" w:hAnsi="宋体" w:eastAsia="宋体" w:cs="宋体"/>
                <w:b/>
                <w:color w:val="auto"/>
                <w:sz w:val="21"/>
                <w:szCs w:val="21"/>
                <w:highlight w:val="none"/>
              </w:rPr>
            </w:pPr>
          </w:p>
          <w:p>
            <w:pPr>
              <w:pStyle w:val="94"/>
              <w:ind w:left="199" w:right="18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031" w:type="dxa"/>
            <w:tcBorders>
              <w:top w:val="single" w:color="000000" w:sz="4" w:space="0"/>
              <w:left w:val="single" w:color="000000" w:sz="4" w:space="0"/>
              <w:right w:val="single" w:color="000000" w:sz="4" w:space="0"/>
            </w:tcBorders>
            <w:noWrap w:val="0"/>
            <w:vAlign w:val="center"/>
          </w:tcPr>
          <w:p>
            <w:pPr>
              <w:pStyle w:val="94"/>
              <w:spacing w:before="144" w:line="242" w:lineRule="auto"/>
              <w:ind w:left="294" w:right="174" w:hanging="11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农业农村部</w:t>
            </w:r>
          </w:p>
        </w:tc>
        <w:tc>
          <w:tcPr>
            <w:tcW w:w="1455" w:type="dxa"/>
            <w:tcBorders>
              <w:top w:val="single" w:color="000000" w:sz="4" w:space="0"/>
              <w:left w:val="single" w:color="000000" w:sz="4" w:space="0"/>
              <w:right w:val="single" w:color="000000" w:sz="4" w:space="0"/>
            </w:tcBorders>
            <w:noWrap w:val="0"/>
            <w:vAlign w:val="center"/>
          </w:tcPr>
          <w:p>
            <w:pPr>
              <w:pStyle w:val="94"/>
              <w:spacing w:before="144" w:line="242" w:lineRule="auto"/>
              <w:ind w:left="113" w:right="10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《农业行政处罚程序规定》</w:t>
            </w:r>
          </w:p>
        </w:tc>
        <w:tc>
          <w:tcPr>
            <w:tcW w:w="1350" w:type="dxa"/>
            <w:tcBorders>
              <w:top w:val="single" w:color="000000" w:sz="4" w:space="0"/>
              <w:left w:val="single" w:color="000000" w:sz="4" w:space="0"/>
              <w:right w:val="single" w:color="000000" w:sz="4" w:space="0"/>
            </w:tcBorders>
            <w:noWrap w:val="0"/>
            <w:vAlign w:val="center"/>
          </w:tcPr>
          <w:p>
            <w:pPr>
              <w:pStyle w:val="94"/>
              <w:spacing w:before="3"/>
              <w:jc w:val="center"/>
              <w:rPr>
                <w:rFonts w:hint="eastAsia" w:ascii="宋体" w:hAnsi="宋体" w:eastAsia="宋体" w:cs="宋体"/>
                <w:b/>
                <w:color w:val="auto"/>
                <w:sz w:val="21"/>
                <w:szCs w:val="21"/>
                <w:highlight w:val="none"/>
              </w:rPr>
            </w:pPr>
          </w:p>
          <w:p>
            <w:pPr>
              <w:pStyle w:val="94"/>
              <w:ind w:left="124" w:right="11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第五十九条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 w:line="263"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对需要继续行驶的农业机械、渔业船舶实施暂</w:t>
            </w:r>
            <w:r>
              <w:rPr>
                <w:rFonts w:hint="eastAsia" w:ascii="宋体" w:hAnsi="宋体" w:eastAsia="宋体" w:cs="宋体"/>
                <w:color w:val="auto"/>
                <w:spacing w:val="-3"/>
                <w:sz w:val="21"/>
                <w:szCs w:val="21"/>
                <w:highlight w:val="none"/>
              </w:rPr>
              <w:t>扣或者吊销证照的行政处罚，农业行政处罚机关在实施行政处罚的同时，应当发给当事人相应的证明，允许农业机械、渔业船舶驶往预定</w:t>
            </w:r>
            <w:r>
              <w:rPr>
                <w:rFonts w:hint="eastAsia" w:ascii="宋体" w:hAnsi="宋体" w:eastAsia="宋体" w:cs="宋体"/>
                <w:color w:val="auto"/>
                <w:sz w:val="21"/>
                <w:szCs w:val="21"/>
                <w:highlight w:val="none"/>
              </w:rPr>
              <w:t>或指定的地点。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8" w:hRule="atLeast"/>
        </w:trPr>
        <w:tc>
          <w:tcPr>
            <w:tcW w:w="656" w:type="dxa"/>
            <w:tcBorders>
              <w:top w:val="single" w:color="000000" w:sz="4" w:space="0"/>
              <w:left w:val="single" w:color="000000" w:sz="4" w:space="0"/>
              <w:right w:val="single" w:color="000000" w:sz="4" w:space="0"/>
            </w:tcBorders>
            <w:noWrap w:val="0"/>
            <w:vAlign w:val="center"/>
          </w:tcPr>
          <w:p>
            <w:pPr>
              <w:pStyle w:val="94"/>
              <w:spacing w:before="2" w:line="263" w:lineRule="exact"/>
              <w:ind w:left="199" w:right="18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031" w:type="dxa"/>
            <w:tcBorders>
              <w:top w:val="single" w:color="000000" w:sz="4" w:space="0"/>
              <w:left w:val="single" w:color="000000" w:sz="4" w:space="0"/>
              <w:right w:val="single" w:color="000000" w:sz="4" w:space="0"/>
            </w:tcBorders>
            <w:noWrap w:val="0"/>
            <w:vAlign w:val="center"/>
          </w:tcPr>
          <w:p>
            <w:pPr>
              <w:pStyle w:val="94"/>
              <w:spacing w:before="2" w:line="263" w:lineRule="exact"/>
              <w:ind w:left="164" w:right="15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商务部</w:t>
            </w:r>
          </w:p>
        </w:tc>
        <w:tc>
          <w:tcPr>
            <w:tcW w:w="1455" w:type="dxa"/>
            <w:tcBorders>
              <w:top w:val="single" w:color="000000" w:sz="4" w:space="0"/>
              <w:left w:val="single" w:color="000000" w:sz="4" w:space="0"/>
              <w:right w:val="single" w:color="000000" w:sz="4" w:space="0"/>
            </w:tcBorders>
            <w:noWrap w:val="0"/>
            <w:vAlign w:val="center"/>
          </w:tcPr>
          <w:p>
            <w:pPr>
              <w:pStyle w:val="94"/>
              <w:spacing w:before="2" w:line="263" w:lineRule="exact"/>
              <w:ind w:left="93" w:right="8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《商务部行政</w:t>
            </w:r>
          </w:p>
          <w:p>
            <w:pPr>
              <w:pStyle w:val="94"/>
              <w:spacing w:before="2" w:line="263" w:lineRule="exact"/>
              <w:ind w:left="113" w:right="10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处罚实施</w:t>
            </w:r>
          </w:p>
          <w:p>
            <w:pPr>
              <w:pStyle w:val="94"/>
              <w:spacing w:before="2" w:line="263" w:lineRule="exact"/>
              <w:ind w:left="113" w:right="10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办法》</w:t>
            </w:r>
          </w:p>
        </w:tc>
        <w:tc>
          <w:tcPr>
            <w:tcW w:w="1350" w:type="dxa"/>
            <w:tcBorders>
              <w:top w:val="single" w:color="000000" w:sz="4" w:space="0"/>
              <w:left w:val="single" w:color="000000" w:sz="4" w:space="0"/>
              <w:right w:val="single" w:color="000000" w:sz="4" w:space="0"/>
            </w:tcBorders>
            <w:noWrap w:val="0"/>
            <w:vAlign w:val="center"/>
          </w:tcPr>
          <w:p>
            <w:pPr>
              <w:pStyle w:val="94"/>
              <w:spacing w:before="2" w:line="263" w:lineRule="exact"/>
              <w:ind w:left="120" w:right="11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第十九条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3" w:line="262"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法制机构应当按照行政处罚委员会审理会的处理意见制作行政处罚告知书，书面告知当事人拟作出行政处罚的事实、理由及依据，并告知当事人依法享有陈述、申辩的权利。 拟作出 3</w:t>
            </w:r>
            <w:r>
              <w:rPr>
                <w:rFonts w:hint="eastAsia" w:ascii="宋体" w:hAnsi="宋体" w:eastAsia="宋体" w:cs="宋体"/>
                <w:color w:val="auto"/>
                <w:spacing w:val="-10"/>
                <w:sz w:val="21"/>
                <w:szCs w:val="21"/>
                <w:highlight w:val="none"/>
              </w:rPr>
              <w:t>万元以上</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17"/>
                <w:sz w:val="21"/>
                <w:szCs w:val="21"/>
                <w:highlight w:val="none"/>
              </w:rPr>
              <w:t xml:space="preserve">不含 </w:t>
            </w:r>
            <w:r>
              <w:rPr>
                <w:rFonts w:hint="eastAsia" w:ascii="宋体" w:hAnsi="宋体" w:eastAsia="宋体" w:cs="宋体"/>
                <w:color w:val="auto"/>
                <w:sz w:val="21"/>
                <w:szCs w:val="21"/>
                <w:highlight w:val="none"/>
              </w:rPr>
              <w:t>3</w:t>
            </w:r>
            <w:r>
              <w:rPr>
                <w:rFonts w:hint="eastAsia" w:ascii="宋体" w:hAnsi="宋体" w:eastAsia="宋体" w:cs="宋体"/>
                <w:color w:val="auto"/>
                <w:spacing w:val="-18"/>
                <w:sz w:val="21"/>
                <w:szCs w:val="21"/>
                <w:highlight w:val="none"/>
              </w:rPr>
              <w:t xml:space="preserve"> 万元</w:t>
            </w:r>
            <w:r>
              <w:rPr>
                <w:rFonts w:hint="eastAsia" w:ascii="宋体" w:hAnsi="宋体" w:eastAsia="宋体" w:cs="宋体"/>
                <w:color w:val="auto"/>
                <w:spacing w:val="-32"/>
                <w:sz w:val="21"/>
                <w:szCs w:val="21"/>
                <w:highlight w:val="none"/>
              </w:rPr>
              <w:t>）</w:t>
            </w:r>
            <w:r>
              <w:rPr>
                <w:rFonts w:hint="eastAsia" w:ascii="宋体" w:hAnsi="宋体" w:eastAsia="宋体" w:cs="宋体"/>
                <w:color w:val="auto"/>
                <w:spacing w:val="-3"/>
                <w:sz w:val="21"/>
                <w:szCs w:val="21"/>
                <w:highlight w:val="none"/>
              </w:rPr>
              <w:t>罚款或责令停产停业、</w:t>
            </w:r>
          </w:p>
          <w:p>
            <w:pPr>
              <w:pStyle w:val="94"/>
              <w:spacing w:before="2" w:line="263"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吊销许可证或执照的行政处罚的，应当在行政处罚告知书中告知当事人有要求举行听证的权利。 当事人要求陈述、申辩或者举行听证的，应当在收到行政处罚告知书后 3 日内向法制机构提出。 法制机构应当充分听取当事人意见，并对有关情况进行复核。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3" w:hRule="atLeast"/>
        </w:trPr>
        <w:tc>
          <w:tcPr>
            <w:tcW w:w="656" w:type="dxa"/>
            <w:tcBorders>
              <w:top w:val="single" w:color="000000" w:sz="4" w:space="0"/>
              <w:left w:val="single" w:color="000000" w:sz="4" w:space="0"/>
              <w:right w:val="single" w:color="000000" w:sz="4" w:space="0"/>
            </w:tcBorders>
            <w:noWrap w:val="0"/>
            <w:vAlign w:val="center"/>
          </w:tcPr>
          <w:p>
            <w:pPr>
              <w:pStyle w:val="94"/>
              <w:jc w:val="center"/>
              <w:rPr>
                <w:rFonts w:hint="eastAsia" w:ascii="宋体" w:hAnsi="宋体" w:eastAsia="宋体" w:cs="宋体"/>
                <w:b/>
                <w:color w:val="auto"/>
                <w:sz w:val="21"/>
                <w:szCs w:val="21"/>
                <w:highlight w:val="none"/>
              </w:rPr>
            </w:pPr>
          </w:p>
          <w:p>
            <w:pPr>
              <w:pStyle w:val="94"/>
              <w:spacing w:before="147"/>
              <w:ind w:left="199" w:right="18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031" w:type="dxa"/>
            <w:tcBorders>
              <w:top w:val="single" w:color="000000" w:sz="4" w:space="0"/>
              <w:left w:val="single" w:color="000000" w:sz="4" w:space="0"/>
              <w:right w:val="single" w:color="000000" w:sz="4" w:space="0"/>
            </w:tcBorders>
            <w:noWrap w:val="0"/>
            <w:vAlign w:val="center"/>
          </w:tcPr>
          <w:p>
            <w:pPr>
              <w:pStyle w:val="94"/>
              <w:spacing w:before="144" w:line="242" w:lineRule="auto"/>
              <w:ind w:left="184" w:right="174"/>
              <w:jc w:val="center"/>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国家文</w:t>
            </w:r>
            <w:r>
              <w:rPr>
                <w:rFonts w:hint="eastAsia" w:ascii="宋体" w:hAnsi="宋体" w:eastAsia="宋体" w:cs="宋体"/>
                <w:color w:val="auto"/>
                <w:sz w:val="21"/>
                <w:szCs w:val="21"/>
                <w:highlight w:val="none"/>
              </w:rPr>
              <w:t xml:space="preserve">化与 </w:t>
            </w:r>
            <w:r>
              <w:rPr>
                <w:rFonts w:hint="eastAsia" w:ascii="宋体" w:hAnsi="宋体" w:eastAsia="宋体" w:cs="宋体"/>
                <w:color w:val="auto"/>
                <w:spacing w:val="-7"/>
                <w:sz w:val="21"/>
                <w:szCs w:val="21"/>
                <w:highlight w:val="none"/>
              </w:rPr>
              <w:t>旅游部</w:t>
            </w:r>
          </w:p>
        </w:tc>
        <w:tc>
          <w:tcPr>
            <w:tcW w:w="1455" w:type="dxa"/>
            <w:tcBorders>
              <w:top w:val="single" w:color="000000" w:sz="4" w:space="0"/>
              <w:left w:val="single" w:color="000000" w:sz="4" w:space="0"/>
              <w:right w:val="single" w:color="000000" w:sz="4" w:space="0"/>
            </w:tcBorders>
            <w:noWrap w:val="0"/>
            <w:vAlign w:val="center"/>
          </w:tcPr>
          <w:p>
            <w:pPr>
              <w:pStyle w:val="94"/>
              <w:spacing w:before="5"/>
              <w:jc w:val="center"/>
              <w:rPr>
                <w:rFonts w:hint="eastAsia" w:ascii="宋体" w:hAnsi="宋体" w:eastAsia="宋体" w:cs="宋体"/>
                <w:b/>
                <w:color w:val="auto"/>
                <w:sz w:val="21"/>
                <w:szCs w:val="21"/>
                <w:highlight w:val="none"/>
              </w:rPr>
            </w:pPr>
          </w:p>
          <w:p>
            <w:pPr>
              <w:pStyle w:val="94"/>
              <w:spacing w:before="1"/>
              <w:ind w:left="334" w:right="103" w:hanging="22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《旅游行政处罚办法》</w:t>
            </w:r>
          </w:p>
        </w:tc>
        <w:tc>
          <w:tcPr>
            <w:tcW w:w="1350" w:type="dxa"/>
            <w:tcBorders>
              <w:top w:val="single" w:color="000000" w:sz="4" w:space="0"/>
              <w:left w:val="single" w:color="000000" w:sz="4" w:space="0"/>
              <w:right w:val="single" w:color="000000" w:sz="4" w:space="0"/>
            </w:tcBorders>
            <w:noWrap w:val="0"/>
            <w:vAlign w:val="center"/>
          </w:tcPr>
          <w:p>
            <w:pPr>
              <w:pStyle w:val="94"/>
              <w:jc w:val="center"/>
              <w:rPr>
                <w:rFonts w:hint="eastAsia" w:ascii="宋体" w:hAnsi="宋体" w:eastAsia="宋体" w:cs="宋体"/>
                <w:b/>
                <w:color w:val="auto"/>
                <w:sz w:val="21"/>
                <w:szCs w:val="21"/>
                <w:highlight w:val="none"/>
              </w:rPr>
            </w:pPr>
          </w:p>
          <w:p>
            <w:pPr>
              <w:pStyle w:val="94"/>
              <w:spacing w:before="147"/>
              <w:ind w:left="124" w:right="11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第三十八条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line="263"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旅游主管部门作出较大数额罚款、没收较大数额违法所得、取消出国（境）旅游业务经营资格、责令停业整顿、吊销旅行社业务经营许可证、导游证或者领队证等行政处罚决定前，应</w:t>
            </w:r>
            <w:r>
              <w:rPr>
                <w:rFonts w:hint="eastAsia" w:ascii="宋体" w:hAnsi="宋体" w:eastAsia="宋体" w:cs="宋体"/>
                <w:color w:val="auto"/>
                <w:spacing w:val="-3"/>
                <w:sz w:val="21"/>
                <w:szCs w:val="21"/>
                <w:highlight w:val="none"/>
              </w:rPr>
              <w:t>当以书面形式告知当事人有申请听证的权利。听证告知的内容应当包括，提出听证申请的期限，未如期提出申请的法律后果，以及受理听证申请的旅游主管部门名称、地址等内容。第</w:t>
            </w:r>
            <w:r>
              <w:rPr>
                <w:rFonts w:hint="eastAsia" w:ascii="宋体" w:hAnsi="宋体" w:eastAsia="宋体" w:cs="宋体"/>
                <w:color w:val="auto"/>
                <w:sz w:val="21"/>
                <w:szCs w:val="21"/>
                <w:highlight w:val="none"/>
              </w:rPr>
              <w:t>一款所称较大数额，对公民为 1 万元人民币以</w:t>
            </w:r>
            <w:r>
              <w:rPr>
                <w:rFonts w:hint="eastAsia" w:ascii="宋体" w:hAnsi="宋体" w:eastAsia="宋体" w:cs="宋体"/>
                <w:color w:val="auto"/>
                <w:spacing w:val="-14"/>
                <w:sz w:val="21"/>
                <w:szCs w:val="21"/>
                <w:highlight w:val="none"/>
              </w:rPr>
              <w:t xml:space="preserve">上、对法人或者其他组织为 </w:t>
            </w:r>
            <w:r>
              <w:rPr>
                <w:rFonts w:hint="eastAsia" w:ascii="宋体" w:hAnsi="宋体" w:eastAsia="宋体" w:cs="宋体"/>
                <w:color w:val="auto"/>
                <w:sz w:val="21"/>
                <w:szCs w:val="21"/>
                <w:highlight w:val="none"/>
              </w:rPr>
              <w:t>5</w:t>
            </w:r>
            <w:r>
              <w:rPr>
                <w:rFonts w:hint="eastAsia" w:ascii="宋体" w:hAnsi="宋体" w:eastAsia="宋体" w:cs="宋体"/>
                <w:color w:val="auto"/>
                <w:spacing w:val="-8"/>
                <w:sz w:val="21"/>
                <w:szCs w:val="21"/>
                <w:highlight w:val="none"/>
              </w:rPr>
              <w:t xml:space="preserve"> 万元人民币以上；</w:t>
            </w:r>
            <w:r>
              <w:rPr>
                <w:rFonts w:hint="eastAsia" w:ascii="宋体" w:hAnsi="宋体" w:eastAsia="宋体" w:cs="宋体"/>
                <w:color w:val="auto"/>
                <w:sz w:val="21"/>
                <w:szCs w:val="21"/>
                <w:highlight w:val="none"/>
              </w:rPr>
              <w:t>地方人民代表大会及其常务委员会或者地方人民政府另有规定的，从其规定。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6"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pPr>
              <w:pStyle w:val="94"/>
              <w:spacing w:before="5"/>
              <w:jc w:val="center"/>
              <w:rPr>
                <w:rFonts w:hint="eastAsia" w:ascii="宋体" w:hAnsi="宋体" w:eastAsia="宋体" w:cs="宋体"/>
                <w:b/>
                <w:color w:val="auto"/>
                <w:sz w:val="21"/>
                <w:szCs w:val="21"/>
                <w:highlight w:val="none"/>
              </w:rPr>
            </w:pPr>
          </w:p>
          <w:p>
            <w:pPr>
              <w:pStyle w:val="94"/>
              <w:spacing w:before="1"/>
              <w:ind w:left="199" w:right="18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031" w:type="dxa"/>
            <w:tcBorders>
              <w:top w:val="single" w:color="000000" w:sz="4" w:space="0"/>
              <w:left w:val="single" w:color="000000" w:sz="4" w:space="0"/>
              <w:bottom w:val="single" w:color="000000" w:sz="4" w:space="0"/>
              <w:right w:val="single" w:color="000000" w:sz="4" w:space="0"/>
            </w:tcBorders>
            <w:noWrap w:val="0"/>
            <w:vAlign w:val="center"/>
          </w:tcPr>
          <w:p>
            <w:pPr>
              <w:pStyle w:val="94"/>
              <w:spacing w:before="144" w:line="242" w:lineRule="auto"/>
              <w:ind w:left="184" w:right="17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中国人民银行</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pStyle w:val="94"/>
              <w:spacing w:before="1" w:line="263" w:lineRule="exact"/>
              <w:ind w:left="93" w:right="8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《关于确定中</w:t>
            </w:r>
          </w:p>
          <w:p>
            <w:pPr>
              <w:pStyle w:val="94"/>
              <w:spacing w:before="2"/>
              <w:ind w:left="113"/>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国人民银行举</w:t>
            </w:r>
          </w:p>
          <w:p>
            <w:pPr>
              <w:pStyle w:val="94"/>
              <w:spacing w:before="4" w:line="280" w:lineRule="atLeast"/>
              <w:ind w:left="113" w:right="103"/>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行听证的较大数额罚款幅度</w:t>
            </w:r>
          </w:p>
          <w:p>
            <w:pPr>
              <w:pStyle w:val="94"/>
              <w:spacing w:before="3" w:line="263" w:lineRule="exact"/>
              <w:ind w:left="113" w:right="10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的通知》</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pStyle w:val="94"/>
              <w:spacing w:before="5"/>
              <w:jc w:val="center"/>
              <w:rPr>
                <w:rFonts w:hint="eastAsia" w:ascii="宋体" w:hAnsi="宋体" w:eastAsia="宋体" w:cs="宋体"/>
                <w:b/>
                <w:color w:val="auto"/>
                <w:sz w:val="21"/>
                <w:szCs w:val="21"/>
                <w:highlight w:val="none"/>
              </w:rPr>
            </w:pPr>
          </w:p>
          <w:p>
            <w:pPr>
              <w:pStyle w:val="94"/>
              <w:spacing w:before="1"/>
              <w:ind w:left="10"/>
              <w:jc w:val="center"/>
              <w:rPr>
                <w:rFonts w:hint="eastAsia" w:ascii="宋体" w:hAnsi="宋体" w:eastAsia="宋体" w:cs="宋体"/>
                <w:color w:val="auto"/>
                <w:sz w:val="21"/>
                <w:szCs w:val="21"/>
                <w:highlight w:val="none"/>
              </w:rPr>
            </w:pPr>
            <w:r>
              <w:rPr>
                <w:rFonts w:hint="eastAsia" w:ascii="宋体" w:hAnsi="宋体" w:eastAsia="宋体" w:cs="宋体"/>
                <w:color w:val="auto"/>
                <w:w w:val="100"/>
                <w:sz w:val="21"/>
                <w:szCs w:val="21"/>
                <w:highlight w:val="none"/>
              </w:rPr>
              <w:t>/</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 w:line="263"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为保障中国人民银行听证工作的顺利进行，现</w:t>
            </w:r>
            <w:r>
              <w:rPr>
                <w:rFonts w:hint="eastAsia" w:ascii="宋体" w:hAnsi="宋体" w:eastAsia="宋体" w:cs="宋体"/>
                <w:color w:val="auto"/>
                <w:spacing w:val="-3"/>
                <w:sz w:val="21"/>
                <w:szCs w:val="21"/>
                <w:highlight w:val="none"/>
              </w:rPr>
              <w:t>规定中国人民银行举行听证的“较大数额的罚款”为：县级支行五万元以上，地（</w:t>
            </w:r>
            <w:r>
              <w:rPr>
                <w:rFonts w:hint="eastAsia" w:ascii="宋体" w:hAnsi="宋体" w:eastAsia="宋体" w:cs="宋体"/>
                <w:color w:val="auto"/>
                <w:sz w:val="21"/>
                <w:szCs w:val="21"/>
                <w:highlight w:val="none"/>
              </w:rPr>
              <w:t>市）</w:t>
            </w:r>
            <w:r>
              <w:rPr>
                <w:rFonts w:hint="eastAsia" w:ascii="宋体" w:hAnsi="宋体" w:eastAsia="宋体" w:cs="宋体"/>
                <w:color w:val="auto"/>
                <w:spacing w:val="-2"/>
                <w:sz w:val="21"/>
                <w:szCs w:val="21"/>
                <w:highlight w:val="none"/>
              </w:rPr>
              <w:t>级分</w:t>
            </w:r>
            <w:r>
              <w:rPr>
                <w:rFonts w:hint="eastAsia" w:ascii="宋体" w:hAnsi="宋体" w:eastAsia="宋体" w:cs="宋体"/>
                <w:color w:val="auto"/>
                <w:spacing w:val="-3"/>
                <w:sz w:val="21"/>
                <w:szCs w:val="21"/>
                <w:highlight w:val="none"/>
              </w:rPr>
              <w:t>行二十万元以上，省级分行五十万元以上，总</w:t>
            </w:r>
            <w:r>
              <w:rPr>
                <w:rFonts w:hint="eastAsia" w:ascii="宋体" w:hAnsi="宋体" w:eastAsia="宋体" w:cs="宋体"/>
                <w:color w:val="auto"/>
                <w:sz w:val="21"/>
                <w:szCs w:val="21"/>
                <w:highlight w:val="none"/>
              </w:rPr>
              <w:t>行三百万元以上（均不含本数）。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8148"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94"/>
              <w:spacing w:before="1" w:line="263" w:lineRule="exact"/>
              <w:ind w:left="108"/>
              <w:rPr>
                <w:rFonts w:hint="eastAsia" w:ascii="宋体" w:hAnsi="宋体" w:eastAsia="宋体" w:cs="宋体"/>
                <w:color w:val="auto"/>
                <w:sz w:val="21"/>
                <w:szCs w:val="21"/>
                <w:highlight w:val="none"/>
              </w:rPr>
            </w:pPr>
            <w:r>
              <w:rPr>
                <w:rFonts w:hint="eastAsia" w:ascii="宋体" w:hAnsi="宋体" w:eastAsia="宋体" w:cs="宋体"/>
                <w:b/>
                <w:color w:val="auto"/>
                <w:sz w:val="22"/>
                <w:highlight w:val="none"/>
              </w:rPr>
              <w:t>国务院直属机构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6"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pPr>
              <w:pStyle w:val="94"/>
              <w:spacing w:before="144"/>
              <w:ind w:left="199" w:leftChars="0" w:right="187"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1031" w:type="dxa"/>
            <w:tcBorders>
              <w:top w:val="single" w:color="000000" w:sz="4" w:space="0"/>
              <w:left w:val="single" w:color="000000" w:sz="4" w:space="0"/>
              <w:bottom w:val="single" w:color="000000" w:sz="4" w:space="0"/>
              <w:right w:val="single" w:color="000000" w:sz="4" w:space="0"/>
            </w:tcBorders>
            <w:noWrap w:val="0"/>
            <w:vAlign w:val="center"/>
          </w:tcPr>
          <w:p>
            <w:pPr>
              <w:pStyle w:val="94"/>
              <w:spacing w:before="2"/>
              <w:ind w:left="294"/>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海关</w:t>
            </w:r>
          </w:p>
          <w:p>
            <w:pPr>
              <w:pStyle w:val="94"/>
              <w:spacing w:before="4" w:line="262" w:lineRule="exact"/>
              <w:ind w:left="294" w:left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总署</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pStyle w:val="94"/>
              <w:spacing w:before="1" w:line="263" w:lineRule="exact"/>
              <w:ind w:left="93" w:right="8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《中华人民共</w:t>
            </w:r>
          </w:p>
          <w:p>
            <w:pPr>
              <w:pStyle w:val="94"/>
              <w:spacing w:before="2"/>
              <w:ind w:left="93" w:right="8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和国海关行政</w:t>
            </w:r>
          </w:p>
          <w:p>
            <w:pPr>
              <w:pStyle w:val="94"/>
              <w:spacing w:before="4" w:line="262" w:lineRule="exact"/>
              <w:ind w:left="113" w:right="10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处罚听证</w:t>
            </w:r>
          </w:p>
          <w:p>
            <w:pPr>
              <w:pStyle w:val="94"/>
              <w:spacing w:before="1" w:line="266" w:lineRule="exact"/>
              <w:ind w:left="113" w:leftChars="0" w:right="103"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办法》</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pStyle w:val="94"/>
              <w:spacing w:before="144"/>
              <w:ind w:left="120" w:leftChars="0" w:right="112" w:rightChars="0"/>
              <w:jc w:val="center"/>
              <w:rPr>
                <w:rFonts w:hint="eastAsia" w:ascii="宋体" w:hAnsi="宋体" w:eastAsia="宋体" w:cs="宋体"/>
                <w:color w:val="auto"/>
                <w:w w:val="100"/>
                <w:sz w:val="21"/>
                <w:szCs w:val="21"/>
                <w:highlight w:val="none"/>
              </w:rPr>
            </w:pPr>
            <w:r>
              <w:rPr>
                <w:rFonts w:hint="eastAsia" w:ascii="宋体" w:hAnsi="宋体" w:eastAsia="宋体" w:cs="宋体"/>
                <w:color w:val="auto"/>
                <w:sz w:val="21"/>
                <w:szCs w:val="21"/>
                <w:highlight w:val="none"/>
              </w:rPr>
              <w:t>第三条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 w:line="262"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海关作出暂停从事有关业务、撤销海关注册登记、对公民处 1 万元以上罚款、对法人或者其</w:t>
            </w:r>
            <w:r>
              <w:rPr>
                <w:rFonts w:hint="eastAsia" w:ascii="宋体" w:hAnsi="宋体" w:eastAsia="宋体" w:cs="宋体"/>
                <w:color w:val="auto"/>
                <w:spacing w:val="-13"/>
                <w:sz w:val="21"/>
                <w:szCs w:val="21"/>
                <w:highlight w:val="none"/>
              </w:rPr>
              <w:t xml:space="preserve">他组织处 </w:t>
            </w:r>
            <w:r>
              <w:rPr>
                <w:rFonts w:hint="eastAsia" w:ascii="宋体" w:hAnsi="宋体" w:eastAsia="宋体" w:cs="宋体"/>
                <w:color w:val="auto"/>
                <w:sz w:val="21"/>
                <w:szCs w:val="21"/>
                <w:highlight w:val="none"/>
              </w:rPr>
              <w:t>10</w:t>
            </w:r>
            <w:r>
              <w:rPr>
                <w:rFonts w:hint="eastAsia" w:ascii="宋体" w:hAnsi="宋体" w:eastAsia="宋体" w:cs="宋体"/>
                <w:color w:val="auto"/>
                <w:spacing w:val="-13"/>
                <w:sz w:val="21"/>
                <w:szCs w:val="21"/>
                <w:highlight w:val="none"/>
              </w:rPr>
              <w:t xml:space="preserve"> 万元以上罚款、没收有关货物、物</w:t>
            </w:r>
            <w:r>
              <w:rPr>
                <w:rFonts w:hint="eastAsia" w:ascii="宋体" w:hAnsi="宋体" w:eastAsia="宋体" w:cs="宋体"/>
                <w:color w:val="auto"/>
                <w:sz w:val="21"/>
                <w:szCs w:val="21"/>
                <w:highlight w:val="none"/>
              </w:rPr>
              <w:t>品、走私运输工具等行政处罚决定之前，应当告知当事人有要求举行听证的权利；当事人要求听证的，海关应当组织听证。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6" w:hRule="atLeast"/>
        </w:trPr>
        <w:tc>
          <w:tcPr>
            <w:tcW w:w="656"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67"/>
              <w:ind w:left="199" w:leftChars="0" w:right="187"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9"/>
              <w:rPr>
                <w:rFonts w:hint="eastAsia" w:ascii="宋体" w:hAnsi="宋体" w:eastAsia="宋体" w:cs="宋体"/>
                <w:b/>
                <w:color w:val="auto"/>
                <w:sz w:val="21"/>
                <w:szCs w:val="21"/>
                <w:highlight w:val="none"/>
              </w:rPr>
            </w:pPr>
          </w:p>
          <w:p>
            <w:pPr>
              <w:pStyle w:val="94"/>
              <w:spacing w:line="242" w:lineRule="auto"/>
              <w:ind w:left="184" w:leftChars="0" w:right="174" w:rightChars="0"/>
              <w:jc w:val="center"/>
              <w:rPr>
                <w:rFonts w:hint="eastAsia" w:ascii="宋体" w:hAnsi="宋体" w:eastAsia="宋体" w:cs="宋体"/>
                <w:color w:val="auto"/>
                <w:spacing w:val="-1"/>
                <w:sz w:val="21"/>
                <w:szCs w:val="21"/>
                <w:highlight w:val="none"/>
              </w:rPr>
            </w:pPr>
            <w:r>
              <w:rPr>
                <w:rFonts w:hint="eastAsia" w:ascii="宋体" w:hAnsi="宋体" w:eastAsia="宋体" w:cs="宋体"/>
                <w:color w:val="auto"/>
                <w:spacing w:val="-7"/>
                <w:sz w:val="21"/>
                <w:szCs w:val="21"/>
                <w:highlight w:val="none"/>
              </w:rPr>
              <w:t>国家市场监督</w:t>
            </w:r>
            <w:r>
              <w:rPr>
                <w:rFonts w:hint="eastAsia" w:ascii="宋体" w:hAnsi="宋体" w:eastAsia="宋体" w:cs="宋体"/>
                <w:color w:val="auto"/>
                <w:sz w:val="21"/>
                <w:szCs w:val="21"/>
                <w:highlight w:val="none"/>
              </w:rPr>
              <w:t>管理 总局</w:t>
            </w:r>
          </w:p>
        </w:tc>
        <w:tc>
          <w:tcPr>
            <w:tcW w:w="1455"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63" w:line="242" w:lineRule="auto"/>
              <w:ind w:left="113" w:leftChars="0" w:right="138"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《市场监督管理行政处罚听证暂行办法》</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67"/>
              <w:ind w:left="54" w:leftChars="0" w:right="79"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第五条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3"/>
              <w:ind w:left="107" w:right="14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市场监督管理部门作出下列行政处罚决定之 前，应当告知当事人有要求举行听证的权利：</w:t>
            </w:r>
          </w:p>
          <w:p>
            <w:pPr>
              <w:pStyle w:val="94"/>
              <w:spacing w:before="5" w:line="242" w:lineRule="auto"/>
              <w:ind w:left="107" w:right="144"/>
              <w:jc w:val="both"/>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3"/>
                <w:sz w:val="21"/>
                <w:szCs w:val="21"/>
                <w:highlight w:val="none"/>
              </w:rPr>
              <w:t>一</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3"/>
                <w:sz w:val="21"/>
                <w:szCs w:val="21"/>
                <w:highlight w:val="none"/>
              </w:rPr>
              <w:t>责令停产停业；</w:t>
            </w:r>
            <w:r>
              <w:rPr>
                <w:rFonts w:hint="eastAsia" w:ascii="宋体" w:hAnsi="宋体" w:eastAsia="宋体" w:cs="宋体"/>
                <w:color w:val="auto"/>
                <w:sz w:val="21"/>
                <w:szCs w:val="21"/>
                <w:highlight w:val="none"/>
              </w:rPr>
              <w:t>（二）</w:t>
            </w:r>
            <w:r>
              <w:rPr>
                <w:rFonts w:hint="eastAsia" w:ascii="宋体" w:hAnsi="宋体" w:eastAsia="宋体" w:cs="宋体"/>
                <w:color w:val="auto"/>
                <w:spacing w:val="-3"/>
                <w:sz w:val="21"/>
                <w:szCs w:val="21"/>
                <w:highlight w:val="none"/>
              </w:rPr>
              <w:t>吊销许可证或者</w:t>
            </w:r>
            <w:r>
              <w:rPr>
                <w:rFonts w:hint="eastAsia" w:ascii="宋体" w:hAnsi="宋体" w:eastAsia="宋体" w:cs="宋体"/>
                <w:color w:val="auto"/>
                <w:spacing w:val="-2"/>
                <w:sz w:val="21"/>
                <w:szCs w:val="21"/>
                <w:highlight w:val="none"/>
              </w:rPr>
              <w:t>执照</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3"/>
                <w:sz w:val="21"/>
                <w:szCs w:val="21"/>
                <w:highlight w:val="none"/>
              </w:rPr>
              <w:t>三</w:t>
            </w:r>
            <w:r>
              <w:rPr>
                <w:rFonts w:hint="eastAsia" w:ascii="宋体" w:hAnsi="宋体" w:eastAsia="宋体" w:cs="宋体"/>
                <w:color w:val="auto"/>
                <w:sz w:val="21"/>
                <w:szCs w:val="21"/>
                <w:highlight w:val="none"/>
              </w:rPr>
              <w:t>）</w:t>
            </w:r>
            <w:r>
              <w:rPr>
                <w:rFonts w:hint="eastAsia" w:ascii="宋体" w:hAnsi="宋体" w:eastAsia="宋体" w:cs="宋体"/>
                <w:color w:val="auto"/>
                <w:spacing w:val="-3"/>
                <w:sz w:val="21"/>
                <w:szCs w:val="21"/>
                <w:highlight w:val="none"/>
              </w:rPr>
              <w:t>对自然人处以一万元以上、对法人或者其他组织处以十万元以上罚款；</w:t>
            </w:r>
            <w:r>
              <w:rPr>
                <w:rFonts w:hint="eastAsia" w:ascii="宋体" w:hAnsi="宋体" w:eastAsia="宋体" w:cs="宋体"/>
                <w:color w:val="auto"/>
                <w:sz w:val="21"/>
                <w:szCs w:val="21"/>
                <w:highlight w:val="none"/>
              </w:rPr>
              <w:t xml:space="preserve">（四） </w:t>
            </w:r>
            <w:r>
              <w:rPr>
                <w:rFonts w:hint="eastAsia" w:ascii="宋体" w:hAnsi="宋体" w:eastAsia="宋体" w:cs="宋体"/>
                <w:color w:val="auto"/>
                <w:spacing w:val="-3"/>
                <w:sz w:val="21"/>
                <w:szCs w:val="21"/>
                <w:highlight w:val="none"/>
              </w:rPr>
              <w:t>对自然人、法人或者其他组织作出没收违法所得和非法财物价值达到第三项所列数额的行政处罚。各省、自治区、直辖市人大常委会或者人民政府对前款第三项、第四项所列罚没数额</w:t>
            </w:r>
            <w:r>
              <w:rPr>
                <w:rFonts w:hint="eastAsia" w:ascii="宋体" w:hAnsi="宋体" w:eastAsia="宋体" w:cs="宋体"/>
                <w:color w:val="auto"/>
                <w:sz w:val="21"/>
                <w:szCs w:val="21"/>
                <w:highlight w:val="none"/>
              </w:rPr>
              <w:t>有具体规定的，可以从其规定。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656"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3"/>
              <w:ind w:left="199" w:leftChars="0" w:right="187"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1"/>
              <w:rPr>
                <w:rFonts w:hint="eastAsia" w:ascii="宋体" w:hAnsi="宋体" w:eastAsia="宋体" w:cs="宋体"/>
                <w:b/>
                <w:color w:val="auto"/>
                <w:sz w:val="21"/>
                <w:szCs w:val="21"/>
                <w:highlight w:val="none"/>
              </w:rPr>
            </w:pPr>
          </w:p>
          <w:p>
            <w:pPr>
              <w:pStyle w:val="94"/>
              <w:spacing w:before="1" w:line="242" w:lineRule="auto"/>
              <w:ind w:left="184" w:leftChars="0" w:right="174" w:rightChars="0"/>
              <w:rPr>
                <w:rFonts w:hint="eastAsia" w:ascii="宋体" w:hAnsi="宋体" w:eastAsia="宋体" w:cs="宋体"/>
                <w:color w:val="auto"/>
                <w:spacing w:val="-1"/>
                <w:sz w:val="21"/>
                <w:szCs w:val="21"/>
                <w:highlight w:val="none"/>
              </w:rPr>
            </w:pPr>
            <w:r>
              <w:rPr>
                <w:rFonts w:hint="eastAsia" w:ascii="宋体" w:hAnsi="宋体" w:eastAsia="宋体" w:cs="宋体"/>
                <w:color w:val="auto"/>
                <w:sz w:val="21"/>
                <w:szCs w:val="21"/>
                <w:highlight w:val="none"/>
              </w:rPr>
              <w:t>国家税务总局</w:t>
            </w:r>
          </w:p>
        </w:tc>
        <w:tc>
          <w:tcPr>
            <w:tcW w:w="1455"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spacing w:before="8"/>
              <w:rPr>
                <w:rFonts w:hint="eastAsia" w:ascii="宋体" w:hAnsi="宋体" w:eastAsia="宋体" w:cs="宋体"/>
                <w:b/>
                <w:color w:val="auto"/>
                <w:sz w:val="21"/>
                <w:szCs w:val="21"/>
                <w:highlight w:val="none"/>
              </w:rPr>
            </w:pPr>
          </w:p>
          <w:p>
            <w:pPr>
              <w:pStyle w:val="94"/>
              <w:spacing w:line="242" w:lineRule="auto"/>
              <w:ind w:left="113" w:right="13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《税务行政处罚听证程序实施办法</w:t>
            </w:r>
          </w:p>
          <w:p>
            <w:pPr>
              <w:pStyle w:val="94"/>
              <w:ind w:left="113" w:leftChars="0" w:right="135"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（试行）》</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3"/>
              <w:ind w:left="54" w:leftChars="0" w:right="79"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3"/>
              <w:ind w:left="107" w:right="96"/>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 xml:space="preserve">税务机关对公民作出 </w:t>
            </w:r>
            <w:r>
              <w:rPr>
                <w:rFonts w:hint="eastAsia" w:ascii="宋体" w:hAnsi="宋体" w:eastAsia="宋体" w:cs="宋体"/>
                <w:color w:val="auto"/>
                <w:sz w:val="21"/>
                <w:szCs w:val="21"/>
                <w:highlight w:val="none"/>
              </w:rPr>
              <w:t>2000</w:t>
            </w:r>
            <w:r>
              <w:rPr>
                <w:rFonts w:hint="eastAsia" w:ascii="宋体" w:hAnsi="宋体" w:eastAsia="宋体" w:cs="宋体"/>
                <w:color w:val="auto"/>
                <w:spacing w:val="-23"/>
                <w:sz w:val="21"/>
                <w:szCs w:val="21"/>
                <w:highlight w:val="none"/>
              </w:rPr>
              <w:t xml:space="preserve"> 元以上</w:t>
            </w:r>
            <w:r>
              <w:rPr>
                <w:rFonts w:hint="eastAsia" w:ascii="宋体" w:hAnsi="宋体" w:eastAsia="宋体" w:cs="宋体"/>
                <w:color w:val="auto"/>
                <w:sz w:val="21"/>
                <w:szCs w:val="21"/>
                <w:highlight w:val="none"/>
              </w:rPr>
              <w:t>（</w:t>
            </w:r>
            <w:r>
              <w:rPr>
                <w:rFonts w:hint="eastAsia" w:ascii="宋体" w:hAnsi="宋体" w:eastAsia="宋体" w:cs="宋体"/>
                <w:color w:val="auto"/>
                <w:spacing w:val="-2"/>
                <w:sz w:val="21"/>
                <w:szCs w:val="21"/>
                <w:highlight w:val="none"/>
              </w:rPr>
              <w:t>含本数</w:t>
            </w:r>
            <w:r>
              <w:rPr>
                <w:rFonts w:hint="eastAsia" w:ascii="宋体" w:hAnsi="宋体" w:eastAsia="宋体" w:cs="宋体"/>
                <w:color w:val="auto"/>
                <w:spacing w:val="-32"/>
                <w:sz w:val="21"/>
                <w:szCs w:val="21"/>
                <w:highlight w:val="none"/>
              </w:rPr>
              <w:t>）</w:t>
            </w:r>
            <w:r>
              <w:rPr>
                <w:rFonts w:hint="eastAsia" w:ascii="宋体" w:hAnsi="宋体" w:eastAsia="宋体" w:cs="宋体"/>
                <w:color w:val="auto"/>
                <w:sz w:val="21"/>
                <w:szCs w:val="21"/>
                <w:highlight w:val="none"/>
              </w:rPr>
              <w:t>罚</w:t>
            </w:r>
            <w:r>
              <w:rPr>
                <w:rFonts w:hint="eastAsia" w:ascii="宋体" w:hAnsi="宋体" w:eastAsia="宋体" w:cs="宋体"/>
                <w:color w:val="auto"/>
                <w:spacing w:val="-3"/>
                <w:sz w:val="21"/>
                <w:szCs w:val="21"/>
                <w:highlight w:val="none"/>
              </w:rPr>
              <w:t>款或者对法人或者其他组织作出１万元以上</w:t>
            </w:r>
            <w:r>
              <w:rPr>
                <w:rFonts w:hint="eastAsia" w:ascii="宋体" w:hAnsi="宋体" w:eastAsia="宋体" w:cs="宋体"/>
                <w:color w:val="auto"/>
                <w:sz w:val="21"/>
                <w:szCs w:val="21"/>
                <w:highlight w:val="none"/>
              </w:rPr>
              <w:t>（</w:t>
            </w:r>
            <w:r>
              <w:rPr>
                <w:rFonts w:hint="eastAsia" w:ascii="宋体" w:hAnsi="宋体" w:eastAsia="宋体" w:cs="宋体"/>
                <w:color w:val="auto"/>
                <w:spacing w:val="-2"/>
                <w:sz w:val="21"/>
                <w:szCs w:val="21"/>
                <w:highlight w:val="none"/>
              </w:rPr>
              <w:t>含本数</w:t>
            </w:r>
            <w:r>
              <w:rPr>
                <w:rFonts w:hint="eastAsia" w:ascii="宋体" w:hAnsi="宋体" w:eastAsia="宋体" w:cs="宋体"/>
                <w:color w:val="auto"/>
                <w:spacing w:val="-3"/>
                <w:sz w:val="21"/>
                <w:szCs w:val="21"/>
                <w:highlight w:val="none"/>
              </w:rPr>
              <w:t>）罚款或者对法人或者其他组织作出１万元以上</w:t>
            </w:r>
            <w:r>
              <w:rPr>
                <w:rFonts w:hint="eastAsia" w:ascii="宋体" w:hAnsi="宋体" w:eastAsia="宋体" w:cs="宋体"/>
                <w:color w:val="auto"/>
                <w:sz w:val="21"/>
                <w:szCs w:val="21"/>
                <w:highlight w:val="none"/>
              </w:rPr>
              <w:t>（</w:t>
            </w:r>
            <w:r>
              <w:rPr>
                <w:rFonts w:hint="eastAsia" w:ascii="宋体" w:hAnsi="宋体" w:eastAsia="宋体" w:cs="宋体"/>
                <w:color w:val="auto"/>
                <w:spacing w:val="-2"/>
                <w:sz w:val="21"/>
                <w:szCs w:val="21"/>
                <w:highlight w:val="none"/>
              </w:rPr>
              <w:t>含本数</w:t>
            </w:r>
            <w:r>
              <w:rPr>
                <w:rFonts w:hint="eastAsia" w:ascii="宋体" w:hAnsi="宋体" w:eastAsia="宋体" w:cs="宋体"/>
                <w:color w:val="auto"/>
                <w:sz w:val="21"/>
                <w:szCs w:val="21"/>
                <w:highlight w:val="none"/>
              </w:rPr>
              <w:t>）</w:t>
            </w:r>
            <w:r>
              <w:rPr>
                <w:rFonts w:hint="eastAsia" w:ascii="宋体" w:hAnsi="宋体" w:eastAsia="宋体" w:cs="宋体"/>
                <w:color w:val="auto"/>
                <w:spacing w:val="-3"/>
                <w:sz w:val="21"/>
                <w:szCs w:val="21"/>
                <w:highlight w:val="none"/>
              </w:rPr>
              <w:t xml:space="preserve">罚款的行政处罚之前， </w:t>
            </w:r>
            <w:r>
              <w:rPr>
                <w:rFonts w:hint="eastAsia" w:ascii="宋体" w:hAnsi="宋体" w:eastAsia="宋体" w:cs="宋体"/>
                <w:color w:val="auto"/>
                <w:spacing w:val="-10"/>
                <w:sz w:val="21"/>
                <w:szCs w:val="21"/>
                <w:highlight w:val="none"/>
              </w:rPr>
              <w:t xml:space="preserve">告知当事人送达《税务行政处罚事项告知书》， </w:t>
            </w:r>
            <w:r>
              <w:rPr>
                <w:rFonts w:hint="eastAsia" w:ascii="宋体" w:hAnsi="宋体" w:eastAsia="宋体" w:cs="宋体"/>
                <w:color w:val="auto"/>
                <w:spacing w:val="-4"/>
                <w:sz w:val="21"/>
                <w:szCs w:val="21"/>
                <w:highlight w:val="none"/>
              </w:rPr>
              <w:t>告知当事人已经查明的违法事实、证据、行政</w:t>
            </w:r>
            <w:r>
              <w:rPr>
                <w:rFonts w:hint="eastAsia" w:ascii="宋体" w:hAnsi="宋体" w:eastAsia="宋体" w:cs="宋体"/>
                <w:color w:val="auto"/>
                <w:spacing w:val="-3"/>
                <w:sz w:val="21"/>
                <w:szCs w:val="21"/>
                <w:highlight w:val="none"/>
              </w:rPr>
              <w:t>处罚的法律依据和拟将给予的行政处罚，并告</w:t>
            </w:r>
            <w:r>
              <w:rPr>
                <w:rFonts w:hint="eastAsia" w:ascii="宋体" w:hAnsi="宋体" w:eastAsia="宋体" w:cs="宋体"/>
                <w:color w:val="auto"/>
                <w:sz w:val="21"/>
                <w:szCs w:val="21"/>
                <w:highlight w:val="none"/>
              </w:rPr>
              <w:t>知有要求举行听证的权利。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6" w:hRule="atLeast"/>
        </w:trPr>
        <w:tc>
          <w:tcPr>
            <w:tcW w:w="656"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0"/>
              <w:rPr>
                <w:rFonts w:hint="eastAsia" w:ascii="宋体" w:hAnsi="宋体" w:eastAsia="宋体" w:cs="宋体"/>
                <w:b/>
                <w:color w:val="auto"/>
                <w:sz w:val="21"/>
                <w:szCs w:val="21"/>
                <w:highlight w:val="none"/>
              </w:rPr>
            </w:pPr>
          </w:p>
          <w:p>
            <w:pPr>
              <w:pStyle w:val="94"/>
              <w:spacing w:before="1"/>
              <w:ind w:left="199" w:leftChars="0" w:right="187"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1"/>
              <w:ind w:left="294" w:leftChars="0" w:right="174" w:rightChars="0" w:hanging="111" w:firstLineChars="0"/>
              <w:rPr>
                <w:rFonts w:hint="eastAsia" w:ascii="宋体" w:hAnsi="宋体" w:eastAsia="宋体" w:cs="宋体"/>
                <w:color w:val="auto"/>
                <w:spacing w:val="-1"/>
                <w:sz w:val="21"/>
                <w:szCs w:val="21"/>
                <w:highlight w:val="none"/>
              </w:rPr>
            </w:pPr>
            <w:r>
              <w:rPr>
                <w:rFonts w:hint="eastAsia" w:ascii="宋体" w:hAnsi="宋体" w:eastAsia="宋体" w:cs="宋体"/>
                <w:color w:val="auto"/>
                <w:sz w:val="21"/>
                <w:szCs w:val="21"/>
                <w:highlight w:val="none"/>
              </w:rPr>
              <w:t>国家版权局</w:t>
            </w:r>
          </w:p>
        </w:tc>
        <w:tc>
          <w:tcPr>
            <w:tcW w:w="1455"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spacing w:before="7"/>
              <w:rPr>
                <w:rFonts w:hint="eastAsia" w:ascii="宋体" w:hAnsi="宋体" w:eastAsia="宋体" w:cs="宋体"/>
                <w:b/>
                <w:color w:val="auto"/>
                <w:sz w:val="21"/>
                <w:szCs w:val="21"/>
                <w:highlight w:val="none"/>
              </w:rPr>
            </w:pPr>
          </w:p>
          <w:p>
            <w:pPr>
              <w:pStyle w:val="94"/>
              <w:spacing w:line="242" w:lineRule="auto"/>
              <w:ind w:left="334" w:leftChars="0" w:right="138" w:rightChars="0" w:hanging="221" w:firstLineChars="0"/>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《著作权行政</w:t>
            </w:r>
            <w:r>
              <w:rPr>
                <w:rFonts w:hint="eastAsia" w:ascii="宋体" w:hAnsi="宋体" w:eastAsia="宋体" w:cs="宋体"/>
                <w:color w:val="auto"/>
                <w:spacing w:val="-2"/>
                <w:sz w:val="21"/>
                <w:szCs w:val="21"/>
                <w:highlight w:val="none"/>
              </w:rPr>
              <w:t>处罚实施 办法》</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0"/>
              <w:rPr>
                <w:rFonts w:hint="eastAsia" w:ascii="宋体" w:hAnsi="宋体" w:eastAsia="宋体" w:cs="宋体"/>
                <w:b/>
                <w:color w:val="auto"/>
                <w:sz w:val="21"/>
                <w:szCs w:val="21"/>
                <w:highlight w:val="none"/>
              </w:rPr>
            </w:pPr>
          </w:p>
          <w:p>
            <w:pPr>
              <w:pStyle w:val="94"/>
              <w:spacing w:before="1"/>
              <w:ind w:left="58" w:leftChars="0" w:right="79"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第三十三条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2" w:line="242" w:lineRule="auto"/>
              <w:ind w:left="107" w:right="96"/>
              <w:jc w:val="both"/>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著作权行政管理部门作出较大数额罚款决定或者法律、行政法规规定应当听证的其他行政处罚决定前，应当告知当事人有要求举行听证的</w:t>
            </w:r>
            <w:r>
              <w:rPr>
                <w:rFonts w:hint="eastAsia" w:ascii="宋体" w:hAnsi="宋体" w:eastAsia="宋体" w:cs="宋体"/>
                <w:color w:val="auto"/>
                <w:spacing w:val="-8"/>
                <w:sz w:val="21"/>
                <w:szCs w:val="21"/>
                <w:highlight w:val="none"/>
              </w:rPr>
              <w:t>权利。 前款所称“较大数额罚款”，是指对个</w:t>
            </w:r>
            <w:r>
              <w:rPr>
                <w:rFonts w:hint="eastAsia" w:ascii="宋体" w:hAnsi="宋体" w:eastAsia="宋体" w:cs="宋体"/>
                <w:color w:val="auto"/>
                <w:spacing w:val="-3"/>
                <w:sz w:val="21"/>
                <w:szCs w:val="21"/>
                <w:highlight w:val="none"/>
              </w:rPr>
              <w:t>人处以两万元以上、对单位处以十万元以上的罚款。地方性法规、规章对听证要求另有规定</w:t>
            </w:r>
            <w:r>
              <w:rPr>
                <w:rFonts w:hint="eastAsia" w:ascii="宋体" w:hAnsi="宋体" w:eastAsia="宋体" w:cs="宋体"/>
                <w:color w:val="auto"/>
                <w:sz w:val="21"/>
                <w:szCs w:val="21"/>
                <w:highlight w:val="none"/>
              </w:rPr>
              <w:t>的，依照地方性法规、规章办理。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6" w:hRule="atLeast"/>
        </w:trPr>
        <w:tc>
          <w:tcPr>
            <w:tcW w:w="656"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spacing w:before="147"/>
              <w:ind w:left="199" w:leftChars="0" w:right="187"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43" w:line="242" w:lineRule="auto"/>
              <w:ind w:left="184" w:leftChars="0" w:right="174" w:rightChars="0"/>
              <w:jc w:val="both"/>
              <w:rPr>
                <w:rFonts w:hint="eastAsia" w:ascii="宋体" w:hAnsi="宋体" w:eastAsia="宋体" w:cs="宋体"/>
                <w:color w:val="auto"/>
                <w:spacing w:val="-1"/>
                <w:sz w:val="21"/>
                <w:szCs w:val="21"/>
                <w:highlight w:val="none"/>
              </w:rPr>
            </w:pPr>
            <w:r>
              <w:rPr>
                <w:rFonts w:hint="eastAsia" w:ascii="宋体" w:hAnsi="宋体" w:eastAsia="宋体" w:cs="宋体"/>
                <w:color w:val="auto"/>
                <w:sz w:val="21"/>
                <w:szCs w:val="21"/>
                <w:highlight w:val="none"/>
              </w:rPr>
              <w:t>国家广播电视总局</w:t>
            </w:r>
          </w:p>
        </w:tc>
        <w:tc>
          <w:tcPr>
            <w:tcW w:w="1455"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43" w:line="242" w:lineRule="auto"/>
              <w:ind w:left="113" w:leftChars="0" w:right="138"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《广播电影电视行政处罚程序暂行规定》</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spacing w:before="147"/>
              <w:ind w:left="58" w:leftChars="0" w:right="79"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第三十八条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 w:line="242" w:lineRule="auto"/>
              <w:ind w:left="107" w:right="2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对较大数额罚款的听证标准，按省、自治区、直辖市人大常委会或人民政府制定的标准执 行。 广播电影电视部决定罚款十万元以上（含十万元）的，当事人可以要求听证。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2" w:hRule="atLeast"/>
        </w:trPr>
        <w:tc>
          <w:tcPr>
            <w:tcW w:w="8148" w:type="dxa"/>
            <w:gridSpan w:val="5"/>
            <w:tcBorders>
              <w:top w:val="single" w:color="000000" w:sz="4" w:space="0"/>
              <w:left w:val="single" w:color="000000" w:sz="4" w:space="0"/>
              <w:bottom w:val="single" w:color="000000" w:sz="4" w:space="0"/>
              <w:right w:val="single" w:color="000000" w:sz="4" w:space="0"/>
            </w:tcBorders>
            <w:noWrap w:val="0"/>
            <w:vAlign w:val="top"/>
          </w:tcPr>
          <w:p>
            <w:pPr>
              <w:pStyle w:val="94"/>
              <w:spacing w:before="1" w:line="242" w:lineRule="auto"/>
              <w:ind w:left="107" w:right="27"/>
              <w:rPr>
                <w:rFonts w:hint="eastAsia" w:ascii="宋体" w:hAnsi="宋体" w:eastAsia="宋体" w:cs="宋体"/>
                <w:color w:val="auto"/>
                <w:sz w:val="21"/>
                <w:szCs w:val="21"/>
                <w:highlight w:val="none"/>
              </w:rPr>
            </w:pPr>
            <w:r>
              <w:rPr>
                <w:rFonts w:hint="eastAsia" w:ascii="宋体" w:hAnsi="宋体" w:eastAsia="宋体" w:cs="宋体"/>
                <w:b/>
                <w:color w:val="auto"/>
                <w:sz w:val="22"/>
                <w:highlight w:val="none"/>
              </w:rPr>
              <w:t>国务院直事业单位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6" w:hRule="atLeast"/>
        </w:trPr>
        <w:tc>
          <w:tcPr>
            <w:tcW w:w="656"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0"/>
              <w:rPr>
                <w:rFonts w:hint="eastAsia" w:ascii="宋体" w:hAnsi="宋体" w:eastAsia="宋体" w:cs="宋体"/>
                <w:b/>
                <w:color w:val="auto"/>
                <w:sz w:val="21"/>
                <w:szCs w:val="21"/>
                <w:highlight w:val="none"/>
              </w:rPr>
            </w:pPr>
          </w:p>
          <w:p>
            <w:pPr>
              <w:pStyle w:val="94"/>
              <w:spacing w:before="1"/>
              <w:ind w:left="199" w:leftChars="0" w:right="187"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1" w:line="242" w:lineRule="auto"/>
              <w:ind w:left="294" w:leftChars="0" w:right="174" w:rightChars="0" w:hanging="1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中国气象局</w:t>
            </w:r>
          </w:p>
        </w:tc>
        <w:tc>
          <w:tcPr>
            <w:tcW w:w="1455"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1" w:line="242" w:lineRule="auto"/>
              <w:ind w:left="367" w:leftChars="0" w:right="102" w:rightChars="0" w:hanging="219"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《气象行政处罚办法》</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0"/>
              <w:rPr>
                <w:rFonts w:hint="eastAsia" w:ascii="宋体" w:hAnsi="宋体" w:eastAsia="宋体" w:cs="宋体"/>
                <w:b/>
                <w:color w:val="auto"/>
                <w:sz w:val="21"/>
                <w:szCs w:val="21"/>
                <w:highlight w:val="none"/>
              </w:rPr>
            </w:pPr>
          </w:p>
          <w:p>
            <w:pPr>
              <w:pStyle w:val="94"/>
              <w:spacing w:before="1"/>
              <w:ind w:left="90" w:leftChars="0" w:right="46"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第四十六条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2" w:line="242" w:lineRule="auto"/>
              <w:ind w:left="107" w:right="14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本办法第三十四条所称“较大数额罚款”，是</w:t>
            </w:r>
            <w:r>
              <w:rPr>
                <w:rFonts w:hint="eastAsia" w:ascii="宋体" w:hAnsi="宋体" w:eastAsia="宋体" w:cs="宋体"/>
                <w:color w:val="auto"/>
                <w:spacing w:val="-11"/>
                <w:sz w:val="21"/>
                <w:szCs w:val="21"/>
                <w:highlight w:val="none"/>
              </w:rPr>
              <w:t xml:space="preserve">指对公民处以 </w:t>
            </w:r>
            <w:r>
              <w:rPr>
                <w:rFonts w:hint="eastAsia" w:ascii="宋体" w:hAnsi="宋体" w:eastAsia="宋体" w:cs="宋体"/>
                <w:color w:val="auto"/>
                <w:sz w:val="21"/>
                <w:szCs w:val="21"/>
                <w:highlight w:val="none"/>
              </w:rPr>
              <w:t>5000</w:t>
            </w:r>
            <w:r>
              <w:rPr>
                <w:rFonts w:hint="eastAsia" w:ascii="宋体" w:hAnsi="宋体" w:eastAsia="宋体" w:cs="宋体"/>
                <w:color w:val="auto"/>
                <w:spacing w:val="-27"/>
                <w:sz w:val="21"/>
                <w:szCs w:val="21"/>
                <w:highlight w:val="none"/>
              </w:rPr>
              <w:t xml:space="preserve"> 元</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19"/>
                <w:sz w:val="21"/>
                <w:szCs w:val="21"/>
                <w:highlight w:val="none"/>
              </w:rPr>
              <w:t xml:space="preserve">不含 </w:t>
            </w:r>
            <w:r>
              <w:rPr>
                <w:rFonts w:hint="eastAsia" w:ascii="宋体" w:hAnsi="宋体" w:eastAsia="宋体" w:cs="宋体"/>
                <w:color w:val="auto"/>
                <w:sz w:val="21"/>
                <w:szCs w:val="21"/>
                <w:highlight w:val="none"/>
              </w:rPr>
              <w:t>5000</w:t>
            </w:r>
            <w:r>
              <w:rPr>
                <w:rFonts w:hint="eastAsia" w:ascii="宋体" w:hAnsi="宋体" w:eastAsia="宋体" w:cs="宋体"/>
                <w:color w:val="auto"/>
                <w:spacing w:val="-27"/>
                <w:sz w:val="21"/>
                <w:szCs w:val="21"/>
                <w:highlight w:val="none"/>
              </w:rPr>
              <w:t xml:space="preserve"> 元</w:t>
            </w:r>
            <w:r>
              <w:rPr>
                <w:rFonts w:hint="eastAsia" w:ascii="宋体" w:hAnsi="宋体" w:eastAsia="宋体" w:cs="宋体"/>
                <w:color w:val="auto"/>
                <w:spacing w:val="-3"/>
                <w:sz w:val="21"/>
                <w:szCs w:val="21"/>
                <w:highlight w:val="none"/>
              </w:rPr>
              <w:t>）</w:t>
            </w:r>
            <w:r>
              <w:rPr>
                <w:rFonts w:hint="eastAsia" w:ascii="宋体" w:hAnsi="宋体" w:eastAsia="宋体" w:cs="宋体"/>
                <w:color w:val="auto"/>
                <w:sz w:val="21"/>
                <w:szCs w:val="21"/>
                <w:highlight w:val="none"/>
              </w:rPr>
              <w:t>以上罚</w:t>
            </w:r>
            <w:r>
              <w:rPr>
                <w:rFonts w:hint="eastAsia" w:ascii="宋体" w:hAnsi="宋体" w:eastAsia="宋体" w:cs="宋体"/>
                <w:color w:val="auto"/>
                <w:spacing w:val="-7"/>
                <w:sz w:val="21"/>
                <w:szCs w:val="21"/>
                <w:highlight w:val="none"/>
              </w:rPr>
              <w:t xml:space="preserve">款，对法人或者其他组织处以 </w:t>
            </w:r>
            <w:r>
              <w:rPr>
                <w:rFonts w:hint="eastAsia" w:ascii="宋体" w:hAnsi="宋体" w:eastAsia="宋体" w:cs="宋体"/>
                <w:color w:val="auto"/>
                <w:sz w:val="21"/>
                <w:szCs w:val="21"/>
                <w:highlight w:val="none"/>
              </w:rPr>
              <w:t>3</w:t>
            </w:r>
            <w:r>
              <w:rPr>
                <w:rFonts w:hint="eastAsia" w:ascii="宋体" w:hAnsi="宋体" w:eastAsia="宋体" w:cs="宋体"/>
                <w:color w:val="auto"/>
                <w:spacing w:val="-19"/>
                <w:sz w:val="21"/>
                <w:szCs w:val="21"/>
                <w:highlight w:val="none"/>
              </w:rPr>
              <w:t xml:space="preserve"> 万元</w:t>
            </w:r>
            <w:r>
              <w:rPr>
                <w:rFonts w:hint="eastAsia" w:ascii="宋体" w:hAnsi="宋体" w:eastAsia="宋体" w:cs="宋体"/>
                <w:color w:val="auto"/>
                <w:sz w:val="21"/>
                <w:szCs w:val="21"/>
                <w:highlight w:val="none"/>
              </w:rPr>
              <w:t>（</w:t>
            </w:r>
            <w:r>
              <w:rPr>
                <w:rFonts w:hint="eastAsia" w:ascii="宋体" w:hAnsi="宋体" w:eastAsia="宋体" w:cs="宋体"/>
                <w:color w:val="auto"/>
                <w:spacing w:val="-19"/>
                <w:sz w:val="21"/>
                <w:szCs w:val="21"/>
                <w:highlight w:val="none"/>
              </w:rPr>
              <w:t xml:space="preserve">不含 </w:t>
            </w:r>
            <w:r>
              <w:rPr>
                <w:rFonts w:hint="eastAsia" w:ascii="宋体" w:hAnsi="宋体" w:eastAsia="宋体" w:cs="宋体"/>
                <w:color w:val="auto"/>
                <w:sz w:val="21"/>
                <w:szCs w:val="21"/>
                <w:highlight w:val="none"/>
              </w:rPr>
              <w:t xml:space="preserve">3 </w:t>
            </w:r>
            <w:r>
              <w:rPr>
                <w:rFonts w:hint="eastAsia" w:ascii="宋体" w:hAnsi="宋体" w:eastAsia="宋体" w:cs="宋体"/>
                <w:color w:val="auto"/>
                <w:spacing w:val="-2"/>
                <w:sz w:val="21"/>
                <w:szCs w:val="21"/>
                <w:highlight w:val="none"/>
              </w:rPr>
              <w:t>万元</w:t>
            </w:r>
            <w:r>
              <w:rPr>
                <w:rFonts w:hint="eastAsia" w:ascii="宋体" w:hAnsi="宋体" w:eastAsia="宋体" w:cs="宋体"/>
                <w:color w:val="auto"/>
                <w:spacing w:val="-17"/>
                <w:sz w:val="21"/>
                <w:szCs w:val="21"/>
                <w:highlight w:val="none"/>
              </w:rPr>
              <w:t>）</w:t>
            </w:r>
            <w:r>
              <w:rPr>
                <w:rFonts w:hint="eastAsia" w:ascii="宋体" w:hAnsi="宋体" w:eastAsia="宋体" w:cs="宋体"/>
                <w:color w:val="auto"/>
                <w:spacing w:val="-7"/>
                <w:sz w:val="21"/>
                <w:szCs w:val="21"/>
                <w:highlight w:val="none"/>
              </w:rPr>
              <w:t>以上罚款。 各省、自治区、直辖市通过</w:t>
            </w:r>
            <w:r>
              <w:rPr>
                <w:rFonts w:hint="eastAsia" w:ascii="宋体" w:hAnsi="宋体" w:eastAsia="宋体" w:cs="宋体"/>
                <w:color w:val="auto"/>
                <w:spacing w:val="-3"/>
                <w:sz w:val="21"/>
                <w:szCs w:val="21"/>
                <w:highlight w:val="none"/>
              </w:rPr>
              <w:t>的地方性法规或者地方政府规章对“较大数额罚款”的限额另有规定的，可以不受上述数额</w:t>
            </w:r>
          </w:p>
          <w:p>
            <w:pPr>
              <w:pStyle w:val="94"/>
              <w:spacing w:before="3" w:line="262" w:lineRule="exact"/>
              <w:ind w:left="107"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的限制。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6" w:hRule="atLeast"/>
        </w:trPr>
        <w:tc>
          <w:tcPr>
            <w:tcW w:w="656"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spacing w:before="9"/>
              <w:rPr>
                <w:rFonts w:hint="eastAsia" w:ascii="宋体" w:hAnsi="宋体" w:eastAsia="宋体" w:cs="宋体"/>
                <w:b/>
                <w:color w:val="auto"/>
                <w:sz w:val="21"/>
                <w:szCs w:val="21"/>
                <w:highlight w:val="none"/>
              </w:rPr>
            </w:pPr>
          </w:p>
          <w:p>
            <w:pPr>
              <w:pStyle w:val="94"/>
              <w:ind w:left="199" w:leftChars="0" w:right="187"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44" w:line="242" w:lineRule="auto"/>
              <w:ind w:left="184" w:leftChars="0" w:right="174"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中国证券监督管理委员会</w:t>
            </w:r>
          </w:p>
        </w:tc>
        <w:tc>
          <w:tcPr>
            <w:tcW w:w="1455"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44" w:line="242" w:lineRule="auto"/>
              <w:ind w:left="149" w:leftChars="0" w:right="136"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《中国证券监督管理委员会行政处罚听证规则》</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spacing w:before="9"/>
              <w:rPr>
                <w:rFonts w:hint="eastAsia" w:ascii="宋体" w:hAnsi="宋体" w:eastAsia="宋体" w:cs="宋体"/>
                <w:b/>
                <w:color w:val="auto"/>
                <w:sz w:val="21"/>
                <w:szCs w:val="21"/>
                <w:highlight w:val="none"/>
              </w:rPr>
            </w:pPr>
          </w:p>
          <w:p>
            <w:pPr>
              <w:pStyle w:val="94"/>
              <w:ind w:left="84" w:leftChars="0" w:right="78"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第五条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3" w:line="262"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证监会或其派出机构拟对当事人作出以下一项或者一项以上行政处罚的，应当在向当事人送达的《行政处罚事先告知书》中载明当事人享有要求听证的权利：（一）责令停止发行证券；（二）责令停业整顿；（三）暂停、撤销或者吊销证券、期货、基金相关业务许可；</w:t>
            </w:r>
            <w:r>
              <w:rPr>
                <w:rFonts w:hint="eastAsia" w:ascii="宋体" w:hAnsi="宋体" w:eastAsia="宋体" w:cs="宋体"/>
                <w:color w:val="auto"/>
                <w:spacing w:val="-1"/>
                <w:w w:val="100"/>
                <w:sz w:val="21"/>
                <w:szCs w:val="21"/>
                <w:highlight w:val="none"/>
              </w:rPr>
              <w:t>（</w:t>
            </w:r>
            <w:r>
              <w:rPr>
                <w:rFonts w:hint="eastAsia" w:ascii="宋体" w:hAnsi="宋体" w:eastAsia="宋体" w:cs="宋体"/>
                <w:color w:val="auto"/>
                <w:spacing w:val="-3"/>
                <w:w w:val="100"/>
                <w:sz w:val="21"/>
                <w:szCs w:val="21"/>
                <w:highlight w:val="none"/>
              </w:rPr>
              <w:t>四</w:t>
            </w:r>
            <w:r>
              <w:rPr>
                <w:rFonts w:hint="eastAsia" w:ascii="宋体" w:hAnsi="宋体" w:eastAsia="宋体" w:cs="宋体"/>
                <w:color w:val="auto"/>
                <w:spacing w:val="-73"/>
                <w:w w:val="100"/>
                <w:sz w:val="21"/>
                <w:szCs w:val="21"/>
                <w:highlight w:val="none"/>
              </w:rPr>
              <w:t>）</w:t>
            </w:r>
            <w:r>
              <w:rPr>
                <w:rFonts w:hint="eastAsia" w:ascii="宋体" w:hAnsi="宋体" w:eastAsia="宋体" w:cs="宋体"/>
                <w:color w:val="auto"/>
                <w:spacing w:val="-10"/>
                <w:w w:val="100"/>
                <w:sz w:val="21"/>
                <w:szCs w:val="21"/>
                <w:highlight w:val="none"/>
              </w:rPr>
              <w:t>暂停或者撤销任职资格、从业资格</w:t>
            </w:r>
            <w:r>
              <w:rPr>
                <w:rFonts w:hint="eastAsia" w:ascii="宋体" w:hAnsi="宋体" w:eastAsia="宋体" w:cs="宋体"/>
                <w:color w:val="auto"/>
                <w:spacing w:val="-140"/>
                <w:w w:val="100"/>
                <w:sz w:val="21"/>
                <w:szCs w:val="21"/>
                <w:highlight w:val="none"/>
              </w:rPr>
              <w:t>；</w:t>
            </w:r>
            <w:r>
              <w:rPr>
                <w:rFonts w:hint="eastAsia" w:ascii="宋体" w:hAnsi="宋体" w:eastAsia="宋体" w:cs="宋体"/>
                <w:color w:val="auto"/>
                <w:spacing w:val="-3"/>
                <w:w w:val="100"/>
                <w:sz w:val="21"/>
                <w:szCs w:val="21"/>
                <w:highlight w:val="none"/>
              </w:rPr>
              <w:t>（</w:t>
            </w:r>
            <w:r>
              <w:rPr>
                <w:rFonts w:hint="eastAsia" w:ascii="宋体" w:hAnsi="宋体" w:eastAsia="宋体" w:cs="宋体"/>
                <w:color w:val="auto"/>
                <w:spacing w:val="-1"/>
                <w:w w:val="100"/>
                <w:sz w:val="21"/>
                <w:szCs w:val="21"/>
                <w:highlight w:val="none"/>
              </w:rPr>
              <w:t>五</w:t>
            </w:r>
            <w:r>
              <w:rPr>
                <w:rFonts w:hint="eastAsia" w:ascii="宋体" w:hAnsi="宋体" w:eastAsia="宋体" w:cs="宋体"/>
                <w:color w:val="auto"/>
                <w:w w:val="100"/>
                <w:sz w:val="21"/>
                <w:szCs w:val="21"/>
                <w:highlight w:val="none"/>
              </w:rPr>
              <w:t>）</w:t>
            </w:r>
            <w:r>
              <w:rPr>
                <w:rFonts w:hint="eastAsia" w:ascii="宋体" w:hAnsi="宋体" w:eastAsia="宋体" w:cs="宋体"/>
                <w:color w:val="auto"/>
                <w:spacing w:val="-3"/>
                <w:sz w:val="21"/>
                <w:szCs w:val="21"/>
                <w:highlight w:val="none"/>
              </w:rPr>
              <w:t xml:space="preserve">对个人没收业务收入、没收违法所得、罚款， </w:t>
            </w:r>
            <w:r>
              <w:rPr>
                <w:rFonts w:hint="eastAsia" w:ascii="宋体" w:hAnsi="宋体" w:eastAsia="宋体" w:cs="宋体"/>
                <w:color w:val="auto"/>
                <w:spacing w:val="-11"/>
                <w:sz w:val="21"/>
                <w:szCs w:val="21"/>
                <w:highlight w:val="none"/>
              </w:rPr>
              <w:t xml:space="preserve">单独或者合计 </w:t>
            </w:r>
            <w:r>
              <w:rPr>
                <w:rFonts w:hint="eastAsia" w:ascii="宋体" w:hAnsi="宋体" w:eastAsia="宋体" w:cs="宋体"/>
                <w:color w:val="auto"/>
                <w:sz w:val="21"/>
                <w:szCs w:val="21"/>
                <w:highlight w:val="none"/>
              </w:rPr>
              <w:t>5</w:t>
            </w:r>
            <w:r>
              <w:rPr>
                <w:rFonts w:hint="eastAsia" w:ascii="宋体" w:hAnsi="宋体" w:eastAsia="宋体" w:cs="宋体"/>
                <w:color w:val="auto"/>
                <w:spacing w:val="-10"/>
                <w:sz w:val="21"/>
                <w:szCs w:val="21"/>
                <w:highlight w:val="none"/>
              </w:rPr>
              <w:t xml:space="preserve"> 万元以上；</w:t>
            </w:r>
            <w:r>
              <w:rPr>
                <w:rFonts w:hint="eastAsia" w:ascii="宋体" w:hAnsi="宋体" w:eastAsia="宋体" w:cs="宋体"/>
                <w:color w:val="auto"/>
                <w:sz w:val="21"/>
                <w:szCs w:val="21"/>
                <w:highlight w:val="none"/>
              </w:rPr>
              <w:t>（六</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1"/>
                <w:sz w:val="21"/>
                <w:szCs w:val="21"/>
                <w:highlight w:val="none"/>
              </w:rPr>
              <w:t>对单位没收</w:t>
            </w:r>
            <w:r>
              <w:rPr>
                <w:rFonts w:hint="eastAsia" w:ascii="宋体" w:hAnsi="宋体" w:eastAsia="宋体" w:cs="宋体"/>
                <w:color w:val="auto"/>
                <w:sz w:val="21"/>
                <w:szCs w:val="21"/>
                <w:highlight w:val="none"/>
              </w:rPr>
              <w:t>业务收入、没收违法所得、罚款，单独或者合</w:t>
            </w:r>
            <w:r>
              <w:rPr>
                <w:rFonts w:hint="eastAsia" w:ascii="宋体" w:hAnsi="宋体" w:eastAsia="宋体" w:cs="宋体"/>
                <w:color w:val="auto"/>
                <w:spacing w:val="-28"/>
                <w:sz w:val="21"/>
                <w:szCs w:val="21"/>
                <w:highlight w:val="none"/>
              </w:rPr>
              <w:t xml:space="preserve">计 </w:t>
            </w:r>
            <w:r>
              <w:rPr>
                <w:rFonts w:hint="eastAsia" w:ascii="宋体" w:hAnsi="宋体" w:eastAsia="宋体" w:cs="宋体"/>
                <w:color w:val="auto"/>
                <w:sz w:val="21"/>
                <w:szCs w:val="21"/>
                <w:highlight w:val="none"/>
              </w:rPr>
              <w:t>30</w:t>
            </w:r>
            <w:r>
              <w:rPr>
                <w:rFonts w:hint="eastAsia" w:ascii="宋体" w:hAnsi="宋体" w:eastAsia="宋体" w:cs="宋体"/>
                <w:color w:val="auto"/>
                <w:spacing w:val="-14"/>
                <w:sz w:val="21"/>
                <w:szCs w:val="21"/>
                <w:highlight w:val="none"/>
              </w:rPr>
              <w:t xml:space="preserve"> 万元以上；</w:t>
            </w:r>
            <w:r>
              <w:rPr>
                <w:rFonts w:hint="eastAsia" w:ascii="宋体" w:hAnsi="宋体" w:eastAsia="宋体" w:cs="宋体"/>
                <w:color w:val="auto"/>
                <w:spacing w:val="-16"/>
                <w:sz w:val="21"/>
                <w:szCs w:val="21"/>
                <w:highlight w:val="none"/>
              </w:rPr>
              <w:t>（</w:t>
            </w:r>
            <w:r>
              <w:rPr>
                <w:rFonts w:hint="eastAsia" w:ascii="宋体" w:hAnsi="宋体" w:eastAsia="宋体" w:cs="宋体"/>
                <w:color w:val="auto"/>
                <w:sz w:val="21"/>
                <w:szCs w:val="21"/>
                <w:highlight w:val="none"/>
              </w:rPr>
              <w:t>七</w:t>
            </w:r>
            <w:r>
              <w:rPr>
                <w:rFonts w:hint="eastAsia" w:ascii="宋体" w:hAnsi="宋体" w:eastAsia="宋体" w:cs="宋体"/>
                <w:color w:val="auto"/>
                <w:spacing w:val="-17"/>
                <w:sz w:val="21"/>
                <w:szCs w:val="21"/>
                <w:highlight w:val="none"/>
              </w:rPr>
              <w:t>）</w:t>
            </w:r>
            <w:r>
              <w:rPr>
                <w:rFonts w:hint="eastAsia" w:ascii="宋体" w:hAnsi="宋体" w:eastAsia="宋体" w:cs="宋体"/>
                <w:color w:val="auto"/>
                <w:spacing w:val="-5"/>
                <w:sz w:val="21"/>
                <w:szCs w:val="21"/>
                <w:highlight w:val="none"/>
              </w:rPr>
              <w:t>法律、行政法规和规章</w:t>
            </w:r>
            <w:r>
              <w:rPr>
                <w:rFonts w:hint="eastAsia" w:ascii="宋体" w:hAnsi="宋体" w:eastAsia="宋体" w:cs="宋体"/>
                <w:color w:val="auto"/>
                <w:sz w:val="21"/>
                <w:szCs w:val="21"/>
                <w:highlight w:val="none"/>
              </w:rPr>
              <w:t>规定或者中国证监会及其派出机构认为可以听证的其他情形。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6" w:hRule="atLeast"/>
        </w:trPr>
        <w:tc>
          <w:tcPr>
            <w:tcW w:w="656" w:type="dxa"/>
            <w:vMerge w:val="restart"/>
            <w:tcBorders>
              <w:top w:val="single" w:color="000000" w:sz="4" w:space="0"/>
              <w:left w:val="single" w:color="000000" w:sz="4" w:space="0"/>
              <w:right w:val="single" w:color="000000" w:sz="4" w:space="0"/>
            </w:tcBorders>
            <w:noWrap w:val="0"/>
            <w:vAlign w:val="top"/>
          </w:tcPr>
          <w:p>
            <w:pPr>
              <w:pStyle w:val="94"/>
              <w:spacing w:before="4" w:line="261" w:lineRule="exact"/>
              <w:ind w:left="199" w:leftChars="0" w:right="187"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031" w:type="dxa"/>
            <w:vMerge w:val="restart"/>
            <w:tcBorders>
              <w:top w:val="single" w:color="000000" w:sz="4" w:space="0"/>
              <w:left w:val="single" w:color="000000" w:sz="4" w:space="0"/>
              <w:right w:val="single" w:color="000000" w:sz="4" w:space="0"/>
            </w:tcBorders>
            <w:noWrap w:val="0"/>
            <w:vAlign w:val="top"/>
          </w:tcPr>
          <w:p>
            <w:pPr>
              <w:pStyle w:val="94"/>
              <w:spacing w:before="7" w:line="261" w:lineRule="exact"/>
              <w:ind w:left="164" w:right="15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中国银</w:t>
            </w:r>
          </w:p>
          <w:p>
            <w:pPr>
              <w:pStyle w:val="94"/>
              <w:spacing w:before="4" w:line="261" w:lineRule="exact"/>
              <w:ind w:left="164" w:right="15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行保险</w:t>
            </w:r>
          </w:p>
          <w:p>
            <w:pPr>
              <w:pStyle w:val="94"/>
              <w:spacing w:before="4" w:line="261" w:lineRule="exact"/>
              <w:ind w:left="164" w:right="15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监督管</w:t>
            </w:r>
          </w:p>
          <w:p>
            <w:pPr>
              <w:pStyle w:val="94"/>
              <w:spacing w:before="2" w:line="261" w:lineRule="exact"/>
              <w:ind w:left="164" w:right="15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理委员</w:t>
            </w:r>
          </w:p>
          <w:p>
            <w:pPr>
              <w:pStyle w:val="94"/>
              <w:spacing w:line="265" w:lineRule="exact"/>
              <w:ind w:left="10" w:leftChars="0"/>
              <w:jc w:val="center"/>
              <w:rPr>
                <w:rFonts w:hint="eastAsia" w:ascii="宋体" w:hAnsi="宋体" w:eastAsia="宋体" w:cs="宋体"/>
                <w:color w:val="auto"/>
                <w:sz w:val="21"/>
                <w:szCs w:val="21"/>
                <w:highlight w:val="none"/>
              </w:rPr>
            </w:pPr>
            <w:r>
              <w:rPr>
                <w:rFonts w:hint="eastAsia" w:ascii="宋体" w:hAnsi="宋体" w:eastAsia="宋体" w:cs="宋体"/>
                <w:color w:val="auto"/>
                <w:w w:val="100"/>
                <w:sz w:val="21"/>
                <w:szCs w:val="21"/>
                <w:highlight w:val="none"/>
              </w:rPr>
              <w:t>会</w:t>
            </w:r>
          </w:p>
        </w:tc>
        <w:tc>
          <w:tcPr>
            <w:tcW w:w="1455"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44" w:line="242" w:lineRule="auto"/>
              <w:ind w:left="149" w:leftChars="0" w:right="136" w:right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《中国银行业监督管理委员</w:t>
            </w:r>
            <w:r>
              <w:rPr>
                <w:rFonts w:hint="eastAsia" w:ascii="宋体" w:hAnsi="宋体" w:eastAsia="宋体" w:cs="宋体"/>
                <w:color w:val="auto"/>
                <w:spacing w:val="-2"/>
                <w:sz w:val="21"/>
                <w:szCs w:val="21"/>
                <w:highlight w:val="none"/>
              </w:rPr>
              <w:t>会行政处罚 办法》</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spacing w:before="9"/>
              <w:rPr>
                <w:rFonts w:hint="eastAsia" w:ascii="宋体" w:hAnsi="宋体" w:eastAsia="宋体" w:cs="宋体"/>
                <w:b/>
                <w:color w:val="auto"/>
                <w:sz w:val="21"/>
                <w:szCs w:val="21"/>
                <w:highlight w:val="none"/>
              </w:rPr>
            </w:pPr>
          </w:p>
          <w:p>
            <w:pPr>
              <w:pStyle w:val="94"/>
              <w:ind w:left="89" w:leftChars="0" w:right="78"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第六十七条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 w:line="263"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银监会及其派出机构拟作出以下重大行政处罚决定前，应当在行政处罚意见告知书中告知当事人有要求举行听证的权利:（一）对银行业金</w:t>
            </w:r>
            <w:r>
              <w:rPr>
                <w:rFonts w:hint="eastAsia" w:ascii="宋体" w:hAnsi="宋体" w:eastAsia="宋体" w:cs="宋体"/>
                <w:color w:val="auto"/>
                <w:spacing w:val="-7"/>
                <w:sz w:val="21"/>
                <w:szCs w:val="21"/>
                <w:highlight w:val="none"/>
              </w:rPr>
              <w:t>融机构和其他单位作出较大数额的罚款。包括：</w:t>
            </w:r>
            <w:r>
              <w:rPr>
                <w:rFonts w:hint="eastAsia" w:ascii="宋体" w:hAnsi="宋体" w:eastAsia="宋体" w:cs="宋体"/>
                <w:color w:val="auto"/>
                <w:sz w:val="21"/>
                <w:szCs w:val="21"/>
                <w:highlight w:val="none"/>
              </w:rPr>
              <w:t>银监会作出的 500 万元以上罚款；银监局作出</w:t>
            </w:r>
            <w:r>
              <w:rPr>
                <w:rFonts w:hint="eastAsia" w:ascii="宋体" w:hAnsi="宋体" w:eastAsia="宋体" w:cs="宋体"/>
                <w:color w:val="auto"/>
                <w:spacing w:val="-29"/>
                <w:sz w:val="21"/>
                <w:szCs w:val="21"/>
                <w:highlight w:val="none"/>
              </w:rPr>
              <w:t xml:space="preserve">的 </w:t>
            </w:r>
            <w:r>
              <w:rPr>
                <w:rFonts w:hint="eastAsia" w:ascii="宋体" w:hAnsi="宋体" w:eastAsia="宋体" w:cs="宋体"/>
                <w:color w:val="auto"/>
                <w:sz w:val="21"/>
                <w:szCs w:val="21"/>
                <w:highlight w:val="none"/>
              </w:rPr>
              <w:t>100</w:t>
            </w:r>
            <w:r>
              <w:rPr>
                <w:rFonts w:hint="eastAsia" w:ascii="宋体" w:hAnsi="宋体" w:eastAsia="宋体" w:cs="宋体"/>
                <w:color w:val="auto"/>
                <w:spacing w:val="-16"/>
                <w:sz w:val="21"/>
                <w:szCs w:val="21"/>
                <w:highlight w:val="none"/>
              </w:rPr>
              <w:t xml:space="preserve"> 万元以上罚款；银监分局作出的 </w:t>
            </w:r>
            <w:r>
              <w:rPr>
                <w:rFonts w:hint="eastAsia" w:ascii="宋体" w:hAnsi="宋体" w:eastAsia="宋体" w:cs="宋体"/>
                <w:color w:val="auto"/>
                <w:sz w:val="21"/>
                <w:szCs w:val="21"/>
                <w:highlight w:val="none"/>
              </w:rPr>
              <w:t>50</w:t>
            </w:r>
            <w:r>
              <w:rPr>
                <w:rFonts w:hint="eastAsia" w:ascii="宋体" w:hAnsi="宋体" w:eastAsia="宋体" w:cs="宋体"/>
                <w:color w:val="auto"/>
                <w:spacing w:val="-20"/>
                <w:sz w:val="21"/>
                <w:szCs w:val="21"/>
                <w:highlight w:val="none"/>
              </w:rPr>
              <w:t xml:space="preserve"> 万元</w:t>
            </w:r>
            <w:r>
              <w:rPr>
                <w:rFonts w:hint="eastAsia" w:ascii="宋体" w:hAnsi="宋体" w:eastAsia="宋体" w:cs="宋体"/>
                <w:color w:val="auto"/>
                <w:spacing w:val="-7"/>
                <w:sz w:val="21"/>
                <w:szCs w:val="21"/>
                <w:highlight w:val="none"/>
              </w:rPr>
              <w:t>以上罚款；</w:t>
            </w:r>
            <w:r>
              <w:rPr>
                <w:rFonts w:hint="eastAsia" w:ascii="宋体" w:hAnsi="宋体" w:eastAsia="宋体" w:cs="宋体"/>
                <w:color w:val="auto"/>
                <w:spacing w:val="-21"/>
                <w:sz w:val="21"/>
                <w:szCs w:val="21"/>
                <w:highlight w:val="none"/>
              </w:rPr>
              <w:t>（</w:t>
            </w:r>
            <w:r>
              <w:rPr>
                <w:rFonts w:hint="eastAsia" w:ascii="宋体" w:hAnsi="宋体" w:eastAsia="宋体" w:cs="宋体"/>
                <w:color w:val="auto"/>
                <w:sz w:val="21"/>
                <w:szCs w:val="21"/>
                <w:highlight w:val="none"/>
              </w:rPr>
              <w:t>二</w:t>
            </w:r>
            <w:r>
              <w:rPr>
                <w:rFonts w:hint="eastAsia" w:ascii="宋体" w:hAnsi="宋体" w:eastAsia="宋体" w:cs="宋体"/>
                <w:color w:val="auto"/>
                <w:spacing w:val="-22"/>
                <w:sz w:val="21"/>
                <w:szCs w:val="21"/>
                <w:highlight w:val="none"/>
              </w:rPr>
              <w:t>）</w:t>
            </w:r>
            <w:r>
              <w:rPr>
                <w:rFonts w:hint="eastAsia" w:ascii="宋体" w:hAnsi="宋体" w:eastAsia="宋体" w:cs="宋体"/>
                <w:color w:val="auto"/>
                <w:spacing w:val="-3"/>
                <w:sz w:val="21"/>
                <w:szCs w:val="21"/>
                <w:highlight w:val="none"/>
              </w:rPr>
              <w:t>对个人作出较大数额的罚款。</w:t>
            </w:r>
            <w:r>
              <w:rPr>
                <w:rFonts w:hint="eastAsia" w:ascii="宋体" w:hAnsi="宋体" w:eastAsia="宋体" w:cs="宋体"/>
                <w:color w:val="auto"/>
                <w:spacing w:val="-11"/>
                <w:sz w:val="21"/>
                <w:szCs w:val="21"/>
                <w:highlight w:val="none"/>
              </w:rPr>
              <w:t xml:space="preserve">包括：银监会作出的 </w:t>
            </w:r>
            <w:r>
              <w:rPr>
                <w:rFonts w:hint="eastAsia" w:ascii="宋体" w:hAnsi="宋体" w:eastAsia="宋体" w:cs="宋体"/>
                <w:color w:val="auto"/>
                <w:sz w:val="21"/>
                <w:szCs w:val="21"/>
                <w:highlight w:val="none"/>
              </w:rPr>
              <w:t>50</w:t>
            </w:r>
            <w:r>
              <w:rPr>
                <w:rFonts w:hint="eastAsia" w:ascii="宋体" w:hAnsi="宋体" w:eastAsia="宋体" w:cs="宋体"/>
                <w:color w:val="auto"/>
                <w:spacing w:val="-11"/>
                <w:sz w:val="21"/>
                <w:szCs w:val="21"/>
                <w:highlight w:val="none"/>
              </w:rPr>
              <w:t xml:space="preserve"> 万元以上罚款；银监局</w:t>
            </w:r>
            <w:r>
              <w:rPr>
                <w:rFonts w:hint="eastAsia" w:ascii="宋体" w:hAnsi="宋体" w:eastAsia="宋体" w:cs="宋体"/>
                <w:color w:val="auto"/>
                <w:spacing w:val="-16"/>
                <w:sz w:val="21"/>
                <w:szCs w:val="21"/>
                <w:highlight w:val="none"/>
              </w:rPr>
              <w:t xml:space="preserve">作出的 </w:t>
            </w:r>
            <w:r>
              <w:rPr>
                <w:rFonts w:hint="eastAsia" w:ascii="宋体" w:hAnsi="宋体" w:eastAsia="宋体" w:cs="宋体"/>
                <w:color w:val="auto"/>
                <w:sz w:val="21"/>
                <w:szCs w:val="21"/>
                <w:highlight w:val="none"/>
              </w:rPr>
              <w:t>30</w:t>
            </w:r>
            <w:r>
              <w:rPr>
                <w:rFonts w:hint="eastAsia" w:ascii="宋体" w:hAnsi="宋体" w:eastAsia="宋体" w:cs="宋体"/>
                <w:color w:val="auto"/>
                <w:spacing w:val="-12"/>
                <w:sz w:val="21"/>
                <w:szCs w:val="21"/>
                <w:highlight w:val="none"/>
              </w:rPr>
              <w:t xml:space="preserve"> 万元以上罚款；银监分局作出的 </w:t>
            </w:r>
            <w:r>
              <w:rPr>
                <w:rFonts w:hint="eastAsia" w:ascii="宋体" w:hAnsi="宋体" w:eastAsia="宋体" w:cs="宋体"/>
                <w:color w:val="auto"/>
                <w:sz w:val="21"/>
                <w:szCs w:val="21"/>
                <w:highlight w:val="none"/>
              </w:rPr>
              <w:t xml:space="preserve">10 </w:t>
            </w:r>
            <w:r>
              <w:rPr>
                <w:rFonts w:hint="eastAsia" w:ascii="宋体" w:hAnsi="宋体" w:eastAsia="宋体" w:cs="宋体"/>
                <w:color w:val="auto"/>
                <w:spacing w:val="-3"/>
                <w:sz w:val="21"/>
                <w:szCs w:val="21"/>
                <w:highlight w:val="none"/>
              </w:rPr>
              <w:t>万元以上罚款；</w:t>
            </w:r>
            <w:r>
              <w:rPr>
                <w:rFonts w:hint="eastAsia" w:ascii="宋体" w:hAnsi="宋体" w:eastAsia="宋体" w:cs="宋体"/>
                <w:color w:val="auto"/>
                <w:spacing w:val="-1"/>
                <w:sz w:val="21"/>
                <w:szCs w:val="21"/>
                <w:highlight w:val="none"/>
              </w:rPr>
              <w:t>（</w:t>
            </w:r>
            <w:r>
              <w:rPr>
                <w:rFonts w:hint="eastAsia" w:ascii="宋体" w:hAnsi="宋体" w:eastAsia="宋体" w:cs="宋体"/>
                <w:color w:val="auto"/>
                <w:sz w:val="21"/>
                <w:szCs w:val="21"/>
                <w:highlight w:val="none"/>
              </w:rPr>
              <w:t>三）</w:t>
            </w:r>
            <w:r>
              <w:rPr>
                <w:rFonts w:hint="eastAsia" w:ascii="宋体" w:hAnsi="宋体" w:eastAsia="宋体" w:cs="宋体"/>
                <w:color w:val="auto"/>
                <w:spacing w:val="-3"/>
                <w:sz w:val="21"/>
                <w:szCs w:val="21"/>
                <w:highlight w:val="none"/>
              </w:rPr>
              <w:t>没收较大数额的违法所</w:t>
            </w:r>
            <w:r>
              <w:rPr>
                <w:rFonts w:hint="eastAsia" w:ascii="宋体" w:hAnsi="宋体" w:eastAsia="宋体" w:cs="宋体"/>
                <w:color w:val="auto"/>
                <w:spacing w:val="-7"/>
                <w:sz w:val="21"/>
                <w:szCs w:val="21"/>
                <w:highlight w:val="none"/>
              </w:rPr>
              <w:t xml:space="preserve">得。包括：银监会作出的没收 </w:t>
            </w:r>
            <w:r>
              <w:rPr>
                <w:rFonts w:hint="eastAsia" w:ascii="宋体" w:hAnsi="宋体" w:eastAsia="宋体" w:cs="宋体"/>
                <w:color w:val="auto"/>
                <w:sz w:val="21"/>
                <w:szCs w:val="21"/>
                <w:highlight w:val="none"/>
              </w:rPr>
              <w:t>500</w:t>
            </w:r>
            <w:r>
              <w:rPr>
                <w:rFonts w:hint="eastAsia" w:ascii="宋体" w:hAnsi="宋体" w:eastAsia="宋体" w:cs="宋体"/>
                <w:color w:val="auto"/>
                <w:spacing w:val="-10"/>
                <w:sz w:val="21"/>
                <w:szCs w:val="21"/>
                <w:highlight w:val="none"/>
              </w:rPr>
              <w:t xml:space="preserve"> 万元以上违</w:t>
            </w:r>
            <w:r>
              <w:rPr>
                <w:rFonts w:hint="eastAsia" w:ascii="宋体" w:hAnsi="宋体" w:eastAsia="宋体" w:cs="宋体"/>
                <w:color w:val="auto"/>
                <w:spacing w:val="-7"/>
                <w:sz w:val="21"/>
                <w:szCs w:val="21"/>
                <w:highlight w:val="none"/>
              </w:rPr>
              <w:t xml:space="preserve">法所得；银监局作出的没收 </w:t>
            </w:r>
            <w:r>
              <w:rPr>
                <w:rFonts w:hint="eastAsia" w:ascii="宋体" w:hAnsi="宋体" w:eastAsia="宋体" w:cs="宋体"/>
                <w:color w:val="auto"/>
                <w:sz w:val="21"/>
                <w:szCs w:val="21"/>
                <w:highlight w:val="none"/>
              </w:rPr>
              <w:t>100</w:t>
            </w:r>
            <w:r>
              <w:rPr>
                <w:rFonts w:hint="eastAsia" w:ascii="宋体" w:hAnsi="宋体" w:eastAsia="宋体" w:cs="宋体"/>
                <w:color w:val="auto"/>
                <w:spacing w:val="-10"/>
                <w:sz w:val="21"/>
                <w:szCs w:val="21"/>
                <w:highlight w:val="none"/>
              </w:rPr>
              <w:t xml:space="preserve"> 万元以上违法</w:t>
            </w:r>
            <w:r>
              <w:rPr>
                <w:rFonts w:hint="eastAsia" w:ascii="宋体" w:hAnsi="宋体" w:eastAsia="宋体" w:cs="宋体"/>
                <w:color w:val="auto"/>
                <w:spacing w:val="-13"/>
                <w:sz w:val="21"/>
                <w:szCs w:val="21"/>
                <w:highlight w:val="none"/>
              </w:rPr>
              <w:t xml:space="preserve">所得；银监分局作出的没收 </w:t>
            </w:r>
            <w:r>
              <w:rPr>
                <w:rFonts w:hint="eastAsia" w:ascii="宋体" w:hAnsi="宋体" w:eastAsia="宋体" w:cs="宋体"/>
                <w:color w:val="auto"/>
                <w:sz w:val="21"/>
                <w:szCs w:val="21"/>
                <w:highlight w:val="none"/>
              </w:rPr>
              <w:t>50</w:t>
            </w:r>
            <w:r>
              <w:rPr>
                <w:rFonts w:hint="eastAsia" w:ascii="宋体" w:hAnsi="宋体" w:eastAsia="宋体" w:cs="宋体"/>
                <w:color w:val="auto"/>
                <w:spacing w:val="-9"/>
                <w:sz w:val="21"/>
                <w:szCs w:val="21"/>
                <w:highlight w:val="none"/>
              </w:rPr>
              <w:t xml:space="preserve"> 万元以上违法所</w:t>
            </w:r>
            <w:r>
              <w:rPr>
                <w:rFonts w:hint="eastAsia" w:ascii="宋体" w:hAnsi="宋体" w:eastAsia="宋体" w:cs="宋体"/>
                <w:color w:val="auto"/>
                <w:sz w:val="21"/>
                <w:szCs w:val="21"/>
                <w:highlight w:val="none"/>
              </w:rPr>
              <w:t>得；（四）责令停业整顿；（五）吊销金融许可证；（六）取消董（理）事、高级管理人员任职资格；（七）禁止从事银行业工作。未达到听证标准的行政处罚案件，当事人申请听证的，行政处罚委员会办公室认为有必要的，经</w:t>
            </w:r>
            <w:r>
              <w:rPr>
                <w:rFonts w:hint="eastAsia" w:ascii="宋体" w:hAnsi="宋体" w:eastAsia="宋体" w:cs="宋体"/>
                <w:color w:val="auto"/>
                <w:spacing w:val="-8"/>
                <w:sz w:val="21"/>
                <w:szCs w:val="21"/>
                <w:highlight w:val="none"/>
              </w:rPr>
              <w:t>行政处罚委员会主任委员同意，可以举行听证。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6" w:hRule="atLeast"/>
        </w:trPr>
        <w:tc>
          <w:tcPr>
            <w:tcW w:w="656" w:type="dxa"/>
            <w:vMerge w:val="continue"/>
            <w:tcBorders>
              <w:left w:val="single" w:color="000000" w:sz="4" w:space="0"/>
              <w:bottom w:val="single" w:color="000000" w:sz="4" w:space="0"/>
              <w:right w:val="single" w:color="000000" w:sz="4" w:space="0"/>
            </w:tcBorders>
            <w:noWrap w:val="0"/>
            <w:vAlign w:val="top"/>
          </w:tcPr>
          <w:p>
            <w:pPr>
              <w:pStyle w:val="94"/>
              <w:spacing w:before="1"/>
              <w:ind w:left="199" w:leftChars="0" w:right="187" w:rightChars="0"/>
              <w:jc w:val="center"/>
              <w:rPr>
                <w:rFonts w:hint="eastAsia" w:ascii="宋体" w:hAnsi="宋体" w:eastAsia="宋体" w:cs="宋体"/>
                <w:color w:val="auto"/>
                <w:sz w:val="21"/>
                <w:szCs w:val="21"/>
                <w:highlight w:val="none"/>
              </w:rPr>
            </w:pPr>
          </w:p>
        </w:tc>
        <w:tc>
          <w:tcPr>
            <w:tcW w:w="1031" w:type="dxa"/>
            <w:vMerge w:val="continue"/>
            <w:tcBorders>
              <w:left w:val="single" w:color="000000" w:sz="4" w:space="0"/>
              <w:bottom w:val="single" w:color="000000" w:sz="4" w:space="0"/>
              <w:right w:val="single" w:color="000000" w:sz="4" w:space="0"/>
            </w:tcBorders>
            <w:noWrap w:val="0"/>
            <w:vAlign w:val="top"/>
          </w:tcPr>
          <w:p>
            <w:pPr>
              <w:pStyle w:val="94"/>
              <w:spacing w:before="151" w:line="242" w:lineRule="auto"/>
              <w:ind w:left="294" w:leftChars="0" w:right="174" w:rightChars="0" w:hanging="111" w:firstLineChars="0"/>
              <w:rPr>
                <w:rFonts w:hint="eastAsia" w:ascii="宋体" w:hAnsi="宋体" w:eastAsia="宋体" w:cs="宋体"/>
                <w:color w:val="auto"/>
                <w:sz w:val="21"/>
                <w:szCs w:val="21"/>
                <w:highlight w:val="none"/>
              </w:rPr>
            </w:pPr>
          </w:p>
        </w:tc>
        <w:tc>
          <w:tcPr>
            <w:tcW w:w="1455"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2" w:line="263" w:lineRule="exact"/>
              <w:ind w:left="129" w:right="119"/>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《中国保险监</w:t>
            </w:r>
          </w:p>
          <w:p>
            <w:pPr>
              <w:pStyle w:val="94"/>
              <w:spacing w:before="2"/>
              <w:ind w:left="14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督管理委员会</w:t>
            </w:r>
          </w:p>
          <w:p>
            <w:pPr>
              <w:pStyle w:val="94"/>
              <w:spacing w:before="4" w:line="262" w:lineRule="exact"/>
              <w:ind w:left="14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行政处罚程序</w:t>
            </w:r>
          </w:p>
          <w:p>
            <w:pPr>
              <w:pStyle w:val="94"/>
              <w:spacing w:before="1" w:line="266" w:lineRule="exact"/>
              <w:ind w:left="144" w:leftChars="0" w:right="136"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规定》</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44"/>
              <w:ind w:left="89" w:leftChars="0" w:right="78"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第四十七条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 w:line="263"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中国保监会或者派出机构拟依法作出下列行政处罚的，应当在《行政处罚事先告知书》中一并告知当事人有要求举行听证的权利：（一）对保险机构及保险资产管理机构法人处以 100万元以上的罚款或者对其分支机构处以 20 万</w:t>
            </w:r>
            <w:r>
              <w:rPr>
                <w:rFonts w:hint="eastAsia" w:ascii="宋体" w:hAnsi="宋体" w:eastAsia="宋体" w:cs="宋体"/>
                <w:color w:val="auto"/>
                <w:spacing w:val="-13"/>
                <w:sz w:val="21"/>
                <w:szCs w:val="21"/>
                <w:highlight w:val="none"/>
              </w:rPr>
              <w:t xml:space="preserve">元以上的罚款；对保险中介机构法人处以 </w:t>
            </w:r>
            <w:r>
              <w:rPr>
                <w:rFonts w:hint="eastAsia" w:ascii="宋体" w:hAnsi="宋体" w:eastAsia="宋体" w:cs="宋体"/>
                <w:color w:val="auto"/>
                <w:sz w:val="21"/>
                <w:szCs w:val="21"/>
                <w:highlight w:val="none"/>
              </w:rPr>
              <w:t>30</w:t>
            </w:r>
            <w:r>
              <w:rPr>
                <w:rFonts w:hint="eastAsia" w:ascii="宋体" w:hAnsi="宋体" w:eastAsia="宋体" w:cs="宋体"/>
                <w:color w:val="auto"/>
                <w:spacing w:val="-27"/>
                <w:sz w:val="21"/>
                <w:szCs w:val="21"/>
                <w:highlight w:val="none"/>
              </w:rPr>
              <w:t xml:space="preserve"> 万</w:t>
            </w:r>
            <w:r>
              <w:rPr>
                <w:rFonts w:hint="eastAsia" w:ascii="宋体" w:hAnsi="宋体" w:eastAsia="宋体" w:cs="宋体"/>
                <w:color w:val="auto"/>
                <w:sz w:val="21"/>
                <w:szCs w:val="21"/>
                <w:highlight w:val="none"/>
              </w:rPr>
              <w:t>元以上的罚款或者对其分支机构处以 10 万元</w:t>
            </w:r>
            <w:r>
              <w:rPr>
                <w:rFonts w:hint="eastAsia" w:ascii="宋体" w:hAnsi="宋体" w:eastAsia="宋体" w:cs="宋体"/>
                <w:color w:val="auto"/>
                <w:spacing w:val="-7"/>
                <w:sz w:val="21"/>
                <w:szCs w:val="21"/>
                <w:highlight w:val="none"/>
              </w:rPr>
              <w:t xml:space="preserve">以上的罚款；对其他法人、组织处以 </w:t>
            </w:r>
            <w:r>
              <w:rPr>
                <w:rFonts w:hint="eastAsia" w:ascii="宋体" w:hAnsi="宋体" w:eastAsia="宋体" w:cs="宋体"/>
                <w:color w:val="auto"/>
                <w:sz w:val="21"/>
                <w:szCs w:val="21"/>
                <w:highlight w:val="none"/>
              </w:rPr>
              <w:t>100</w:t>
            </w:r>
            <w:r>
              <w:rPr>
                <w:rFonts w:hint="eastAsia" w:ascii="宋体" w:hAnsi="宋体" w:eastAsia="宋体" w:cs="宋体"/>
                <w:color w:val="auto"/>
                <w:spacing w:val="-18"/>
                <w:sz w:val="21"/>
                <w:szCs w:val="21"/>
                <w:highlight w:val="none"/>
              </w:rPr>
              <w:t xml:space="preserve"> 万元</w:t>
            </w:r>
            <w:r>
              <w:rPr>
                <w:rFonts w:hint="eastAsia" w:ascii="宋体" w:hAnsi="宋体" w:eastAsia="宋体" w:cs="宋体"/>
                <w:color w:val="auto"/>
                <w:spacing w:val="-3"/>
                <w:sz w:val="21"/>
                <w:szCs w:val="21"/>
                <w:highlight w:val="none"/>
              </w:rPr>
              <w:t>以上的罚款</w:t>
            </w:r>
            <w:r>
              <w:rPr>
                <w:rFonts w:hint="eastAsia" w:ascii="宋体" w:hAnsi="宋体" w:eastAsia="宋体" w:cs="宋体"/>
                <w:color w:val="auto"/>
                <w:sz w:val="21"/>
                <w:szCs w:val="21"/>
                <w:highlight w:val="none"/>
              </w:rPr>
              <w:t>；（</w:t>
            </w:r>
            <w:r>
              <w:rPr>
                <w:rFonts w:hint="eastAsia" w:ascii="宋体" w:hAnsi="宋体" w:eastAsia="宋体" w:cs="宋体"/>
                <w:color w:val="auto"/>
                <w:spacing w:val="-3"/>
                <w:sz w:val="21"/>
                <w:szCs w:val="21"/>
                <w:highlight w:val="none"/>
              </w:rPr>
              <w:t>二</w:t>
            </w:r>
            <w:r>
              <w:rPr>
                <w:rFonts w:hint="eastAsia" w:ascii="宋体" w:hAnsi="宋体" w:eastAsia="宋体" w:cs="宋体"/>
                <w:color w:val="auto"/>
                <w:sz w:val="21"/>
                <w:szCs w:val="21"/>
                <w:highlight w:val="none"/>
              </w:rPr>
              <w:t>）</w:t>
            </w:r>
            <w:r>
              <w:rPr>
                <w:rFonts w:hint="eastAsia" w:ascii="宋体" w:hAnsi="宋体" w:eastAsia="宋体" w:cs="宋体"/>
                <w:color w:val="auto"/>
                <w:spacing w:val="-11"/>
                <w:sz w:val="21"/>
                <w:szCs w:val="21"/>
                <w:highlight w:val="none"/>
              </w:rPr>
              <w:t xml:space="preserve">对个人处以 </w:t>
            </w:r>
            <w:r>
              <w:rPr>
                <w:rFonts w:hint="eastAsia" w:ascii="宋体" w:hAnsi="宋体" w:eastAsia="宋体" w:cs="宋体"/>
                <w:color w:val="auto"/>
                <w:sz w:val="21"/>
                <w:szCs w:val="21"/>
                <w:highlight w:val="none"/>
              </w:rPr>
              <w:t>5</w:t>
            </w:r>
            <w:r>
              <w:rPr>
                <w:rFonts w:hint="eastAsia" w:ascii="宋体" w:hAnsi="宋体" w:eastAsia="宋体" w:cs="宋体"/>
                <w:color w:val="auto"/>
                <w:spacing w:val="-10"/>
                <w:sz w:val="21"/>
                <w:szCs w:val="21"/>
                <w:highlight w:val="none"/>
              </w:rPr>
              <w:t xml:space="preserve"> 万元以上的</w:t>
            </w:r>
            <w:r>
              <w:rPr>
                <w:rFonts w:hint="eastAsia" w:ascii="宋体" w:hAnsi="宋体" w:eastAsia="宋体" w:cs="宋体"/>
                <w:color w:val="auto"/>
                <w:sz w:val="21"/>
                <w:szCs w:val="21"/>
                <w:highlight w:val="none"/>
              </w:rPr>
              <w:t>罚款；（三）限制业务范围；（四）责令停止接受新业务； （五）责令停业整顿； （六）</w:t>
            </w:r>
          </w:p>
          <w:p>
            <w:pPr>
              <w:pStyle w:val="94"/>
              <w:spacing w:before="2" w:line="262" w:lineRule="exact"/>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吊销业务许可证；（七）撤销外国保险机构驻华代表机构；（八）撤销任职资格；（九）责令撤换外国保险机构驻华代表机构的首席代表；（十）禁止进入保险业；（十一）法律、行政法规和中国保监会规章规定可以要求听证的其他处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6" w:hRule="atLeast"/>
        </w:trPr>
        <w:tc>
          <w:tcPr>
            <w:tcW w:w="656"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8"/>
              <w:ind w:left="199" w:leftChars="0" w:right="187"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4" w:line="242" w:lineRule="auto"/>
              <w:ind w:left="294" w:leftChars="0" w:right="174" w:rightChars="0" w:hanging="1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国家外汇管理局</w:t>
            </w:r>
          </w:p>
        </w:tc>
        <w:tc>
          <w:tcPr>
            <w:tcW w:w="1455"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4" w:line="242" w:lineRule="auto"/>
              <w:ind w:left="149" w:leftChars="0" w:right="136"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《国家外汇管理局行政处罚听证程序》</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8"/>
              <w:ind w:left="84" w:leftChars="0" w:right="78"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 w:line="242" w:lineRule="auto"/>
              <w:ind w:left="108" w:right="143"/>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外汇局作出下列重大处罚决定前，应当告知当事人有要求举行听证的权利：（一）责令暂停或者停止经营结售汇业务；（二）责令暂停经营外汇业务或者吊销经营外汇业务许可证；</w:t>
            </w:r>
          </w:p>
          <w:p>
            <w:pPr>
              <w:pStyle w:val="94"/>
              <w:spacing w:before="4" w:line="242" w:lineRule="auto"/>
              <w:ind w:left="108" w:right="143"/>
              <w:jc w:val="both"/>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3"/>
                <w:sz w:val="21"/>
                <w:szCs w:val="21"/>
                <w:highlight w:val="none"/>
              </w:rPr>
              <w:t>三</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3"/>
                <w:sz w:val="21"/>
                <w:szCs w:val="21"/>
                <w:highlight w:val="none"/>
              </w:rPr>
              <w:t>较大数额罚没款；</w:t>
            </w:r>
            <w:r>
              <w:rPr>
                <w:rFonts w:hint="eastAsia" w:ascii="宋体" w:hAnsi="宋体" w:eastAsia="宋体" w:cs="宋体"/>
                <w:color w:val="auto"/>
                <w:sz w:val="21"/>
                <w:szCs w:val="21"/>
                <w:highlight w:val="none"/>
              </w:rPr>
              <w:t>（四</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1"/>
                <w:sz w:val="21"/>
                <w:szCs w:val="21"/>
                <w:highlight w:val="none"/>
              </w:rPr>
              <w:t>其他法律、行</w:t>
            </w:r>
            <w:r>
              <w:rPr>
                <w:rFonts w:hint="eastAsia" w:ascii="宋体" w:hAnsi="宋体" w:eastAsia="宋体" w:cs="宋体"/>
                <w:color w:val="auto"/>
                <w:spacing w:val="-3"/>
                <w:sz w:val="21"/>
                <w:szCs w:val="21"/>
                <w:highlight w:val="none"/>
              </w:rPr>
              <w:t>政法规规定应当举行听证的。前款</w:t>
            </w:r>
            <w:r>
              <w:rPr>
                <w:rFonts w:hint="eastAsia" w:ascii="宋体" w:hAnsi="宋体" w:eastAsia="宋体" w:cs="宋体"/>
                <w:color w:val="auto"/>
                <w:sz w:val="21"/>
                <w:szCs w:val="21"/>
                <w:highlight w:val="none"/>
              </w:rPr>
              <w:t>（</w:t>
            </w:r>
            <w:r>
              <w:rPr>
                <w:rFonts w:hint="eastAsia" w:ascii="宋体" w:hAnsi="宋体" w:eastAsia="宋体" w:cs="宋体"/>
                <w:color w:val="auto"/>
                <w:spacing w:val="-3"/>
                <w:sz w:val="21"/>
                <w:szCs w:val="21"/>
                <w:highlight w:val="none"/>
              </w:rPr>
              <w:t>三</w:t>
            </w:r>
            <w:r>
              <w:rPr>
                <w:rFonts w:hint="eastAsia" w:ascii="宋体" w:hAnsi="宋体" w:eastAsia="宋体" w:cs="宋体"/>
                <w:color w:val="auto"/>
                <w:sz w:val="21"/>
                <w:szCs w:val="21"/>
                <w:highlight w:val="none"/>
              </w:rPr>
              <w:t>）项所</w:t>
            </w:r>
            <w:r>
              <w:rPr>
                <w:rFonts w:hint="eastAsia" w:ascii="宋体" w:hAnsi="宋体" w:eastAsia="宋体" w:cs="宋体"/>
                <w:color w:val="auto"/>
                <w:spacing w:val="-3"/>
                <w:sz w:val="21"/>
                <w:szCs w:val="21"/>
                <w:highlight w:val="none"/>
              </w:rPr>
              <w:t>称较大数额罚没款，是指对自然人的违法行为</w:t>
            </w:r>
            <w:r>
              <w:rPr>
                <w:rFonts w:hint="eastAsia" w:ascii="宋体" w:hAnsi="宋体" w:eastAsia="宋体" w:cs="宋体"/>
                <w:color w:val="auto"/>
                <w:spacing w:val="-21"/>
                <w:sz w:val="21"/>
                <w:szCs w:val="21"/>
                <w:highlight w:val="none"/>
              </w:rPr>
              <w:t xml:space="preserve">处以 </w:t>
            </w:r>
            <w:r>
              <w:rPr>
                <w:rFonts w:hint="eastAsia" w:ascii="宋体" w:hAnsi="宋体" w:eastAsia="宋体" w:cs="宋体"/>
                <w:color w:val="auto"/>
                <w:sz w:val="21"/>
                <w:szCs w:val="21"/>
                <w:highlight w:val="none"/>
              </w:rPr>
              <w:t>5</w:t>
            </w:r>
            <w:r>
              <w:rPr>
                <w:rFonts w:hint="eastAsia" w:ascii="宋体" w:hAnsi="宋体" w:eastAsia="宋体" w:cs="宋体"/>
                <w:color w:val="auto"/>
                <w:spacing w:val="-9"/>
                <w:sz w:val="21"/>
                <w:szCs w:val="21"/>
                <w:highlight w:val="none"/>
              </w:rPr>
              <w:t xml:space="preserve"> 万元人民币以上，对法人或者其他经济</w:t>
            </w:r>
            <w:r>
              <w:rPr>
                <w:rFonts w:hint="eastAsia" w:ascii="宋体" w:hAnsi="宋体" w:eastAsia="宋体" w:cs="宋体"/>
                <w:color w:val="auto"/>
                <w:spacing w:val="-7"/>
                <w:sz w:val="21"/>
                <w:szCs w:val="21"/>
                <w:highlight w:val="none"/>
              </w:rPr>
              <w:t xml:space="preserve">组织经营活动中的违法行为处以 </w:t>
            </w:r>
            <w:r>
              <w:rPr>
                <w:rFonts w:hint="eastAsia" w:ascii="宋体" w:hAnsi="宋体" w:eastAsia="宋体" w:cs="宋体"/>
                <w:color w:val="auto"/>
                <w:sz w:val="21"/>
                <w:szCs w:val="21"/>
                <w:highlight w:val="none"/>
              </w:rPr>
              <w:t>100</w:t>
            </w:r>
            <w:r>
              <w:rPr>
                <w:rFonts w:hint="eastAsia" w:ascii="宋体" w:hAnsi="宋体" w:eastAsia="宋体" w:cs="宋体"/>
                <w:color w:val="auto"/>
                <w:spacing w:val="-12"/>
                <w:sz w:val="21"/>
                <w:szCs w:val="21"/>
                <w:highlight w:val="none"/>
              </w:rPr>
              <w:t xml:space="preserve"> 万元人民</w:t>
            </w:r>
            <w:r>
              <w:rPr>
                <w:rFonts w:hint="eastAsia" w:ascii="宋体" w:hAnsi="宋体" w:eastAsia="宋体" w:cs="宋体"/>
                <w:color w:val="auto"/>
                <w:sz w:val="21"/>
                <w:szCs w:val="21"/>
                <w:highlight w:val="none"/>
              </w:rPr>
              <w:t>币以上的罚没款。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6" w:hRule="atLeast"/>
        </w:trPr>
        <w:tc>
          <w:tcPr>
            <w:tcW w:w="656"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8"/>
              <w:ind w:left="199" w:leftChars="0" w:right="187"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4" w:line="242" w:lineRule="auto"/>
              <w:ind w:left="294" w:leftChars="0" w:right="174" w:rightChars="0" w:hanging="1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国家烟草专卖局</w:t>
            </w:r>
          </w:p>
        </w:tc>
        <w:tc>
          <w:tcPr>
            <w:tcW w:w="1455"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4" w:line="242" w:lineRule="auto"/>
              <w:ind w:left="149" w:leftChars="0" w:right="136" w:right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《烟草专卖行</w:t>
            </w:r>
            <w:r>
              <w:rPr>
                <w:rFonts w:hint="eastAsia" w:ascii="宋体" w:hAnsi="宋体" w:eastAsia="宋体" w:cs="宋体"/>
                <w:color w:val="auto"/>
                <w:spacing w:val="-2"/>
                <w:sz w:val="21"/>
                <w:szCs w:val="21"/>
                <w:highlight w:val="none"/>
              </w:rPr>
              <w:t>政处罚程序 规定》</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8"/>
              <w:ind w:left="89" w:leftChars="0" w:right="78"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第四十四条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 w:line="242" w:lineRule="auto"/>
              <w:ind w:left="108" w:right="-1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烟草专卖行政主管部门在作出下列行政处罚决定之前，应当告知当事人有要求举行听证的权利：（一）</w:t>
            </w:r>
            <w:r>
              <w:rPr>
                <w:rFonts w:hint="eastAsia" w:ascii="宋体" w:hAnsi="宋体" w:eastAsia="宋体" w:cs="宋体"/>
                <w:color w:val="auto"/>
                <w:spacing w:val="-2"/>
                <w:sz w:val="21"/>
                <w:szCs w:val="21"/>
                <w:highlight w:val="none"/>
              </w:rPr>
              <w:t>一万元以上的罚款；</w:t>
            </w:r>
            <w:r>
              <w:rPr>
                <w:rFonts w:hint="eastAsia" w:ascii="宋体" w:hAnsi="宋体" w:eastAsia="宋体" w:cs="宋体"/>
                <w:color w:val="auto"/>
                <w:sz w:val="21"/>
                <w:szCs w:val="21"/>
                <w:highlight w:val="none"/>
              </w:rPr>
              <w:t>（二</w:t>
            </w:r>
            <w:r>
              <w:rPr>
                <w:rFonts w:hint="eastAsia" w:ascii="宋体" w:hAnsi="宋体" w:eastAsia="宋体" w:cs="宋体"/>
                <w:color w:val="auto"/>
                <w:spacing w:val="-3"/>
                <w:sz w:val="21"/>
                <w:szCs w:val="21"/>
                <w:highlight w:val="none"/>
              </w:rPr>
              <w:t>）</w:t>
            </w:r>
            <w:r>
              <w:rPr>
                <w:rFonts w:hint="eastAsia" w:ascii="宋体" w:hAnsi="宋体" w:eastAsia="宋体" w:cs="宋体"/>
                <w:color w:val="auto"/>
                <w:sz w:val="21"/>
                <w:szCs w:val="21"/>
                <w:highlight w:val="none"/>
              </w:rPr>
              <w:t>没收较</w:t>
            </w:r>
            <w:r>
              <w:rPr>
                <w:rFonts w:hint="eastAsia" w:ascii="宋体" w:hAnsi="宋体" w:eastAsia="宋体" w:cs="宋体"/>
                <w:color w:val="auto"/>
                <w:spacing w:val="-5"/>
                <w:sz w:val="21"/>
                <w:szCs w:val="21"/>
                <w:highlight w:val="none"/>
              </w:rPr>
              <w:t>大数额的违法所得或者违法烟草专卖品；</w:t>
            </w:r>
            <w:r>
              <w:rPr>
                <w:rFonts w:hint="eastAsia" w:ascii="宋体" w:hAnsi="宋体" w:eastAsia="宋体" w:cs="宋体"/>
                <w:color w:val="auto"/>
                <w:spacing w:val="-32"/>
                <w:sz w:val="21"/>
                <w:szCs w:val="21"/>
                <w:highlight w:val="none"/>
              </w:rPr>
              <w:t>（</w:t>
            </w:r>
            <w:r>
              <w:rPr>
                <w:rFonts w:hint="eastAsia" w:ascii="宋体" w:hAnsi="宋体" w:eastAsia="宋体" w:cs="宋体"/>
                <w:color w:val="auto"/>
                <w:sz w:val="21"/>
                <w:szCs w:val="21"/>
                <w:highlight w:val="none"/>
              </w:rPr>
              <w:t xml:space="preserve">三） </w:t>
            </w:r>
            <w:r>
              <w:rPr>
                <w:rFonts w:hint="eastAsia" w:ascii="宋体" w:hAnsi="宋体" w:eastAsia="宋体" w:cs="宋体"/>
                <w:color w:val="auto"/>
                <w:spacing w:val="-3"/>
                <w:sz w:val="21"/>
                <w:szCs w:val="21"/>
                <w:highlight w:val="none"/>
              </w:rPr>
              <w:t>责令停产、停业，责令关闭；</w:t>
            </w:r>
            <w:r>
              <w:rPr>
                <w:rFonts w:hint="eastAsia" w:ascii="宋体" w:hAnsi="宋体" w:eastAsia="宋体" w:cs="宋体"/>
                <w:color w:val="auto"/>
                <w:sz w:val="21"/>
                <w:szCs w:val="21"/>
                <w:highlight w:val="none"/>
              </w:rPr>
              <w:t>（四）</w:t>
            </w:r>
            <w:r>
              <w:rPr>
                <w:rFonts w:hint="eastAsia" w:ascii="宋体" w:hAnsi="宋体" w:eastAsia="宋体" w:cs="宋体"/>
                <w:color w:val="auto"/>
                <w:spacing w:val="-2"/>
                <w:sz w:val="21"/>
                <w:szCs w:val="21"/>
                <w:highlight w:val="none"/>
              </w:rPr>
              <w:t>取消从事</w:t>
            </w:r>
            <w:r>
              <w:rPr>
                <w:rFonts w:hint="eastAsia" w:ascii="宋体" w:hAnsi="宋体" w:eastAsia="宋体" w:cs="宋体"/>
                <w:color w:val="auto"/>
                <w:spacing w:val="-9"/>
                <w:sz w:val="21"/>
                <w:szCs w:val="21"/>
                <w:highlight w:val="none"/>
              </w:rPr>
              <w:t>烟草专卖业务的资格。 省级烟草专卖行政主管</w:t>
            </w:r>
            <w:r>
              <w:rPr>
                <w:rFonts w:hint="eastAsia" w:ascii="宋体" w:hAnsi="宋体" w:eastAsia="宋体" w:cs="宋体"/>
                <w:color w:val="auto"/>
                <w:spacing w:val="-3"/>
                <w:sz w:val="21"/>
                <w:szCs w:val="21"/>
                <w:highlight w:val="none"/>
              </w:rPr>
              <w:t>部门可以结合本地实际，调整和确定本行政区域内罚款、没收违法所得或者违法烟草专卖品</w:t>
            </w:r>
            <w:r>
              <w:rPr>
                <w:rFonts w:hint="eastAsia" w:ascii="宋体" w:hAnsi="宋体" w:eastAsia="宋体" w:cs="宋体"/>
                <w:color w:val="auto"/>
                <w:sz w:val="21"/>
                <w:szCs w:val="21"/>
                <w:highlight w:val="none"/>
              </w:rPr>
              <w:t>的听证数额标准，报国务院烟草专卖行政主管部门批准后施行。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6" w:hRule="atLeast"/>
        </w:trPr>
        <w:tc>
          <w:tcPr>
            <w:tcW w:w="656"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
              <w:rPr>
                <w:rFonts w:hint="eastAsia" w:ascii="宋体" w:hAnsi="宋体" w:eastAsia="宋体" w:cs="宋体"/>
                <w:b/>
                <w:color w:val="auto"/>
                <w:sz w:val="21"/>
                <w:szCs w:val="21"/>
                <w:highlight w:val="none"/>
              </w:rPr>
            </w:pPr>
          </w:p>
          <w:p>
            <w:pPr>
              <w:pStyle w:val="94"/>
              <w:ind w:left="199" w:leftChars="0" w:right="187"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0"/>
              <w:rPr>
                <w:rFonts w:hint="eastAsia" w:ascii="宋体" w:hAnsi="宋体" w:eastAsia="宋体" w:cs="宋体"/>
                <w:b/>
                <w:color w:val="auto"/>
                <w:sz w:val="21"/>
                <w:szCs w:val="21"/>
                <w:highlight w:val="none"/>
              </w:rPr>
            </w:pPr>
          </w:p>
          <w:p>
            <w:pPr>
              <w:pStyle w:val="94"/>
              <w:spacing w:line="242" w:lineRule="auto"/>
              <w:ind w:left="184" w:leftChars="0" w:right="174"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国家林业和草原局</w:t>
            </w:r>
          </w:p>
        </w:tc>
        <w:tc>
          <w:tcPr>
            <w:tcW w:w="1455"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4" w:line="242" w:lineRule="auto"/>
              <w:ind w:left="149" w:leftChars="0" w:right="136"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《林业行政处罚听证规则》</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
              <w:rPr>
                <w:rFonts w:hint="eastAsia" w:ascii="宋体" w:hAnsi="宋体" w:eastAsia="宋体" w:cs="宋体"/>
                <w:b/>
                <w:color w:val="auto"/>
                <w:sz w:val="21"/>
                <w:szCs w:val="21"/>
                <w:highlight w:val="none"/>
              </w:rPr>
            </w:pPr>
          </w:p>
          <w:p>
            <w:pPr>
              <w:pStyle w:val="94"/>
              <w:ind w:left="84" w:leftChars="0" w:right="78"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第五条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2" w:line="242" w:lineRule="auto"/>
              <w:ind w:left="108" w:right="95"/>
              <w:jc w:val="both"/>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林业行政主管部门依法作出责令停产停业、吊销许可证或者执照、较大数额罚款等林业行政处罚决定之前，应当告知当事人有要求举行听证的权利，并制作林业行政处罚听证权利告知</w:t>
            </w:r>
            <w:r>
              <w:rPr>
                <w:rFonts w:hint="eastAsia" w:ascii="宋体" w:hAnsi="宋体" w:eastAsia="宋体" w:cs="宋体"/>
                <w:color w:val="auto"/>
                <w:spacing w:val="-8"/>
                <w:sz w:val="21"/>
                <w:szCs w:val="21"/>
                <w:highlight w:val="none"/>
              </w:rPr>
              <w:t>书。 前款所称较大数额的罚款，按照省、自治</w:t>
            </w:r>
            <w:r>
              <w:rPr>
                <w:rFonts w:hint="eastAsia" w:ascii="宋体" w:hAnsi="宋体" w:eastAsia="宋体" w:cs="宋体"/>
                <w:color w:val="auto"/>
                <w:spacing w:val="-3"/>
                <w:sz w:val="21"/>
                <w:szCs w:val="21"/>
                <w:highlight w:val="none"/>
              </w:rPr>
              <w:t>区、直辖市人大常委会或者省级人民政府的规定执行。 国家林业局依法作出十万元以上(含</w:t>
            </w:r>
            <w:r>
              <w:rPr>
                <w:rFonts w:hint="eastAsia" w:ascii="宋体" w:hAnsi="宋体" w:eastAsia="宋体" w:cs="宋体"/>
                <w:color w:val="auto"/>
                <w:spacing w:val="-9"/>
                <w:sz w:val="21"/>
                <w:szCs w:val="21"/>
                <w:highlight w:val="none"/>
              </w:rPr>
              <w:t>十万元)罚款决定的，应当告知当事人有要求举</w:t>
            </w:r>
            <w:r>
              <w:rPr>
                <w:rFonts w:hint="eastAsia" w:ascii="宋体" w:hAnsi="宋体" w:eastAsia="宋体" w:cs="宋体"/>
                <w:color w:val="auto"/>
                <w:sz w:val="21"/>
                <w:szCs w:val="21"/>
                <w:highlight w:val="none"/>
              </w:rPr>
              <w:t>行听证的权利。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6" w:hRule="atLeast"/>
        </w:trPr>
        <w:tc>
          <w:tcPr>
            <w:tcW w:w="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5"/>
              <w:rPr>
                <w:rFonts w:hint="eastAsia" w:ascii="宋体" w:hAnsi="宋体" w:eastAsia="宋体" w:cs="宋体"/>
                <w:b/>
                <w:color w:val="auto"/>
                <w:sz w:val="21"/>
                <w:szCs w:val="21"/>
                <w:highlight w:val="none"/>
              </w:rPr>
            </w:pPr>
          </w:p>
          <w:p>
            <w:pPr>
              <w:pStyle w:val="94"/>
              <w:ind w:left="199" w:leftChars="0" w:right="187"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43" w:line="242" w:lineRule="auto"/>
              <w:ind w:left="294" w:leftChars="0" w:right="174" w:rightChars="0" w:hanging="1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国家铁路局</w:t>
            </w:r>
          </w:p>
        </w:tc>
        <w:tc>
          <w:tcPr>
            <w:tcW w:w="1455"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
              <w:ind w:left="259" w:hanging="56"/>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《违反&lt;铁路</w:t>
            </w:r>
          </w:p>
          <w:p>
            <w:pPr>
              <w:pStyle w:val="94"/>
              <w:spacing w:before="4" w:line="280" w:lineRule="atLeast"/>
              <w:ind w:left="204" w:leftChars="0" w:right="191" w:rightChars="0" w:firstLine="55" w:firstLineChars="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安全管理条</w:t>
            </w:r>
            <w:r>
              <w:rPr>
                <w:rFonts w:hint="eastAsia" w:ascii="宋体" w:hAnsi="宋体" w:eastAsia="宋体" w:cs="宋体"/>
                <w:color w:val="auto"/>
                <w:spacing w:val="-5"/>
                <w:sz w:val="21"/>
                <w:szCs w:val="21"/>
                <w:highlight w:val="none"/>
              </w:rPr>
              <w:t>例&gt;行政处罚</w:t>
            </w:r>
            <w:r>
              <w:rPr>
                <w:rFonts w:hint="eastAsia" w:ascii="宋体" w:hAnsi="宋体" w:eastAsia="宋体" w:cs="宋体"/>
                <w:color w:val="auto"/>
                <w:sz w:val="21"/>
                <w:szCs w:val="21"/>
                <w:highlight w:val="none"/>
              </w:rPr>
              <w:t>实施办法》</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5"/>
              <w:rPr>
                <w:rFonts w:hint="eastAsia" w:ascii="宋体" w:hAnsi="宋体" w:eastAsia="宋体" w:cs="宋体"/>
                <w:b/>
                <w:color w:val="auto"/>
                <w:sz w:val="21"/>
                <w:szCs w:val="21"/>
                <w:highlight w:val="none"/>
              </w:rPr>
            </w:pPr>
          </w:p>
          <w:p>
            <w:pPr>
              <w:pStyle w:val="94"/>
              <w:ind w:left="89" w:leftChars="0" w:right="78"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第七十六条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
              <w:ind w:left="1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本办法所称“较大数额罚款”，是指对个人处</w:t>
            </w:r>
            <w:r>
              <w:rPr>
                <w:rFonts w:hint="eastAsia" w:ascii="宋体" w:hAnsi="宋体" w:eastAsia="宋体" w:cs="宋体"/>
                <w:color w:val="auto"/>
                <w:spacing w:val="-29"/>
                <w:sz w:val="21"/>
                <w:szCs w:val="21"/>
                <w:highlight w:val="none"/>
              </w:rPr>
              <w:t xml:space="preserve">以 </w:t>
            </w:r>
            <w:r>
              <w:rPr>
                <w:rFonts w:hint="eastAsia" w:ascii="宋体" w:hAnsi="宋体" w:eastAsia="宋体" w:cs="宋体"/>
                <w:color w:val="auto"/>
                <w:sz w:val="21"/>
                <w:szCs w:val="21"/>
                <w:highlight w:val="none"/>
              </w:rPr>
              <w:t>1</w:t>
            </w:r>
            <w:r>
              <w:rPr>
                <w:rFonts w:hint="eastAsia" w:ascii="宋体" w:hAnsi="宋体" w:eastAsia="宋体" w:cs="宋体"/>
                <w:color w:val="auto"/>
                <w:spacing w:val="-15"/>
                <w:sz w:val="21"/>
                <w:szCs w:val="21"/>
                <w:highlight w:val="none"/>
              </w:rPr>
              <w:t xml:space="preserve"> 万元以上的罚款，对单位处以 </w:t>
            </w:r>
            <w:r>
              <w:rPr>
                <w:rFonts w:hint="eastAsia" w:ascii="宋体" w:hAnsi="宋体" w:eastAsia="宋体" w:cs="宋体"/>
                <w:color w:val="auto"/>
                <w:sz w:val="21"/>
                <w:szCs w:val="21"/>
                <w:highlight w:val="none"/>
              </w:rPr>
              <w:t>10</w:t>
            </w:r>
            <w:r>
              <w:rPr>
                <w:rFonts w:hint="eastAsia" w:ascii="宋体" w:hAnsi="宋体" w:eastAsia="宋体" w:cs="宋体"/>
                <w:color w:val="auto"/>
                <w:spacing w:val="-12"/>
                <w:sz w:val="21"/>
                <w:szCs w:val="21"/>
                <w:highlight w:val="none"/>
              </w:rPr>
              <w:t xml:space="preserve"> 万元以上</w:t>
            </w:r>
            <w:r>
              <w:rPr>
                <w:rFonts w:hint="eastAsia" w:ascii="宋体" w:hAnsi="宋体" w:eastAsia="宋体" w:cs="宋体"/>
                <w:color w:val="auto"/>
                <w:spacing w:val="-5"/>
                <w:sz w:val="21"/>
                <w:szCs w:val="21"/>
                <w:highlight w:val="none"/>
              </w:rPr>
              <w:t>的罚款。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6" w:hRule="atLeast"/>
        </w:trPr>
        <w:tc>
          <w:tcPr>
            <w:tcW w:w="656"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68"/>
              <w:ind w:left="199" w:leftChars="0" w:right="187"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64" w:line="242" w:lineRule="auto"/>
              <w:ind w:left="294" w:leftChars="0" w:right="174" w:rightChars="0" w:hanging="1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中国民用航空局</w:t>
            </w:r>
          </w:p>
        </w:tc>
        <w:tc>
          <w:tcPr>
            <w:tcW w:w="1455"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64" w:line="242" w:lineRule="auto"/>
              <w:ind w:left="149" w:leftChars="0" w:right="136"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《中国民用航空行政处罚实施办法》</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68"/>
              <w:ind w:left="89" w:leftChars="0" w:right="78"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第四十一条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3" w:line="242" w:lineRule="auto"/>
              <w:ind w:left="108" w:right="14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民航行政机关法制职能部门收到案件承办部门提出的民用航空行政案件调查报告后，应当进行初步审查。对拟同意进行下列行政处罚的， 应当在报民航行政机关作出行政处罚决定之 前，按本办法附件七的规定制作《民用航空行政处罚听证告知书》，告知当事人有要求听证的权利；当事人要求组织听证的，民航行政机关应当组织听证：</w:t>
            </w:r>
            <w:r>
              <w:rPr>
                <w:rFonts w:hint="eastAsia" w:ascii="宋体" w:hAnsi="宋体" w:eastAsia="宋体" w:cs="宋体"/>
                <w:color w:val="auto"/>
                <w:sz w:val="21"/>
                <w:szCs w:val="21"/>
                <w:highlight w:val="none"/>
              </w:rPr>
              <w:t>（一</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10"/>
                <w:sz w:val="21"/>
                <w:szCs w:val="21"/>
                <w:highlight w:val="none"/>
              </w:rPr>
              <w:t xml:space="preserve">不少于人民币 </w:t>
            </w:r>
            <w:r>
              <w:rPr>
                <w:rFonts w:hint="eastAsia" w:ascii="宋体" w:hAnsi="宋体" w:eastAsia="宋体" w:cs="宋体"/>
                <w:color w:val="auto"/>
                <w:sz w:val="21"/>
                <w:szCs w:val="21"/>
                <w:highlight w:val="none"/>
              </w:rPr>
              <w:t xml:space="preserve">30000 </w:t>
            </w:r>
            <w:r>
              <w:rPr>
                <w:rFonts w:hint="eastAsia" w:ascii="宋体" w:hAnsi="宋体" w:eastAsia="宋体" w:cs="宋体"/>
                <w:color w:val="auto"/>
                <w:spacing w:val="-3"/>
                <w:sz w:val="21"/>
                <w:szCs w:val="21"/>
                <w:highlight w:val="none"/>
              </w:rPr>
              <w:t>元的罚款；</w:t>
            </w:r>
            <w:r>
              <w:rPr>
                <w:rFonts w:hint="eastAsia" w:ascii="宋体" w:hAnsi="宋体" w:eastAsia="宋体" w:cs="宋体"/>
                <w:color w:val="auto"/>
                <w:spacing w:val="-1"/>
                <w:sz w:val="21"/>
                <w:szCs w:val="21"/>
                <w:highlight w:val="none"/>
              </w:rPr>
              <w:t>（二</w:t>
            </w:r>
            <w:r>
              <w:rPr>
                <w:rFonts w:hint="eastAsia" w:ascii="宋体" w:hAnsi="宋体" w:eastAsia="宋体" w:cs="宋体"/>
                <w:color w:val="auto"/>
                <w:spacing w:val="-3"/>
                <w:sz w:val="21"/>
                <w:szCs w:val="21"/>
                <w:highlight w:val="none"/>
              </w:rPr>
              <w:t>）吊销经营许可证或者执照；</w:t>
            </w:r>
          </w:p>
          <w:p>
            <w:pPr>
              <w:pStyle w:val="94"/>
              <w:spacing w:before="3" w:line="242" w:lineRule="auto"/>
              <w:ind w:left="108" w:right="95"/>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pacing w:val="-3"/>
                <w:sz w:val="21"/>
                <w:szCs w:val="21"/>
                <w:highlight w:val="none"/>
              </w:rPr>
              <w:t>三</w:t>
            </w:r>
            <w:r>
              <w:rPr>
                <w:rFonts w:hint="eastAsia" w:ascii="宋体" w:hAnsi="宋体" w:eastAsia="宋体" w:cs="宋体"/>
                <w:color w:val="auto"/>
                <w:sz w:val="21"/>
                <w:szCs w:val="21"/>
                <w:highlight w:val="none"/>
              </w:rPr>
              <w:t>）</w:t>
            </w:r>
            <w:r>
              <w:rPr>
                <w:rFonts w:hint="eastAsia" w:ascii="宋体" w:hAnsi="宋体" w:eastAsia="宋体" w:cs="宋体"/>
                <w:color w:val="auto"/>
                <w:spacing w:val="-3"/>
                <w:sz w:val="21"/>
                <w:szCs w:val="21"/>
                <w:highlight w:val="none"/>
              </w:rPr>
              <w:t xml:space="preserve">责令停产停业。民用航空行政处罚听证告知书应当由当事人或者当事人代表签字或者盖章。该告知书一式两份，一份送达当事人， </w:t>
            </w:r>
            <w:r>
              <w:rPr>
                <w:rFonts w:hint="eastAsia" w:ascii="宋体" w:hAnsi="宋体" w:eastAsia="宋体" w:cs="宋体"/>
                <w:color w:val="auto"/>
                <w:spacing w:val="-7"/>
                <w:sz w:val="21"/>
                <w:szCs w:val="21"/>
                <w:highlight w:val="none"/>
              </w:rPr>
              <w:t>一份归入民航行政机关案卷。 不属于本条第一</w:t>
            </w:r>
            <w:r>
              <w:rPr>
                <w:rFonts w:hint="eastAsia" w:ascii="宋体" w:hAnsi="宋体" w:eastAsia="宋体" w:cs="宋体"/>
                <w:color w:val="auto"/>
                <w:spacing w:val="-3"/>
                <w:sz w:val="21"/>
                <w:szCs w:val="21"/>
                <w:highlight w:val="none"/>
              </w:rPr>
              <w:t>款规定情形的，不组织听证，由法制职能部门提出行政处罚意见，报民航行政机关作出行政</w:t>
            </w:r>
            <w:r>
              <w:rPr>
                <w:rFonts w:hint="eastAsia" w:ascii="宋体" w:hAnsi="宋体" w:eastAsia="宋体" w:cs="宋体"/>
                <w:color w:val="auto"/>
                <w:sz w:val="21"/>
                <w:szCs w:val="21"/>
                <w:highlight w:val="none"/>
              </w:rPr>
              <w:t>处罚决定。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6" w:hRule="atLeast"/>
        </w:trPr>
        <w:tc>
          <w:tcPr>
            <w:tcW w:w="656"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1"/>
              <w:rPr>
                <w:rFonts w:hint="eastAsia" w:ascii="宋体" w:hAnsi="宋体" w:eastAsia="宋体" w:cs="宋体"/>
                <w:b/>
                <w:color w:val="auto"/>
                <w:sz w:val="21"/>
                <w:szCs w:val="21"/>
                <w:highlight w:val="none"/>
              </w:rPr>
            </w:pPr>
          </w:p>
          <w:p>
            <w:pPr>
              <w:pStyle w:val="94"/>
              <w:ind w:left="199" w:leftChars="0" w:right="187"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1" w:line="242" w:lineRule="auto"/>
              <w:ind w:left="294" w:leftChars="0" w:right="174" w:rightChars="0" w:hanging="1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国家邮政局</w:t>
            </w:r>
          </w:p>
        </w:tc>
        <w:tc>
          <w:tcPr>
            <w:tcW w:w="1455"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1" w:line="242" w:lineRule="auto"/>
              <w:ind w:left="149" w:leftChars="0" w:right="136"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《邮政行政处罚程序规定》</w:t>
            </w:r>
          </w:p>
        </w:tc>
        <w:tc>
          <w:tcPr>
            <w:tcW w:w="1350" w:type="dxa"/>
            <w:tcBorders>
              <w:top w:val="single" w:color="000000" w:sz="4" w:space="0"/>
              <w:left w:val="single" w:color="000000" w:sz="4" w:space="0"/>
              <w:bottom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1"/>
              <w:rPr>
                <w:rFonts w:hint="eastAsia" w:ascii="宋体" w:hAnsi="宋体" w:eastAsia="宋体" w:cs="宋体"/>
                <w:b/>
                <w:color w:val="auto"/>
                <w:sz w:val="21"/>
                <w:szCs w:val="21"/>
                <w:highlight w:val="none"/>
              </w:rPr>
            </w:pPr>
          </w:p>
          <w:p>
            <w:pPr>
              <w:pStyle w:val="94"/>
              <w:ind w:left="89" w:leftChars="0" w:right="78"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第四十二条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2" w:line="242" w:lineRule="auto"/>
              <w:ind w:left="108" w:right="143"/>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管理部门作出下列行政处罚之一的，当事人有要求举行听证的权利：（一）责令停产停业的；（二）吊销许可证的；（三）较大数额罚款的；本条第一款所称较大数额，是指对公民罚款五千元以上，对法人或者其他组织罚款超过法定最高罚款数额的百分之五十且在三万元以上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6" w:hRule="atLeast"/>
        </w:trPr>
        <w:tc>
          <w:tcPr>
            <w:tcW w:w="656" w:type="dxa"/>
            <w:tcBorders>
              <w:top w:val="single" w:color="000000" w:sz="4" w:space="0"/>
              <w:left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1"/>
              <w:ind w:left="199" w:leftChars="0" w:right="187"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1031" w:type="dxa"/>
            <w:tcBorders>
              <w:top w:val="single" w:color="000000" w:sz="4" w:space="0"/>
              <w:left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spacing w:before="9"/>
              <w:rPr>
                <w:rFonts w:hint="eastAsia" w:ascii="宋体" w:hAnsi="宋体" w:eastAsia="宋体" w:cs="宋体"/>
                <w:b/>
                <w:color w:val="auto"/>
                <w:sz w:val="21"/>
                <w:szCs w:val="21"/>
                <w:highlight w:val="none"/>
              </w:rPr>
            </w:pPr>
          </w:p>
          <w:p>
            <w:pPr>
              <w:pStyle w:val="94"/>
              <w:ind w:left="294" w:leftChars="0" w:right="174" w:rightChars="0" w:hanging="1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国家档案局</w:t>
            </w:r>
          </w:p>
        </w:tc>
        <w:tc>
          <w:tcPr>
            <w:tcW w:w="1455" w:type="dxa"/>
            <w:tcBorders>
              <w:top w:val="single" w:color="000000" w:sz="4" w:space="0"/>
              <w:left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spacing w:before="147" w:line="242" w:lineRule="auto"/>
              <w:ind w:left="149" w:leftChars="0" w:right="136" w:right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《档案行政处</w:t>
            </w:r>
            <w:r>
              <w:rPr>
                <w:rFonts w:hint="eastAsia" w:ascii="宋体" w:hAnsi="宋体" w:eastAsia="宋体" w:cs="宋体"/>
                <w:color w:val="auto"/>
                <w:spacing w:val="-2"/>
                <w:sz w:val="21"/>
                <w:szCs w:val="21"/>
                <w:highlight w:val="none"/>
              </w:rPr>
              <w:t>罚程序暂行 规定》</w:t>
            </w:r>
          </w:p>
        </w:tc>
        <w:tc>
          <w:tcPr>
            <w:tcW w:w="1350" w:type="dxa"/>
            <w:tcBorders>
              <w:top w:val="single" w:color="000000" w:sz="4" w:space="0"/>
              <w:left w:val="single" w:color="000000" w:sz="4" w:space="0"/>
              <w:right w:val="single" w:color="000000" w:sz="4" w:space="0"/>
            </w:tcBorders>
            <w:noWrap w:val="0"/>
            <w:vAlign w:val="top"/>
          </w:tcPr>
          <w:p>
            <w:pPr>
              <w:pStyle w:val="94"/>
              <w:rPr>
                <w:rFonts w:hint="eastAsia" w:ascii="宋体" w:hAnsi="宋体" w:eastAsia="宋体" w:cs="宋体"/>
                <w:b/>
                <w:color w:val="auto"/>
                <w:sz w:val="21"/>
                <w:szCs w:val="21"/>
                <w:highlight w:val="none"/>
              </w:rPr>
            </w:pPr>
          </w:p>
          <w:p>
            <w:pPr>
              <w:pStyle w:val="94"/>
              <w:rPr>
                <w:rFonts w:hint="eastAsia" w:ascii="宋体" w:hAnsi="宋体" w:eastAsia="宋体" w:cs="宋体"/>
                <w:b/>
                <w:color w:val="auto"/>
                <w:sz w:val="21"/>
                <w:szCs w:val="21"/>
                <w:highlight w:val="none"/>
              </w:rPr>
            </w:pPr>
          </w:p>
          <w:p>
            <w:pPr>
              <w:pStyle w:val="94"/>
              <w:spacing w:before="151"/>
              <w:ind w:left="89" w:leftChars="0" w:right="78"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第二十三条</w:t>
            </w:r>
          </w:p>
        </w:tc>
        <w:tc>
          <w:tcPr>
            <w:tcW w:w="3656" w:type="dxa"/>
            <w:tcBorders>
              <w:top w:val="single" w:color="000000" w:sz="4" w:space="0"/>
              <w:left w:val="single" w:color="000000" w:sz="4" w:space="0"/>
              <w:bottom w:val="single" w:color="000000" w:sz="4" w:space="0"/>
              <w:right w:val="single" w:color="000000" w:sz="4" w:space="0"/>
            </w:tcBorders>
            <w:noWrap w:val="0"/>
            <w:vAlign w:val="top"/>
          </w:tcPr>
          <w:p>
            <w:pPr>
              <w:pStyle w:val="94"/>
              <w:spacing w:before="1" w:line="242" w:lineRule="auto"/>
              <w:ind w:left="108" w:right="143"/>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档案行政管理部门作出对单位处以五万元以上罚款，对个人处以三千元以上罚款决定之前， 应当告知当事人有要求举行听证的权利；当事人要求听证的，应当在被告知后三日内提出，</w:t>
            </w:r>
          </w:p>
          <w:p>
            <w:pPr>
              <w:pStyle w:val="94"/>
              <w:spacing w:before="4" w:line="280" w:lineRule="atLeast"/>
              <w:ind w:left="108" w:leftChars="0" w:right="143"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档案行政管理部门应当组织听证。当事人不承担听证的费用。</w:t>
            </w:r>
          </w:p>
        </w:tc>
      </w:tr>
    </w:tbl>
    <w:p>
      <w:pPr>
        <w:spacing w:after="0" w:line="280" w:lineRule="atLeast"/>
        <w:rPr>
          <w:rFonts w:hint="eastAsia" w:ascii="宋体" w:hAnsi="宋体" w:eastAsia="宋体" w:cs="宋体"/>
          <w:color w:val="auto"/>
          <w:sz w:val="22"/>
          <w:highlight w:val="none"/>
        </w:rPr>
        <w:sectPr>
          <w:footerReference r:id="rId14" w:type="default"/>
          <w:pgSz w:w="11910" w:h="16840"/>
          <w:pgMar w:top="1440" w:right="1800" w:bottom="1440" w:left="1800" w:header="0" w:footer="865" w:gutter="0"/>
          <w:pgNumType w:fmt="decimal"/>
          <w:cols w:space="720" w:num="1"/>
        </w:sectPr>
      </w:pPr>
    </w:p>
    <w:p>
      <w:pPr>
        <w:outlineLvl w:val="1"/>
        <w:rPr>
          <w:rFonts w:hint="eastAsia" w:ascii="宋体" w:hAnsi="宋体" w:eastAsia="宋体" w:cs="宋体"/>
          <w:b/>
          <w:bCs/>
          <w:color w:val="auto"/>
          <w:sz w:val="24"/>
          <w:szCs w:val="24"/>
          <w:highlight w:val="none"/>
          <w:lang w:val="en-US" w:eastAsia="zh-CN" w:bidi="ar-SA"/>
        </w:rPr>
      </w:pPr>
      <w:bookmarkStart w:id="1745" w:name="_Toc9404"/>
      <w:r>
        <w:rPr>
          <w:rFonts w:hint="eastAsia" w:ascii="宋体" w:hAnsi="宋体" w:eastAsia="宋体" w:cs="宋体"/>
          <w:b/>
          <w:bCs/>
          <w:color w:val="auto"/>
          <w:sz w:val="24"/>
          <w:szCs w:val="24"/>
          <w:highlight w:val="none"/>
          <w:lang w:val="en-US" w:eastAsia="zh-CN" w:bidi="ar-SA"/>
        </w:rPr>
        <w:t>附件</w:t>
      </w:r>
      <w:r>
        <w:rPr>
          <w:rFonts w:hint="eastAsia"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eastAsia="zh-CN" w:bidi="ar-SA"/>
        </w:rPr>
        <w:t xml:space="preserve"> 政府采购云平台使用介绍</w:t>
      </w:r>
      <w:bookmarkEnd w:id="1745"/>
    </w:p>
    <w:p>
      <w:pP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1.输入网址：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 </w:instrText>
      </w:r>
      <w:r>
        <w:rPr>
          <w:rFonts w:hint="eastAsia" w:ascii="宋体" w:hAnsi="宋体" w:eastAsia="宋体" w:cs="宋体"/>
          <w:color w:val="auto"/>
          <w:highlight w:val="none"/>
        </w:rPr>
        <w:fldChar w:fldCharType="separate"/>
      </w:r>
      <w:r>
        <w:rPr>
          <w:rStyle w:val="43"/>
          <w:rFonts w:hint="eastAsia" w:ascii="宋体" w:hAnsi="宋体" w:eastAsia="宋体" w:cs="宋体"/>
          <w:b/>
          <w:bCs/>
          <w:color w:val="auto"/>
          <w:sz w:val="24"/>
          <w:szCs w:val="32"/>
          <w:highlight w:val="none"/>
        </w:rPr>
        <w:t>https://www.zcygov.cn</w:t>
      </w:r>
      <w:r>
        <w:rPr>
          <w:rFonts w:hint="eastAsia" w:ascii="宋体" w:hAnsi="宋体" w:eastAsia="宋体" w:cs="宋体"/>
          <w:b/>
          <w:bCs/>
          <w:color w:val="auto"/>
          <w:sz w:val="24"/>
          <w:szCs w:val="32"/>
          <w:highlight w:val="none"/>
        </w:rPr>
        <w:fldChar w:fldCharType="end"/>
      </w:r>
    </w:p>
    <w:p>
      <w:pP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2.选择与项目对应的行政区域如：四川省-成都市-成都市本级</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691630" cy="4184650"/>
            <wp:effectExtent l="0" t="0" r="13970" b="635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7"/>
                    <a:stretch>
                      <a:fillRect/>
                    </a:stretch>
                  </pic:blipFill>
                  <pic:spPr>
                    <a:xfrm>
                      <a:off x="0" y="0"/>
                      <a:ext cx="6691630" cy="4184650"/>
                    </a:xfrm>
                    <a:prstGeom prst="rect">
                      <a:avLst/>
                    </a:prstGeom>
                    <a:noFill/>
                    <a:ln>
                      <a:noFill/>
                    </a:ln>
                  </pic:spPr>
                </pic:pic>
              </a:graphicData>
            </a:graphic>
          </wp:inline>
        </w:drawing>
      </w:r>
    </w:p>
    <w:p>
      <w:pPr>
        <w:numPr>
          <w:ilvl w:val="0"/>
          <w:numId w:val="6"/>
        </w:numP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点击操作指南-供应商</w:t>
      </w:r>
    </w:p>
    <w:p>
      <w:pPr>
        <w:rPr>
          <w:rFonts w:hint="eastAsia" w:ascii="宋体" w:hAnsi="宋体" w:eastAsia="宋体" w:cs="宋体"/>
          <w:b/>
          <w:bCs/>
          <w:color w:val="auto"/>
          <w:highlight w:val="none"/>
        </w:rPr>
      </w:pPr>
      <w:r>
        <w:rPr>
          <w:rFonts w:hint="eastAsia" w:ascii="宋体" w:hAnsi="宋体" w:eastAsia="宋体" w:cs="宋体"/>
          <w:color w:val="auto"/>
          <w:highlight w:val="none"/>
        </w:rPr>
        <w:drawing>
          <wp:inline distT="0" distB="0" distL="114300" distR="114300">
            <wp:extent cx="8854440" cy="4585335"/>
            <wp:effectExtent l="0" t="0" r="0" b="190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8"/>
                    <a:stretch>
                      <a:fillRect/>
                    </a:stretch>
                  </pic:blipFill>
                  <pic:spPr>
                    <a:xfrm>
                      <a:off x="0" y="0"/>
                      <a:ext cx="8854440" cy="4585335"/>
                    </a:xfrm>
                    <a:prstGeom prst="rect">
                      <a:avLst/>
                    </a:prstGeom>
                    <a:noFill/>
                    <a:ln>
                      <a:noFill/>
                    </a:ln>
                  </pic:spPr>
                </pic:pic>
              </a:graphicData>
            </a:graphic>
          </wp:inline>
        </w:drawing>
      </w:r>
      <w:r>
        <w:rPr>
          <w:rFonts w:hint="eastAsia" w:ascii="宋体" w:hAnsi="宋体" w:eastAsia="宋体" w:cs="宋体"/>
          <w:color w:val="auto"/>
          <w:highlight w:val="none"/>
        </w:rPr>
        <w:br w:type="page"/>
      </w:r>
      <w:r>
        <w:rPr>
          <w:rFonts w:hint="eastAsia" w:ascii="宋体" w:hAnsi="宋体" w:eastAsia="宋体" w:cs="宋体"/>
          <w:b/>
          <w:bCs/>
          <w:color w:val="auto"/>
          <w:sz w:val="24"/>
          <w:szCs w:val="32"/>
          <w:highlight w:val="none"/>
        </w:rPr>
        <w:t>4.进入政采云供应商学习专题页面</w:t>
      </w:r>
      <w:r>
        <w:rPr>
          <w:rFonts w:hint="eastAsia" w:ascii="宋体" w:hAnsi="宋体" w:eastAsia="宋体" w:cs="宋体"/>
          <w:b/>
          <w:bCs/>
          <w:color w:val="auto"/>
          <w:highlight w:val="none"/>
        </w:rPr>
        <w:t>（https://edu.zcygov.cn/luban/xxzt-chengdu-gys?utm=a0017.b1347.cl50.5.0917bc90b7bb11eb807c353645758db6）</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7113270" cy="3540125"/>
            <wp:effectExtent l="0" t="0" r="3810" b="1079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9"/>
                    <a:stretch>
                      <a:fillRect/>
                    </a:stretch>
                  </pic:blipFill>
                  <pic:spPr>
                    <a:xfrm>
                      <a:off x="0" y="0"/>
                      <a:ext cx="7113270" cy="3540125"/>
                    </a:xfrm>
                    <a:prstGeom prst="rect">
                      <a:avLst/>
                    </a:prstGeom>
                    <a:noFill/>
                    <a:ln>
                      <a:noFill/>
                    </a:ln>
                  </pic:spPr>
                </pic:pic>
              </a:graphicData>
            </a:graphic>
          </wp:inline>
        </w:drawing>
      </w:r>
    </w:p>
    <w:p>
      <w:pPr>
        <w:rPr>
          <w:rFonts w:hint="eastAsia" w:ascii="宋体" w:hAnsi="宋体" w:eastAsia="宋体" w:cs="宋体"/>
          <w:b/>
          <w:bCs/>
          <w:color w:val="auto"/>
          <w:sz w:val="24"/>
          <w:szCs w:val="32"/>
          <w:highlight w:val="none"/>
        </w:rPr>
      </w:pPr>
      <w:r>
        <w:rPr>
          <w:rFonts w:hint="eastAsia" w:ascii="宋体" w:hAnsi="宋体" w:eastAsia="宋体" w:cs="宋体"/>
          <w:color w:val="auto"/>
          <w:highlight w:val="none"/>
        </w:rPr>
        <w:br w:type="page"/>
      </w:r>
      <w:r>
        <w:rPr>
          <w:rFonts w:hint="eastAsia" w:ascii="宋体" w:hAnsi="宋体" w:eastAsia="宋体" w:cs="宋体"/>
          <w:b/>
          <w:bCs/>
          <w:color w:val="auto"/>
          <w:sz w:val="24"/>
          <w:szCs w:val="32"/>
          <w:highlight w:val="none"/>
        </w:rPr>
        <w:t>5.供应商资讯服务渠道</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9380855" cy="3362960"/>
            <wp:effectExtent l="0" t="0" r="6985" b="508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0"/>
                    <a:stretch>
                      <a:fillRect/>
                    </a:stretch>
                  </pic:blipFill>
                  <pic:spPr>
                    <a:xfrm>
                      <a:off x="0" y="0"/>
                      <a:ext cx="9380855" cy="3362960"/>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b/>
          <w:bCs/>
          <w:color w:val="auto"/>
          <w:sz w:val="24"/>
          <w:szCs w:val="32"/>
          <w:highlight w:val="none"/>
        </w:rPr>
        <w:t>6.入驻政府采购云平台（注册）</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853805" cy="3604895"/>
            <wp:effectExtent l="0" t="0" r="635" b="698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41"/>
                    <a:stretch>
                      <a:fillRect/>
                    </a:stretch>
                  </pic:blipFill>
                  <pic:spPr>
                    <a:xfrm>
                      <a:off x="0" y="0"/>
                      <a:ext cx="8853805" cy="3604895"/>
                    </a:xfrm>
                    <a:prstGeom prst="rect">
                      <a:avLst/>
                    </a:prstGeom>
                    <a:noFill/>
                    <a:ln>
                      <a:noFill/>
                    </a:ln>
                  </pic:spPr>
                </pic:pic>
              </a:graphicData>
            </a:graphic>
          </wp:inline>
        </w:drawing>
      </w:r>
    </w:p>
    <w:p>
      <w:pPr>
        <w:numPr>
          <w:ilvl w:val="0"/>
          <w:numId w:val="7"/>
        </w:numPr>
        <w:rPr>
          <w:rFonts w:hint="eastAsia" w:ascii="宋体" w:hAnsi="宋体" w:eastAsia="宋体" w:cs="宋体"/>
          <w:b/>
          <w:bCs/>
          <w:color w:val="auto"/>
          <w:sz w:val="24"/>
          <w:szCs w:val="32"/>
          <w:highlight w:val="none"/>
        </w:rPr>
      </w:pPr>
      <w:r>
        <w:rPr>
          <w:rFonts w:hint="eastAsia" w:ascii="宋体" w:hAnsi="宋体" w:eastAsia="宋体" w:cs="宋体"/>
          <w:color w:val="auto"/>
          <w:highlight w:val="none"/>
        </w:rPr>
        <w:br w:type="page"/>
      </w:r>
      <w:r>
        <w:rPr>
          <w:rFonts w:hint="eastAsia" w:ascii="宋体" w:hAnsi="宋体" w:eastAsia="宋体" w:cs="宋体"/>
          <w:b/>
          <w:bCs/>
          <w:color w:val="auto"/>
          <w:sz w:val="24"/>
          <w:szCs w:val="32"/>
          <w:highlight w:val="none"/>
        </w:rPr>
        <w:t>下载《供应商政府采购项目电子交易操作指南》</w:t>
      </w:r>
    </w:p>
    <w:p>
      <w:pPr>
        <w:pStyle w:val="9"/>
        <w:numPr>
          <w:ilvl w:val="0"/>
          <w:numId w:val="0"/>
        </w:num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7495540" cy="4152900"/>
            <wp:effectExtent l="0" t="0" r="2540" b="7620"/>
            <wp:docPr id="3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6"/>
                    <pic:cNvPicPr>
                      <a:picLocks noChangeAspect="1"/>
                    </pic:cNvPicPr>
                  </pic:nvPicPr>
                  <pic:blipFill>
                    <a:blip r:embed="rId42"/>
                    <a:stretch>
                      <a:fillRect/>
                    </a:stretch>
                  </pic:blipFill>
                  <pic:spPr>
                    <a:xfrm>
                      <a:off x="0" y="0"/>
                      <a:ext cx="7495540" cy="4152900"/>
                    </a:xfrm>
                    <a:prstGeom prst="rect">
                      <a:avLst/>
                    </a:prstGeom>
                    <a:noFill/>
                    <a:ln>
                      <a:noFill/>
                    </a:ln>
                  </pic:spPr>
                </pic:pic>
              </a:graphicData>
            </a:graphic>
          </wp:inline>
        </w:drawing>
      </w:r>
    </w:p>
    <w:p>
      <w:pPr>
        <w:pStyle w:val="9"/>
        <w:rPr>
          <w:rFonts w:hint="eastAsia" w:ascii="宋体" w:hAnsi="宋体" w:eastAsia="宋体" w:cs="宋体"/>
          <w:color w:val="auto"/>
          <w:highlight w:val="none"/>
        </w:rPr>
        <w:sectPr>
          <w:footerReference r:id="rId15" w:type="default"/>
          <w:pgSz w:w="16783" w:h="11850" w:orient="landscape"/>
          <w:pgMar w:top="1440" w:right="1800" w:bottom="1440" w:left="1800" w:header="0" w:footer="964" w:gutter="0"/>
          <w:pgNumType w:fmt="decimal"/>
          <w:cols w:space="720" w:num="1"/>
          <w:docGrid w:type="lines" w:linePitch="488" w:charSpace="0"/>
        </w:sectPr>
      </w:pPr>
    </w:p>
    <w:p>
      <w:pPr>
        <w:pStyle w:val="9"/>
        <w:rPr>
          <w:rFonts w:hint="eastAsia" w:ascii="宋体" w:hAnsi="宋体" w:eastAsia="宋体" w:cs="宋体"/>
          <w:color w:val="auto"/>
          <w:highlight w:val="none"/>
        </w:rPr>
      </w:pPr>
    </w:p>
    <w:p>
      <w:pPr>
        <w:pStyle w:val="20"/>
        <w:ind w:left="0" w:leftChars="0" w:firstLine="0" w:firstLineChars="0"/>
        <w:rPr>
          <w:rFonts w:hint="eastAsia" w:ascii="宋体" w:hAnsi="宋体" w:eastAsia="宋体" w:cs="宋体"/>
          <w:color w:val="auto"/>
          <w:sz w:val="24"/>
          <w:highlight w:val="none"/>
          <w:lang w:val="en-US" w:eastAsia="zh-CN"/>
        </w:rPr>
      </w:pPr>
    </w:p>
    <w:sectPr>
      <w:pgSz w:w="11850" w:h="16783"/>
      <w:pgMar w:top="1440" w:right="1800" w:bottom="1440" w:left="1800" w:header="0" w:footer="964" w:gutter="0"/>
      <w:pgNumType w:fmt="decimal"/>
      <w:cols w:space="720" w:num="1"/>
      <w:docGrid w:type="lines" w:linePitch="48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508"/>
      </w:tabs>
      <w:spacing w:line="360" w:lineRule="auto"/>
      <w:rPr>
        <w:lang w:val="en-US"/>
      </w:rPr>
    </w:pPr>
    <w:r>
      <w:rPr>
        <w:sz w:val="3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IIx2MXo&#10;AQAAygMAAA4AAAAAAAAAAQAgAAAAIgEAAGRycy9lMm9Eb2MueG1sUEsFBgAAAAAGAAYAWQEAAHwF&#10;AAAAAA==&#10;">
              <v:fill on="f" focussize="0,0"/>
              <v:stroke on="f" weight="1.25pt"/>
              <v:imagedata o:title=""/>
              <o:lock v:ext="edit" aspectratio="f"/>
              <v:textbox inset="0mm,0mm,0mm,0mm" style="mso-fit-shape-to-text:t;">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r>
      <w:rPr>
        <w:rFonts w:hint="eastAsia"/>
        <w:lang w:val="en-US" w:eastAsia="zh-CN"/>
      </w:rPr>
      <w:drawing>
        <wp:inline distT="0" distB="0" distL="114300" distR="114300">
          <wp:extent cx="5267960" cy="303530"/>
          <wp:effectExtent l="0" t="0" r="5080" b="1270"/>
          <wp:docPr id="47" name="图片 8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1" descr="111"/>
                  <pic:cNvPicPr>
                    <a:picLocks noChangeAspect="1"/>
                  </pic:cNvPicPr>
                </pic:nvPicPr>
                <pic:blipFill>
                  <a:blip r:embed="rId1"/>
                  <a:stretch>
                    <a:fillRect/>
                  </a:stretch>
                </pic:blipFill>
                <pic:spPr>
                  <a:xfrm>
                    <a:off x="0" y="0"/>
                    <a:ext cx="5267960" cy="303530"/>
                  </a:xfrm>
                  <a:prstGeom prst="rect">
                    <a:avLst/>
                  </a:prstGeom>
                  <a:noFill/>
                  <a:ln>
                    <a:noFill/>
                  </a:ln>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115</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RjQUbo&#10;AQAAygMAAA4AAAAAAAAAAQAgAAAAIgEAAGRycy9lMm9Eb2MueG1sUEsFBgAAAAAGAAYAWQEAAHwF&#10;AAAAAA==&#10;">
              <v:fill on="f" focussize="0,0"/>
              <v:stroke on="f" weight="1.25pt"/>
              <v:imagedata o:title=""/>
              <o:lock v:ext="edit" aspectratio="f"/>
              <v:textbox inset="0mm,0mm,0mm,0mm" style="mso-fit-shape-to-text:t;">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115</w:t>
                    </w:r>
                    <w:r>
                      <w:rPr>
                        <w:rFonts w:hint="eastAsia"/>
                        <w:lang w:eastAsia="zh-CN"/>
                      </w:rPr>
                      <w:fldChar w:fldCharType="end"/>
                    </w:r>
                  </w:p>
                </w:txbxContent>
              </v:textbox>
            </v:shape>
          </w:pict>
        </mc:Fallback>
      </mc:AlternateContent>
    </w:r>
    <w:r>
      <w:rPr>
        <w:rFonts w:hint="eastAsia"/>
        <w:lang w:val="en-US" w:eastAsia="zh-CN"/>
      </w:rPr>
      <w:drawing>
        <wp:inline distT="0" distB="0" distL="114300" distR="114300">
          <wp:extent cx="5252720" cy="302895"/>
          <wp:effectExtent l="0" t="0" r="5080" b="1905"/>
          <wp:docPr id="57" name="图片 4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 descr="111"/>
                  <pic:cNvPicPr>
                    <a:picLocks noChangeAspect="1"/>
                  </pic:cNvPicPr>
                </pic:nvPicPr>
                <pic:blipFill>
                  <a:blip r:embed="rId1"/>
                  <a:stretch>
                    <a:fillRect/>
                  </a:stretch>
                </pic:blipFill>
                <pic:spPr>
                  <a:xfrm>
                    <a:off x="0" y="0"/>
                    <a:ext cx="5252720" cy="30289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rFonts w:hint="eastAsia"/>
        <w:lang w:val="en-US" w:eastAsia="zh-CN"/>
      </w:rPr>
      <w:drawing>
        <wp:inline distT="0" distB="0" distL="114300" distR="114300">
          <wp:extent cx="5236210" cy="301625"/>
          <wp:effectExtent l="0" t="0" r="6350" b="3175"/>
          <wp:docPr id="49" name="图片 8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8" descr="111"/>
                  <pic:cNvPicPr>
                    <a:picLocks noChangeAspect="1"/>
                  </pic:cNvPicPr>
                </pic:nvPicPr>
                <pic:blipFill>
                  <a:blip r:embed="rId1"/>
                  <a:stretch>
                    <a:fillRect/>
                  </a:stretch>
                </pic:blipFill>
                <pic:spPr>
                  <a:xfrm>
                    <a:off x="0" y="0"/>
                    <a:ext cx="5236210" cy="301625"/>
                  </a:xfrm>
                  <a:prstGeom prst="rect">
                    <a:avLst/>
                  </a:prstGeom>
                  <a:noFill/>
                  <a:ln>
                    <a:noFill/>
                  </a:ln>
                </pic:spPr>
              </pic:pic>
            </a:graphicData>
          </a:graphic>
        </wp:inline>
      </w:drawing>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B/u+2x&#10;6QEAAMoDAAAOAAAAAAAAAAEAIAAAACIBAABkcnMvZTJvRG9jLnhtbFBLBQYAAAAABgAGAFkBAAB9&#10;BQAAAAA=&#10;">
              <v:fill on="f" focussize="0,0"/>
              <v:stroke on="f" weight="1.25pt"/>
              <v:imagedata o:title=""/>
              <o:lock v:ext="edit" aspectratio="f"/>
              <v:textbox inset="0mm,0mm,0mm,0mm" style="mso-fit-shape-to-text:t;">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508"/>
      </w:tabs>
      <w:spacing w:line="360" w:lineRule="auto"/>
      <w:rPr>
        <w:lang w:val="en-US"/>
      </w:rPr>
    </w:pPr>
    <w:r>
      <w:rPr>
        <w:sz w:val="3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cW7OB&#10;6QEAAMoDAAAOAAAAAAAAAAEAIAAAACIBAABkcnMvZTJvRG9jLnhtbFBLBQYAAAAABgAGAFkBAAB9&#10;BQAAAAA=&#10;">
              <v:fill on="f" focussize="0,0"/>
              <v:stroke on="f" weight="1.25pt"/>
              <v:imagedata o:title=""/>
              <o:lock v:ext="edit" aspectratio="f"/>
              <v:textbox inset="0mm,0mm,0mm,0mm" style="mso-fit-shape-to-text:t;">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p>
                </w:txbxContent>
              </v:textbox>
            </v:shape>
          </w:pict>
        </mc:Fallback>
      </mc:AlternateContent>
    </w:r>
    <w:r>
      <w:rPr>
        <w:rFonts w:hint="eastAsia"/>
        <w:lang w:val="en-US" w:eastAsia="zh-CN"/>
      </w:rPr>
      <w:drawing>
        <wp:inline distT="0" distB="0" distL="114300" distR="114300">
          <wp:extent cx="5252720" cy="302895"/>
          <wp:effectExtent l="0" t="0" r="5080" b="1905"/>
          <wp:docPr id="51" name="图片 2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 descr="111"/>
                  <pic:cNvPicPr>
                    <a:picLocks noChangeAspect="1"/>
                  </pic:cNvPicPr>
                </pic:nvPicPr>
                <pic:blipFill>
                  <a:blip r:embed="rId1"/>
                  <a:stretch>
                    <a:fillRect/>
                  </a:stretch>
                </pic:blipFill>
                <pic:spPr>
                  <a:xfrm>
                    <a:off x="0" y="0"/>
                    <a:ext cx="5252720" cy="302895"/>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rPr>
        <w:rFonts w:hint="eastAsia"/>
        <w:u w:val="none"/>
        <w:lang w:val="en-US" w:eastAsia="zh-CN"/>
      </w:rPr>
      <w:t xml:space="preserve">    </w:t>
    </w:r>
    <w:r>
      <w:rPr>
        <w:rFonts w:hint="eastAsia"/>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w:rPr>
        <w:sz w:val="3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wps:txbx>
                    <wps:bodyPr wrap="none" lIns="0" tIns="0" rIns="0" bIns="0" upright="0">
                      <a:spAutoFit/>
                    </wps:bodyPr>
                  </wps:wsp>
                </a:graphicData>
              </a:graphic>
            </wp:anchor>
          </w:drawing>
        </mc:Choice>
        <mc:Fallback>
          <w:pict>
            <v:shape id="文本框 3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C7SuKg1AEAAKUDAAAOAAAAAAAAAAEAIAAA&#10;ACIBAABkcnMvZTJvRG9jLnhtbFBLBQYAAAAABgAGAFkBAABoBQAAAAA=&#10;">
              <v:fill on="f" focussize="0,0"/>
              <v:stroke on="f" weight="1.25pt"/>
              <v:imagedata o:title=""/>
              <o:lock v:ext="edit" aspectratio="f"/>
              <v:textbox inset="0mm,0mm,0mm,0mm" style="mso-fit-shape-to-text:t;">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v:textbox>
            </v:shape>
          </w:pict>
        </mc:Fallback>
      </mc:AlternateContent>
    </w:r>
    <w:r>
      <w:rPr>
        <w:rFonts w:hint="eastAsia"/>
        <w:lang w:val="en-US" w:eastAsia="zh-CN"/>
      </w:rPr>
      <w:drawing>
        <wp:inline distT="0" distB="0" distL="114300" distR="114300">
          <wp:extent cx="5252720" cy="302895"/>
          <wp:effectExtent l="0" t="0" r="5080" b="1905"/>
          <wp:docPr id="52" name="图片 9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0" descr="111"/>
                  <pic:cNvPicPr>
                    <a:picLocks noChangeAspect="1"/>
                  </pic:cNvPicPr>
                </pic:nvPicPr>
                <pic:blipFill>
                  <a:blip r:embed="rId1"/>
                  <a:stretch>
                    <a:fillRect/>
                  </a:stretch>
                </pic:blipFill>
                <pic:spPr>
                  <a:xfrm>
                    <a:off x="0" y="0"/>
                    <a:ext cx="5252720" cy="302895"/>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wps:txbx>
                    <wps:bodyPr wrap="none" lIns="0" tIns="0" rIns="0" bIns="0" upright="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CvdZGH1AEAAKUDAAAOAAAAAAAAAAEAIAAA&#10;ACIBAABkcnMvZTJvRG9jLnhtbFBLBQYAAAAABgAGAFkBAABoBQAAAAA=&#10;">
              <v:fill on="f" focussize="0,0"/>
              <v:stroke on="f" weight="1.25pt"/>
              <v:imagedata o:title=""/>
              <o:lock v:ext="edit" aspectratio="f"/>
              <v:textbox inset="0mm,0mm,0mm,0mm" style="mso-fit-shape-to-text:t;">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v:textbox>
            </v:shape>
          </w:pict>
        </mc:Fallback>
      </mc:AlternateContent>
    </w:r>
    <w:r>
      <w:rPr>
        <w:rFonts w:hint="eastAsia"/>
        <w:lang w:val="en-US" w:eastAsia="zh-CN"/>
      </w:rPr>
      <w:drawing>
        <wp:inline distT="0" distB="0" distL="114300" distR="114300">
          <wp:extent cx="5252720" cy="302895"/>
          <wp:effectExtent l="0" t="0" r="5080" b="1905"/>
          <wp:docPr id="53" name="图片 8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9" descr="111"/>
                  <pic:cNvPicPr>
                    <a:picLocks noChangeAspect="1"/>
                  </pic:cNvPicPr>
                </pic:nvPicPr>
                <pic:blipFill>
                  <a:blip r:embed="rId1"/>
                  <a:stretch>
                    <a:fillRect/>
                  </a:stretch>
                </pic:blipFill>
                <pic:spPr>
                  <a:xfrm>
                    <a:off x="0" y="0"/>
                    <a:ext cx="5252720" cy="302895"/>
                  </a:xfrm>
                  <a:prstGeom prst="rect">
                    <a:avLst/>
                  </a:prstGeom>
                  <a:noFill/>
                  <a:ln>
                    <a:noFill/>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fUdhC&#10;6QEAAMoDAAAOAAAAAAAAAAEAIAAAACIBAABkcnMvZTJvRG9jLnhtbFBLBQYAAAAABgAGAFkBAAB9&#10;BQAAAAA=&#10;">
              <v:fill on="f" focussize="0,0"/>
              <v:stroke on="f" weight="1.25pt"/>
              <v:imagedata o:title=""/>
              <o:lock v:ext="edit" aspectratio="f"/>
              <v:textbox inset="0mm,0mm,0mm,0mm" style="mso-fit-shape-to-text:t;">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p>
                </w:txbxContent>
              </v:textbox>
            </v:shape>
          </w:pict>
        </mc:Fallback>
      </mc:AlternateContent>
    </w:r>
    <w:r>
      <w:rPr>
        <w:rFonts w:hint="eastAsia"/>
        <w:lang w:val="en-US" w:eastAsia="zh-CN"/>
      </w:rPr>
      <w:drawing>
        <wp:inline distT="0" distB="0" distL="114300" distR="114300">
          <wp:extent cx="5252720" cy="302895"/>
          <wp:effectExtent l="0" t="0" r="5080" b="1905"/>
          <wp:docPr id="54" name="图片 3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descr="111"/>
                  <pic:cNvPicPr>
                    <a:picLocks noChangeAspect="1"/>
                  </pic:cNvPicPr>
                </pic:nvPicPr>
                <pic:blipFill>
                  <a:blip r:embed="rId1"/>
                  <a:stretch>
                    <a:fillRect/>
                  </a:stretch>
                </pic:blipFill>
                <pic:spPr>
                  <a:xfrm>
                    <a:off x="0" y="0"/>
                    <a:ext cx="5252720" cy="302895"/>
                  </a:xfrm>
                  <a:prstGeom prst="rect">
                    <a:avLst/>
                  </a:prstGeom>
                  <a:noFill/>
                  <a:ln>
                    <a:noFill/>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w:rPr>
        <w:sz w:val="3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AOEfGLo&#10;AQAAygMAAA4AAAAAAAAAAQAgAAAAIgEAAGRycy9lMm9Eb2MueG1sUEsFBgAAAAAGAAYAWQEAAHwF&#10;AAAAAA==&#10;">
              <v:fill on="f" focussize="0,0"/>
              <v:stroke on="f" weight="1.25pt"/>
              <v:imagedata o:title=""/>
              <o:lock v:ext="edit" aspectratio="f"/>
              <v:textbox inset="0mm,0mm,0mm,0mm" style="mso-fit-shape-to-text:t;">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v:textbox>
            </v:shape>
          </w:pict>
        </mc:Fallback>
      </mc:AlternateContent>
    </w:r>
    <w:r>
      <w:rPr>
        <w:rFonts w:hint="eastAsia"/>
        <w:lang w:val="en-US" w:eastAsia="zh-CN"/>
      </w:rPr>
      <w:drawing>
        <wp:inline distT="0" distB="0" distL="114300" distR="114300">
          <wp:extent cx="5252720" cy="302895"/>
          <wp:effectExtent l="0" t="0" r="5080" b="1905"/>
          <wp:docPr id="55" name="图片 3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9" descr="111"/>
                  <pic:cNvPicPr>
                    <a:picLocks noChangeAspect="1"/>
                  </pic:cNvPicPr>
                </pic:nvPicPr>
                <pic:blipFill>
                  <a:blip r:embed="rId1"/>
                  <a:stretch>
                    <a:fillRect/>
                  </a:stretch>
                </pic:blipFill>
                <pic:spPr>
                  <a:xfrm>
                    <a:off x="0" y="0"/>
                    <a:ext cx="5252720" cy="302895"/>
                  </a:xfrm>
                  <a:prstGeom prst="rect">
                    <a:avLst/>
                  </a:prstGeom>
                  <a:noFill/>
                  <a:ln>
                    <a:noFill/>
                  </a:ln>
                </pic:spPr>
              </pic:pic>
            </a:graphicData>
          </a:graphic>
        </wp:inline>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w:rPr>
        <w:sz w:val="3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F29MS&#10;6QEAAMoDAAAOAAAAAAAAAAEAIAAAACIBAABkcnMvZTJvRG9jLnhtbFBLBQYAAAAABgAGAFkBAAB9&#10;BQAAAAA=&#10;">
              <v:fill on="f" focussize="0,0"/>
              <v:stroke on="f" weight="1.25pt"/>
              <v:imagedata o:title=""/>
              <o:lock v:ext="edit" aspectratio="f"/>
              <v:textbox inset="0mm,0mm,0mm,0mm" style="mso-fit-shape-to-text:t;">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61</w:t>
                    </w:r>
                    <w:r>
                      <w:rPr>
                        <w:rFonts w:hint="eastAsia"/>
                        <w:lang w:eastAsia="zh-CN"/>
                      </w:rPr>
                      <w:fldChar w:fldCharType="end"/>
                    </w:r>
                  </w:p>
                </w:txbxContent>
              </v:textbox>
            </v:shape>
          </w:pict>
        </mc:Fallback>
      </mc:AlternateContent>
    </w:r>
    <w:r>
      <w:rPr>
        <w:rFonts w:hint="eastAsia"/>
        <w:lang w:val="en-US" w:eastAsia="zh-CN"/>
      </w:rPr>
      <w:drawing>
        <wp:inline distT="0" distB="0" distL="114300" distR="114300">
          <wp:extent cx="5252720" cy="302895"/>
          <wp:effectExtent l="0" t="0" r="5080" b="1905"/>
          <wp:docPr id="56" name="图片 4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0" descr="111"/>
                  <pic:cNvPicPr>
                    <a:picLocks noChangeAspect="1"/>
                  </pic:cNvPicPr>
                </pic:nvPicPr>
                <pic:blipFill>
                  <a:blip r:embed="rId1"/>
                  <a:stretch>
                    <a:fillRect/>
                  </a:stretch>
                </pic:blipFill>
                <pic:spPr>
                  <a:xfrm>
                    <a:off x="0" y="0"/>
                    <a:ext cx="5252720" cy="302895"/>
                  </a:xfrm>
                  <a:prstGeom prst="rect">
                    <a:avLst/>
                  </a:prstGeom>
                  <a:noFill/>
                  <a:ln>
                    <a:noFill/>
                  </a:ln>
                </pic:spPr>
              </pic:pic>
            </a:graphicData>
          </a:graphic>
        </wp:inline>
      </w:drawing>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ge">
                <wp:posOffset>9932670</wp:posOffset>
              </wp:positionV>
              <wp:extent cx="167005" cy="139700"/>
              <wp:effectExtent l="0" t="0" r="0" b="0"/>
              <wp:wrapNone/>
              <wp:docPr id="35" name="文本框 4"/>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line="203" w:lineRule="exact"/>
                            <w:ind w:left="40"/>
                            <w:jc w:val="left"/>
                            <w:rPr>
                              <w:rFonts w:ascii="Calibri"/>
                              <w:sz w:val="18"/>
                            </w:rPr>
                          </w:pPr>
                        </w:p>
                      </w:txbxContent>
                    </wps:txbx>
                    <wps:bodyPr wrap="square" lIns="0" tIns="0" rIns="0" bIns="0" upright="1"/>
                  </wps:wsp>
                </a:graphicData>
              </a:graphic>
            </wp:anchor>
          </w:drawing>
        </mc:Choice>
        <mc:Fallback>
          <w:pict>
            <v:shape id="文本框 4" o:spid="_x0000_s1026" o:spt="202" type="#_x0000_t202" style="position:absolute;left:0pt;margin-top:782.1pt;height:11pt;width:13.15pt;mso-position-horizontal:center;mso-position-horizontal-relative:margin;mso-position-vertical-relative:page;z-index:251659264;mso-width-relative:page;mso-height-relative:page;" filled="f" stroked="f" coordsize="21600,21600" o:gfxdata="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pYumq1wAAAAkBAAAPAAAAAAAAAAEAIAAAACIAAABkcnMvZG93bnJldi54&#10;bWxQSwECFAAUAAAACACHTuJA/2m+NcIBAACAAwAADgAAAAAAAAABACAAAAAmAQAAZHJzL2Uyb0Rv&#10;Yy54bWxQSwUGAAAAAAYABgBZAQAAWgUAAAAA&#10;">
              <v:fill on="f" focussize="0,0"/>
              <v:stroke on="f"/>
              <v:imagedata o:title=""/>
              <o:lock v:ext="edit" aspectratio="f"/>
              <v:textbox inset="0mm,0mm,0mm,0mm">
                <w:txbxContent>
                  <w:p>
                    <w:pPr>
                      <w:spacing w:line="203" w:lineRule="exact"/>
                      <w:ind w:left="40"/>
                      <w:jc w:val="left"/>
                      <w:rPr>
                        <w:rFonts w:ascii="Calibri"/>
                        <w:sz w:val="18"/>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KbuYw&#10;6QEAAMoDAAAOAAAAAAAAAAEAIAAAACIBAABkcnMvZTJvRG9jLnhtbFBLBQYAAAAABgAGAFkBAAB9&#10;BQAAAAA=&#10;">
              <v:fill on="f" focussize="0,0"/>
              <v:stroke on="f" weight="1.25pt"/>
              <v:imagedata o:title=""/>
              <o:lock v:ext="edit" aspectratio="f"/>
              <v:textbox inset="0mm,0mm,0mm,0mm" style="mso-fit-shape-to-text:t;">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tabs>
        <w:tab w:val="clear" w:pos="4153"/>
      </w:tabs>
      <w:jc w:val="both"/>
      <w:rPr>
        <w:rFonts w:hint="eastAsia" w:eastAsia="宋体"/>
        <w:lang w:eastAsia="zh-CN"/>
      </w:rPr>
    </w:pPr>
    <w:r>
      <w:rPr>
        <w:rFonts w:hint="eastAsia" w:eastAsia="宋体"/>
        <w:u w:val="double"/>
        <w:lang w:eastAsia="zh-CN"/>
      </w:rPr>
      <w:drawing>
        <wp:inline distT="0" distB="0" distL="114300" distR="114300">
          <wp:extent cx="5240655" cy="279400"/>
          <wp:effectExtent l="0" t="0" r="1905" b="10160"/>
          <wp:docPr id="46" name="图片 87" descr="重德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7" descr="重德公司"/>
                  <pic:cNvPicPr>
                    <a:picLocks noChangeAspect="1"/>
                  </pic:cNvPicPr>
                </pic:nvPicPr>
                <pic:blipFill>
                  <a:blip r:embed="rId1"/>
                  <a:stretch>
                    <a:fillRect/>
                  </a:stretch>
                </pic:blipFill>
                <pic:spPr>
                  <a:xfrm>
                    <a:off x="0" y="0"/>
                    <a:ext cx="5240655" cy="279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jc w:val="both"/>
      <w:rPr>
        <w:rFonts w:hint="eastAsia" w:eastAsia="宋体"/>
        <w:u w:val="thick"/>
        <w:lang w:eastAsia="zh-CN"/>
      </w:rPr>
    </w:pPr>
    <w:r>
      <w:rPr>
        <w:rFonts w:hint="eastAsia" w:eastAsia="宋体"/>
        <w:u w:val="double"/>
        <w:lang w:eastAsia="zh-CN"/>
      </w:rPr>
      <w:drawing>
        <wp:inline distT="0" distB="0" distL="114300" distR="114300">
          <wp:extent cx="5267325" cy="283845"/>
          <wp:effectExtent l="0" t="0" r="5715" b="5715"/>
          <wp:docPr id="48" name="图片 86" descr="重德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6" descr="重德公司"/>
                  <pic:cNvPicPr>
                    <a:picLocks noChangeAspect="1"/>
                  </pic:cNvPicPr>
                </pic:nvPicPr>
                <pic:blipFill>
                  <a:blip r:embed="rId1"/>
                  <a:stretch>
                    <a:fillRect/>
                  </a:stretch>
                </pic:blipFill>
                <pic:spPr>
                  <a:xfrm>
                    <a:off x="0" y="0"/>
                    <a:ext cx="5267325" cy="28384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thinThickSmallGap" w:color="auto" w:sz="12" w:space="0"/>
      </w:pBdr>
      <w:jc w:val="left"/>
      <w:rPr>
        <w:rFonts w:hint="eastAsia" w:eastAsia="宋体"/>
        <w:lang w:eastAsia="zh-CN"/>
      </w:rPr>
    </w:pPr>
  </w:p>
  <w:p>
    <w:pPr>
      <w:pStyle w:val="23"/>
      <w:pBdr>
        <w:bottom w:val="thinThickSmallGap" w:color="auto" w:sz="12" w:space="0"/>
      </w:pBdr>
      <w:jc w:val="left"/>
      <w:rPr>
        <w:rFonts w:hint="eastAsia" w:eastAsia="宋体"/>
        <w:lang w:eastAsia="zh-CN"/>
      </w:rPr>
    </w:pPr>
  </w:p>
  <w:p>
    <w:pPr>
      <w:pStyle w:val="23"/>
      <w:pBdr>
        <w:bottom w:val="thinThickSmallGap" w:color="auto" w:sz="12" w:space="0"/>
      </w:pBdr>
      <w:jc w:val="left"/>
      <w:rPr>
        <w:rFonts w:hint="eastAsia" w:eastAsia="宋体"/>
        <w:lang w:eastAsia="zh-CN"/>
      </w:rPr>
    </w:pPr>
    <w:r>
      <w:rPr>
        <w:rFonts w:hint="eastAsia" w:eastAsia="宋体"/>
        <w:lang w:eastAsia="zh-CN"/>
      </w:rPr>
      <w:drawing>
        <wp:inline distT="0" distB="0" distL="114300" distR="114300">
          <wp:extent cx="5252720" cy="302895"/>
          <wp:effectExtent l="0" t="0" r="5080" b="1905"/>
          <wp:docPr id="50" name="图片 1" descr="重德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重德公司"/>
                  <pic:cNvPicPr>
                    <a:picLocks noChangeAspect="1"/>
                  </pic:cNvPicPr>
                </pic:nvPicPr>
                <pic:blipFill>
                  <a:blip r:embed="rId1"/>
                  <a:stretch>
                    <a:fillRect/>
                  </a:stretch>
                </pic:blipFill>
                <pic:spPr>
                  <a:xfrm>
                    <a:off x="0" y="0"/>
                    <a:ext cx="5252720" cy="3028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F1117"/>
    <w:multiLevelType w:val="singleLevel"/>
    <w:tmpl w:val="A31F1117"/>
    <w:lvl w:ilvl="0" w:tentative="0">
      <w:start w:val="1"/>
      <w:numFmt w:val="decimal"/>
      <w:suff w:val="nothing"/>
      <w:lvlText w:val="%1、"/>
      <w:lvlJc w:val="left"/>
    </w:lvl>
  </w:abstractNum>
  <w:abstractNum w:abstractNumId="1">
    <w:nsid w:val="C71752C5"/>
    <w:multiLevelType w:val="singleLevel"/>
    <w:tmpl w:val="C71752C5"/>
    <w:lvl w:ilvl="0" w:tentative="0">
      <w:start w:val="7"/>
      <w:numFmt w:val="decimal"/>
      <w:lvlText w:val="%1."/>
      <w:lvlJc w:val="left"/>
      <w:pPr>
        <w:tabs>
          <w:tab w:val="left" w:pos="312"/>
        </w:tabs>
      </w:pPr>
    </w:lvl>
  </w:abstractNum>
  <w:abstractNum w:abstractNumId="2">
    <w:nsid w:val="DAAFFBB1"/>
    <w:multiLevelType w:val="singleLevel"/>
    <w:tmpl w:val="DAAFFBB1"/>
    <w:lvl w:ilvl="0" w:tentative="0">
      <w:start w:val="7"/>
      <w:numFmt w:val="chineseCounting"/>
      <w:suff w:val="nothing"/>
      <w:lvlText w:val="%1、"/>
      <w:lvlJc w:val="left"/>
      <w:pPr>
        <w:ind w:left="-482"/>
      </w:pPr>
      <w:rPr>
        <w:rFonts w:hint="eastAsia"/>
      </w:rPr>
    </w:lvl>
  </w:abstractNum>
  <w:abstractNum w:abstractNumId="3">
    <w:nsid w:val="E0924BBE"/>
    <w:multiLevelType w:val="singleLevel"/>
    <w:tmpl w:val="E0924BBE"/>
    <w:lvl w:ilvl="0" w:tentative="0">
      <w:start w:val="1"/>
      <w:numFmt w:val="decimal"/>
      <w:suff w:val="nothing"/>
      <w:lvlText w:val="%1、"/>
      <w:lvlJc w:val="left"/>
    </w:lvl>
  </w:abstractNum>
  <w:abstractNum w:abstractNumId="4">
    <w:nsid w:val="E2C06B05"/>
    <w:multiLevelType w:val="singleLevel"/>
    <w:tmpl w:val="E2C06B05"/>
    <w:lvl w:ilvl="0" w:tentative="0">
      <w:start w:val="5"/>
      <w:numFmt w:val="chineseCounting"/>
      <w:suff w:val="space"/>
      <w:lvlText w:val="第%1章"/>
      <w:lvlJc w:val="left"/>
      <w:rPr>
        <w:rFonts w:hint="eastAsia"/>
      </w:rPr>
    </w:lvl>
  </w:abstractNum>
  <w:abstractNum w:abstractNumId="5">
    <w:nsid w:val="1517B247"/>
    <w:multiLevelType w:val="singleLevel"/>
    <w:tmpl w:val="1517B247"/>
    <w:lvl w:ilvl="0" w:tentative="0">
      <w:start w:val="3"/>
      <w:numFmt w:val="decimal"/>
      <w:lvlText w:val="%1."/>
      <w:lvlJc w:val="left"/>
      <w:pPr>
        <w:tabs>
          <w:tab w:val="left" w:pos="312"/>
        </w:tabs>
      </w:pPr>
    </w:lvl>
  </w:abstractNum>
  <w:abstractNum w:abstractNumId="6">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95"/>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6"/>
  </w:num>
  <w:num w:numId="2">
    <w:abstractNumId w:val="2"/>
  </w:num>
  <w:num w:numId="3">
    <w:abstractNumId w:val="0"/>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244"/>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C31A7"/>
    <w:rsid w:val="000C6B03"/>
    <w:rsid w:val="00135DF6"/>
    <w:rsid w:val="002454F1"/>
    <w:rsid w:val="003664D5"/>
    <w:rsid w:val="004A24DD"/>
    <w:rsid w:val="007029B8"/>
    <w:rsid w:val="00813634"/>
    <w:rsid w:val="00916074"/>
    <w:rsid w:val="00AC77DA"/>
    <w:rsid w:val="00CC3863"/>
    <w:rsid w:val="00CF1838"/>
    <w:rsid w:val="00D7425B"/>
    <w:rsid w:val="00E572AB"/>
    <w:rsid w:val="00EA70A8"/>
    <w:rsid w:val="00FF0BA7"/>
    <w:rsid w:val="01B61551"/>
    <w:rsid w:val="01D46D32"/>
    <w:rsid w:val="02077B14"/>
    <w:rsid w:val="021C6A9D"/>
    <w:rsid w:val="02655810"/>
    <w:rsid w:val="02861120"/>
    <w:rsid w:val="02BC305B"/>
    <w:rsid w:val="02D87181"/>
    <w:rsid w:val="02DB6AE7"/>
    <w:rsid w:val="02EE5055"/>
    <w:rsid w:val="034E12A9"/>
    <w:rsid w:val="037E409D"/>
    <w:rsid w:val="03B800D2"/>
    <w:rsid w:val="0401102F"/>
    <w:rsid w:val="04B65168"/>
    <w:rsid w:val="04D57D73"/>
    <w:rsid w:val="04F275F9"/>
    <w:rsid w:val="050A294C"/>
    <w:rsid w:val="051B07B9"/>
    <w:rsid w:val="052B51E2"/>
    <w:rsid w:val="055C436F"/>
    <w:rsid w:val="05612762"/>
    <w:rsid w:val="05741DD5"/>
    <w:rsid w:val="05C43BA4"/>
    <w:rsid w:val="064979AF"/>
    <w:rsid w:val="06B559AA"/>
    <w:rsid w:val="06D20C18"/>
    <w:rsid w:val="06F55FEF"/>
    <w:rsid w:val="06F649E7"/>
    <w:rsid w:val="073A5F50"/>
    <w:rsid w:val="074E7803"/>
    <w:rsid w:val="075F2965"/>
    <w:rsid w:val="07CD521B"/>
    <w:rsid w:val="07F13E06"/>
    <w:rsid w:val="08465B84"/>
    <w:rsid w:val="085132AE"/>
    <w:rsid w:val="08AB0697"/>
    <w:rsid w:val="08B37FA3"/>
    <w:rsid w:val="09190562"/>
    <w:rsid w:val="0963082D"/>
    <w:rsid w:val="096D79F8"/>
    <w:rsid w:val="09807032"/>
    <w:rsid w:val="09835296"/>
    <w:rsid w:val="099338E7"/>
    <w:rsid w:val="09C35992"/>
    <w:rsid w:val="09E844E1"/>
    <w:rsid w:val="09EE3E9A"/>
    <w:rsid w:val="0A2545CD"/>
    <w:rsid w:val="0A324D20"/>
    <w:rsid w:val="0AB63916"/>
    <w:rsid w:val="0ADD1B90"/>
    <w:rsid w:val="0AE67D33"/>
    <w:rsid w:val="0B012814"/>
    <w:rsid w:val="0B2049D7"/>
    <w:rsid w:val="0B8F1CDA"/>
    <w:rsid w:val="0C051B72"/>
    <w:rsid w:val="0CB60973"/>
    <w:rsid w:val="0CEC42B7"/>
    <w:rsid w:val="0D085BFD"/>
    <w:rsid w:val="0D4C14B9"/>
    <w:rsid w:val="0D9C38FB"/>
    <w:rsid w:val="0DF33590"/>
    <w:rsid w:val="0DFA623E"/>
    <w:rsid w:val="0E2A4CB7"/>
    <w:rsid w:val="0E766BB1"/>
    <w:rsid w:val="0E781534"/>
    <w:rsid w:val="0E964065"/>
    <w:rsid w:val="0EE2092C"/>
    <w:rsid w:val="0F252811"/>
    <w:rsid w:val="0F603897"/>
    <w:rsid w:val="0FBC7185"/>
    <w:rsid w:val="0FC16E1E"/>
    <w:rsid w:val="10342468"/>
    <w:rsid w:val="10916873"/>
    <w:rsid w:val="10B67298"/>
    <w:rsid w:val="112D20D4"/>
    <w:rsid w:val="113507E3"/>
    <w:rsid w:val="116A4BE5"/>
    <w:rsid w:val="11922AD2"/>
    <w:rsid w:val="12254DEB"/>
    <w:rsid w:val="123D4471"/>
    <w:rsid w:val="1242683C"/>
    <w:rsid w:val="127175AD"/>
    <w:rsid w:val="12725933"/>
    <w:rsid w:val="129E3C53"/>
    <w:rsid w:val="12A10B9F"/>
    <w:rsid w:val="13184E6A"/>
    <w:rsid w:val="134E1D79"/>
    <w:rsid w:val="13512546"/>
    <w:rsid w:val="136C2DA2"/>
    <w:rsid w:val="13BA6504"/>
    <w:rsid w:val="13F737AE"/>
    <w:rsid w:val="13FB19B8"/>
    <w:rsid w:val="141D217E"/>
    <w:rsid w:val="144463D0"/>
    <w:rsid w:val="14500074"/>
    <w:rsid w:val="150E3CB2"/>
    <w:rsid w:val="15C55061"/>
    <w:rsid w:val="15C91606"/>
    <w:rsid w:val="15CF1701"/>
    <w:rsid w:val="15E10A24"/>
    <w:rsid w:val="16174A14"/>
    <w:rsid w:val="165E3114"/>
    <w:rsid w:val="167D3B07"/>
    <w:rsid w:val="16FF0DCC"/>
    <w:rsid w:val="1700643D"/>
    <w:rsid w:val="175872EF"/>
    <w:rsid w:val="17604FC4"/>
    <w:rsid w:val="181C5DCC"/>
    <w:rsid w:val="184664BE"/>
    <w:rsid w:val="186B1B9F"/>
    <w:rsid w:val="189D0AE3"/>
    <w:rsid w:val="18BC782D"/>
    <w:rsid w:val="18FA2711"/>
    <w:rsid w:val="194E1798"/>
    <w:rsid w:val="195008E0"/>
    <w:rsid w:val="19605383"/>
    <w:rsid w:val="19834E58"/>
    <w:rsid w:val="19A44652"/>
    <w:rsid w:val="19BE60D4"/>
    <w:rsid w:val="19C660FC"/>
    <w:rsid w:val="19E704A5"/>
    <w:rsid w:val="1A62356D"/>
    <w:rsid w:val="1A840EC7"/>
    <w:rsid w:val="1A913C6A"/>
    <w:rsid w:val="1B1B0F7B"/>
    <w:rsid w:val="1B2F1404"/>
    <w:rsid w:val="1BA308F2"/>
    <w:rsid w:val="1BC93928"/>
    <w:rsid w:val="1CE4367F"/>
    <w:rsid w:val="1D9937B7"/>
    <w:rsid w:val="1E5B20B7"/>
    <w:rsid w:val="1E821C7A"/>
    <w:rsid w:val="1ED871A1"/>
    <w:rsid w:val="1EF422FA"/>
    <w:rsid w:val="1F6D0E5E"/>
    <w:rsid w:val="20050F19"/>
    <w:rsid w:val="204448F5"/>
    <w:rsid w:val="206E6E0A"/>
    <w:rsid w:val="20FA6C5B"/>
    <w:rsid w:val="21007200"/>
    <w:rsid w:val="2145400A"/>
    <w:rsid w:val="21F83E70"/>
    <w:rsid w:val="22385D39"/>
    <w:rsid w:val="2256166A"/>
    <w:rsid w:val="226F46F2"/>
    <w:rsid w:val="22F95E64"/>
    <w:rsid w:val="23133142"/>
    <w:rsid w:val="23A96527"/>
    <w:rsid w:val="23B33181"/>
    <w:rsid w:val="23D613F5"/>
    <w:rsid w:val="23E66E16"/>
    <w:rsid w:val="244D6F5F"/>
    <w:rsid w:val="246E3413"/>
    <w:rsid w:val="24CA0A5F"/>
    <w:rsid w:val="25EE7658"/>
    <w:rsid w:val="26172FAE"/>
    <w:rsid w:val="26422294"/>
    <w:rsid w:val="266D0F18"/>
    <w:rsid w:val="268255ED"/>
    <w:rsid w:val="27090A6C"/>
    <w:rsid w:val="27557374"/>
    <w:rsid w:val="27814AD0"/>
    <w:rsid w:val="27AE1AF8"/>
    <w:rsid w:val="27C33988"/>
    <w:rsid w:val="2806459B"/>
    <w:rsid w:val="28065B46"/>
    <w:rsid w:val="28342D11"/>
    <w:rsid w:val="28790D63"/>
    <w:rsid w:val="28DD59AC"/>
    <w:rsid w:val="28E91980"/>
    <w:rsid w:val="29253BB0"/>
    <w:rsid w:val="29354AE5"/>
    <w:rsid w:val="29647055"/>
    <w:rsid w:val="29A52819"/>
    <w:rsid w:val="29BB6100"/>
    <w:rsid w:val="29E5015E"/>
    <w:rsid w:val="2AD52304"/>
    <w:rsid w:val="2AE6751F"/>
    <w:rsid w:val="2AE96CD8"/>
    <w:rsid w:val="2B0979CD"/>
    <w:rsid w:val="2BA72232"/>
    <w:rsid w:val="2C0030F4"/>
    <w:rsid w:val="2C050F36"/>
    <w:rsid w:val="2C3E5640"/>
    <w:rsid w:val="2CB25943"/>
    <w:rsid w:val="2CF72089"/>
    <w:rsid w:val="2CFA62B4"/>
    <w:rsid w:val="2D255791"/>
    <w:rsid w:val="2D7719B4"/>
    <w:rsid w:val="2EB365BE"/>
    <w:rsid w:val="2EBB441E"/>
    <w:rsid w:val="2ED00508"/>
    <w:rsid w:val="2F1131BB"/>
    <w:rsid w:val="2F150FA0"/>
    <w:rsid w:val="2F34518D"/>
    <w:rsid w:val="2FA923C8"/>
    <w:rsid w:val="2FAB693A"/>
    <w:rsid w:val="2FAC57FF"/>
    <w:rsid w:val="2FD30BB3"/>
    <w:rsid w:val="2FFD1F7B"/>
    <w:rsid w:val="306D6578"/>
    <w:rsid w:val="306E3C88"/>
    <w:rsid w:val="3083019E"/>
    <w:rsid w:val="30AA10DD"/>
    <w:rsid w:val="30E635B2"/>
    <w:rsid w:val="31973DE6"/>
    <w:rsid w:val="31A130E8"/>
    <w:rsid w:val="31A17138"/>
    <w:rsid w:val="3224714F"/>
    <w:rsid w:val="32452BF3"/>
    <w:rsid w:val="32465ED8"/>
    <w:rsid w:val="32864716"/>
    <w:rsid w:val="328869F6"/>
    <w:rsid w:val="32BD1459"/>
    <w:rsid w:val="32EB6D1A"/>
    <w:rsid w:val="332124F9"/>
    <w:rsid w:val="333075D8"/>
    <w:rsid w:val="336872C3"/>
    <w:rsid w:val="33CA7B13"/>
    <w:rsid w:val="33F94744"/>
    <w:rsid w:val="3474061E"/>
    <w:rsid w:val="350039B1"/>
    <w:rsid w:val="350A2AED"/>
    <w:rsid w:val="351C148F"/>
    <w:rsid w:val="355A3013"/>
    <w:rsid w:val="35995C95"/>
    <w:rsid w:val="36475926"/>
    <w:rsid w:val="365270D7"/>
    <w:rsid w:val="368A7DB0"/>
    <w:rsid w:val="36C9708A"/>
    <w:rsid w:val="36E22711"/>
    <w:rsid w:val="36F8650C"/>
    <w:rsid w:val="374572B8"/>
    <w:rsid w:val="37575DE5"/>
    <w:rsid w:val="376E4E90"/>
    <w:rsid w:val="379076BC"/>
    <w:rsid w:val="380F4202"/>
    <w:rsid w:val="38262802"/>
    <w:rsid w:val="386432DE"/>
    <w:rsid w:val="38B634A5"/>
    <w:rsid w:val="38B95F7D"/>
    <w:rsid w:val="38E3061D"/>
    <w:rsid w:val="391A4460"/>
    <w:rsid w:val="394A1B7E"/>
    <w:rsid w:val="3953553B"/>
    <w:rsid w:val="398F3E8E"/>
    <w:rsid w:val="39BF7828"/>
    <w:rsid w:val="3A0C4C50"/>
    <w:rsid w:val="3A132737"/>
    <w:rsid w:val="3B506C54"/>
    <w:rsid w:val="3BB90AE7"/>
    <w:rsid w:val="3C135F91"/>
    <w:rsid w:val="3C4C2FE0"/>
    <w:rsid w:val="3CD567DA"/>
    <w:rsid w:val="3CE617CF"/>
    <w:rsid w:val="3D0B1D04"/>
    <w:rsid w:val="3D241714"/>
    <w:rsid w:val="3DA43E8E"/>
    <w:rsid w:val="3DC03455"/>
    <w:rsid w:val="3DC84217"/>
    <w:rsid w:val="3E292295"/>
    <w:rsid w:val="3F032F58"/>
    <w:rsid w:val="3F247F8C"/>
    <w:rsid w:val="3F292538"/>
    <w:rsid w:val="3F9F1886"/>
    <w:rsid w:val="4034141F"/>
    <w:rsid w:val="405C6F53"/>
    <w:rsid w:val="407B6DF2"/>
    <w:rsid w:val="4097344C"/>
    <w:rsid w:val="40A24F47"/>
    <w:rsid w:val="40D3308E"/>
    <w:rsid w:val="413136F2"/>
    <w:rsid w:val="41D407DB"/>
    <w:rsid w:val="41D84EBD"/>
    <w:rsid w:val="41E85AE3"/>
    <w:rsid w:val="420A0BA3"/>
    <w:rsid w:val="422F79D6"/>
    <w:rsid w:val="4234766A"/>
    <w:rsid w:val="423B6A17"/>
    <w:rsid w:val="42D56206"/>
    <w:rsid w:val="43191F18"/>
    <w:rsid w:val="436E55FE"/>
    <w:rsid w:val="43B276BB"/>
    <w:rsid w:val="43F72C6D"/>
    <w:rsid w:val="44684433"/>
    <w:rsid w:val="44A62E43"/>
    <w:rsid w:val="44D27D51"/>
    <w:rsid w:val="44DF756B"/>
    <w:rsid w:val="45854257"/>
    <w:rsid w:val="45DB2805"/>
    <w:rsid w:val="45FA081F"/>
    <w:rsid w:val="461007A3"/>
    <w:rsid w:val="467D0967"/>
    <w:rsid w:val="46CC115A"/>
    <w:rsid w:val="46F72640"/>
    <w:rsid w:val="47881A91"/>
    <w:rsid w:val="47C94A95"/>
    <w:rsid w:val="47E42940"/>
    <w:rsid w:val="481F21BB"/>
    <w:rsid w:val="483320FC"/>
    <w:rsid w:val="486863F8"/>
    <w:rsid w:val="48726B81"/>
    <w:rsid w:val="48924D58"/>
    <w:rsid w:val="48DE7383"/>
    <w:rsid w:val="491425F8"/>
    <w:rsid w:val="49C5157A"/>
    <w:rsid w:val="4A2E42F7"/>
    <w:rsid w:val="4A79170D"/>
    <w:rsid w:val="4A9E701F"/>
    <w:rsid w:val="4B3C68B5"/>
    <w:rsid w:val="4BA955B3"/>
    <w:rsid w:val="4BCD2D85"/>
    <w:rsid w:val="4BEB772F"/>
    <w:rsid w:val="4C235727"/>
    <w:rsid w:val="4C266423"/>
    <w:rsid w:val="4C5B6E1B"/>
    <w:rsid w:val="4C60332D"/>
    <w:rsid w:val="4CC12EB3"/>
    <w:rsid w:val="4CFE02F1"/>
    <w:rsid w:val="4D5854BA"/>
    <w:rsid w:val="4DEC20C4"/>
    <w:rsid w:val="4DF75D38"/>
    <w:rsid w:val="4E134E6C"/>
    <w:rsid w:val="4E34525B"/>
    <w:rsid w:val="4E5C54AC"/>
    <w:rsid w:val="4EA05AFB"/>
    <w:rsid w:val="4F3B4B5B"/>
    <w:rsid w:val="4F415359"/>
    <w:rsid w:val="4F662DBF"/>
    <w:rsid w:val="4FAD0D75"/>
    <w:rsid w:val="50262BED"/>
    <w:rsid w:val="50A1064C"/>
    <w:rsid w:val="51C550A8"/>
    <w:rsid w:val="51D7094B"/>
    <w:rsid w:val="52387E61"/>
    <w:rsid w:val="52521DA6"/>
    <w:rsid w:val="525D437A"/>
    <w:rsid w:val="529E4CBD"/>
    <w:rsid w:val="531F7E24"/>
    <w:rsid w:val="53525B81"/>
    <w:rsid w:val="54624101"/>
    <w:rsid w:val="548D6CB9"/>
    <w:rsid w:val="54AB0B9A"/>
    <w:rsid w:val="552B5328"/>
    <w:rsid w:val="55F0491F"/>
    <w:rsid w:val="55F9541D"/>
    <w:rsid w:val="562A0A9B"/>
    <w:rsid w:val="564E6196"/>
    <w:rsid w:val="56C55F93"/>
    <w:rsid w:val="57113704"/>
    <w:rsid w:val="57286BDD"/>
    <w:rsid w:val="578E6C6E"/>
    <w:rsid w:val="58413684"/>
    <w:rsid w:val="588744B4"/>
    <w:rsid w:val="58FB47E7"/>
    <w:rsid w:val="590006E9"/>
    <w:rsid w:val="592C578E"/>
    <w:rsid w:val="594426EF"/>
    <w:rsid w:val="59870C46"/>
    <w:rsid w:val="59A954E8"/>
    <w:rsid w:val="59C01C43"/>
    <w:rsid w:val="59E022F3"/>
    <w:rsid w:val="5A035497"/>
    <w:rsid w:val="5A7D28C6"/>
    <w:rsid w:val="5A846D8B"/>
    <w:rsid w:val="5AA0324C"/>
    <w:rsid w:val="5AB1726E"/>
    <w:rsid w:val="5AC272E6"/>
    <w:rsid w:val="5AD01220"/>
    <w:rsid w:val="5B263F86"/>
    <w:rsid w:val="5B5545BA"/>
    <w:rsid w:val="5B637C68"/>
    <w:rsid w:val="5B6F7939"/>
    <w:rsid w:val="5B9E4FCA"/>
    <w:rsid w:val="5BC57CBA"/>
    <w:rsid w:val="5C084EB5"/>
    <w:rsid w:val="5C270D97"/>
    <w:rsid w:val="5C303D2F"/>
    <w:rsid w:val="5C495BA1"/>
    <w:rsid w:val="5CBA0075"/>
    <w:rsid w:val="5D2C30DC"/>
    <w:rsid w:val="5D48257C"/>
    <w:rsid w:val="5DC452EC"/>
    <w:rsid w:val="5E011CE8"/>
    <w:rsid w:val="5E2157BE"/>
    <w:rsid w:val="5E6D7A20"/>
    <w:rsid w:val="5F092845"/>
    <w:rsid w:val="5F425AA6"/>
    <w:rsid w:val="5F48220A"/>
    <w:rsid w:val="5F683AE8"/>
    <w:rsid w:val="5FAC292B"/>
    <w:rsid w:val="5FE533DE"/>
    <w:rsid w:val="60286E6E"/>
    <w:rsid w:val="60360512"/>
    <w:rsid w:val="6070122D"/>
    <w:rsid w:val="60940D25"/>
    <w:rsid w:val="61087D10"/>
    <w:rsid w:val="61094E05"/>
    <w:rsid w:val="6130253C"/>
    <w:rsid w:val="616A0204"/>
    <w:rsid w:val="6226698B"/>
    <w:rsid w:val="628E79C3"/>
    <w:rsid w:val="63026589"/>
    <w:rsid w:val="631659ED"/>
    <w:rsid w:val="631F1EF4"/>
    <w:rsid w:val="63360453"/>
    <w:rsid w:val="6386612E"/>
    <w:rsid w:val="638B0138"/>
    <w:rsid w:val="63E61B30"/>
    <w:rsid w:val="64147094"/>
    <w:rsid w:val="65047906"/>
    <w:rsid w:val="65403746"/>
    <w:rsid w:val="658E5E5E"/>
    <w:rsid w:val="65D33E3D"/>
    <w:rsid w:val="65F348BA"/>
    <w:rsid w:val="6635401A"/>
    <w:rsid w:val="6648319A"/>
    <w:rsid w:val="66534B44"/>
    <w:rsid w:val="66AD0196"/>
    <w:rsid w:val="66AF554A"/>
    <w:rsid w:val="67492B3A"/>
    <w:rsid w:val="67631A4C"/>
    <w:rsid w:val="6768407B"/>
    <w:rsid w:val="67BA1FE2"/>
    <w:rsid w:val="68472BB0"/>
    <w:rsid w:val="68885871"/>
    <w:rsid w:val="68DE250F"/>
    <w:rsid w:val="691E4EFA"/>
    <w:rsid w:val="69370E57"/>
    <w:rsid w:val="693F014C"/>
    <w:rsid w:val="69636D86"/>
    <w:rsid w:val="69D811FE"/>
    <w:rsid w:val="6A00764C"/>
    <w:rsid w:val="6A0B0628"/>
    <w:rsid w:val="6AD20922"/>
    <w:rsid w:val="6B1017BA"/>
    <w:rsid w:val="6B165E51"/>
    <w:rsid w:val="6C274CE4"/>
    <w:rsid w:val="6C982111"/>
    <w:rsid w:val="6CBA14F1"/>
    <w:rsid w:val="6CE658F6"/>
    <w:rsid w:val="6CE8436A"/>
    <w:rsid w:val="6DCF29DC"/>
    <w:rsid w:val="6DDC4DFC"/>
    <w:rsid w:val="6DE9775F"/>
    <w:rsid w:val="6E0B37E0"/>
    <w:rsid w:val="6E2C457F"/>
    <w:rsid w:val="6E35459E"/>
    <w:rsid w:val="6E4F73DC"/>
    <w:rsid w:val="6E7B076F"/>
    <w:rsid w:val="6EAC105D"/>
    <w:rsid w:val="6EAC1A55"/>
    <w:rsid w:val="6F3A2772"/>
    <w:rsid w:val="6F5874A8"/>
    <w:rsid w:val="6F781405"/>
    <w:rsid w:val="700B2276"/>
    <w:rsid w:val="7028717B"/>
    <w:rsid w:val="70D349A3"/>
    <w:rsid w:val="710D7FD3"/>
    <w:rsid w:val="71174EB3"/>
    <w:rsid w:val="71395DB4"/>
    <w:rsid w:val="713F6B1B"/>
    <w:rsid w:val="721E7E4D"/>
    <w:rsid w:val="72252E3C"/>
    <w:rsid w:val="72276F30"/>
    <w:rsid w:val="726966B5"/>
    <w:rsid w:val="72716B5B"/>
    <w:rsid w:val="727F5849"/>
    <w:rsid w:val="728A4BD2"/>
    <w:rsid w:val="72AC653E"/>
    <w:rsid w:val="72DF3BB2"/>
    <w:rsid w:val="731A5DF9"/>
    <w:rsid w:val="734E3F40"/>
    <w:rsid w:val="73517B51"/>
    <w:rsid w:val="735E6868"/>
    <w:rsid w:val="737F2EB1"/>
    <w:rsid w:val="749B6092"/>
    <w:rsid w:val="74B773A9"/>
    <w:rsid w:val="74C7261A"/>
    <w:rsid w:val="75346327"/>
    <w:rsid w:val="754834FC"/>
    <w:rsid w:val="758B0D38"/>
    <w:rsid w:val="759929B8"/>
    <w:rsid w:val="759E6264"/>
    <w:rsid w:val="75B935F6"/>
    <w:rsid w:val="764958BC"/>
    <w:rsid w:val="765A606F"/>
    <w:rsid w:val="76C9210D"/>
    <w:rsid w:val="771A3EE3"/>
    <w:rsid w:val="779776BB"/>
    <w:rsid w:val="78333933"/>
    <w:rsid w:val="7874381B"/>
    <w:rsid w:val="7876311B"/>
    <w:rsid w:val="78C40C3C"/>
    <w:rsid w:val="78C67276"/>
    <w:rsid w:val="7A072761"/>
    <w:rsid w:val="7A183F2C"/>
    <w:rsid w:val="7A3154BA"/>
    <w:rsid w:val="7A3F023A"/>
    <w:rsid w:val="7A501B8E"/>
    <w:rsid w:val="7A523F69"/>
    <w:rsid w:val="7A763DF2"/>
    <w:rsid w:val="7B3A1B9B"/>
    <w:rsid w:val="7B3E7C7F"/>
    <w:rsid w:val="7B536EA0"/>
    <w:rsid w:val="7B662472"/>
    <w:rsid w:val="7B8D45ED"/>
    <w:rsid w:val="7BA47268"/>
    <w:rsid w:val="7BE83F20"/>
    <w:rsid w:val="7C3B4775"/>
    <w:rsid w:val="7C572CA5"/>
    <w:rsid w:val="7C5B34E1"/>
    <w:rsid w:val="7C646880"/>
    <w:rsid w:val="7C9548EA"/>
    <w:rsid w:val="7CBB404F"/>
    <w:rsid w:val="7D1E07A8"/>
    <w:rsid w:val="7D430D6D"/>
    <w:rsid w:val="7D554682"/>
    <w:rsid w:val="7D6E17E2"/>
    <w:rsid w:val="7D9F7066"/>
    <w:rsid w:val="7DF77566"/>
    <w:rsid w:val="7DFA46DC"/>
    <w:rsid w:val="7E107CAC"/>
    <w:rsid w:val="7E58440E"/>
    <w:rsid w:val="7E6521F7"/>
    <w:rsid w:val="7EA74150"/>
    <w:rsid w:val="7EAF273F"/>
    <w:rsid w:val="7EBF4D0D"/>
    <w:rsid w:val="7ED978E9"/>
    <w:rsid w:val="7F0D52CF"/>
    <w:rsid w:val="7F6E7706"/>
    <w:rsid w:val="7FB1766C"/>
    <w:rsid w:val="7FBA3A4A"/>
    <w:rsid w:val="7FE421A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7"/>
    <w:qFormat/>
    <w:uiPriority w:val="0"/>
    <w:pPr>
      <w:keepNext/>
      <w:keepLines/>
      <w:spacing w:before="120" w:beforeLines="0" w:after="120" w:afterLines="0"/>
      <w:outlineLvl w:val="0"/>
    </w:pPr>
    <w:rPr>
      <w:bCs/>
      <w:kern w:val="44"/>
      <w:sz w:val="44"/>
      <w:szCs w:val="44"/>
    </w:rPr>
  </w:style>
  <w:style w:type="paragraph" w:styleId="4">
    <w:name w:val="heading 2"/>
    <w:basedOn w:val="1"/>
    <w:next w:val="1"/>
    <w:link w:val="48"/>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3" w:lineRule="auto"/>
      <w:outlineLvl w:val="2"/>
    </w:pPr>
    <w:rPr>
      <w:b/>
      <w:bCs/>
      <w:sz w:val="32"/>
      <w:szCs w:val="32"/>
    </w:rPr>
  </w:style>
  <w:style w:type="paragraph" w:styleId="6">
    <w:name w:val="heading 4"/>
    <w:basedOn w:val="1"/>
    <w:next w:val="1"/>
    <w:qFormat/>
    <w:uiPriority w:val="1"/>
    <w:pPr>
      <w:spacing w:before="44"/>
      <w:ind w:right="39"/>
      <w:jc w:val="center"/>
      <w:outlineLvl w:val="3"/>
    </w:pPr>
    <w:rPr>
      <w:rFonts w:ascii="宋体" w:hAnsi="宋体" w:eastAsia="宋体" w:cs="宋体"/>
      <w:b/>
      <w:bCs/>
      <w:sz w:val="28"/>
      <w:szCs w:val="28"/>
      <w:lang w:val="nl-NL" w:eastAsia="nl-NL" w:bidi="nl-NL"/>
    </w:rPr>
  </w:style>
  <w:style w:type="paragraph" w:styleId="7">
    <w:name w:val="heading 5"/>
    <w:basedOn w:val="1"/>
    <w:next w:val="1"/>
    <w:qFormat/>
    <w:uiPriority w:val="1"/>
    <w:pPr>
      <w:ind w:left="222"/>
      <w:outlineLvl w:val="4"/>
    </w:pPr>
    <w:rPr>
      <w:rFonts w:ascii="宋体" w:hAnsi="宋体" w:eastAsia="宋体" w:cs="宋体"/>
      <w:b/>
      <w:bCs/>
      <w:sz w:val="24"/>
      <w:szCs w:val="24"/>
      <w:lang w:val="nl-NL" w:eastAsia="nl-NL" w:bidi="nl-NL"/>
    </w:rPr>
  </w:style>
  <w:style w:type="character" w:default="1" w:styleId="36">
    <w:name w:val="Default Paragraph Font"/>
    <w:qFormat/>
    <w:uiPriority w:val="0"/>
  </w:style>
  <w:style w:type="table" w:default="1" w:styleId="34">
    <w:name w:val="Normal Table"/>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afterLines="0"/>
    </w:pPr>
  </w:style>
  <w:style w:type="paragraph" w:styleId="8">
    <w:name w:val="toc 7"/>
    <w:basedOn w:val="1"/>
    <w:next w:val="1"/>
    <w:qFormat/>
    <w:uiPriority w:val="0"/>
    <w:pPr>
      <w:ind w:left="2520" w:leftChars="1200"/>
    </w:pPr>
  </w:style>
  <w:style w:type="paragraph" w:styleId="9">
    <w:name w:val="Normal Indent"/>
    <w:basedOn w:val="1"/>
    <w:link w:val="49"/>
    <w:qFormat/>
    <w:uiPriority w:val="0"/>
    <w:pPr>
      <w:ind w:firstLine="420" w:firstLineChars="200"/>
    </w:pPr>
    <w:rPr>
      <w:rFonts w:eastAsia="宋体"/>
      <w:kern w:val="2"/>
      <w:sz w:val="21"/>
      <w:szCs w:val="24"/>
      <w:lang w:val="en-US" w:eastAsia="zh-CN" w:bidi="ar-SA"/>
    </w:rPr>
  </w:style>
  <w:style w:type="paragraph" w:styleId="10">
    <w:name w:val="Document Map"/>
    <w:basedOn w:val="1"/>
    <w:link w:val="50"/>
    <w:qFormat/>
    <w:uiPriority w:val="0"/>
    <w:rPr>
      <w:sz w:val="18"/>
      <w:szCs w:val="18"/>
    </w:rPr>
  </w:style>
  <w:style w:type="paragraph" w:styleId="11">
    <w:name w:val="annotation text"/>
    <w:basedOn w:val="1"/>
    <w:link w:val="51"/>
    <w:qFormat/>
    <w:uiPriority w:val="0"/>
    <w:pPr>
      <w:jc w:val="left"/>
    </w:pPr>
  </w:style>
  <w:style w:type="paragraph" w:styleId="12">
    <w:name w:val="Salutation"/>
    <w:basedOn w:val="1"/>
    <w:next w:val="1"/>
    <w:qFormat/>
    <w:uiPriority w:val="0"/>
    <w:pPr>
      <w:keepNext w:val="0"/>
      <w:keepLines w:val="0"/>
      <w:widowControl w:val="0"/>
      <w:suppressLineNumbers w:val="0"/>
      <w:spacing w:before="0" w:beforeAutospacing="0" w:after="0" w:afterAutospacing="0"/>
      <w:ind w:left="0" w:right="0"/>
      <w:jc w:val="both"/>
    </w:pPr>
    <w:rPr>
      <w:rFonts w:hint="eastAsia" w:ascii="宋体" w:hAnsi="Times New Roman" w:eastAsia="宋体" w:cs="Times New Roman"/>
      <w:kern w:val="0"/>
      <w:sz w:val="34"/>
      <w:szCs w:val="20"/>
      <w:lang w:val="en-US" w:eastAsia="zh-CN" w:bidi="ar"/>
    </w:rPr>
  </w:style>
  <w:style w:type="paragraph" w:styleId="13">
    <w:name w:val="Body Text 3"/>
    <w:basedOn w:val="1"/>
    <w:qFormat/>
    <w:uiPriority w:val="0"/>
    <w:pPr>
      <w:jc w:val="center"/>
    </w:pPr>
    <w:rPr>
      <w:rFonts w:eastAsia="黑体"/>
      <w:sz w:val="44"/>
    </w:rPr>
  </w:style>
  <w:style w:type="paragraph" w:styleId="14">
    <w:name w:val="Body Text Indent"/>
    <w:basedOn w:val="1"/>
    <w:qFormat/>
    <w:uiPriority w:val="0"/>
    <w:pPr>
      <w:spacing w:after="120" w:afterLines="0"/>
      <w:ind w:left="420" w:leftChars="200"/>
    </w:pPr>
  </w:style>
  <w:style w:type="paragraph" w:styleId="15">
    <w:name w:val="toc 5"/>
    <w:basedOn w:val="1"/>
    <w:next w:val="1"/>
    <w:qFormat/>
    <w:uiPriority w:val="0"/>
    <w:pPr>
      <w:ind w:left="1680" w:leftChars="800"/>
    </w:pPr>
  </w:style>
  <w:style w:type="paragraph" w:styleId="16">
    <w:name w:val="toc 3"/>
    <w:basedOn w:val="1"/>
    <w:next w:val="1"/>
    <w:qFormat/>
    <w:uiPriority w:val="0"/>
    <w:pPr>
      <w:ind w:left="840" w:leftChars="400"/>
    </w:pPr>
  </w:style>
  <w:style w:type="paragraph" w:styleId="17">
    <w:name w:val="Plain Text"/>
    <w:basedOn w:val="1"/>
    <w:link w:val="52"/>
    <w:qFormat/>
    <w:uiPriority w:val="0"/>
    <w:rPr>
      <w:rFonts w:ascii="宋体" w:hAnsi="Courier New" w:eastAsia="宋体"/>
      <w:kern w:val="2"/>
      <w:sz w:val="21"/>
      <w:lang w:val="en-US" w:eastAsia="zh-CN" w:bidi="ar-SA"/>
    </w:rPr>
  </w:style>
  <w:style w:type="paragraph" w:styleId="18">
    <w:name w:val="toc 8"/>
    <w:basedOn w:val="1"/>
    <w:next w:val="1"/>
    <w:qFormat/>
    <w:uiPriority w:val="0"/>
    <w:pPr>
      <w:ind w:left="2940" w:leftChars="1400"/>
    </w:pPr>
  </w:style>
  <w:style w:type="paragraph" w:styleId="19">
    <w:name w:val="Date"/>
    <w:basedOn w:val="1"/>
    <w:next w:val="1"/>
    <w:qFormat/>
    <w:uiPriority w:val="0"/>
    <w:pPr>
      <w:ind w:left="100" w:leftChars="2500"/>
    </w:pPr>
  </w:style>
  <w:style w:type="paragraph" w:styleId="20">
    <w:name w:val="Body Text Indent 2"/>
    <w:basedOn w:val="1"/>
    <w:qFormat/>
    <w:uiPriority w:val="0"/>
    <w:pPr>
      <w:spacing w:after="120" w:afterLines="0" w:line="480" w:lineRule="auto"/>
      <w:ind w:left="420" w:leftChars="200"/>
    </w:pPr>
  </w:style>
  <w:style w:type="paragraph" w:styleId="21">
    <w:name w:val="Balloon Text"/>
    <w:basedOn w:val="1"/>
    <w:link w:val="53"/>
    <w:qFormat/>
    <w:uiPriority w:val="0"/>
    <w:rPr>
      <w:sz w:val="18"/>
      <w:szCs w:val="18"/>
    </w:rPr>
  </w:style>
  <w:style w:type="paragraph" w:styleId="22">
    <w:name w:val="footer"/>
    <w:basedOn w:val="1"/>
    <w:qFormat/>
    <w:uiPriority w:val="0"/>
    <w:pPr>
      <w:tabs>
        <w:tab w:val="center" w:pos="4153"/>
        <w:tab w:val="right" w:pos="8306"/>
      </w:tabs>
      <w:snapToGrid w:val="0"/>
      <w:jc w:val="left"/>
    </w:pPr>
    <w:rPr>
      <w:sz w:val="18"/>
      <w:szCs w:val="20"/>
    </w:rPr>
  </w:style>
  <w:style w:type="paragraph" w:styleId="23">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24">
    <w:name w:val="toc 1"/>
    <w:basedOn w:val="1"/>
    <w:next w:val="1"/>
    <w:link w:val="54"/>
    <w:qFormat/>
    <w:uiPriority w:val="39"/>
  </w:style>
  <w:style w:type="paragraph" w:styleId="25">
    <w:name w:val="toc 4"/>
    <w:basedOn w:val="1"/>
    <w:next w:val="1"/>
    <w:qFormat/>
    <w:uiPriority w:val="0"/>
    <w:pPr>
      <w:ind w:left="1260" w:leftChars="600"/>
    </w:pPr>
  </w:style>
  <w:style w:type="paragraph" w:styleId="26">
    <w:name w:val="toc 6"/>
    <w:basedOn w:val="1"/>
    <w:next w:val="1"/>
    <w:qFormat/>
    <w:uiPriority w:val="0"/>
    <w:pPr>
      <w:ind w:left="2100" w:leftChars="1000"/>
    </w:pPr>
  </w:style>
  <w:style w:type="paragraph" w:styleId="27">
    <w:name w:val="Body Text Indent 3"/>
    <w:basedOn w:val="1"/>
    <w:qFormat/>
    <w:uiPriority w:val="0"/>
    <w:pPr>
      <w:spacing w:after="120" w:afterLines="0"/>
      <w:ind w:left="420" w:leftChars="200"/>
    </w:pPr>
    <w:rPr>
      <w:sz w:val="16"/>
      <w:szCs w:val="16"/>
    </w:rPr>
  </w:style>
  <w:style w:type="paragraph" w:styleId="28">
    <w:name w:val="toc 2"/>
    <w:basedOn w:val="1"/>
    <w:next w:val="1"/>
    <w:qFormat/>
    <w:uiPriority w:val="0"/>
    <w:pPr>
      <w:ind w:left="420" w:leftChars="200"/>
    </w:pPr>
  </w:style>
  <w:style w:type="paragraph" w:styleId="29">
    <w:name w:val="toc 9"/>
    <w:basedOn w:val="1"/>
    <w:next w:val="1"/>
    <w:qFormat/>
    <w:uiPriority w:val="0"/>
    <w:pPr>
      <w:ind w:left="3360" w:leftChars="1600"/>
    </w:pPr>
  </w:style>
  <w:style w:type="paragraph" w:styleId="30">
    <w:name w:val="Normal (Web)"/>
    <w:basedOn w:val="1"/>
    <w:qFormat/>
    <w:uiPriority w:val="0"/>
    <w:pPr>
      <w:widowControl/>
      <w:spacing w:before="100" w:beforeLines="0" w:beforeAutospacing="1" w:after="100" w:afterLines="0" w:afterAutospacing="1"/>
      <w:jc w:val="left"/>
    </w:pPr>
    <w:rPr>
      <w:rFonts w:ascii="宋体" w:hAnsi="宋体"/>
      <w:kern w:val="0"/>
      <w:sz w:val="18"/>
      <w:szCs w:val="18"/>
    </w:rPr>
  </w:style>
  <w:style w:type="paragraph" w:styleId="31">
    <w:name w:val="Title"/>
    <w:basedOn w:val="1"/>
    <w:next w:val="1"/>
    <w:link w:val="55"/>
    <w:qFormat/>
    <w:uiPriority w:val="99"/>
    <w:pPr>
      <w:spacing w:before="240" w:beforeLines="0" w:after="60" w:afterLines="0"/>
      <w:jc w:val="center"/>
      <w:outlineLvl w:val="0"/>
    </w:pPr>
    <w:rPr>
      <w:rFonts w:ascii="Cambria" w:hAnsi="Cambria" w:cs="Times New Roman"/>
      <w:b/>
      <w:bCs/>
      <w:sz w:val="32"/>
      <w:szCs w:val="32"/>
    </w:rPr>
  </w:style>
  <w:style w:type="paragraph" w:styleId="32">
    <w:name w:val="annotation subject"/>
    <w:basedOn w:val="11"/>
    <w:next w:val="11"/>
    <w:link w:val="56"/>
    <w:qFormat/>
    <w:uiPriority w:val="0"/>
    <w:rPr>
      <w:b/>
      <w:bCs/>
    </w:rPr>
  </w:style>
  <w:style w:type="paragraph" w:styleId="33">
    <w:name w:val="Body Text First Indent"/>
    <w:basedOn w:val="2"/>
    <w:qFormat/>
    <w:uiPriority w:val="99"/>
    <w:pPr>
      <w:widowControl w:val="0"/>
      <w:spacing w:after="120" w:line="240" w:lineRule="auto"/>
      <w:ind w:firstLine="420" w:firstLineChars="100"/>
    </w:pPr>
    <w:rPr>
      <w:lang w:val="en-US" w:eastAsia="zh-CN"/>
    </w:rPr>
  </w:style>
  <w:style w:type="table" w:styleId="35">
    <w:name w:val="Table Grid"/>
    <w:basedOn w:val="34"/>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0"/>
    <w:rPr>
      <w:b/>
      <w:color w:val="0F5DA5"/>
      <w:u w:val="single"/>
    </w:rPr>
  </w:style>
  <w:style w:type="character" w:styleId="38">
    <w:name w:val="page number"/>
    <w:basedOn w:val="36"/>
    <w:qFormat/>
    <w:uiPriority w:val="0"/>
  </w:style>
  <w:style w:type="character" w:styleId="39">
    <w:name w:val="FollowedHyperlink"/>
    <w:qFormat/>
    <w:uiPriority w:val="0"/>
    <w:rPr>
      <w:color w:val="333333"/>
      <w:u w:val="none"/>
    </w:rPr>
  </w:style>
  <w:style w:type="character" w:styleId="40">
    <w:name w:val="Emphasis"/>
    <w:qFormat/>
    <w:uiPriority w:val="0"/>
  </w:style>
  <w:style w:type="character" w:styleId="41">
    <w:name w:val="HTML Definition"/>
    <w:qFormat/>
    <w:uiPriority w:val="0"/>
  </w:style>
  <w:style w:type="character" w:styleId="42">
    <w:name w:val="HTML Variable"/>
    <w:qFormat/>
    <w:uiPriority w:val="0"/>
  </w:style>
  <w:style w:type="character" w:styleId="43">
    <w:name w:val="Hyperlink"/>
    <w:basedOn w:val="36"/>
    <w:unhideWhenUsed/>
    <w:qFormat/>
    <w:uiPriority w:val="99"/>
    <w:rPr>
      <w:color w:val="333333"/>
      <w:u w:val="none"/>
    </w:rPr>
  </w:style>
  <w:style w:type="character" w:styleId="44">
    <w:name w:val="HTML Code"/>
    <w:qFormat/>
    <w:uiPriority w:val="0"/>
    <w:rPr>
      <w:rFonts w:ascii="Courier New" w:hAnsi="Courier New"/>
      <w:sz w:val="20"/>
    </w:rPr>
  </w:style>
  <w:style w:type="character" w:styleId="45">
    <w:name w:val="annotation reference"/>
    <w:qFormat/>
    <w:uiPriority w:val="0"/>
    <w:rPr>
      <w:sz w:val="21"/>
      <w:szCs w:val="21"/>
    </w:rPr>
  </w:style>
  <w:style w:type="character" w:styleId="46">
    <w:name w:val="HTML Cite"/>
    <w:qFormat/>
    <w:uiPriority w:val="0"/>
  </w:style>
  <w:style w:type="character" w:customStyle="1" w:styleId="47">
    <w:name w:val="标题 1 字符"/>
    <w:link w:val="3"/>
    <w:qFormat/>
    <w:uiPriority w:val="0"/>
    <w:rPr>
      <w:bCs/>
      <w:kern w:val="44"/>
      <w:sz w:val="44"/>
      <w:szCs w:val="44"/>
    </w:rPr>
  </w:style>
  <w:style w:type="character" w:customStyle="1" w:styleId="48">
    <w:name w:val="标题 2 字符"/>
    <w:link w:val="4"/>
    <w:qFormat/>
    <w:uiPriority w:val="0"/>
    <w:rPr>
      <w:rFonts w:ascii="Arial" w:hAnsi="Arial" w:eastAsia="黑体"/>
      <w:b/>
      <w:bCs/>
      <w:kern w:val="2"/>
      <w:sz w:val="32"/>
      <w:szCs w:val="32"/>
    </w:rPr>
  </w:style>
  <w:style w:type="character" w:customStyle="1" w:styleId="49">
    <w:name w:val="正文缩进 字符"/>
    <w:link w:val="9"/>
    <w:qFormat/>
    <w:uiPriority w:val="0"/>
    <w:rPr>
      <w:rFonts w:eastAsia="宋体"/>
      <w:kern w:val="2"/>
      <w:sz w:val="21"/>
      <w:szCs w:val="24"/>
      <w:lang w:val="en-US" w:eastAsia="zh-CN" w:bidi="ar-SA"/>
    </w:rPr>
  </w:style>
  <w:style w:type="character" w:customStyle="1" w:styleId="50">
    <w:name w:val="文档结构图 字符"/>
    <w:link w:val="10"/>
    <w:qFormat/>
    <w:uiPriority w:val="0"/>
    <w:rPr>
      <w:rFonts w:ascii="宋体"/>
      <w:sz w:val="18"/>
      <w:szCs w:val="18"/>
    </w:rPr>
  </w:style>
  <w:style w:type="character" w:customStyle="1" w:styleId="51">
    <w:name w:val="批注文字 字符"/>
    <w:link w:val="11"/>
    <w:qFormat/>
    <w:uiPriority w:val="0"/>
    <w:rPr>
      <w:kern w:val="2"/>
      <w:sz w:val="21"/>
      <w:szCs w:val="24"/>
    </w:rPr>
  </w:style>
  <w:style w:type="character" w:customStyle="1" w:styleId="52">
    <w:name w:val="纯文本 字符"/>
    <w:link w:val="17"/>
    <w:qFormat/>
    <w:uiPriority w:val="0"/>
    <w:rPr>
      <w:rFonts w:ascii="宋体" w:hAnsi="Courier New" w:eastAsia="宋体"/>
      <w:kern w:val="2"/>
      <w:sz w:val="21"/>
      <w:lang w:val="en-US" w:eastAsia="zh-CN" w:bidi="ar-SA"/>
    </w:rPr>
  </w:style>
  <w:style w:type="character" w:customStyle="1" w:styleId="53">
    <w:name w:val="批注框文本 字符"/>
    <w:link w:val="21"/>
    <w:qFormat/>
    <w:uiPriority w:val="0"/>
    <w:rPr>
      <w:kern w:val="2"/>
      <w:sz w:val="18"/>
      <w:szCs w:val="18"/>
    </w:rPr>
  </w:style>
  <w:style w:type="character" w:customStyle="1" w:styleId="54">
    <w:name w:val="TOC 1 字符"/>
    <w:link w:val="24"/>
    <w:qFormat/>
    <w:uiPriority w:val="39"/>
  </w:style>
  <w:style w:type="character" w:customStyle="1" w:styleId="55">
    <w:name w:val="标题 字符"/>
    <w:link w:val="31"/>
    <w:qFormat/>
    <w:uiPriority w:val="99"/>
    <w:rPr>
      <w:rFonts w:ascii="Cambria" w:hAnsi="Cambria" w:cs="Times New Roman"/>
      <w:b/>
      <w:bCs/>
      <w:kern w:val="2"/>
      <w:sz w:val="32"/>
      <w:szCs w:val="32"/>
    </w:rPr>
  </w:style>
  <w:style w:type="character" w:customStyle="1" w:styleId="56">
    <w:name w:val="批注主题 字符"/>
    <w:link w:val="32"/>
    <w:qFormat/>
    <w:uiPriority w:val="0"/>
    <w:rPr>
      <w:b/>
      <w:bCs/>
      <w:kern w:val="2"/>
      <w:sz w:val="21"/>
      <w:szCs w:val="24"/>
    </w:rPr>
  </w:style>
  <w:style w:type="character" w:customStyle="1" w:styleId="57">
    <w:name w:val="label"/>
    <w:qFormat/>
    <w:uiPriority w:val="0"/>
    <w:rPr>
      <w:color w:val="555555"/>
    </w:rPr>
  </w:style>
  <w:style w:type="character" w:customStyle="1" w:styleId="58">
    <w:name w:val="img"/>
    <w:basedOn w:val="36"/>
    <w:qFormat/>
    <w:uiPriority w:val="0"/>
  </w:style>
  <w:style w:type="character" w:customStyle="1" w:styleId="59">
    <w:name w:val="qxdate"/>
    <w:qFormat/>
    <w:uiPriority w:val="0"/>
    <w:rPr>
      <w:color w:val="333333"/>
      <w:sz w:val="18"/>
      <w:szCs w:val="18"/>
    </w:rPr>
  </w:style>
  <w:style w:type="character" w:customStyle="1" w:styleId="60">
    <w:name w:val="displayarti"/>
    <w:qFormat/>
    <w:uiPriority w:val="0"/>
    <w:rPr>
      <w:color w:val="FFFFFF"/>
      <w:shd w:val="clear" w:color="auto" w:fill="A00000"/>
    </w:rPr>
  </w:style>
  <w:style w:type="character" w:customStyle="1" w:styleId="61">
    <w:name w:val="modifier"/>
    <w:qFormat/>
    <w:uiPriority w:val="0"/>
    <w:rPr>
      <w:color w:val="FF0000"/>
    </w:rPr>
  </w:style>
  <w:style w:type="character" w:customStyle="1" w:styleId="62">
    <w:name w:val="font111"/>
    <w:qFormat/>
    <w:uiPriority w:val="0"/>
    <w:rPr>
      <w:rFonts w:hint="default" w:ascii="Eʩ" w:hAnsi="Eʩ" w:eastAsia="Eʩ" w:cs="Eʩ"/>
      <w:color w:val="000000"/>
      <w:sz w:val="21"/>
      <w:szCs w:val="21"/>
      <w:u w:val="single"/>
    </w:rPr>
  </w:style>
  <w:style w:type="character" w:customStyle="1" w:styleId="63">
    <w:name w:val="页码1"/>
    <w:qFormat/>
    <w:uiPriority w:val="0"/>
  </w:style>
  <w:style w:type="character" w:customStyle="1" w:styleId="64">
    <w:name w:val="redfilefwwh"/>
    <w:qFormat/>
    <w:uiPriority w:val="0"/>
    <w:rPr>
      <w:color w:val="BA2636"/>
      <w:sz w:val="18"/>
      <w:szCs w:val="18"/>
    </w:rPr>
  </w:style>
  <w:style w:type="character" w:customStyle="1" w:styleId="65">
    <w:name w:val="cfdate"/>
    <w:qFormat/>
    <w:uiPriority w:val="0"/>
    <w:rPr>
      <w:color w:val="333333"/>
      <w:sz w:val="18"/>
      <w:szCs w:val="18"/>
    </w:rPr>
  </w:style>
  <w:style w:type="character" w:customStyle="1" w:styleId="66">
    <w:name w:val="img1"/>
    <w:basedOn w:val="36"/>
    <w:qFormat/>
    <w:uiPriority w:val="0"/>
  </w:style>
  <w:style w:type="character" w:customStyle="1" w:styleId="67">
    <w:name w:val="（符号）邀请函中一、"/>
    <w:qFormat/>
    <w:uiPriority w:val="0"/>
    <w:rPr>
      <w:rFonts w:ascii="黑体" w:hAnsi="黑体" w:eastAsia="黑体"/>
      <w:b/>
      <w:bCs/>
      <w:sz w:val="24"/>
    </w:rPr>
  </w:style>
  <w:style w:type="character" w:customStyle="1" w:styleId="68">
    <w:name w:val="font31"/>
    <w:qFormat/>
    <w:uiPriority w:val="0"/>
    <w:rPr>
      <w:rFonts w:hint="eastAsia" w:ascii="宋体" w:hAnsi="宋体" w:eastAsia="宋体" w:cs="宋体"/>
      <w:color w:val="000000"/>
      <w:sz w:val="21"/>
      <w:szCs w:val="21"/>
      <w:u w:val="none"/>
    </w:rPr>
  </w:style>
  <w:style w:type="character" w:customStyle="1" w:styleId="69">
    <w:name w:val="NormalCharacter"/>
    <w:qFormat/>
    <w:uiPriority w:val="0"/>
  </w:style>
  <w:style w:type="character" w:customStyle="1" w:styleId="70">
    <w:name w:val="font91"/>
    <w:qFormat/>
    <w:uiPriority w:val="0"/>
    <w:rPr>
      <w:rFonts w:hint="eastAsia" w:ascii="宋体" w:hAnsi="宋体" w:eastAsia="宋体" w:cs="宋体"/>
      <w:color w:val="FF0000"/>
      <w:sz w:val="21"/>
      <w:szCs w:val="21"/>
      <w:u w:val="single"/>
    </w:rPr>
  </w:style>
  <w:style w:type="character" w:customStyle="1" w:styleId="71">
    <w:name w:val="font01"/>
    <w:qFormat/>
    <w:uiPriority w:val="0"/>
    <w:rPr>
      <w:rFonts w:hint="eastAsia" w:ascii="宋体" w:hAnsi="宋体" w:eastAsia="宋体" w:cs="宋体"/>
      <w:color w:val="FF0000"/>
      <w:sz w:val="21"/>
      <w:szCs w:val="21"/>
      <w:u w:val="none"/>
    </w:rPr>
  </w:style>
  <w:style w:type="character" w:customStyle="1" w:styleId="72">
    <w:name w:val="redfilenumber"/>
    <w:qFormat/>
    <w:uiPriority w:val="0"/>
    <w:rPr>
      <w:color w:val="BA2636"/>
      <w:sz w:val="18"/>
      <w:szCs w:val="18"/>
    </w:rPr>
  </w:style>
  <w:style w:type="character" w:customStyle="1" w:styleId="73">
    <w:name w:val="表格 Char Char"/>
    <w:link w:val="74"/>
    <w:qFormat/>
    <w:uiPriority w:val="0"/>
    <w:rPr>
      <w:kern w:val="2"/>
      <w:sz w:val="24"/>
      <w:szCs w:val="24"/>
    </w:rPr>
  </w:style>
  <w:style w:type="paragraph" w:customStyle="1" w:styleId="74">
    <w:name w:val="表格"/>
    <w:basedOn w:val="1"/>
    <w:link w:val="73"/>
    <w:qFormat/>
    <w:uiPriority w:val="0"/>
    <w:pPr>
      <w:spacing w:line="400" w:lineRule="exact"/>
    </w:pPr>
    <w:rPr>
      <w:rFonts w:ascii="Times New Roman"/>
      <w:kern w:val="2"/>
      <w:sz w:val="24"/>
      <w:szCs w:val="24"/>
    </w:rPr>
  </w:style>
  <w:style w:type="character" w:customStyle="1" w:styleId="75">
    <w:name w:val="gjfg"/>
    <w:basedOn w:val="36"/>
    <w:qFormat/>
    <w:uiPriority w:val="0"/>
  </w:style>
  <w:style w:type="character" w:customStyle="1" w:styleId="76">
    <w:name w:val="font101"/>
    <w:qFormat/>
    <w:uiPriority w:val="0"/>
    <w:rPr>
      <w:rFonts w:hint="eastAsia" w:ascii="宋体" w:hAnsi="宋体" w:eastAsia="宋体" w:cs="宋体"/>
      <w:color w:val="000000"/>
      <w:sz w:val="21"/>
      <w:szCs w:val="21"/>
      <w:u w:val="single"/>
    </w:rPr>
  </w:style>
  <w:style w:type="paragraph" w:customStyle="1" w:styleId="7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7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79">
    <w:name w:val="正文 New New New New New New New New New New New New New New New New"/>
    <w:qFormat/>
    <w:uiPriority w:val="0"/>
    <w:pPr>
      <w:widowControl w:val="0"/>
      <w:jc w:val="both"/>
    </w:pPr>
    <w:rPr>
      <w:rFonts w:ascii="宋体" w:hAnsi="Times New Roman" w:eastAsia="宋体" w:cs="Times New Roman"/>
      <w:sz w:val="34"/>
      <w:szCs w:val="22"/>
      <w:lang w:val="en-US" w:eastAsia="zh-CN" w:bidi="ar-SA"/>
    </w:rPr>
  </w:style>
  <w:style w:type="paragraph" w:customStyle="1" w:styleId="80">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81">
    <w:name w:val="_Style 2"/>
    <w:basedOn w:val="1"/>
    <w:qFormat/>
    <w:uiPriority w:val="0"/>
    <w:pPr>
      <w:ind w:firstLine="420" w:firstLineChars="200"/>
    </w:pPr>
    <w:rPr>
      <w:sz w:val="18"/>
      <w:szCs w:val="18"/>
    </w:rPr>
  </w:style>
  <w:style w:type="paragraph" w:customStyle="1" w:styleId="82">
    <w:name w:val="正文 A"/>
    <w:qFormat/>
    <w:uiPriority w:val="0"/>
    <w:rPr>
      <w:rFonts w:ascii="宋体" w:hAnsi="宋体" w:eastAsia="宋体" w:cs="宋体"/>
      <w:color w:val="000000"/>
      <w:sz w:val="34"/>
      <w:szCs w:val="34"/>
      <w:u w:val="none" w:color="000000"/>
      <w:lang w:val="en-US" w:eastAsia="zh-CN" w:bidi="ar-SA"/>
    </w:rPr>
  </w:style>
  <w:style w:type="paragraph" w:styleId="83">
    <w:name w:val="List Paragraph"/>
    <w:basedOn w:val="1"/>
    <w:qFormat/>
    <w:uiPriority w:val="0"/>
    <w:pPr>
      <w:ind w:firstLine="420" w:firstLineChars="200"/>
    </w:pPr>
    <w:rPr>
      <w:sz w:val="18"/>
      <w:szCs w:val="18"/>
    </w:rPr>
  </w:style>
  <w:style w:type="paragraph" w:customStyle="1" w:styleId="84">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85">
    <w:name w:val="WPSOffice手动目录 3"/>
    <w:qFormat/>
    <w:uiPriority w:val="0"/>
    <w:pPr>
      <w:ind w:leftChars="400"/>
    </w:pPr>
    <w:rPr>
      <w:rFonts w:ascii="Times New Roman" w:hAnsi="Times New Roman" w:eastAsia="宋体" w:cs="Times New Roman"/>
      <w:lang w:val="en-US" w:eastAsia="zh-CN" w:bidi="ar-SA"/>
    </w:rPr>
  </w:style>
  <w:style w:type="paragraph" w:customStyle="1" w:styleId="86">
    <w:name w:val="正文首行缩进两字符"/>
    <w:basedOn w:val="1"/>
    <w:qFormat/>
    <w:uiPriority w:val="0"/>
    <w:pPr>
      <w:spacing w:line="360" w:lineRule="auto"/>
      <w:ind w:firstLine="200" w:firstLineChars="200"/>
    </w:pPr>
  </w:style>
  <w:style w:type="paragraph" w:customStyle="1" w:styleId="87">
    <w:name w:val="Default"/>
    <w:unhideWhenUsed/>
    <w:qFormat/>
    <w:uiPriority w:val="99"/>
    <w:pPr>
      <w:widowControl w:val="0"/>
      <w:autoSpaceDE w:val="0"/>
      <w:autoSpaceDN w:val="0"/>
      <w:adjustRightInd w:val="0"/>
    </w:pPr>
    <w:rPr>
      <w:rFonts w:ascii="宋体" w:hAnsi="宋体" w:eastAsia="宋体" w:cs="Times New Roman"/>
      <w:color w:val="000000"/>
      <w:sz w:val="24"/>
      <w:lang w:val="en-US" w:eastAsia="zh-CN" w:bidi="ar-SA"/>
    </w:rPr>
  </w:style>
  <w:style w:type="paragraph" w:customStyle="1" w:styleId="88">
    <w:name w:val="BodyText"/>
    <w:basedOn w:val="1"/>
    <w:qFormat/>
    <w:uiPriority w:val="0"/>
    <w:pPr>
      <w:spacing w:after="120"/>
      <w:jc w:val="both"/>
      <w:textAlignment w:val="baseline"/>
    </w:pPr>
  </w:style>
  <w:style w:type="paragraph" w:customStyle="1" w:styleId="89">
    <w:name w:val="Heading1"/>
    <w:basedOn w:val="1"/>
    <w:next w:val="1"/>
    <w:qFormat/>
    <w:uiPriority w:val="0"/>
    <w:pPr>
      <w:keepNext/>
      <w:keepLines/>
      <w:spacing w:before="340" w:after="330" w:line="578" w:lineRule="auto"/>
      <w:jc w:val="both"/>
      <w:textAlignment w:val="baseline"/>
    </w:pPr>
    <w:rPr>
      <w:rFonts w:cs="Times New Roman"/>
      <w:b/>
      <w:bCs/>
      <w:kern w:val="44"/>
      <w:sz w:val="44"/>
      <w:szCs w:val="44"/>
      <w:lang w:val="en-US" w:eastAsia="zh-CN" w:bidi="ar-SA"/>
    </w:rPr>
  </w:style>
  <w:style w:type="paragraph" w:customStyle="1" w:styleId="90">
    <w:name w:val="HtmlNormal"/>
    <w:basedOn w:val="1"/>
    <w:qFormat/>
    <w:uiPriority w:val="0"/>
    <w:pPr>
      <w:widowControl/>
      <w:spacing w:before="100" w:beforeAutospacing="1" w:after="100" w:afterAutospacing="1"/>
      <w:jc w:val="left"/>
      <w:textAlignment w:val="baseline"/>
    </w:pPr>
    <w:rPr>
      <w:rFonts w:ascii="宋体" w:hAnsi="宋体"/>
      <w:kern w:val="0"/>
      <w:sz w:val="18"/>
      <w:szCs w:val="18"/>
      <w:lang w:val="en-US" w:eastAsia="zh-CN" w:bidi="ar-SA"/>
    </w:rPr>
  </w:style>
  <w:style w:type="paragraph" w:customStyle="1" w:styleId="91">
    <w:name w:val="纯文本1"/>
    <w:qFormat/>
    <w:uiPriority w:val="0"/>
    <w:pPr>
      <w:widowControl w:val="0"/>
      <w:jc w:val="both"/>
    </w:pPr>
    <w:rPr>
      <w:rFonts w:ascii="宋体" w:hAnsi="宋体" w:eastAsia="宋体" w:cs="宋体"/>
      <w:color w:val="000000"/>
      <w:sz w:val="21"/>
      <w:szCs w:val="21"/>
      <w:u w:val="none" w:color="000000"/>
      <w:lang w:val="en-US" w:eastAsia="zh-CN" w:bidi="ar-SA"/>
    </w:rPr>
  </w:style>
  <w:style w:type="paragraph" w:customStyle="1" w:styleId="92">
    <w:name w:val="WPSOffice手动目录 2"/>
    <w:qFormat/>
    <w:uiPriority w:val="0"/>
    <w:pPr>
      <w:ind w:leftChars="200"/>
    </w:pPr>
    <w:rPr>
      <w:rFonts w:ascii="Times New Roman" w:hAnsi="Times New Roman" w:eastAsia="宋体" w:cs="Times New Roman"/>
      <w:lang w:val="en-US" w:eastAsia="zh-CN" w:bidi="ar-SA"/>
    </w:rPr>
  </w:style>
  <w:style w:type="paragraph" w:customStyle="1" w:styleId="93">
    <w:name w:val="样式 首行缩进:  2 字符"/>
    <w:basedOn w:val="1"/>
    <w:qFormat/>
    <w:uiPriority w:val="0"/>
    <w:pPr>
      <w:spacing w:line="400" w:lineRule="exact"/>
      <w:ind w:firstLine="200" w:firstLineChars="200"/>
    </w:pPr>
    <w:rPr>
      <w:rFonts w:cs="宋体"/>
      <w:sz w:val="24"/>
    </w:rPr>
  </w:style>
  <w:style w:type="paragraph" w:customStyle="1" w:styleId="94">
    <w:name w:val="Table Paragraph"/>
    <w:basedOn w:val="1"/>
    <w:qFormat/>
    <w:uiPriority w:val="1"/>
    <w:rPr>
      <w:rFonts w:ascii="宋体" w:hAnsi="宋体" w:eastAsia="宋体" w:cs="宋体"/>
      <w:lang w:val="nl-NL" w:eastAsia="nl-NL" w:bidi="nl-NL"/>
    </w:rPr>
  </w:style>
  <w:style w:type="paragraph" w:customStyle="1" w:styleId="95">
    <w:name w:val="标题 5（有编号）（绿盟科技）"/>
    <w:basedOn w:val="1"/>
    <w:next w:val="84"/>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96">
    <w:name w:val="列出段落1"/>
    <w:basedOn w:val="1"/>
    <w:qFormat/>
    <w:uiPriority w:val="0"/>
    <w:pPr>
      <w:widowControl/>
      <w:spacing w:before="39" w:after="158" w:line="351" w:lineRule="atLeast"/>
      <w:ind w:firstLine="419"/>
      <w:textAlignment w:val="baseline"/>
    </w:pPr>
    <w:rPr>
      <w:rFonts w:ascii="Times New Roman" w:hAnsi="Times New Roman"/>
      <w:color w:val="000000"/>
      <w:kern w:val="0"/>
      <w:szCs w:val="20"/>
      <w:u w:val="none" w:color="000000"/>
    </w:rPr>
  </w:style>
  <w:style w:type="paragraph" w:customStyle="1" w:styleId="97">
    <w:name w:val="WPSOffice手动目录 1"/>
    <w:qFormat/>
    <w:uiPriority w:val="0"/>
    <w:rPr>
      <w:rFonts w:ascii="Times New Roman" w:hAnsi="Times New Roman" w:eastAsia="宋体" w:cs="Times New Roman"/>
      <w:lang w:val="en-US" w:eastAsia="zh-CN" w:bidi="ar-SA"/>
    </w:rPr>
  </w:style>
  <w:style w:type="paragraph" w:customStyle="1" w:styleId="98">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9">
    <w:name w:val="02、首行缩进2字符正文"/>
    <w:basedOn w:val="1"/>
    <w:qFormat/>
    <w:uiPriority w:val="0"/>
    <w:pPr>
      <w:tabs>
        <w:tab w:val="left" w:pos="0"/>
      </w:tabs>
      <w:wordWrap w:val="0"/>
      <w:topLinePunct/>
      <w:ind w:firstLine="480" w:firstLineChars="200"/>
    </w:pPr>
  </w:style>
  <w:style w:type="paragraph" w:customStyle="1" w:styleId="100">
    <w:name w:val="章标题"/>
    <w:basedOn w:val="1"/>
    <w:next w:val="1"/>
    <w:qFormat/>
    <w:uiPriority w:val="0"/>
    <w:pPr>
      <w:widowControl/>
      <w:spacing w:before="158" w:after="153" w:line="323" w:lineRule="atLeast"/>
      <w:ind w:right="-120"/>
      <w:jc w:val="center"/>
      <w:textAlignment w:val="baseline"/>
    </w:pPr>
    <w:rPr>
      <w:rFonts w:ascii="Times New Roman" w:hAnsi="Times New Roman"/>
      <w:color w:val="FF0000"/>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www.lenovo.com</Company>
  <Pages>98</Pages>
  <Words>8655</Words>
  <Characters>49336</Characters>
  <Lines>411</Lines>
  <Paragraphs>115</Paragraphs>
  <TotalTime>38</TotalTime>
  <ScaleCrop>false</ScaleCrop>
  <LinksUpToDate>false</LinksUpToDate>
  <CharactersWithSpaces>57876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2011-07-25T16:05:00Z</dcterms:created>
  <dc:creator>雨林木风</dc:creator>
  <cp:lastModifiedBy>Administrator</cp:lastModifiedBy>
  <cp:lastPrinted>2021-08-27T03:35:00Z</cp:lastPrinted>
  <dcterms:modified xsi:type="dcterms:W3CDTF">2021-10-12T06:30:49Z</dcterms:modified>
  <dc:title>关于征求意见的通知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00A80C7F8A764E7DAF1207B4714F2077</vt:lpwstr>
  </property>
</Properties>
</file>