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b/>
          <w:color w:val="auto"/>
          <w:sz w:val="30"/>
          <w:szCs w:val="30"/>
          <w:highlight w:val="none"/>
        </w:rPr>
      </w:pPr>
      <w:bookmarkStart w:id="0" w:name="_Hlt101233737"/>
      <w:bookmarkEnd w:id="0"/>
      <w:bookmarkStart w:id="1" w:name="_Hlt101843627"/>
      <w:bookmarkEnd w:id="1"/>
      <w:r>
        <w:rPr>
          <w:rFonts w:hint="eastAsia" w:ascii="宋体" w:hAnsi="宋体"/>
          <w:b/>
          <w:color w:val="auto"/>
          <w:sz w:val="30"/>
          <w:szCs w:val="30"/>
          <w:highlight w:val="none"/>
        </w:rPr>
        <w:t>项目编号：510101202101134 </w:t>
      </w:r>
    </w:p>
    <w:p>
      <w:pPr>
        <w:spacing w:line="360" w:lineRule="auto"/>
        <w:jc w:val="left"/>
        <w:rPr>
          <w:rFonts w:ascii="宋体" w:hAnsi="宋体"/>
          <w:b/>
          <w:color w:val="auto"/>
          <w:sz w:val="30"/>
          <w:szCs w:val="30"/>
          <w:highlight w:val="none"/>
        </w:rPr>
      </w:pPr>
      <w:r>
        <w:rPr>
          <w:rFonts w:hint="eastAsia" w:ascii="宋体" w:hAnsi="宋体"/>
          <w:b/>
          <w:color w:val="auto"/>
          <w:sz w:val="30"/>
          <w:szCs w:val="30"/>
          <w:highlight w:val="none"/>
        </w:rPr>
        <w:t>内部编号：YTTH-2021-ZC0040</w:t>
      </w:r>
    </w:p>
    <w:p>
      <w:pPr>
        <w:pStyle w:val="2"/>
        <w:spacing w:line="360" w:lineRule="auto"/>
        <w:rPr>
          <w:color w:val="auto"/>
          <w:highlight w:val="none"/>
        </w:rPr>
      </w:pPr>
    </w:p>
    <w:p>
      <w:pPr>
        <w:spacing w:line="360" w:lineRule="auto"/>
        <w:jc w:val="center"/>
        <w:rPr>
          <w:rFonts w:hint="eastAsia" w:ascii="宋体" w:hAnsi="宋体"/>
          <w:b/>
          <w:color w:val="auto"/>
          <w:sz w:val="44"/>
          <w:szCs w:val="44"/>
          <w:highlight w:val="none"/>
        </w:rPr>
      </w:pPr>
      <w:bookmarkStart w:id="2" w:name="_Toc18738"/>
      <w:bookmarkStart w:id="3" w:name="_Toc6636"/>
      <w:bookmarkStart w:id="4" w:name="_Toc10017"/>
      <w:r>
        <w:rPr>
          <w:rFonts w:hint="eastAsia" w:ascii="宋体" w:hAnsi="宋体"/>
          <w:b/>
          <w:color w:val="auto"/>
          <w:sz w:val="44"/>
          <w:szCs w:val="44"/>
          <w:highlight w:val="none"/>
          <w:lang w:eastAsia="zh-CN"/>
        </w:rPr>
        <w:t>成都市植物园（成都市公园城市植物科学研究院）关于“21年大运会氛围营造项目-其他及相关辅助项目-大运会苗木选育温室”采购项目</w:t>
      </w:r>
    </w:p>
    <w:p>
      <w:pPr>
        <w:spacing w:line="360" w:lineRule="auto"/>
        <w:jc w:val="center"/>
        <w:rPr>
          <w:rFonts w:ascii="宋体" w:hAnsi="宋体"/>
          <w:b/>
          <w:color w:val="auto"/>
          <w:sz w:val="72"/>
          <w:szCs w:val="72"/>
          <w:highlight w:val="none"/>
        </w:rPr>
      </w:pPr>
    </w:p>
    <w:p>
      <w:pPr>
        <w:pStyle w:val="2"/>
        <w:rPr>
          <w:color w:val="auto"/>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竞争性磋商</w:t>
      </w:r>
      <w:bookmarkEnd w:id="2"/>
    </w:p>
    <w:p>
      <w:pPr>
        <w:spacing w:line="360" w:lineRule="auto"/>
        <w:jc w:val="center"/>
        <w:rPr>
          <w:rFonts w:ascii="宋体" w:hAnsi="宋体"/>
          <w:b/>
          <w:color w:val="auto"/>
          <w:sz w:val="32"/>
          <w:szCs w:val="40"/>
          <w:highlight w:val="none"/>
        </w:rPr>
      </w:pPr>
      <w:bookmarkStart w:id="5" w:name="_Toc15473"/>
      <w:r>
        <w:rPr>
          <w:rFonts w:hint="eastAsia" w:ascii="宋体" w:hAnsi="宋体"/>
          <w:b/>
          <w:color w:val="auto"/>
          <w:sz w:val="72"/>
          <w:szCs w:val="72"/>
          <w:highlight w:val="none"/>
        </w:rPr>
        <w:t>采购文件</w:t>
      </w:r>
      <w:bookmarkEnd w:id="3"/>
      <w:bookmarkEnd w:id="4"/>
      <w:bookmarkEnd w:id="5"/>
    </w:p>
    <w:p>
      <w:pPr>
        <w:pStyle w:val="2"/>
        <w:rPr>
          <w:rFonts w:ascii="宋体" w:hAnsi="宋体"/>
          <w:b/>
          <w:color w:val="auto"/>
          <w:w w:val="90"/>
          <w:sz w:val="36"/>
          <w:szCs w:val="36"/>
          <w:highlight w:val="none"/>
        </w:rPr>
      </w:pPr>
    </w:p>
    <w:p>
      <w:pPr>
        <w:rPr>
          <w:rFonts w:ascii="宋体" w:hAnsi="宋体"/>
          <w:b/>
          <w:color w:val="auto"/>
          <w:w w:val="90"/>
          <w:sz w:val="36"/>
          <w:szCs w:val="36"/>
          <w:highlight w:val="none"/>
        </w:rPr>
      </w:pPr>
    </w:p>
    <w:p>
      <w:pPr>
        <w:pStyle w:val="2"/>
        <w:rPr>
          <w:color w:val="auto"/>
          <w:highlight w:val="none"/>
        </w:rPr>
      </w:pPr>
    </w:p>
    <w:p>
      <w:pPr>
        <w:pStyle w:val="2"/>
        <w:rPr>
          <w:rFonts w:ascii="宋体" w:hAnsi="宋体"/>
          <w:b/>
          <w:color w:val="auto"/>
          <w:w w:val="90"/>
          <w:sz w:val="36"/>
          <w:szCs w:val="36"/>
          <w:highlight w:val="none"/>
        </w:rPr>
      </w:pPr>
    </w:p>
    <w:p>
      <w:pPr>
        <w:pStyle w:val="2"/>
        <w:rPr>
          <w:color w:val="auto"/>
          <w:highlight w:val="none"/>
        </w:rPr>
      </w:pPr>
    </w:p>
    <w:p>
      <w:pPr>
        <w:spacing w:line="360" w:lineRule="auto"/>
        <w:jc w:val="center"/>
        <w:rPr>
          <w:rFonts w:ascii="宋体" w:hAnsi="宋体"/>
          <w:b/>
          <w:color w:val="auto"/>
          <w:w w:val="90"/>
          <w:sz w:val="32"/>
          <w:szCs w:val="32"/>
          <w:highlight w:val="none"/>
        </w:rPr>
      </w:pPr>
      <w:r>
        <w:rPr>
          <w:rFonts w:hint="eastAsia" w:ascii="宋体" w:hAnsi="宋体"/>
          <w:b/>
          <w:color w:val="auto"/>
          <w:w w:val="90"/>
          <w:sz w:val="32"/>
          <w:szCs w:val="32"/>
          <w:highlight w:val="none"/>
        </w:rPr>
        <w:t>中国·四川</w:t>
      </w:r>
    </w:p>
    <w:p>
      <w:pPr>
        <w:spacing w:line="360" w:lineRule="auto"/>
        <w:jc w:val="center"/>
        <w:rPr>
          <w:rFonts w:hint="eastAsia" w:ascii="宋体" w:hAnsi="宋体" w:eastAsia="宋体"/>
          <w:b/>
          <w:color w:val="auto"/>
          <w:w w:val="90"/>
          <w:sz w:val="32"/>
          <w:szCs w:val="32"/>
          <w:highlight w:val="none"/>
          <w:lang w:eastAsia="zh-CN"/>
        </w:rPr>
      </w:pPr>
      <w:r>
        <w:rPr>
          <w:rFonts w:hint="eastAsia" w:ascii="宋体" w:hAnsi="宋体"/>
          <w:b/>
          <w:color w:val="auto"/>
          <w:w w:val="90"/>
          <w:sz w:val="32"/>
          <w:szCs w:val="32"/>
          <w:highlight w:val="none"/>
        </w:rPr>
        <w:t>采购人：</w:t>
      </w:r>
      <w:r>
        <w:rPr>
          <w:rFonts w:hint="eastAsia" w:ascii="宋体" w:hAnsi="宋体"/>
          <w:b/>
          <w:color w:val="auto"/>
          <w:w w:val="90"/>
          <w:sz w:val="32"/>
          <w:szCs w:val="32"/>
          <w:highlight w:val="none"/>
          <w:lang w:eastAsia="zh-CN"/>
        </w:rPr>
        <w:t>成都市植物园（成都市公园城市植物科学研究院）</w:t>
      </w:r>
    </w:p>
    <w:p>
      <w:pPr>
        <w:spacing w:line="360" w:lineRule="auto"/>
        <w:jc w:val="center"/>
        <w:rPr>
          <w:rFonts w:ascii="宋体" w:hAnsi="宋体"/>
          <w:b/>
          <w:color w:val="auto"/>
          <w:w w:val="90"/>
          <w:sz w:val="32"/>
          <w:szCs w:val="32"/>
          <w:highlight w:val="none"/>
        </w:rPr>
      </w:pPr>
      <w:r>
        <w:rPr>
          <w:rFonts w:hint="eastAsia" w:ascii="宋体" w:hAnsi="宋体"/>
          <w:b/>
          <w:color w:val="auto"/>
          <w:w w:val="90"/>
          <w:sz w:val="32"/>
          <w:szCs w:val="32"/>
          <w:highlight w:val="none"/>
        </w:rPr>
        <w:t>代理机构：四川易通天和招标代理有限公司</w:t>
      </w:r>
    </w:p>
    <w:p>
      <w:pPr>
        <w:spacing w:line="360" w:lineRule="auto"/>
        <w:jc w:val="center"/>
        <w:rPr>
          <w:rFonts w:hint="eastAsia" w:ascii="宋体" w:hAnsi="宋体"/>
          <w:b/>
          <w:color w:val="auto"/>
          <w:w w:val="90"/>
          <w:sz w:val="32"/>
          <w:szCs w:val="32"/>
          <w:highlight w:val="none"/>
        </w:rPr>
      </w:pPr>
      <w:r>
        <w:rPr>
          <w:rFonts w:hint="eastAsia" w:ascii="宋体" w:hAnsi="宋体"/>
          <w:b/>
          <w:color w:val="auto"/>
          <w:w w:val="90"/>
          <w:sz w:val="32"/>
          <w:szCs w:val="32"/>
          <w:highlight w:val="none"/>
        </w:rPr>
        <w:t>共同编制</w:t>
      </w:r>
    </w:p>
    <w:p>
      <w:pPr>
        <w:pStyle w:val="2"/>
        <w:rPr>
          <w:color w:val="auto"/>
          <w:highlight w:val="none"/>
        </w:rPr>
      </w:pPr>
    </w:p>
    <w:p>
      <w:pPr>
        <w:spacing w:line="360" w:lineRule="auto"/>
        <w:jc w:val="center"/>
        <w:rPr>
          <w:rFonts w:ascii="宋体" w:hAnsi="宋体"/>
          <w:b/>
          <w:color w:val="auto"/>
          <w:w w:val="90"/>
          <w:sz w:val="36"/>
          <w:szCs w:val="36"/>
          <w:highlight w:val="none"/>
        </w:rPr>
      </w:pPr>
      <w:r>
        <w:rPr>
          <w:rFonts w:hint="eastAsia" w:ascii="宋体" w:hAnsi="宋体"/>
          <w:b/>
          <w:color w:val="auto"/>
          <w:w w:val="90"/>
          <w:sz w:val="32"/>
          <w:szCs w:val="32"/>
          <w:highlight w:val="none"/>
        </w:rPr>
        <w:t>二○二</w:t>
      </w:r>
      <w:r>
        <w:rPr>
          <w:rFonts w:hint="eastAsia" w:ascii="宋体" w:hAnsi="宋体"/>
          <w:b/>
          <w:color w:val="auto"/>
          <w:w w:val="90"/>
          <w:sz w:val="32"/>
          <w:szCs w:val="32"/>
          <w:highlight w:val="none"/>
          <w:lang w:eastAsia="zh-CN"/>
        </w:rPr>
        <w:t>一</w:t>
      </w:r>
      <w:r>
        <w:rPr>
          <w:rFonts w:hint="eastAsia" w:ascii="宋体" w:hAnsi="宋体"/>
          <w:b/>
          <w:color w:val="auto"/>
          <w:w w:val="90"/>
          <w:sz w:val="32"/>
          <w:szCs w:val="32"/>
          <w:highlight w:val="none"/>
        </w:rPr>
        <w:t>年</w:t>
      </w:r>
      <w:r>
        <w:rPr>
          <w:rFonts w:hint="eastAsia" w:ascii="宋体" w:hAnsi="宋体"/>
          <w:b/>
          <w:color w:val="auto"/>
          <w:w w:val="90"/>
          <w:sz w:val="32"/>
          <w:szCs w:val="32"/>
          <w:highlight w:val="none"/>
          <w:lang w:val="en-US" w:eastAsia="zh-CN"/>
        </w:rPr>
        <w:t>八</w:t>
      </w:r>
      <w:r>
        <w:rPr>
          <w:rFonts w:hint="eastAsia" w:ascii="宋体" w:hAnsi="宋体"/>
          <w:b/>
          <w:color w:val="auto"/>
          <w:w w:val="90"/>
          <w:sz w:val="32"/>
          <w:szCs w:val="32"/>
          <w:highlight w:val="none"/>
        </w:rPr>
        <w:t>月</w:t>
      </w:r>
      <w:r>
        <w:rPr>
          <w:rFonts w:hint="eastAsia" w:ascii="宋体" w:hAnsi="宋体"/>
          <w:b/>
          <w:color w:val="auto"/>
          <w:w w:val="90"/>
          <w:sz w:val="36"/>
          <w:szCs w:val="36"/>
          <w:highlight w:val="none"/>
        </w:rPr>
        <w:br w:type="page"/>
      </w:r>
    </w:p>
    <w:p>
      <w:pPr>
        <w:spacing w:line="360" w:lineRule="auto"/>
        <w:jc w:val="center"/>
        <w:rPr>
          <w:b/>
          <w:bCs/>
          <w:color w:val="auto"/>
          <w:sz w:val="40"/>
          <w:szCs w:val="48"/>
          <w:highlight w:val="none"/>
        </w:rPr>
      </w:pPr>
      <w:r>
        <w:rPr>
          <w:rFonts w:hint="eastAsia"/>
          <w:b/>
          <w:bCs/>
          <w:color w:val="auto"/>
          <w:sz w:val="40"/>
          <w:szCs w:val="48"/>
          <w:highlight w:val="none"/>
        </w:rPr>
        <w:t>政府采购廉洁承诺书</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为加强招标投标活动中的廉政建设，坚决维护国家利益和社会公共利益，进一步规范招标投标市场，宣扬公平竞争的风气，努力提供优质、细心、专业的服务，为采购人创造价值，防止发生违法违纪行为，落实公开、公平、公正的原则，根据国家有关法律、法规和廉政建设责任制的规定，本招标代理机构作如下承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1、不与他人串通，</w:t>
      </w:r>
      <w:r>
        <w:rPr>
          <w:rFonts w:hint="eastAsia" w:ascii="宋体" w:hAnsi="宋体" w:cs="宋体"/>
          <w:color w:val="auto"/>
          <w:sz w:val="24"/>
          <w:szCs w:val="32"/>
          <w:highlight w:val="none"/>
        </w:rPr>
        <w:t>泄露</w:t>
      </w:r>
      <w:r>
        <w:rPr>
          <w:rFonts w:hint="eastAsia" w:ascii="宋体" w:hAnsi="宋体" w:cs="宋体"/>
          <w:color w:val="auto"/>
          <w:sz w:val="24"/>
          <w:szCs w:val="32"/>
          <w:highlight w:val="none"/>
          <w:lang w:val="zh-CN"/>
        </w:rPr>
        <w:t>招标投标机密。</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2、不与采购人、供应商串通投标。</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3、不向评标专家支付合理报酬以外的</w:t>
      </w:r>
      <w:r>
        <w:rPr>
          <w:rFonts w:hint="eastAsia" w:ascii="宋体" w:hAnsi="宋体" w:cs="宋体"/>
          <w:color w:val="auto"/>
          <w:sz w:val="24"/>
          <w:szCs w:val="32"/>
          <w:highlight w:val="none"/>
        </w:rPr>
        <w:t>费用，包括并不限于</w:t>
      </w:r>
      <w:r>
        <w:rPr>
          <w:rFonts w:hint="eastAsia" w:ascii="宋体" w:hAnsi="宋体" w:cs="宋体"/>
          <w:color w:val="auto"/>
          <w:sz w:val="24"/>
          <w:szCs w:val="32"/>
          <w:highlight w:val="none"/>
          <w:lang w:val="zh-CN"/>
        </w:rPr>
        <w:t>现金、购物卡、礼品、实物等，</w:t>
      </w:r>
      <w:r>
        <w:rPr>
          <w:rFonts w:hint="eastAsia" w:ascii="宋体" w:hAnsi="宋体" w:cs="宋体"/>
          <w:color w:val="auto"/>
          <w:sz w:val="24"/>
          <w:szCs w:val="32"/>
          <w:highlight w:val="none"/>
        </w:rPr>
        <w:t>不进行</w:t>
      </w:r>
      <w:r>
        <w:rPr>
          <w:rFonts w:hint="eastAsia" w:ascii="宋体" w:hAnsi="宋体" w:cs="宋体"/>
          <w:color w:val="auto"/>
          <w:sz w:val="24"/>
          <w:szCs w:val="32"/>
          <w:highlight w:val="none"/>
          <w:lang w:val="zh-CN"/>
        </w:rPr>
        <w:t>其他可能影响客观公正评审的活动。</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4、不向招标投标监督人员或机构请客、送礼及组织其它有可能影响客观公正监督的活动。</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不向采购人提供任何不正当利益的方式谋求合作关系。</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不采取恶性竞争等不正当手段竞争业务。</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7、禁止一切</w:t>
      </w:r>
      <w:r>
        <w:rPr>
          <w:rFonts w:hint="eastAsia" w:ascii="宋体" w:hAnsi="宋体" w:cs="宋体"/>
          <w:color w:val="auto"/>
          <w:sz w:val="24"/>
          <w:szCs w:val="32"/>
          <w:highlight w:val="none"/>
          <w:lang w:val="zh-CN"/>
        </w:rPr>
        <w:t>行贿倾向、建议等行为。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8、</w:t>
      </w:r>
      <w:r>
        <w:rPr>
          <w:rFonts w:hint="eastAsia" w:ascii="宋体" w:hAnsi="宋体" w:cs="宋体"/>
          <w:color w:val="auto"/>
          <w:sz w:val="24"/>
          <w:szCs w:val="32"/>
          <w:highlight w:val="none"/>
          <w:lang w:val="zh-CN"/>
        </w:rPr>
        <w:t>禁止员工有索贿、受贿等行为。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9、严格遵守国家和省、市、区以及监管部门关于加强党风廉政建设的各项规定，加强对员工的廉政监督，积极开展廉政教育和职业道德教育，杜绝员工违纪违法行为的发生。</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本承诺书由承诺人盖章签字生效，如出现上述行为，</w:t>
      </w:r>
      <w:r>
        <w:rPr>
          <w:rFonts w:hint="eastAsia" w:ascii="宋体" w:hAnsi="宋体" w:cs="宋体"/>
          <w:color w:val="auto"/>
          <w:sz w:val="24"/>
          <w:szCs w:val="32"/>
          <w:highlight w:val="none"/>
        </w:rPr>
        <w:t>承诺人</w:t>
      </w:r>
      <w:r>
        <w:rPr>
          <w:rFonts w:hint="eastAsia" w:ascii="宋体" w:hAnsi="宋体" w:cs="宋体"/>
          <w:color w:val="auto"/>
          <w:sz w:val="24"/>
          <w:szCs w:val="32"/>
          <w:highlight w:val="none"/>
          <w:lang w:val="zh-CN"/>
        </w:rPr>
        <w:t>自愿承担相关责任，接受招标投标监督管理部门、纪检监察机关或司法机关调查处理。如发现本单位员工个人出现违反廉洁纪律的行为，各方均有权提醒并督促其纠正，或直接向我公司投诉、举报，经核查属实的，</w:t>
      </w:r>
      <w:r>
        <w:rPr>
          <w:rFonts w:hint="eastAsia" w:ascii="宋体" w:hAnsi="宋体" w:cs="宋体"/>
          <w:color w:val="auto"/>
          <w:sz w:val="24"/>
          <w:szCs w:val="32"/>
          <w:highlight w:val="none"/>
        </w:rPr>
        <w:t>将</w:t>
      </w:r>
      <w:r>
        <w:rPr>
          <w:rFonts w:hint="eastAsia" w:ascii="宋体" w:hAnsi="宋体" w:cs="宋体"/>
          <w:color w:val="auto"/>
          <w:sz w:val="24"/>
          <w:szCs w:val="32"/>
          <w:highlight w:val="none"/>
          <w:lang w:val="zh-CN"/>
        </w:rPr>
        <w:t>严格按照公司规定处理，涉及违法违纪的将追究相关法律责任。</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请各采购人及供应商监督！</w:t>
      </w:r>
    </w:p>
    <w:p>
      <w:pPr>
        <w:pStyle w:val="2"/>
        <w:spacing w:line="360" w:lineRule="auto"/>
        <w:rPr>
          <w:color w:val="auto"/>
          <w:highlight w:val="none"/>
        </w:rPr>
      </w:pPr>
    </w:p>
    <w:p>
      <w:pPr>
        <w:pStyle w:val="2"/>
        <w:spacing w:line="360" w:lineRule="auto"/>
        <w:rPr>
          <w:color w:val="auto"/>
          <w:highlight w:val="none"/>
        </w:rPr>
      </w:pPr>
    </w:p>
    <w:p>
      <w:pPr>
        <w:spacing w:line="360" w:lineRule="auto"/>
        <w:jc w:val="right"/>
        <w:rPr>
          <w:color w:val="auto"/>
          <w:highlight w:val="none"/>
        </w:rPr>
        <w:sectPr>
          <w:headerReference r:id="rId5" w:type="first"/>
          <w:headerReference r:id="rId3" w:type="default"/>
          <w:headerReference r:id="rId4" w:type="even"/>
          <w:footerReference r:id="rId6" w:type="even"/>
          <w:pgSz w:w="11850" w:h="16783"/>
          <w:pgMar w:top="1440" w:right="1304" w:bottom="1440" w:left="1417" w:header="851" w:footer="992" w:gutter="0"/>
          <w:pgBorders>
            <w:top w:val="none" w:sz="0" w:space="0"/>
            <w:left w:val="none" w:sz="0" w:space="0"/>
            <w:bottom w:val="none" w:sz="0" w:space="0"/>
            <w:right w:val="none" w:sz="0" w:space="0"/>
          </w:pgBorders>
          <w:pgNumType w:start="1"/>
          <w:cols w:space="0" w:num="1"/>
          <w:docGrid w:type="lines" w:linePitch="312" w:charSpace="0"/>
        </w:sectPr>
      </w:pPr>
      <w:r>
        <w:rPr>
          <w:rFonts w:hint="eastAsia"/>
          <w:color w:val="auto"/>
          <w:sz w:val="24"/>
          <w:szCs w:val="32"/>
          <w:highlight w:val="none"/>
          <w:lang w:val="zh-CN"/>
        </w:rPr>
        <w:t>招标代理机构：四川易通天和招标代理有限公司</w:t>
      </w:r>
    </w:p>
    <w:sdt>
      <w:sdtPr>
        <w:rPr>
          <w:rFonts w:ascii="宋体" w:hAnsi="宋体" w:eastAsia="宋体" w:cs="Times New Roman"/>
          <w:b/>
          <w:bCs/>
          <w:color w:val="auto"/>
          <w:kern w:val="2"/>
          <w:sz w:val="36"/>
          <w:szCs w:val="44"/>
          <w:highlight w:val="none"/>
          <w:lang w:val="en-US" w:eastAsia="zh-CN" w:bidi="ar-SA"/>
        </w:rPr>
        <w:id w:val="147452926"/>
        <w15:color w:val="DBDBDB"/>
        <w:docPartObj>
          <w:docPartGallery w:val="Table of Contents"/>
          <w:docPartUnique/>
        </w:docPartObj>
      </w:sdtPr>
      <w:sdtEndPr>
        <w:rPr>
          <w:rFonts w:ascii="宋体" w:hAnsi="宋体" w:eastAsia="宋体" w:cs="Times New Roman"/>
          <w:b/>
          <w:bCs/>
          <w:color w:val="auto"/>
          <w:kern w:val="2"/>
          <w:sz w:val="36"/>
          <w:szCs w:val="4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color w:val="auto"/>
              <w:sz w:val="36"/>
              <w:szCs w:val="44"/>
              <w:highlight w:val="none"/>
            </w:rPr>
          </w:pPr>
          <w:r>
            <w:rPr>
              <w:rFonts w:ascii="宋体" w:hAnsi="宋体" w:eastAsia="宋体"/>
              <w:b/>
              <w:bCs/>
              <w:color w:val="auto"/>
              <w:sz w:val="36"/>
              <w:szCs w:val="44"/>
              <w:highlight w:val="none"/>
            </w:rPr>
            <w:t>目录</w:t>
          </w:r>
        </w:p>
        <w:p>
          <w:pPr>
            <w:pStyle w:val="2"/>
            <w:rPr>
              <w:color w:val="auto"/>
              <w:highlight w:val="none"/>
            </w:rPr>
          </w:pPr>
        </w:p>
        <w:p>
          <w:pPr>
            <w:pStyle w:val="26"/>
            <w:tabs>
              <w:tab w:val="right" w:leader="dot" w:pos="9129"/>
            </w:tabs>
            <w:spacing w:line="360" w:lineRule="auto"/>
            <w:rPr>
              <w:rFonts w:hint="eastAsia" w:ascii="宋体" w:hAnsi="宋体" w:eastAsia="宋体" w:cs="宋体"/>
              <w:b w:val="0"/>
              <w:bCs/>
              <w:color w:val="auto"/>
              <w:sz w:val="24"/>
              <w:szCs w:val="24"/>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_Toc29165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第一章  磋商邀请</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_Toc29165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- 1 -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2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_Toc28976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第二章  磋商须知</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_Toc28976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- 4 -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2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_Toc29269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第三章  供应商资格条件要求</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_Toc29269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- 20 -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2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_Toc29854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第四章  供应商资格证明材料</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_Toc29854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- 22 -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2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_Toc3170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第五章  采购项目技术、服务、政府采购合同内容条款及其他商务要求</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_Toc3170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- 24 -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2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_Toc15677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xml:space="preserve">第六章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磋商内容、磋商过程中可实质性变动的内容</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_Toc15677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- 32 -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2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_Toc3660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xml:space="preserve">第七章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响应文件格式</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_Toc3660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- 33 -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2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_Toc30631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第八章  评审方法</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_Toc30631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- 60 -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26"/>
            <w:tabs>
              <w:tab w:val="right" w:leader="dot" w:pos="9129"/>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\l _Toc28247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第九章  政府采购合同（草案）</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PAGEREF _Toc28247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sz w:val="24"/>
              <w:szCs w:val="24"/>
              <w:highlight w:val="none"/>
            </w:rPr>
            <w:t>- 70 -</w:t>
          </w:r>
          <w:r>
            <w:rPr>
              <w:rFonts w:hint="eastAsia" w:ascii="宋体" w:hAnsi="宋体" w:eastAsia="宋体" w:cs="宋体"/>
              <w:b w:val="0"/>
              <w:bCs/>
              <w:color w:val="auto"/>
              <w:sz w:val="24"/>
              <w:szCs w:val="24"/>
              <w:highlight w:val="none"/>
            </w:rPr>
            <w:fldChar w:fldCharType="end"/>
          </w:r>
          <w:r>
            <w:rPr>
              <w:rFonts w:hint="eastAsia" w:ascii="宋体" w:hAnsi="宋体" w:eastAsia="宋体" w:cs="宋体"/>
              <w:b w:val="0"/>
              <w:bCs/>
              <w:color w:val="auto"/>
              <w:sz w:val="24"/>
              <w:szCs w:val="24"/>
              <w:highlight w:val="none"/>
            </w:rPr>
            <w:fldChar w:fldCharType="end"/>
          </w:r>
        </w:p>
        <w:p>
          <w:pPr>
            <w:pStyle w:val="26"/>
            <w:tabs>
              <w:tab w:val="right" w:leader="dot" w:pos="9129"/>
            </w:tabs>
            <w:rPr>
              <w:b/>
              <w:color w:val="auto"/>
              <w:highlight w:val="none"/>
            </w:rPr>
          </w:pPr>
        </w:p>
        <w:p>
          <w:pPr>
            <w:rPr>
              <w:color w:val="auto"/>
              <w:highlight w:val="none"/>
            </w:rPr>
          </w:pPr>
          <w:r>
            <w:rPr>
              <w:b/>
              <w:color w:val="auto"/>
              <w:highlight w:val="none"/>
            </w:rPr>
            <w:fldChar w:fldCharType="end"/>
          </w:r>
        </w:p>
      </w:sdtContent>
    </w:sdt>
    <w:p>
      <w:pPr>
        <w:spacing w:line="360" w:lineRule="auto"/>
        <w:rPr>
          <w:color w:val="auto"/>
          <w:highlight w:val="none"/>
        </w:rPr>
      </w:pPr>
    </w:p>
    <w:p>
      <w:pPr>
        <w:pStyle w:val="3"/>
        <w:spacing w:line="360" w:lineRule="auto"/>
        <w:jc w:val="center"/>
        <w:outlineLvl w:val="9"/>
        <w:rPr>
          <w:color w:val="auto"/>
          <w:highlight w:val="none"/>
        </w:rPr>
        <w:sectPr>
          <w:headerReference r:id="rId7" w:type="default"/>
          <w:footerReference r:id="rId8" w:type="default"/>
          <w:pgSz w:w="11850" w:h="16783"/>
          <w:pgMar w:top="1440" w:right="1304" w:bottom="1440" w:left="1417" w:header="850" w:footer="850" w:gutter="0"/>
          <w:pgBorders>
            <w:top w:val="none" w:sz="0" w:space="0"/>
            <w:left w:val="none" w:sz="0" w:space="0"/>
            <w:bottom w:val="none" w:sz="0" w:space="0"/>
            <w:right w:val="none" w:sz="0" w:space="0"/>
          </w:pgBorders>
          <w:pgNumType w:fmt="numberInDash" w:start="1"/>
          <w:cols w:space="0" w:num="1"/>
          <w:docGrid w:type="lines" w:linePitch="312" w:charSpace="0"/>
        </w:sectPr>
      </w:pPr>
      <w:bookmarkStart w:id="6" w:name="_Toc25399_WPSOffice_Level1"/>
    </w:p>
    <w:p>
      <w:pPr>
        <w:pStyle w:val="3"/>
        <w:spacing w:before="0" w:after="0" w:line="360" w:lineRule="auto"/>
        <w:jc w:val="center"/>
        <w:rPr>
          <w:color w:val="auto"/>
          <w:highlight w:val="none"/>
        </w:rPr>
      </w:pPr>
      <w:bookmarkStart w:id="7" w:name="_Toc11976"/>
      <w:bookmarkStart w:id="8" w:name="_Toc7773_WPSOffice_Level1"/>
      <w:bookmarkStart w:id="9" w:name="_Toc29165"/>
      <w:r>
        <w:rPr>
          <w:rFonts w:hint="eastAsia"/>
          <w:color w:val="auto"/>
          <w:highlight w:val="none"/>
        </w:rPr>
        <w:t>第一章  磋商邀请</w:t>
      </w:r>
      <w:bookmarkEnd w:id="6"/>
      <w:bookmarkEnd w:id="7"/>
      <w:bookmarkEnd w:id="8"/>
      <w:bookmarkEnd w:id="9"/>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u w:val="single"/>
        </w:rPr>
        <w:t>四川易通天和招标代理有限公司</w:t>
      </w:r>
      <w:r>
        <w:rPr>
          <w:rFonts w:hint="eastAsia" w:ascii="宋体" w:hAnsi="宋体"/>
          <w:color w:val="auto"/>
          <w:sz w:val="24"/>
          <w:highlight w:val="none"/>
        </w:rPr>
        <w:t>（采购代理机构）受</w:t>
      </w:r>
      <w:r>
        <w:rPr>
          <w:rFonts w:hint="eastAsia" w:ascii="宋体" w:hAnsi="宋体"/>
          <w:color w:val="auto"/>
          <w:sz w:val="24"/>
          <w:highlight w:val="none"/>
          <w:u w:val="single"/>
          <w:lang w:eastAsia="zh-CN"/>
        </w:rPr>
        <w:t>成都市植物园（成都市公园城市植物科学研究院）</w:t>
      </w:r>
      <w:r>
        <w:rPr>
          <w:rFonts w:hint="eastAsia" w:ascii="宋体" w:hAnsi="宋体"/>
          <w:color w:val="auto"/>
          <w:sz w:val="24"/>
          <w:highlight w:val="none"/>
        </w:rPr>
        <w:t>（采购人）委托，拟对</w:t>
      </w:r>
      <w:r>
        <w:rPr>
          <w:rFonts w:hint="eastAsia" w:ascii="宋体" w:hAnsi="宋体"/>
          <w:color w:val="auto"/>
          <w:sz w:val="24"/>
          <w:highlight w:val="none"/>
          <w:u w:val="single"/>
          <w:lang w:eastAsia="zh-CN"/>
        </w:rPr>
        <w:t>成都市植物园（成都市公园城市植物科学研究院）关于“21年大运会氛围营造项目-其他及相关辅助项目-大运会苗木选育温室”采购项目</w:t>
      </w:r>
      <w:r>
        <w:rPr>
          <w:rFonts w:hint="eastAsia" w:ascii="宋体" w:hAnsi="宋体"/>
          <w:color w:val="auto"/>
          <w:sz w:val="24"/>
          <w:highlight w:val="none"/>
        </w:rPr>
        <w:t>采用竞争性磋商方式进行采购，特邀请符合本次采购要求的供应商参加本项目的竞争性磋商。</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一、采购项目基本情况</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1.项目编号：510101202101134 </w:t>
      </w:r>
    </w:p>
    <w:p>
      <w:pPr>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2.采购项目名称：</w:t>
      </w:r>
      <w:r>
        <w:rPr>
          <w:rFonts w:hint="eastAsia" w:ascii="宋体" w:hAnsi="宋体"/>
          <w:color w:val="auto"/>
          <w:sz w:val="24"/>
          <w:highlight w:val="none"/>
          <w:lang w:eastAsia="zh-CN"/>
        </w:rPr>
        <w:t>成都市植物园（成都市公园城市植物科学研究院）关于“21年大运会氛围营造项目-其他及相关辅助项目-大运会苗木选育温室”采购项目</w:t>
      </w:r>
    </w:p>
    <w:p>
      <w:pPr>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3.采购人：</w:t>
      </w:r>
      <w:r>
        <w:rPr>
          <w:rFonts w:hint="eastAsia" w:ascii="宋体" w:hAnsi="宋体"/>
          <w:color w:val="auto"/>
          <w:sz w:val="24"/>
          <w:highlight w:val="none"/>
          <w:lang w:eastAsia="zh-CN"/>
        </w:rPr>
        <w:t>成都市植物园（成都市公园城市植物科学研究院）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4.采购代理机构：四川易通天和招标代理有限公司</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二、资金情况</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1.资金来源：</w:t>
      </w:r>
      <w:r>
        <w:rPr>
          <w:rFonts w:hint="eastAsia" w:ascii="宋体" w:hAnsi="宋体" w:cs="宋体"/>
          <w:color w:val="auto"/>
          <w:sz w:val="24"/>
          <w:highlight w:val="none"/>
        </w:rPr>
        <w:t>财政性资金；比例100%；已落实。</w:t>
      </w:r>
    </w:p>
    <w:p>
      <w:pPr>
        <w:spacing w:line="360" w:lineRule="auto"/>
        <w:ind w:firstLine="480" w:firstLineChars="200"/>
        <w:jc w:val="left"/>
        <w:rPr>
          <w:rFonts w:ascii="宋体" w:hAnsi="宋体" w:cs="宋体"/>
          <w:bCs/>
          <w:color w:val="auto"/>
          <w:sz w:val="24"/>
          <w:highlight w:val="none"/>
        </w:rPr>
      </w:pPr>
      <w:r>
        <w:rPr>
          <w:rFonts w:hint="eastAsia" w:ascii="宋体" w:hAnsi="宋体"/>
          <w:color w:val="auto"/>
          <w:sz w:val="24"/>
          <w:highlight w:val="none"/>
        </w:rPr>
        <w:t>2.</w:t>
      </w:r>
      <w:r>
        <w:rPr>
          <w:rFonts w:hint="eastAsia" w:ascii="宋体" w:hAnsi="宋体" w:cs="宋体"/>
          <w:color w:val="auto"/>
          <w:spacing w:val="-4"/>
          <w:sz w:val="24"/>
          <w:highlight w:val="none"/>
        </w:rPr>
        <w:t>采购预算：</w:t>
      </w:r>
      <w:r>
        <w:rPr>
          <w:rFonts w:hint="eastAsia" w:ascii="宋体" w:hAnsi="宋体" w:cs="宋体"/>
          <w:color w:val="auto"/>
          <w:spacing w:val="-4"/>
          <w:sz w:val="24"/>
          <w:highlight w:val="none"/>
          <w:lang w:val="en-US" w:eastAsia="zh-CN"/>
        </w:rPr>
        <w:t>300</w:t>
      </w:r>
      <w:r>
        <w:rPr>
          <w:rFonts w:hint="eastAsia" w:ascii="宋体" w:hAnsi="宋体" w:cs="宋体"/>
          <w:bCs/>
          <w:color w:val="auto"/>
          <w:sz w:val="24"/>
          <w:highlight w:val="none"/>
        </w:rPr>
        <w:t>万元。</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三、采购项目简介：</w:t>
      </w:r>
    </w:p>
    <w:p>
      <w:pPr>
        <w:spacing w:line="360" w:lineRule="auto"/>
        <w:ind w:firstLine="480" w:firstLineChars="200"/>
        <w:jc w:val="left"/>
        <w:rPr>
          <w:rFonts w:ascii="宋体" w:hAnsi="宋体"/>
          <w:color w:val="auto"/>
          <w:sz w:val="24"/>
          <w:highlight w:val="none"/>
        </w:rPr>
      </w:pPr>
      <w:bookmarkStart w:id="10" w:name="PO_默认文件内容_3"/>
      <w:bookmarkStart w:id="11" w:name="PO_默认文件内容_2"/>
      <w:r>
        <w:rPr>
          <w:rFonts w:hint="eastAsia" w:ascii="宋体" w:hAnsi="宋体"/>
          <w:color w:val="auto"/>
          <w:sz w:val="24"/>
          <w:highlight w:val="none"/>
        </w:rPr>
        <w:t>本项目共</w:t>
      </w:r>
      <w:r>
        <w:rPr>
          <w:rFonts w:hint="eastAsia" w:ascii="宋体" w:hAnsi="宋体"/>
          <w:color w:val="auto"/>
          <w:sz w:val="24"/>
          <w:highlight w:val="none"/>
          <w:lang w:val="en-US" w:eastAsia="zh-CN"/>
        </w:rPr>
        <w:t>1</w:t>
      </w:r>
      <w:r>
        <w:rPr>
          <w:rFonts w:hint="eastAsia" w:ascii="宋体" w:hAnsi="宋体"/>
          <w:color w:val="auto"/>
          <w:sz w:val="24"/>
          <w:highlight w:val="none"/>
        </w:rPr>
        <w:t>个包，</w:t>
      </w:r>
      <w:r>
        <w:rPr>
          <w:rFonts w:hint="eastAsia" w:ascii="宋体" w:hAnsi="宋体" w:eastAsia="宋体" w:cs="宋体"/>
          <w:color w:val="auto"/>
          <w:sz w:val="24"/>
          <w:highlight w:val="none"/>
          <w:lang w:val="en-US" w:eastAsia="zh-CN"/>
        </w:rPr>
        <w:t>详细内容</w:t>
      </w:r>
      <w:r>
        <w:rPr>
          <w:rFonts w:hint="eastAsia" w:ascii="宋体" w:hAnsi="宋体"/>
          <w:color w:val="auto"/>
          <w:sz w:val="24"/>
          <w:highlight w:val="none"/>
        </w:rPr>
        <w:t>见磋商文件第五章。</w:t>
      </w:r>
    </w:p>
    <w:bookmarkEnd w:id="10"/>
    <w:bookmarkEnd w:id="11"/>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四、供应商邀请方式</w:t>
      </w:r>
    </w:p>
    <w:p>
      <w:pPr>
        <w:wordWrap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公告方式：本次竞争性磋商邀请在四川政府采购网（</w:t>
      </w:r>
      <w:r>
        <w:rPr>
          <w:color w:val="auto"/>
          <w:highlight w:val="none"/>
        </w:rPr>
        <w:fldChar w:fldCharType="begin"/>
      </w:r>
      <w:r>
        <w:rPr>
          <w:color w:val="auto"/>
          <w:highlight w:val="none"/>
        </w:rPr>
        <w:instrText xml:space="preserve"> HYPERLINK "http://www.ccgp-sichuan.gov.cn/" </w:instrText>
      </w:r>
      <w:r>
        <w:rPr>
          <w:color w:val="auto"/>
          <w:highlight w:val="none"/>
        </w:rPr>
        <w:fldChar w:fldCharType="separate"/>
      </w:r>
      <w:r>
        <w:rPr>
          <w:rStyle w:val="21"/>
          <w:rFonts w:hint="eastAsia" w:asciiTheme="minorEastAsia" w:hAnsiTheme="minorEastAsia" w:eastAsiaTheme="minorEastAsia" w:cstheme="minorEastAsia"/>
          <w:color w:val="auto"/>
          <w:sz w:val="24"/>
          <w:highlight w:val="none"/>
        </w:rPr>
        <w:t>http://www.ccgp-sichuan.gov.cn</w:t>
      </w:r>
      <w:r>
        <w:rPr>
          <w:rStyle w:val="21"/>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）上以公告形式发布。本项目采购公告期限为采购公告发布之日起3个工作日。</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五、供应商参加本次政府采购活动应具备下列条件</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1.具有独立承担民事责任的能力；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2.具有良好的商业信誉和健全的财务会计制度；</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3.具有履行合同所必需的设备和专业技术能力；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4.有依法缴纳税收和社会保障资金的良好记录；</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6.法律、行政法规规定的其他条件。</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7.根据采购项目提出的特殊条件：</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val="en-US" w:eastAsia="zh-CN"/>
        </w:rPr>
        <w:t>1</w:t>
      </w:r>
      <w:r>
        <w:rPr>
          <w:rFonts w:hint="eastAsia" w:ascii="宋体" w:hAnsi="宋体"/>
          <w:color w:val="auto"/>
          <w:sz w:val="24"/>
          <w:highlight w:val="none"/>
        </w:rPr>
        <w:t>供应商及其现任法定代表人（非法人机构则为主要负责人）不得具有行贿犯罪记录；</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val="en-US" w:eastAsia="zh-CN"/>
        </w:rPr>
        <w:t>2</w:t>
      </w:r>
      <w:r>
        <w:rPr>
          <w:rFonts w:hint="eastAsia" w:ascii="宋体" w:hAnsi="宋体"/>
          <w:color w:val="auto"/>
          <w:sz w:val="24"/>
          <w:highlight w:val="none"/>
        </w:rPr>
        <w:t>本次磋商不接受联合体响应。</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六、禁止参加本次采购活动的供应商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七、磋商文件获取方式、时间、地点：</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磋商文件自202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日每天上午9:00-12:00，下午14:00-17:00（北京时间，节假日除外）在我司指定网站(http://scytth.com/)获取，获取流程咨询电话：李老师028-85320556。本项目磋商文件免费获</w:t>
      </w:r>
      <w:bookmarkStart w:id="329" w:name="_GoBack"/>
      <w:bookmarkEnd w:id="329"/>
      <w:r>
        <w:rPr>
          <w:rFonts w:hint="eastAsia" w:ascii="宋体" w:hAnsi="宋体" w:cs="宋体"/>
          <w:color w:val="auto"/>
          <w:sz w:val="24"/>
          <w:highlight w:val="none"/>
        </w:rPr>
        <w:t>取，磋商资格不能转让。未按规定获取竞争性磋商文件并登记备案的供应商不得参加本项目磋商。</w:t>
      </w:r>
    </w:p>
    <w:p>
      <w:pPr>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八、递交响应文件截止时间</w:t>
      </w:r>
      <w:r>
        <w:rPr>
          <w:rFonts w:hint="eastAsia" w:ascii="宋体" w:hAnsi="宋体"/>
          <w:color w:val="auto"/>
          <w:sz w:val="24"/>
          <w:highlight w:val="none"/>
        </w:rPr>
        <w:t>：202</w:t>
      </w:r>
      <w:r>
        <w:rPr>
          <w:rFonts w:hint="eastAsia" w:ascii="宋体" w:hAnsi="宋体"/>
          <w:color w:val="auto"/>
          <w:sz w:val="24"/>
          <w:highlight w:val="none"/>
          <w:lang w:val="en-US" w:eastAsia="zh-CN"/>
        </w:rPr>
        <w:t>1</w:t>
      </w:r>
      <w:r>
        <w:rPr>
          <w:rFonts w:hint="eastAsia" w:ascii="宋体" w:hAnsi="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olor w:val="auto"/>
          <w:sz w:val="24"/>
          <w:highlight w:val="none"/>
        </w:rPr>
        <w:t>月</w:t>
      </w:r>
      <w:r>
        <w:rPr>
          <w:rFonts w:hint="eastAsia" w:ascii="宋体" w:hAnsi="宋体" w:cs="宋体"/>
          <w:color w:val="auto"/>
          <w:sz w:val="24"/>
          <w:highlight w:val="none"/>
          <w:lang w:val="en-US" w:eastAsia="zh-CN"/>
        </w:rPr>
        <w:t>3</w:t>
      </w:r>
      <w:r>
        <w:rPr>
          <w:rFonts w:hint="eastAsia" w:ascii="宋体" w:hAnsi="宋体"/>
          <w:color w:val="auto"/>
          <w:sz w:val="24"/>
          <w:highlight w:val="none"/>
        </w:rPr>
        <w:t>日10:</w:t>
      </w:r>
      <w:r>
        <w:rPr>
          <w:rFonts w:hint="eastAsia" w:ascii="宋体" w:hAnsi="宋体"/>
          <w:color w:val="auto"/>
          <w:sz w:val="24"/>
          <w:highlight w:val="none"/>
          <w:lang w:val="en-US" w:eastAsia="zh-CN"/>
        </w:rPr>
        <w:t>0</w:t>
      </w:r>
      <w:r>
        <w:rPr>
          <w:rFonts w:hint="eastAsia" w:ascii="宋体" w:hAnsi="宋体"/>
          <w:color w:val="auto"/>
          <w:sz w:val="24"/>
          <w:highlight w:val="none"/>
        </w:rPr>
        <w:t>0(北京时间)。</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九、递交响应文件地点：</w:t>
      </w:r>
      <w:r>
        <w:rPr>
          <w:rFonts w:hint="eastAsia" w:ascii="宋体" w:hAnsi="宋体"/>
          <w:bCs/>
          <w:color w:val="auto"/>
          <w:sz w:val="24"/>
          <w:highlight w:val="none"/>
        </w:rPr>
        <w:t>响应文件必须在递交响应文件截止时间前送达磋商地点。逾期送达或未按磋商文件要求进行密封标注的响应文件，采购人/采购代理机构恕不接收。本次采购不接收邮寄的响应文件。</w:t>
      </w:r>
    </w:p>
    <w:p>
      <w:pPr>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十、响应文件开启时间：</w:t>
      </w:r>
      <w:r>
        <w:rPr>
          <w:rFonts w:hint="eastAsia" w:ascii="宋体" w:hAnsi="宋体"/>
          <w:color w:val="auto"/>
          <w:sz w:val="24"/>
          <w:highlight w:val="none"/>
        </w:rPr>
        <w:t>202</w:t>
      </w:r>
      <w:r>
        <w:rPr>
          <w:rFonts w:hint="eastAsia" w:ascii="宋体" w:hAnsi="宋体"/>
          <w:color w:val="auto"/>
          <w:sz w:val="24"/>
          <w:highlight w:val="none"/>
          <w:lang w:val="en-US" w:eastAsia="zh-CN"/>
        </w:rPr>
        <w:t>1</w:t>
      </w:r>
      <w:r>
        <w:rPr>
          <w:rFonts w:hint="eastAsia" w:ascii="宋体" w:hAnsi="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olor w:val="auto"/>
          <w:sz w:val="24"/>
          <w:highlight w:val="none"/>
        </w:rPr>
        <w:t>月</w:t>
      </w:r>
      <w:r>
        <w:rPr>
          <w:rFonts w:hint="eastAsia" w:ascii="宋体" w:hAnsi="宋体" w:cs="宋体"/>
          <w:color w:val="auto"/>
          <w:sz w:val="24"/>
          <w:highlight w:val="none"/>
          <w:lang w:val="en-US" w:eastAsia="zh-CN"/>
        </w:rPr>
        <w:t>3</w:t>
      </w:r>
      <w:r>
        <w:rPr>
          <w:rFonts w:hint="eastAsia" w:ascii="宋体" w:hAnsi="宋体"/>
          <w:color w:val="auto"/>
          <w:sz w:val="24"/>
          <w:highlight w:val="none"/>
        </w:rPr>
        <w:t>日10:</w:t>
      </w:r>
      <w:r>
        <w:rPr>
          <w:rFonts w:hint="eastAsia" w:ascii="宋体" w:hAnsi="宋体"/>
          <w:color w:val="auto"/>
          <w:sz w:val="24"/>
          <w:highlight w:val="none"/>
          <w:lang w:val="en-US" w:eastAsia="zh-CN"/>
        </w:rPr>
        <w:t>0</w:t>
      </w:r>
      <w:r>
        <w:rPr>
          <w:rFonts w:hint="eastAsia" w:ascii="宋体" w:hAnsi="宋体"/>
          <w:color w:val="auto"/>
          <w:sz w:val="24"/>
          <w:highlight w:val="none"/>
        </w:rPr>
        <w:t>0</w:t>
      </w:r>
      <w:r>
        <w:rPr>
          <w:rFonts w:hint="eastAsia" w:ascii="宋体" w:hAnsi="宋体"/>
          <w:bCs/>
          <w:color w:val="auto"/>
          <w:sz w:val="24"/>
          <w:highlight w:val="none"/>
        </w:rPr>
        <w:t>（北京时间）在磋商地点开启。</w:t>
      </w:r>
    </w:p>
    <w:p>
      <w:pPr>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十一、磋商</w:t>
      </w:r>
      <w:r>
        <w:rPr>
          <w:rFonts w:ascii="宋体" w:hAnsi="宋体"/>
          <w:b/>
          <w:color w:val="auto"/>
          <w:sz w:val="24"/>
          <w:highlight w:val="none"/>
        </w:rPr>
        <w:t>地点：</w:t>
      </w:r>
      <w:r>
        <w:rPr>
          <w:rFonts w:hint="eastAsia" w:ascii="宋体" w:hAnsi="宋体"/>
          <w:b/>
          <w:color w:val="auto"/>
          <w:sz w:val="24"/>
          <w:highlight w:val="none"/>
        </w:rPr>
        <w:t>成都市高新区天府大道北段1700号新世纪环球中心W6-2019</w:t>
      </w:r>
      <w:r>
        <w:rPr>
          <w:rFonts w:hint="eastAsia" w:ascii="宋体" w:hAnsi="宋体"/>
          <w:color w:val="auto"/>
          <w:sz w:val="24"/>
          <w:highlight w:val="none"/>
        </w:rPr>
        <w:t>。</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十二、供应商信用融资：</w:t>
      </w:r>
    </w:p>
    <w:p>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磋商文件附件“川财采[2018]123号”）。</w:t>
      </w:r>
    </w:p>
    <w:p>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磋商文件附件“成财采[2019]17号”）。</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十三、联系方式</w:t>
      </w:r>
    </w:p>
    <w:p>
      <w:pPr>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b/>
          <w:bCs/>
          <w:color w:val="auto"/>
          <w:sz w:val="24"/>
          <w:highlight w:val="none"/>
        </w:rPr>
        <w:t>采 购 人：</w:t>
      </w:r>
      <w:r>
        <w:rPr>
          <w:rFonts w:hint="eastAsia" w:ascii="宋体" w:hAnsi="宋体"/>
          <w:b/>
          <w:bCs/>
          <w:color w:val="auto"/>
          <w:sz w:val="24"/>
          <w:highlight w:val="none"/>
          <w:lang w:eastAsia="zh-CN"/>
        </w:rPr>
        <w:t>成都市植物园（成都市公园城市植物科学研究院）</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地    址：成都市金牛区外北天回镇蓉都大道1116号</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联 系 人：</w:t>
      </w:r>
      <w:r>
        <w:rPr>
          <w:rFonts w:hint="eastAsia" w:ascii="宋体" w:hAnsi="宋体"/>
          <w:color w:val="auto"/>
          <w:sz w:val="24"/>
          <w:highlight w:val="none"/>
          <w:lang w:val="en-US" w:eastAsia="zh-CN"/>
        </w:rPr>
        <w:t>曾</w:t>
      </w:r>
      <w:r>
        <w:rPr>
          <w:rFonts w:hint="eastAsia" w:ascii="宋体" w:hAnsi="宋体"/>
          <w:color w:val="auto"/>
          <w:sz w:val="24"/>
          <w:highlight w:val="none"/>
        </w:rPr>
        <w:t>老师</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联系方式：028-83585552</w:t>
      </w:r>
    </w:p>
    <w:p>
      <w:pPr>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采购代理机构：四川易通天和招标代理有限公司</w:t>
      </w:r>
    </w:p>
    <w:p>
      <w:pPr>
        <w:spacing w:line="360" w:lineRule="auto"/>
        <w:ind w:firstLine="480" w:firstLineChars="200"/>
        <w:jc w:val="left"/>
        <w:rPr>
          <w:rFonts w:hint="eastAsia" w:ascii="宋体" w:hAnsi="宋体" w:eastAsia="宋体"/>
          <w:color w:val="auto"/>
          <w:sz w:val="24"/>
          <w:highlight w:val="none"/>
          <w:lang w:val="en-US" w:eastAsia="zh-CN"/>
        </w:rPr>
      </w:pPr>
      <w:r>
        <w:rPr>
          <w:rFonts w:hint="eastAsia" w:ascii="宋体" w:hAnsi="宋体"/>
          <w:color w:val="auto"/>
          <w:sz w:val="24"/>
          <w:highlight w:val="none"/>
        </w:rPr>
        <w:t>地    址：成都市高新区天府大道北段1700号新世纪环球中心W6-2019</w:t>
      </w:r>
      <w:r>
        <w:rPr>
          <w:rFonts w:hint="eastAsia" w:ascii="宋体" w:hAnsi="宋体"/>
          <w:color w:val="auto"/>
          <w:sz w:val="24"/>
          <w:highlight w:val="none"/>
          <w:lang w:val="en-US" w:eastAsia="zh-CN"/>
        </w:rPr>
        <w:tab/>
      </w:r>
    </w:p>
    <w:p>
      <w:pPr>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联 系 人：</w:t>
      </w:r>
      <w:r>
        <w:rPr>
          <w:rFonts w:hint="eastAsia" w:ascii="宋体" w:hAnsi="宋体"/>
          <w:color w:val="auto"/>
          <w:sz w:val="24"/>
          <w:highlight w:val="none"/>
          <w:lang w:eastAsia="zh-CN"/>
        </w:rPr>
        <w:t>胡先生</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联系电话：028-85320556</w:t>
      </w:r>
    </w:p>
    <w:p>
      <w:pPr>
        <w:spacing w:line="360" w:lineRule="auto"/>
        <w:jc w:val="right"/>
        <w:rPr>
          <w:color w:val="auto"/>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1</w:t>
      </w:r>
      <w:r>
        <w:rPr>
          <w:rFonts w:hint="eastAsia" w:ascii="宋体" w:hAnsi="宋体"/>
          <w:color w:val="auto"/>
          <w:sz w:val="24"/>
          <w:highlight w:val="none"/>
        </w:rPr>
        <w:t>年</w:t>
      </w:r>
      <w:r>
        <w:rPr>
          <w:rFonts w:hint="eastAsia" w:ascii="宋体" w:hAnsi="宋体"/>
          <w:color w:val="auto"/>
          <w:sz w:val="24"/>
          <w:highlight w:val="none"/>
          <w:lang w:val="en-US" w:eastAsia="zh-CN"/>
        </w:rPr>
        <w:t>8</w:t>
      </w:r>
      <w:r>
        <w:rPr>
          <w:rFonts w:hint="eastAsia" w:ascii="宋体" w:hAnsi="宋体"/>
          <w:color w:val="auto"/>
          <w:sz w:val="24"/>
          <w:highlight w:val="none"/>
        </w:rPr>
        <w:t>月</w:t>
      </w:r>
      <w:bookmarkStart w:id="12" w:name="_Toc8230_WPSOffice_Level1"/>
      <w:bookmarkStart w:id="13" w:name="_Toc213496267"/>
      <w:bookmarkStart w:id="14" w:name="_Toc9280_WPSOffice_Level1"/>
      <w:bookmarkStart w:id="15" w:name="_Toc213397009"/>
      <w:bookmarkStart w:id="16" w:name="_Toc213396945"/>
      <w:bookmarkStart w:id="17" w:name="_Toc213396759"/>
      <w:bookmarkStart w:id="18" w:name="_Toc217446031"/>
      <w:bookmarkStart w:id="19" w:name="_Toc1282"/>
      <w:r>
        <w:rPr>
          <w:rFonts w:hint="eastAsia" w:ascii="宋体" w:hAnsi="宋体"/>
          <w:color w:val="auto"/>
          <w:sz w:val="24"/>
          <w:highlight w:val="none"/>
          <w:lang w:val="en-US" w:eastAsia="zh-CN"/>
        </w:rPr>
        <w:t>23日</w:t>
      </w:r>
      <w:r>
        <w:rPr>
          <w:rFonts w:hint="eastAsia"/>
          <w:color w:val="auto"/>
          <w:highlight w:val="none"/>
        </w:rPr>
        <w:br w:type="page"/>
      </w:r>
    </w:p>
    <w:p>
      <w:pPr>
        <w:pStyle w:val="3"/>
        <w:spacing w:before="0" w:after="0" w:line="360" w:lineRule="auto"/>
        <w:jc w:val="center"/>
        <w:rPr>
          <w:color w:val="auto"/>
          <w:highlight w:val="none"/>
        </w:rPr>
      </w:pPr>
      <w:bookmarkStart w:id="20" w:name="_Toc16992"/>
      <w:bookmarkStart w:id="21" w:name="_Toc28976"/>
      <w:r>
        <w:rPr>
          <w:rFonts w:hint="eastAsia"/>
          <w:color w:val="auto"/>
          <w:highlight w:val="none"/>
        </w:rPr>
        <w:t>第二章  磋商须知</w:t>
      </w:r>
      <w:bookmarkEnd w:id="12"/>
      <w:bookmarkEnd w:id="13"/>
      <w:bookmarkEnd w:id="14"/>
      <w:bookmarkEnd w:id="15"/>
      <w:bookmarkEnd w:id="16"/>
      <w:bookmarkEnd w:id="17"/>
      <w:bookmarkEnd w:id="18"/>
      <w:bookmarkEnd w:id="19"/>
      <w:bookmarkEnd w:id="20"/>
      <w:bookmarkEnd w:id="21"/>
    </w:p>
    <w:p>
      <w:pPr>
        <w:pStyle w:val="4"/>
        <w:spacing w:before="0" w:after="0" w:line="360" w:lineRule="auto"/>
        <w:jc w:val="center"/>
        <w:rPr>
          <w:color w:val="auto"/>
          <w:highlight w:val="none"/>
        </w:rPr>
      </w:pPr>
      <w:bookmarkStart w:id="22" w:name="_Toc15376"/>
      <w:bookmarkStart w:id="23" w:name="_Toc6814_WPSOffice_Level2"/>
      <w:r>
        <w:rPr>
          <w:rFonts w:hint="eastAsia"/>
          <w:color w:val="auto"/>
          <w:highlight w:val="none"/>
        </w:rPr>
        <w:t>一、供应商须知附表</w:t>
      </w:r>
      <w:bookmarkEnd w:id="22"/>
      <w:bookmarkEnd w:id="23"/>
    </w:p>
    <w:tbl>
      <w:tblPr>
        <w:tblStyle w:val="17"/>
        <w:tblW w:w="917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04"/>
        <w:gridCol w:w="1767"/>
        <w:gridCol w:w="670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704" w:type="dxa"/>
            <w:tcBorders>
              <w:tl2br w:val="nil"/>
              <w:tr2bl w:val="nil"/>
            </w:tcBorders>
            <w:vAlign w:val="center"/>
          </w:tcPr>
          <w:p>
            <w:pPr>
              <w:pStyle w:val="27"/>
              <w:spacing w:line="360" w:lineRule="auto"/>
              <w:jc w:val="center"/>
              <w:rPr>
                <w:b/>
                <w:color w:val="auto"/>
                <w:kern w:val="2"/>
                <w:sz w:val="21"/>
                <w:szCs w:val="21"/>
                <w:highlight w:val="none"/>
                <w:lang w:val="zh-CN"/>
              </w:rPr>
            </w:pPr>
            <w:r>
              <w:rPr>
                <w:rFonts w:hint="eastAsia"/>
                <w:b/>
                <w:color w:val="auto"/>
                <w:kern w:val="2"/>
                <w:sz w:val="21"/>
                <w:szCs w:val="21"/>
                <w:highlight w:val="none"/>
                <w:lang w:val="zh-CN"/>
              </w:rPr>
              <w:t>序号</w:t>
            </w:r>
          </w:p>
        </w:tc>
        <w:tc>
          <w:tcPr>
            <w:tcW w:w="1767" w:type="dxa"/>
            <w:tcBorders>
              <w:tl2br w:val="nil"/>
              <w:tr2bl w:val="nil"/>
            </w:tcBorders>
            <w:vAlign w:val="center"/>
          </w:tcPr>
          <w:p>
            <w:pPr>
              <w:pStyle w:val="27"/>
              <w:spacing w:line="360" w:lineRule="auto"/>
              <w:ind w:firstLine="422" w:firstLineChars="200"/>
              <w:jc w:val="center"/>
              <w:rPr>
                <w:b/>
                <w:color w:val="auto"/>
                <w:kern w:val="2"/>
                <w:sz w:val="21"/>
                <w:szCs w:val="21"/>
                <w:highlight w:val="none"/>
                <w:lang w:val="zh-CN"/>
              </w:rPr>
            </w:pPr>
            <w:r>
              <w:rPr>
                <w:rFonts w:hint="eastAsia"/>
                <w:b/>
                <w:color w:val="auto"/>
                <w:kern w:val="2"/>
                <w:sz w:val="21"/>
                <w:szCs w:val="21"/>
                <w:highlight w:val="none"/>
                <w:lang w:val="zh-CN"/>
              </w:rPr>
              <w:t>应知事项</w:t>
            </w:r>
          </w:p>
        </w:tc>
        <w:tc>
          <w:tcPr>
            <w:tcW w:w="6700" w:type="dxa"/>
            <w:tcBorders>
              <w:tl2br w:val="nil"/>
              <w:tr2bl w:val="nil"/>
            </w:tcBorders>
            <w:vAlign w:val="center"/>
          </w:tcPr>
          <w:p>
            <w:pPr>
              <w:pStyle w:val="27"/>
              <w:spacing w:line="360" w:lineRule="auto"/>
              <w:jc w:val="center"/>
              <w:rPr>
                <w:b/>
                <w:color w:val="auto"/>
                <w:kern w:val="2"/>
                <w:sz w:val="21"/>
                <w:szCs w:val="21"/>
                <w:highlight w:val="none"/>
                <w:lang w:val="zh-CN"/>
              </w:rPr>
            </w:pPr>
            <w:r>
              <w:rPr>
                <w:rFonts w:hint="eastAsia"/>
                <w:b/>
                <w:color w:val="auto"/>
                <w:kern w:val="2"/>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lang w:val="zh-CN"/>
              </w:rPr>
            </w:pPr>
            <w:r>
              <w:rPr>
                <w:rFonts w:hint="eastAsia"/>
                <w:bCs/>
                <w:color w:val="auto"/>
                <w:kern w:val="2"/>
                <w:sz w:val="21"/>
                <w:szCs w:val="21"/>
                <w:highlight w:val="none"/>
                <w:lang w:val="zh-CN"/>
              </w:rPr>
              <w:t>1</w:t>
            </w:r>
          </w:p>
        </w:tc>
        <w:tc>
          <w:tcPr>
            <w:tcW w:w="1767" w:type="dxa"/>
            <w:tcBorders>
              <w:tl2br w:val="nil"/>
              <w:tr2bl w:val="nil"/>
            </w:tcBorders>
            <w:vAlign w:val="center"/>
          </w:tcPr>
          <w:p>
            <w:pPr>
              <w:pStyle w:val="27"/>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确定邀请磋商的供应商数量和方式</w:t>
            </w:r>
          </w:p>
        </w:tc>
        <w:tc>
          <w:tcPr>
            <w:tcW w:w="6700" w:type="dxa"/>
            <w:tcBorders>
              <w:tl2br w:val="nil"/>
              <w:tr2bl w:val="nil"/>
            </w:tcBorders>
            <w:vAlign w:val="center"/>
          </w:tcPr>
          <w:p>
            <w:pPr>
              <w:pStyle w:val="27"/>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本次磋商邀请的供应商数量：不限制。</w:t>
            </w:r>
          </w:p>
          <w:p>
            <w:pPr>
              <w:pStyle w:val="27"/>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本次采购采取发布公告的方式邀请参加磋商的供应商。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rPr>
            </w:pPr>
            <w:r>
              <w:rPr>
                <w:rFonts w:hint="eastAsia"/>
                <w:bCs/>
                <w:color w:val="auto"/>
                <w:kern w:val="2"/>
                <w:sz w:val="21"/>
                <w:szCs w:val="21"/>
                <w:highlight w:val="none"/>
              </w:rPr>
              <w:t>2</w:t>
            </w:r>
          </w:p>
        </w:tc>
        <w:tc>
          <w:tcPr>
            <w:tcW w:w="1767" w:type="dxa"/>
            <w:tcBorders>
              <w:tl2br w:val="nil"/>
              <w:tr2bl w:val="nil"/>
            </w:tcBorders>
            <w:vAlign w:val="center"/>
          </w:tcPr>
          <w:p>
            <w:pPr>
              <w:pStyle w:val="27"/>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采购预算</w:t>
            </w:r>
          </w:p>
          <w:p>
            <w:pPr>
              <w:pStyle w:val="27"/>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（实质性要求）</w:t>
            </w:r>
          </w:p>
        </w:tc>
        <w:tc>
          <w:tcPr>
            <w:tcW w:w="6700" w:type="dxa"/>
            <w:tcBorders>
              <w:tl2br w:val="nil"/>
              <w:tr2bl w:val="nil"/>
            </w:tcBorders>
            <w:vAlign w:val="center"/>
          </w:tcPr>
          <w:p>
            <w:pPr>
              <w:pStyle w:val="27"/>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textAlignment w:val="auto"/>
              <w:rPr>
                <w:b/>
                <w:color w:val="auto"/>
                <w:kern w:val="2"/>
                <w:sz w:val="21"/>
                <w:szCs w:val="21"/>
                <w:highlight w:val="none"/>
                <w:lang w:val="zh-CN"/>
              </w:rPr>
            </w:pPr>
            <w:r>
              <w:rPr>
                <w:rFonts w:hint="eastAsia"/>
                <w:b/>
                <w:color w:val="auto"/>
                <w:kern w:val="2"/>
                <w:sz w:val="21"/>
                <w:szCs w:val="21"/>
                <w:highlight w:val="none"/>
                <w:lang w:val="zh-CN"/>
              </w:rPr>
              <w:t>采购预算：</w:t>
            </w:r>
            <w:r>
              <w:rPr>
                <w:rFonts w:hint="eastAsia"/>
                <w:b/>
                <w:color w:val="auto"/>
                <w:kern w:val="2"/>
                <w:sz w:val="21"/>
                <w:szCs w:val="21"/>
                <w:highlight w:val="none"/>
                <w:lang w:val="zh-CN" w:eastAsia="zh-CN"/>
              </w:rPr>
              <w:t>300万元</w:t>
            </w:r>
            <w:r>
              <w:rPr>
                <w:rFonts w:hint="eastAsia"/>
                <w:b/>
                <w:color w:val="auto"/>
                <w:kern w:val="2"/>
                <w:sz w:val="21"/>
                <w:szCs w:val="21"/>
                <w:highlight w:val="none"/>
                <w:lang w:val="zh-CN"/>
              </w:rPr>
              <w:t>。</w:t>
            </w:r>
          </w:p>
          <w:p>
            <w:pPr>
              <w:pStyle w:val="27"/>
              <w:spacing w:line="360" w:lineRule="auto"/>
              <w:ind w:left="420" w:leftChars="200"/>
              <w:rPr>
                <w:b/>
                <w:color w:val="auto"/>
                <w:kern w:val="2"/>
                <w:sz w:val="21"/>
                <w:szCs w:val="21"/>
                <w:highlight w:val="none"/>
                <w:lang w:val="zh-CN"/>
              </w:rPr>
            </w:pPr>
            <w:r>
              <w:rPr>
                <w:rFonts w:hint="eastAsia"/>
                <w:bCs/>
                <w:color w:val="auto"/>
                <w:kern w:val="2"/>
                <w:sz w:val="21"/>
                <w:szCs w:val="21"/>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rPr>
            </w:pPr>
            <w:r>
              <w:rPr>
                <w:rFonts w:hint="eastAsia"/>
                <w:bCs/>
                <w:color w:val="auto"/>
                <w:kern w:val="2"/>
                <w:sz w:val="21"/>
                <w:szCs w:val="21"/>
                <w:highlight w:val="none"/>
              </w:rPr>
              <w:t>3</w:t>
            </w:r>
          </w:p>
        </w:tc>
        <w:tc>
          <w:tcPr>
            <w:tcW w:w="1767" w:type="dxa"/>
            <w:tcBorders>
              <w:tl2br w:val="nil"/>
              <w:tr2bl w:val="nil"/>
            </w:tcBorders>
            <w:vAlign w:val="center"/>
          </w:tcPr>
          <w:p>
            <w:pPr>
              <w:pStyle w:val="27"/>
              <w:spacing w:line="360" w:lineRule="auto"/>
              <w:jc w:val="center"/>
              <w:rPr>
                <w:bCs/>
                <w:color w:val="auto"/>
                <w:kern w:val="2"/>
                <w:sz w:val="21"/>
                <w:szCs w:val="21"/>
                <w:highlight w:val="none"/>
              </w:rPr>
            </w:pPr>
            <w:r>
              <w:rPr>
                <w:rFonts w:hint="eastAsia"/>
                <w:bCs/>
                <w:color w:val="auto"/>
                <w:kern w:val="2"/>
                <w:sz w:val="21"/>
                <w:szCs w:val="21"/>
                <w:highlight w:val="none"/>
                <w:lang w:val="zh-CN"/>
              </w:rPr>
              <w:t>最高限价</w:t>
            </w:r>
          </w:p>
          <w:p>
            <w:pPr>
              <w:pStyle w:val="27"/>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（实质性要求）</w:t>
            </w:r>
          </w:p>
        </w:tc>
        <w:tc>
          <w:tcPr>
            <w:tcW w:w="6700" w:type="dxa"/>
            <w:tcBorders>
              <w:tl2br w:val="nil"/>
              <w:tr2bl w:val="nil"/>
            </w:tcBorders>
            <w:vAlign w:val="center"/>
          </w:tcPr>
          <w:p>
            <w:pPr>
              <w:pStyle w:val="27"/>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2" w:firstLineChars="200"/>
              <w:textAlignment w:val="auto"/>
              <w:rPr>
                <w:b/>
                <w:color w:val="auto"/>
                <w:kern w:val="2"/>
                <w:sz w:val="21"/>
                <w:szCs w:val="21"/>
                <w:highlight w:val="none"/>
                <w:lang w:val="zh-CN"/>
              </w:rPr>
            </w:pPr>
            <w:r>
              <w:rPr>
                <w:rFonts w:hint="eastAsia"/>
                <w:b/>
                <w:color w:val="auto"/>
                <w:kern w:val="2"/>
                <w:sz w:val="21"/>
                <w:szCs w:val="21"/>
                <w:highlight w:val="none"/>
                <w:lang w:val="zh-CN"/>
              </w:rPr>
              <w:t>最高限价：</w:t>
            </w:r>
            <w:r>
              <w:rPr>
                <w:rFonts w:hint="eastAsia"/>
                <w:b/>
                <w:color w:val="auto"/>
                <w:kern w:val="2"/>
                <w:sz w:val="21"/>
                <w:szCs w:val="21"/>
                <w:highlight w:val="none"/>
                <w:lang w:val="zh-CN" w:eastAsia="zh-CN"/>
              </w:rPr>
              <w:t>300万元</w:t>
            </w:r>
            <w:r>
              <w:rPr>
                <w:rFonts w:hint="eastAsia"/>
                <w:b/>
                <w:color w:val="auto"/>
                <w:kern w:val="2"/>
                <w:sz w:val="21"/>
                <w:szCs w:val="21"/>
                <w:highlight w:val="none"/>
                <w:lang w:val="zh-CN"/>
              </w:rPr>
              <w:t>。</w:t>
            </w:r>
          </w:p>
          <w:p>
            <w:pPr>
              <w:pStyle w:val="27"/>
              <w:spacing w:line="360" w:lineRule="auto"/>
              <w:ind w:left="420" w:leftChars="200"/>
              <w:rPr>
                <w:bCs/>
                <w:color w:val="auto"/>
                <w:kern w:val="2"/>
                <w:sz w:val="21"/>
                <w:szCs w:val="21"/>
                <w:highlight w:val="none"/>
              </w:rPr>
            </w:pPr>
            <w:r>
              <w:rPr>
                <w:rFonts w:hint="eastAsia"/>
                <w:bCs/>
                <w:color w:val="auto"/>
                <w:kern w:val="2"/>
                <w:sz w:val="21"/>
                <w:szCs w:val="21"/>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704" w:type="dxa"/>
            <w:tcBorders>
              <w:tl2br w:val="nil"/>
              <w:tr2bl w:val="nil"/>
            </w:tcBorders>
            <w:vAlign w:val="center"/>
          </w:tcPr>
          <w:p>
            <w:pPr>
              <w:keepNext w:val="0"/>
              <w:keepLines w:val="0"/>
              <w:pageBreakBefore w:val="0"/>
              <w:widowControl w:val="0"/>
              <w:kinsoku/>
              <w:wordWrap/>
              <w:overflowPunct/>
              <w:topLinePunct w:val="0"/>
              <w:bidi w:val="0"/>
              <w:snapToGrid/>
              <w:spacing w:after="0" w:line="360" w:lineRule="auto"/>
              <w:ind w:firstLine="0" w:firstLineChars="0"/>
              <w:jc w:val="center"/>
              <w:textAlignment w:val="auto"/>
              <w:rPr>
                <w:rFonts w:hint="eastAsia" w:eastAsia="宋体"/>
                <w:bCs/>
                <w:color w:val="auto"/>
                <w:kern w:val="2"/>
                <w:sz w:val="21"/>
                <w:szCs w:val="21"/>
                <w:highlight w:val="none"/>
                <w:lang w:val="zh-CN" w:eastAsia="zh-CN"/>
              </w:rPr>
            </w:pPr>
            <w:r>
              <w:rPr>
                <w:rFonts w:hint="eastAsia" w:ascii="宋体" w:hAnsi="宋体" w:cs="宋体"/>
                <w:color w:val="auto"/>
                <w:szCs w:val="21"/>
                <w:highlight w:val="none"/>
                <w:lang w:val="en-US" w:eastAsia="zh-CN"/>
              </w:rPr>
              <w:t>4</w:t>
            </w:r>
          </w:p>
        </w:tc>
        <w:tc>
          <w:tcPr>
            <w:tcW w:w="1767" w:type="dxa"/>
            <w:tcBorders>
              <w:tl2br w:val="nil"/>
              <w:tr2bl w:val="nil"/>
            </w:tcBorders>
            <w:vAlign w:val="center"/>
          </w:tcPr>
          <w:p>
            <w:pPr>
              <w:spacing w:after="0" w:line="360" w:lineRule="auto"/>
              <w:jc w:val="center"/>
              <w:rPr>
                <w:rFonts w:hint="eastAsia" w:ascii="宋体" w:hAnsi="宋体" w:cs="宋体"/>
                <w:b w:val="0"/>
                <w:bCs w:val="0"/>
                <w:color w:val="auto"/>
                <w:szCs w:val="21"/>
                <w:highlight w:val="none"/>
                <w:lang w:val="zh-CN"/>
              </w:rPr>
            </w:pPr>
            <w:r>
              <w:rPr>
                <w:rFonts w:hint="eastAsia" w:ascii="宋体" w:hAnsi="宋体" w:cs="宋体"/>
                <w:b w:val="0"/>
                <w:bCs w:val="0"/>
                <w:color w:val="auto"/>
                <w:szCs w:val="21"/>
                <w:highlight w:val="none"/>
                <w:lang w:val="zh-CN"/>
              </w:rPr>
              <w:t>进口产品</w:t>
            </w:r>
          </w:p>
          <w:p>
            <w:pPr>
              <w:spacing w:after="0" w:line="360" w:lineRule="auto"/>
              <w:jc w:val="center"/>
              <w:rPr>
                <w:bCs/>
                <w:color w:val="auto"/>
                <w:kern w:val="2"/>
                <w:sz w:val="21"/>
                <w:szCs w:val="21"/>
                <w:highlight w:val="none"/>
                <w:lang w:val="zh-CN"/>
              </w:rPr>
            </w:pPr>
            <w:r>
              <w:rPr>
                <w:rFonts w:hint="eastAsia" w:ascii="宋体" w:hAnsi="宋体" w:cs="宋体"/>
                <w:b w:val="0"/>
                <w:bCs w:val="0"/>
                <w:color w:val="auto"/>
                <w:szCs w:val="21"/>
                <w:highlight w:val="none"/>
                <w:lang w:val="zh-CN"/>
              </w:rPr>
              <w:t>（实质性要求）</w:t>
            </w:r>
          </w:p>
        </w:tc>
        <w:tc>
          <w:tcPr>
            <w:tcW w:w="6700" w:type="dxa"/>
            <w:tcBorders>
              <w:tl2br w:val="nil"/>
              <w:tr2bl w:val="nil"/>
            </w:tcBorders>
            <w:vAlign w:val="center"/>
          </w:tcPr>
          <w:p>
            <w:pPr>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文件中未载明“允许采购进口产品”的产品，视为拒绝进口产品参与竞争，供应商以进口产品投标时，将按无效投标处理。载明“允许采购进口产品”的产品，不限制国产产品参与竞争。</w:t>
            </w:r>
          </w:p>
          <w:p>
            <w:pPr>
              <w:spacing w:after="0" w:line="360" w:lineRule="auto"/>
              <w:ind w:firstLine="422" w:firstLineChars="200"/>
              <w:rPr>
                <w:bCs/>
                <w:color w:val="auto"/>
                <w:kern w:val="2"/>
                <w:sz w:val="21"/>
                <w:szCs w:val="21"/>
                <w:highlight w:val="none"/>
                <w:lang w:val="zh-CN"/>
              </w:rPr>
            </w:pPr>
            <w:r>
              <w:rPr>
                <w:rFonts w:hint="eastAsia" w:ascii="宋体" w:hAnsi="宋体" w:cs="宋体"/>
                <w:b/>
                <w:bCs/>
                <w:color w:val="auto"/>
                <w:szCs w:val="21"/>
                <w:highlight w:val="none"/>
              </w:rPr>
              <w:t>本项目不允许采购进口产品。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lang w:val="zh-CN"/>
              </w:rPr>
            </w:pPr>
            <w:r>
              <w:rPr>
                <w:rFonts w:hint="eastAsia"/>
                <w:bCs/>
                <w:color w:val="auto"/>
                <w:kern w:val="2"/>
                <w:sz w:val="21"/>
                <w:szCs w:val="21"/>
                <w:highlight w:val="none"/>
                <w:lang w:val="zh-CN"/>
              </w:rPr>
              <w:t>5</w:t>
            </w:r>
          </w:p>
        </w:tc>
        <w:tc>
          <w:tcPr>
            <w:tcW w:w="1767" w:type="dxa"/>
            <w:tcBorders>
              <w:tl2br w:val="nil"/>
              <w:tr2bl w:val="nil"/>
            </w:tcBorders>
            <w:vAlign w:val="center"/>
          </w:tcPr>
          <w:p>
            <w:pPr>
              <w:pStyle w:val="27"/>
              <w:spacing w:line="360" w:lineRule="auto"/>
              <w:jc w:val="center"/>
              <w:rPr>
                <w:bCs/>
                <w:color w:val="auto"/>
                <w:kern w:val="2"/>
                <w:sz w:val="21"/>
                <w:szCs w:val="21"/>
                <w:highlight w:val="none"/>
              </w:rPr>
            </w:pPr>
            <w:r>
              <w:rPr>
                <w:rFonts w:hint="eastAsia"/>
                <w:bCs/>
                <w:color w:val="auto"/>
                <w:kern w:val="2"/>
                <w:sz w:val="21"/>
                <w:szCs w:val="21"/>
                <w:highlight w:val="none"/>
              </w:rPr>
              <w:t>低于成本价不正当竞争预防措施</w:t>
            </w:r>
          </w:p>
          <w:p>
            <w:pPr>
              <w:pStyle w:val="27"/>
              <w:spacing w:line="360" w:lineRule="auto"/>
              <w:jc w:val="center"/>
              <w:rPr>
                <w:bCs/>
                <w:color w:val="auto"/>
                <w:kern w:val="2"/>
                <w:sz w:val="21"/>
                <w:szCs w:val="21"/>
                <w:highlight w:val="none"/>
              </w:rPr>
            </w:pPr>
            <w:r>
              <w:rPr>
                <w:rFonts w:hint="eastAsia"/>
                <w:bCs/>
                <w:color w:val="auto"/>
                <w:kern w:val="2"/>
                <w:sz w:val="21"/>
                <w:szCs w:val="21"/>
                <w:highlight w:val="none"/>
              </w:rPr>
              <w:t>（实质性要求）</w:t>
            </w:r>
          </w:p>
        </w:tc>
        <w:tc>
          <w:tcPr>
            <w:tcW w:w="6700" w:type="dxa"/>
            <w:tcBorders>
              <w:tl2br w:val="nil"/>
              <w:tr2bl w:val="nil"/>
            </w:tcBorders>
            <w:vAlign w:val="center"/>
          </w:tcPr>
          <w:p>
            <w:pPr>
              <w:pStyle w:val="28"/>
              <w:tabs>
                <w:tab w:val="left" w:pos="314"/>
              </w:tabs>
              <w:spacing w:line="360" w:lineRule="auto"/>
              <w:ind w:firstLine="420" w:firstLineChars="200"/>
              <w:jc w:val="left"/>
              <w:rPr>
                <w:bCs/>
                <w:color w:val="auto"/>
                <w:szCs w:val="21"/>
                <w:highlight w:val="none"/>
                <w:lang w:bidi="ar-SA"/>
              </w:rPr>
            </w:pPr>
            <w:r>
              <w:rPr>
                <w:rFonts w:hint="eastAsia"/>
                <w:bCs/>
                <w:color w:val="auto"/>
                <w:szCs w:val="21"/>
                <w:highlight w:val="none"/>
                <w:lang w:bidi="ar-SA"/>
              </w:rPr>
              <w:t>（</w:t>
            </w:r>
            <w:r>
              <w:rPr>
                <w:rFonts w:hint="eastAsia"/>
                <w:bCs/>
                <w:color w:val="auto"/>
                <w:szCs w:val="21"/>
                <w:highlight w:val="none"/>
                <w:lang w:val="en-US" w:bidi="ar-SA"/>
              </w:rPr>
              <w:t>1</w:t>
            </w:r>
            <w:r>
              <w:rPr>
                <w:rFonts w:hint="eastAsia"/>
                <w:bCs/>
                <w:color w:val="auto"/>
                <w:szCs w:val="21"/>
                <w:highlight w:val="none"/>
                <w:lang w:bidi="ar-SA"/>
              </w:rPr>
              <w:t>）在评审过程中，磋商小组认为供应商的报价明显低于其他有效供应商的报价，有可能影响产品质量或者不能诚信履约的，应当要求其在评审现场合理的时间内提供书面说明，必要时提交相关证明材料；供应商不能证明其报价合理性的，磋商小组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28"/>
              <w:tabs>
                <w:tab w:val="left" w:pos="314"/>
              </w:tabs>
              <w:spacing w:line="360" w:lineRule="auto"/>
              <w:ind w:firstLine="420" w:firstLineChars="200"/>
              <w:jc w:val="left"/>
              <w:rPr>
                <w:bCs/>
                <w:color w:val="auto"/>
                <w:szCs w:val="21"/>
                <w:highlight w:val="none"/>
                <w:lang w:bidi="ar-SA"/>
              </w:rPr>
            </w:pPr>
            <w:r>
              <w:rPr>
                <w:rFonts w:hint="eastAsia"/>
                <w:bCs/>
                <w:color w:val="auto"/>
                <w:szCs w:val="21"/>
                <w:highlight w:val="none"/>
                <w:lang w:bidi="ar-SA"/>
              </w:rPr>
              <w:t>（</w:t>
            </w:r>
            <w:r>
              <w:rPr>
                <w:rFonts w:hint="eastAsia"/>
                <w:bCs/>
                <w:color w:val="auto"/>
                <w:szCs w:val="21"/>
                <w:highlight w:val="none"/>
                <w:lang w:val="en-US" w:bidi="ar-SA"/>
              </w:rPr>
              <w:t>2</w:t>
            </w:r>
            <w:r>
              <w:rPr>
                <w:rFonts w:hint="eastAsia"/>
                <w:bCs/>
                <w:color w:val="auto"/>
                <w:szCs w:val="21"/>
                <w:highlight w:val="none"/>
                <w:lang w:bidi="ar-S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28"/>
              <w:tabs>
                <w:tab w:val="left" w:pos="314"/>
              </w:tabs>
              <w:spacing w:line="360" w:lineRule="auto"/>
              <w:ind w:firstLine="420" w:firstLineChars="200"/>
              <w:jc w:val="left"/>
              <w:rPr>
                <w:bCs/>
                <w:color w:val="auto"/>
                <w:szCs w:val="21"/>
                <w:highlight w:val="none"/>
              </w:rPr>
            </w:pPr>
            <w:r>
              <w:rPr>
                <w:rFonts w:hint="eastAsia"/>
                <w:bCs/>
                <w:color w:val="auto"/>
                <w:szCs w:val="21"/>
                <w:highlight w:val="none"/>
                <w:lang w:bidi="ar-SA"/>
              </w:rPr>
              <w:t>（</w:t>
            </w:r>
            <w:r>
              <w:rPr>
                <w:rFonts w:hint="eastAsia"/>
                <w:bCs/>
                <w:color w:val="auto"/>
                <w:szCs w:val="21"/>
                <w:highlight w:val="none"/>
                <w:lang w:val="en-US" w:bidi="ar-SA"/>
              </w:rPr>
              <w:t>3</w:t>
            </w:r>
            <w:r>
              <w:rPr>
                <w:rFonts w:hint="eastAsia"/>
                <w:bCs/>
                <w:color w:val="auto"/>
                <w:szCs w:val="21"/>
                <w:highlight w:val="none"/>
                <w:lang w:bidi="ar-SA"/>
              </w:rPr>
              <w:t>）供应商提供书面说明后，磋商小组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lang w:val="zh-CN"/>
              </w:rPr>
            </w:pPr>
            <w:r>
              <w:rPr>
                <w:rFonts w:hint="eastAsia"/>
                <w:bCs/>
                <w:color w:val="auto"/>
                <w:kern w:val="2"/>
                <w:sz w:val="21"/>
                <w:szCs w:val="21"/>
                <w:highlight w:val="none"/>
                <w:lang w:val="zh-CN"/>
              </w:rPr>
              <w:t>6</w:t>
            </w:r>
          </w:p>
        </w:tc>
        <w:tc>
          <w:tcPr>
            <w:tcW w:w="1767" w:type="dxa"/>
            <w:tcBorders>
              <w:tl2br w:val="nil"/>
              <w:tr2bl w:val="nil"/>
            </w:tcBorders>
            <w:vAlign w:val="center"/>
          </w:tcPr>
          <w:p>
            <w:pPr>
              <w:pStyle w:val="27"/>
              <w:spacing w:line="360" w:lineRule="auto"/>
              <w:jc w:val="center"/>
              <w:rPr>
                <w:bCs/>
                <w:color w:val="auto"/>
                <w:kern w:val="2"/>
                <w:sz w:val="21"/>
                <w:szCs w:val="21"/>
                <w:highlight w:val="none"/>
              </w:rPr>
            </w:pPr>
            <w:r>
              <w:rPr>
                <w:rFonts w:hint="eastAsia"/>
                <w:bCs/>
                <w:color w:val="auto"/>
                <w:kern w:val="2"/>
                <w:sz w:val="21"/>
                <w:szCs w:val="21"/>
                <w:highlight w:val="none"/>
              </w:rPr>
              <w:t>小微企业（监狱企业、残疾人福利性单位视同小微企业）价格扣除</w:t>
            </w:r>
          </w:p>
          <w:p>
            <w:pPr>
              <w:pStyle w:val="27"/>
              <w:spacing w:line="360" w:lineRule="auto"/>
              <w:jc w:val="center"/>
              <w:rPr>
                <w:bCs/>
                <w:color w:val="auto"/>
                <w:kern w:val="2"/>
                <w:sz w:val="21"/>
                <w:szCs w:val="21"/>
                <w:highlight w:val="none"/>
              </w:rPr>
            </w:pPr>
            <w:r>
              <w:rPr>
                <w:rFonts w:hint="eastAsia"/>
                <w:color w:val="auto"/>
                <w:sz w:val="21"/>
                <w:szCs w:val="21"/>
                <w:highlight w:val="none"/>
              </w:rPr>
              <w:t>（实质性要求）</w:t>
            </w:r>
          </w:p>
        </w:tc>
        <w:tc>
          <w:tcPr>
            <w:tcW w:w="6700" w:type="dxa"/>
            <w:tcBorders>
              <w:tl2br w:val="nil"/>
              <w:tr2bl w:val="nil"/>
            </w:tcBorders>
          </w:tcPr>
          <w:p>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一、小微企业（监狱企业、残疾人福利性单位均视同小微企业）价格扣除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1、根据《政府采购促进中小企业发展管理办法》（财库〔2020〕46号）的规定，对小型和微型企业产品的价格给予10%的价格扣除，用扣除后的价格参与评标。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2、参加政府采购活动的中小企业应当提供《中小企业声明函》原件。监狱企业应当提供《监狱企业证明》原件。残疾人福利性单位应当提供《残疾人福利性单位声明函》原件。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工程项目为2%）的扣除，用扣除后的价格参加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4、符合中小企业划分标准的个体工商户，在政府采购活动中视同中小企业。</w:t>
            </w:r>
          </w:p>
          <w:p>
            <w:pPr>
              <w:pStyle w:val="27"/>
              <w:spacing w:line="360" w:lineRule="auto"/>
              <w:ind w:firstLine="422" w:firstLineChars="200"/>
              <w:rPr>
                <w:color w:val="auto"/>
                <w:sz w:val="21"/>
                <w:szCs w:val="21"/>
                <w:highlight w:val="none"/>
              </w:rPr>
            </w:pPr>
            <w:r>
              <w:rPr>
                <w:rFonts w:hint="eastAsia"/>
                <w:b/>
                <w:bCs/>
                <w:color w:val="auto"/>
                <w:sz w:val="21"/>
                <w:szCs w:val="21"/>
                <w:highlight w:val="none"/>
                <w:lang w:val="en-US" w:eastAsia="zh-CN"/>
              </w:rPr>
              <w:t>二</w:t>
            </w:r>
            <w:r>
              <w:rPr>
                <w:rFonts w:hint="eastAsia"/>
                <w:b/>
                <w:bCs/>
                <w:color w:val="auto"/>
                <w:sz w:val="21"/>
                <w:szCs w:val="21"/>
                <w:highlight w:val="none"/>
              </w:rPr>
              <w:t>、符合扶持不发达地区和少数民族地区政策条件的，在同等条件下享有优先采购的机会。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rPr>
            </w:pPr>
            <w:r>
              <w:rPr>
                <w:rFonts w:hint="eastAsia"/>
                <w:bCs/>
                <w:color w:val="auto"/>
                <w:kern w:val="2"/>
                <w:sz w:val="21"/>
                <w:szCs w:val="21"/>
                <w:highlight w:val="none"/>
              </w:rPr>
              <w:t>7</w:t>
            </w:r>
          </w:p>
        </w:tc>
        <w:tc>
          <w:tcPr>
            <w:tcW w:w="1767" w:type="dxa"/>
            <w:tcBorders>
              <w:tl2br w:val="nil"/>
              <w:tr2bl w:val="nil"/>
            </w:tcBorders>
            <w:vAlign w:val="center"/>
          </w:tcPr>
          <w:p>
            <w:pPr>
              <w:spacing w:line="360" w:lineRule="auto"/>
              <w:ind w:left="105" w:leftChars="50" w:right="105" w:rightChars="50"/>
              <w:jc w:val="center"/>
              <w:rPr>
                <w:rFonts w:ascii="宋体" w:hAnsi="宋体" w:cs="宋体"/>
                <w:bCs/>
                <w:color w:val="auto"/>
                <w:szCs w:val="21"/>
                <w:highlight w:val="none"/>
                <w:lang w:val="zh-CN"/>
              </w:rPr>
            </w:pPr>
            <w:r>
              <w:rPr>
                <w:rFonts w:hint="eastAsia" w:ascii="宋体" w:hAnsi="宋体" w:cs="宋体"/>
                <w:color w:val="auto"/>
                <w:kern w:val="0"/>
                <w:szCs w:val="21"/>
                <w:highlight w:val="none"/>
              </w:rPr>
              <w:t>节能、环保及无线局域网产品政府采购政策</w:t>
            </w:r>
          </w:p>
        </w:tc>
        <w:tc>
          <w:tcPr>
            <w:tcW w:w="67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一、节能、环保产品政府采购政策：</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本项目采购的产品属于品目清单强制采购范围的，供应商应按上述要求提供产品认证证书复印件并加盖供应商单位公章（鲜章），否则响应无效。</w:t>
            </w:r>
            <w:r>
              <w:rPr>
                <w:rFonts w:hint="eastAsia" w:ascii="宋体" w:hAnsi="宋体" w:eastAsia="宋体" w:cs="宋体"/>
                <w:b/>
                <w:color w:val="auto"/>
                <w:szCs w:val="21"/>
                <w:highlight w:val="none"/>
              </w:rPr>
              <w:t>（实质性要求）</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本项目采购的产品属于品目清单优先采购范围的，按照第</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章《综合评分明细表》的规则进行加分。</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注：对政府采购节能产品、环境标志产品实施品目清单管理。财政部、发展改革委、生态环境部等部门确定实施政府优先采购和强制采购的产品类别，以品目清单的形式发布并适时调整。</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二、无线局域网产品政府采购政策：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宋体" w:hAnsi="宋体" w:cs="宋体"/>
                <w:bCs/>
                <w:color w:val="auto"/>
                <w:szCs w:val="21"/>
                <w:highlight w:val="none"/>
                <w:lang w:val="zh-CN"/>
              </w:rPr>
            </w:pPr>
            <w:r>
              <w:rPr>
                <w:rFonts w:hint="eastAsia" w:ascii="宋体" w:hAnsi="宋体" w:eastAsia="宋体" w:cs="宋体"/>
                <w:color w:val="auto"/>
                <w:szCs w:val="21"/>
                <w:highlight w:val="none"/>
              </w:rPr>
              <w:t>本项目采购的产品若属于中国政府采购网公布的《无线局域网认证产品政府采购清单》的，按照第</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lang w:val="zh-CN"/>
              </w:rPr>
            </w:pPr>
            <w:r>
              <w:rPr>
                <w:rFonts w:hint="eastAsia"/>
                <w:bCs/>
                <w:color w:val="auto"/>
                <w:kern w:val="2"/>
                <w:sz w:val="21"/>
                <w:szCs w:val="21"/>
                <w:highlight w:val="none"/>
              </w:rPr>
              <w:t>8</w:t>
            </w:r>
          </w:p>
        </w:tc>
        <w:tc>
          <w:tcPr>
            <w:tcW w:w="1767" w:type="dxa"/>
            <w:tcBorders>
              <w:tl2br w:val="nil"/>
              <w:tr2bl w:val="nil"/>
            </w:tcBorders>
            <w:vAlign w:val="center"/>
          </w:tcPr>
          <w:p>
            <w:pPr>
              <w:pStyle w:val="27"/>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磋商情况公告</w:t>
            </w:r>
          </w:p>
        </w:tc>
        <w:tc>
          <w:tcPr>
            <w:tcW w:w="6700" w:type="dxa"/>
            <w:tcBorders>
              <w:tl2br w:val="nil"/>
              <w:tr2bl w:val="nil"/>
            </w:tcBorders>
            <w:vAlign w:val="center"/>
          </w:tcPr>
          <w:p>
            <w:pPr>
              <w:pStyle w:val="27"/>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rPr>
            </w:pPr>
            <w:r>
              <w:rPr>
                <w:rFonts w:hint="eastAsia"/>
                <w:bCs/>
                <w:color w:val="auto"/>
                <w:kern w:val="2"/>
                <w:sz w:val="21"/>
                <w:szCs w:val="21"/>
                <w:highlight w:val="none"/>
              </w:rPr>
              <w:t>9</w:t>
            </w:r>
          </w:p>
        </w:tc>
        <w:tc>
          <w:tcPr>
            <w:tcW w:w="1767" w:type="dxa"/>
            <w:tcBorders>
              <w:tl2br w:val="nil"/>
              <w:tr2bl w:val="nil"/>
            </w:tcBorders>
            <w:vAlign w:val="center"/>
          </w:tcPr>
          <w:p>
            <w:pPr>
              <w:pStyle w:val="27"/>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磋商保证金</w:t>
            </w:r>
          </w:p>
          <w:p>
            <w:pPr>
              <w:pStyle w:val="27"/>
              <w:spacing w:line="360" w:lineRule="auto"/>
              <w:jc w:val="center"/>
              <w:rPr>
                <w:bCs/>
                <w:color w:val="auto"/>
                <w:kern w:val="2"/>
                <w:sz w:val="21"/>
                <w:szCs w:val="21"/>
                <w:highlight w:val="none"/>
                <w:lang w:val="zh-CN"/>
              </w:rPr>
            </w:pPr>
            <w:r>
              <w:rPr>
                <w:rFonts w:hint="eastAsia"/>
                <w:color w:val="auto"/>
                <w:sz w:val="21"/>
                <w:szCs w:val="21"/>
                <w:highlight w:val="none"/>
              </w:rPr>
              <w:t>（实质性要求）</w:t>
            </w:r>
          </w:p>
        </w:tc>
        <w:tc>
          <w:tcPr>
            <w:tcW w:w="6700" w:type="dxa"/>
            <w:tcBorders>
              <w:tl2br w:val="nil"/>
              <w:tr2bl w:val="nil"/>
            </w:tcBorders>
            <w:vAlign w:val="center"/>
          </w:tcPr>
          <w:p>
            <w:pPr>
              <w:spacing w:line="360" w:lineRule="auto"/>
              <w:ind w:firstLine="422" w:firstLineChars="200"/>
              <w:jc w:val="left"/>
              <w:rPr>
                <w:rFonts w:ascii="宋体" w:hAnsi="宋体" w:cs="宋体"/>
                <w:bCs/>
                <w:color w:val="auto"/>
                <w:szCs w:val="21"/>
                <w:highlight w:val="none"/>
              </w:rPr>
            </w:pPr>
            <w:r>
              <w:rPr>
                <w:rFonts w:hint="eastAsia" w:ascii="宋体" w:hAnsi="宋体" w:cs="宋体"/>
                <w:b/>
                <w:color w:val="auto"/>
                <w:szCs w:val="21"/>
                <w:highlight w:val="none"/>
                <w:lang w:val="zh-CN"/>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rPr>
            </w:pPr>
            <w:r>
              <w:rPr>
                <w:rFonts w:hint="eastAsia"/>
                <w:bCs/>
                <w:color w:val="auto"/>
                <w:kern w:val="2"/>
                <w:sz w:val="21"/>
                <w:szCs w:val="21"/>
                <w:highlight w:val="none"/>
              </w:rPr>
              <w:t>10</w:t>
            </w:r>
          </w:p>
        </w:tc>
        <w:tc>
          <w:tcPr>
            <w:tcW w:w="1767" w:type="dxa"/>
            <w:tcBorders>
              <w:tl2br w:val="nil"/>
              <w:tr2bl w:val="nil"/>
            </w:tcBorders>
            <w:shd w:val="clear" w:color="auto" w:fill="auto"/>
            <w:vAlign w:val="center"/>
          </w:tcPr>
          <w:p>
            <w:pPr>
              <w:pStyle w:val="27"/>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履约保证金</w:t>
            </w:r>
          </w:p>
        </w:tc>
        <w:tc>
          <w:tcPr>
            <w:tcW w:w="6700" w:type="dxa"/>
            <w:tcBorders>
              <w:tl2br w:val="nil"/>
              <w:tr2bl w:val="nil"/>
            </w:tcBorders>
            <w:shd w:val="clear" w:color="auto" w:fill="auto"/>
            <w:vAlign w:val="center"/>
          </w:tcPr>
          <w:p>
            <w:pPr>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    额：</w:t>
            </w:r>
            <w:r>
              <w:rPr>
                <w:rFonts w:hint="eastAsia" w:ascii="宋体" w:hAnsi="宋体" w:eastAsia="宋体" w:cs="宋体"/>
                <w:color w:val="auto"/>
                <w:sz w:val="21"/>
                <w:szCs w:val="21"/>
                <w:highlight w:val="none"/>
                <w:lang w:eastAsia="zh-CN"/>
              </w:rPr>
              <w:t>合同金额</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p>
          <w:p>
            <w:pPr>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交款方式：以支票、汇票、本票、网上银行支付或者金融机构、担保机构出具的保函等非现金形式向采购人指定账户提交。</w:t>
            </w:r>
          </w:p>
          <w:p>
            <w:pPr>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收款单位：成都市植物园（成都市公园城市植物科学研究院）</w:t>
            </w:r>
          </w:p>
          <w:p>
            <w:pPr>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交款时间：中标通知书发放后，政府采购合同签订前。</w:t>
            </w:r>
          </w:p>
          <w:p>
            <w:pPr>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履约保证金退还方式：以转账形式或电汇形式递交的履约保证金，按转账方式退还。</w:t>
            </w:r>
          </w:p>
          <w:p>
            <w:pPr>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履约保证金退还时间：项目验收合格后无息退还履约还保证金。</w:t>
            </w:r>
          </w:p>
          <w:p>
            <w:pPr>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履约保证金不予退还情形：验收结果不合格的，履约保证金将不予退还。</w:t>
            </w:r>
          </w:p>
          <w:p>
            <w:pPr>
              <w:pStyle w:val="27"/>
              <w:spacing w:line="360" w:lineRule="auto"/>
              <w:ind w:firstLine="420" w:firstLineChars="200"/>
              <w:rPr>
                <w:rFonts w:hint="eastAsia" w:eastAsia="宋体"/>
                <w:bCs/>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履约保证金不予退还的，将按照有关规定上缴国库。逾期退还履约保证金的，将依法承担法律责任，并赔偿投标人损失。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lang w:val="zh-CN"/>
              </w:rPr>
            </w:pPr>
            <w:r>
              <w:rPr>
                <w:rFonts w:hint="eastAsia"/>
                <w:bCs/>
                <w:color w:val="auto"/>
                <w:kern w:val="2"/>
                <w:sz w:val="21"/>
                <w:szCs w:val="21"/>
                <w:highlight w:val="none"/>
                <w:lang w:val="zh-CN"/>
              </w:rPr>
              <w:t>1</w:t>
            </w:r>
            <w:r>
              <w:rPr>
                <w:rFonts w:hint="eastAsia"/>
                <w:bCs/>
                <w:color w:val="auto"/>
                <w:kern w:val="2"/>
                <w:sz w:val="21"/>
                <w:szCs w:val="21"/>
                <w:highlight w:val="none"/>
              </w:rPr>
              <w:t>1</w:t>
            </w:r>
          </w:p>
        </w:tc>
        <w:tc>
          <w:tcPr>
            <w:tcW w:w="1767" w:type="dxa"/>
            <w:tcBorders>
              <w:tl2br w:val="nil"/>
              <w:tr2bl w:val="nil"/>
            </w:tcBorders>
            <w:vAlign w:val="center"/>
          </w:tcPr>
          <w:p>
            <w:pPr>
              <w:pStyle w:val="27"/>
              <w:spacing w:line="360" w:lineRule="auto"/>
              <w:jc w:val="center"/>
              <w:rPr>
                <w:bCs/>
                <w:color w:val="auto"/>
                <w:kern w:val="2"/>
                <w:sz w:val="21"/>
                <w:szCs w:val="21"/>
                <w:highlight w:val="none"/>
                <w:lang w:val="zh-CN"/>
              </w:rPr>
            </w:pPr>
            <w:r>
              <w:rPr>
                <w:rFonts w:hint="eastAsia"/>
                <w:bCs/>
                <w:color w:val="auto"/>
                <w:kern w:val="2"/>
                <w:sz w:val="21"/>
                <w:szCs w:val="21"/>
                <w:highlight w:val="none"/>
              </w:rPr>
              <w:t>磋商</w:t>
            </w:r>
            <w:r>
              <w:rPr>
                <w:rFonts w:hint="eastAsia"/>
                <w:bCs/>
                <w:color w:val="auto"/>
                <w:kern w:val="2"/>
                <w:sz w:val="21"/>
                <w:szCs w:val="21"/>
                <w:highlight w:val="none"/>
                <w:lang w:val="zh-CN"/>
              </w:rPr>
              <w:t>文件咨询</w:t>
            </w:r>
          </w:p>
        </w:tc>
        <w:tc>
          <w:tcPr>
            <w:tcW w:w="6700" w:type="dxa"/>
            <w:tcBorders>
              <w:tl2br w:val="nil"/>
              <w:tr2bl w:val="nil"/>
            </w:tcBorders>
            <w:vAlign w:val="center"/>
          </w:tcPr>
          <w:p>
            <w:pPr>
              <w:pStyle w:val="27"/>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联系人：</w:t>
            </w:r>
            <w:r>
              <w:rPr>
                <w:rFonts w:hint="eastAsia"/>
                <w:bCs/>
                <w:color w:val="auto"/>
                <w:kern w:val="2"/>
                <w:sz w:val="21"/>
                <w:szCs w:val="21"/>
                <w:highlight w:val="none"/>
                <w:lang w:eastAsia="zh-CN"/>
              </w:rPr>
              <w:t>胡先生</w:t>
            </w:r>
            <w:r>
              <w:rPr>
                <w:rFonts w:hint="eastAsia"/>
                <w:bCs/>
                <w:color w:val="auto"/>
                <w:kern w:val="2"/>
                <w:sz w:val="21"/>
                <w:szCs w:val="21"/>
                <w:highlight w:val="none"/>
                <w:lang w:val="zh-CN"/>
              </w:rPr>
              <w:t xml:space="preserve">   联系电话：  028-85320556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lang w:val="zh-CN"/>
              </w:rPr>
            </w:pPr>
            <w:r>
              <w:rPr>
                <w:rFonts w:hint="eastAsia"/>
                <w:bCs/>
                <w:color w:val="auto"/>
                <w:kern w:val="2"/>
                <w:sz w:val="21"/>
                <w:szCs w:val="21"/>
                <w:highlight w:val="none"/>
                <w:lang w:val="zh-CN"/>
              </w:rPr>
              <w:t>1</w:t>
            </w:r>
            <w:r>
              <w:rPr>
                <w:rFonts w:hint="eastAsia"/>
                <w:bCs/>
                <w:color w:val="auto"/>
                <w:kern w:val="2"/>
                <w:sz w:val="21"/>
                <w:szCs w:val="21"/>
                <w:highlight w:val="none"/>
              </w:rPr>
              <w:t>2</w:t>
            </w:r>
          </w:p>
        </w:tc>
        <w:tc>
          <w:tcPr>
            <w:tcW w:w="1767" w:type="dxa"/>
            <w:tcBorders>
              <w:tl2br w:val="nil"/>
              <w:tr2bl w:val="nil"/>
            </w:tcBorders>
            <w:vAlign w:val="center"/>
          </w:tcPr>
          <w:p>
            <w:pPr>
              <w:pStyle w:val="27"/>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磋商过程、结果工作咨询</w:t>
            </w:r>
          </w:p>
        </w:tc>
        <w:tc>
          <w:tcPr>
            <w:tcW w:w="6700" w:type="dxa"/>
            <w:tcBorders>
              <w:tl2br w:val="nil"/>
              <w:tr2bl w:val="nil"/>
            </w:tcBorders>
            <w:vAlign w:val="center"/>
          </w:tcPr>
          <w:p>
            <w:pPr>
              <w:pStyle w:val="27"/>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联系人：</w:t>
            </w:r>
            <w:r>
              <w:rPr>
                <w:rFonts w:hint="eastAsia"/>
                <w:bCs/>
                <w:color w:val="auto"/>
                <w:kern w:val="2"/>
                <w:sz w:val="21"/>
                <w:szCs w:val="21"/>
                <w:highlight w:val="none"/>
                <w:lang w:eastAsia="zh-CN"/>
              </w:rPr>
              <w:t>胡先生</w:t>
            </w:r>
            <w:r>
              <w:rPr>
                <w:rFonts w:hint="eastAsia"/>
                <w:bCs/>
                <w:color w:val="auto"/>
                <w:kern w:val="2"/>
                <w:sz w:val="21"/>
                <w:szCs w:val="21"/>
                <w:highlight w:val="none"/>
                <w:lang w:val="zh-CN"/>
              </w:rPr>
              <w:t xml:space="preserve">   联系电话：  028-85320556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lang w:val="zh-CN"/>
              </w:rPr>
            </w:pPr>
            <w:r>
              <w:rPr>
                <w:rFonts w:hint="eastAsia"/>
                <w:bCs/>
                <w:color w:val="auto"/>
                <w:kern w:val="2"/>
                <w:sz w:val="21"/>
                <w:szCs w:val="21"/>
                <w:highlight w:val="none"/>
                <w:lang w:val="zh-CN"/>
              </w:rPr>
              <w:t>1</w:t>
            </w:r>
            <w:r>
              <w:rPr>
                <w:rFonts w:hint="eastAsia"/>
                <w:bCs/>
                <w:color w:val="auto"/>
                <w:kern w:val="2"/>
                <w:sz w:val="21"/>
                <w:szCs w:val="21"/>
                <w:highlight w:val="none"/>
              </w:rPr>
              <w:t>3</w:t>
            </w:r>
          </w:p>
        </w:tc>
        <w:tc>
          <w:tcPr>
            <w:tcW w:w="1767" w:type="dxa"/>
            <w:tcBorders>
              <w:tl2br w:val="nil"/>
              <w:tr2bl w:val="nil"/>
            </w:tcBorders>
            <w:vAlign w:val="center"/>
          </w:tcPr>
          <w:p>
            <w:pPr>
              <w:pStyle w:val="27"/>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成交通知书领取</w:t>
            </w:r>
          </w:p>
        </w:tc>
        <w:tc>
          <w:tcPr>
            <w:tcW w:w="6700" w:type="dxa"/>
            <w:tcBorders>
              <w:tl2br w:val="nil"/>
              <w:tr2bl w:val="nil"/>
            </w:tcBorders>
            <w:vAlign w:val="center"/>
          </w:tcPr>
          <w:p>
            <w:pPr>
              <w:pStyle w:val="27"/>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采购结果公告在四川政府采购网上发布后，请成交供应商凭有效身份证明证件到四川易通天和招标代理有限公司领取成交通知书。</w:t>
            </w:r>
          </w:p>
          <w:p>
            <w:pPr>
              <w:pStyle w:val="27"/>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联系电话：028-85320556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lang w:val="zh-CN"/>
              </w:rPr>
            </w:pPr>
            <w:r>
              <w:rPr>
                <w:rFonts w:hint="eastAsia"/>
                <w:bCs/>
                <w:color w:val="auto"/>
                <w:kern w:val="2"/>
                <w:sz w:val="21"/>
                <w:szCs w:val="21"/>
                <w:highlight w:val="none"/>
                <w:lang w:val="zh-CN"/>
              </w:rPr>
              <w:t>1</w:t>
            </w:r>
            <w:r>
              <w:rPr>
                <w:rFonts w:hint="eastAsia"/>
                <w:bCs/>
                <w:color w:val="auto"/>
                <w:kern w:val="2"/>
                <w:sz w:val="21"/>
                <w:szCs w:val="21"/>
                <w:highlight w:val="none"/>
              </w:rPr>
              <w:t>4</w:t>
            </w:r>
          </w:p>
        </w:tc>
        <w:tc>
          <w:tcPr>
            <w:tcW w:w="1767" w:type="dxa"/>
            <w:tcBorders>
              <w:tl2br w:val="nil"/>
              <w:tr2bl w:val="nil"/>
            </w:tcBorders>
            <w:vAlign w:val="center"/>
          </w:tcPr>
          <w:p>
            <w:pPr>
              <w:pStyle w:val="27"/>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供应商询问</w:t>
            </w:r>
          </w:p>
        </w:tc>
        <w:tc>
          <w:tcPr>
            <w:tcW w:w="6700" w:type="dxa"/>
            <w:tcBorders>
              <w:tl2br w:val="nil"/>
              <w:tr2bl w:val="nil"/>
            </w:tcBorders>
          </w:tcPr>
          <w:p>
            <w:pPr>
              <w:pStyle w:val="27"/>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根据委托代理协议约定，供应商询问由四川易通天和招标代理有限公司负责答复。</w:t>
            </w:r>
          </w:p>
          <w:p>
            <w:pPr>
              <w:pStyle w:val="27"/>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联系人：</w:t>
            </w:r>
            <w:r>
              <w:rPr>
                <w:rFonts w:hint="eastAsia"/>
                <w:bCs/>
                <w:color w:val="auto"/>
                <w:kern w:val="2"/>
                <w:sz w:val="21"/>
                <w:szCs w:val="21"/>
                <w:highlight w:val="none"/>
                <w:lang w:eastAsia="zh-CN"/>
              </w:rPr>
              <w:t>胡先生</w:t>
            </w:r>
            <w:r>
              <w:rPr>
                <w:rFonts w:hint="eastAsia"/>
                <w:bCs/>
                <w:color w:val="auto"/>
                <w:kern w:val="2"/>
                <w:sz w:val="21"/>
                <w:szCs w:val="21"/>
                <w:highlight w:val="none"/>
                <w:lang w:val="zh-CN"/>
              </w:rPr>
              <w:t xml:space="preserve">   联系电话：  028-85320556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lang w:val="zh-CN"/>
              </w:rPr>
            </w:pPr>
            <w:r>
              <w:rPr>
                <w:rFonts w:hint="eastAsia"/>
                <w:bCs/>
                <w:color w:val="auto"/>
                <w:kern w:val="2"/>
                <w:sz w:val="21"/>
                <w:szCs w:val="21"/>
                <w:highlight w:val="none"/>
                <w:lang w:val="zh-CN"/>
              </w:rPr>
              <w:t>1</w:t>
            </w:r>
            <w:r>
              <w:rPr>
                <w:rFonts w:hint="eastAsia"/>
                <w:bCs/>
                <w:color w:val="auto"/>
                <w:kern w:val="2"/>
                <w:sz w:val="21"/>
                <w:szCs w:val="21"/>
                <w:highlight w:val="none"/>
              </w:rPr>
              <w:t>5</w:t>
            </w:r>
          </w:p>
        </w:tc>
        <w:tc>
          <w:tcPr>
            <w:tcW w:w="1767" w:type="dxa"/>
            <w:tcBorders>
              <w:tl2br w:val="nil"/>
              <w:tr2bl w:val="nil"/>
            </w:tcBorders>
            <w:vAlign w:val="center"/>
          </w:tcPr>
          <w:p>
            <w:pPr>
              <w:pStyle w:val="27"/>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供应商质疑</w:t>
            </w:r>
          </w:p>
        </w:tc>
        <w:tc>
          <w:tcPr>
            <w:tcW w:w="6700" w:type="dxa"/>
            <w:tcBorders>
              <w:tl2br w:val="nil"/>
              <w:tr2bl w:val="nil"/>
            </w:tcBorders>
            <w:vAlign w:val="center"/>
          </w:tcPr>
          <w:p>
            <w:pPr>
              <w:spacing w:line="360" w:lineRule="auto"/>
              <w:ind w:right="105" w:rightChars="50" w:firstLine="420" w:firstLineChars="200"/>
              <w:jc w:val="left"/>
              <w:rPr>
                <w:rFonts w:ascii="宋体" w:hAnsi="宋体" w:cs="宋体"/>
                <w:color w:val="auto"/>
                <w:szCs w:val="21"/>
                <w:highlight w:val="none"/>
              </w:rPr>
            </w:pPr>
            <w:bookmarkStart w:id="24" w:name="PO_默认文件内容_30"/>
            <w:r>
              <w:rPr>
                <w:rFonts w:hint="eastAsia" w:ascii="宋体" w:hAnsi="宋体" w:cs="宋体"/>
                <w:color w:val="auto"/>
                <w:szCs w:val="21"/>
                <w:highlight w:val="none"/>
              </w:rPr>
              <w:t>根据委托代理协议约定，供应商质疑由</w:t>
            </w:r>
            <w:r>
              <w:rPr>
                <w:rFonts w:hint="eastAsia" w:ascii="宋体" w:hAnsi="宋体" w:cs="宋体"/>
                <w:color w:val="auto"/>
                <w:szCs w:val="21"/>
                <w:highlight w:val="none"/>
                <w:lang w:val="zh-CN"/>
              </w:rPr>
              <w:t>采购代理机构负责答复。</w:t>
            </w:r>
          </w:p>
          <w:p>
            <w:pPr>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联 系 人：</w:t>
            </w:r>
            <w:r>
              <w:rPr>
                <w:rFonts w:hint="eastAsia" w:ascii="宋体" w:hAnsi="宋体" w:cs="宋体"/>
                <w:color w:val="auto"/>
                <w:szCs w:val="21"/>
                <w:highlight w:val="none"/>
                <w:lang w:eastAsia="zh-CN"/>
              </w:rPr>
              <w:t>胡先生</w:t>
            </w:r>
          </w:p>
          <w:p>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联系电话：</w:t>
            </w:r>
            <w:r>
              <w:rPr>
                <w:rFonts w:hint="eastAsia" w:ascii="宋体" w:hAnsi="宋体" w:cs="宋体"/>
                <w:bCs/>
                <w:color w:val="auto"/>
                <w:szCs w:val="21"/>
                <w:highlight w:val="none"/>
                <w:lang w:val="zh-CN"/>
              </w:rPr>
              <w:t>028-85320556</w:t>
            </w:r>
          </w:p>
          <w:p>
            <w:pPr>
              <w:spacing w:line="360" w:lineRule="auto"/>
              <w:ind w:right="105" w:rightChars="50"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地址：成都市高新区天府大道北段1700号新世纪环球中心W6-2019。</w:t>
            </w:r>
          </w:p>
          <w:p>
            <w:pPr>
              <w:pStyle w:val="27"/>
              <w:spacing w:line="360" w:lineRule="auto"/>
              <w:ind w:firstLine="420" w:firstLineChars="200"/>
              <w:rPr>
                <w:bCs/>
                <w:color w:val="auto"/>
                <w:kern w:val="2"/>
                <w:sz w:val="21"/>
                <w:szCs w:val="21"/>
                <w:highlight w:val="none"/>
                <w:lang w:val="zh-CN"/>
              </w:rPr>
            </w:pPr>
            <w:r>
              <w:rPr>
                <w:rFonts w:hint="eastAsia"/>
                <w:color w:val="auto"/>
                <w:sz w:val="21"/>
                <w:szCs w:val="21"/>
                <w:highlight w:val="none"/>
                <w:lang w:val="zh-CN"/>
              </w:rPr>
              <w:t>注：根据《中华人民共和国政府采购法》等规定，供应商质疑不得超出采购文件、采购过程、采购结果的范围</w:t>
            </w:r>
            <w:bookmarkEnd w:id="24"/>
            <w:r>
              <w:rPr>
                <w:rFonts w:hint="eastAsia"/>
                <w:color w:val="auto"/>
                <w:sz w:val="21"/>
                <w:szCs w:val="21"/>
                <w:highlight w:val="none"/>
                <w:lang w:val="zh-CN"/>
              </w:rPr>
              <w:t>,供应商针对同一采购程序环节的质疑应在法定质疑期内一次性提出。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lang w:val="zh-CN"/>
              </w:rPr>
            </w:pPr>
            <w:r>
              <w:rPr>
                <w:rFonts w:hint="eastAsia"/>
                <w:bCs/>
                <w:color w:val="auto"/>
                <w:kern w:val="2"/>
                <w:sz w:val="21"/>
                <w:szCs w:val="21"/>
                <w:highlight w:val="none"/>
                <w:lang w:val="zh-CN"/>
              </w:rPr>
              <w:t>1</w:t>
            </w:r>
            <w:r>
              <w:rPr>
                <w:rFonts w:hint="eastAsia"/>
                <w:bCs/>
                <w:color w:val="auto"/>
                <w:kern w:val="2"/>
                <w:sz w:val="21"/>
                <w:szCs w:val="21"/>
                <w:highlight w:val="none"/>
              </w:rPr>
              <w:t>6</w:t>
            </w:r>
          </w:p>
        </w:tc>
        <w:tc>
          <w:tcPr>
            <w:tcW w:w="1767" w:type="dxa"/>
            <w:tcBorders>
              <w:tl2br w:val="nil"/>
              <w:tr2bl w:val="nil"/>
            </w:tcBorders>
            <w:vAlign w:val="center"/>
          </w:tcPr>
          <w:p>
            <w:pPr>
              <w:pStyle w:val="27"/>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供应商投诉</w:t>
            </w:r>
          </w:p>
        </w:tc>
        <w:tc>
          <w:tcPr>
            <w:tcW w:w="6700" w:type="dxa"/>
            <w:tcBorders>
              <w:tl2br w:val="nil"/>
              <w:tr2bl w:val="nil"/>
            </w:tcBorders>
            <w:vAlign w:val="center"/>
          </w:tcPr>
          <w:p>
            <w:pPr>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投诉受理单位：本项目同级财政部门，即</w:t>
            </w:r>
            <w:r>
              <w:rPr>
                <w:rFonts w:hint="eastAsia" w:ascii="宋体" w:hAnsi="宋体" w:cs="宋体"/>
                <w:color w:val="auto"/>
                <w:szCs w:val="21"/>
                <w:highlight w:val="none"/>
                <w:lang w:val="en-US" w:eastAsia="zh-CN"/>
              </w:rPr>
              <w:t>成都市</w:t>
            </w:r>
            <w:r>
              <w:rPr>
                <w:rFonts w:hint="eastAsia" w:ascii="宋体" w:hAnsi="宋体" w:cs="宋体"/>
                <w:color w:val="auto"/>
                <w:szCs w:val="21"/>
                <w:highlight w:val="none"/>
                <w:lang w:val="zh-CN"/>
              </w:rPr>
              <w:t>财政局。</w:t>
            </w:r>
          </w:p>
          <w:p>
            <w:pPr>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联系电话：028-61882648</w:t>
            </w:r>
          </w:p>
          <w:p>
            <w:pPr>
              <w:pStyle w:val="27"/>
              <w:spacing w:line="360" w:lineRule="auto"/>
              <w:ind w:firstLine="420" w:firstLineChars="200"/>
              <w:rPr>
                <w:bCs/>
                <w:color w:val="auto"/>
                <w:kern w:val="2"/>
                <w:sz w:val="21"/>
                <w:szCs w:val="21"/>
                <w:highlight w:val="none"/>
                <w:lang w:val="zh-CN"/>
              </w:rPr>
            </w:pPr>
            <w:r>
              <w:rPr>
                <w:rFonts w:hint="eastAsia"/>
                <w:bCs/>
                <w:color w:val="auto"/>
                <w:kern w:val="2"/>
                <w:sz w:val="21"/>
                <w:szCs w:val="21"/>
                <w:highlight w:val="none"/>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lang w:val="zh-CN"/>
              </w:rPr>
            </w:pPr>
            <w:r>
              <w:rPr>
                <w:rFonts w:hint="eastAsia"/>
                <w:bCs/>
                <w:color w:val="auto"/>
                <w:kern w:val="2"/>
                <w:sz w:val="21"/>
                <w:szCs w:val="21"/>
                <w:highlight w:val="none"/>
                <w:lang w:val="zh-CN"/>
              </w:rPr>
              <w:t>1</w:t>
            </w:r>
            <w:r>
              <w:rPr>
                <w:rFonts w:hint="eastAsia"/>
                <w:bCs/>
                <w:color w:val="auto"/>
                <w:kern w:val="2"/>
                <w:sz w:val="21"/>
                <w:szCs w:val="21"/>
                <w:highlight w:val="none"/>
              </w:rPr>
              <w:t>7</w:t>
            </w:r>
          </w:p>
        </w:tc>
        <w:tc>
          <w:tcPr>
            <w:tcW w:w="1767" w:type="dxa"/>
            <w:tcBorders>
              <w:tl2br w:val="nil"/>
              <w:tr2bl w:val="nil"/>
            </w:tcBorders>
            <w:vAlign w:val="center"/>
          </w:tcPr>
          <w:p>
            <w:pPr>
              <w:pStyle w:val="27"/>
              <w:spacing w:line="360" w:lineRule="auto"/>
              <w:jc w:val="center"/>
              <w:rPr>
                <w:bCs/>
                <w:color w:val="auto"/>
                <w:kern w:val="2"/>
                <w:sz w:val="21"/>
                <w:szCs w:val="21"/>
                <w:highlight w:val="none"/>
                <w:lang w:val="zh-CN"/>
              </w:rPr>
            </w:pPr>
            <w:r>
              <w:rPr>
                <w:rFonts w:hint="eastAsia"/>
                <w:bCs/>
                <w:color w:val="auto"/>
                <w:kern w:val="2"/>
                <w:sz w:val="21"/>
                <w:szCs w:val="21"/>
                <w:highlight w:val="none"/>
                <w:lang w:val="zh-CN"/>
              </w:rPr>
              <w:t>政府采购合同备案</w:t>
            </w:r>
          </w:p>
        </w:tc>
        <w:tc>
          <w:tcPr>
            <w:tcW w:w="6700" w:type="dxa"/>
            <w:tcBorders>
              <w:tl2br w:val="nil"/>
              <w:tr2bl w:val="nil"/>
            </w:tcBorders>
            <w:vAlign w:val="center"/>
          </w:tcPr>
          <w:p>
            <w:pPr>
              <w:pStyle w:val="27"/>
              <w:spacing w:line="360" w:lineRule="auto"/>
              <w:ind w:firstLine="420" w:firstLineChars="200"/>
              <w:rPr>
                <w:bCs/>
                <w:color w:val="auto"/>
                <w:kern w:val="2"/>
                <w:sz w:val="21"/>
                <w:szCs w:val="21"/>
                <w:highlight w:val="none"/>
                <w:lang w:val="zh-CN"/>
              </w:rPr>
            </w:pPr>
            <w:bookmarkStart w:id="25" w:name="PO_默认文件内容_18"/>
            <w:r>
              <w:rPr>
                <w:rFonts w:hint="eastAsia"/>
                <w:bCs/>
                <w:color w:val="auto"/>
                <w:kern w:val="2"/>
                <w:sz w:val="21"/>
                <w:szCs w:val="21"/>
                <w:highlight w:val="none"/>
                <w:lang w:val="zh-CN"/>
              </w:rPr>
              <w:t>政府采购合同签订之日起2个工作日内，政府采购合同将在四川政府采购网公告；政府采购合同签订之日起七个工作日内，政府采购合同将向采购项目同级财政部门备案。</w:t>
            </w:r>
            <w:bookmarkEnd w:id="2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lang w:val="zh-CN"/>
              </w:rPr>
            </w:pPr>
            <w:r>
              <w:rPr>
                <w:rFonts w:hint="eastAsia"/>
                <w:bCs/>
                <w:color w:val="auto"/>
                <w:kern w:val="2"/>
                <w:sz w:val="21"/>
                <w:szCs w:val="21"/>
                <w:highlight w:val="none"/>
              </w:rPr>
              <w:t>18</w:t>
            </w:r>
          </w:p>
        </w:tc>
        <w:tc>
          <w:tcPr>
            <w:tcW w:w="1767" w:type="dxa"/>
            <w:tcBorders>
              <w:tl2br w:val="nil"/>
              <w:tr2bl w:val="nil"/>
            </w:tcBorders>
            <w:vAlign w:val="center"/>
          </w:tcPr>
          <w:p>
            <w:pPr>
              <w:pStyle w:val="27"/>
              <w:spacing w:line="360" w:lineRule="auto"/>
              <w:jc w:val="center"/>
              <w:rPr>
                <w:bCs/>
                <w:color w:val="auto"/>
                <w:kern w:val="2"/>
                <w:sz w:val="21"/>
                <w:szCs w:val="21"/>
                <w:highlight w:val="none"/>
                <w:lang w:val="zh-CN"/>
              </w:rPr>
            </w:pPr>
            <w:r>
              <w:rPr>
                <w:rFonts w:hint="eastAsia"/>
                <w:bCs/>
                <w:color w:val="auto"/>
                <w:kern w:val="2"/>
                <w:sz w:val="21"/>
                <w:szCs w:val="21"/>
                <w:highlight w:val="none"/>
              </w:rPr>
              <w:t>代理服务费</w:t>
            </w:r>
          </w:p>
        </w:tc>
        <w:tc>
          <w:tcPr>
            <w:tcW w:w="6700" w:type="dxa"/>
            <w:tcBorders>
              <w:tl2br w:val="nil"/>
              <w:tr2bl w:val="nil"/>
            </w:tcBorders>
            <w:vAlign w:val="center"/>
          </w:tcPr>
          <w:p>
            <w:pPr>
              <w:pStyle w:val="27"/>
              <w:spacing w:after="0"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bCs/>
                <w:color w:val="auto"/>
                <w:kern w:val="2"/>
                <w:sz w:val="21"/>
                <w:szCs w:val="21"/>
                <w:highlight w:val="none"/>
              </w:rPr>
              <w:t>代理服务费按照成本加合理利润的原则，按定额37000元收取</w:t>
            </w:r>
            <w:r>
              <w:rPr>
                <w:rFonts w:hint="eastAsia" w:ascii="宋体" w:hAnsi="宋体" w:eastAsia="宋体" w:cs="宋体"/>
                <w:color w:val="auto"/>
                <w:kern w:val="2"/>
                <w:sz w:val="21"/>
                <w:szCs w:val="21"/>
                <w:highlight w:val="none"/>
                <w:lang w:val="en-US" w:eastAsia="zh-CN" w:bidi="ar-SA"/>
              </w:rPr>
              <w:t>。</w:t>
            </w:r>
          </w:p>
          <w:p>
            <w:pPr>
              <w:pStyle w:val="27"/>
              <w:spacing w:line="360" w:lineRule="auto"/>
              <w:ind w:firstLine="420" w:firstLineChars="200"/>
              <w:jc w:val="both"/>
              <w:rPr>
                <w:bCs/>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收取方式为在成交通知书发出时，向成交单位收取。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rPr>
            </w:pPr>
            <w:r>
              <w:rPr>
                <w:rFonts w:hint="eastAsia"/>
                <w:bCs/>
                <w:color w:val="auto"/>
                <w:kern w:val="2"/>
                <w:sz w:val="21"/>
                <w:szCs w:val="21"/>
                <w:highlight w:val="none"/>
              </w:rPr>
              <w:t>19</w:t>
            </w:r>
          </w:p>
        </w:tc>
        <w:tc>
          <w:tcPr>
            <w:tcW w:w="1767" w:type="dxa"/>
            <w:tcBorders>
              <w:tl2br w:val="nil"/>
              <w:tr2bl w:val="nil"/>
            </w:tcBorders>
            <w:vAlign w:val="center"/>
          </w:tcPr>
          <w:p>
            <w:pPr>
              <w:pStyle w:val="27"/>
              <w:spacing w:line="360" w:lineRule="auto"/>
              <w:ind w:left="96"/>
              <w:jc w:val="center"/>
              <w:rPr>
                <w:bCs/>
                <w:color w:val="auto"/>
                <w:kern w:val="2"/>
                <w:sz w:val="21"/>
                <w:szCs w:val="21"/>
                <w:highlight w:val="none"/>
              </w:rPr>
            </w:pPr>
            <w:r>
              <w:rPr>
                <w:rFonts w:hint="eastAsia"/>
                <w:bCs/>
                <w:color w:val="auto"/>
                <w:kern w:val="2"/>
                <w:sz w:val="21"/>
                <w:szCs w:val="21"/>
                <w:highlight w:val="none"/>
              </w:rPr>
              <w:t>政府采购信用融资政策</w:t>
            </w:r>
          </w:p>
        </w:tc>
        <w:tc>
          <w:tcPr>
            <w:tcW w:w="6700" w:type="dxa"/>
            <w:tcBorders>
              <w:tl2br w:val="nil"/>
              <w:tr2bl w:val="nil"/>
            </w:tcBorders>
            <w:vAlign w:val="center"/>
          </w:tcPr>
          <w:p>
            <w:pPr>
              <w:pStyle w:val="27"/>
              <w:spacing w:line="360" w:lineRule="auto"/>
              <w:ind w:firstLine="420" w:firstLineChars="200"/>
              <w:rPr>
                <w:bCs/>
                <w:color w:val="auto"/>
                <w:kern w:val="2"/>
                <w:sz w:val="21"/>
                <w:szCs w:val="21"/>
                <w:highlight w:val="none"/>
              </w:rPr>
            </w:pPr>
            <w:r>
              <w:rPr>
                <w:rFonts w:hint="eastAsia"/>
                <w:bCs/>
                <w:color w:val="auto"/>
                <w:kern w:val="2"/>
                <w:sz w:val="21"/>
                <w:szCs w:val="21"/>
                <w:highlight w:val="none"/>
              </w:rPr>
              <w:t>根据《四川省财政厅关于推进四川省政府采购供应商信用融资工作的通知》（川财采〔2018〕123 号）、《成都市财政局 中国人民银行成都分行营业管理部关于印发&lt;成都市中小企业政府采购信用融资暂行办法&gt;和&lt;成都市级支持中小企业政府采购信用融资实施方案&gt;的通知》（成财采【2019】17 号）规定，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rPr>
            </w:pPr>
            <w:r>
              <w:rPr>
                <w:rFonts w:hint="eastAsia"/>
                <w:bCs/>
                <w:color w:val="auto"/>
                <w:kern w:val="2"/>
                <w:sz w:val="21"/>
                <w:szCs w:val="21"/>
                <w:highlight w:val="none"/>
              </w:rPr>
              <w:t>20</w:t>
            </w:r>
          </w:p>
        </w:tc>
        <w:tc>
          <w:tcPr>
            <w:tcW w:w="1767" w:type="dxa"/>
            <w:tcBorders>
              <w:tl2br w:val="nil"/>
              <w:tr2bl w:val="nil"/>
            </w:tcBorders>
            <w:vAlign w:val="center"/>
          </w:tcPr>
          <w:p>
            <w:pPr>
              <w:pStyle w:val="27"/>
              <w:spacing w:line="360" w:lineRule="auto"/>
              <w:ind w:left="96"/>
              <w:jc w:val="center"/>
              <w:rPr>
                <w:bCs/>
                <w:color w:val="auto"/>
                <w:kern w:val="2"/>
                <w:sz w:val="21"/>
                <w:szCs w:val="21"/>
                <w:highlight w:val="none"/>
              </w:rPr>
            </w:pPr>
            <w:r>
              <w:rPr>
                <w:rFonts w:hint="eastAsia"/>
                <w:bCs/>
                <w:color w:val="auto"/>
                <w:kern w:val="2"/>
                <w:sz w:val="21"/>
                <w:szCs w:val="21"/>
                <w:highlight w:val="none"/>
              </w:rPr>
              <w:t>响应文件份数</w:t>
            </w:r>
          </w:p>
        </w:tc>
        <w:tc>
          <w:tcPr>
            <w:tcW w:w="6700" w:type="dxa"/>
            <w:tcBorders>
              <w:tl2br w:val="nil"/>
              <w:tr2bl w:val="nil"/>
            </w:tcBorders>
            <w:vAlign w:val="center"/>
          </w:tcPr>
          <w:p>
            <w:pPr>
              <w:pStyle w:val="27"/>
              <w:spacing w:line="360" w:lineRule="auto"/>
              <w:ind w:firstLine="422" w:firstLineChars="200"/>
              <w:rPr>
                <w:b/>
                <w:color w:val="auto"/>
                <w:kern w:val="2"/>
                <w:sz w:val="21"/>
                <w:szCs w:val="21"/>
                <w:highlight w:val="none"/>
              </w:rPr>
            </w:pPr>
            <w:r>
              <w:rPr>
                <w:rFonts w:hint="eastAsia"/>
                <w:b/>
                <w:color w:val="auto"/>
                <w:kern w:val="2"/>
                <w:sz w:val="21"/>
                <w:szCs w:val="21"/>
                <w:highlight w:val="none"/>
              </w:rPr>
              <w:t>正本壹套，副本</w:t>
            </w:r>
            <w:r>
              <w:rPr>
                <w:rFonts w:hint="eastAsia"/>
                <w:b/>
                <w:color w:val="auto"/>
                <w:kern w:val="2"/>
                <w:sz w:val="21"/>
                <w:szCs w:val="21"/>
                <w:highlight w:val="none"/>
                <w:lang w:val="en-US" w:eastAsia="zh-CN"/>
              </w:rPr>
              <w:t>贰</w:t>
            </w:r>
            <w:r>
              <w:rPr>
                <w:rFonts w:hint="eastAsia"/>
                <w:b/>
                <w:color w:val="auto"/>
                <w:kern w:val="2"/>
                <w:sz w:val="21"/>
                <w:szCs w:val="21"/>
                <w:highlight w:val="none"/>
              </w:rPr>
              <w:t>套，电子文档壹份（U盘或光盘制作）</w:t>
            </w:r>
          </w:p>
          <w:p>
            <w:pPr>
              <w:pStyle w:val="27"/>
              <w:spacing w:line="360" w:lineRule="auto"/>
              <w:ind w:firstLine="422" w:firstLineChars="200"/>
              <w:rPr>
                <w:bCs/>
                <w:color w:val="auto"/>
                <w:kern w:val="2"/>
                <w:sz w:val="21"/>
                <w:szCs w:val="21"/>
                <w:highlight w:val="none"/>
              </w:rPr>
            </w:pPr>
            <w:r>
              <w:rPr>
                <w:rFonts w:hint="eastAsia"/>
                <w:b/>
                <w:color w:val="auto"/>
                <w:kern w:val="2"/>
                <w:sz w:val="21"/>
                <w:szCs w:val="21"/>
                <w:highlight w:val="none"/>
              </w:rPr>
              <w:t>包括资格性响应文件及其他响应文件。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bCs/>
                <w:color w:val="auto"/>
                <w:kern w:val="2"/>
                <w:sz w:val="21"/>
                <w:szCs w:val="21"/>
                <w:highlight w:val="none"/>
              </w:rPr>
            </w:pPr>
            <w:r>
              <w:rPr>
                <w:rFonts w:hint="eastAsia"/>
                <w:bCs/>
                <w:color w:val="auto"/>
                <w:kern w:val="2"/>
                <w:sz w:val="21"/>
                <w:szCs w:val="21"/>
                <w:highlight w:val="none"/>
              </w:rPr>
              <w:t>21</w:t>
            </w:r>
          </w:p>
        </w:tc>
        <w:tc>
          <w:tcPr>
            <w:tcW w:w="1767" w:type="dxa"/>
            <w:tcBorders>
              <w:tl2br w:val="nil"/>
              <w:tr2bl w:val="nil"/>
            </w:tcBorders>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其他强制性规定</w:t>
            </w:r>
          </w:p>
          <w:p>
            <w:pPr>
              <w:keepNext w:val="0"/>
              <w:keepLines w:val="0"/>
              <w:widowControl/>
              <w:suppressLineNumbers w:val="0"/>
              <w:jc w:val="center"/>
              <w:rPr>
                <w:bCs/>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(如涉及时作为实质性要求)</w:t>
            </w:r>
          </w:p>
        </w:tc>
        <w:tc>
          <w:tcPr>
            <w:tcW w:w="67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国家或行业主管部门对采购产品的技术标准、质量标准和资格资质条件等有强制性规定的，必须符合其要求。如涉及3C认证产品的3C认证证书在响应文件中可不提供(磋商文件有要求在响应时提供证明材料的除外)，供应商成交后应在签订采购合同时向采购人提供加盖供应商公章的3C证书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rFonts w:hint="default" w:eastAsia="宋体"/>
                <w:bCs/>
                <w:color w:val="auto"/>
                <w:kern w:val="2"/>
                <w:sz w:val="21"/>
                <w:szCs w:val="21"/>
                <w:highlight w:val="none"/>
                <w:lang w:val="en-US" w:eastAsia="zh-CN"/>
              </w:rPr>
            </w:pPr>
            <w:bookmarkStart w:id="26" w:name="_Toc24300_WPSOffice_Level2"/>
            <w:bookmarkStart w:id="27" w:name="_Toc21931"/>
            <w:r>
              <w:rPr>
                <w:rFonts w:hint="eastAsia"/>
                <w:bCs/>
                <w:color w:val="auto"/>
                <w:kern w:val="2"/>
                <w:sz w:val="21"/>
                <w:szCs w:val="21"/>
                <w:highlight w:val="none"/>
                <w:lang w:val="en-US" w:eastAsia="zh-CN"/>
              </w:rPr>
              <w:t>22</w:t>
            </w:r>
          </w:p>
        </w:tc>
        <w:tc>
          <w:tcPr>
            <w:tcW w:w="1767" w:type="dxa"/>
            <w:tcBorders>
              <w:tl2br w:val="nil"/>
              <w:tr2bl w:val="nil"/>
            </w:tcBorders>
            <w:vAlign w:val="center"/>
          </w:tcPr>
          <w:p>
            <w:pPr>
              <w:keepNext w:val="0"/>
              <w:keepLines w:val="0"/>
              <w:widowControl/>
              <w:suppressLineNumbers w:val="0"/>
              <w:jc w:val="center"/>
              <w:rPr>
                <w:color w:val="auto"/>
                <w:sz w:val="21"/>
                <w:szCs w:val="21"/>
                <w:highlight w:val="none"/>
              </w:rPr>
            </w:pPr>
            <w:r>
              <w:rPr>
                <w:rFonts w:hint="eastAsia" w:ascii="宋体" w:hAnsi="宋体" w:eastAsia="宋体" w:cs="宋体"/>
                <w:color w:val="auto"/>
                <w:kern w:val="0"/>
                <w:sz w:val="21"/>
                <w:szCs w:val="21"/>
                <w:highlight w:val="none"/>
                <w:lang w:val="en-US" w:eastAsia="zh-CN" w:bidi="ar"/>
              </w:rPr>
              <w:t>品牌或者供应商</w:t>
            </w:r>
          </w:p>
          <w:p>
            <w:pPr>
              <w:keepNext w:val="0"/>
              <w:keepLines w:val="0"/>
              <w:widowControl/>
              <w:suppressLineNumbers w:val="0"/>
              <w:jc w:val="center"/>
              <w:rPr>
                <w:rFonts w:hint="eastAsia"/>
                <w:bCs/>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(如涉及)</w:t>
            </w:r>
          </w:p>
        </w:tc>
        <w:tc>
          <w:tcPr>
            <w:tcW w:w="67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若采购文件涉及品牌或者供应商，其目的是为了准确清楚说明采购项目的技术标准和要求，其意思表示为“参照或相当于”品牌或者供应商，其品牌或供应商具有可替代性。</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rFonts w:hint="default"/>
                <w:bCs/>
                <w:color w:val="auto"/>
                <w:kern w:val="2"/>
                <w:sz w:val="21"/>
                <w:szCs w:val="21"/>
                <w:highlight w:val="none"/>
                <w:lang w:val="en-US" w:eastAsia="zh-CN"/>
              </w:rPr>
            </w:pPr>
            <w:r>
              <w:rPr>
                <w:rFonts w:hint="eastAsia"/>
                <w:bCs/>
                <w:color w:val="auto"/>
                <w:kern w:val="2"/>
                <w:sz w:val="21"/>
                <w:szCs w:val="21"/>
                <w:highlight w:val="none"/>
                <w:lang w:val="en-US" w:eastAsia="zh-CN"/>
              </w:rPr>
              <w:t>23</w:t>
            </w:r>
          </w:p>
        </w:tc>
        <w:tc>
          <w:tcPr>
            <w:tcW w:w="1767" w:type="dxa"/>
            <w:tcBorders>
              <w:tl2br w:val="nil"/>
              <w:tr2bl w:val="nil"/>
            </w:tcBorders>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项目属性</w:t>
            </w:r>
          </w:p>
        </w:tc>
        <w:tc>
          <w:tcPr>
            <w:tcW w:w="67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本项目属于货物类采购项目，不对其中涉及的服务【安装调制】的承接商是否享受中小企业扶持政策作出要求，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04" w:type="dxa"/>
            <w:tcBorders>
              <w:tl2br w:val="nil"/>
              <w:tr2bl w:val="nil"/>
            </w:tcBorders>
            <w:vAlign w:val="center"/>
          </w:tcPr>
          <w:p>
            <w:pPr>
              <w:pStyle w:val="27"/>
              <w:keepNext w:val="0"/>
              <w:keepLines w:val="0"/>
              <w:pageBreakBefore w:val="0"/>
              <w:widowControl w:val="0"/>
              <w:kinsoku/>
              <w:wordWrap/>
              <w:overflowPunct/>
              <w:topLinePunct w:val="0"/>
              <w:bidi w:val="0"/>
              <w:snapToGrid/>
              <w:spacing w:line="360" w:lineRule="auto"/>
              <w:ind w:firstLine="0" w:firstLineChars="0"/>
              <w:jc w:val="center"/>
              <w:textAlignment w:val="auto"/>
              <w:rPr>
                <w:rFonts w:hint="default" w:eastAsia="宋体"/>
                <w:bCs/>
                <w:color w:val="auto"/>
                <w:kern w:val="2"/>
                <w:sz w:val="21"/>
                <w:szCs w:val="21"/>
                <w:highlight w:val="none"/>
                <w:lang w:val="en-US" w:eastAsia="zh-CN"/>
              </w:rPr>
            </w:pPr>
            <w:r>
              <w:rPr>
                <w:rFonts w:hint="eastAsia"/>
                <w:bCs/>
                <w:color w:val="auto"/>
                <w:kern w:val="2"/>
                <w:sz w:val="21"/>
                <w:szCs w:val="21"/>
                <w:highlight w:val="none"/>
                <w:lang w:val="en-US" w:eastAsia="zh-CN"/>
              </w:rPr>
              <w:t>24</w:t>
            </w:r>
          </w:p>
        </w:tc>
        <w:tc>
          <w:tcPr>
            <w:tcW w:w="1767" w:type="dxa"/>
            <w:tcBorders>
              <w:tl2br w:val="nil"/>
              <w:tr2bl w:val="nil"/>
            </w:tcBorders>
            <w:vAlign w:val="center"/>
          </w:tcPr>
          <w:p>
            <w:pPr>
              <w:pStyle w:val="27"/>
              <w:spacing w:line="360" w:lineRule="auto"/>
              <w:ind w:left="96" w:leftChars="0"/>
              <w:jc w:val="center"/>
              <w:rPr>
                <w:rFonts w:hint="eastAsia"/>
                <w:bCs/>
                <w:color w:val="auto"/>
                <w:kern w:val="2"/>
                <w:sz w:val="21"/>
                <w:szCs w:val="21"/>
                <w:highlight w:val="none"/>
              </w:rPr>
            </w:pPr>
            <w:r>
              <w:rPr>
                <w:rFonts w:hint="eastAsia"/>
                <w:bCs/>
                <w:color w:val="auto"/>
                <w:kern w:val="2"/>
                <w:sz w:val="21"/>
                <w:szCs w:val="21"/>
                <w:highlight w:val="none"/>
              </w:rPr>
              <w:t>备注</w:t>
            </w:r>
          </w:p>
        </w:tc>
        <w:tc>
          <w:tcPr>
            <w:tcW w:w="6700" w:type="dxa"/>
            <w:tcBorders>
              <w:tl2br w:val="nil"/>
              <w:tr2bl w:val="nil"/>
            </w:tcBorders>
            <w:vAlign w:val="center"/>
          </w:tcPr>
          <w:p>
            <w:pPr>
              <w:pStyle w:val="27"/>
              <w:spacing w:line="360" w:lineRule="auto"/>
              <w:ind w:firstLine="420" w:firstLineChars="200"/>
              <w:rPr>
                <w:rFonts w:hint="eastAsia"/>
                <w:bCs/>
                <w:color w:val="auto"/>
                <w:kern w:val="2"/>
                <w:sz w:val="21"/>
                <w:szCs w:val="21"/>
                <w:highlight w:val="none"/>
              </w:rPr>
            </w:pPr>
            <w:r>
              <w:rPr>
                <w:rFonts w:hint="eastAsia"/>
                <w:bCs/>
                <w:color w:val="auto"/>
                <w:kern w:val="2"/>
                <w:sz w:val="21"/>
                <w:szCs w:val="21"/>
                <w:highlight w:val="none"/>
              </w:rPr>
              <w:t>若采购文件中同一事项表述与供应商须知附表内容不一致的，以供应商须知附表为准。</w:t>
            </w:r>
          </w:p>
        </w:tc>
      </w:tr>
    </w:tbl>
    <w:p>
      <w:pPr>
        <w:pStyle w:val="4"/>
        <w:spacing w:before="0" w:after="0" w:line="360" w:lineRule="auto"/>
        <w:jc w:val="center"/>
        <w:rPr>
          <w:color w:val="auto"/>
          <w:highlight w:val="none"/>
        </w:rPr>
      </w:pPr>
      <w:r>
        <w:rPr>
          <w:rFonts w:hint="eastAsia"/>
          <w:color w:val="auto"/>
          <w:highlight w:val="none"/>
        </w:rPr>
        <w:t>二、总  则</w:t>
      </w:r>
      <w:bookmarkEnd w:id="26"/>
      <w:bookmarkEnd w:id="27"/>
    </w:p>
    <w:p>
      <w:pPr>
        <w:pStyle w:val="5"/>
        <w:keepNext w:val="0"/>
        <w:keepLines w:val="0"/>
        <w:spacing w:before="0" w:after="0" w:line="360" w:lineRule="auto"/>
        <w:ind w:firstLine="482" w:firstLineChars="200"/>
        <w:rPr>
          <w:rFonts w:ascii="宋体" w:hAnsi="宋体"/>
          <w:color w:val="auto"/>
          <w:sz w:val="24"/>
          <w:szCs w:val="24"/>
          <w:highlight w:val="none"/>
        </w:rPr>
      </w:pPr>
      <w:bookmarkStart w:id="28" w:name="_Toc183582205"/>
      <w:bookmarkStart w:id="29" w:name="_Toc183682342"/>
      <w:bookmarkStart w:id="30" w:name="_Toc217446034"/>
      <w:r>
        <w:rPr>
          <w:rFonts w:hint="eastAsia" w:ascii="宋体" w:hAnsi="宋体"/>
          <w:color w:val="auto"/>
          <w:sz w:val="24"/>
          <w:szCs w:val="24"/>
          <w:highlight w:val="none"/>
        </w:rPr>
        <w:t>1</w:t>
      </w:r>
      <w:r>
        <w:rPr>
          <w:rFonts w:ascii="宋体" w:hAnsi="宋体"/>
          <w:color w:val="auto"/>
          <w:sz w:val="24"/>
          <w:szCs w:val="24"/>
          <w:highlight w:val="none"/>
        </w:rPr>
        <w:t>.</w:t>
      </w:r>
      <w:bookmarkEnd w:id="28"/>
      <w:bookmarkEnd w:id="29"/>
      <w:r>
        <w:rPr>
          <w:rFonts w:hint="eastAsia" w:ascii="宋体" w:hAnsi="宋体"/>
          <w:color w:val="auto"/>
          <w:sz w:val="24"/>
          <w:szCs w:val="24"/>
          <w:highlight w:val="none"/>
        </w:rPr>
        <w:t>适用范围</w:t>
      </w:r>
      <w:bookmarkEnd w:id="30"/>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1本磋商文件仅适用于本次磋商所叙述的</w:t>
      </w:r>
      <w:r>
        <w:rPr>
          <w:rFonts w:hint="eastAsia" w:ascii="宋体" w:hAnsi="宋体"/>
          <w:color w:val="auto"/>
          <w:sz w:val="24"/>
          <w:highlight w:val="none"/>
          <w:lang w:val="en-US" w:eastAsia="zh-CN"/>
        </w:rPr>
        <w:t>货物</w:t>
      </w:r>
      <w:r>
        <w:rPr>
          <w:rFonts w:hint="eastAsia" w:ascii="宋体" w:hAnsi="宋体"/>
          <w:color w:val="auto"/>
          <w:sz w:val="24"/>
          <w:highlight w:val="none"/>
        </w:rPr>
        <w:t>采购。</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1.2本磋商文件的解释权归采购人和采购代理机构所有。</w:t>
      </w:r>
    </w:p>
    <w:p>
      <w:pPr>
        <w:spacing w:line="360" w:lineRule="auto"/>
        <w:rPr>
          <w:rFonts w:ascii="宋体" w:hAnsi="宋体" w:cs="宋体"/>
          <w:color w:val="auto"/>
          <w:szCs w:val="21"/>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bookmarkStart w:id="31" w:name="_Toc217446035"/>
      <w:bookmarkStart w:id="32" w:name="_Toc183682343"/>
      <w:bookmarkStart w:id="33" w:name="_Toc183582206"/>
      <w:r>
        <w:rPr>
          <w:rFonts w:ascii="宋体" w:hAnsi="宋体"/>
          <w:color w:val="auto"/>
          <w:sz w:val="24"/>
          <w:szCs w:val="24"/>
          <w:highlight w:val="none"/>
        </w:rPr>
        <w:t>2.</w:t>
      </w:r>
      <w:bookmarkEnd w:id="31"/>
      <w:bookmarkEnd w:id="32"/>
      <w:bookmarkEnd w:id="33"/>
      <w:r>
        <w:rPr>
          <w:rFonts w:hint="eastAsia" w:ascii="宋体" w:hAnsi="宋体"/>
          <w:color w:val="auto"/>
          <w:sz w:val="24"/>
          <w:szCs w:val="24"/>
          <w:highlight w:val="none"/>
        </w:rPr>
        <w:t>采购主体</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1本次磋商的采购人是</w:t>
      </w:r>
      <w:r>
        <w:rPr>
          <w:rFonts w:hint="eastAsia" w:ascii="宋体" w:hAnsi="宋体"/>
          <w:b/>
          <w:bCs/>
          <w:color w:val="auto"/>
          <w:sz w:val="24"/>
          <w:highlight w:val="none"/>
          <w:u w:val="single"/>
          <w:lang w:eastAsia="zh-CN"/>
        </w:rPr>
        <w:t>成都市植物园（成都市公园城市植物科学研究院）</w:t>
      </w:r>
      <w:r>
        <w:rPr>
          <w:rFonts w:hint="eastAsia" w:ascii="宋体" w:hAnsi="宋体"/>
          <w:b/>
          <w:bCs/>
          <w:color w:val="auto"/>
          <w:sz w:val="24"/>
          <w:highlight w:val="none"/>
        </w:rPr>
        <w:t>。</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2本次磋商的采购代理机构是</w:t>
      </w:r>
      <w:r>
        <w:rPr>
          <w:rFonts w:hint="eastAsia" w:ascii="宋体" w:hAnsi="宋体"/>
          <w:b/>
          <w:bCs/>
          <w:color w:val="auto"/>
          <w:sz w:val="24"/>
          <w:highlight w:val="none"/>
          <w:u w:val="single"/>
        </w:rPr>
        <w:t>四川易通天和招标代理有限公司</w:t>
      </w:r>
      <w:r>
        <w:rPr>
          <w:rFonts w:hint="eastAsia" w:ascii="宋体" w:hAnsi="宋体"/>
          <w:color w:val="auto"/>
          <w:sz w:val="24"/>
          <w:highlight w:val="none"/>
        </w:rPr>
        <w:t>。</w:t>
      </w:r>
    </w:p>
    <w:p>
      <w:pPr>
        <w:spacing w:line="360" w:lineRule="auto"/>
        <w:rPr>
          <w:color w:val="auto"/>
          <w:highlight w:val="none"/>
        </w:rPr>
      </w:pPr>
      <w:bookmarkStart w:id="34" w:name="_Toc217390843"/>
      <w:bookmarkStart w:id="35" w:name="_Toc217446036"/>
      <w:bookmarkStart w:id="36" w:name="_Toc183582207"/>
      <w:bookmarkStart w:id="37" w:name="_Toc183682344"/>
    </w:p>
    <w:p>
      <w:pPr>
        <w:pStyle w:val="5"/>
        <w:keepNext w:val="0"/>
        <w:keepLines w:val="0"/>
        <w:spacing w:before="0" w:after="0" w:line="360" w:lineRule="auto"/>
        <w:ind w:firstLine="482"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合格</w:t>
      </w:r>
      <w:bookmarkEnd w:id="34"/>
      <w:bookmarkEnd w:id="35"/>
      <w:bookmarkEnd w:id="36"/>
      <w:bookmarkEnd w:id="37"/>
      <w:r>
        <w:rPr>
          <w:rFonts w:hint="eastAsia" w:ascii="宋体" w:hAnsi="宋体"/>
          <w:color w:val="auto"/>
          <w:sz w:val="24"/>
          <w:szCs w:val="24"/>
          <w:highlight w:val="none"/>
        </w:rPr>
        <w:t>供应商（实质性要求）</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合格供应商应具备以下条件：</w:t>
      </w:r>
    </w:p>
    <w:p>
      <w:pPr>
        <w:tabs>
          <w:tab w:val="left" w:pos="7665"/>
        </w:tabs>
        <w:spacing w:line="360" w:lineRule="auto"/>
        <w:ind w:firstLine="480" w:firstLineChars="200"/>
        <w:rPr>
          <w:rFonts w:ascii="宋体" w:hAnsi="宋体"/>
          <w:color w:val="auto"/>
          <w:spacing w:val="-4"/>
          <w:sz w:val="24"/>
          <w:highlight w:val="none"/>
        </w:rPr>
      </w:pPr>
      <w:r>
        <w:rPr>
          <w:rFonts w:hint="eastAsia" w:ascii="宋体" w:hAnsi="宋体"/>
          <w:color w:val="auto"/>
          <w:sz w:val="24"/>
          <w:highlight w:val="none"/>
        </w:rPr>
        <w:t>3.1具备法律法规和本采购文件规定的资格条件</w:t>
      </w:r>
      <w:r>
        <w:rPr>
          <w:rFonts w:hint="eastAsia" w:ascii="宋体" w:hAnsi="宋体"/>
          <w:color w:val="auto"/>
          <w:spacing w:val="-4"/>
          <w:sz w:val="24"/>
          <w:highlight w:val="none"/>
        </w:rPr>
        <w:t>；</w:t>
      </w:r>
    </w:p>
    <w:p>
      <w:pPr>
        <w:tabs>
          <w:tab w:val="left" w:pos="7665"/>
        </w:tabs>
        <w:spacing w:line="360" w:lineRule="auto"/>
        <w:ind w:firstLine="464" w:firstLineChars="200"/>
        <w:rPr>
          <w:rFonts w:ascii="宋体" w:hAnsi="宋体"/>
          <w:color w:val="auto"/>
          <w:spacing w:val="-4"/>
          <w:sz w:val="24"/>
          <w:highlight w:val="none"/>
        </w:rPr>
      </w:pPr>
      <w:r>
        <w:rPr>
          <w:rFonts w:hint="eastAsia" w:ascii="宋体" w:hAnsi="宋体"/>
          <w:color w:val="auto"/>
          <w:spacing w:val="-4"/>
          <w:sz w:val="24"/>
          <w:highlight w:val="none"/>
        </w:rPr>
        <w:t>3.2不属于禁止参加本项目采购活动的供应商；</w:t>
      </w:r>
    </w:p>
    <w:p>
      <w:pPr>
        <w:tabs>
          <w:tab w:val="left" w:pos="7665"/>
        </w:tabs>
        <w:spacing w:line="360" w:lineRule="auto"/>
        <w:ind w:firstLine="464" w:firstLineChars="200"/>
        <w:rPr>
          <w:rFonts w:ascii="宋体" w:hAnsi="宋体"/>
          <w:color w:val="auto"/>
          <w:spacing w:val="-4"/>
          <w:sz w:val="24"/>
          <w:highlight w:val="none"/>
        </w:rPr>
      </w:pPr>
      <w:r>
        <w:rPr>
          <w:rFonts w:hint="eastAsia" w:ascii="宋体" w:hAnsi="宋体"/>
          <w:color w:val="auto"/>
          <w:spacing w:val="-4"/>
          <w:sz w:val="24"/>
          <w:highlight w:val="none"/>
        </w:rPr>
        <w:t>3.3按照规定</w:t>
      </w:r>
      <w:r>
        <w:rPr>
          <w:rFonts w:hint="eastAsia" w:ascii="宋体" w:hAnsi="宋体"/>
          <w:color w:val="auto"/>
          <w:sz w:val="24"/>
          <w:highlight w:val="none"/>
        </w:rPr>
        <w:t>获取了磋商文件，属于实质性参加政府采购活动的供应商。</w:t>
      </w:r>
    </w:p>
    <w:p>
      <w:pPr>
        <w:spacing w:line="360" w:lineRule="auto"/>
        <w:rPr>
          <w:color w:val="auto"/>
          <w:highlight w:val="none"/>
        </w:rPr>
      </w:pPr>
      <w:bookmarkStart w:id="38" w:name="_Toc217446037"/>
      <w:bookmarkStart w:id="39" w:name="_Toc183682345"/>
      <w:bookmarkStart w:id="40" w:name="_Toc183582208"/>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4.磋商费用</w:t>
      </w:r>
      <w:bookmarkEnd w:id="38"/>
      <w:bookmarkEnd w:id="39"/>
      <w:bookmarkEnd w:id="40"/>
    </w:p>
    <w:p>
      <w:pPr>
        <w:tabs>
          <w:tab w:val="left" w:pos="7665"/>
        </w:tabs>
        <w:spacing w:line="360" w:lineRule="auto"/>
        <w:ind w:firstLine="480"/>
        <w:rPr>
          <w:rFonts w:ascii="宋体" w:hAnsi="宋体"/>
          <w:color w:val="auto"/>
          <w:sz w:val="24"/>
          <w:highlight w:val="none"/>
        </w:rPr>
      </w:pPr>
      <w:r>
        <w:rPr>
          <w:rFonts w:hint="eastAsia" w:ascii="宋体" w:hAnsi="宋体"/>
          <w:color w:val="auto"/>
          <w:sz w:val="24"/>
          <w:highlight w:val="none"/>
        </w:rPr>
        <w:t>供应商应自行承担参加磋商活动的全部费用。</w:t>
      </w:r>
    </w:p>
    <w:p>
      <w:pPr>
        <w:spacing w:line="360" w:lineRule="auto"/>
        <w:rPr>
          <w:rFonts w:ascii="Times New Roman"/>
          <w:color w:val="auto"/>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5.充分、公平竞争保障措施（实质性要求）</w:t>
      </w:r>
    </w:p>
    <w:p>
      <w:pPr>
        <w:pStyle w:val="29"/>
        <w:keepNext w:val="0"/>
        <w:keepLines w:val="0"/>
        <w:pageBreakBefore w:val="0"/>
        <w:widowControl w:val="0"/>
        <w:kinsoku/>
        <w:wordWrap/>
        <w:overflowPunct/>
        <w:topLinePunct w:val="0"/>
        <w:autoSpaceDE/>
        <w:autoSpaceDN/>
        <w:bidi w:val="0"/>
        <w:adjustRightInd w:val="0"/>
        <w:snapToGrid/>
        <w:spacing w:after="0" w:line="360" w:lineRule="auto"/>
        <w:ind w:left="0" w:leftChars="0" w:firstLine="482" w:firstLineChars="200"/>
        <w:jc w:val="left"/>
        <w:textAlignment w:val="baseline"/>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5.1提供相同品牌产品处理。</w:t>
      </w:r>
      <w:r>
        <w:rPr>
          <w:rFonts w:hint="eastAsia" w:ascii="宋体" w:hAnsi="宋体" w:eastAsia="宋体" w:cs="宋体"/>
          <w:b w:val="0"/>
          <w:bCs/>
          <w:color w:val="auto"/>
          <w:sz w:val="24"/>
          <w:szCs w:val="24"/>
          <w:highlight w:val="none"/>
        </w:rPr>
        <w:t>提供相同品牌产品且通过资格审查、符合性审查的不同</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参加同一合同项下投标的，按一家</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计算，评审后得分最高的同品牌</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获得</w:t>
      </w:r>
      <w:r>
        <w:rPr>
          <w:rFonts w:hint="eastAsia" w:ascii="宋体" w:hAnsi="宋体" w:eastAsia="宋体" w:cs="宋体"/>
          <w:b w:val="0"/>
          <w:bCs/>
          <w:color w:val="auto"/>
          <w:sz w:val="24"/>
          <w:szCs w:val="24"/>
          <w:highlight w:val="none"/>
          <w:lang w:val="en-US" w:eastAsia="zh-CN"/>
        </w:rPr>
        <w:t>成交</w:t>
      </w:r>
      <w:r>
        <w:rPr>
          <w:rFonts w:hint="eastAsia" w:ascii="宋体" w:hAnsi="宋体" w:eastAsia="宋体" w:cs="宋体"/>
          <w:b w:val="0"/>
          <w:bCs/>
          <w:color w:val="auto"/>
          <w:sz w:val="24"/>
          <w:szCs w:val="24"/>
          <w:highlight w:val="none"/>
        </w:rPr>
        <w:t>候选人推荐资格；评审得分相同的，由采购人或者采购人委托</w:t>
      </w:r>
      <w:r>
        <w:rPr>
          <w:rFonts w:hint="eastAsia" w:ascii="宋体" w:hAnsi="宋体" w:eastAsia="宋体" w:cs="宋体"/>
          <w:b w:val="0"/>
          <w:bCs/>
          <w:color w:val="auto"/>
          <w:sz w:val="24"/>
          <w:szCs w:val="24"/>
          <w:highlight w:val="none"/>
          <w:lang w:val="en-US" w:eastAsia="zh-CN"/>
        </w:rPr>
        <w:t>评审小组</w:t>
      </w:r>
      <w:r>
        <w:rPr>
          <w:rFonts w:hint="eastAsia" w:ascii="宋体" w:hAnsi="宋体" w:eastAsia="宋体" w:cs="宋体"/>
          <w:b w:val="0"/>
          <w:bCs/>
          <w:color w:val="auto"/>
          <w:sz w:val="24"/>
          <w:szCs w:val="24"/>
          <w:highlight w:val="none"/>
        </w:rPr>
        <w:t>按照</w:t>
      </w:r>
      <w:r>
        <w:rPr>
          <w:rFonts w:hint="eastAsia" w:ascii="宋体" w:hAnsi="宋体" w:eastAsia="宋体" w:cs="宋体"/>
          <w:b w:val="0"/>
          <w:bCs/>
          <w:color w:val="auto"/>
          <w:sz w:val="24"/>
          <w:szCs w:val="24"/>
          <w:highlight w:val="none"/>
          <w:lang w:val="en-US" w:eastAsia="zh-CN"/>
        </w:rPr>
        <w:t>磋商</w:t>
      </w:r>
      <w:r>
        <w:rPr>
          <w:rFonts w:hint="eastAsia" w:ascii="宋体" w:hAnsi="宋体" w:eastAsia="宋体" w:cs="宋体"/>
          <w:b w:val="0"/>
          <w:bCs/>
          <w:color w:val="auto"/>
          <w:sz w:val="24"/>
          <w:szCs w:val="24"/>
          <w:highlight w:val="none"/>
        </w:rPr>
        <w:t>文件规定的方式确定一个</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获得</w:t>
      </w:r>
      <w:r>
        <w:rPr>
          <w:rFonts w:hint="eastAsia" w:ascii="宋体" w:hAnsi="宋体" w:eastAsia="宋体" w:cs="宋体"/>
          <w:b w:val="0"/>
          <w:bCs/>
          <w:color w:val="auto"/>
          <w:sz w:val="24"/>
          <w:szCs w:val="24"/>
          <w:highlight w:val="none"/>
          <w:lang w:val="en-US" w:eastAsia="zh-CN"/>
        </w:rPr>
        <w:t>成交</w:t>
      </w:r>
      <w:r>
        <w:rPr>
          <w:rFonts w:hint="eastAsia" w:ascii="宋体" w:hAnsi="宋体" w:eastAsia="宋体" w:cs="宋体"/>
          <w:b w:val="0"/>
          <w:bCs/>
          <w:color w:val="auto"/>
          <w:sz w:val="24"/>
          <w:szCs w:val="24"/>
          <w:highlight w:val="none"/>
        </w:rPr>
        <w:t>候选人推荐资格，招标文件未规定的采取随机抽取方式确定，其他同品牌</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不作为</w:t>
      </w:r>
      <w:r>
        <w:rPr>
          <w:rFonts w:hint="eastAsia" w:ascii="宋体" w:hAnsi="宋体" w:eastAsia="宋体" w:cs="宋体"/>
          <w:b w:val="0"/>
          <w:bCs/>
          <w:color w:val="auto"/>
          <w:sz w:val="24"/>
          <w:szCs w:val="24"/>
          <w:highlight w:val="none"/>
          <w:lang w:val="en-US" w:eastAsia="zh-CN"/>
        </w:rPr>
        <w:t>成交</w:t>
      </w:r>
      <w:r>
        <w:rPr>
          <w:rFonts w:hint="eastAsia" w:ascii="宋体" w:hAnsi="宋体" w:eastAsia="宋体" w:cs="宋体"/>
          <w:b w:val="0"/>
          <w:bCs/>
          <w:color w:val="auto"/>
          <w:sz w:val="24"/>
          <w:szCs w:val="24"/>
          <w:highlight w:val="none"/>
        </w:rPr>
        <w:t>候选人。</w:t>
      </w:r>
    </w:p>
    <w:p>
      <w:pPr>
        <w:pStyle w:val="29"/>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非单一产品采购项目中，多家</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提供的部分或所有核心产品品牌相同的，视为提供相同品牌产品。</w:t>
      </w:r>
      <w:r>
        <w:rPr>
          <w:rFonts w:hint="eastAsia" w:ascii="宋体" w:hAnsi="宋体" w:eastAsia="宋体" w:cs="宋体"/>
          <w:b/>
          <w:bCs w:val="0"/>
          <w:color w:val="auto"/>
          <w:sz w:val="24"/>
          <w:szCs w:val="24"/>
          <w:highlight w:val="none"/>
        </w:rPr>
        <w:t>本项目</w:t>
      </w:r>
      <w:r>
        <w:rPr>
          <w:rFonts w:hint="eastAsia" w:ascii="宋体" w:hAnsi="宋体" w:eastAsia="宋体" w:cs="宋体"/>
          <w:b/>
          <w:bCs w:val="0"/>
          <w:color w:val="auto"/>
          <w:sz w:val="24"/>
          <w:szCs w:val="24"/>
          <w:highlight w:val="none"/>
          <w:lang w:val="en-US" w:eastAsia="zh-CN"/>
        </w:rPr>
        <w:t>核心产品见磋商文件第五章</w:t>
      </w:r>
      <w:r>
        <w:rPr>
          <w:rFonts w:hint="eastAsia" w:ascii="宋体" w:hAnsi="宋体" w:eastAsia="宋体" w:cs="宋体"/>
          <w:b w:val="0"/>
          <w:bCs/>
          <w:color w:val="auto"/>
          <w:sz w:val="24"/>
          <w:szCs w:val="24"/>
          <w:highlight w:val="none"/>
        </w:rPr>
        <w:t>。</w:t>
      </w:r>
    </w:p>
    <w:p>
      <w:pPr>
        <w:pStyle w:val="29"/>
        <w:spacing w:after="0" w:line="360" w:lineRule="auto"/>
        <w:ind w:firstLine="482" w:firstLineChars="200"/>
        <w:rPr>
          <w:rFonts w:hint="eastAsia" w:hAnsi="宋体" w:cs="宋体"/>
          <w:color w:val="auto"/>
          <w:sz w:val="24"/>
          <w:szCs w:val="24"/>
          <w:highlight w:val="none"/>
        </w:rPr>
      </w:pPr>
      <w:r>
        <w:rPr>
          <w:rFonts w:hint="eastAsia" w:hAnsi="宋体" w:cs="宋体"/>
          <w:b/>
          <w:color w:val="auto"/>
          <w:sz w:val="24"/>
          <w:szCs w:val="24"/>
          <w:highlight w:val="none"/>
        </w:rPr>
        <w:t>5.</w:t>
      </w:r>
      <w:r>
        <w:rPr>
          <w:rFonts w:hint="eastAsia" w:hAnsi="宋体" w:cs="宋体"/>
          <w:b/>
          <w:color w:val="auto"/>
          <w:sz w:val="24"/>
          <w:szCs w:val="24"/>
          <w:highlight w:val="none"/>
          <w:lang w:val="en-US" w:eastAsia="zh-CN"/>
        </w:rPr>
        <w:t>2</w:t>
      </w:r>
      <w:r>
        <w:rPr>
          <w:rFonts w:hint="eastAsia" w:hAnsi="宋体" w:cs="宋体"/>
          <w:b/>
          <w:color w:val="auto"/>
          <w:sz w:val="24"/>
          <w:szCs w:val="24"/>
          <w:highlight w:val="none"/>
        </w:rPr>
        <w:t xml:space="preserve"> 利害关系供应商处理。</w:t>
      </w:r>
      <w:r>
        <w:rPr>
          <w:rFonts w:hint="eastAsia" w:hAnsi="宋体" w:cs="宋体"/>
          <w:color w:val="auto"/>
          <w:sz w:val="24"/>
          <w:szCs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29"/>
        <w:spacing w:after="0"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w:t>
      </w:r>
      <w:r>
        <w:rPr>
          <w:rFonts w:hint="eastAsia"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前期参与供应商处理。</w:t>
      </w:r>
      <w:r>
        <w:rPr>
          <w:rFonts w:hint="eastAsia" w:ascii="宋体" w:hAnsi="宋体" w:eastAsia="宋体" w:cs="宋体"/>
          <w:color w:val="auto"/>
          <w:sz w:val="24"/>
          <w:szCs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 xml:space="preserve"> 利害关系代理人处理。</w:t>
      </w:r>
      <w:r>
        <w:rPr>
          <w:rFonts w:hint="eastAsia" w:ascii="宋体" w:hAnsi="宋体" w:eastAsia="宋体" w:cs="宋体"/>
          <w:color w:val="auto"/>
          <w:sz w:val="24"/>
          <w:highlight w:val="none"/>
        </w:rPr>
        <w:t>2家以上的供应商不得在同一合同项下的采购项目中，同时委托同一个自然人、同一家庭的人员、同一单位的人员作为其代理人，否则，其投标文件作为无效处理。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 xml:space="preserve"> 供应商与采购代理机构存在关联关系，或者是采购代理机构的母公司或子公司，不得参加本项目政府采购活动。</w:t>
      </w:r>
    </w:p>
    <w:p>
      <w:pPr>
        <w:pStyle w:val="50"/>
        <w:snapToGri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w:t>
      </w:r>
      <w:r>
        <w:rPr>
          <w:rFonts w:hint="eastAsia"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回避。</w:t>
      </w:r>
      <w:r>
        <w:rPr>
          <w:rFonts w:hint="eastAsia" w:ascii="宋体" w:hAnsi="宋体" w:eastAsia="宋体" w:cs="宋体"/>
          <w:color w:val="auto"/>
          <w:sz w:val="24"/>
          <w:szCs w:val="24"/>
          <w:highlight w:val="none"/>
        </w:rPr>
        <w:t>政府采购活动中，采购人员及相关人员与供应商有下列利害关系之一的，应当回避：</w:t>
      </w:r>
    </w:p>
    <w:p>
      <w:pPr>
        <w:pStyle w:val="5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（1）参加采购活动前3年内与供应商存在劳动关系；</w:t>
      </w:r>
    </w:p>
    <w:p>
      <w:pPr>
        <w:pStyle w:val="5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（2）参加采购活动前3年内担任供应商的董事、监事；</w:t>
      </w:r>
    </w:p>
    <w:p>
      <w:pPr>
        <w:pStyle w:val="5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（3）参加采购活动前3年内是供应商的控股股东或者实际控制人；</w:t>
      </w:r>
    </w:p>
    <w:p>
      <w:pPr>
        <w:pStyle w:val="5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（4）与供应商的法定代表人或者负责人有夫妻、直系血亲、三代以内旁系血亲或者近姻亲关系；</w:t>
      </w:r>
    </w:p>
    <w:p>
      <w:pPr>
        <w:pStyle w:val="5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（5）与供应商有其他可能影响政府采购活动公平、公正进行的关系。</w:t>
      </w:r>
    </w:p>
    <w:p>
      <w:pPr>
        <w:pStyle w:val="5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29"/>
        <w:spacing w:after="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hAnsi="宋体"/>
          <w:b/>
          <w:color w:val="auto"/>
          <w:szCs w:val="21"/>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6.磋商保证金</w:t>
      </w:r>
    </w:p>
    <w:p>
      <w:pPr>
        <w:spacing w:line="360" w:lineRule="auto"/>
        <w:ind w:firstLine="470" w:firstLineChars="196"/>
        <w:rPr>
          <w:rFonts w:ascii="宋体" w:hAnsi="宋体"/>
          <w:color w:val="auto"/>
          <w:sz w:val="24"/>
          <w:highlight w:val="none"/>
        </w:rPr>
      </w:pPr>
      <w:r>
        <w:rPr>
          <w:rFonts w:hint="eastAsia" w:ascii="宋体" w:hAnsi="宋体"/>
          <w:color w:val="auto"/>
          <w:sz w:val="24"/>
          <w:szCs w:val="24"/>
          <w:highlight w:val="none"/>
        </w:rPr>
        <w:t>本项目不收取</w:t>
      </w:r>
      <w:r>
        <w:rPr>
          <w:rFonts w:hint="eastAsia" w:ascii="宋体" w:hAnsi="宋体"/>
          <w:color w:val="auto"/>
          <w:sz w:val="24"/>
          <w:highlight w:val="none"/>
        </w:rPr>
        <w:t>。</w:t>
      </w:r>
    </w:p>
    <w:p>
      <w:pPr>
        <w:spacing w:line="360" w:lineRule="auto"/>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7.响应文件有效期（实质性要求）</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360" w:lineRule="auto"/>
        <w:rPr>
          <w:rFonts w:ascii="宋体" w:hAnsi="宋体"/>
          <w:b/>
          <w:color w:val="auto"/>
          <w:sz w:val="24"/>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8.联合体竞争性磋商（实质性要求）</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本项目不接受联合体参与采购活动。</w:t>
      </w:r>
    </w:p>
    <w:p>
      <w:pPr>
        <w:spacing w:line="360" w:lineRule="auto"/>
        <w:rPr>
          <w:color w:val="auto"/>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9.知识产权（实质性要求）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9.2除非磋商文件特别规定，采购人享有本项目实施过程中产生的知识成果及知识产权。</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.3</w:t>
      </w:r>
      <w:r>
        <w:rPr>
          <w:rFonts w:hint="eastAsia" w:ascii="宋体" w:hAnsi="宋体"/>
          <w:color w:val="auto"/>
          <w:sz w:val="24"/>
          <w:highlight w:val="none"/>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.4</w:t>
      </w:r>
      <w:r>
        <w:rPr>
          <w:rFonts w:hint="eastAsia" w:ascii="宋体" w:hAnsi="宋体"/>
          <w:color w:val="auto"/>
          <w:sz w:val="24"/>
          <w:highlight w:val="none"/>
        </w:rPr>
        <w:t xml:space="preserve">如采用供应商所不拥有的知识产权，则在报价中必须包括合法获取该知识产权的相关费用。 </w:t>
      </w:r>
    </w:p>
    <w:p>
      <w:pPr>
        <w:pStyle w:val="4"/>
        <w:spacing w:before="0" w:after="0" w:line="360" w:lineRule="auto"/>
        <w:jc w:val="center"/>
        <w:rPr>
          <w:color w:val="auto"/>
          <w:highlight w:val="none"/>
        </w:rPr>
      </w:pPr>
      <w:bookmarkStart w:id="41" w:name="_Toc217446038"/>
      <w:bookmarkStart w:id="42" w:name="_Toc89075875"/>
      <w:bookmarkStart w:id="43" w:name="_Toc23963"/>
      <w:bookmarkStart w:id="44" w:name="_Toc77400779"/>
      <w:bookmarkStart w:id="45" w:name="_Toc183682346"/>
      <w:bookmarkStart w:id="46" w:name="_Toc183582209"/>
      <w:bookmarkStart w:id="47" w:name="_Toc7502_WPSOffice_Level2"/>
      <w:r>
        <w:rPr>
          <w:rFonts w:hint="eastAsia"/>
          <w:color w:val="auto"/>
          <w:highlight w:val="none"/>
        </w:rPr>
        <w:t>三、磋商文件</w:t>
      </w:r>
      <w:bookmarkEnd w:id="41"/>
      <w:bookmarkEnd w:id="42"/>
      <w:bookmarkEnd w:id="43"/>
      <w:bookmarkEnd w:id="44"/>
      <w:bookmarkEnd w:id="45"/>
      <w:bookmarkEnd w:id="46"/>
      <w:bookmarkEnd w:id="47"/>
    </w:p>
    <w:p>
      <w:pPr>
        <w:pStyle w:val="5"/>
        <w:keepNext w:val="0"/>
        <w:keepLines w:val="0"/>
        <w:spacing w:before="0" w:after="0" w:line="360" w:lineRule="auto"/>
        <w:ind w:firstLine="482" w:firstLineChars="200"/>
        <w:rPr>
          <w:rFonts w:ascii="宋体" w:hAnsi="宋体"/>
          <w:color w:val="auto"/>
          <w:sz w:val="24"/>
          <w:szCs w:val="24"/>
          <w:highlight w:val="none"/>
        </w:rPr>
      </w:pPr>
      <w:bookmarkStart w:id="48" w:name="_Toc183582210"/>
      <w:bookmarkStart w:id="49" w:name="_Toc217446039"/>
      <w:bookmarkStart w:id="50" w:name="_Toc183682347"/>
      <w:r>
        <w:rPr>
          <w:rFonts w:hint="eastAsia" w:ascii="宋体" w:hAnsi="宋体"/>
          <w:color w:val="auto"/>
          <w:sz w:val="24"/>
          <w:szCs w:val="24"/>
          <w:highlight w:val="none"/>
        </w:rPr>
        <w:t>10.磋商文件的构成</w:t>
      </w:r>
      <w:bookmarkEnd w:id="48"/>
      <w:bookmarkEnd w:id="49"/>
      <w:bookmarkEnd w:id="50"/>
      <w:r>
        <w:rPr>
          <w:rFonts w:hint="eastAsia" w:ascii="宋体" w:hAnsi="宋体"/>
          <w:color w:val="auto"/>
          <w:sz w:val="24"/>
          <w:szCs w:val="24"/>
          <w:highlight w:val="none"/>
        </w:rPr>
        <w:t>（实质性要求）</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10</w:t>
      </w:r>
      <w:r>
        <w:rPr>
          <w:rFonts w:ascii="宋体" w:hAnsi="宋体"/>
          <w:b/>
          <w:bCs/>
          <w:color w:val="auto"/>
          <w:sz w:val="24"/>
          <w:highlight w:val="none"/>
        </w:rPr>
        <w:t>.</w:t>
      </w:r>
      <w:r>
        <w:rPr>
          <w:rFonts w:hint="eastAsia" w:ascii="宋体" w:hAnsi="宋体"/>
          <w:color w:val="auto"/>
          <w:sz w:val="24"/>
          <w:highlight w:val="none"/>
        </w:rPr>
        <w:t>1磋商文件是供应商准备响应文件和参加磋商的依据，同时也是磋商的重要依据。磋商文件用以阐明磋商项目所需的资质、技术、服务及报价等要求、磋商程序、有关规定和注意事项以及合同主要条款等。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b/>
          <w:bCs/>
          <w:color w:val="auto"/>
          <w:sz w:val="24"/>
          <w:highlight w:val="none"/>
        </w:rPr>
        <w:t>.</w:t>
      </w:r>
      <w:r>
        <w:rPr>
          <w:rFonts w:hint="eastAsia" w:ascii="宋体" w:hAnsi="宋体"/>
          <w:color w:val="auto"/>
          <w:sz w:val="24"/>
          <w:highlight w:val="none"/>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360" w:lineRule="auto"/>
        <w:rPr>
          <w:rFonts w:ascii="宋体" w:hAnsi="宋体"/>
          <w:color w:val="auto"/>
          <w:sz w:val="24"/>
          <w:highlight w:val="none"/>
        </w:rPr>
      </w:pPr>
      <w:bookmarkStart w:id="51" w:name="_Toc183582211"/>
      <w:bookmarkStart w:id="52" w:name="_Toc183682348"/>
      <w:bookmarkStart w:id="53" w:name="_Toc217446040"/>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11.磋商文件的澄清</w:t>
      </w:r>
      <w:bookmarkEnd w:id="51"/>
      <w:bookmarkEnd w:id="52"/>
      <w:r>
        <w:rPr>
          <w:rFonts w:hint="eastAsia" w:ascii="宋体" w:hAnsi="宋体"/>
          <w:color w:val="auto"/>
          <w:sz w:val="24"/>
          <w:szCs w:val="24"/>
          <w:highlight w:val="none"/>
        </w:rPr>
        <w:t>和修改</w:t>
      </w:r>
      <w:bookmarkEnd w:id="53"/>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11.1在递交响应文件截止时间前，采购人、采购代理机构可以对磋商文件进行澄清或者修改。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color w:val="auto"/>
          <w:sz w:val="24"/>
          <w:highlight w:val="none"/>
        </w:rPr>
        <w:t>提交</w:t>
      </w:r>
      <w:r>
        <w:rPr>
          <w:rFonts w:hint="eastAsia" w:ascii="宋体" w:hAnsi="宋体"/>
          <w:color w:val="auto"/>
          <w:sz w:val="24"/>
          <w:highlight w:val="none"/>
        </w:rPr>
        <w:t>首次响应文件截</w:t>
      </w:r>
      <w:r>
        <w:rPr>
          <w:rFonts w:hint="eastAsia" w:ascii="宋体" w:hAnsi="宋体" w:cs="宋体"/>
          <w:color w:val="auto"/>
          <w:sz w:val="24"/>
          <w:highlight w:val="none"/>
        </w:rPr>
        <w:t>止之日起5日前</w:t>
      </w:r>
      <w:r>
        <w:rPr>
          <w:rFonts w:hint="eastAsia" w:ascii="宋体" w:hAnsi="宋体"/>
          <w:color w:val="auto"/>
          <w:sz w:val="24"/>
          <w:highlight w:val="none"/>
        </w:rPr>
        <w:t>；不足上述时间的，应当顺延递交响应文件的截止时间。</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11.3供应商认为采购代理机构需要对磋商文件进行澄清或者修改的，可以在首次响应文件截止之日起3日前以书面形式向采购代理机构提出申请，由采购代理机构决定是否采纳供应商的申请事项。</w:t>
      </w:r>
    </w:p>
    <w:p>
      <w:pPr>
        <w:spacing w:line="360" w:lineRule="auto"/>
        <w:rPr>
          <w:rFonts w:ascii="宋体" w:hAnsi="宋体"/>
          <w:color w:val="auto"/>
          <w:szCs w:val="21"/>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bookmarkStart w:id="54" w:name="_Toc217446041"/>
      <w:bookmarkStart w:id="55" w:name="_Toc208848971"/>
      <w:r>
        <w:rPr>
          <w:rFonts w:hint="eastAsia" w:ascii="宋体" w:hAnsi="宋体"/>
          <w:color w:val="auto"/>
          <w:sz w:val="24"/>
          <w:szCs w:val="24"/>
          <w:highlight w:val="none"/>
        </w:rPr>
        <w:t>12.答疑会和现场考察</w:t>
      </w:r>
      <w:bookmarkEnd w:id="54"/>
      <w:bookmarkEnd w:id="55"/>
    </w:p>
    <w:p>
      <w:pPr>
        <w:tabs>
          <w:tab w:val="left" w:pos="720"/>
        </w:tabs>
        <w:spacing w:line="360" w:lineRule="auto"/>
        <w:ind w:firstLine="480" w:firstLineChars="200"/>
        <w:rPr>
          <w:rFonts w:ascii="宋体" w:hAnsi="宋体"/>
          <w:color w:val="auto"/>
          <w:sz w:val="24"/>
          <w:highlight w:val="none"/>
        </w:rPr>
      </w:pPr>
      <w:bookmarkStart w:id="56" w:name="_Toc77400780"/>
      <w:bookmarkStart w:id="57" w:name="_Toc89075876"/>
      <w:bookmarkStart w:id="58" w:name="_Toc183682351"/>
      <w:bookmarkStart w:id="59" w:name="_Toc217446042"/>
      <w:bookmarkStart w:id="60" w:name="_Toc183582214"/>
      <w:r>
        <w:rPr>
          <w:rFonts w:hint="eastAsia" w:ascii="宋体" w:hAnsi="宋体"/>
          <w:color w:val="auto"/>
          <w:sz w:val="24"/>
          <w:highlight w:val="none"/>
        </w:rPr>
        <w:t>本项目不举办答疑会和现场考察,由供应商自行现场考察。</w:t>
      </w:r>
    </w:p>
    <w:p>
      <w:pPr>
        <w:pStyle w:val="4"/>
        <w:spacing w:before="0" w:after="0" w:line="360" w:lineRule="auto"/>
        <w:jc w:val="center"/>
        <w:rPr>
          <w:color w:val="auto"/>
          <w:highlight w:val="none"/>
        </w:rPr>
      </w:pPr>
      <w:bookmarkStart w:id="61" w:name="_Toc15669"/>
      <w:bookmarkStart w:id="62" w:name="_Toc3317_WPSOffice_Level2"/>
      <w:r>
        <w:rPr>
          <w:rFonts w:hint="eastAsia"/>
          <w:color w:val="auto"/>
          <w:highlight w:val="none"/>
        </w:rPr>
        <w:t>四、响应文件</w:t>
      </w:r>
      <w:bookmarkEnd w:id="56"/>
      <w:bookmarkEnd w:id="57"/>
      <w:bookmarkEnd w:id="58"/>
      <w:bookmarkEnd w:id="59"/>
      <w:bookmarkEnd w:id="60"/>
      <w:bookmarkEnd w:id="61"/>
      <w:bookmarkEnd w:id="62"/>
    </w:p>
    <w:p>
      <w:pPr>
        <w:pStyle w:val="5"/>
        <w:keepNext w:val="0"/>
        <w:keepLines w:val="0"/>
        <w:spacing w:before="0" w:after="0" w:line="360" w:lineRule="auto"/>
        <w:ind w:firstLine="482" w:firstLineChars="200"/>
        <w:rPr>
          <w:rFonts w:ascii="宋体" w:hAnsi="宋体"/>
          <w:color w:val="auto"/>
          <w:sz w:val="24"/>
          <w:szCs w:val="24"/>
          <w:highlight w:val="none"/>
        </w:rPr>
      </w:pPr>
      <w:bookmarkStart w:id="63" w:name="_Toc217446043"/>
      <w:bookmarkStart w:id="64" w:name="_Toc183582215"/>
      <w:bookmarkStart w:id="65" w:name="_Toc183682352"/>
      <w:r>
        <w:rPr>
          <w:rFonts w:hint="eastAsia" w:ascii="宋体" w:hAnsi="宋体"/>
          <w:color w:val="auto"/>
          <w:sz w:val="24"/>
          <w:szCs w:val="24"/>
          <w:highlight w:val="none"/>
        </w:rPr>
        <w:t>13.响应文件的组成</w:t>
      </w:r>
    </w:p>
    <w:p>
      <w:pPr>
        <w:spacing w:line="360" w:lineRule="auto"/>
        <w:ind w:left="2" w:leftChars="1" w:firstLine="480" w:firstLineChars="200"/>
        <w:rPr>
          <w:rFonts w:ascii="宋体" w:hAnsi="宋体"/>
          <w:color w:val="auto"/>
          <w:sz w:val="24"/>
          <w:highlight w:val="none"/>
        </w:rPr>
      </w:pPr>
      <w:r>
        <w:rPr>
          <w:rFonts w:hint="eastAsia" w:ascii="宋体" w:hAnsi="宋体"/>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60" w:lineRule="auto"/>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bCs w:val="0"/>
          <w:color w:val="auto"/>
          <w:sz w:val="24"/>
          <w:szCs w:val="24"/>
          <w:highlight w:val="none"/>
        </w:rPr>
      </w:pPr>
      <w:r>
        <w:rPr>
          <w:rFonts w:hint="eastAsia" w:ascii="宋体" w:hAnsi="宋体"/>
          <w:bCs w:val="0"/>
          <w:color w:val="auto"/>
          <w:sz w:val="24"/>
          <w:szCs w:val="24"/>
          <w:highlight w:val="none"/>
        </w:rPr>
        <w:t>14.响应文件的语言</w:t>
      </w:r>
      <w:bookmarkEnd w:id="63"/>
      <w:bookmarkEnd w:id="64"/>
      <w:bookmarkEnd w:id="65"/>
      <w:r>
        <w:rPr>
          <w:rFonts w:hint="eastAsia" w:ascii="宋体" w:hAnsi="宋体"/>
          <w:bCs w:val="0"/>
          <w:color w:val="auto"/>
          <w:sz w:val="24"/>
          <w:szCs w:val="24"/>
          <w:highlight w:val="none"/>
        </w:rPr>
        <w:t>（实质性要求）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14.2 翻译的中文资料与外文资料如果出现差异和矛盾，以中文为准。但不能故意错误翻译，否则，供应商的响应文件将作为无效处理。</w:t>
      </w:r>
    </w:p>
    <w:p>
      <w:pPr>
        <w:spacing w:line="360" w:lineRule="auto"/>
        <w:rPr>
          <w:rFonts w:ascii="宋体" w:hAnsi="宋体"/>
          <w:color w:val="auto"/>
          <w:sz w:val="24"/>
          <w:highlight w:val="none"/>
        </w:rPr>
      </w:pPr>
      <w:bookmarkStart w:id="66" w:name="_Toc217446044"/>
      <w:bookmarkStart w:id="67" w:name="_Toc183582216"/>
      <w:bookmarkStart w:id="68" w:name="_Toc183682353"/>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15.计量单位</w:t>
      </w:r>
      <w:bookmarkEnd w:id="66"/>
      <w:bookmarkEnd w:id="67"/>
      <w:bookmarkEnd w:id="68"/>
      <w:r>
        <w:rPr>
          <w:rFonts w:hint="eastAsia" w:ascii="宋体" w:hAnsi="宋体"/>
          <w:color w:val="auto"/>
          <w:sz w:val="24"/>
          <w:szCs w:val="24"/>
          <w:highlight w:val="none"/>
        </w:rPr>
        <w:t>（实质性要求）</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除磋商文件中另有规定外，本次采购项目所有合同项下的报价均采用国家法定的计量单位。</w:t>
      </w:r>
    </w:p>
    <w:p>
      <w:pPr>
        <w:spacing w:line="360" w:lineRule="auto"/>
        <w:rPr>
          <w:rFonts w:ascii="宋体" w:hAnsi="宋体"/>
          <w:b/>
          <w:bCs/>
          <w:color w:val="auto"/>
          <w:sz w:val="24"/>
          <w:highlight w:val="none"/>
        </w:rPr>
      </w:pPr>
      <w:bookmarkStart w:id="69" w:name="_Toc217446045"/>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16.报价（实质性要求）</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16.1本次磋商项目的</w:t>
      </w:r>
      <w:r>
        <w:rPr>
          <w:rFonts w:hint="eastAsia" w:ascii="宋体" w:hAnsi="宋体"/>
          <w:color w:val="auto"/>
          <w:sz w:val="24"/>
          <w:highlight w:val="none"/>
        </w:rPr>
        <w:t>报价货币为</w:t>
      </w:r>
      <w:r>
        <w:rPr>
          <w:rFonts w:hint="eastAsia" w:ascii="宋体" w:hAnsi="宋体"/>
          <w:bCs/>
          <w:color w:val="auto"/>
          <w:sz w:val="24"/>
          <w:highlight w:val="none"/>
        </w:rPr>
        <w:t>人民币，报价以磋商文件规定为准。</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16.2供应商的报价是其响应本项目要求的全部工作内容的价格体现，包括供应商完成本项目所需的一切费用。</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16.3供应商报价超过政府采购预算或最高限价（具体详见“供应商须知附表”）的，视为无效报价，将被淘汰。</w:t>
      </w:r>
    </w:p>
    <w:p>
      <w:pPr>
        <w:spacing w:line="360" w:lineRule="auto"/>
        <w:rPr>
          <w:rFonts w:ascii="宋体" w:hAnsi="宋体"/>
          <w:bCs/>
          <w:color w:val="auto"/>
          <w:sz w:val="24"/>
          <w:highlight w:val="none"/>
        </w:rPr>
      </w:pPr>
    </w:p>
    <w:bookmarkEnd w:id="69"/>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17.响应文件格式</w:t>
      </w:r>
    </w:p>
    <w:p>
      <w:pPr>
        <w:spacing w:line="360" w:lineRule="auto"/>
        <w:ind w:left="2" w:leftChars="1" w:firstLine="480" w:firstLineChars="200"/>
        <w:rPr>
          <w:rFonts w:ascii="宋体" w:hAnsi="宋体"/>
          <w:bCs/>
          <w:color w:val="auto"/>
          <w:sz w:val="24"/>
          <w:highlight w:val="none"/>
        </w:rPr>
      </w:pPr>
      <w:r>
        <w:rPr>
          <w:rFonts w:hint="eastAsia" w:ascii="宋体" w:hAnsi="宋体"/>
          <w:bCs/>
          <w:color w:val="auto"/>
          <w:sz w:val="24"/>
          <w:highlight w:val="none"/>
        </w:rPr>
        <w:t>17.1供应商应执行磋商文件第七章的规定要求。</w:t>
      </w:r>
    </w:p>
    <w:p>
      <w:pPr>
        <w:spacing w:line="360" w:lineRule="auto"/>
        <w:ind w:left="2" w:leftChars="1" w:firstLine="480" w:firstLineChars="200"/>
        <w:rPr>
          <w:rFonts w:ascii="宋体" w:hAnsi="宋体"/>
          <w:color w:val="auto"/>
          <w:sz w:val="24"/>
          <w:highlight w:val="none"/>
        </w:rPr>
      </w:pPr>
      <w:r>
        <w:rPr>
          <w:rFonts w:hint="eastAsia" w:ascii="宋体" w:hAnsi="宋体"/>
          <w:color w:val="auto"/>
          <w:sz w:val="24"/>
          <w:highlight w:val="none"/>
        </w:rPr>
        <w:t>17.2对于没有格式要求的磋商文件由供应商自行编写。</w:t>
      </w:r>
    </w:p>
    <w:p>
      <w:pPr>
        <w:spacing w:line="360" w:lineRule="auto"/>
        <w:rPr>
          <w:rFonts w:ascii="宋体" w:hAnsi="宋体"/>
          <w:color w:val="auto"/>
          <w:sz w:val="24"/>
          <w:highlight w:val="none"/>
        </w:rPr>
      </w:pPr>
      <w:bookmarkStart w:id="70" w:name="_Toc183682361"/>
      <w:bookmarkStart w:id="71" w:name="_Toc217446051"/>
      <w:bookmarkStart w:id="72" w:name="_Toc183582224"/>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18.响应文件的编制和签署</w:t>
      </w:r>
    </w:p>
    <w:p>
      <w:pPr>
        <w:spacing w:line="360" w:lineRule="auto"/>
        <w:ind w:firstLine="468" w:firstLineChars="195"/>
        <w:rPr>
          <w:rFonts w:ascii="宋体" w:hAnsi="宋体"/>
          <w:bCs/>
          <w:color w:val="auto"/>
          <w:sz w:val="24"/>
          <w:highlight w:val="none"/>
        </w:rPr>
      </w:pPr>
      <w:r>
        <w:rPr>
          <w:rFonts w:hint="eastAsia" w:ascii="宋体" w:hAnsi="宋体"/>
          <w:color w:val="auto"/>
          <w:sz w:val="24"/>
          <w:highlight w:val="none"/>
        </w:rPr>
        <w:t>18.1</w:t>
      </w:r>
      <w:r>
        <w:rPr>
          <w:rFonts w:hint="eastAsia" w:ascii="宋体" w:hAnsi="宋体"/>
          <w:b/>
          <w:bCs/>
          <w:color w:val="auto"/>
          <w:sz w:val="24"/>
          <w:highlight w:val="none"/>
        </w:rPr>
        <w:t>资格性响应文件正本壹份副本</w:t>
      </w:r>
      <w:r>
        <w:rPr>
          <w:rFonts w:hint="eastAsia" w:ascii="宋体" w:hAnsi="宋体"/>
          <w:b/>
          <w:bCs/>
          <w:color w:val="auto"/>
          <w:sz w:val="24"/>
          <w:highlight w:val="none"/>
          <w:lang w:val="en-US" w:eastAsia="zh-CN"/>
        </w:rPr>
        <w:t>贰</w:t>
      </w:r>
      <w:r>
        <w:rPr>
          <w:rFonts w:hint="eastAsia" w:ascii="宋体" w:hAnsi="宋体"/>
          <w:b/>
          <w:bCs/>
          <w:color w:val="auto"/>
          <w:sz w:val="24"/>
          <w:highlight w:val="none"/>
        </w:rPr>
        <w:t>份</w:t>
      </w:r>
      <w:r>
        <w:rPr>
          <w:rFonts w:hint="eastAsia" w:ascii="宋体" w:hAnsi="宋体"/>
          <w:bCs/>
          <w:color w:val="auto"/>
          <w:sz w:val="24"/>
          <w:highlight w:val="none"/>
        </w:rPr>
        <w:t>，并在其封面上清楚地标明资格性响应文件、项目名称、项目编号、包件号及名称（若有）、供应商名称以及“正本”或“副本”字样。若正本和副本（或电子文档）有不一致的内容，以正本书面响应文件为准。</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18.2</w:t>
      </w:r>
      <w:r>
        <w:rPr>
          <w:rFonts w:hint="eastAsia" w:ascii="宋体" w:hAnsi="宋体"/>
          <w:b/>
          <w:color w:val="auto"/>
          <w:sz w:val="24"/>
          <w:highlight w:val="none"/>
        </w:rPr>
        <w:t>其他响应文件正本壹份副本</w:t>
      </w:r>
      <w:r>
        <w:rPr>
          <w:rFonts w:hint="eastAsia" w:ascii="宋体" w:hAnsi="宋体"/>
          <w:b/>
          <w:bCs/>
          <w:color w:val="auto"/>
          <w:sz w:val="24"/>
          <w:highlight w:val="none"/>
          <w:lang w:val="en-US" w:eastAsia="zh-CN"/>
        </w:rPr>
        <w:t>贰</w:t>
      </w:r>
      <w:r>
        <w:rPr>
          <w:rFonts w:hint="eastAsia" w:ascii="宋体" w:hAnsi="宋体"/>
          <w:b/>
          <w:color w:val="auto"/>
          <w:sz w:val="24"/>
          <w:highlight w:val="none"/>
        </w:rPr>
        <w:t>份</w:t>
      </w:r>
      <w:r>
        <w:rPr>
          <w:rFonts w:hint="eastAsia" w:ascii="宋体" w:hAnsi="宋体"/>
          <w:bCs/>
          <w:color w:val="auto"/>
          <w:sz w:val="24"/>
          <w:highlight w:val="none"/>
        </w:rPr>
        <w:t>，并在其封面上清楚地标明其他响应文件、项目名称、项目编号、包件号及名称（若有）、供应商名称以及“正本”或“副本”字样。若正本和副本有不一致的内容，以正本书面响应文件为准。</w:t>
      </w:r>
    </w:p>
    <w:p>
      <w:pPr>
        <w:spacing w:line="360" w:lineRule="auto"/>
        <w:ind w:firstLine="468" w:firstLineChars="195"/>
        <w:rPr>
          <w:rFonts w:ascii="宋体" w:hAnsi="宋体"/>
          <w:b/>
          <w:color w:val="auto"/>
          <w:sz w:val="24"/>
          <w:highlight w:val="none"/>
        </w:rPr>
      </w:pPr>
      <w:r>
        <w:rPr>
          <w:rFonts w:hint="eastAsia" w:ascii="宋体" w:hAnsi="宋体"/>
          <w:bCs/>
          <w:color w:val="auto"/>
          <w:sz w:val="24"/>
          <w:highlight w:val="none"/>
        </w:rPr>
        <w:t>18.3</w:t>
      </w:r>
      <w:r>
        <w:rPr>
          <w:rFonts w:hint="eastAsia" w:ascii="宋体" w:hAnsi="宋体"/>
          <w:b/>
          <w:color w:val="auto"/>
          <w:sz w:val="24"/>
          <w:highlight w:val="none"/>
        </w:rPr>
        <w:t>响应文件电子文档（包含资格性响应文件和其他响应文件，U盘或光盘制作）壹份。</w:t>
      </w:r>
    </w:p>
    <w:bookmarkEnd w:id="70"/>
    <w:bookmarkEnd w:id="71"/>
    <w:bookmarkEnd w:id="72"/>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18.4响应文件正本和副本均需在规定签章处签字和盖章。响应文件副本可采用正本的复印件。</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18.5响应文件的打印和书写应清楚工整，任何行间插字、涂改或增删，必须由供应商的法定代表人或其授权代表签字并盖供应商公章。</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18.6</w:t>
      </w:r>
      <w:r>
        <w:rPr>
          <w:rFonts w:hint="eastAsia" w:ascii="宋体" w:hAnsi="宋体"/>
          <w:b/>
          <w:color w:val="auto"/>
          <w:sz w:val="24"/>
          <w:highlight w:val="none"/>
        </w:rPr>
        <w:t>（实质性要求）</w:t>
      </w:r>
      <w:r>
        <w:rPr>
          <w:rFonts w:hint="eastAsia" w:ascii="宋体" w:hAnsi="宋体"/>
          <w:bCs/>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360" w:lineRule="auto"/>
        <w:ind w:firstLine="468" w:firstLineChars="195"/>
        <w:rPr>
          <w:rFonts w:ascii="宋体" w:hAnsi="宋体"/>
          <w:bCs/>
          <w:color w:val="auto"/>
          <w:sz w:val="24"/>
          <w:highlight w:val="none"/>
        </w:rPr>
      </w:pPr>
      <w:r>
        <w:rPr>
          <w:rFonts w:hint="eastAsia" w:ascii="宋体" w:hAnsi="宋体"/>
          <w:bCs/>
          <w:color w:val="auto"/>
          <w:sz w:val="24"/>
          <w:highlight w:val="none"/>
        </w:rPr>
        <w:t>18.7响应文件正本和副本需要逐页编目编码。</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18.8响应文件正本和副本应当采用胶装方式装订成册，不得散装或者合页装订。</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18.9响应文件应根据磋商文件的要求制作，签署、盖章。</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18.10响应文件统一用</w:t>
      </w:r>
      <w:r>
        <w:rPr>
          <w:rFonts w:ascii="宋体" w:hAnsi="宋体"/>
          <w:color w:val="auto"/>
          <w:sz w:val="24"/>
          <w:highlight w:val="none"/>
        </w:rPr>
        <w:t>A4</w:t>
      </w:r>
      <w:r>
        <w:rPr>
          <w:rFonts w:hint="eastAsia" w:ascii="宋体" w:hAnsi="宋体"/>
          <w:color w:val="auto"/>
          <w:sz w:val="24"/>
          <w:highlight w:val="none"/>
        </w:rPr>
        <w:t>幅面纸印制，除另有规定外。</w:t>
      </w:r>
    </w:p>
    <w:p>
      <w:pPr>
        <w:spacing w:line="360" w:lineRule="auto"/>
        <w:rPr>
          <w:rFonts w:ascii="宋体" w:hAnsi="宋体"/>
          <w:b/>
          <w:color w:val="auto"/>
          <w:sz w:val="24"/>
          <w:highlight w:val="none"/>
        </w:rPr>
      </w:pPr>
      <w:bookmarkStart w:id="73" w:name="_Toc77400781"/>
      <w:bookmarkStart w:id="74" w:name="_Toc89075877"/>
      <w:bookmarkStart w:id="75" w:name="_Toc183582226"/>
      <w:bookmarkStart w:id="76" w:name="_Toc217446053"/>
      <w:bookmarkStart w:id="77" w:name="_Toc183682363"/>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19.响应文件的密封和标注（不属于本项目磋商小组评审范畴，由采购人、采购代理机构在接收响应文件时及时处理）</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19.1响应文件可以单独密封包装，也可以所有响应文件密封包装在一个密封袋内。</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19.2响应文件密封袋的最外层应清楚地标明采购项目名称、采购项目编号、包号（若有）、供应商名称。</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19.3所有外层密封袋的封口处应粘贴牢固。</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19.4未按以上要求进行密封和标注的响应文件，采购人、采购代理机构将拒收或者在时间允许的范围内，要求修改完善后接收。</w:t>
      </w:r>
    </w:p>
    <w:p>
      <w:pPr>
        <w:spacing w:line="360" w:lineRule="auto"/>
        <w:rPr>
          <w:color w:val="auto"/>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20.响应文件的递交</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20.1资格性响应文件和其他响应文件应于递交响应文件截止时间前送达指定地点，采购代理机构拒绝接收截止时间后送达的响应文件。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20.2采购代理机构将向通过资格审查的供应商发出磋商邀请；告知未通过资格审查的供应商未通过的原因。</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20.3报价表在磋商后，磋商小组要求供应商进行最后报价时递交。</w:t>
      </w:r>
    </w:p>
    <w:p>
      <w:pPr>
        <w:tabs>
          <w:tab w:val="left" w:pos="1080"/>
        </w:tabs>
        <w:spacing w:line="360" w:lineRule="auto"/>
        <w:ind w:firstLine="460" w:firstLineChars="192"/>
        <w:rPr>
          <w:rFonts w:ascii="宋体" w:hAnsi="宋体"/>
          <w:color w:val="auto"/>
          <w:sz w:val="24"/>
          <w:highlight w:val="none"/>
        </w:rPr>
      </w:pPr>
      <w:r>
        <w:rPr>
          <w:rFonts w:hint="eastAsia" w:ascii="宋体" w:hAnsi="宋体"/>
          <w:color w:val="auto"/>
          <w:sz w:val="24"/>
          <w:highlight w:val="none"/>
        </w:rPr>
        <w:t>20.4本次采购不接收邮寄的响应文件。</w:t>
      </w:r>
    </w:p>
    <w:p>
      <w:pPr>
        <w:spacing w:line="360" w:lineRule="auto"/>
        <w:rPr>
          <w:rFonts w:ascii="宋体" w:hAnsi="宋体"/>
          <w:color w:val="auto"/>
          <w:szCs w:val="21"/>
          <w:highlight w:val="none"/>
        </w:rPr>
      </w:pPr>
    </w:p>
    <w:bookmarkEnd w:id="73"/>
    <w:bookmarkEnd w:id="74"/>
    <w:bookmarkEnd w:id="75"/>
    <w:bookmarkEnd w:id="76"/>
    <w:bookmarkEnd w:id="77"/>
    <w:p>
      <w:pPr>
        <w:pStyle w:val="5"/>
        <w:keepNext w:val="0"/>
        <w:keepLines w:val="0"/>
        <w:spacing w:before="0" w:after="0" w:line="360" w:lineRule="auto"/>
        <w:ind w:firstLine="482" w:firstLineChars="200"/>
        <w:rPr>
          <w:rFonts w:ascii="宋体" w:hAnsi="宋体"/>
          <w:color w:val="auto"/>
          <w:sz w:val="24"/>
          <w:szCs w:val="24"/>
          <w:highlight w:val="none"/>
        </w:rPr>
      </w:pPr>
      <w:bookmarkStart w:id="78" w:name="_Toc183582228"/>
      <w:bookmarkStart w:id="79" w:name="_Toc183682365"/>
      <w:bookmarkStart w:id="80" w:name="_Toc217446055"/>
      <w:r>
        <w:rPr>
          <w:rFonts w:hint="eastAsia" w:ascii="宋体" w:hAnsi="宋体"/>
          <w:color w:val="auto"/>
          <w:sz w:val="24"/>
          <w:szCs w:val="24"/>
          <w:highlight w:val="none"/>
        </w:rPr>
        <w:t>21.响应文件的修改和撤回（补充、修改响应文件的密封和标注按照本章“19.响应文件的密封和标注”规定处理）</w:t>
      </w:r>
    </w:p>
    <w:p>
      <w:pPr>
        <w:pStyle w:val="7"/>
        <w:spacing w:line="360" w:lineRule="auto"/>
        <w:ind w:firstLine="480"/>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w:t>
      </w:r>
      <w:r>
        <w:rPr>
          <w:rFonts w:hint="eastAsia" w:ascii="宋体" w:hAnsi="宋体"/>
          <w:color w:val="auto"/>
          <w:sz w:val="24"/>
          <w:highlight w:val="none"/>
        </w:rPr>
        <w:t>3供应商不得在递交截止时间起至响应文件有效期期满前撤销其响应文件。否则其磋商保证金将按相关规定被没收。</w:t>
      </w:r>
    </w:p>
    <w:p>
      <w:pPr>
        <w:spacing w:line="360" w:lineRule="auto"/>
        <w:ind w:firstLine="480"/>
        <w:rPr>
          <w:rFonts w:ascii="宋体" w:hAnsi="宋体"/>
          <w:color w:val="auto"/>
          <w:sz w:val="24"/>
          <w:highlight w:val="none"/>
        </w:rPr>
      </w:pPr>
      <w:r>
        <w:rPr>
          <w:rFonts w:hint="eastAsia" w:ascii="宋体" w:hAnsi="宋体"/>
          <w:color w:val="auto"/>
          <w:sz w:val="24"/>
          <w:highlight w:val="none"/>
        </w:rPr>
        <w:t>21.4响应文件中报价如果出现下列不一致的，可按以下原则进行修改：</w:t>
      </w:r>
    </w:p>
    <w:p>
      <w:pPr>
        <w:spacing w:line="360" w:lineRule="auto"/>
        <w:ind w:firstLine="480"/>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kern w:val="0"/>
          <w:sz w:val="24"/>
          <w:highlight w:val="none"/>
        </w:rPr>
        <w:t>大写金额和小写金额不一致的，以大写金额为准</w:t>
      </w:r>
      <w:r>
        <w:rPr>
          <w:rFonts w:hint="eastAsia" w:ascii="宋体" w:hAnsi="宋体"/>
          <w:color w:val="auto"/>
          <w:sz w:val="24"/>
          <w:highlight w:val="none"/>
        </w:rPr>
        <w:t>，但大写金额文字存在错误的，应当先对大写金额的文字错误进行澄清、说明或者更正，再行修正。</w:t>
      </w:r>
    </w:p>
    <w:p>
      <w:pPr>
        <w:spacing w:line="360" w:lineRule="auto"/>
        <w:ind w:firstLine="480"/>
        <w:rPr>
          <w:rFonts w:ascii="宋体" w:hAnsi="宋体"/>
          <w:color w:val="auto"/>
          <w:sz w:val="24"/>
          <w:highlight w:val="none"/>
        </w:rPr>
      </w:pPr>
      <w:r>
        <w:rPr>
          <w:rFonts w:hint="eastAsia" w:ascii="宋体" w:hAnsi="宋体"/>
          <w:color w:val="auto"/>
          <w:sz w:val="24"/>
          <w:highlight w:val="none"/>
        </w:rPr>
        <w:t>（2）</w:t>
      </w:r>
      <w:r>
        <w:rPr>
          <w:rFonts w:hint="eastAsia" w:ascii="宋体" w:hAnsi="宋体" w:cs="宋体"/>
          <w:color w:val="auto"/>
          <w:kern w:val="0"/>
          <w:sz w:val="24"/>
          <w:highlight w:val="none"/>
        </w:rPr>
        <w:t>总价金额与按单价汇总金额不一致的，以单价金额计算结果为准，</w:t>
      </w:r>
      <w:r>
        <w:rPr>
          <w:rFonts w:hint="eastAsia" w:ascii="宋体" w:hAnsi="宋体"/>
          <w:color w:val="auto"/>
          <w:sz w:val="24"/>
          <w:highlight w:val="none"/>
        </w:rPr>
        <w:t>但</w:t>
      </w:r>
      <w:r>
        <w:rPr>
          <w:rFonts w:hint="eastAsia" w:ascii="宋体" w:hAnsi="宋体" w:cs="宋体"/>
          <w:color w:val="auto"/>
          <w:kern w:val="0"/>
          <w:sz w:val="24"/>
          <w:highlight w:val="none"/>
        </w:rPr>
        <w:t>单价或者单价汇总金额存在数字或者</w:t>
      </w:r>
      <w:r>
        <w:rPr>
          <w:rFonts w:hint="eastAsia" w:ascii="宋体" w:hAnsi="宋体"/>
          <w:color w:val="auto"/>
          <w:sz w:val="24"/>
          <w:highlight w:val="none"/>
        </w:rPr>
        <w:t>文字错误的，应当先对</w:t>
      </w:r>
      <w:r>
        <w:rPr>
          <w:rFonts w:hint="eastAsia" w:ascii="宋体" w:hAnsi="宋体" w:cs="宋体"/>
          <w:color w:val="auto"/>
          <w:kern w:val="0"/>
          <w:sz w:val="24"/>
          <w:highlight w:val="none"/>
        </w:rPr>
        <w:t>数字或者</w:t>
      </w:r>
      <w:r>
        <w:rPr>
          <w:rFonts w:hint="eastAsia" w:ascii="宋体" w:hAnsi="宋体"/>
          <w:color w:val="auto"/>
          <w:sz w:val="24"/>
          <w:highlight w:val="none"/>
        </w:rPr>
        <w:t>文字错误进行澄清、说明或者更正，再行修正。</w:t>
      </w:r>
    </w:p>
    <w:p>
      <w:pPr>
        <w:spacing w:line="360" w:lineRule="auto"/>
        <w:ind w:firstLine="480"/>
        <w:rPr>
          <w:rFonts w:ascii="宋体" w:hAnsi="宋体"/>
          <w:color w:val="auto"/>
          <w:sz w:val="24"/>
          <w:highlight w:val="none"/>
        </w:rPr>
      </w:pPr>
      <w:r>
        <w:rPr>
          <w:rFonts w:hint="eastAsia" w:ascii="宋体" w:hAnsi="宋体"/>
          <w:color w:val="auto"/>
          <w:sz w:val="24"/>
          <w:highlight w:val="none"/>
        </w:rPr>
        <w:t>（3）单价金额小数点</w:t>
      </w:r>
      <w:r>
        <w:rPr>
          <w:rFonts w:hint="eastAsia" w:ascii="宋体" w:hAnsi="宋体" w:cs="宋体"/>
          <w:color w:val="auto"/>
          <w:kern w:val="0"/>
          <w:sz w:val="24"/>
          <w:highlight w:val="none"/>
        </w:rPr>
        <w:t>或者百分比有明显错位的</w:t>
      </w:r>
      <w:r>
        <w:rPr>
          <w:rFonts w:hint="eastAsia" w:ascii="宋体" w:hAnsi="宋体"/>
          <w:color w:val="auto"/>
          <w:sz w:val="24"/>
          <w:highlight w:val="none"/>
        </w:rPr>
        <w:t>，以总价为准，修正单价。</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宋体" w:hAnsi="宋体"/>
          <w:color w:val="auto"/>
          <w:sz w:val="24"/>
          <w:highlight w:val="none"/>
        </w:rPr>
      </w:pPr>
      <w:r>
        <w:rPr>
          <w:rFonts w:hint="eastAsia" w:ascii="宋体" w:hAnsi="宋体"/>
          <w:color w:val="auto"/>
          <w:sz w:val="24"/>
          <w:highlight w:val="none"/>
        </w:rPr>
        <w:t>21.5供应商对其提交的响应文件的真实性、合法性承担法律责任。</w:t>
      </w:r>
      <w:bookmarkEnd w:id="78"/>
      <w:bookmarkEnd w:id="79"/>
      <w:bookmarkEnd w:id="80"/>
    </w:p>
    <w:p>
      <w:pPr>
        <w:pStyle w:val="4"/>
        <w:spacing w:before="0" w:after="0" w:line="360" w:lineRule="auto"/>
        <w:jc w:val="center"/>
        <w:rPr>
          <w:color w:val="auto"/>
          <w:highlight w:val="none"/>
        </w:rPr>
      </w:pPr>
      <w:bookmarkStart w:id="81" w:name="_Toc6025_WPSOffice_Level2"/>
      <w:bookmarkStart w:id="82" w:name="_Toc5911"/>
      <w:bookmarkStart w:id="83" w:name="_Toc89075878"/>
      <w:bookmarkStart w:id="84" w:name="_Toc183682368"/>
      <w:bookmarkStart w:id="85" w:name="_Toc217446056"/>
      <w:bookmarkStart w:id="86" w:name="_Toc77400782"/>
      <w:bookmarkStart w:id="87" w:name="_Toc183582231"/>
      <w:r>
        <w:rPr>
          <w:rFonts w:hint="eastAsia"/>
          <w:color w:val="auto"/>
          <w:highlight w:val="none"/>
        </w:rPr>
        <w:t>五、评审</w:t>
      </w:r>
      <w:bookmarkEnd w:id="81"/>
      <w:bookmarkEnd w:id="82"/>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22.磋商小组的组建及其评审工作按照有关法律制度和本文件第八章的规定进行。</w:t>
      </w:r>
    </w:p>
    <w:p>
      <w:pPr>
        <w:pStyle w:val="4"/>
        <w:spacing w:before="0" w:after="0" w:line="360" w:lineRule="auto"/>
        <w:jc w:val="center"/>
        <w:rPr>
          <w:color w:val="auto"/>
          <w:highlight w:val="none"/>
        </w:rPr>
      </w:pPr>
      <w:bookmarkStart w:id="88" w:name="_Toc7528_WPSOffice_Level2"/>
      <w:bookmarkStart w:id="89" w:name="_Toc17042"/>
      <w:r>
        <w:rPr>
          <w:rFonts w:hint="eastAsia"/>
          <w:color w:val="auto"/>
          <w:highlight w:val="none"/>
        </w:rPr>
        <w:t>六、成交事项</w:t>
      </w:r>
      <w:bookmarkEnd w:id="88"/>
      <w:bookmarkEnd w:id="89"/>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23.确定成交供应商</w:t>
      </w:r>
    </w:p>
    <w:p>
      <w:pPr>
        <w:spacing w:line="360" w:lineRule="auto"/>
        <w:ind w:firstLine="480"/>
        <w:rPr>
          <w:rFonts w:ascii="宋体" w:hAnsi="宋体"/>
          <w:color w:val="auto"/>
          <w:sz w:val="24"/>
          <w:highlight w:val="none"/>
        </w:rPr>
      </w:pPr>
      <w:r>
        <w:rPr>
          <w:rFonts w:hint="eastAsia" w:ascii="宋体" w:hAnsi="宋体"/>
          <w:color w:val="auto"/>
          <w:sz w:val="24"/>
          <w:highlight w:val="none"/>
        </w:rPr>
        <w:t>采购人将按磋商小组推荐的成交候选供应商顺序确定成交供应商。</w:t>
      </w:r>
    </w:p>
    <w:p>
      <w:pPr>
        <w:spacing w:line="360" w:lineRule="auto"/>
        <w:ind w:firstLine="480"/>
        <w:rPr>
          <w:rFonts w:ascii="宋体" w:hAnsi="宋体"/>
          <w:color w:val="auto"/>
          <w:sz w:val="24"/>
          <w:highlight w:val="none"/>
        </w:rPr>
      </w:pPr>
      <w:r>
        <w:rPr>
          <w:rFonts w:hint="eastAsia" w:ascii="宋体" w:hAnsi="宋体"/>
          <w:color w:val="auto"/>
          <w:sz w:val="24"/>
          <w:highlight w:val="none"/>
        </w:rPr>
        <w:t>23.1采购代理机构自评审结束后2个工作日内将磋商报告及有关资料送交采购人确定成交供应商。</w:t>
      </w:r>
    </w:p>
    <w:p>
      <w:pPr>
        <w:spacing w:line="360" w:lineRule="auto"/>
        <w:ind w:firstLine="480"/>
        <w:rPr>
          <w:rFonts w:ascii="宋体" w:hAnsi="宋体"/>
          <w:color w:val="auto"/>
          <w:sz w:val="24"/>
          <w:highlight w:val="none"/>
        </w:rPr>
      </w:pPr>
      <w:r>
        <w:rPr>
          <w:rFonts w:hint="eastAsia" w:ascii="宋体" w:hAnsi="宋体"/>
          <w:color w:val="auto"/>
          <w:sz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rPr>
          <w:rFonts w:ascii="宋体" w:hAnsi="宋体"/>
          <w:color w:val="auto"/>
          <w:sz w:val="24"/>
          <w:highlight w:val="none"/>
        </w:rPr>
      </w:pPr>
      <w:r>
        <w:rPr>
          <w:rFonts w:hint="eastAsia" w:ascii="宋体" w:hAnsi="宋体"/>
          <w:color w:val="auto"/>
          <w:sz w:val="24"/>
          <w:highlight w:val="none"/>
        </w:rPr>
        <w:t>23.3采购人确定成交供应商过程中，发现成交候选供应商有下列情形之一的，应当不予确定其为成交供应商：</w:t>
      </w:r>
    </w:p>
    <w:p>
      <w:pPr>
        <w:spacing w:line="360" w:lineRule="auto"/>
        <w:ind w:firstLine="480"/>
        <w:rPr>
          <w:rFonts w:ascii="宋体" w:hAnsi="宋体"/>
          <w:color w:val="auto"/>
          <w:sz w:val="24"/>
          <w:highlight w:val="none"/>
        </w:rPr>
      </w:pPr>
      <w:r>
        <w:rPr>
          <w:rFonts w:hint="eastAsia" w:ascii="宋体" w:hAnsi="宋体"/>
          <w:color w:val="auto"/>
          <w:sz w:val="24"/>
          <w:highlight w:val="none"/>
        </w:rPr>
        <w:t>（1）发现成交候选供应商存在禁止参加本项目采购活动的违法行为的；</w:t>
      </w:r>
    </w:p>
    <w:p>
      <w:pPr>
        <w:spacing w:line="360" w:lineRule="auto"/>
        <w:ind w:firstLine="480"/>
        <w:rPr>
          <w:rFonts w:ascii="宋体" w:hAnsi="宋体"/>
          <w:color w:val="auto"/>
          <w:sz w:val="24"/>
          <w:highlight w:val="none"/>
        </w:rPr>
      </w:pPr>
      <w:r>
        <w:rPr>
          <w:rFonts w:hint="eastAsia" w:ascii="宋体" w:hAnsi="宋体"/>
          <w:color w:val="auto"/>
          <w:sz w:val="24"/>
          <w:highlight w:val="none"/>
        </w:rPr>
        <w:t>（2）成交候选供应商因不可抗力，不能继续参加政府采购活动；</w:t>
      </w:r>
    </w:p>
    <w:p>
      <w:pPr>
        <w:spacing w:line="360" w:lineRule="auto"/>
        <w:ind w:firstLine="480"/>
        <w:rPr>
          <w:rFonts w:ascii="宋体" w:hAnsi="宋体"/>
          <w:color w:val="auto"/>
          <w:sz w:val="24"/>
          <w:highlight w:val="none"/>
        </w:rPr>
      </w:pPr>
      <w:r>
        <w:rPr>
          <w:rFonts w:hint="eastAsia" w:ascii="宋体" w:hAnsi="宋体"/>
          <w:color w:val="auto"/>
          <w:sz w:val="24"/>
          <w:highlight w:val="none"/>
        </w:rPr>
        <w:t>（3）成交候选供应商无偿赠与或者低于成本价竞争；</w:t>
      </w:r>
    </w:p>
    <w:p>
      <w:pPr>
        <w:spacing w:line="360" w:lineRule="auto"/>
        <w:ind w:firstLine="480"/>
        <w:rPr>
          <w:rFonts w:ascii="宋体" w:hAnsi="宋体"/>
          <w:color w:val="auto"/>
          <w:sz w:val="24"/>
          <w:highlight w:val="none"/>
        </w:rPr>
      </w:pPr>
      <w:r>
        <w:rPr>
          <w:rFonts w:hint="eastAsia" w:ascii="宋体" w:hAnsi="宋体"/>
          <w:color w:val="auto"/>
          <w:sz w:val="24"/>
          <w:highlight w:val="none"/>
        </w:rPr>
        <w:t>（4）成交候选供应商提供虚假材料；</w:t>
      </w:r>
    </w:p>
    <w:p>
      <w:pPr>
        <w:spacing w:line="360" w:lineRule="auto"/>
        <w:ind w:firstLine="480"/>
        <w:rPr>
          <w:rFonts w:ascii="宋体" w:hAnsi="宋体"/>
          <w:color w:val="auto"/>
          <w:sz w:val="24"/>
          <w:highlight w:val="none"/>
        </w:rPr>
      </w:pPr>
      <w:r>
        <w:rPr>
          <w:rFonts w:hint="eastAsia" w:ascii="宋体" w:hAnsi="宋体"/>
          <w:color w:val="auto"/>
          <w:sz w:val="24"/>
          <w:highlight w:val="none"/>
        </w:rPr>
        <w:t>（5）成交候选供应商恶意串通。</w:t>
      </w:r>
    </w:p>
    <w:p>
      <w:pPr>
        <w:spacing w:line="360" w:lineRule="auto"/>
        <w:ind w:firstLine="480"/>
        <w:rPr>
          <w:rFonts w:ascii="宋体" w:hAnsi="宋体"/>
          <w:color w:val="auto"/>
          <w:sz w:val="24"/>
          <w:highlight w:val="none"/>
        </w:rPr>
      </w:pPr>
      <w:r>
        <w:rPr>
          <w:rFonts w:hint="eastAsia" w:ascii="宋体" w:hAnsi="宋体"/>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24.成交结果</w:t>
      </w:r>
    </w:p>
    <w:p>
      <w:pPr>
        <w:spacing w:line="360" w:lineRule="auto"/>
        <w:ind w:firstLine="480"/>
        <w:rPr>
          <w:rFonts w:ascii="宋体" w:hAnsi="宋体"/>
          <w:color w:val="auto"/>
          <w:sz w:val="24"/>
          <w:highlight w:val="none"/>
        </w:rPr>
      </w:pPr>
      <w:r>
        <w:rPr>
          <w:rFonts w:hint="eastAsia" w:ascii="宋体" w:hAnsi="宋体"/>
          <w:color w:val="auto"/>
          <w:sz w:val="24"/>
          <w:highlight w:val="none"/>
        </w:rPr>
        <w:t>24.1采购人确定成交供应商后，将及时书面通知采购代理机构，发出成交通知书并发布成交结果公告。</w:t>
      </w:r>
    </w:p>
    <w:p>
      <w:pPr>
        <w:spacing w:line="360" w:lineRule="auto"/>
        <w:ind w:firstLine="480"/>
        <w:rPr>
          <w:rFonts w:ascii="宋体" w:hAnsi="宋体"/>
          <w:color w:val="auto"/>
          <w:sz w:val="24"/>
          <w:highlight w:val="none"/>
        </w:rPr>
      </w:pPr>
      <w:r>
        <w:rPr>
          <w:rFonts w:hint="eastAsia" w:ascii="宋体" w:hAnsi="宋体"/>
          <w:color w:val="auto"/>
          <w:sz w:val="24"/>
          <w:highlight w:val="none"/>
        </w:rPr>
        <w:t>24.2成交供应商应当及时领取成交通知书。</w:t>
      </w:r>
    </w:p>
    <w:p>
      <w:pPr>
        <w:spacing w:line="360" w:lineRule="auto"/>
        <w:ind w:firstLine="480"/>
        <w:rPr>
          <w:rFonts w:ascii="宋体" w:hAnsi="宋体"/>
          <w:color w:val="auto"/>
          <w:sz w:val="24"/>
          <w:highlight w:val="none"/>
        </w:rPr>
      </w:pPr>
      <w:r>
        <w:rPr>
          <w:rFonts w:hint="eastAsia" w:ascii="宋体" w:hAnsi="宋体"/>
          <w:color w:val="auto"/>
          <w:sz w:val="24"/>
          <w:highlight w:val="none"/>
        </w:rPr>
        <w:t>24.3成交供应商不能及时领取成交通知书，采购人或者采购代理机</w:t>
      </w:r>
      <w:r>
        <w:rPr>
          <w:rFonts w:hint="eastAsia" w:ascii="宋体" w:hAnsi="宋体"/>
          <w:color w:val="auto"/>
          <w:sz w:val="24"/>
          <w:highlight w:val="none"/>
          <w:lang w:val="en-US" w:eastAsia="zh-CN"/>
        </w:rPr>
        <w:t>构</w:t>
      </w:r>
      <w:r>
        <w:rPr>
          <w:rFonts w:hint="eastAsia" w:ascii="宋体" w:hAnsi="宋体"/>
          <w:color w:val="auto"/>
          <w:sz w:val="24"/>
          <w:highlight w:val="none"/>
        </w:rPr>
        <w:t>应当通过邮寄、快递等方式将项目成交通知书送达成交供应商。</w:t>
      </w:r>
    </w:p>
    <w:p>
      <w:pPr>
        <w:spacing w:line="360" w:lineRule="auto"/>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25.成交通知书</w:t>
      </w:r>
    </w:p>
    <w:p>
      <w:pPr>
        <w:spacing w:line="360" w:lineRule="auto"/>
        <w:ind w:firstLine="480"/>
        <w:rPr>
          <w:rFonts w:ascii="宋体" w:hAnsi="宋体"/>
          <w:color w:val="auto"/>
          <w:sz w:val="24"/>
          <w:highlight w:val="none"/>
        </w:rPr>
      </w:pPr>
      <w:r>
        <w:rPr>
          <w:rFonts w:hint="eastAsia" w:ascii="宋体" w:hAnsi="宋体"/>
          <w:color w:val="auto"/>
          <w:sz w:val="24"/>
          <w:highlight w:val="none"/>
        </w:rPr>
        <w:t>25.1成交通知书为签订政府采购合同的依据之一，是合同的有效组成部分。</w:t>
      </w:r>
    </w:p>
    <w:p>
      <w:pPr>
        <w:spacing w:line="360" w:lineRule="auto"/>
        <w:ind w:firstLine="480"/>
        <w:rPr>
          <w:rFonts w:ascii="宋体" w:hAnsi="宋体"/>
          <w:color w:val="auto"/>
          <w:sz w:val="24"/>
          <w:highlight w:val="none"/>
        </w:rPr>
      </w:pPr>
      <w:r>
        <w:rPr>
          <w:rFonts w:hint="eastAsia" w:ascii="宋体" w:hAnsi="宋体"/>
          <w:color w:val="auto"/>
          <w:sz w:val="24"/>
          <w:highlight w:val="none"/>
        </w:rPr>
        <w:t>25.2成交通知书对采购人和成交供应商均具有法律效力。成交通知书发出后，采购人无正当理由改变成交结果，或者成交供应商无正当理由放弃成交的，将承担相应的法律责任。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rPr>
          <w:rFonts w:ascii="宋体" w:hAnsi="宋体"/>
          <w:color w:val="auto"/>
          <w:sz w:val="24"/>
          <w:highlight w:val="none"/>
        </w:rPr>
      </w:pPr>
      <w:r>
        <w:rPr>
          <w:rFonts w:hint="eastAsia" w:ascii="宋体" w:hAnsi="宋体"/>
          <w:color w:val="auto"/>
          <w:sz w:val="24"/>
          <w:highlight w:val="none"/>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spacing w:before="0" w:after="0" w:line="360" w:lineRule="auto"/>
        <w:jc w:val="center"/>
        <w:rPr>
          <w:color w:val="auto"/>
          <w:highlight w:val="none"/>
        </w:rPr>
      </w:pPr>
      <w:bookmarkStart w:id="90" w:name="_Toc17511_WPSOffice_Level2"/>
      <w:bookmarkStart w:id="91" w:name="_Toc27434"/>
      <w:r>
        <w:rPr>
          <w:rFonts w:hint="eastAsia"/>
          <w:color w:val="auto"/>
          <w:highlight w:val="none"/>
        </w:rPr>
        <w:t>七、合同事项</w:t>
      </w:r>
      <w:bookmarkEnd w:id="90"/>
      <w:bookmarkEnd w:id="91"/>
    </w:p>
    <w:p>
      <w:pPr>
        <w:pStyle w:val="5"/>
        <w:keepNext w:val="0"/>
        <w:keepLines w:val="0"/>
        <w:spacing w:before="0" w:after="0" w:line="360" w:lineRule="auto"/>
        <w:ind w:firstLine="482" w:firstLineChars="200"/>
        <w:rPr>
          <w:rFonts w:ascii="宋体" w:hAnsi="宋体"/>
          <w:color w:val="auto"/>
          <w:sz w:val="24"/>
          <w:szCs w:val="24"/>
          <w:highlight w:val="none"/>
        </w:rPr>
      </w:pPr>
      <w:bookmarkStart w:id="92" w:name="_Toc101174151"/>
      <w:bookmarkStart w:id="93" w:name="_Toc101250646"/>
      <w:bookmarkStart w:id="94" w:name="_Toc209847069"/>
      <w:bookmarkStart w:id="95" w:name="_Toc101338364"/>
      <w:bookmarkStart w:id="96" w:name="_Toc430773927"/>
      <w:r>
        <w:rPr>
          <w:rFonts w:hint="eastAsia" w:ascii="宋体" w:hAnsi="宋体"/>
          <w:color w:val="auto"/>
          <w:sz w:val="24"/>
          <w:szCs w:val="24"/>
          <w:highlight w:val="none"/>
        </w:rPr>
        <w:t>26.签订合同</w:t>
      </w:r>
      <w:bookmarkEnd w:id="92"/>
      <w:bookmarkEnd w:id="93"/>
      <w:bookmarkEnd w:id="94"/>
      <w:bookmarkEnd w:id="95"/>
      <w:bookmarkEnd w:id="9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26.1成交供应商应在成交通知书发出之日起三十日内与采购人签订采购合同。由于成交供应商的原因逾期未与采购人签订采购合同的，将视为放弃成交，取消其成交资格并将按相关规定进行处理。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26.2磋商文件、成交供应商的响应文件及双方确认的澄清文件等，均为有法律约束力的合同组成部分。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26.5竞争性磋商文件、成交供应商提交的响应文件、磋商中的最后报价、成交供应商承诺书、成交通知书等均称为有法律约束力的合同组成内容。</w:t>
      </w:r>
    </w:p>
    <w:p>
      <w:pPr>
        <w:spacing w:line="360" w:lineRule="auto"/>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27.合同分包（实质性要求）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27.2采购合同实行分包履行的，成交供应商就采购项目和分包项目向采购人负责，分包供应商就分包项目承担责任。</w:t>
      </w:r>
    </w:p>
    <w:p>
      <w:pPr>
        <w:spacing w:line="360" w:lineRule="auto"/>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28.合同转包（实质性要求）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成交供应商转包的，视同拒绝履行政府采购合同义务，将依法追究法律责任。</w:t>
      </w:r>
    </w:p>
    <w:p>
      <w:pPr>
        <w:spacing w:line="360" w:lineRule="auto"/>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29.补充合同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30.履约保证金（实质性要求）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详见“供应商须知附表”。</w:t>
      </w:r>
    </w:p>
    <w:p>
      <w:pPr>
        <w:spacing w:line="360" w:lineRule="auto"/>
        <w:rPr>
          <w:rFonts w:ascii="Times New Roman"/>
          <w:color w:val="auto"/>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31.合同公告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32.合同备案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采购人应当将政府采购合同副本自签订（双方当事人均已签字盖章）之日起七个工作日内报同级财政部门备案。</w:t>
      </w:r>
    </w:p>
    <w:p>
      <w:pPr>
        <w:spacing w:line="360" w:lineRule="auto"/>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33.履行合同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33.1 成交供应商与采购人签订合同后，合同双方应严格执行合同条款，履行合同规定的义务，保证合同的顺利完成。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33.2 在合同履行过程中，如发生合同纠纷，合同双方应按照《中华人民共和国民法典》的有关规定进行处理。</w:t>
      </w:r>
    </w:p>
    <w:p>
      <w:pPr>
        <w:spacing w:line="360" w:lineRule="auto"/>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34.验收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按国家有关规定以及本项目采购文件的质量要求和技术指标或者</w:t>
      </w:r>
      <w:r>
        <w:rPr>
          <w:rFonts w:hint="eastAsia" w:ascii="宋体" w:hAnsi="宋体"/>
          <w:color w:val="auto"/>
          <w:sz w:val="24"/>
          <w:highlight w:val="none"/>
          <w:lang w:val="en-US" w:eastAsia="zh-CN"/>
        </w:rPr>
        <w:t>成交</w:t>
      </w:r>
      <w:r>
        <w:rPr>
          <w:rFonts w:hint="eastAsia" w:ascii="宋体" w:hAnsi="宋体"/>
          <w:color w:val="auto"/>
          <w:sz w:val="24"/>
          <w:highlight w:val="none"/>
        </w:rPr>
        <w:t>供应商的</w:t>
      </w:r>
      <w:r>
        <w:rPr>
          <w:rFonts w:hint="eastAsia" w:ascii="宋体" w:hAnsi="宋体"/>
          <w:color w:val="auto"/>
          <w:sz w:val="24"/>
          <w:highlight w:val="none"/>
          <w:lang w:val="en-US" w:eastAsia="zh-CN"/>
        </w:rPr>
        <w:t>响应</w:t>
      </w:r>
      <w:r>
        <w:rPr>
          <w:rFonts w:hint="eastAsia" w:ascii="宋体" w:hAnsi="宋体"/>
          <w:color w:val="auto"/>
          <w:sz w:val="24"/>
          <w:highlight w:val="none"/>
        </w:rPr>
        <w:t>文件及承诺等进行验收。</w:t>
      </w:r>
    </w:p>
    <w:p>
      <w:pPr>
        <w:spacing w:line="360" w:lineRule="auto"/>
        <w:rPr>
          <w:rFonts w:ascii="宋体" w:hAnsi="宋体"/>
          <w:color w:val="auto"/>
          <w:sz w:val="24"/>
          <w:highlight w:val="none"/>
        </w:rPr>
      </w:pPr>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35.资金支付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采购人将按照政府采购合同规定，及时向成交供应商支付采购资金。支付方式详见“第五章  采购项目技术、服务、政府采购合同内容条款及其他商务要求”</w:t>
      </w:r>
      <w:r>
        <w:rPr>
          <w:rFonts w:hint="eastAsia" w:ascii="宋体" w:hAnsi="宋体"/>
          <w:color w:val="auto"/>
          <w:sz w:val="24"/>
          <w:highlight w:val="none"/>
          <w:lang w:val="zh-TW"/>
        </w:rPr>
        <w:t>。</w:t>
      </w:r>
    </w:p>
    <w:p>
      <w:pPr>
        <w:pStyle w:val="4"/>
        <w:spacing w:before="0" w:after="0" w:line="360" w:lineRule="auto"/>
        <w:jc w:val="center"/>
        <w:rPr>
          <w:rFonts w:ascii="宋体" w:hAnsi="宋体"/>
          <w:color w:val="auto"/>
          <w:sz w:val="24"/>
          <w:highlight w:val="none"/>
        </w:rPr>
      </w:pPr>
      <w:bookmarkStart w:id="97" w:name="_Toc11515"/>
      <w:bookmarkStart w:id="98" w:name="_Toc26946_WPSOffice_Level2"/>
      <w:r>
        <w:rPr>
          <w:rFonts w:hint="eastAsia"/>
          <w:color w:val="auto"/>
          <w:highlight w:val="none"/>
        </w:rPr>
        <w:t>八、磋商纪律要求</w:t>
      </w:r>
      <w:bookmarkEnd w:id="97"/>
      <w:bookmarkEnd w:id="98"/>
    </w:p>
    <w:p>
      <w:pPr>
        <w:pStyle w:val="5"/>
        <w:keepNext w:val="0"/>
        <w:keepLines w:val="0"/>
        <w:spacing w:before="0" w:after="0"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36.供应商不得具有的情形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供应商参加本项目磋商不得有下列情形：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（1）提供虚假材料谋取成交；</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（2）采取不正当手段诋毁、排挤其他供应商；</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（3）与采购人、采购代理机构、或其他供应商恶意串通；</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（4）向采购人、采购代理机构、磋商小组成员行贿或者提供其他不正当利益；</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（5）在磋商过程中与采购人、采购代理机构进行协商；</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（6）成交后无正当理由拒不与采购人签订政府采购合同；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（7）未按照磋商文件确定的事项签订政府采购合同；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（8）将政府采购合同转包或者违规分包；</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（9）提供假冒伪劣产品；</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（10）擅自变更、中止或者终止政府采购合同；</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（11）拒绝有关部门的监督检查或者向监督检查部门提供虚假情况；</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（12）法律法规规定的其他情形。</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供应商有上述情形的，按照规定追究法律责任，具备（1）-（10）条情形之一的，同时将取消被确认为成交供应商的资格或者认定成交无效。</w:t>
      </w:r>
    </w:p>
    <w:p>
      <w:pPr>
        <w:pStyle w:val="4"/>
        <w:spacing w:before="0" w:after="0" w:line="360" w:lineRule="auto"/>
        <w:jc w:val="center"/>
        <w:rPr>
          <w:color w:val="auto"/>
          <w:highlight w:val="none"/>
        </w:rPr>
      </w:pPr>
      <w:bookmarkStart w:id="99" w:name="_Toc16043"/>
      <w:bookmarkStart w:id="100" w:name="_Toc8729_WPSOffice_Level2"/>
      <w:r>
        <w:rPr>
          <w:rFonts w:hint="eastAsia"/>
          <w:color w:val="auto"/>
          <w:highlight w:val="none"/>
        </w:rPr>
        <w:t>九、询问、质疑和投诉</w:t>
      </w:r>
      <w:bookmarkEnd w:id="99"/>
      <w:bookmarkEnd w:id="100"/>
    </w:p>
    <w:p>
      <w:pPr>
        <w:tabs>
          <w:tab w:val="left" w:pos="851"/>
        </w:tabs>
        <w:spacing w:line="360" w:lineRule="auto"/>
        <w:ind w:firstLine="495"/>
        <w:rPr>
          <w:rFonts w:ascii="宋体" w:hAnsi="宋体"/>
          <w:color w:val="auto"/>
          <w:sz w:val="24"/>
          <w:highlight w:val="none"/>
        </w:rPr>
      </w:pPr>
      <w:r>
        <w:rPr>
          <w:rFonts w:hint="eastAsia" w:ascii="宋体" w:hAnsi="宋体"/>
          <w:color w:val="auto"/>
          <w:sz w:val="24"/>
          <w:highlight w:val="none"/>
        </w:rPr>
        <w:t>37.询问、质疑、投诉的接收和处理严格按照《中华人民共和国政府采购法》、《中华人民共和国政府采购法实施条例》、《财政部关于加强政府采购供应商投诉受理审查工作的通知》和四川省的有关规定办理（详细规定请在中国政府采购网政策法规模块查询）。</w:t>
      </w:r>
    </w:p>
    <w:p>
      <w:pPr>
        <w:pStyle w:val="4"/>
        <w:spacing w:before="0" w:after="0" w:line="360" w:lineRule="auto"/>
        <w:jc w:val="center"/>
        <w:rPr>
          <w:color w:val="auto"/>
          <w:highlight w:val="none"/>
        </w:rPr>
      </w:pPr>
      <w:bookmarkStart w:id="101" w:name="_Toc25233_WPSOffice_Level2"/>
      <w:bookmarkStart w:id="102" w:name="_Toc9827"/>
      <w:r>
        <w:rPr>
          <w:rFonts w:hint="eastAsia"/>
          <w:color w:val="auto"/>
          <w:highlight w:val="none"/>
        </w:rPr>
        <w:t>十、其  他</w:t>
      </w:r>
      <w:bookmarkEnd w:id="101"/>
      <w:bookmarkEnd w:id="102"/>
    </w:p>
    <w:p>
      <w:pPr>
        <w:tabs>
          <w:tab w:val="left" w:pos="851"/>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jc w:val="left"/>
        <w:rPr>
          <w:rFonts w:ascii="宋体" w:hAnsi="宋体"/>
          <w:color w:val="auto"/>
          <w:kern w:val="0"/>
          <w:sz w:val="24"/>
          <w:highlight w:val="none"/>
        </w:rPr>
      </w:pPr>
      <w:r>
        <w:rPr>
          <w:rFonts w:hint="eastAsia" w:ascii="宋体" w:hAnsi="宋体"/>
          <w:color w:val="auto"/>
          <w:sz w:val="24"/>
          <w:highlight w:val="none"/>
        </w:rPr>
        <w:t>39.</w:t>
      </w:r>
      <w:r>
        <w:rPr>
          <w:rFonts w:hint="eastAsia" w:ascii="宋体" w:hAnsi="宋体"/>
          <w:b/>
          <w:color w:val="auto"/>
          <w:sz w:val="24"/>
          <w:highlight w:val="none"/>
        </w:rPr>
        <w:t>（实质性要求）</w:t>
      </w:r>
      <w:r>
        <w:rPr>
          <w:rFonts w:ascii="宋体" w:hAnsi="宋体"/>
          <w:color w:val="auto"/>
          <w:sz w:val="24"/>
          <w:highlight w:val="none"/>
        </w:rPr>
        <w:t>国家</w:t>
      </w:r>
      <w:r>
        <w:rPr>
          <w:rFonts w:hint="eastAsia" w:ascii="宋体" w:hAnsi="宋体"/>
          <w:color w:val="auto"/>
          <w:sz w:val="24"/>
          <w:highlight w:val="none"/>
        </w:rPr>
        <w:t>或行业主管部门</w:t>
      </w:r>
      <w:r>
        <w:rPr>
          <w:rFonts w:ascii="宋体" w:hAnsi="宋体"/>
          <w:color w:val="auto"/>
          <w:sz w:val="24"/>
          <w:highlight w:val="none"/>
        </w:rPr>
        <w:t>对</w:t>
      </w:r>
      <w:r>
        <w:rPr>
          <w:rFonts w:hint="eastAsia" w:ascii="宋体" w:hAnsi="宋体"/>
          <w:color w:val="auto"/>
          <w:sz w:val="24"/>
          <w:highlight w:val="none"/>
        </w:rPr>
        <w:t>供应商和采购产品的</w:t>
      </w:r>
      <w:r>
        <w:rPr>
          <w:rFonts w:ascii="宋体" w:hAnsi="宋体"/>
          <w:color w:val="auto"/>
          <w:sz w:val="24"/>
          <w:highlight w:val="none"/>
        </w:rPr>
        <w:t>技术</w:t>
      </w:r>
      <w:r>
        <w:rPr>
          <w:rFonts w:hint="eastAsia" w:ascii="宋体" w:hAnsi="宋体"/>
          <w:color w:val="auto"/>
          <w:sz w:val="24"/>
          <w:highlight w:val="none"/>
        </w:rPr>
        <w:t>标准、</w:t>
      </w:r>
      <w:r>
        <w:rPr>
          <w:rFonts w:ascii="宋体" w:hAnsi="宋体"/>
          <w:color w:val="auto"/>
          <w:sz w:val="24"/>
          <w:highlight w:val="none"/>
        </w:rPr>
        <w:t>质量</w:t>
      </w:r>
      <w:r>
        <w:rPr>
          <w:rFonts w:hint="eastAsia" w:ascii="宋体" w:hAnsi="宋体"/>
          <w:color w:val="auto"/>
          <w:sz w:val="24"/>
          <w:highlight w:val="none"/>
        </w:rPr>
        <w:t>标准和资格资质条件</w:t>
      </w:r>
      <w:r>
        <w:rPr>
          <w:rFonts w:ascii="宋体" w:hAnsi="宋体"/>
          <w:color w:val="auto"/>
          <w:sz w:val="24"/>
          <w:highlight w:val="none"/>
        </w:rPr>
        <w:t>等有</w:t>
      </w:r>
      <w:r>
        <w:rPr>
          <w:rFonts w:hint="eastAsia" w:ascii="宋体" w:hAnsi="宋体"/>
          <w:color w:val="auto"/>
          <w:sz w:val="24"/>
          <w:highlight w:val="none"/>
        </w:rPr>
        <w:t>强制性规定</w:t>
      </w:r>
      <w:r>
        <w:rPr>
          <w:rFonts w:ascii="宋体" w:hAnsi="宋体"/>
          <w:color w:val="auto"/>
          <w:sz w:val="24"/>
          <w:highlight w:val="none"/>
        </w:rPr>
        <w:t>的</w:t>
      </w:r>
      <w:r>
        <w:rPr>
          <w:rFonts w:hint="eastAsia" w:ascii="宋体" w:hAnsi="宋体"/>
          <w:color w:val="auto"/>
          <w:sz w:val="24"/>
          <w:highlight w:val="none"/>
        </w:rPr>
        <w:t>，必须符合其要求。</w:t>
      </w:r>
    </w:p>
    <w:p>
      <w:pPr>
        <w:spacing w:line="360" w:lineRule="auto"/>
        <w:ind w:firstLine="480" w:firstLineChars="200"/>
        <w:jc w:val="left"/>
        <w:rPr>
          <w:rFonts w:ascii="宋体" w:hAnsi="宋体"/>
          <w:color w:val="auto"/>
          <w:sz w:val="24"/>
          <w:highlight w:val="none"/>
        </w:rPr>
      </w:pPr>
      <w:bookmarkStart w:id="103" w:name="_Toc9334"/>
      <w:bookmarkStart w:id="104" w:name="_Toc5647"/>
      <w:r>
        <w:rPr>
          <w:rFonts w:hint="eastAsia" w:ascii="宋体" w:hAnsi="宋体"/>
          <w:color w:val="auto"/>
          <w:sz w:val="24"/>
          <w:highlight w:val="none"/>
        </w:rPr>
        <w:t>40.采用竞争性磋商采购方式采购的政府购买服务项目（含政府和社会资本合作项目），在采购过程中符合要求的供应商（社会资本）只有2家的，竞争性磋商采购活动可以继续进行。</w:t>
      </w:r>
      <w:bookmarkEnd w:id="103"/>
      <w:bookmarkEnd w:id="104"/>
      <w:bookmarkStart w:id="105" w:name="_Toc23044"/>
      <w:bookmarkStart w:id="106" w:name="_Toc19505"/>
      <w:r>
        <w:rPr>
          <w:rFonts w:hint="eastAsia" w:ascii="宋体" w:hAnsi="宋体"/>
          <w:color w:val="auto"/>
          <w:sz w:val="24"/>
          <w:highlight w:val="none"/>
        </w:rPr>
        <w:t>磋商小组按采购文件要求向采购人推荐2名成交候选供应商并依次排序，采购人按照磋商小组推荐的成交候选供应商顺序确定成交供应商。</w:t>
      </w:r>
      <w:bookmarkEnd w:id="105"/>
      <w:bookmarkEnd w:id="106"/>
    </w:p>
    <w:p>
      <w:pPr>
        <w:spacing w:line="360" w:lineRule="auto"/>
        <w:rPr>
          <w:color w:val="auto"/>
          <w:highlight w:val="none"/>
        </w:rPr>
      </w:pPr>
    </w:p>
    <w:p>
      <w:pPr>
        <w:pStyle w:val="3"/>
        <w:spacing w:before="0" w:after="0" w:line="360" w:lineRule="auto"/>
        <w:jc w:val="center"/>
        <w:rPr>
          <w:color w:val="auto"/>
          <w:highlight w:val="none"/>
        </w:rPr>
      </w:pPr>
      <w:r>
        <w:rPr>
          <w:rFonts w:hint="eastAsia"/>
          <w:color w:val="auto"/>
          <w:highlight w:val="none"/>
        </w:rPr>
        <w:br w:type="page"/>
      </w:r>
      <w:bookmarkStart w:id="107" w:name="_Toc15229_WPSOffice_Level1"/>
      <w:bookmarkStart w:id="108" w:name="_Toc29269"/>
      <w:bookmarkStart w:id="109" w:name="_Toc3274"/>
      <w:bookmarkStart w:id="110" w:name="_Toc1712_WPSOffice_Level1"/>
      <w:r>
        <w:rPr>
          <w:rFonts w:hint="eastAsia"/>
          <w:color w:val="auto"/>
          <w:highlight w:val="none"/>
        </w:rPr>
        <w:t>第三章  供应商资格条件要求</w:t>
      </w:r>
      <w:bookmarkEnd w:id="107"/>
      <w:bookmarkEnd w:id="108"/>
      <w:bookmarkEnd w:id="109"/>
      <w:bookmarkEnd w:id="110"/>
    </w:p>
    <w:p>
      <w:pPr>
        <w:pStyle w:val="4"/>
        <w:keepNext w:val="0"/>
        <w:keepLines w:val="0"/>
        <w:spacing w:before="0" w:after="0" w:line="360" w:lineRule="auto"/>
        <w:rPr>
          <w:rFonts w:ascii="宋体" w:hAnsi="宋体" w:eastAsia="宋体"/>
          <w:color w:val="auto"/>
          <w:sz w:val="24"/>
          <w:szCs w:val="24"/>
          <w:highlight w:val="none"/>
        </w:rPr>
      </w:pPr>
      <w:bookmarkStart w:id="111" w:name="_Toc14563"/>
      <w:r>
        <w:rPr>
          <w:rFonts w:hint="eastAsia" w:ascii="宋体" w:hAnsi="宋体" w:eastAsia="宋体"/>
          <w:color w:val="auto"/>
          <w:sz w:val="24"/>
          <w:szCs w:val="24"/>
          <w:highlight w:val="none"/>
        </w:rPr>
        <w:t>一、供应商资格、资质性及其他类似效力要求</w:t>
      </w:r>
      <w:bookmarkEnd w:id="111"/>
    </w:p>
    <w:p>
      <w:pPr>
        <w:spacing w:line="360" w:lineRule="auto"/>
        <w:ind w:firstLine="482" w:firstLineChars="200"/>
        <w:rPr>
          <w:rFonts w:ascii="宋体" w:hAnsi="宋体"/>
          <w:b/>
          <w:bCs/>
          <w:color w:val="auto"/>
          <w:sz w:val="24"/>
          <w:highlight w:val="none"/>
        </w:rPr>
      </w:pPr>
      <w:bookmarkStart w:id="112" w:name="_Toc24503_WPSOffice_Level2"/>
      <w:bookmarkStart w:id="113" w:name="_Toc9860_WPSOffice_Level2"/>
      <w:r>
        <w:rPr>
          <w:rFonts w:hint="eastAsia" w:ascii="宋体" w:hAnsi="宋体"/>
          <w:b/>
          <w:bCs/>
          <w:color w:val="auto"/>
          <w:sz w:val="24"/>
          <w:highlight w:val="none"/>
        </w:rPr>
        <w:t>（一）资格要求：</w:t>
      </w:r>
      <w:bookmarkEnd w:id="112"/>
      <w:bookmarkEnd w:id="113"/>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1、具备《中华人民共和国政府采购法》第二十二条第一款规定的条件：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（2）具有良好的商业信誉和健全的财务会计制度；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（3）具有履行合同所必需的设备和专业技术能力；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（4）有依法缴纳税收和社会保障资金的良好记录；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（6）法律、行政法规规定的其他条件。</w:t>
      </w:r>
    </w:p>
    <w:p>
      <w:pPr>
        <w:spacing w:line="360" w:lineRule="auto"/>
        <w:ind w:firstLine="482" w:firstLineChars="200"/>
        <w:rPr>
          <w:rFonts w:ascii="宋体" w:hAnsi="宋体"/>
          <w:b/>
          <w:bCs/>
          <w:color w:val="auto"/>
          <w:sz w:val="24"/>
          <w:highlight w:val="none"/>
        </w:rPr>
      </w:pPr>
      <w:bookmarkStart w:id="114" w:name="_Toc11574_WPSOffice_Level2"/>
      <w:bookmarkStart w:id="115" w:name="_Toc12093_WPSOffice_Level2"/>
      <w:r>
        <w:rPr>
          <w:rFonts w:hint="eastAsia" w:ascii="宋体" w:hAnsi="宋体"/>
          <w:b/>
          <w:bCs/>
          <w:color w:val="auto"/>
          <w:sz w:val="24"/>
          <w:highlight w:val="none"/>
        </w:rPr>
        <w:t>（二）根据采购项目提出的特殊条件：</w:t>
      </w:r>
      <w:bookmarkEnd w:id="114"/>
      <w:bookmarkEnd w:id="115"/>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供应商及其现任法定代表人（非法人机构则为主要负责人）不得具有行贿犯罪记录；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本次磋商不接受联合体响应。</w:t>
      </w:r>
    </w:p>
    <w:p>
      <w:pPr>
        <w:spacing w:line="360" w:lineRule="auto"/>
        <w:ind w:firstLine="482" w:firstLineChars="200"/>
        <w:rPr>
          <w:rFonts w:ascii="宋体" w:hAnsi="宋体"/>
          <w:b/>
          <w:bCs/>
          <w:color w:val="auto"/>
          <w:sz w:val="24"/>
          <w:highlight w:val="none"/>
        </w:rPr>
      </w:pPr>
      <w:bookmarkStart w:id="116" w:name="_Toc8836_WPSOffice_Level2"/>
      <w:bookmarkStart w:id="117" w:name="_Toc12366_WPSOffice_Level2"/>
      <w:r>
        <w:rPr>
          <w:rFonts w:hint="eastAsia" w:ascii="宋体" w:hAnsi="宋体"/>
          <w:b/>
          <w:bCs/>
          <w:color w:val="auto"/>
          <w:sz w:val="24"/>
          <w:highlight w:val="none"/>
        </w:rPr>
        <w:t>（三）其他类似效力要求：</w:t>
      </w:r>
      <w:bookmarkEnd w:id="116"/>
      <w:bookmarkEnd w:id="117"/>
    </w:p>
    <w:p>
      <w:pPr>
        <w:spacing w:line="360" w:lineRule="auto"/>
        <w:ind w:firstLine="480" w:firstLineChars="200"/>
        <w:rPr>
          <w:rFonts w:ascii="宋体" w:hAnsi="宋体"/>
          <w:color w:val="auto"/>
          <w:sz w:val="24"/>
          <w:highlight w:val="none"/>
        </w:rPr>
      </w:pPr>
      <w:bookmarkStart w:id="118" w:name="_Toc443658843"/>
      <w:r>
        <w:rPr>
          <w:rFonts w:hint="eastAsia" w:ascii="宋体" w:hAnsi="宋体"/>
          <w:color w:val="auto"/>
          <w:sz w:val="24"/>
          <w:highlight w:val="none"/>
        </w:rPr>
        <w:t>（1）参加本次磋商活动代表的证明材料。</w:t>
      </w:r>
    </w:p>
    <w:p>
      <w:pPr>
        <w:pStyle w:val="4"/>
        <w:keepNext w:val="0"/>
        <w:keepLines w:val="0"/>
        <w:spacing w:before="0" w:after="0" w:line="360" w:lineRule="auto"/>
        <w:rPr>
          <w:rFonts w:ascii="宋体" w:hAnsi="宋体" w:eastAsia="宋体"/>
          <w:color w:val="auto"/>
          <w:sz w:val="24"/>
          <w:szCs w:val="24"/>
          <w:highlight w:val="none"/>
        </w:rPr>
      </w:pPr>
      <w:bookmarkStart w:id="119" w:name="_Toc2810"/>
      <w:r>
        <w:rPr>
          <w:rFonts w:hint="eastAsia" w:ascii="宋体" w:hAnsi="宋体" w:eastAsia="宋体"/>
          <w:color w:val="auto"/>
          <w:sz w:val="24"/>
          <w:szCs w:val="24"/>
          <w:highlight w:val="none"/>
        </w:rPr>
        <w:t>二、报价产品的资格、资质性及其他类似效力要求</w:t>
      </w:r>
      <w:bookmarkEnd w:id="118"/>
      <w:r>
        <w:rPr>
          <w:rFonts w:hint="eastAsia" w:ascii="宋体" w:hAnsi="宋体" w:eastAsia="宋体"/>
          <w:color w:val="auto"/>
          <w:sz w:val="24"/>
          <w:szCs w:val="24"/>
          <w:highlight w:val="none"/>
        </w:rPr>
        <w:t>：无。</w:t>
      </w:r>
      <w:bookmarkEnd w:id="119"/>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1、重大违法记录是指供应商因违法经营受到刑事处罚或者责令停产停业、吊销许可证成者执照、较大数额罚款等行政处罚。供应商在参加政府采购活动前3年内因违法经营被禁止在一定期限内参加政府采购活动,期限届满的,可以参加政府采购活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若提供虚假承诺将被视为虚假响应,取消成交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spacing w:line="360" w:lineRule="auto"/>
        <w:ind w:firstLine="480" w:firstLineChars="200"/>
        <w:jc w:val="center"/>
        <w:rPr>
          <w:color w:val="auto"/>
          <w:highlight w:val="none"/>
        </w:rPr>
      </w:pPr>
      <w:r>
        <w:rPr>
          <w:rFonts w:hint="eastAsia" w:ascii="宋体" w:hAnsi="宋体"/>
          <w:color w:val="auto"/>
          <w:sz w:val="24"/>
          <w:highlight w:val="none"/>
        </w:rPr>
        <w:t>4、供应商应对其所提供的资格证明材料来源的合法性、真实性承担法律责任。</w:t>
      </w:r>
      <w:r>
        <w:rPr>
          <w:rFonts w:hint="eastAsia"/>
          <w:color w:val="auto"/>
          <w:highlight w:val="none"/>
        </w:rPr>
        <w:br w:type="page"/>
      </w:r>
      <w:bookmarkStart w:id="120" w:name="_Toc17387"/>
      <w:bookmarkStart w:id="121" w:name="_Toc8156_WPSOffice_Level1"/>
      <w:bookmarkStart w:id="122" w:name="_Toc1390_WPSOffice_Level1"/>
    </w:p>
    <w:p>
      <w:pPr>
        <w:pStyle w:val="3"/>
        <w:jc w:val="center"/>
        <w:rPr>
          <w:color w:val="auto"/>
          <w:highlight w:val="none"/>
        </w:rPr>
      </w:pPr>
      <w:bookmarkStart w:id="123" w:name="_Toc29854"/>
      <w:r>
        <w:rPr>
          <w:rFonts w:hint="eastAsia"/>
          <w:color w:val="auto"/>
          <w:highlight w:val="none"/>
        </w:rPr>
        <w:t>第四章  供应商资格证明材料</w:t>
      </w:r>
      <w:bookmarkEnd w:id="120"/>
      <w:bookmarkEnd w:id="121"/>
      <w:bookmarkEnd w:id="122"/>
      <w:bookmarkEnd w:id="123"/>
    </w:p>
    <w:p>
      <w:pPr>
        <w:pStyle w:val="4"/>
        <w:keepNext w:val="0"/>
        <w:keepLines w:val="0"/>
        <w:spacing w:before="0" w:after="0" w:line="360" w:lineRule="auto"/>
        <w:rPr>
          <w:rFonts w:ascii="宋体" w:hAnsi="宋体" w:eastAsia="宋体"/>
          <w:color w:val="auto"/>
          <w:sz w:val="24"/>
          <w:szCs w:val="24"/>
          <w:highlight w:val="none"/>
        </w:rPr>
      </w:pPr>
      <w:bookmarkStart w:id="124" w:name="_Toc2507_WPSOffice_Level2"/>
      <w:bookmarkStart w:id="125" w:name="_Toc29661_WPSOffice_Level2"/>
      <w:bookmarkStart w:id="126" w:name="_Toc25705"/>
      <w:r>
        <w:rPr>
          <w:rFonts w:hint="eastAsia" w:ascii="宋体" w:hAnsi="宋体" w:eastAsia="宋体"/>
          <w:color w:val="auto"/>
          <w:sz w:val="24"/>
          <w:szCs w:val="24"/>
          <w:highlight w:val="none"/>
        </w:rPr>
        <w:t>一、应当提供的供应商资格、资质性及其他类似效力要求的相关证明材料</w:t>
      </w:r>
      <w:bookmarkEnd w:id="124"/>
      <w:bookmarkEnd w:id="125"/>
      <w:bookmarkEnd w:id="126"/>
    </w:p>
    <w:p>
      <w:pPr>
        <w:tabs>
          <w:tab w:val="left" w:pos="7665"/>
        </w:tabs>
        <w:snapToGrid w:val="0"/>
        <w:spacing w:line="360" w:lineRule="auto"/>
        <w:ind w:firstLine="482" w:firstLineChars="200"/>
        <w:rPr>
          <w:rFonts w:ascii="宋体" w:hAnsi="宋体" w:cs="宋体"/>
          <w:b/>
          <w:bCs/>
          <w:color w:val="auto"/>
          <w:sz w:val="24"/>
          <w:highlight w:val="none"/>
        </w:rPr>
      </w:pPr>
      <w:bookmarkStart w:id="127" w:name="_Toc443658848"/>
      <w:r>
        <w:rPr>
          <w:rFonts w:hint="eastAsia" w:ascii="宋体" w:hAnsi="宋体" w:cs="宋体"/>
          <w:b/>
          <w:bCs/>
          <w:color w:val="auto"/>
          <w:sz w:val="24"/>
          <w:highlight w:val="none"/>
        </w:rPr>
        <w:t>（一）《中华人民共和国政府采购法》第二十二条第一款第（一）至（六）规定的条件：</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副本复印件）。</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（2）具备健全的财务会计制度的证明材料。（①可提供201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或20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年经审计的财务报告复印件（至少包含审计报告和审计报告中所涉及的财务报表和报表附注）；②也可提供20</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或20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供应商内部财务报表复印件（至少包含资产负债表）；③也可提供距文件递交截止日一年内银行出具的资信证明（复印件）；④供应商注册时间至文件递交截止日不足1年的，也可提供在工商备案的公司章程（复印件））。</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（3）提供具备良好商业信誉的承诺函原件（格式详见第七章）。</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（4）提供具有依法缴纳税收和社会保障资金的良好记录的承诺函原件（格式详见第七章）。</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（5）提供具备履行合同所必需的设备和专业技术能力的承诺函原件（格式详见第七章）。</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（6）提供参加政府采购活动前3年内在经营活动中没有重大违法记录的承诺函原件（格式详见第七章）。</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（7）提供具备法律、行政法规规定的其他条件的承诺函原件（格式详见第七章）。</w:t>
      </w:r>
    </w:p>
    <w:p>
      <w:pPr>
        <w:tabs>
          <w:tab w:val="left" w:pos="7665"/>
        </w:tabs>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（二）根据采购项目提出的特殊条件：</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（1）供应商及其现任法定代表人（非法人机构则为主要负责人）不得具有行贿犯罪记录的承诺函原件（格式详见第七章）；</w:t>
      </w:r>
    </w:p>
    <w:p>
      <w:pPr>
        <w:tabs>
          <w:tab w:val="left" w:pos="7665"/>
        </w:tabs>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（三）其他类似效力要求：</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（1）法定代表人/单位负责人授权书原件及法定代表人/单位负责人、授权代表身份证明材料复印件（法定代表人/单位负责人授权他人参与磋商时需要提供）。</w:t>
      </w:r>
    </w:p>
    <w:p>
      <w:pPr>
        <w:tabs>
          <w:tab w:val="left" w:pos="7665"/>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（2）法定代表人/单位负责人证明书原件及法定代表人/单位负责人身份证明材料复印件（法定代表人/单位负责人亲自参加磋商时需要提供）。</w:t>
      </w:r>
    </w:p>
    <w:p>
      <w:pPr>
        <w:tabs>
          <w:tab w:val="left" w:pos="7665"/>
        </w:tabs>
        <w:snapToGrid w:val="0"/>
        <w:spacing w:line="360" w:lineRule="auto"/>
        <w:ind w:firstLine="480" w:firstLineChars="200"/>
        <w:rPr>
          <w:rFonts w:ascii="宋体" w:hAnsi="宋体" w:cs="宋体"/>
          <w:color w:val="auto"/>
          <w:sz w:val="24"/>
          <w:highlight w:val="none"/>
        </w:rPr>
      </w:pPr>
    </w:p>
    <w:p>
      <w:pPr>
        <w:pStyle w:val="4"/>
        <w:keepNext w:val="0"/>
        <w:keepLines w:val="0"/>
        <w:spacing w:before="0" w:after="0" w:line="360" w:lineRule="auto"/>
        <w:rPr>
          <w:rFonts w:ascii="宋体" w:hAnsi="宋体" w:eastAsia="宋体"/>
          <w:color w:val="auto"/>
          <w:sz w:val="24"/>
          <w:szCs w:val="24"/>
          <w:highlight w:val="none"/>
        </w:rPr>
      </w:pPr>
      <w:bookmarkStart w:id="128" w:name="_Toc27028"/>
      <w:bookmarkStart w:id="129" w:name="_Toc24332_WPSOffice_Level2"/>
      <w:bookmarkStart w:id="130" w:name="_Toc20115_WPSOffice_Level2"/>
      <w:r>
        <w:rPr>
          <w:rFonts w:hint="eastAsia" w:ascii="宋体" w:hAnsi="宋体" w:eastAsia="宋体"/>
          <w:color w:val="auto"/>
          <w:sz w:val="24"/>
          <w:szCs w:val="24"/>
          <w:highlight w:val="none"/>
        </w:rPr>
        <w:t>二、应当提供的报价产品的资格、资质性及其他类似效力要求的相关证明材料：</w:t>
      </w:r>
      <w:bookmarkEnd w:id="127"/>
      <w:bookmarkEnd w:id="128"/>
      <w:bookmarkEnd w:id="129"/>
      <w:bookmarkEnd w:id="130"/>
    </w:p>
    <w:p>
      <w:pPr>
        <w:tabs>
          <w:tab w:val="left" w:pos="7665"/>
        </w:tabs>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无。</w:t>
      </w:r>
    </w:p>
    <w:p>
      <w:pPr>
        <w:pStyle w:val="30"/>
        <w:snapToGrid w:val="0"/>
        <w:ind w:firstLine="0" w:firstLineChars="0"/>
        <w:rPr>
          <w:rFonts w:ascii="宋体" w:hAnsi="宋体"/>
          <w:color w:val="auto"/>
          <w:sz w:val="24"/>
          <w:highlight w:val="none"/>
        </w:rPr>
      </w:pPr>
    </w:p>
    <w:p>
      <w:pPr>
        <w:tabs>
          <w:tab w:val="left" w:pos="7665"/>
        </w:tabs>
        <w:snapToGrid w:val="0"/>
        <w:spacing w:line="360" w:lineRule="auto"/>
        <w:ind w:firstLine="482" w:firstLineChars="200"/>
        <w:rPr>
          <w:rFonts w:ascii="宋体" w:hAnsi="宋体"/>
          <w:b/>
          <w:color w:val="auto"/>
          <w:sz w:val="24"/>
          <w:highlight w:val="none"/>
        </w:rPr>
      </w:pPr>
    </w:p>
    <w:p>
      <w:pPr>
        <w:tabs>
          <w:tab w:val="left" w:pos="7665"/>
        </w:tabs>
        <w:snapToGrid w:val="0"/>
        <w:spacing w:line="360" w:lineRule="auto"/>
        <w:ind w:firstLine="482" w:firstLineChars="200"/>
        <w:rPr>
          <w:rFonts w:ascii="宋体" w:hAnsi="宋体"/>
          <w:b/>
          <w:color w:val="auto"/>
          <w:sz w:val="24"/>
          <w:highlight w:val="none"/>
        </w:rPr>
      </w:pPr>
    </w:p>
    <w:p>
      <w:pPr>
        <w:pStyle w:val="30"/>
        <w:snapToGrid w:val="0"/>
        <w:ind w:firstLine="0" w:firstLineChars="0"/>
        <w:rPr>
          <w:rFonts w:ascii="宋体" w:hAnsi="宋体"/>
          <w:color w:val="auto"/>
          <w:sz w:val="24"/>
          <w:highlight w:val="none"/>
        </w:rPr>
      </w:pPr>
      <w:r>
        <w:rPr>
          <w:rFonts w:hint="eastAsia" w:ascii="宋体" w:hAnsi="宋体"/>
          <w:color w:val="auto"/>
          <w:sz w:val="24"/>
          <w:highlight w:val="none"/>
        </w:rPr>
        <w:t>说明：</w:t>
      </w:r>
    </w:p>
    <w:p>
      <w:pPr>
        <w:pStyle w:val="30"/>
        <w:snapToGrid w:val="0"/>
        <w:ind w:firstLine="0" w:firstLineChars="0"/>
        <w:rPr>
          <w:rFonts w:ascii="宋体" w:hAnsi="宋体"/>
          <w:b/>
          <w:bCs/>
          <w:color w:val="auto"/>
          <w:sz w:val="24"/>
          <w:highlight w:val="none"/>
        </w:rPr>
      </w:pPr>
      <w:r>
        <w:rPr>
          <w:rFonts w:hint="eastAsia" w:ascii="宋体" w:hAnsi="宋体"/>
          <w:b/>
          <w:bCs/>
          <w:color w:val="auto"/>
          <w:sz w:val="24"/>
          <w:highlight w:val="none"/>
        </w:rPr>
        <w:t>（1）供应商提供的以上资格证明材料为复印件的均应加盖供应商公章。</w:t>
      </w:r>
    </w:p>
    <w:p>
      <w:pPr>
        <w:pStyle w:val="30"/>
        <w:snapToGrid w:val="0"/>
        <w:ind w:firstLine="0" w:firstLineChars="0"/>
        <w:rPr>
          <w:rFonts w:ascii="宋体" w:hAnsi="宋体"/>
          <w:b/>
          <w:bCs/>
          <w:color w:val="auto"/>
          <w:sz w:val="24"/>
          <w:highlight w:val="none"/>
        </w:rPr>
      </w:pPr>
      <w:r>
        <w:rPr>
          <w:rFonts w:hint="eastAsia" w:ascii="宋体" w:hAnsi="宋体"/>
          <w:b/>
          <w:bCs/>
          <w:color w:val="auto"/>
          <w:sz w:val="24"/>
          <w:highlight w:val="none"/>
        </w:rPr>
        <w:t>（2）供应商所提供的资格证明材料应当真实、有效。</w:t>
      </w:r>
    </w:p>
    <w:p>
      <w:pPr>
        <w:pStyle w:val="3"/>
        <w:spacing w:before="0" w:after="0" w:line="360" w:lineRule="auto"/>
        <w:jc w:val="center"/>
        <w:rPr>
          <w:rFonts w:ascii="宋体" w:hAnsi="宋体" w:cs="宋体"/>
          <w:color w:val="auto"/>
          <w:highlight w:val="none"/>
        </w:rPr>
      </w:pPr>
      <w:r>
        <w:rPr>
          <w:rFonts w:ascii="宋体"/>
          <w:color w:val="auto"/>
          <w:sz w:val="24"/>
          <w:highlight w:val="none"/>
        </w:rPr>
        <w:br w:type="page"/>
      </w:r>
      <w:bookmarkStart w:id="131" w:name="_Toc23697_WPSOffice_Level1"/>
      <w:bookmarkStart w:id="132" w:name="_Toc14938_WPSOffice_Level1"/>
      <w:bookmarkStart w:id="133" w:name="_Toc10654"/>
      <w:bookmarkStart w:id="134" w:name="_Toc3170"/>
      <w:r>
        <w:rPr>
          <w:rFonts w:hint="eastAsia"/>
          <w:color w:val="auto"/>
          <w:highlight w:val="none"/>
        </w:rPr>
        <w:t xml:space="preserve">第五章  </w:t>
      </w:r>
      <w:bookmarkEnd w:id="131"/>
      <w:bookmarkEnd w:id="132"/>
      <w:r>
        <w:rPr>
          <w:rFonts w:hint="eastAsia" w:ascii="宋体" w:hAnsi="宋体" w:cs="宋体"/>
          <w:color w:val="auto"/>
          <w:highlight w:val="none"/>
        </w:rPr>
        <w:t>采购项目技术、服务、政府采购合同内容条款及其他商务要求</w:t>
      </w:r>
      <w:bookmarkEnd w:id="133"/>
      <w:bookmarkEnd w:id="134"/>
    </w:p>
    <w:bookmarkEnd w:id="83"/>
    <w:bookmarkEnd w:id="84"/>
    <w:bookmarkEnd w:id="85"/>
    <w:bookmarkEnd w:id="86"/>
    <w:bookmarkEnd w:id="87"/>
    <w:p>
      <w:pPr>
        <w:pStyle w:val="16"/>
        <w:pageBreakBefore w:val="0"/>
        <w:widowControl/>
        <w:kinsoku/>
        <w:wordWrap/>
        <w:overflowPunct/>
        <w:topLinePunct w:val="0"/>
        <w:autoSpaceDE/>
        <w:autoSpaceDN/>
        <w:bidi w:val="0"/>
        <w:adjustRightInd/>
        <w:snapToGrid/>
        <w:spacing w:before="0" w:beforeAutospacing="0" w:after="0" w:afterAutospacing="0" w:line="360" w:lineRule="auto"/>
        <w:ind w:left="0" w:firstLine="482" w:firstLineChars="200"/>
        <w:jc w:val="left"/>
        <w:textAlignment w:val="auto"/>
        <w:rPr>
          <w:rFonts w:hint="eastAsia" w:ascii="宋体" w:hAnsi="宋体" w:eastAsia="宋体" w:cs="宋体"/>
          <w:b/>
          <w:color w:val="auto"/>
          <w:sz w:val="24"/>
          <w:szCs w:val="24"/>
          <w:highlight w:val="none"/>
        </w:rPr>
      </w:pPr>
      <w:bookmarkStart w:id="135" w:name="_Toc217446057"/>
      <w:bookmarkStart w:id="136" w:name="_Toc183582232"/>
      <w:bookmarkStart w:id="137" w:name="_Toc183682369"/>
    </w:p>
    <w:p>
      <w:pPr>
        <w:pStyle w:val="5"/>
        <w:spacing w:before="20" w:after="30" w:line="579" w:lineRule="auto"/>
        <w:rPr>
          <w:rFonts w:hint="eastAsia" w:ascii="宋体" w:hAnsi="宋体" w:cs="宋体"/>
          <w:color w:val="auto"/>
          <w:sz w:val="28"/>
          <w:szCs w:val="24"/>
          <w:highlight w:val="none"/>
        </w:rPr>
      </w:pPr>
      <w:r>
        <w:rPr>
          <w:rFonts w:hint="eastAsia" w:ascii="宋体" w:hAnsi="宋体" w:cs="宋体"/>
          <w:color w:val="auto"/>
          <w:sz w:val="28"/>
          <w:szCs w:val="24"/>
          <w:highlight w:val="none"/>
        </w:rPr>
        <w:t>一、</w:t>
      </w:r>
      <w:bookmarkStart w:id="138" w:name="_bookmark24"/>
      <w:bookmarkEnd w:id="138"/>
      <w:r>
        <w:rPr>
          <w:rFonts w:hint="eastAsia" w:ascii="宋体" w:hAnsi="宋体" w:cs="宋体"/>
          <w:color w:val="auto"/>
          <w:sz w:val="28"/>
          <w:szCs w:val="24"/>
          <w:highlight w:val="none"/>
        </w:rPr>
        <w:t>采购内容</w:t>
      </w:r>
    </w:p>
    <w:tbl>
      <w:tblPr>
        <w:tblStyle w:val="17"/>
        <w:tblW w:w="4998" w:type="pct"/>
        <w:tblInd w:w="0" w:type="dxa"/>
        <w:tblLayout w:type="autofit"/>
        <w:tblCellMar>
          <w:top w:w="0" w:type="dxa"/>
          <w:left w:w="108" w:type="dxa"/>
          <w:bottom w:w="0" w:type="dxa"/>
          <w:right w:w="108" w:type="dxa"/>
        </w:tblCellMar>
      </w:tblPr>
      <w:tblGrid>
        <w:gridCol w:w="972"/>
        <w:gridCol w:w="1938"/>
        <w:gridCol w:w="2646"/>
        <w:gridCol w:w="1310"/>
        <w:gridCol w:w="1102"/>
        <w:gridCol w:w="1373"/>
      </w:tblGrid>
      <w:tr>
        <w:tblPrEx>
          <w:tblCellMar>
            <w:top w:w="0" w:type="dxa"/>
            <w:left w:w="108" w:type="dxa"/>
            <w:bottom w:w="0" w:type="dxa"/>
            <w:right w:w="108" w:type="dxa"/>
          </w:tblCellMar>
        </w:tblPrEx>
        <w:trPr>
          <w:trHeight w:val="454" w:hRule="atLeast"/>
        </w:trPr>
        <w:tc>
          <w:tcPr>
            <w:tcW w:w="15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项目名称</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子项</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备注</w:t>
            </w:r>
          </w:p>
        </w:tc>
      </w:tr>
      <w:tr>
        <w:tblPrEx>
          <w:tblCellMar>
            <w:top w:w="0" w:type="dxa"/>
            <w:left w:w="108" w:type="dxa"/>
            <w:bottom w:w="0" w:type="dxa"/>
            <w:right w:w="108" w:type="dxa"/>
          </w:tblCellMar>
        </w:tblPrEx>
        <w:trPr>
          <w:trHeight w:val="454"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主体骨架</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立柱1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立柱2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桁架</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品</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屋架</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件</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端横梁</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围梁</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640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水槽</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屋脊</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冷库门</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樘</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推拉门</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樘</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外遮阳系统</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外遮阳骨架1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外遮阳骨架2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遮阳网</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1470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传动系统</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内遮阳系统</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内遮阳幕</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1354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传动系统</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内遮黑系统</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遮阳幕布</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2613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立面卷膜</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传动系统</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覆盖</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断立面隔</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四周立面覆盖1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816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四周立面覆盖2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屋面覆盖1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442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屋面覆盖2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1324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通风系统</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窗</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樘</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顶开窗传动系统</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组</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垂直开窗1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扇</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垂直开窗2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扇</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垂直开窗传动系统</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防虫网</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952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加热及补湿一套控制系统</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加热除湿系统</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送风管道</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补湿</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气候区</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150mm厚聚氨酯双面彩钢板</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100mm厚聚氨酯双面彩钢板</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713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50mm厚挤塑板</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100mm厚聚氨脂彩钢冷库对开门</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制冷系统</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高温风冷冷凝箱式机组</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高温风冷冷凝箱式机组</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侧出风室内冷风机</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线材</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批</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新风系统</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直流静音风机</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送风管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控制器</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批</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水处理系统</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RO机</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水罐</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10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移动苗床</w:t>
            </w:r>
          </w:p>
        </w:tc>
        <w:tc>
          <w:tcPr>
            <w:tcW w:w="1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移动苗床</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10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货架苗床</w:t>
            </w:r>
          </w:p>
        </w:tc>
        <w:tc>
          <w:tcPr>
            <w:tcW w:w="1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移动苗床</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组</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10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补光系统</w:t>
            </w:r>
          </w:p>
        </w:tc>
        <w:tc>
          <w:tcPr>
            <w:tcW w:w="1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补光灯</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680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0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手推式苗床</w:t>
            </w:r>
          </w:p>
        </w:tc>
        <w:tc>
          <w:tcPr>
            <w:tcW w:w="1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手推式苗床</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10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供水管网</w:t>
            </w:r>
          </w:p>
        </w:tc>
        <w:tc>
          <w:tcPr>
            <w:tcW w:w="1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管件及泵组</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批</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智能物联网系统</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监控系统</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温室智能控制系统</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核心产品</w:t>
            </w: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园区气象站</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控制中心（全拼接屏）</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软件平台</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trHeight w:val="454"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bidi="ar"/>
              </w:rPr>
              <w:t>基础设施</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场地平整</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1700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bidi="ar"/>
              </w:rPr>
              <w:t>m³</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基础</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散水</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圈梁</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排水沟</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地面硬化</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透水砖铺装</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840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地布铺装</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环氧树脂地坪</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454"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24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安装调制</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项</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bl>
    <w:p>
      <w:pPr>
        <w:keepNext/>
        <w:keepLines/>
        <w:widowControl w:val="0"/>
        <w:numPr>
          <w:ilvl w:val="0"/>
          <w:numId w:val="0"/>
        </w:numPr>
        <w:spacing w:before="20" w:after="30" w:line="579" w:lineRule="auto"/>
        <w:jc w:val="both"/>
        <w:outlineLvl w:val="9"/>
        <w:rPr>
          <w:rFonts w:hint="eastAsia" w:ascii="宋体" w:hAnsi="宋体" w:cs="宋体"/>
          <w:color w:val="auto"/>
          <w:sz w:val="28"/>
          <w:szCs w:val="24"/>
          <w:highlight w:val="none"/>
        </w:rPr>
      </w:pPr>
    </w:p>
    <w:p>
      <w:pPr>
        <w:pStyle w:val="5"/>
        <w:numPr>
          <w:ilvl w:val="0"/>
          <w:numId w:val="3"/>
        </w:numPr>
        <w:spacing w:before="20" w:after="30" w:line="579" w:lineRule="auto"/>
        <w:rPr>
          <w:rFonts w:hint="eastAsia" w:ascii="宋体" w:hAnsi="宋体" w:cs="宋体"/>
          <w:color w:val="auto"/>
          <w:sz w:val="28"/>
          <w:szCs w:val="24"/>
          <w:highlight w:val="none"/>
        </w:rPr>
      </w:pPr>
      <w:r>
        <w:rPr>
          <w:rFonts w:hint="eastAsia" w:ascii="宋体" w:hAnsi="宋体" w:cs="宋体"/>
          <w:color w:val="auto"/>
          <w:sz w:val="28"/>
          <w:szCs w:val="24"/>
          <w:highlight w:val="none"/>
        </w:rPr>
        <w:t>技术参数要求</w:t>
      </w:r>
    </w:p>
    <w:tbl>
      <w:tblPr>
        <w:tblStyle w:val="17"/>
        <w:tblW w:w="4999" w:type="pct"/>
        <w:tblInd w:w="0" w:type="dxa"/>
        <w:tblLayout w:type="autofit"/>
        <w:tblCellMar>
          <w:top w:w="0" w:type="dxa"/>
          <w:left w:w="108" w:type="dxa"/>
          <w:bottom w:w="0" w:type="dxa"/>
          <w:right w:w="108" w:type="dxa"/>
        </w:tblCellMar>
      </w:tblPr>
      <w:tblGrid>
        <w:gridCol w:w="426"/>
        <w:gridCol w:w="1686"/>
        <w:gridCol w:w="1529"/>
        <w:gridCol w:w="5702"/>
      </w:tblGrid>
      <w:tr>
        <w:tblPrEx>
          <w:tblCellMar>
            <w:top w:w="0" w:type="dxa"/>
            <w:left w:w="108" w:type="dxa"/>
            <w:bottom w:w="0" w:type="dxa"/>
            <w:right w:w="108" w:type="dxa"/>
          </w:tblCellMar>
        </w:tblPrEx>
        <w:trPr>
          <w:trHeight w:val="454" w:hRule="atLeast"/>
        </w:trPr>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项目名称</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子项</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技术参数要求</w:t>
            </w:r>
          </w:p>
        </w:tc>
      </w:tr>
      <w:tr>
        <w:tblPrEx>
          <w:tblCellMar>
            <w:top w:w="0" w:type="dxa"/>
            <w:left w:w="108" w:type="dxa"/>
            <w:bottom w:w="0" w:type="dxa"/>
            <w:right w:w="108" w:type="dxa"/>
          </w:tblCellMar>
        </w:tblPrEx>
        <w:trPr>
          <w:trHeight w:val="45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eastAsia="宋体" w:cs="宋体"/>
                <w:color w:val="auto"/>
                <w:kern w:val="0"/>
                <w:sz w:val="21"/>
                <w:szCs w:val="21"/>
                <w:highlight w:val="none"/>
                <w:lang w:bidi="ar"/>
              </w:rPr>
              <w:t>1</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主体骨架</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立柱1</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主立柱热浸锌矩型钢管120mm×120mm×3.0mm×6000mm</w:t>
            </w:r>
          </w:p>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材质Q235</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立柱2</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立柱热浸锌矩型钢管120mm×60mm×3.0mm×6000mm</w:t>
            </w:r>
          </w:p>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材质Q235</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桁架</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上下弦热浸锌矩型钢管60mm×40mm×3mm的弦高600mm×长8000mm</w:t>
            </w:r>
          </w:p>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材质Q235</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屋架</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热浸锌矩型钢管50mmx30x1.5mm×2210mm及连接件</w:t>
            </w:r>
          </w:p>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材质Q235</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端横梁</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热浸锌矩型钢管120mm×60mm×2.5mm×4000mm</w:t>
            </w:r>
          </w:p>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材质Q235</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围梁</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热浸锌C型钢管70mmx50mmx2.75mm</w:t>
            </w:r>
          </w:p>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材质Q235</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水槽</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温室专用异型铝合金型材及托架</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屋脊</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温室专用异型铝合金型材</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冷库门</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平移门高2.4米，宽1.5米</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kern w:val="0"/>
                <w:szCs w:val="21"/>
                <w:highlight w:val="none"/>
                <w:lang w:bidi="ar"/>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推拉门</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2.0mx2.0m10mm.地弹门</w:t>
            </w:r>
          </w:p>
        </w:tc>
      </w:tr>
      <w:tr>
        <w:tblPrEx>
          <w:tblCellMar>
            <w:top w:w="0" w:type="dxa"/>
            <w:left w:w="108" w:type="dxa"/>
            <w:bottom w:w="0" w:type="dxa"/>
            <w:right w:w="108" w:type="dxa"/>
          </w:tblCellMar>
        </w:tblPrEx>
        <w:trPr>
          <w:trHeight w:val="45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bidi="ar"/>
              </w:rPr>
              <w:t>2</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外遮阳系统</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外遮阳骨架1</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立柱热浸锌矩型钢管50mmx50mmx2.0mm</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横梁热浸锌矩型钢管50mmx50mmx2.0mm</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外遮阳骨架2</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纵梁立柱热浸锌矩型钢管50mmx50mmx1.5mm</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遮阳网</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可反复滚动或滑动，遮阳率85%，4幅黑/白面针织网+1幅透光口</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材质为聚烯烃，厚度≥4mm，重量≥150g/㎡</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质保5年；</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传动系统</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A型齿轮座，4m直齿，0.55kw减速电机，φ33.4</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x2.75</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传动轴管，热浸锌矩型钢管φ32mmx1.5mm推幕杆</w:t>
            </w:r>
          </w:p>
        </w:tc>
      </w:tr>
      <w:tr>
        <w:tblPrEx>
          <w:tblCellMar>
            <w:top w:w="0" w:type="dxa"/>
            <w:left w:w="108" w:type="dxa"/>
            <w:bottom w:w="0" w:type="dxa"/>
            <w:right w:w="108" w:type="dxa"/>
          </w:tblCellMar>
        </w:tblPrEx>
        <w:trPr>
          <w:trHeight w:val="45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bidi="ar"/>
              </w:rPr>
              <w:t>3</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内遮阳系统</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内遮阳幕</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可反复悬挂或滑动，遮阳率65%，材质为：聚烯烃，厚度≥2mm，重量≥70g/㎡，</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质保5年；</w:t>
            </w:r>
            <w:r>
              <w:rPr>
                <w:rFonts w:hint="eastAsia" w:ascii="宋体" w:hAnsi="宋体" w:cs="宋体"/>
                <w:color w:val="auto"/>
                <w:szCs w:val="21"/>
                <w:highlight w:val="none"/>
              </w:rPr>
              <w:t xml:space="preserve"> </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传动系统</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A型齿轮座，4m直齿，0.55kw减速电机，φ33.4</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x2.75</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传动轴管</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热浸锌矩型钢管φ32mmx1.5mm推幕杆</w:t>
            </w:r>
          </w:p>
        </w:tc>
      </w:tr>
      <w:tr>
        <w:tblPrEx>
          <w:tblCellMar>
            <w:top w:w="0" w:type="dxa"/>
            <w:left w:w="108" w:type="dxa"/>
            <w:bottom w:w="0" w:type="dxa"/>
            <w:right w:w="108" w:type="dxa"/>
          </w:tblCellMar>
        </w:tblPrEx>
        <w:trPr>
          <w:trHeight w:val="45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bidi="ar"/>
              </w:rPr>
              <w:t>4</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内遮黑系统</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遮阳幕布</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可反复悬挂或滑动，遮阳率99.9%，防火阻燃等级：B1，材质材质为：聚烯烃，</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厚度≥4mm，重量≥1608g/㎡</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质保5年；</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立面卷膜</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电动卷膜器.40w.220v及13丝白黑白避光薄膜</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传动系统</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A型齿轮座，0.55kw减速电机</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热浸锌圆型钢管φ33.4mmx2.75mm传动轴管，热浸锌圆型钢管φ32mmx1.5mm推拉管，万向节</w:t>
            </w:r>
          </w:p>
        </w:tc>
      </w:tr>
      <w:tr>
        <w:tblPrEx>
          <w:tblCellMar>
            <w:top w:w="0" w:type="dxa"/>
            <w:left w:w="108" w:type="dxa"/>
            <w:bottom w:w="0" w:type="dxa"/>
            <w:right w:w="108" w:type="dxa"/>
          </w:tblCellMar>
        </w:tblPrEx>
        <w:trPr>
          <w:trHeight w:val="45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bidi="ar"/>
              </w:rPr>
              <w:t>5</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覆盖</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断立面隔</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15丝PO散射薄膜及固定卡件</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四周立面覆盖1</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双面0.35厚，12公斤泡沫50厚优质夹芯板带钢带</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四周立面覆盖2</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5mm+6mm+5mm中空玻璃及及端竖杆（玻璃温室5+6+5mm中空玻璃专用异型铝材）</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屋面覆盖1</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双面0.35厚，12公斤泡沫50厚优质夹芯板带钢带</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屋面覆盖2</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15丝PO散射薄膜及固定卡件</w:t>
            </w:r>
          </w:p>
        </w:tc>
      </w:tr>
      <w:tr>
        <w:tblPrEx>
          <w:tblCellMar>
            <w:top w:w="0" w:type="dxa"/>
            <w:left w:w="108" w:type="dxa"/>
            <w:bottom w:w="0" w:type="dxa"/>
            <w:right w:w="108" w:type="dxa"/>
          </w:tblCellMar>
        </w:tblPrEx>
        <w:trPr>
          <w:trHeight w:val="45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bidi="ar"/>
              </w:rPr>
              <w:t>6</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通风系统</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窗</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32mx1.2m顶部，矩形钢管32mx32mx1.5mm</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顶开窗传动系统</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电动顶部齿轮齿条蝶型开窗、双层轨道式连续开窗传动机构</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垂直开窗1</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28mx1.8mx1扇，扇面8mm厚透明pc板</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垂直开窗2</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32mx1.8mx2扇，扇面8mm厚透明pc板</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垂直开窗传动系统</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A型齿轮座，0.55kw减速电机，热浸锌圆型钢管φ33.4mmx2.75mm传动轴管</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防虫网</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采用40目防虫网密闭</w:t>
            </w:r>
          </w:p>
        </w:tc>
      </w:tr>
      <w:tr>
        <w:tblPrEx>
          <w:tblCellMar>
            <w:top w:w="0" w:type="dxa"/>
            <w:left w:w="108" w:type="dxa"/>
            <w:bottom w:w="0" w:type="dxa"/>
            <w:right w:w="108" w:type="dxa"/>
          </w:tblCellMar>
        </w:tblPrEx>
        <w:trPr>
          <w:trHeight w:val="45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bidi="ar"/>
              </w:rPr>
              <w:t>7</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加热及补湿一套控制系统</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加热除湿系统</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100w（5台20kw电热风炉），及供热管网</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送风管道</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φ600</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波纹管</w:t>
            </w:r>
          </w:p>
        </w:tc>
      </w:tr>
      <w:tr>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补湿</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微喷迷雾主机，高压管及高压喷头</w:t>
            </w:r>
          </w:p>
        </w:tc>
      </w:tr>
      <w:tr>
        <w:tblPrEx>
          <w:tblCellMar>
            <w:top w:w="0" w:type="dxa"/>
            <w:left w:w="108" w:type="dxa"/>
            <w:bottom w:w="0" w:type="dxa"/>
            <w:right w:w="108" w:type="dxa"/>
          </w:tblCellMar>
        </w:tblPrEx>
        <w:trPr>
          <w:trHeight w:val="45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bidi="ar"/>
              </w:rPr>
              <w:t>8</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气候区</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150mm厚聚氨酯双面彩钢板</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38kg/m³，0.376mm钢板</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100mm厚聚氨酯双面彩钢板</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38kg/m³，0.376mm钢板</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50mm厚挤塑板</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地面预埋两层</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100mm厚聚氨脂彩钢冷库对开门</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1800*2800mm</w:t>
            </w:r>
          </w:p>
        </w:tc>
      </w:tr>
      <w:tr>
        <w:tblPrEx>
          <w:tblCellMar>
            <w:top w:w="0" w:type="dxa"/>
            <w:left w:w="108" w:type="dxa"/>
            <w:bottom w:w="0" w:type="dxa"/>
            <w:right w:w="108" w:type="dxa"/>
          </w:tblCellMar>
        </w:tblPrEx>
        <w:trPr>
          <w:trHeight w:val="45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bidi="ar"/>
              </w:rPr>
              <w:t>9</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制冷系统</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高温风冷冷凝箱式机组</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涡旋  功率：15P</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高温风冷冷凝箱式机组</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涡旋  功率：15P</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侧出风室内冷风机</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DL160侧</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铜管</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Φ19</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--35</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铜管综合</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线材</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信号线及供电线</w:t>
            </w:r>
          </w:p>
        </w:tc>
      </w:tr>
      <w:tr>
        <w:tblPrEx>
          <w:tblCellMar>
            <w:top w:w="0" w:type="dxa"/>
            <w:left w:w="108" w:type="dxa"/>
            <w:bottom w:w="0" w:type="dxa"/>
            <w:right w:w="108" w:type="dxa"/>
          </w:tblCellMar>
        </w:tblPrEx>
        <w:trPr>
          <w:trHeight w:val="45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bidi="ar"/>
              </w:rPr>
              <w:t>10</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新风系统</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直流静音风机</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DPT15-32B，360m³/h</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送风管</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PVC160</w:t>
            </w:r>
            <w:r>
              <w:rPr>
                <w:rFonts w:hint="eastAsia"/>
                <w:color w:val="auto"/>
                <w:highlight w:val="none"/>
                <w:lang w:val="en-US" w:eastAsia="zh-CN"/>
              </w:rPr>
              <w:t>mm</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控制器</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风机控制器及线路</w:t>
            </w:r>
          </w:p>
        </w:tc>
      </w:tr>
      <w:tr>
        <w:tblPrEx>
          <w:tblCellMar>
            <w:top w:w="0" w:type="dxa"/>
            <w:left w:w="108" w:type="dxa"/>
            <w:bottom w:w="0" w:type="dxa"/>
            <w:right w:w="108" w:type="dxa"/>
          </w:tblCellMar>
        </w:tblPrEx>
        <w:trPr>
          <w:trHeight w:val="45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bidi="ar"/>
              </w:rPr>
              <w:t>11</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水处理系统</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RO机</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反渗透机处理量为2 立方/小时</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水罐</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10立方米不锈钢水罐及变频泵组：扬程：30米；功率：7.5KW一套</w:t>
            </w:r>
          </w:p>
        </w:tc>
      </w:tr>
      <w:tr>
        <w:tblPrEx>
          <w:tblCellMar>
            <w:top w:w="0" w:type="dxa"/>
            <w:left w:w="108" w:type="dxa"/>
            <w:bottom w:w="0" w:type="dxa"/>
            <w:right w:w="108" w:type="dxa"/>
          </w:tblCellMar>
        </w:tblPrEx>
        <w:trPr>
          <w:trHeight w:val="454"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bidi="ar"/>
              </w:rPr>
              <w:t>12</w:t>
            </w:r>
          </w:p>
        </w:tc>
        <w:tc>
          <w:tcPr>
            <w:tcW w:w="5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移动苗床</w:t>
            </w:r>
          </w:p>
        </w:tc>
        <w:tc>
          <w:tcPr>
            <w:tcW w:w="10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规格尺寸：1.7mx16m</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热镀锌钜形钢管；40</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×20</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×1.5</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，边框采用铝合金高13cm，苗床网为130</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x30</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x3</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热镀锌</w:t>
            </w:r>
          </w:p>
        </w:tc>
      </w:tr>
      <w:tr>
        <w:tblPrEx>
          <w:tblCellMar>
            <w:top w:w="0" w:type="dxa"/>
            <w:left w:w="108" w:type="dxa"/>
            <w:bottom w:w="0" w:type="dxa"/>
            <w:right w:w="108" w:type="dxa"/>
          </w:tblCellMar>
        </w:tblPrEx>
        <w:trPr>
          <w:trHeight w:val="454"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bidi="ar"/>
              </w:rPr>
              <w:t>13</w:t>
            </w:r>
          </w:p>
        </w:tc>
        <w:tc>
          <w:tcPr>
            <w:tcW w:w="5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货架苗床</w:t>
            </w:r>
          </w:p>
        </w:tc>
        <w:tc>
          <w:tcPr>
            <w:tcW w:w="10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规格：1m宽,长5m，高1.8m，分两层，每层高度800mm</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苗床承载荷载：75kg/m2。苗床骨架表面采用喷塑处理。</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苗床两层放置潮汐苗盘，规格为：1.6mx0.94m</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苗盘采用：ABS食用级别环保面板，颜色亮灰色，高温电吸塑。</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配置供回水系统。</w:t>
            </w:r>
          </w:p>
        </w:tc>
      </w:tr>
      <w:tr>
        <w:tblPrEx>
          <w:tblCellMar>
            <w:top w:w="0" w:type="dxa"/>
            <w:left w:w="108" w:type="dxa"/>
            <w:bottom w:w="0" w:type="dxa"/>
            <w:right w:w="108" w:type="dxa"/>
          </w:tblCellMar>
        </w:tblPrEx>
        <w:trPr>
          <w:trHeight w:val="454"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bidi="ar"/>
              </w:rPr>
              <w:t>14</w:t>
            </w:r>
          </w:p>
        </w:tc>
        <w:tc>
          <w:tcPr>
            <w:tcW w:w="5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补光系统</w:t>
            </w:r>
          </w:p>
        </w:tc>
        <w:tc>
          <w:tcPr>
            <w:tcW w:w="10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补光灯</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LED补光灯，功率400W，在灯下100mm（发光面前侧100mm处）</w:t>
            </w:r>
            <w:r>
              <w:rPr>
                <w:rFonts w:hint="eastAsia" w:ascii="宋体" w:hAnsi="宋体" w:cs="宋体"/>
                <w:color w:val="auto"/>
                <w:szCs w:val="21"/>
                <w:highlight w:val="none"/>
              </w:rPr>
              <w:t>5000～80000Lux</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48Vdc安全电压驱动；</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电信级电源；</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光强与光质通过APP可控制及控制器</w:t>
            </w:r>
          </w:p>
        </w:tc>
      </w:tr>
      <w:tr>
        <w:tblPrEx>
          <w:tblCellMar>
            <w:top w:w="0" w:type="dxa"/>
            <w:left w:w="108" w:type="dxa"/>
            <w:bottom w:w="0" w:type="dxa"/>
            <w:right w:w="108" w:type="dxa"/>
          </w:tblCellMar>
        </w:tblPrEx>
        <w:trPr>
          <w:trHeight w:val="454"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bidi="ar"/>
              </w:rPr>
              <w:t>15</w:t>
            </w:r>
          </w:p>
        </w:tc>
        <w:tc>
          <w:tcPr>
            <w:tcW w:w="5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手推式苗床</w:t>
            </w:r>
          </w:p>
        </w:tc>
        <w:tc>
          <w:tcPr>
            <w:tcW w:w="10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规格尺寸：1.7mx4m</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苗床外框采用40</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×20</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×2.2</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热镀锌，中部间距500mm设置20</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×20</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×2.2</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横梁，边框采用铝合金高13cm</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苗床网为130x30x3</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热镀锌，苗床下设置4个外向轮</w:t>
            </w:r>
          </w:p>
        </w:tc>
      </w:tr>
      <w:tr>
        <w:tblPrEx>
          <w:tblCellMar>
            <w:top w:w="0" w:type="dxa"/>
            <w:left w:w="108" w:type="dxa"/>
            <w:bottom w:w="0" w:type="dxa"/>
            <w:right w:w="108" w:type="dxa"/>
          </w:tblCellMar>
        </w:tblPrEx>
        <w:trPr>
          <w:trHeight w:val="454" w:hRule="atLeast"/>
        </w:trPr>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eastAsia="宋体" w:cs="宋体"/>
                <w:color w:val="auto"/>
                <w:kern w:val="0"/>
                <w:sz w:val="21"/>
                <w:szCs w:val="21"/>
                <w:highlight w:val="none"/>
                <w:lang w:bidi="ar"/>
              </w:rPr>
              <w:t>16</w:t>
            </w:r>
          </w:p>
        </w:tc>
        <w:tc>
          <w:tcPr>
            <w:tcW w:w="5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供水管网</w:t>
            </w:r>
          </w:p>
        </w:tc>
        <w:tc>
          <w:tcPr>
            <w:tcW w:w="10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管件及泵组</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管路及水泵PVC 90mm</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灌溉电磁阀，DN80,24AC</w:t>
            </w:r>
          </w:p>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变频清水水泵1台，流量：20 m3/h，扬程：40米；功率：7.5KW</w:t>
            </w:r>
          </w:p>
        </w:tc>
      </w:tr>
      <w:tr>
        <w:tblPrEx>
          <w:tblCellMar>
            <w:top w:w="0" w:type="dxa"/>
            <w:left w:w="108" w:type="dxa"/>
            <w:bottom w:w="0" w:type="dxa"/>
            <w:right w:w="108" w:type="dxa"/>
          </w:tblCellMar>
        </w:tblPrEx>
        <w:trPr>
          <w:trHeight w:val="45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bidi="ar"/>
              </w:rPr>
              <w:t>17</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智能物联网系统</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监控系统</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360度高清球机9台、200万像素，具备低功耗功能红外开启、云台开启、运动画面情况下功耗≤15W；</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红外关闭、云台关闭、静止画面情况下功耗≤5W；休眠模式≤2.6W</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4.5米监控立杆1套，热镀锌钢管材质；</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配置光纤收发器9套、一光四电；</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汇聚交换机1台、全千兆可网管型交换机核心层24电口4个SFP光口端口汇聚镜像监控VLAN生成树Web管理QoS组播；</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线材连接胶布扎带等配材、硬盘录像机1台，16路、解码H.264或H.265视频流混合接入，输入带宽≥320M，支持4K高清网络视频的接入、存储、预览和回放；</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监控硬盘2套、3T、核心交换机1台、支持横向虚拟化、支持WRR、WFQ、SP+WRR、WDRR、SP+WDRR、SP+WFQ、支持本地端口镜像和远程端口镜像RSPAN、支持支持静态路由、RIPv1/v2，RIPng、OSPFv1/v2，OSPFv3、BGP4，BGP4+ for IPv6、等价路由器</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温室智能控制系统</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智能温室控制器4套，24个点位输出，温室管家4套，7寸触摸屏，智能控制柜4套，规格：1700mm*600mm*350mm，温度、湿度、光照、5要素传感器4套，一体化传感器，2w太阳能供电，lora无线传输。</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园区气象站</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监测室外温湿度、风速、风向、室外光照、雨雪、雨量、土壤温湿度、总辐射等参数，含太阳能供电系统20w、数据采集LED显示屏等配件</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控制中心（全拼接屏）</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3.5mm间距拼接大屏9块，46英寸液晶拼接屏，响应时间≤8ms，亮度≥500cd/㎡，对比度≥1200:1，水平、垂直视场角均≥178°</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配置相应电视墙（3.2米宽×2.57米高）钢板+喷漆、电脑主机1台，i3处理器，显示器2台、32寸，HDMI分屏器（1进16出）和切换器（3进一出配遥控）、HDMI数据线3米、插板、地线槽等配件</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软件平台</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安卓手机APP1套,电脑pc端物联网软件应用平台1套</w:t>
            </w:r>
          </w:p>
          <w:p>
            <w:pPr>
              <w:widowControl/>
              <w:numPr>
                <w:ilvl w:val="0"/>
                <w:numId w:val="4"/>
              </w:numPr>
              <w:ind w:left="425" w:leftChars="0" w:hanging="425" w:firstLineChars="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平台可与设备安装地的天气预报数据进行对接，可获取最近7的天气预报信息和灾害报警信息</w:t>
            </w:r>
          </w:p>
          <w:p>
            <w:pPr>
              <w:widowControl/>
              <w:numPr>
                <w:ilvl w:val="0"/>
                <w:numId w:val="4"/>
              </w:numPr>
              <w:ind w:left="425" w:leftChars="0" w:hanging="425" w:firstLineChars="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可通过平台对添加的设备进行远程控制和参数设置</w:t>
            </w:r>
          </w:p>
          <w:p>
            <w:pPr>
              <w:widowControl/>
              <w:numPr>
                <w:ilvl w:val="0"/>
                <w:numId w:val="4"/>
              </w:numPr>
              <w:ind w:left="425" w:leftChars="0" w:hanging="425" w:firstLineChars="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可采集传感器数据信息采用列表或曲线方式展现。可导出历史数据</w:t>
            </w:r>
          </w:p>
          <w:p>
            <w:pPr>
              <w:widowControl/>
              <w:numPr>
                <w:ilvl w:val="0"/>
                <w:numId w:val="4"/>
              </w:numPr>
              <w:ind w:left="425" w:leftChars="0" w:hanging="425" w:firstLineChars="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可对接视频监控系统，在本平台对监控摄像头的操作，通过IPServer、HiDDNS、萤石云三种方式进行实时视屏查看提供实时拍照，对讲，全方位移动摄像头以及变焦等操作，并有高清，标清，流畅等画质可供选择；支持多通道、单通道、全屏画面查看模式。可设置和删除预置点</w:t>
            </w:r>
          </w:p>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管理多个场景时，场景可以列表展示或地图展示。将场景坐标投放到全球地图上进行标记展示</w:t>
            </w:r>
          </w:p>
        </w:tc>
      </w:tr>
      <w:tr>
        <w:tblPrEx>
          <w:tblCellMar>
            <w:top w:w="0" w:type="dxa"/>
            <w:left w:w="108" w:type="dxa"/>
            <w:bottom w:w="0" w:type="dxa"/>
            <w:right w:w="108" w:type="dxa"/>
          </w:tblCellMar>
        </w:tblPrEx>
        <w:trPr>
          <w:trHeight w:val="45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Cs w:val="21"/>
                <w:highlight w:val="none"/>
              </w:rPr>
            </w:pPr>
            <w:r>
              <w:rPr>
                <w:rFonts w:hint="eastAsia" w:ascii="宋体" w:hAnsi="宋体" w:eastAsia="宋体" w:cs="宋体"/>
                <w:color w:val="auto"/>
                <w:kern w:val="0"/>
                <w:sz w:val="21"/>
                <w:szCs w:val="21"/>
                <w:highlight w:val="none"/>
                <w:lang w:bidi="ar"/>
              </w:rPr>
              <w:t>18</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基础设施</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场地平整</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原大棚拆除后对场地进去土方开挖及平整</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基础</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砼15砼浇筑1.4mx1.4mx0.1m基础垫层，砼C25浇筑基础承台1.2mx1.2mx0.3m基础承台，砼C25浇筑基础0.5mx05x1m基础短柱。</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散水</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C25砼浇筑100mm厚，500mm宽散水</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圈梁</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砼15砼浇筑0.44mx0.1m垫层，砼C25浇筑圈梁0.24mx0.5m</w:t>
            </w:r>
            <w:r>
              <w:rPr>
                <w:rFonts w:hint="eastAsia" w:ascii="宋体" w:hAnsi="宋体" w:cs="宋体"/>
                <w:color w:val="auto"/>
                <w:kern w:val="0"/>
                <w:szCs w:val="21"/>
                <w:highlight w:val="none"/>
                <w:lang w:eastAsia="zh-CN" w:bidi="ar"/>
              </w:rPr>
              <w:t>。</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排水沟</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标砖砌筑400mm×400mm水沟，沟上覆盖树脂复合篦子</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地面硬化</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C25砼浇筑100mm厚地坪</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透水砖铺装</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规格：300</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*300</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*60</w:t>
            </w:r>
            <w:r>
              <w:rPr>
                <w:rFonts w:hint="eastAsia" w:ascii="宋体" w:hAnsi="宋体" w:cs="宋体"/>
                <w:color w:val="auto"/>
                <w:kern w:val="0"/>
                <w:szCs w:val="21"/>
                <w:highlight w:val="none"/>
                <w:lang w:val="en-US" w:eastAsia="zh-CN" w:bidi="ar"/>
              </w:rPr>
              <w:t>mm</w:t>
            </w:r>
            <w:r>
              <w:rPr>
                <w:rFonts w:hint="eastAsia" w:ascii="宋体" w:hAnsi="宋体" w:cs="宋体"/>
                <w:color w:val="auto"/>
                <w:kern w:val="0"/>
                <w:szCs w:val="21"/>
                <w:highlight w:val="none"/>
                <w:lang w:bidi="ar"/>
              </w:rPr>
              <w:t xml:space="preserve"> 粗砂找平</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地布铺装</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白色地布，100克/平方米</w:t>
            </w:r>
          </w:p>
        </w:tc>
      </w:tr>
      <w:tr>
        <w:tblPrEx>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auto"/>
                <w:szCs w:val="21"/>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auto"/>
                <w:szCs w:val="21"/>
                <w:highlight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环氧树脂地坪</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表面自流平处理，清底打磨</w:t>
            </w:r>
          </w:p>
          <w:p>
            <w:pPr>
              <w:widowControl/>
              <w:numPr>
                <w:ilvl w:val="0"/>
                <w:numId w:val="4"/>
              </w:numPr>
              <w:ind w:left="425" w:leftChars="0" w:hanging="425" w:firstLineChars="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三遍刷漆，每道漆1mm</w:t>
            </w:r>
          </w:p>
          <w:p>
            <w:pPr>
              <w:pStyle w:val="2"/>
              <w:numPr>
                <w:ilvl w:val="0"/>
                <w:numId w:val="4"/>
              </w:numPr>
              <w:spacing w:line="240" w:lineRule="auto"/>
              <w:ind w:left="425" w:leftChars="0" w:hanging="425" w:firstLineChars="0"/>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环氧树脂地面厚度：小于或等于1.5mm。</w:t>
            </w:r>
          </w:p>
          <w:p>
            <w:pPr>
              <w:widowControl/>
              <w:numPr>
                <w:ilvl w:val="0"/>
                <w:numId w:val="4"/>
              </w:numPr>
              <w:ind w:left="425" w:leftChars="0" w:hanging="425"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质保八年</w:t>
            </w:r>
          </w:p>
        </w:tc>
      </w:tr>
      <w:tr>
        <w:tblPrEx>
          <w:tblCellMar>
            <w:top w:w="0" w:type="dxa"/>
            <w:left w:w="108" w:type="dxa"/>
            <w:bottom w:w="0" w:type="dxa"/>
            <w:right w:w="108" w:type="dxa"/>
          </w:tblCellMar>
        </w:tblPrEx>
        <w:trPr>
          <w:trHeight w:val="45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bidi="ar"/>
              </w:rPr>
              <w:t>19</w:t>
            </w:r>
          </w:p>
        </w:tc>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安装调制</w:t>
            </w:r>
          </w:p>
        </w:tc>
        <w:tc>
          <w:tcPr>
            <w:tcW w:w="3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ind w:left="425" w:leftChars="0" w:hanging="425" w:firstLineChars="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项目设施安装调试至项目正常运作，以及全部必要的零配件</w:t>
            </w:r>
          </w:p>
        </w:tc>
      </w:tr>
    </w:tbl>
    <w:p>
      <w:pPr>
        <w:pStyle w:val="5"/>
        <w:spacing w:before="20" w:after="30" w:line="579"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四、其他要求</w:t>
      </w:r>
    </w:p>
    <w:p>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（一）项目实施方案</w:t>
      </w:r>
    </w:p>
    <w:p>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需针对本项目提供机构设置及管理制度（包括但不限于：组织机构；项目管理制度；公司管理制度等）；实施方案（包括但不限于：运输、装卸、转运、堆放、交接方案；质量标准及保证措施；按期供货保证措施；运输配送计划等）；安全文明、环境保护措施（包括但不限于：生产环节环保措施方案；运输过程中安全文明措施方案等）；紧急情况供货方案（包括但不限于：针对应急供货保障方案等）；售后服务（包括但不限于：售后服务体系等</w:t>
      </w:r>
    </w:p>
    <w:p>
      <w:pPr>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（二）项目要求</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实质性要求</w:t>
      </w:r>
      <w:r>
        <w:rPr>
          <w:rFonts w:hint="eastAsia" w:ascii="宋体" w:hAnsi="宋体" w:cs="宋体"/>
          <w:b/>
          <w:bCs/>
          <w:color w:val="auto"/>
          <w:sz w:val="24"/>
          <w:szCs w:val="24"/>
          <w:highlight w:val="none"/>
          <w:lang w:eastAsia="zh-CN"/>
        </w:rPr>
        <w:t>）</w:t>
      </w:r>
    </w:p>
    <w:p>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1、整体配置的电路系统，供应商可根据自行结构设计的情况，在满足功能需求的前提下，自行设计安装。</w:t>
      </w:r>
    </w:p>
    <w:p>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2、本项目涉及到场地布置需经采购人确定后方可实施。</w:t>
      </w:r>
    </w:p>
    <w:p>
      <w:pPr>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应书面承诺，</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所投产品</w:t>
      </w:r>
      <w:r>
        <w:rPr>
          <w:rFonts w:hint="eastAsia" w:ascii="宋体" w:hAnsi="宋体" w:cs="宋体"/>
          <w:color w:val="auto"/>
          <w:sz w:val="24"/>
          <w:szCs w:val="24"/>
          <w:highlight w:val="none"/>
          <w:lang w:val="en-US" w:eastAsia="zh-CN"/>
        </w:rPr>
        <w:t>中至少有30%的货物由中型企业/小型企业/微型企业制造。</w:t>
      </w:r>
      <w:r>
        <w:rPr>
          <w:rFonts w:hint="eastAsia" w:ascii="宋体" w:hAnsi="宋体" w:eastAsia="宋体" w:cs="宋体"/>
          <w:color w:val="auto"/>
          <w:sz w:val="24"/>
          <w:szCs w:val="24"/>
          <w:highlight w:val="none"/>
        </w:rPr>
        <w:t>在供货时需向采购人提供</w:t>
      </w:r>
      <w:r>
        <w:rPr>
          <w:rFonts w:hint="eastAsia" w:ascii="宋体" w:hAnsi="宋体" w:cs="宋体"/>
          <w:color w:val="auto"/>
          <w:sz w:val="24"/>
          <w:szCs w:val="24"/>
          <w:highlight w:val="none"/>
          <w:lang w:val="en-US" w:eastAsia="zh-CN"/>
        </w:rPr>
        <w:t>报价明细并标明中小企业预留份额</w:t>
      </w: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4"/>
          <w:highlight w:val="none"/>
        </w:rPr>
        <w:t>（提供承诺函）。</w:t>
      </w:r>
    </w:p>
    <w:p>
      <w:pPr>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4、供应商</w:t>
      </w:r>
      <w:r>
        <w:rPr>
          <w:rFonts w:hint="eastAsia" w:ascii="宋体" w:hAnsi="宋体" w:eastAsia="宋体" w:cs="宋体"/>
          <w:color w:val="auto"/>
          <w:sz w:val="24"/>
          <w:szCs w:val="24"/>
          <w:highlight w:val="none"/>
        </w:rPr>
        <w:t>应书面承诺，所投产品、材料凡涉及CCC认证产品的，在供货时需向采购人提供CCC认证证明，否则视为违约且承担由此引起的经济损失及相关法律责任。</w:t>
      </w:r>
      <w:r>
        <w:rPr>
          <w:rFonts w:hint="eastAsia" w:ascii="宋体" w:hAnsi="宋体" w:eastAsia="宋体" w:cs="宋体"/>
          <w:b/>
          <w:bCs/>
          <w:color w:val="auto"/>
          <w:sz w:val="24"/>
          <w:szCs w:val="24"/>
          <w:highlight w:val="none"/>
        </w:rPr>
        <w:t>（提供承诺函）。</w:t>
      </w:r>
    </w:p>
    <w:p>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、涉及的所有配套设施的技术参数要求不明确的，没有强制要求的，以满足现场实际配套需求为准；有行业强制要求的，不得低于国家及行业相关标准。</w:t>
      </w:r>
    </w:p>
    <w:p>
      <w:pPr>
        <w:pStyle w:val="5"/>
        <w:spacing w:before="20" w:after="30" w:line="579" w:lineRule="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lang w:val="en-US" w:eastAsia="zh-CN"/>
        </w:rPr>
        <w:t>五、</w:t>
      </w:r>
      <w:r>
        <w:rPr>
          <w:rFonts w:hint="eastAsia" w:ascii="宋体" w:hAnsi="宋体" w:eastAsia="宋体" w:cs="宋体"/>
          <w:color w:val="auto"/>
          <w:sz w:val="28"/>
          <w:szCs w:val="24"/>
          <w:highlight w:val="none"/>
        </w:rPr>
        <w:t>商务要求</w:t>
      </w:r>
    </w:p>
    <w:p>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1、交货期限：2021年12月15日前。</w:t>
      </w:r>
    </w:p>
    <w:p>
      <w:pPr>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2、付款方式：合同签订后支付合同金额的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%作为预付款，项目验收合格后，支付剩余</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%的合同金额</w:t>
      </w:r>
      <w:r>
        <w:rPr>
          <w:rFonts w:hint="eastAsia" w:ascii="宋体" w:hAnsi="宋体" w:eastAsia="宋体" w:cs="宋体"/>
          <w:color w:val="auto"/>
          <w:sz w:val="24"/>
          <w:szCs w:val="24"/>
          <w:highlight w:val="none"/>
          <w:lang w:eastAsia="zh-CN"/>
        </w:rPr>
        <w:t>。</w:t>
      </w:r>
    </w:p>
    <w:p>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3、交货地点：成都市植物园。</w:t>
      </w:r>
    </w:p>
    <w:p>
      <w:pPr>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质保期：1年。</w:t>
      </w:r>
    </w:p>
    <w:p>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报价要求：投标报价是履行合同的最终价格，应包括货物、运输、保险、税金、技术指导服务等供应商完成本项目，项目并能正常使用，达到采购人需求的一切费用，采购人不再另支付任何费用。由于投标报价错误等引起的风险由供应商自行承担。</w:t>
      </w:r>
    </w:p>
    <w:p>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、履约验收方式：</w:t>
      </w:r>
    </w:p>
    <w:p>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按国家有关规定以及本项目磋商文件的质量要求和技术指标或者成交单位的响应文件及承诺等进行验收。</w:t>
      </w:r>
    </w:p>
    <w:p>
      <w:pPr>
        <w:spacing w:line="360" w:lineRule="auto"/>
        <w:ind w:firstLine="480" w:firstLineChars="200"/>
        <w:textAlignment w:val="baseline"/>
        <w:rPr>
          <w:rFonts w:hint="eastAsia" w:ascii="宋体" w:hAnsi="宋体" w:eastAsia="宋体" w:cs="宋体"/>
          <w:color w:val="auto"/>
          <w:sz w:val="24"/>
          <w:szCs w:val="32"/>
          <w:highlight w:val="none"/>
        </w:rPr>
      </w:pPr>
      <w:r>
        <w:rPr>
          <w:rFonts w:hint="eastAsia" w:ascii="仿宋" w:hAnsi="仿宋" w:eastAsia="仿宋" w:cs="仿宋"/>
          <w:color w:val="auto"/>
          <w:sz w:val="24"/>
          <w:highlight w:val="none"/>
          <w:lang w:val="zh-CN"/>
        </w:rPr>
        <w:br w:type="page"/>
      </w:r>
    </w:p>
    <w:p>
      <w:pPr>
        <w:pStyle w:val="3"/>
        <w:numPr>
          <w:ilvl w:val="0"/>
          <w:numId w:val="5"/>
        </w:numPr>
        <w:spacing w:before="0" w:after="0" w:line="360" w:lineRule="auto"/>
        <w:jc w:val="center"/>
        <w:rPr>
          <w:color w:val="auto"/>
          <w:highlight w:val="none"/>
        </w:rPr>
      </w:pPr>
      <w:bookmarkStart w:id="139" w:name="_Toc19570_WPSOffice_Level1"/>
      <w:bookmarkStart w:id="140" w:name="_Toc23248_WPSOffice_Level1"/>
      <w:r>
        <w:rPr>
          <w:rFonts w:hint="eastAsia"/>
          <w:color w:val="auto"/>
          <w:highlight w:val="none"/>
        </w:rPr>
        <w:t xml:space="preserve">  </w:t>
      </w:r>
      <w:bookmarkStart w:id="141" w:name="_Toc15677"/>
      <w:bookmarkStart w:id="142" w:name="_Toc11441"/>
      <w:r>
        <w:rPr>
          <w:rFonts w:hint="eastAsia"/>
          <w:color w:val="auto"/>
          <w:highlight w:val="none"/>
        </w:rPr>
        <w:t>磋商内容、磋商过程中可实质性变动的内容</w:t>
      </w:r>
      <w:bookmarkEnd w:id="141"/>
      <w:bookmarkEnd w:id="142"/>
    </w:p>
    <w:p>
      <w:pPr>
        <w:spacing w:line="360" w:lineRule="auto"/>
        <w:ind w:firstLine="480" w:firstLineChars="200"/>
        <w:rPr>
          <w:color w:val="auto"/>
          <w:highlight w:val="none"/>
        </w:rPr>
      </w:pPr>
      <w:r>
        <w:rPr>
          <w:rFonts w:hint="eastAsia"/>
          <w:color w:val="auto"/>
          <w:sz w:val="24"/>
          <w:szCs w:val="32"/>
          <w:highlight w:val="none"/>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r>
        <w:rPr>
          <w:rFonts w:hint="eastAsia" w:ascii="宋体" w:cs="宋体"/>
          <w:color w:val="auto"/>
          <w:highlight w:val="none"/>
        </w:rPr>
        <w:br w:type="page"/>
      </w:r>
      <w:bookmarkEnd w:id="139"/>
      <w:bookmarkEnd w:id="140"/>
    </w:p>
    <w:p>
      <w:pPr>
        <w:pStyle w:val="3"/>
        <w:numPr>
          <w:ilvl w:val="0"/>
          <w:numId w:val="5"/>
        </w:numPr>
        <w:spacing w:before="0" w:after="0" w:line="360" w:lineRule="auto"/>
        <w:jc w:val="center"/>
        <w:rPr>
          <w:color w:val="auto"/>
          <w:highlight w:val="none"/>
        </w:rPr>
      </w:pPr>
      <w:r>
        <w:rPr>
          <w:rFonts w:hint="eastAsia"/>
          <w:color w:val="auto"/>
          <w:highlight w:val="none"/>
        </w:rPr>
        <w:t xml:space="preserve">  </w:t>
      </w:r>
      <w:bookmarkStart w:id="143" w:name="_Toc18082"/>
      <w:bookmarkStart w:id="144" w:name="_Toc3660"/>
      <w:r>
        <w:rPr>
          <w:rFonts w:hint="eastAsia"/>
          <w:color w:val="auto"/>
          <w:highlight w:val="none"/>
        </w:rPr>
        <w:t>响应文件格式</w:t>
      </w:r>
      <w:bookmarkEnd w:id="143"/>
      <w:bookmarkEnd w:id="144"/>
    </w:p>
    <w:p>
      <w:pPr>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color w:val="auto"/>
          <w:sz w:val="24"/>
          <w:highlight w:val="none"/>
        </w:rPr>
      </w:pPr>
      <w:r>
        <w:rPr>
          <w:rFonts w:hint="eastAsia"/>
          <w:color w:val="auto"/>
          <w:sz w:val="24"/>
          <w:highlight w:val="none"/>
        </w:rPr>
        <w:t>（二）本章所制响应文件格式有关表格中的备注栏，由供应商根据自身响应情况作解释性说明，不作为必填项。</w:t>
      </w:r>
    </w:p>
    <w:p>
      <w:pPr>
        <w:numPr>
          <w:ilvl w:val="0"/>
          <w:numId w:val="6"/>
        </w:numPr>
        <w:spacing w:line="360" w:lineRule="auto"/>
        <w:rPr>
          <w:color w:val="auto"/>
          <w:sz w:val="24"/>
          <w:highlight w:val="none"/>
        </w:rPr>
      </w:pPr>
      <w:r>
        <w:rPr>
          <w:rFonts w:hint="eastAsia"/>
          <w:color w:val="auto"/>
          <w:sz w:val="24"/>
          <w:highlight w:val="none"/>
        </w:rPr>
        <w:t>本章所制响应文件格式中需要填写的相关内容事项，可能会与本采购项目无关，在不改变响应文件原义、不影响本项目采购需求的情况下，供应商可以不予填写。</w:t>
      </w:r>
    </w:p>
    <w:p>
      <w:pPr>
        <w:pStyle w:val="2"/>
        <w:numPr>
          <w:ilvl w:val="0"/>
          <w:numId w:val="6"/>
        </w:numPr>
        <w:spacing w:line="360" w:lineRule="auto"/>
        <w:rPr>
          <w:rFonts w:ascii="Times New Roman" w:eastAsia="宋体"/>
          <w:color w:val="auto"/>
          <w:sz w:val="24"/>
          <w:szCs w:val="24"/>
          <w:highlight w:val="none"/>
        </w:rPr>
      </w:pPr>
      <w:r>
        <w:rPr>
          <w:rFonts w:hint="eastAsia" w:ascii="Times New Roman" w:eastAsia="宋体"/>
          <w:color w:val="auto"/>
          <w:sz w:val="24"/>
          <w:szCs w:val="24"/>
          <w:highlight w:val="none"/>
        </w:rPr>
        <w:t>本章所制响应文件格式中“注”的部分，供应商在编制响应文件时可以删除，也可以保留。</w:t>
      </w:r>
    </w:p>
    <w:p>
      <w:pPr>
        <w:pStyle w:val="2"/>
        <w:numPr>
          <w:ilvl w:val="0"/>
          <w:numId w:val="6"/>
        </w:numPr>
        <w:spacing w:line="360" w:lineRule="auto"/>
        <w:rPr>
          <w:rFonts w:ascii="Times New Roman" w:eastAsia="宋体"/>
          <w:color w:val="auto"/>
          <w:sz w:val="24"/>
          <w:szCs w:val="24"/>
          <w:highlight w:val="none"/>
        </w:rPr>
      </w:pPr>
      <w:r>
        <w:rPr>
          <w:rFonts w:hint="eastAsia" w:ascii="Times New Roman" w:eastAsia="宋体"/>
          <w:color w:val="auto"/>
          <w:sz w:val="24"/>
          <w:szCs w:val="24"/>
          <w:highlight w:val="none"/>
        </w:rPr>
        <w:t>本章所制响应文件格式中涉及“法定代表人”的描述，在非法人机构参与磋商情况下可修改为“负责人”，在自然人参与磋商情况下可修改为“本人”。</w:t>
      </w:r>
    </w:p>
    <w:p>
      <w:pPr>
        <w:pStyle w:val="2"/>
        <w:numPr>
          <w:ilvl w:val="0"/>
          <w:numId w:val="6"/>
        </w:numPr>
        <w:spacing w:line="360" w:lineRule="auto"/>
        <w:rPr>
          <w:rFonts w:ascii="Times New Roman" w:eastAsia="宋体"/>
          <w:color w:val="auto"/>
          <w:sz w:val="24"/>
          <w:szCs w:val="24"/>
          <w:highlight w:val="none"/>
        </w:rPr>
      </w:pPr>
      <w:r>
        <w:rPr>
          <w:rFonts w:hint="eastAsia" w:ascii="Times New Roman" w:eastAsia="宋体"/>
          <w:color w:val="auto"/>
          <w:sz w:val="24"/>
          <w:szCs w:val="24"/>
          <w:highlight w:val="none"/>
        </w:rPr>
        <w:t>本章所制响应文件格式中涉及加盖供应商公章的地方，在自然人参与磋商情况下可删除，仅由自然人本人或其响应代表签字即可。</w:t>
      </w:r>
    </w:p>
    <w:p>
      <w:pPr>
        <w:pStyle w:val="2"/>
        <w:spacing w:line="360" w:lineRule="auto"/>
        <w:rPr>
          <w:rFonts w:ascii="宋体" w:hAnsi="宋体" w:eastAsia="宋体"/>
          <w:color w:val="auto"/>
          <w:highlight w:val="none"/>
        </w:rPr>
      </w:pPr>
      <w:r>
        <w:rPr>
          <w:color w:val="auto"/>
          <w:highlight w:val="none"/>
        </w:rPr>
        <w:br w:type="page"/>
      </w:r>
      <w:bookmarkStart w:id="145" w:name="_Toc14906_WPSOffice_Level2"/>
      <w:bookmarkStart w:id="146" w:name="_Toc15373_WPSOffice_Level2"/>
      <w:r>
        <w:rPr>
          <w:rFonts w:hint="eastAsia" w:ascii="宋体" w:hAnsi="宋体" w:eastAsia="宋体"/>
          <w:color w:val="auto"/>
          <w:highlight w:val="none"/>
        </w:rPr>
        <w:t>（封面格式）</w:t>
      </w:r>
      <w:bookmarkEnd w:id="145"/>
      <w:bookmarkEnd w:id="146"/>
    </w:p>
    <w:p>
      <w:pPr>
        <w:autoSpaceDE w:val="0"/>
        <w:autoSpaceDN w:val="0"/>
        <w:adjustRightInd w:val="0"/>
        <w:spacing w:line="360" w:lineRule="auto"/>
        <w:ind w:firstLine="1680" w:firstLineChars="200"/>
        <w:jc w:val="center"/>
        <w:rPr>
          <w:rFonts w:ascii="宋体" w:hAnsi="宋体"/>
          <w:color w:val="auto"/>
          <w:sz w:val="84"/>
          <w:szCs w:val="84"/>
          <w:highlight w:val="none"/>
        </w:rPr>
      </w:pPr>
    </w:p>
    <w:p>
      <w:pPr>
        <w:autoSpaceDE w:val="0"/>
        <w:autoSpaceDN w:val="0"/>
        <w:adjustRightInd w:val="0"/>
        <w:spacing w:line="360" w:lineRule="auto"/>
        <w:ind w:firstLine="1680" w:firstLineChars="200"/>
        <w:jc w:val="center"/>
        <w:rPr>
          <w:rFonts w:ascii="宋体" w:hAnsi="宋体"/>
          <w:color w:val="auto"/>
          <w:sz w:val="84"/>
          <w:szCs w:val="84"/>
          <w:highlight w:val="none"/>
        </w:rPr>
      </w:pPr>
    </w:p>
    <w:p>
      <w:pPr>
        <w:autoSpaceDE w:val="0"/>
        <w:autoSpaceDN w:val="0"/>
        <w:adjustRightInd w:val="0"/>
        <w:spacing w:line="360" w:lineRule="auto"/>
        <w:jc w:val="center"/>
        <w:rPr>
          <w:rFonts w:ascii="宋体" w:hAnsi="宋体"/>
          <w:color w:val="auto"/>
          <w:sz w:val="84"/>
          <w:szCs w:val="84"/>
          <w:highlight w:val="none"/>
        </w:rPr>
      </w:pPr>
      <w:bookmarkStart w:id="147" w:name="_Toc7834_WPSOffice_Level2"/>
      <w:bookmarkStart w:id="148" w:name="_Toc2971_WPSOffice_Level2"/>
      <w:r>
        <w:rPr>
          <w:rFonts w:hint="eastAsia" w:ascii="宋体" w:hAnsi="宋体"/>
          <w:color w:val="auto"/>
          <w:sz w:val="84"/>
          <w:szCs w:val="84"/>
          <w:highlight w:val="none"/>
        </w:rPr>
        <w:t>资格性</w:t>
      </w:r>
      <w:r>
        <w:rPr>
          <w:rFonts w:hint="eastAsia" w:hAnsi="宋体"/>
          <w:color w:val="auto"/>
          <w:sz w:val="84"/>
          <w:szCs w:val="84"/>
          <w:highlight w:val="none"/>
        </w:rPr>
        <w:t>响应文件</w:t>
      </w:r>
      <w:bookmarkEnd w:id="147"/>
      <w:bookmarkEnd w:id="148"/>
    </w:p>
    <w:p>
      <w:pPr>
        <w:autoSpaceDE w:val="0"/>
        <w:autoSpaceDN w:val="0"/>
        <w:adjustRightInd w:val="0"/>
        <w:spacing w:line="360" w:lineRule="auto"/>
        <w:ind w:firstLine="880" w:firstLineChars="200"/>
        <w:jc w:val="center"/>
        <w:rPr>
          <w:rFonts w:ascii="宋体" w:hAnsi="宋体"/>
          <w:color w:val="auto"/>
          <w:sz w:val="44"/>
          <w:highlight w:val="none"/>
        </w:rPr>
      </w:pPr>
    </w:p>
    <w:p>
      <w:pPr>
        <w:autoSpaceDE w:val="0"/>
        <w:autoSpaceDN w:val="0"/>
        <w:adjustRightInd w:val="0"/>
        <w:spacing w:line="360" w:lineRule="auto"/>
        <w:jc w:val="center"/>
        <w:rPr>
          <w:rFonts w:ascii="宋体" w:hAnsi="宋体"/>
          <w:color w:val="auto"/>
          <w:sz w:val="44"/>
          <w:highlight w:val="none"/>
        </w:rPr>
      </w:pPr>
      <w:bookmarkStart w:id="149" w:name="_Toc17870_WPSOffice_Level2"/>
      <w:bookmarkStart w:id="150" w:name="_Toc15121_WPSOffice_Level2"/>
      <w:r>
        <w:rPr>
          <w:rFonts w:hint="eastAsia" w:ascii="宋体" w:hAnsi="宋体"/>
          <w:color w:val="auto"/>
          <w:sz w:val="44"/>
          <w:highlight w:val="none"/>
        </w:rPr>
        <w:t>（正本/副本）</w:t>
      </w:r>
      <w:bookmarkEnd w:id="149"/>
      <w:bookmarkEnd w:id="150"/>
    </w:p>
    <w:p>
      <w:pPr>
        <w:pStyle w:val="2"/>
        <w:spacing w:line="360" w:lineRule="auto"/>
        <w:rPr>
          <w:rFonts w:ascii="宋体" w:hAnsi="宋体"/>
          <w:color w:val="auto"/>
          <w:sz w:val="44"/>
          <w:highlight w:val="none"/>
        </w:rPr>
      </w:pPr>
    </w:p>
    <w:p>
      <w:pPr>
        <w:pStyle w:val="2"/>
        <w:spacing w:line="360" w:lineRule="auto"/>
        <w:rPr>
          <w:rFonts w:ascii="宋体" w:hAnsi="宋体"/>
          <w:color w:val="auto"/>
          <w:sz w:val="44"/>
          <w:highlight w:val="none"/>
        </w:rPr>
      </w:pPr>
    </w:p>
    <w:p>
      <w:pPr>
        <w:pStyle w:val="2"/>
        <w:spacing w:line="360" w:lineRule="auto"/>
        <w:rPr>
          <w:rFonts w:ascii="宋体" w:hAnsi="宋体"/>
          <w:color w:val="auto"/>
          <w:sz w:val="44"/>
          <w:highlight w:val="none"/>
        </w:rPr>
      </w:pPr>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项目编号：</w:t>
      </w:r>
      <w:r>
        <w:rPr>
          <w:rFonts w:hint="eastAsia" w:ascii="宋体" w:hAnsi="宋体"/>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u w:val="single"/>
        </w:rPr>
      </w:pPr>
      <w:r>
        <w:rPr>
          <w:rFonts w:hint="eastAsia" w:ascii="宋体" w:hAnsi="宋体"/>
          <w:color w:val="auto"/>
          <w:sz w:val="32"/>
          <w:szCs w:val="32"/>
          <w:highlight w:val="none"/>
        </w:rPr>
        <w:t>项目名称：</w:t>
      </w:r>
      <w:r>
        <w:rPr>
          <w:rFonts w:hint="eastAsia" w:ascii="宋体" w:hAnsi="宋体"/>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供 应 商：</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（公章）</w:t>
      </w:r>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日    期：</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年</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月</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日</w:t>
      </w:r>
    </w:p>
    <w:p>
      <w:pPr>
        <w:spacing w:line="360" w:lineRule="auto"/>
        <w:jc w:val="center"/>
        <w:rPr>
          <w:b/>
          <w:bCs/>
          <w:color w:val="auto"/>
          <w:sz w:val="28"/>
          <w:szCs w:val="36"/>
          <w:highlight w:val="none"/>
        </w:rPr>
      </w:pPr>
      <w:r>
        <w:rPr>
          <w:color w:val="auto"/>
          <w:highlight w:val="none"/>
        </w:rPr>
        <w:br w:type="page"/>
      </w:r>
      <w:r>
        <w:rPr>
          <w:rFonts w:hint="eastAsia"/>
          <w:b/>
          <w:bCs/>
          <w:color w:val="auto"/>
          <w:sz w:val="28"/>
          <w:szCs w:val="36"/>
          <w:highlight w:val="none"/>
        </w:rPr>
        <w:t>目录（自拟）</w:t>
      </w:r>
    </w:p>
    <w:p>
      <w:pPr>
        <w:pStyle w:val="4"/>
        <w:spacing w:before="0" w:after="0" w:line="360" w:lineRule="auto"/>
        <w:jc w:val="center"/>
        <w:rPr>
          <w:color w:val="auto"/>
          <w:highlight w:val="none"/>
        </w:rPr>
      </w:pPr>
      <w:r>
        <w:rPr>
          <w:color w:val="auto"/>
          <w:highlight w:val="none"/>
        </w:rPr>
        <w:br w:type="page"/>
      </w:r>
      <w:bookmarkStart w:id="151" w:name="_Toc8685"/>
      <w:bookmarkStart w:id="152" w:name="_Toc4892_WPSOffice_Level2"/>
      <w:bookmarkStart w:id="153" w:name="_Toc27332_WPSOffice_Level2"/>
      <w:r>
        <w:rPr>
          <w:rFonts w:hint="eastAsia"/>
          <w:color w:val="auto"/>
          <w:highlight w:val="none"/>
        </w:rPr>
        <w:t>一、法定代表人授权书</w:t>
      </w:r>
      <w:bookmarkEnd w:id="151"/>
    </w:p>
    <w:p>
      <w:pPr>
        <w:spacing w:line="360" w:lineRule="auto"/>
        <w:rPr>
          <w:rFonts w:ascii="宋体" w:hAnsi="宋体"/>
          <w:color w:val="auto"/>
          <w:sz w:val="24"/>
          <w:highlight w:val="none"/>
        </w:rPr>
      </w:pPr>
      <w:r>
        <w:rPr>
          <w:rFonts w:hint="eastAsia" w:ascii="宋体" w:hAnsi="宋体"/>
          <w:color w:val="auto"/>
          <w:sz w:val="24"/>
          <w:highlight w:val="none"/>
          <w:u w:val="single"/>
        </w:rPr>
        <w:t>四川易通天和招标代理有限公司</w:t>
      </w:r>
      <w:r>
        <w:rPr>
          <w:rFonts w:hint="eastAsia" w:ascii="宋体" w:hAnsi="宋体"/>
          <w:color w:val="auto"/>
          <w:sz w:val="24"/>
          <w:highlight w:val="none"/>
        </w:rPr>
        <w:t>（采购代理机构名称）：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本授权声明：</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hAnsi="宋体"/>
          <w:color w:val="auto"/>
          <w:sz w:val="24"/>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（法定代表人姓名、职务）授权</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（被授权人姓名、职务）为我方 “ </w:t>
      </w:r>
      <w:r>
        <w:rPr>
          <w:rFonts w:hint="eastAsia" w:ascii="宋体" w:hAnsi="宋体"/>
          <w:color w:val="auto"/>
          <w:sz w:val="24"/>
          <w:highlight w:val="none"/>
          <w:u w:val="single"/>
        </w:rPr>
        <w:t xml:space="preserve">             </w:t>
      </w:r>
      <w:r>
        <w:rPr>
          <w:rFonts w:hint="eastAsia" w:ascii="宋体" w:hAnsi="宋体"/>
          <w:color w:val="auto"/>
          <w:sz w:val="24"/>
          <w:highlight w:val="none"/>
        </w:rPr>
        <w:t>” 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）磋商采购活动的合法代表，全权处理该项目有关磋商采购、签订合同以及执行合同等一切事宜。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特此声明。</w:t>
      </w:r>
    </w:p>
    <w:p>
      <w:pPr>
        <w:spacing w:line="360" w:lineRule="auto"/>
        <w:ind w:firstLine="480" w:firstLineChars="200"/>
        <w:rPr>
          <w:rFonts w:ascii="宋体" w:hAnsi="宋体"/>
          <w:bCs/>
          <w:color w:val="auto"/>
          <w:sz w:val="24"/>
          <w:highlight w:val="none"/>
        </w:rPr>
      </w:pP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附：（1）法定代表人有效身份证明材料正反面复印件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（2）授权代表有效身份证明材料正反面复印件</w:t>
      </w:r>
    </w:p>
    <w:p>
      <w:pPr>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pStyle w:val="2"/>
        <w:spacing w:line="360" w:lineRule="auto"/>
        <w:rPr>
          <w:rFonts w:ascii="宋体" w:hAnsi="宋体"/>
          <w:color w:val="auto"/>
          <w:sz w:val="24"/>
          <w:highlight w:val="none"/>
        </w:rPr>
      </w:pPr>
    </w:p>
    <w:p>
      <w:pPr>
        <w:pStyle w:val="2"/>
        <w:spacing w:line="360" w:lineRule="auto"/>
        <w:rPr>
          <w:rFonts w:ascii="宋体" w:hAnsi="宋体"/>
          <w:color w:val="auto"/>
          <w:sz w:val="24"/>
          <w:highlight w:val="none"/>
        </w:rPr>
      </w:pPr>
    </w:p>
    <w:p>
      <w:pPr>
        <w:pStyle w:val="2"/>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法定代表人</w:t>
      </w:r>
      <w:r>
        <w:rPr>
          <w:rFonts w:hint="eastAsia" w:asciiTheme="minorEastAsia" w:hAnsiTheme="minorEastAsia" w:eastAsiaTheme="minorEastAsia"/>
          <w:color w:val="auto"/>
          <w:sz w:val="24"/>
          <w:highlight w:val="none"/>
        </w:rPr>
        <w:t>（签字或加盖个人名章）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授权代表</w:t>
      </w:r>
      <w:r>
        <w:rPr>
          <w:rFonts w:hint="eastAsia" w:asciiTheme="minorEastAsia" w:hAnsiTheme="minorEastAsia" w:eastAsiaTheme="minorEastAsia"/>
          <w:color w:val="auto"/>
          <w:sz w:val="24"/>
          <w:highlight w:val="none"/>
        </w:rPr>
        <w:t>（签字或加盖个人名章）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hAnsi="宋体"/>
          <w:color w:val="auto"/>
          <w:sz w:val="24"/>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rPr>
          <w:color w:val="auto"/>
          <w:highlight w:val="none"/>
        </w:rPr>
      </w:pPr>
    </w:p>
    <w:p>
      <w:pPr>
        <w:spacing w:line="360" w:lineRule="auto"/>
        <w:rPr>
          <w:b/>
          <w:color w:val="auto"/>
          <w:sz w:val="24"/>
          <w:highlight w:val="none"/>
        </w:rPr>
      </w:pPr>
      <w:r>
        <w:rPr>
          <w:rFonts w:hint="eastAsia" w:ascii="宋体" w:hAnsi="宋体" w:cs="宋体"/>
          <w:color w:val="auto"/>
          <w:sz w:val="24"/>
          <w:highlight w:val="none"/>
        </w:rPr>
        <w:t>注：</w:t>
      </w:r>
      <w:r>
        <w:rPr>
          <w:rFonts w:hint="eastAsia" w:ascii="宋体" w:hAnsi="宋体" w:cs="宋体"/>
          <w:b/>
          <w:bCs/>
          <w:color w:val="auto"/>
          <w:sz w:val="24"/>
          <w:highlight w:val="none"/>
        </w:rPr>
        <w:t>1、</w:t>
      </w:r>
      <w:r>
        <w:rPr>
          <w:b/>
          <w:color w:val="auto"/>
          <w:sz w:val="24"/>
          <w:highlight w:val="none"/>
        </w:rPr>
        <w:t>法定代表人不亲自参加磋商，而授权代表参加磋商的适用。</w:t>
      </w:r>
    </w:p>
    <w:p>
      <w:pPr>
        <w:pStyle w:val="6"/>
        <w:spacing w:line="360" w:lineRule="auto"/>
        <w:ind w:firstLine="482" w:firstLineChars="200"/>
        <w:rPr>
          <w:rFonts w:cs="宋体"/>
          <w:color w:val="auto"/>
          <w:sz w:val="24"/>
          <w:szCs w:val="24"/>
          <w:highlight w:val="none"/>
        </w:rPr>
      </w:pPr>
      <w:r>
        <w:rPr>
          <w:rFonts w:hint="eastAsia" w:cs="宋体"/>
          <w:b/>
          <w:color w:val="auto"/>
          <w:sz w:val="24"/>
          <w:szCs w:val="24"/>
          <w:highlight w:val="none"/>
        </w:rPr>
        <w:t>2、供应商为法人单位时提供“法定代表人授权书”，供应商为其他组织时提供“单位负责人授权书”，供应商为自然人时提供“自然人身份证明材料”。</w:t>
      </w:r>
    </w:p>
    <w:p>
      <w:pPr>
        <w:spacing w:line="360" w:lineRule="auto"/>
        <w:ind w:firstLine="482" w:firstLineChars="200"/>
        <w:rPr>
          <w:rFonts w:ascii="黑体"/>
          <w:color w:val="auto"/>
          <w:highlight w:val="none"/>
        </w:rPr>
      </w:pPr>
      <w:r>
        <w:rPr>
          <w:rFonts w:hint="eastAsia" w:ascii="宋体" w:hAnsi="宋体" w:cs="宋体"/>
          <w:b/>
          <w:color w:val="auto"/>
          <w:sz w:val="24"/>
          <w:highlight w:val="none"/>
        </w:rPr>
        <w:t>3、身份证明材料包括居民身份证或户口本或军官证或护照等。</w:t>
      </w:r>
      <w:r>
        <w:rPr>
          <w:color w:val="auto"/>
          <w:sz w:val="24"/>
          <w:highlight w:val="none"/>
        </w:rPr>
        <w:br w:type="page"/>
      </w:r>
      <w:bookmarkEnd w:id="152"/>
      <w:bookmarkEnd w:id="153"/>
    </w:p>
    <w:p>
      <w:pPr>
        <w:pStyle w:val="4"/>
        <w:spacing w:before="0" w:after="0" w:line="360" w:lineRule="auto"/>
        <w:jc w:val="center"/>
        <w:rPr>
          <w:color w:val="auto"/>
          <w:highlight w:val="none"/>
        </w:rPr>
      </w:pPr>
      <w:bookmarkStart w:id="154" w:name="_Toc32144"/>
      <w:r>
        <w:rPr>
          <w:rFonts w:hint="eastAsia"/>
          <w:color w:val="auto"/>
          <w:highlight w:val="none"/>
        </w:rPr>
        <w:t>一、法定代表人证明书</w:t>
      </w:r>
      <w:bookmarkEnd w:id="154"/>
    </w:p>
    <w:p>
      <w:pPr>
        <w:pStyle w:val="2"/>
        <w:tabs>
          <w:tab w:val="left" w:pos="1519"/>
          <w:tab w:val="left" w:pos="5419"/>
        </w:tabs>
        <w:spacing w:before="241" w:line="360" w:lineRule="auto"/>
        <w:ind w:left="800" w:right="4964"/>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2"/>
        <w:tabs>
          <w:tab w:val="left" w:pos="1519"/>
          <w:tab w:val="left" w:pos="5419"/>
        </w:tabs>
        <w:spacing w:before="241" w:line="360" w:lineRule="auto"/>
        <w:ind w:left="800" w:right="496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2"/>
        <w:tabs>
          <w:tab w:val="left" w:pos="1519"/>
          <w:tab w:val="left" w:pos="3079"/>
          <w:tab w:val="left" w:pos="4399"/>
          <w:tab w:val="left" w:pos="5719"/>
          <w:tab w:val="left" w:pos="7939"/>
        </w:tabs>
        <w:spacing w:before="1" w:line="360" w:lineRule="auto"/>
        <w:ind w:left="8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2"/>
        <w:tabs>
          <w:tab w:val="left" w:pos="3295"/>
          <w:tab w:val="left" w:pos="4759"/>
          <w:tab w:val="left" w:pos="6871"/>
        </w:tabs>
        <w:spacing w:before="132" w:line="360" w:lineRule="auto"/>
        <w:ind w:left="320" w:right="317"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(供应商名称)的法定代表人/单位负责人。就参加</w:t>
      </w:r>
      <w:r>
        <w:rPr>
          <w:rFonts w:hint="eastAsia" w:ascii="宋体" w:hAnsi="宋体" w:eastAsia="宋体" w:cs="宋体"/>
          <w:color w:val="auto"/>
          <w:spacing w:val="-16"/>
          <w:sz w:val="24"/>
          <w:szCs w:val="24"/>
          <w:highlight w:val="none"/>
        </w:rPr>
        <w:t>你</w:t>
      </w:r>
      <w:r>
        <w:rPr>
          <w:rFonts w:hint="eastAsia" w:ascii="宋体" w:hAnsi="宋体" w:eastAsia="宋体" w:cs="宋体"/>
          <w:color w:val="auto"/>
          <w:sz w:val="24"/>
          <w:szCs w:val="24"/>
          <w:highlight w:val="none"/>
        </w:rPr>
        <w:t>单位组织</w:t>
      </w:r>
      <w:r>
        <w:rPr>
          <w:rFonts w:hint="eastAsia" w:ascii="宋体" w:hAnsi="宋体" w:eastAsia="宋体" w:cs="宋体"/>
          <w:color w:val="auto"/>
          <w:spacing w:val="-24"/>
          <w:sz w:val="24"/>
          <w:szCs w:val="24"/>
          <w:highlight w:val="none"/>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(项目名称)(项目编号</w:t>
      </w: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24"/>
          <w:sz w:val="24"/>
          <w:szCs w:val="24"/>
          <w:highlight w:val="none"/>
          <w:u w:val="single"/>
        </w:rPr>
        <w:t xml:space="preserve">    </w:t>
      </w:r>
      <w:r>
        <w:rPr>
          <w:rFonts w:hint="eastAsia" w:ascii="宋体" w:hAnsi="宋体" w:eastAsia="宋体" w:cs="宋体"/>
          <w:color w:val="auto"/>
          <w:spacing w:val="-24"/>
          <w:sz w:val="24"/>
          <w:szCs w:val="24"/>
          <w:highlight w:val="none"/>
          <w:u w:val="single"/>
          <w:lang w:val="en-US" w:eastAsia="zh-CN"/>
        </w:rPr>
        <w:t xml:space="preserve">     </w:t>
      </w:r>
      <w:r>
        <w:rPr>
          <w:rFonts w:hint="eastAsia" w:ascii="宋体" w:hAnsi="宋体" w:eastAsia="宋体" w:cs="宋体"/>
          <w:color w:val="auto"/>
          <w:spacing w:val="-24"/>
          <w:sz w:val="24"/>
          <w:szCs w:val="24"/>
          <w:highlight w:val="none"/>
          <w:u w:val="single"/>
        </w:rPr>
        <w:t xml:space="preserve">     </w:t>
      </w:r>
      <w:r>
        <w:rPr>
          <w:rFonts w:hint="eastAsia" w:ascii="宋体" w:hAnsi="宋体" w:eastAsia="宋体" w:cs="宋体"/>
          <w:color w:val="auto"/>
          <w:spacing w:val="-12"/>
          <w:sz w:val="24"/>
          <w:szCs w:val="24"/>
          <w:highlight w:val="none"/>
        </w:rPr>
        <w:t>)”</w:t>
      </w:r>
      <w:r>
        <w:rPr>
          <w:rFonts w:hint="eastAsia" w:ascii="宋体" w:hAnsi="宋体" w:eastAsia="宋体" w:cs="宋体"/>
          <w:color w:val="auto"/>
          <w:sz w:val="24"/>
          <w:szCs w:val="24"/>
          <w:highlight w:val="none"/>
        </w:rPr>
        <w:t>的政府采购活动</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合同签</w:t>
      </w:r>
      <w:r>
        <w:rPr>
          <w:rFonts w:hint="eastAsia" w:ascii="宋体" w:hAnsi="宋体" w:eastAsia="宋体" w:cs="宋体"/>
          <w:color w:val="auto"/>
          <w:spacing w:val="-16"/>
          <w:sz w:val="24"/>
          <w:szCs w:val="24"/>
          <w:highlight w:val="none"/>
        </w:rPr>
        <w:t>订</w:t>
      </w:r>
      <w:r>
        <w:rPr>
          <w:rFonts w:hint="eastAsia" w:ascii="宋体" w:hAnsi="宋体" w:eastAsia="宋体" w:cs="宋体"/>
          <w:color w:val="auto"/>
          <w:sz w:val="24"/>
          <w:szCs w:val="24"/>
          <w:highlight w:val="none"/>
        </w:rPr>
        <w:t>以及合同履约等一切事宜，我单位均予承认，所产生的法律后果均由我单位承担。</w:t>
      </w:r>
    </w:p>
    <w:p>
      <w:pPr>
        <w:pStyle w:val="2"/>
        <w:spacing w:before="1" w:line="360" w:lineRule="auto"/>
        <w:ind w:left="8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附：（1）法定代表人有效身份证明材料正反面复印件</w:t>
      </w:r>
    </w:p>
    <w:p>
      <w:pPr>
        <w:spacing w:line="360" w:lineRule="auto"/>
        <w:ind w:firstLine="480" w:firstLineChars="200"/>
        <w:rPr>
          <w:rFonts w:ascii="宋体" w:hAnsi="宋体"/>
          <w:color w:val="auto"/>
          <w:sz w:val="24"/>
          <w:highlight w:val="none"/>
        </w:rPr>
      </w:pPr>
    </w:p>
    <w:p>
      <w:pPr>
        <w:pStyle w:val="2"/>
        <w:spacing w:line="360" w:lineRule="auto"/>
        <w:rPr>
          <w:rFonts w:ascii="宋体" w:hAnsi="宋体"/>
          <w:color w:val="auto"/>
          <w:sz w:val="24"/>
          <w:highlight w:val="none"/>
        </w:rPr>
      </w:pPr>
    </w:p>
    <w:p>
      <w:pPr>
        <w:pStyle w:val="2"/>
        <w:spacing w:line="360" w:lineRule="auto"/>
        <w:rPr>
          <w:rFonts w:ascii="宋体" w:hAnsi="宋体"/>
          <w:color w:val="auto"/>
          <w:sz w:val="24"/>
          <w:highlight w:val="none"/>
        </w:rPr>
      </w:pPr>
    </w:p>
    <w:p>
      <w:pPr>
        <w:pStyle w:val="2"/>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法定代表人</w:t>
      </w:r>
      <w:r>
        <w:rPr>
          <w:rFonts w:hint="eastAsia" w:asciiTheme="minorEastAsia" w:hAnsiTheme="minorEastAsia" w:eastAsiaTheme="minorEastAsia"/>
          <w:color w:val="auto"/>
          <w:sz w:val="24"/>
          <w:highlight w:val="none"/>
        </w:rPr>
        <w:t>（签字或加盖个人名章）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hAnsi="宋体"/>
          <w:color w:val="auto"/>
          <w:sz w:val="24"/>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rPr>
          <w:color w:val="auto"/>
          <w:highlight w:val="none"/>
        </w:rPr>
      </w:pPr>
    </w:p>
    <w:p>
      <w:pPr>
        <w:spacing w:line="360" w:lineRule="auto"/>
        <w:rPr>
          <w:b/>
          <w:color w:val="auto"/>
          <w:sz w:val="24"/>
          <w:highlight w:val="none"/>
        </w:rPr>
      </w:pPr>
      <w:r>
        <w:rPr>
          <w:rFonts w:hint="eastAsia" w:ascii="宋体" w:hAnsi="宋体" w:cs="宋体"/>
          <w:color w:val="auto"/>
          <w:sz w:val="24"/>
          <w:highlight w:val="none"/>
        </w:rPr>
        <w:t>注：</w:t>
      </w:r>
      <w:r>
        <w:rPr>
          <w:rFonts w:hint="eastAsia" w:ascii="宋体" w:hAnsi="宋体" w:cs="宋体"/>
          <w:b/>
          <w:bCs/>
          <w:color w:val="auto"/>
          <w:sz w:val="24"/>
          <w:highlight w:val="none"/>
        </w:rPr>
        <w:t>1、</w:t>
      </w:r>
      <w:r>
        <w:rPr>
          <w:b/>
          <w:color w:val="auto"/>
          <w:sz w:val="24"/>
          <w:highlight w:val="none"/>
        </w:rPr>
        <w:t>法定代表人亲自参加磋商时适用本证明书。</w:t>
      </w:r>
    </w:p>
    <w:p>
      <w:pPr>
        <w:spacing w:line="360" w:lineRule="auto"/>
        <w:ind w:firstLine="482" w:firstLineChars="200"/>
        <w:rPr>
          <w:color w:val="auto"/>
          <w:highlight w:val="none"/>
        </w:rPr>
      </w:pPr>
      <w:r>
        <w:rPr>
          <w:rFonts w:hint="eastAsia" w:ascii="宋体" w:hAnsi="宋体" w:cs="宋体"/>
          <w:b/>
          <w:bCs/>
          <w:color w:val="auto"/>
          <w:sz w:val="24"/>
          <w:highlight w:val="none"/>
        </w:rPr>
        <w:t>2、身份证明材料包括居民身份证或户口本或军官证或护照等。</w:t>
      </w:r>
      <w:r>
        <w:rPr>
          <w:rFonts w:hint="eastAsia"/>
          <w:color w:val="auto"/>
          <w:highlight w:val="none"/>
        </w:rPr>
        <w:br w:type="page"/>
      </w:r>
    </w:p>
    <w:p>
      <w:pPr>
        <w:pStyle w:val="4"/>
        <w:spacing w:before="0" w:after="0" w:line="360" w:lineRule="auto"/>
        <w:jc w:val="center"/>
        <w:rPr>
          <w:color w:val="auto"/>
          <w:highlight w:val="none"/>
        </w:rPr>
      </w:pPr>
      <w:bookmarkStart w:id="155" w:name="_Toc26180"/>
      <w:r>
        <w:rPr>
          <w:rFonts w:hint="eastAsia"/>
          <w:color w:val="auto"/>
          <w:highlight w:val="none"/>
        </w:rPr>
        <w:t>二、承诺函</w:t>
      </w:r>
      <w:bookmarkEnd w:id="155"/>
    </w:p>
    <w:p>
      <w:pPr>
        <w:spacing w:line="360" w:lineRule="auto"/>
        <w:rPr>
          <w:rFonts w:ascii="宋体" w:hAnsi="宋体"/>
          <w:color w:val="auto"/>
          <w:sz w:val="24"/>
          <w:highlight w:val="none"/>
        </w:rPr>
      </w:pPr>
      <w:r>
        <w:rPr>
          <w:rFonts w:hint="eastAsia" w:ascii="宋体" w:hAnsi="宋体"/>
          <w:color w:val="auto"/>
          <w:sz w:val="24"/>
          <w:highlight w:val="none"/>
          <w:u w:val="single"/>
        </w:rPr>
        <w:t>四川易通天和招标代理有限公司</w:t>
      </w:r>
      <w:r>
        <w:rPr>
          <w:rFonts w:hint="eastAsia" w:ascii="宋体" w:hAnsi="宋体"/>
          <w:color w:val="auto"/>
          <w:sz w:val="24"/>
          <w:highlight w:val="none"/>
        </w:rPr>
        <w:t>（采购代理机构名称）：</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我公司作为本次采购项目的供应商，根据磋商文件要求，现郑重承诺如下：</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一、具备《中华人民共和国政府采购法》第二十二条第一款和本项目规定的条件：</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（一）具有独立承担民事责任的能力；</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（二）具有良好的商业信誉和健全的财务会计制度；</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（三）具有履行合同所必需的设备和专业技术能力；</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（四）有依法缴纳税收和社会保障资金的良好记录；</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（五）参加政府采购活动前三年内，在经营活动中没有重大违法记录；</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（六）法律、行政法规规定的其他条件；</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（七）根据采购项目提出的特殊条件</w:t>
      </w:r>
      <w:r>
        <w:rPr>
          <w:rFonts w:ascii="宋体"/>
          <w:color w:val="auto"/>
          <w:sz w:val="24"/>
          <w:highlight w:val="none"/>
        </w:rPr>
        <w:t>。</w:t>
      </w:r>
    </w:p>
    <w:p>
      <w:pPr>
        <w:widowControl/>
        <w:spacing w:line="360" w:lineRule="auto"/>
        <w:ind w:firstLine="480" w:firstLineChars="200"/>
        <w:jc w:val="left"/>
        <w:rPr>
          <w:rFonts w:ascii="宋体"/>
          <w:color w:val="auto"/>
          <w:sz w:val="24"/>
          <w:highlight w:val="none"/>
        </w:rPr>
      </w:pPr>
      <w:r>
        <w:rPr>
          <w:rFonts w:ascii="宋体"/>
          <w:color w:val="auto"/>
          <w:sz w:val="24"/>
          <w:highlight w:val="none"/>
        </w:rPr>
        <w:t>二、完全接受和满足本项目</w:t>
      </w:r>
      <w:r>
        <w:rPr>
          <w:rFonts w:hint="eastAsia" w:ascii="宋体"/>
          <w:color w:val="auto"/>
          <w:sz w:val="24"/>
          <w:highlight w:val="none"/>
        </w:rPr>
        <w:t>磋商文件</w:t>
      </w:r>
      <w:r>
        <w:rPr>
          <w:rFonts w:ascii="宋体"/>
          <w:color w:val="auto"/>
          <w:sz w:val="24"/>
          <w:highlight w:val="none"/>
        </w:rPr>
        <w:t>中规定的实质性要求，如对</w:t>
      </w:r>
      <w:r>
        <w:rPr>
          <w:rFonts w:hint="eastAsia" w:ascii="宋体"/>
          <w:color w:val="auto"/>
          <w:sz w:val="24"/>
          <w:highlight w:val="none"/>
        </w:rPr>
        <w:t>磋商文件</w:t>
      </w:r>
      <w:r>
        <w:rPr>
          <w:rFonts w:ascii="宋体"/>
          <w:color w:val="auto"/>
          <w:sz w:val="24"/>
          <w:highlight w:val="none"/>
        </w:rPr>
        <w:t>有异议，</w:t>
      </w:r>
      <w:r>
        <w:rPr>
          <w:rFonts w:hint="eastAsia" w:ascii="宋体"/>
          <w:color w:val="auto"/>
          <w:sz w:val="24"/>
          <w:highlight w:val="none"/>
        </w:rPr>
        <w:t>已经在磋商文件递交截止时间届满前依法进行维权救济，不存在对磋商文件有异议的同时又参加磋商</w:t>
      </w:r>
      <w:r>
        <w:rPr>
          <w:rFonts w:ascii="宋体"/>
          <w:color w:val="auto"/>
          <w:sz w:val="24"/>
          <w:highlight w:val="none"/>
        </w:rPr>
        <w:t>以求侥幸</w:t>
      </w:r>
      <w:r>
        <w:rPr>
          <w:rFonts w:hint="eastAsia" w:ascii="宋体"/>
          <w:color w:val="auto"/>
          <w:sz w:val="24"/>
          <w:highlight w:val="none"/>
        </w:rPr>
        <w:t>成交</w:t>
      </w:r>
      <w:r>
        <w:rPr>
          <w:rFonts w:ascii="宋体"/>
          <w:color w:val="auto"/>
          <w:sz w:val="24"/>
          <w:highlight w:val="none"/>
        </w:rPr>
        <w:t>或者为实现其他非法目的的行为。</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三、参加本次磋商采购活动，不存在与单位负责人为同一人或者存在直接控股、管理关系的其他供应商参与同一合同项下的政府采购活动的行为。</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四、参加本次磋商采购活动，不存在和其他供应商在同一合同项下的采购项目中，同时委托同一个自然人、同一家庭的人员、同一单位的人员作为代理人的行为。本供应商未对本次采购项目提供过整体设计、规范编制或者项目管理、监理、检测等服务。未为采购人、采购代理机构在确定采购需求、编制采购文件过程中提供咨询论证。</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lang w:val="en-US" w:eastAsia="zh-CN"/>
        </w:rPr>
        <w:t>五</w:t>
      </w:r>
      <w:r>
        <w:rPr>
          <w:rFonts w:hint="eastAsia" w:ascii="宋体"/>
          <w:color w:val="auto"/>
          <w:sz w:val="24"/>
          <w:highlight w:val="none"/>
        </w:rPr>
        <w:t>、截至响应文件递交截止日未被列入失信被执行人、重大税收违法案件当事人名单、政府采购严重违法失信行为记录名单。</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lang w:val="en-US" w:eastAsia="zh-CN"/>
        </w:rPr>
        <w:t>六</w:t>
      </w:r>
      <w:r>
        <w:rPr>
          <w:rFonts w:hint="eastAsia" w:ascii="宋体"/>
          <w:color w:val="auto"/>
          <w:sz w:val="24"/>
          <w:highlight w:val="none"/>
        </w:rPr>
        <w:t>、如本项目评标过程中需要提供样品，则我公司提供的样品即为成交后将要提供的成交产品，我公司对提供样品的性能和质量负责，因样品存在缺陷或者不符合采购文件要求导致未能成交的，我公司愿意承担相应不利后果。</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lang w:val="en-US" w:eastAsia="zh-CN"/>
        </w:rPr>
        <w:t>七</w:t>
      </w:r>
      <w:r>
        <w:rPr>
          <w:rFonts w:hint="eastAsia" w:ascii="宋体"/>
          <w:color w:val="auto"/>
          <w:sz w:val="24"/>
          <w:highlight w:val="none"/>
        </w:rPr>
        <w:t>、我公司及其现任法定代表人（非法人机构则为主要负责人）不具有行贿犯罪记录。</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本公司对上述承诺的内容事项真实性负责。如经查实上述承诺的内容事项存在虚假，我公司愿意接受以提供虚假材料谋取成交追究法律责任。</w:t>
      </w:r>
    </w:p>
    <w:p>
      <w:pPr>
        <w:widowControl/>
        <w:spacing w:line="360" w:lineRule="auto"/>
        <w:ind w:firstLine="480" w:firstLineChars="200"/>
        <w:jc w:val="left"/>
        <w:rPr>
          <w:rFonts w:ascii="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rPr>
          <w:color w:val="auto"/>
          <w:highlight w:val="none"/>
        </w:rPr>
      </w:pPr>
      <w:r>
        <w:rPr>
          <w:color w:val="auto"/>
          <w:highlight w:val="none"/>
        </w:rPr>
        <w:br w:type="page"/>
      </w:r>
    </w:p>
    <w:p>
      <w:pPr>
        <w:pStyle w:val="4"/>
        <w:spacing w:before="0" w:after="0" w:line="360" w:lineRule="auto"/>
        <w:jc w:val="center"/>
        <w:rPr>
          <w:color w:val="auto"/>
          <w:highlight w:val="none"/>
        </w:rPr>
      </w:pPr>
      <w:bookmarkStart w:id="156" w:name="_Toc31492_WPSOffice_Level2"/>
      <w:bookmarkStart w:id="157" w:name="_Toc4159_WPSOffice_Level2"/>
      <w:bookmarkStart w:id="158" w:name="_Toc8425"/>
      <w:r>
        <w:rPr>
          <w:rFonts w:hint="eastAsia"/>
          <w:color w:val="auto"/>
          <w:highlight w:val="none"/>
          <w:lang w:val="en-US" w:eastAsia="zh-CN"/>
        </w:rPr>
        <w:t>三</w:t>
      </w:r>
      <w:r>
        <w:rPr>
          <w:rFonts w:hint="eastAsia"/>
          <w:color w:val="auto"/>
          <w:highlight w:val="none"/>
        </w:rPr>
        <w:t>、其他资格证明资料及相关说明等</w:t>
      </w:r>
      <w:bookmarkEnd w:id="156"/>
      <w:bookmarkEnd w:id="157"/>
      <w:bookmarkEnd w:id="158"/>
    </w:p>
    <w:p>
      <w:pPr>
        <w:adjustRightInd w:val="0"/>
        <w:snapToGrid w:val="0"/>
        <w:spacing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对照“第四章  </w:t>
      </w:r>
      <w:r>
        <w:rPr>
          <w:rFonts w:hint="eastAsia" w:hAnsi="宋体" w:cs="宋体"/>
          <w:color w:val="auto"/>
          <w:sz w:val="24"/>
          <w:highlight w:val="none"/>
        </w:rPr>
        <w:t>供应商资格证明材料</w:t>
      </w:r>
      <w:r>
        <w:rPr>
          <w:rFonts w:hint="eastAsia" w:ascii="宋体" w:hAnsi="宋体" w:cs="宋体"/>
          <w:color w:val="auto"/>
          <w:sz w:val="24"/>
          <w:highlight w:val="none"/>
        </w:rPr>
        <w:t>”等具体要求提供。</w:t>
      </w:r>
    </w:p>
    <w:p>
      <w:pPr>
        <w:autoSpaceDE w:val="0"/>
        <w:autoSpaceDN w:val="0"/>
        <w:adjustRightInd w:val="0"/>
        <w:spacing w:line="360" w:lineRule="auto"/>
        <w:ind w:firstLine="602" w:firstLineChars="200"/>
        <w:jc w:val="center"/>
        <w:rPr>
          <w:rFonts w:ascii="宋体" w:hAnsi="宋体"/>
          <w:color w:val="auto"/>
          <w:sz w:val="28"/>
          <w:highlight w:val="none"/>
        </w:rPr>
      </w:pPr>
      <w:r>
        <w:rPr>
          <w:rFonts w:ascii="宋体" w:hAnsi="宋体"/>
          <w:b/>
          <w:color w:val="auto"/>
          <w:sz w:val="30"/>
          <w:szCs w:val="30"/>
          <w:highlight w:val="none"/>
        </w:rPr>
        <w:br w:type="page"/>
      </w:r>
      <w:bookmarkStart w:id="159" w:name="_Toc11589_WPSOffice_Level2"/>
      <w:bookmarkStart w:id="160" w:name="_Toc18398_WPSOffice_Level2"/>
      <w:r>
        <w:rPr>
          <w:rFonts w:hint="eastAsia" w:ascii="宋体" w:hAnsi="宋体"/>
          <w:color w:val="auto"/>
          <w:sz w:val="28"/>
          <w:highlight w:val="none"/>
        </w:rPr>
        <w:t>（封面格式）</w:t>
      </w:r>
      <w:bookmarkEnd w:id="159"/>
      <w:bookmarkEnd w:id="160"/>
    </w:p>
    <w:p>
      <w:pPr>
        <w:autoSpaceDE w:val="0"/>
        <w:autoSpaceDN w:val="0"/>
        <w:adjustRightInd w:val="0"/>
        <w:spacing w:line="360" w:lineRule="auto"/>
        <w:ind w:firstLine="1680" w:firstLineChars="200"/>
        <w:jc w:val="center"/>
        <w:rPr>
          <w:rFonts w:ascii="宋体" w:hAnsi="宋体"/>
          <w:color w:val="auto"/>
          <w:sz w:val="84"/>
          <w:szCs w:val="84"/>
          <w:highlight w:val="none"/>
        </w:rPr>
      </w:pPr>
    </w:p>
    <w:p>
      <w:pPr>
        <w:autoSpaceDE w:val="0"/>
        <w:autoSpaceDN w:val="0"/>
        <w:adjustRightInd w:val="0"/>
        <w:spacing w:line="360" w:lineRule="auto"/>
        <w:ind w:firstLine="1680" w:firstLineChars="200"/>
        <w:rPr>
          <w:rFonts w:ascii="宋体" w:hAnsi="宋体"/>
          <w:color w:val="auto"/>
          <w:sz w:val="84"/>
          <w:szCs w:val="84"/>
          <w:highlight w:val="none"/>
        </w:rPr>
      </w:pPr>
      <w:bookmarkStart w:id="161" w:name="_Toc25492_WPSOffice_Level2"/>
      <w:bookmarkStart w:id="162" w:name="_Toc1892_WPSOffice_Level2"/>
      <w:r>
        <w:rPr>
          <w:rFonts w:hint="eastAsia" w:ascii="宋体" w:hAnsi="宋体"/>
          <w:color w:val="auto"/>
          <w:sz w:val="84"/>
          <w:szCs w:val="84"/>
          <w:highlight w:val="none"/>
        </w:rPr>
        <w:t>其它</w:t>
      </w:r>
      <w:r>
        <w:rPr>
          <w:rFonts w:hint="eastAsia" w:hAnsi="宋体"/>
          <w:color w:val="auto"/>
          <w:sz w:val="84"/>
          <w:szCs w:val="84"/>
          <w:highlight w:val="none"/>
        </w:rPr>
        <w:t>响应文件</w:t>
      </w:r>
      <w:bookmarkEnd w:id="161"/>
      <w:bookmarkEnd w:id="162"/>
    </w:p>
    <w:p>
      <w:pPr>
        <w:autoSpaceDE w:val="0"/>
        <w:autoSpaceDN w:val="0"/>
        <w:adjustRightInd w:val="0"/>
        <w:spacing w:line="360" w:lineRule="auto"/>
        <w:ind w:firstLine="880" w:firstLineChars="200"/>
        <w:jc w:val="center"/>
        <w:rPr>
          <w:rFonts w:ascii="宋体" w:hAnsi="宋体"/>
          <w:color w:val="auto"/>
          <w:sz w:val="44"/>
          <w:highlight w:val="none"/>
        </w:rPr>
      </w:pPr>
    </w:p>
    <w:p>
      <w:pPr>
        <w:autoSpaceDE w:val="0"/>
        <w:autoSpaceDN w:val="0"/>
        <w:adjustRightInd w:val="0"/>
        <w:spacing w:line="360" w:lineRule="auto"/>
        <w:ind w:firstLine="3080" w:firstLineChars="700"/>
        <w:rPr>
          <w:rFonts w:ascii="宋体" w:hAnsi="宋体"/>
          <w:color w:val="auto"/>
          <w:sz w:val="44"/>
          <w:highlight w:val="none"/>
        </w:rPr>
      </w:pPr>
      <w:bookmarkStart w:id="163" w:name="_Toc26337_WPSOffice_Level2"/>
      <w:bookmarkStart w:id="164" w:name="_Toc22614_WPSOffice_Level2"/>
      <w:r>
        <w:rPr>
          <w:rFonts w:hint="eastAsia" w:ascii="宋体" w:hAnsi="宋体"/>
          <w:color w:val="auto"/>
          <w:sz w:val="44"/>
          <w:highlight w:val="none"/>
        </w:rPr>
        <w:t>（正本/副本）</w:t>
      </w:r>
      <w:bookmarkEnd w:id="163"/>
      <w:bookmarkEnd w:id="164"/>
    </w:p>
    <w:p>
      <w:pPr>
        <w:pStyle w:val="2"/>
        <w:spacing w:line="360" w:lineRule="auto"/>
        <w:rPr>
          <w:rFonts w:ascii="宋体" w:hAnsi="宋体"/>
          <w:color w:val="auto"/>
          <w:sz w:val="44"/>
          <w:highlight w:val="none"/>
        </w:rPr>
      </w:pPr>
    </w:p>
    <w:p>
      <w:pPr>
        <w:pStyle w:val="2"/>
        <w:spacing w:line="360" w:lineRule="auto"/>
        <w:rPr>
          <w:rFonts w:ascii="宋体" w:hAnsi="宋体"/>
          <w:color w:val="auto"/>
          <w:sz w:val="44"/>
          <w:highlight w:val="none"/>
        </w:rPr>
      </w:pPr>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rPr>
      </w:pPr>
      <w:bookmarkStart w:id="165" w:name="_Toc30289_WPSOffice_Level2"/>
      <w:bookmarkStart w:id="166" w:name="_Toc14986_WPSOffice_Level2"/>
      <w:r>
        <w:rPr>
          <w:rFonts w:hint="eastAsia" w:ascii="宋体" w:hAnsi="宋体"/>
          <w:color w:val="auto"/>
          <w:sz w:val="32"/>
          <w:szCs w:val="32"/>
          <w:highlight w:val="none"/>
        </w:rPr>
        <w:t>项目编号：</w:t>
      </w:r>
      <w:bookmarkEnd w:id="165"/>
      <w:bookmarkEnd w:id="166"/>
      <w:r>
        <w:rPr>
          <w:rFonts w:hint="eastAsia" w:ascii="宋体" w:hAnsi="宋体"/>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hint="eastAsia" w:ascii="宋体" w:hAnsi="宋体"/>
          <w:color w:val="auto"/>
          <w:sz w:val="32"/>
          <w:szCs w:val="32"/>
          <w:highlight w:val="none"/>
          <w:u w:val="single"/>
        </w:rPr>
      </w:pPr>
      <w:bookmarkStart w:id="167" w:name="_Toc30244_WPSOffice_Level2"/>
      <w:bookmarkStart w:id="168" w:name="_Toc27590_WPSOffice_Level2"/>
      <w:r>
        <w:rPr>
          <w:rFonts w:hint="eastAsia" w:ascii="宋体" w:hAnsi="宋体"/>
          <w:color w:val="auto"/>
          <w:sz w:val="32"/>
          <w:szCs w:val="32"/>
          <w:highlight w:val="none"/>
        </w:rPr>
        <w:t>项目名称：</w:t>
      </w:r>
      <w:bookmarkEnd w:id="167"/>
      <w:bookmarkEnd w:id="168"/>
      <w:r>
        <w:rPr>
          <w:rFonts w:hint="eastAsia" w:ascii="宋体" w:hAnsi="宋体"/>
          <w:color w:val="auto"/>
          <w:sz w:val="32"/>
          <w:szCs w:val="32"/>
          <w:highlight w:val="none"/>
          <w:u w:val="single"/>
        </w:rPr>
        <w:t xml:space="preserve">                     </w:t>
      </w:r>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rPr>
      </w:pPr>
      <w:bookmarkStart w:id="169" w:name="_Toc1272_WPSOffice_Level2"/>
      <w:bookmarkStart w:id="170" w:name="_Toc30720_WPSOffice_Level2"/>
      <w:r>
        <w:rPr>
          <w:rFonts w:hint="eastAsia" w:ascii="宋体" w:hAnsi="宋体"/>
          <w:color w:val="auto"/>
          <w:sz w:val="32"/>
          <w:szCs w:val="32"/>
          <w:highlight w:val="none"/>
        </w:rPr>
        <w:t>供 应 商：</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（公章）</w:t>
      </w:r>
      <w:bookmarkEnd w:id="169"/>
      <w:bookmarkEnd w:id="170"/>
    </w:p>
    <w:p>
      <w:pPr>
        <w:autoSpaceDE w:val="0"/>
        <w:autoSpaceDN w:val="0"/>
        <w:adjustRightInd w:val="0"/>
        <w:snapToGrid w:val="0"/>
        <w:spacing w:after="156" w:afterLines="50" w:line="360" w:lineRule="auto"/>
        <w:ind w:firstLine="640" w:firstLineChars="200"/>
        <w:rPr>
          <w:rFonts w:ascii="宋体" w:hAnsi="宋体"/>
          <w:color w:val="auto"/>
          <w:sz w:val="32"/>
          <w:szCs w:val="32"/>
          <w:highlight w:val="none"/>
        </w:rPr>
      </w:pPr>
      <w:bookmarkStart w:id="171" w:name="_Toc18121_WPSOffice_Level2"/>
      <w:bookmarkStart w:id="172" w:name="_Toc20218_WPSOffice_Level2"/>
      <w:r>
        <w:rPr>
          <w:rFonts w:hint="eastAsia" w:ascii="宋体" w:hAnsi="宋体"/>
          <w:color w:val="auto"/>
          <w:sz w:val="32"/>
          <w:szCs w:val="32"/>
          <w:highlight w:val="none"/>
        </w:rPr>
        <w:t>日    期：</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年</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月</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日</w:t>
      </w:r>
      <w:bookmarkEnd w:id="171"/>
      <w:bookmarkEnd w:id="172"/>
    </w:p>
    <w:p>
      <w:pPr>
        <w:spacing w:line="360" w:lineRule="auto"/>
        <w:jc w:val="center"/>
        <w:rPr>
          <w:color w:val="auto"/>
          <w:szCs w:val="28"/>
          <w:highlight w:val="none"/>
        </w:rPr>
      </w:pPr>
      <w:r>
        <w:rPr>
          <w:color w:val="auto"/>
          <w:highlight w:val="none"/>
        </w:rPr>
        <w:br w:type="page"/>
      </w:r>
      <w:bookmarkStart w:id="173" w:name="_Toc217446087"/>
      <w:r>
        <w:rPr>
          <w:rFonts w:hint="eastAsia"/>
          <w:b/>
          <w:bCs/>
          <w:color w:val="auto"/>
          <w:sz w:val="28"/>
          <w:szCs w:val="36"/>
          <w:highlight w:val="none"/>
        </w:rPr>
        <w:t>目录（自拟）</w:t>
      </w:r>
    </w:p>
    <w:p>
      <w:pPr>
        <w:spacing w:line="360" w:lineRule="auto"/>
        <w:rPr>
          <w:color w:val="auto"/>
          <w:highlight w:val="none"/>
        </w:rPr>
      </w:pPr>
      <w:r>
        <w:rPr>
          <w:rFonts w:hint="eastAsia"/>
          <w:color w:val="auto"/>
          <w:highlight w:val="none"/>
        </w:rPr>
        <w:br w:type="page"/>
      </w:r>
    </w:p>
    <w:p>
      <w:pPr>
        <w:pStyle w:val="4"/>
        <w:spacing w:before="0" w:after="0" w:line="360" w:lineRule="auto"/>
        <w:jc w:val="center"/>
        <w:rPr>
          <w:color w:val="auto"/>
          <w:highlight w:val="none"/>
        </w:rPr>
      </w:pPr>
      <w:bookmarkStart w:id="174" w:name="_Toc9114"/>
      <w:r>
        <w:rPr>
          <w:rFonts w:hint="eastAsia"/>
          <w:color w:val="auto"/>
          <w:highlight w:val="none"/>
        </w:rPr>
        <w:t>一、响应函</w:t>
      </w:r>
      <w:bookmarkEnd w:id="174"/>
    </w:p>
    <w:p>
      <w:pPr>
        <w:pStyle w:val="11"/>
        <w:spacing w:after="0" w:line="360" w:lineRule="auto"/>
        <w:ind w:left="0" w:leftChars="0"/>
        <w:jc w:val="left"/>
        <w:rPr>
          <w:rFonts w:ascii="宋体" w:hAnsi="宋体"/>
          <w:bCs/>
          <w:color w:val="auto"/>
          <w:sz w:val="24"/>
          <w:highlight w:val="none"/>
        </w:rPr>
      </w:pPr>
      <w:r>
        <w:rPr>
          <w:rFonts w:hint="eastAsia" w:ascii="宋体" w:hAnsi="宋体"/>
          <w:color w:val="auto"/>
          <w:sz w:val="24"/>
          <w:highlight w:val="none"/>
          <w:u w:val="single"/>
        </w:rPr>
        <w:t>四川易通天和招标代理有限公司</w:t>
      </w:r>
      <w:r>
        <w:rPr>
          <w:rFonts w:hint="eastAsia" w:ascii="宋体" w:hAnsi="宋体"/>
          <w:bCs/>
          <w:color w:val="auto"/>
          <w:sz w:val="24"/>
          <w:highlight w:val="none"/>
        </w:rPr>
        <w:t>（采购代理机构名称）：</w:t>
      </w:r>
    </w:p>
    <w:p>
      <w:pPr>
        <w:pStyle w:val="11"/>
        <w:spacing w:after="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rPr>
        <w:t>我方全面研究了 “</w:t>
      </w:r>
      <w:r>
        <w:rPr>
          <w:rFonts w:hint="eastAsia" w:ascii="宋体" w:hAnsi="宋体"/>
          <w:bCs/>
          <w:color w:val="auto"/>
          <w:sz w:val="24"/>
          <w:highlight w:val="none"/>
          <w:u w:val="single"/>
        </w:rPr>
        <w:t xml:space="preserve">           </w:t>
      </w:r>
      <w:r>
        <w:rPr>
          <w:rFonts w:hint="eastAsia" w:ascii="宋体" w:hAnsi="宋体"/>
          <w:bCs/>
          <w:color w:val="auto"/>
          <w:sz w:val="24"/>
          <w:highlight w:val="none"/>
        </w:rPr>
        <w:t>”（项目名称）（项目编号：</w:t>
      </w:r>
      <w:r>
        <w:rPr>
          <w:rFonts w:hint="eastAsia" w:ascii="宋体" w:hAnsi="宋体"/>
          <w:bCs/>
          <w:color w:val="auto"/>
          <w:sz w:val="24"/>
          <w:highlight w:val="none"/>
          <w:u w:val="single"/>
        </w:rPr>
        <w:t xml:space="preserve">       </w:t>
      </w:r>
      <w:r>
        <w:rPr>
          <w:rFonts w:hint="eastAsia" w:ascii="宋体" w:hAnsi="宋体" w:eastAsia="宋体"/>
          <w:color w:val="auto"/>
          <w:sz w:val="24"/>
          <w:highlight w:val="none"/>
          <w:u w:val="none"/>
          <w:lang w:val="en-US" w:eastAsia="zh-CN"/>
        </w:rPr>
        <w:t>包号：</w:t>
      </w:r>
      <w:r>
        <w:rPr>
          <w:rFonts w:hint="eastAsia" w:ascii="宋体" w:hAnsi="宋体" w:eastAsia="宋体"/>
          <w:color w:val="auto"/>
          <w:sz w:val="24"/>
          <w:highlight w:val="none"/>
          <w:u w:val="single"/>
          <w:lang w:val="en-US" w:eastAsia="zh-CN"/>
        </w:rPr>
        <w:t xml:space="preserve">      </w:t>
      </w:r>
      <w:r>
        <w:rPr>
          <w:rFonts w:hint="eastAsia" w:ascii="宋体" w:hAnsi="宋体"/>
          <w:bCs/>
          <w:color w:val="auto"/>
          <w:sz w:val="24"/>
          <w:highlight w:val="none"/>
        </w:rPr>
        <w:t>）磋商文件，决定参加贵单位组织的本项目磋商采购。</w:t>
      </w:r>
    </w:p>
    <w:p>
      <w:pPr>
        <w:pStyle w:val="11"/>
        <w:spacing w:after="0" w:line="360" w:lineRule="auto"/>
        <w:ind w:left="0" w:leftChars="0"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1、我方自愿按照磋商文件规定的各项要求向采购人提供所需服务，第一次总报价为“第一次报价一览表”中所述价格。</w:t>
      </w:r>
    </w:p>
    <w:p>
      <w:pPr>
        <w:pStyle w:val="11"/>
        <w:numPr>
          <w:ilvl w:val="0"/>
          <w:numId w:val="7"/>
        </w:numPr>
        <w:spacing w:after="0" w:line="360" w:lineRule="auto"/>
        <w:ind w:left="0" w:leftChars="0"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一旦我方成交，我方将严格履行合同规定的责任和义务，保证于合同签字生效后按合同约定时间完成，并交付采购人验收、使用。</w:t>
      </w:r>
    </w:p>
    <w:p>
      <w:pPr>
        <w:pStyle w:val="11"/>
        <w:numPr>
          <w:ilvl w:val="0"/>
          <w:numId w:val="7"/>
        </w:numPr>
        <w:spacing w:after="0" w:line="360" w:lineRule="auto"/>
        <w:ind w:left="0" w:leftChars="0"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我方同意本磋商文件依据《四川省政府采购当事人诚信管理办法》（川财采〔2015〕33号文件）对我方可能存在的失信行为进行惩戒。</w:t>
      </w:r>
    </w:p>
    <w:p>
      <w:pPr>
        <w:pStyle w:val="11"/>
        <w:spacing w:after="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、我方为本项目提交的响应文件正本</w:t>
      </w:r>
      <w:r>
        <w:rPr>
          <w:rFonts w:hint="eastAsia" w:ascii="宋体" w:hAnsi="宋体"/>
          <w:bCs/>
          <w:color w:val="auto"/>
          <w:sz w:val="24"/>
          <w:highlight w:val="none"/>
          <w:u w:val="single"/>
        </w:rPr>
        <w:t xml:space="preserve"> 壹 </w:t>
      </w:r>
      <w:r>
        <w:rPr>
          <w:rFonts w:hint="eastAsia" w:ascii="宋体" w:hAnsi="宋体"/>
          <w:bCs/>
          <w:color w:val="auto"/>
          <w:sz w:val="24"/>
          <w:highlight w:val="none"/>
        </w:rPr>
        <w:t>份、副本</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贰</w:t>
      </w:r>
      <w:r>
        <w:rPr>
          <w:rFonts w:hint="eastAsia" w:ascii="宋体" w:hAnsi="宋体"/>
          <w:color w:val="auto"/>
          <w:sz w:val="24"/>
          <w:highlight w:val="none"/>
          <w:u w:val="single"/>
        </w:rPr>
        <w:t xml:space="preserve"> </w:t>
      </w:r>
      <w:r>
        <w:rPr>
          <w:rFonts w:hint="eastAsia" w:ascii="宋体" w:hAnsi="宋体"/>
          <w:bCs/>
          <w:color w:val="auto"/>
          <w:sz w:val="24"/>
          <w:highlight w:val="none"/>
        </w:rPr>
        <w:t>份、电子文档</w:t>
      </w:r>
      <w:r>
        <w:rPr>
          <w:rFonts w:hint="eastAsia" w:ascii="宋体" w:hAnsi="宋体"/>
          <w:bCs/>
          <w:color w:val="auto"/>
          <w:sz w:val="24"/>
          <w:highlight w:val="none"/>
          <w:u w:val="single"/>
        </w:rPr>
        <w:t xml:space="preserve"> 壹 </w:t>
      </w:r>
      <w:r>
        <w:rPr>
          <w:rFonts w:hint="eastAsia" w:ascii="宋体" w:hAnsi="宋体"/>
          <w:bCs/>
          <w:color w:val="auto"/>
          <w:sz w:val="24"/>
          <w:highlight w:val="none"/>
        </w:rPr>
        <w:t>份，本次磋商，我方递交的</w:t>
      </w:r>
      <w:r>
        <w:rPr>
          <w:rFonts w:hint="eastAsia" w:ascii="宋体" w:hAnsi="宋体"/>
          <w:color w:val="auto"/>
          <w:sz w:val="24"/>
          <w:highlight w:val="none"/>
        </w:rPr>
        <w:t>响应文件有效期为递交磋商响应文件截止之日起</w:t>
      </w:r>
      <w:r>
        <w:rPr>
          <w:rFonts w:hint="eastAsia" w:ascii="宋体" w:hAnsi="宋体"/>
          <w:color w:val="auto"/>
          <w:sz w:val="24"/>
          <w:highlight w:val="none"/>
          <w:u w:val="single"/>
        </w:rPr>
        <w:t>90天</w:t>
      </w:r>
      <w:r>
        <w:rPr>
          <w:rFonts w:hint="eastAsia" w:ascii="宋体" w:hAnsi="宋体"/>
          <w:bCs/>
          <w:color w:val="auto"/>
          <w:sz w:val="24"/>
          <w:highlight w:val="none"/>
        </w:rPr>
        <w:t>。</w:t>
      </w:r>
    </w:p>
    <w:p>
      <w:pPr>
        <w:pStyle w:val="11"/>
        <w:spacing w:after="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、我方愿意提供贵单位可能另外要求的，与磋商有关的文件资料，并保证我方已提供和将要提供的文件资料是真实、准确的。</w:t>
      </w:r>
    </w:p>
    <w:p>
      <w:pPr>
        <w:pStyle w:val="11"/>
        <w:spacing w:after="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、国家或行业主管部门对采购产品的技术标准、质量标准和资格资质条件等有强制性规定的，我方承诺符合其要求。</w:t>
      </w:r>
    </w:p>
    <w:p>
      <w:pPr>
        <w:pStyle w:val="11"/>
        <w:spacing w:after="0" w:line="360" w:lineRule="auto"/>
        <w:ind w:left="0" w:leftChars="0" w:firstLine="480" w:firstLineChars="200"/>
        <w:jc w:val="left"/>
        <w:rPr>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、我方完全理解采购人不一定将合同授予最低报价的供应商的行为。</w:t>
      </w:r>
    </w:p>
    <w:p>
      <w:pPr>
        <w:adjustRightInd w:val="0"/>
        <w:spacing w:line="360" w:lineRule="auto"/>
        <w:jc w:val="left"/>
        <w:rPr>
          <w:rFonts w:ascii="宋体" w:hAnsi="宋体"/>
          <w:color w:val="auto"/>
          <w:sz w:val="24"/>
          <w:highlight w:val="none"/>
        </w:rPr>
      </w:pPr>
      <w:bookmarkStart w:id="175" w:name="_Toc217446085"/>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bookmarkEnd w:id="173"/>
    <w:bookmarkEnd w:id="175"/>
    <w:p>
      <w:pPr>
        <w:rPr>
          <w:rFonts w:hint="eastAsia"/>
          <w:color w:val="auto"/>
          <w:highlight w:val="none"/>
        </w:rPr>
      </w:pPr>
      <w:bookmarkStart w:id="176" w:name="_Toc4636_WPSOffice_Level2"/>
      <w:bookmarkStart w:id="177" w:name="_Toc17152_WPSOffice_Level2"/>
      <w:r>
        <w:rPr>
          <w:rFonts w:hint="eastAsia"/>
          <w:color w:val="auto"/>
          <w:highlight w:val="none"/>
        </w:rPr>
        <w:br w:type="page"/>
      </w:r>
    </w:p>
    <w:p>
      <w:pPr>
        <w:pStyle w:val="4"/>
        <w:spacing w:line="360" w:lineRule="auto"/>
        <w:jc w:val="center"/>
        <w:rPr>
          <w:rFonts w:hint="eastAsia" w:eastAsia="黑体"/>
          <w:color w:val="auto"/>
          <w:highlight w:val="none"/>
          <w:lang w:eastAsia="zh-CN"/>
        </w:rPr>
      </w:pPr>
      <w:bookmarkStart w:id="178" w:name="_Toc8159"/>
      <w:r>
        <w:rPr>
          <w:rFonts w:hint="eastAsia"/>
          <w:color w:val="auto"/>
          <w:highlight w:val="none"/>
        </w:rPr>
        <w:t>二、第一次报价一览表</w:t>
      </w:r>
      <w:bookmarkEnd w:id="178"/>
    </w:p>
    <w:p>
      <w:pPr>
        <w:spacing w:line="360" w:lineRule="auto"/>
        <w:jc w:val="left"/>
        <w:rPr>
          <w:rFonts w:ascii="宋体" w:hAnsi="宋体"/>
          <w:color w:val="auto"/>
          <w:sz w:val="24"/>
          <w:highlight w:val="none"/>
          <w:u w:val="single"/>
        </w:rPr>
      </w:pPr>
      <w:r>
        <w:rPr>
          <w:rFonts w:hint="eastAsia" w:ascii="宋体" w:hAnsi="宋体"/>
          <w:color w:val="auto"/>
          <w:sz w:val="24"/>
          <w:highlight w:val="none"/>
        </w:rPr>
        <w:t>项目名称：</w:t>
      </w:r>
    </w:p>
    <w:p>
      <w:pPr>
        <w:spacing w:line="360" w:lineRule="auto"/>
        <w:jc w:val="left"/>
        <w:rPr>
          <w:rFonts w:ascii="宋体" w:hAnsi="宋体"/>
          <w:color w:val="auto"/>
          <w:sz w:val="24"/>
          <w:highlight w:val="none"/>
        </w:rPr>
      </w:pPr>
      <w:r>
        <w:rPr>
          <w:rFonts w:hint="eastAsia" w:ascii="宋体" w:hAnsi="宋体"/>
          <w:color w:val="auto"/>
          <w:sz w:val="24"/>
          <w:highlight w:val="none"/>
        </w:rPr>
        <w:t>项目编号：</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5" w:type="pct"/>
            <w:vAlign w:val="center"/>
          </w:tcPr>
          <w:p>
            <w:pPr>
              <w:tabs>
                <w:tab w:val="left" w:pos="7513"/>
              </w:tabs>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项目名称</w:t>
            </w:r>
          </w:p>
        </w:tc>
        <w:tc>
          <w:tcPr>
            <w:tcW w:w="3944" w:type="pct"/>
            <w:vAlign w:val="center"/>
          </w:tcPr>
          <w:p>
            <w:pPr>
              <w:tabs>
                <w:tab w:val="left" w:pos="7513"/>
              </w:tabs>
              <w:spacing w:line="360" w:lineRule="auto"/>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5" w:type="pct"/>
            <w:vAlign w:val="center"/>
          </w:tcPr>
          <w:p>
            <w:pPr>
              <w:tabs>
                <w:tab w:val="left" w:pos="7513"/>
              </w:tabs>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项目编号</w:t>
            </w:r>
          </w:p>
        </w:tc>
        <w:tc>
          <w:tcPr>
            <w:tcW w:w="3944" w:type="pct"/>
            <w:vAlign w:val="center"/>
          </w:tcPr>
          <w:p>
            <w:pPr>
              <w:tabs>
                <w:tab w:val="left" w:pos="7513"/>
              </w:tabs>
              <w:spacing w:line="360" w:lineRule="auto"/>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5" w:type="pct"/>
            <w:vAlign w:val="center"/>
          </w:tcPr>
          <w:p>
            <w:pPr>
              <w:tabs>
                <w:tab w:val="left" w:pos="7513"/>
              </w:tabs>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供应商名称</w:t>
            </w:r>
          </w:p>
        </w:tc>
        <w:tc>
          <w:tcPr>
            <w:tcW w:w="3944" w:type="pct"/>
            <w:vAlign w:val="center"/>
          </w:tcPr>
          <w:p>
            <w:pPr>
              <w:tabs>
                <w:tab w:val="left" w:pos="7513"/>
              </w:tabs>
              <w:spacing w:line="360" w:lineRule="auto"/>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71" w:type="dxa"/>
            <w:vAlign w:val="center"/>
          </w:tcPr>
          <w:p>
            <w:pPr>
              <w:tabs>
                <w:tab w:val="left" w:pos="7513"/>
              </w:tabs>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Cs w:val="21"/>
                <w:highlight w:val="none"/>
              </w:rPr>
              <w:t>报价合计</w:t>
            </w:r>
          </w:p>
        </w:tc>
        <w:tc>
          <w:tcPr>
            <w:tcW w:w="7370" w:type="dxa"/>
            <w:vAlign w:val="center"/>
          </w:tcPr>
          <w:p>
            <w:pPr>
              <w:tabs>
                <w:tab w:val="left" w:pos="7513"/>
              </w:tabs>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人民币：</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7513"/>
              </w:tabs>
              <w:spacing w:line="360" w:lineRule="auto"/>
              <w:jc w:val="center"/>
              <w:rPr>
                <w:rFonts w:ascii="宋体" w:hAnsi="宋体" w:cs="宋体"/>
                <w:color w:val="auto"/>
                <w:kern w:val="0"/>
                <w:sz w:val="21"/>
                <w:szCs w:val="21"/>
                <w:highlight w:val="none"/>
              </w:rPr>
            </w:pPr>
            <w:r>
              <w:rPr>
                <w:rFonts w:hint="eastAsia" w:ascii="宋体" w:hAnsi="宋体" w:cs="宋体"/>
                <w:color w:val="auto"/>
                <w:kern w:val="0"/>
                <w:szCs w:val="21"/>
                <w:highlight w:val="none"/>
              </w:rPr>
              <w:t>（大写：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5" w:type="pct"/>
            <w:vAlign w:val="center"/>
          </w:tcPr>
          <w:p>
            <w:pPr>
              <w:tabs>
                <w:tab w:val="left" w:pos="7513"/>
              </w:tabs>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备注</w:t>
            </w:r>
          </w:p>
        </w:tc>
        <w:tc>
          <w:tcPr>
            <w:tcW w:w="3944" w:type="pct"/>
            <w:vAlign w:val="center"/>
          </w:tcPr>
          <w:p>
            <w:pPr>
              <w:tabs>
                <w:tab w:val="left" w:pos="7513"/>
              </w:tabs>
              <w:spacing w:line="360" w:lineRule="auto"/>
              <w:jc w:val="center"/>
              <w:rPr>
                <w:rFonts w:ascii="宋体" w:hAnsi="宋体" w:cs="宋体"/>
                <w:color w:val="auto"/>
                <w:kern w:val="0"/>
                <w:sz w:val="21"/>
                <w:szCs w:val="21"/>
                <w:highlight w:val="none"/>
              </w:rPr>
            </w:pPr>
          </w:p>
        </w:tc>
      </w:tr>
    </w:tbl>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注:1.所有报价均用人民币表示。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2.表格如不能完全表达相关内容，供应商可自行补充。</w:t>
      </w:r>
    </w:p>
    <w:p>
      <w:pPr>
        <w:spacing w:line="480" w:lineRule="auto"/>
        <w:rPr>
          <w:rFonts w:ascii="宋体" w:hAnsi="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rPr>
          <w:rFonts w:ascii="宋体" w:hAnsi="宋体"/>
          <w:color w:val="auto"/>
          <w:sz w:val="24"/>
          <w:highlight w:val="none"/>
        </w:rPr>
      </w:pPr>
    </w:p>
    <w:p>
      <w:pPr>
        <w:pStyle w:val="2"/>
        <w:rPr>
          <w:color w:val="auto"/>
          <w:highlight w:val="none"/>
        </w:rPr>
      </w:pPr>
    </w:p>
    <w:p>
      <w:pPr>
        <w:rPr>
          <w:rStyle w:val="33"/>
          <w:rFonts w:hint="eastAsia"/>
          <w:b/>
          <w:bCs/>
          <w:color w:val="auto"/>
          <w:highlight w:val="none"/>
        </w:rPr>
      </w:pPr>
      <w:r>
        <w:rPr>
          <w:rStyle w:val="33"/>
          <w:rFonts w:hint="eastAsia"/>
          <w:b/>
          <w:bCs/>
          <w:color w:val="auto"/>
          <w:highlight w:val="none"/>
        </w:rPr>
        <w:br w:type="page"/>
      </w:r>
    </w:p>
    <w:p>
      <w:pPr>
        <w:spacing w:line="360" w:lineRule="auto"/>
        <w:jc w:val="center"/>
        <w:outlineLvl w:val="1"/>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三</w:t>
      </w:r>
      <w:r>
        <w:rPr>
          <w:rFonts w:hint="eastAsia" w:asciiTheme="minorEastAsia" w:hAnsiTheme="minorEastAsia" w:eastAsiaTheme="minorEastAsia" w:cstheme="minorEastAsia"/>
          <w:b/>
          <w:bCs/>
          <w:color w:val="auto"/>
          <w:sz w:val="32"/>
          <w:szCs w:val="32"/>
          <w:highlight w:val="none"/>
        </w:rPr>
        <w:t>、分项报价明细表</w:t>
      </w:r>
    </w:p>
    <w:p>
      <w:pPr>
        <w:spacing w:line="360" w:lineRule="auto"/>
        <w:jc w:val="left"/>
        <w:rPr>
          <w:rFonts w:hint="eastAsia" w:ascii="宋体" w:hAnsi="宋体"/>
          <w:color w:val="auto"/>
          <w:sz w:val="24"/>
          <w:highlight w:val="none"/>
        </w:rPr>
      </w:pPr>
    </w:p>
    <w:p>
      <w:pPr>
        <w:spacing w:line="360" w:lineRule="auto"/>
        <w:jc w:val="left"/>
        <w:rPr>
          <w:rFonts w:ascii="宋体" w:hAnsi="宋体"/>
          <w:color w:val="auto"/>
          <w:sz w:val="24"/>
          <w:highlight w:val="none"/>
          <w:u w:val="single"/>
        </w:rPr>
      </w:pPr>
      <w:r>
        <w:rPr>
          <w:rFonts w:hint="eastAsia" w:ascii="宋体" w:hAnsi="宋体"/>
          <w:color w:val="auto"/>
          <w:sz w:val="24"/>
          <w:highlight w:val="none"/>
        </w:rPr>
        <w:t>项目名称：</w:t>
      </w:r>
    </w:p>
    <w:p>
      <w:pPr>
        <w:spacing w:line="360" w:lineRule="auto"/>
        <w:jc w:val="left"/>
        <w:rPr>
          <w:rFonts w:hint="eastAsia" w:ascii="宋体" w:hAnsi="宋体"/>
          <w:color w:val="auto"/>
          <w:sz w:val="24"/>
          <w:highlight w:val="none"/>
        </w:rPr>
      </w:pPr>
      <w:r>
        <w:rPr>
          <w:rFonts w:hint="eastAsia" w:ascii="宋体" w:hAnsi="宋体"/>
          <w:color w:val="auto"/>
          <w:sz w:val="24"/>
          <w:highlight w:val="none"/>
        </w:rPr>
        <w:t>项目编号：</w:t>
      </w:r>
    </w:p>
    <w:tbl>
      <w:tblPr>
        <w:tblStyle w:val="17"/>
        <w:tblW w:w="4996" w:type="pct"/>
        <w:tblInd w:w="0" w:type="dxa"/>
        <w:tblLayout w:type="autofit"/>
        <w:tblCellMar>
          <w:top w:w="0" w:type="dxa"/>
          <w:left w:w="108" w:type="dxa"/>
          <w:bottom w:w="0" w:type="dxa"/>
          <w:right w:w="108" w:type="dxa"/>
        </w:tblCellMar>
      </w:tblPr>
      <w:tblGrid>
        <w:gridCol w:w="426"/>
        <w:gridCol w:w="1686"/>
        <w:gridCol w:w="1774"/>
        <w:gridCol w:w="1049"/>
        <w:gridCol w:w="734"/>
        <w:gridCol w:w="1097"/>
        <w:gridCol w:w="826"/>
        <w:gridCol w:w="527"/>
        <w:gridCol w:w="1210"/>
        <w:gridCol w:w="9"/>
      </w:tblGrid>
      <w:tr>
        <w:tblPrEx>
          <w:tblCellMar>
            <w:top w:w="0" w:type="dxa"/>
            <w:left w:w="108" w:type="dxa"/>
            <w:bottom w:w="0" w:type="dxa"/>
            <w:right w:w="108" w:type="dxa"/>
          </w:tblCellMar>
        </w:tblPrEx>
        <w:trPr>
          <w:gridAfter w:val="1"/>
          <w:wAfter w:w="2" w:type="pct"/>
          <w:trHeight w:val="23" w:hRule="atLeast"/>
        </w:trPr>
        <w:tc>
          <w:tcPr>
            <w:tcW w:w="11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项目名称</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子项</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tLeast"/>
              <w:jc w:val="center"/>
              <w:outlineLvl w:val="1"/>
              <w:rPr>
                <w:rFonts w:hint="eastAsia" w:ascii="宋体" w:hAnsi="宋体" w:eastAsia="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规格型号</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tLeast"/>
              <w:jc w:val="center"/>
              <w:outlineLvl w:val="1"/>
              <w:rPr>
                <w:rFonts w:hint="eastAsia" w:ascii="宋体" w:hAnsi="宋体" w:eastAsia="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品牌</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数量</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单位</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总价</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备注</w:t>
            </w:r>
          </w:p>
        </w:tc>
      </w:tr>
      <w:tr>
        <w:tblPrEx>
          <w:tblCellMar>
            <w:top w:w="0" w:type="dxa"/>
            <w:left w:w="108" w:type="dxa"/>
            <w:bottom w:w="0" w:type="dxa"/>
            <w:right w:w="108" w:type="dxa"/>
          </w:tblCellMar>
        </w:tblPrEx>
        <w:trPr>
          <w:gridAfter w:val="1"/>
          <w:wAfter w:w="2" w:type="pct"/>
          <w:trHeight w:val="23"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主体骨架</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立柱1</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立柱2</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117</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桁架</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56</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品</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屋架</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件</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端横梁</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48</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围梁</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640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水槽</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屋脊</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冷库门</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樘</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推拉门</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樘</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9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外遮阳系统</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外遮阳骨架1</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外遮阳骨架2</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遮阳网</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1470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传动系统</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内遮阳系统</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内遮阳幕</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1354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传动系统</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内遮黑系统</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遮阳幕布</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2613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立面卷膜</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传动系统</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覆盖</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断立面隔</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438</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四周立面覆盖1</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816</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四周立面覆盖2</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屋面覆盖1</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442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屋面覆盖2</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1324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通风系统</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窗</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樘</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顶开窗传动系统</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组</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垂直开窗1</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垂直开窗2</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垂直开窗传动系统</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防虫网</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952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加热及补湿一套控制系统</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加热除湿系统</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送风管道</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96</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补湿</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气候区</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150mm厚聚氨酯双面彩钢板</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100mm厚聚氨酯双面彩钢板</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713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50mm厚挤塑板</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100mm厚聚氨脂彩钢冷库对开门</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制冷系统</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高温风冷冷凝箱式机组</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高温风冷冷凝箱式机组</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侧出风室内冷风机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铜管</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线材</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批</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新风系统</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直流静音风机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送风管</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控制器</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批</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水处理系统</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RO机</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水罐</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移动苗床</w:t>
            </w:r>
          </w:p>
        </w:tc>
        <w:tc>
          <w:tcPr>
            <w:tcW w:w="9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移动苗床</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货架苗床</w:t>
            </w:r>
          </w:p>
        </w:tc>
        <w:tc>
          <w:tcPr>
            <w:tcW w:w="9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移动苗床</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组</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补光系统</w:t>
            </w:r>
          </w:p>
        </w:tc>
        <w:tc>
          <w:tcPr>
            <w:tcW w:w="9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补光灯</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680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手推式苗床</w:t>
            </w:r>
          </w:p>
        </w:tc>
        <w:tc>
          <w:tcPr>
            <w:tcW w:w="9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手推式苗床</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供水管网</w:t>
            </w:r>
          </w:p>
        </w:tc>
        <w:tc>
          <w:tcPr>
            <w:tcW w:w="9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管件及泵组</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批</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智能物联网系统</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监控系统</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温室智能控制系统</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园区气象站</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控制中心（全拼接屏）</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软件平台</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基础设施</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场地平整</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1700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立方米</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基础</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散水</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圈梁</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排水沟</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地面硬化</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128</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透水砖铺装</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840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地布铺装</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1"/>
                <w:szCs w:val="21"/>
                <w:highlight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环氧树脂地坪</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288</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gridAfter w:val="1"/>
          <w:wAfter w:w="2" w:type="pct"/>
          <w:trHeight w:val="23"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安装调制</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项</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3"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4771"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cs="宋体"/>
                <w:color w:val="auto"/>
                <w:sz w:val="21"/>
                <w:szCs w:val="21"/>
                <w:highlight w:val="none"/>
              </w:rPr>
              <w:t xml:space="preserve">分项报价合计¥ </w:t>
            </w:r>
            <w:r>
              <w:rPr>
                <w:rFonts w:hint="eastAsia" w:ascii="宋体" w:hAnsi="宋体" w:cs="宋体"/>
                <w:color w:val="auto"/>
                <w:sz w:val="21"/>
                <w:szCs w:val="21"/>
                <w:highlight w:val="none"/>
                <w:u w:val="single"/>
              </w:rPr>
              <w:t xml:space="preserve">XXX，XXX，XXX .XX   </w:t>
            </w:r>
            <w:r>
              <w:rPr>
                <w:rFonts w:hint="eastAsia" w:ascii="宋体" w:hAnsi="宋体" w:cs="宋体"/>
                <w:color w:val="auto"/>
                <w:sz w:val="21"/>
                <w:szCs w:val="21"/>
                <w:highlight w:val="none"/>
              </w:rPr>
              <w:t xml:space="preserve">       大写：</w:t>
            </w:r>
            <w:r>
              <w:rPr>
                <w:rFonts w:hint="eastAsia" w:ascii="宋体" w:hAnsi="宋体" w:cs="宋体"/>
                <w:color w:val="auto"/>
                <w:sz w:val="21"/>
                <w:szCs w:val="21"/>
                <w:highlight w:val="none"/>
                <w:u w:val="single"/>
              </w:rPr>
              <w:t xml:space="preserve">           </w:t>
            </w:r>
          </w:p>
        </w:tc>
      </w:tr>
    </w:tbl>
    <w:p>
      <w:pPr>
        <w:widowControl/>
        <w:spacing w:line="360" w:lineRule="auto"/>
        <w:ind w:firstLine="482" w:firstLineChars="200"/>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注：1.供应商应按“分项报价明细表”的格式详细报出总价的各个组成部分的报价。</w:t>
      </w:r>
    </w:p>
    <w:p>
      <w:pPr>
        <w:widowControl/>
        <w:spacing w:line="360" w:lineRule="auto"/>
        <w:ind w:firstLine="482" w:firstLineChars="200"/>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2.“分项报价明细表”各分项报价合计应当与“第一次报价一览表”报价合计相等。</w:t>
      </w:r>
    </w:p>
    <w:p>
      <w:pPr>
        <w:widowControl/>
        <w:spacing w:line="360" w:lineRule="atLeast"/>
        <w:ind w:firstLine="472" w:firstLineChars="196"/>
        <w:jc w:val="left"/>
        <w:rPr>
          <w:rFonts w:ascii="仿宋" w:hAnsi="仿宋" w:eastAsia="仿宋"/>
          <w:b/>
          <w:color w:val="auto"/>
          <w:sz w:val="24"/>
          <w:highlight w:val="none"/>
        </w:rPr>
      </w:pPr>
    </w:p>
    <w:p>
      <w:pPr>
        <w:widowControl/>
        <w:spacing w:line="360" w:lineRule="atLeast"/>
        <w:ind w:firstLine="472" w:firstLineChars="196"/>
        <w:jc w:val="left"/>
        <w:rPr>
          <w:rFonts w:ascii="仿宋" w:hAnsi="仿宋" w:eastAsia="仿宋"/>
          <w:b/>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rPr>
          <w:rFonts w:hint="eastAsia"/>
          <w:color w:val="auto"/>
          <w:highlight w:val="none"/>
        </w:rPr>
      </w:pPr>
      <w:r>
        <w:rPr>
          <w:rFonts w:hint="eastAsia"/>
          <w:color w:val="auto"/>
          <w:highlight w:val="none"/>
        </w:rPr>
        <w:br w:type="page"/>
      </w:r>
    </w:p>
    <w:p>
      <w:pPr>
        <w:pStyle w:val="4"/>
        <w:spacing w:line="360" w:lineRule="auto"/>
        <w:jc w:val="center"/>
        <w:rPr>
          <w:rStyle w:val="33"/>
          <w:b/>
          <w:bCs/>
          <w:color w:val="auto"/>
          <w:highlight w:val="none"/>
        </w:rPr>
      </w:pPr>
      <w:bookmarkStart w:id="179" w:name="_Toc3511"/>
      <w:r>
        <w:rPr>
          <w:rStyle w:val="33"/>
          <w:rFonts w:hint="eastAsia"/>
          <w:b/>
          <w:bCs/>
          <w:color w:val="auto"/>
          <w:highlight w:val="none"/>
          <w:lang w:val="en-US" w:eastAsia="zh-CN"/>
        </w:rPr>
        <w:t>四</w:t>
      </w:r>
      <w:r>
        <w:rPr>
          <w:rStyle w:val="33"/>
          <w:rFonts w:hint="eastAsia"/>
          <w:b/>
          <w:bCs/>
          <w:color w:val="auto"/>
          <w:highlight w:val="none"/>
        </w:rPr>
        <w:t>、商务、技术、服务应答表</w:t>
      </w:r>
      <w:bookmarkEnd w:id="179"/>
    </w:p>
    <w:p>
      <w:pPr>
        <w:spacing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p>
    <w:tbl>
      <w:tblPr>
        <w:tblStyle w:val="18"/>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9"/>
        <w:gridCol w:w="1839"/>
        <w:gridCol w:w="2234"/>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98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磋商文件要求</w:t>
            </w:r>
          </w:p>
        </w:tc>
        <w:tc>
          <w:tcPr>
            <w:tcW w:w="183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响应文件应答</w:t>
            </w:r>
          </w:p>
        </w:tc>
        <w:tc>
          <w:tcPr>
            <w:tcW w:w="223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偏离情况（正偏离或负偏离或无偏离）</w:t>
            </w:r>
          </w:p>
        </w:tc>
        <w:tc>
          <w:tcPr>
            <w:tcW w:w="242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color w:val="auto"/>
                <w:szCs w:val="21"/>
                <w:highlight w:val="none"/>
              </w:rPr>
            </w:pPr>
          </w:p>
        </w:tc>
        <w:tc>
          <w:tcPr>
            <w:tcW w:w="1989" w:type="dxa"/>
          </w:tcPr>
          <w:p>
            <w:pPr>
              <w:spacing w:line="360" w:lineRule="auto"/>
              <w:jc w:val="center"/>
              <w:rPr>
                <w:rFonts w:ascii="宋体" w:hAnsi="宋体"/>
                <w:color w:val="auto"/>
                <w:szCs w:val="21"/>
                <w:highlight w:val="none"/>
              </w:rPr>
            </w:pPr>
          </w:p>
        </w:tc>
        <w:tc>
          <w:tcPr>
            <w:tcW w:w="1839" w:type="dxa"/>
          </w:tcPr>
          <w:p>
            <w:pPr>
              <w:spacing w:line="360" w:lineRule="auto"/>
              <w:jc w:val="center"/>
              <w:rPr>
                <w:rFonts w:ascii="宋体" w:hAnsi="宋体"/>
                <w:color w:val="auto"/>
                <w:szCs w:val="21"/>
                <w:highlight w:val="none"/>
              </w:rPr>
            </w:pPr>
          </w:p>
        </w:tc>
        <w:tc>
          <w:tcPr>
            <w:tcW w:w="2234" w:type="dxa"/>
          </w:tcPr>
          <w:p>
            <w:pPr>
              <w:spacing w:line="360" w:lineRule="auto"/>
              <w:jc w:val="center"/>
              <w:rPr>
                <w:rFonts w:ascii="宋体" w:hAnsi="宋体"/>
                <w:color w:val="auto"/>
                <w:szCs w:val="21"/>
                <w:highlight w:val="none"/>
              </w:rPr>
            </w:pPr>
          </w:p>
        </w:tc>
        <w:tc>
          <w:tcPr>
            <w:tcW w:w="2425"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 w:type="dxa"/>
          </w:tcPr>
          <w:p>
            <w:pPr>
              <w:spacing w:line="360" w:lineRule="auto"/>
              <w:jc w:val="center"/>
              <w:rPr>
                <w:rFonts w:ascii="宋体" w:hAnsi="宋体"/>
                <w:color w:val="auto"/>
                <w:szCs w:val="21"/>
                <w:highlight w:val="none"/>
              </w:rPr>
            </w:pPr>
          </w:p>
        </w:tc>
        <w:tc>
          <w:tcPr>
            <w:tcW w:w="1989" w:type="dxa"/>
          </w:tcPr>
          <w:p>
            <w:pPr>
              <w:spacing w:line="360" w:lineRule="auto"/>
              <w:jc w:val="center"/>
              <w:rPr>
                <w:rFonts w:ascii="宋体" w:hAnsi="宋体"/>
                <w:color w:val="auto"/>
                <w:szCs w:val="21"/>
                <w:highlight w:val="none"/>
              </w:rPr>
            </w:pPr>
          </w:p>
        </w:tc>
        <w:tc>
          <w:tcPr>
            <w:tcW w:w="1839" w:type="dxa"/>
          </w:tcPr>
          <w:p>
            <w:pPr>
              <w:spacing w:line="360" w:lineRule="auto"/>
              <w:jc w:val="center"/>
              <w:rPr>
                <w:rFonts w:ascii="宋体" w:hAnsi="宋体"/>
                <w:color w:val="auto"/>
                <w:szCs w:val="21"/>
                <w:highlight w:val="none"/>
              </w:rPr>
            </w:pPr>
          </w:p>
        </w:tc>
        <w:tc>
          <w:tcPr>
            <w:tcW w:w="2234" w:type="dxa"/>
          </w:tcPr>
          <w:p>
            <w:pPr>
              <w:spacing w:line="360" w:lineRule="auto"/>
              <w:jc w:val="center"/>
              <w:rPr>
                <w:rFonts w:ascii="宋体" w:hAnsi="宋体"/>
                <w:color w:val="auto"/>
                <w:szCs w:val="21"/>
                <w:highlight w:val="none"/>
              </w:rPr>
            </w:pPr>
          </w:p>
        </w:tc>
        <w:tc>
          <w:tcPr>
            <w:tcW w:w="2425"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color w:val="auto"/>
                <w:szCs w:val="21"/>
                <w:highlight w:val="none"/>
              </w:rPr>
            </w:pPr>
          </w:p>
        </w:tc>
        <w:tc>
          <w:tcPr>
            <w:tcW w:w="1989" w:type="dxa"/>
          </w:tcPr>
          <w:p>
            <w:pPr>
              <w:spacing w:line="360" w:lineRule="auto"/>
              <w:jc w:val="center"/>
              <w:rPr>
                <w:rFonts w:ascii="宋体" w:hAnsi="宋体"/>
                <w:color w:val="auto"/>
                <w:szCs w:val="21"/>
                <w:highlight w:val="none"/>
              </w:rPr>
            </w:pPr>
          </w:p>
        </w:tc>
        <w:tc>
          <w:tcPr>
            <w:tcW w:w="1839" w:type="dxa"/>
          </w:tcPr>
          <w:p>
            <w:pPr>
              <w:spacing w:line="360" w:lineRule="auto"/>
              <w:jc w:val="center"/>
              <w:rPr>
                <w:rFonts w:ascii="宋体" w:hAnsi="宋体"/>
                <w:color w:val="auto"/>
                <w:szCs w:val="21"/>
                <w:highlight w:val="none"/>
              </w:rPr>
            </w:pPr>
          </w:p>
        </w:tc>
        <w:tc>
          <w:tcPr>
            <w:tcW w:w="2234" w:type="dxa"/>
          </w:tcPr>
          <w:p>
            <w:pPr>
              <w:spacing w:line="360" w:lineRule="auto"/>
              <w:jc w:val="center"/>
              <w:rPr>
                <w:rFonts w:ascii="宋体" w:hAnsi="宋体"/>
                <w:color w:val="auto"/>
                <w:szCs w:val="21"/>
                <w:highlight w:val="none"/>
              </w:rPr>
            </w:pPr>
          </w:p>
        </w:tc>
        <w:tc>
          <w:tcPr>
            <w:tcW w:w="2425"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color w:val="auto"/>
                <w:szCs w:val="21"/>
                <w:highlight w:val="none"/>
              </w:rPr>
            </w:pPr>
          </w:p>
        </w:tc>
        <w:tc>
          <w:tcPr>
            <w:tcW w:w="1989" w:type="dxa"/>
          </w:tcPr>
          <w:p>
            <w:pPr>
              <w:spacing w:line="360" w:lineRule="auto"/>
              <w:jc w:val="center"/>
              <w:rPr>
                <w:rFonts w:ascii="宋体" w:hAnsi="宋体"/>
                <w:color w:val="auto"/>
                <w:szCs w:val="21"/>
                <w:highlight w:val="none"/>
              </w:rPr>
            </w:pPr>
          </w:p>
        </w:tc>
        <w:tc>
          <w:tcPr>
            <w:tcW w:w="1839" w:type="dxa"/>
          </w:tcPr>
          <w:p>
            <w:pPr>
              <w:spacing w:line="360" w:lineRule="auto"/>
              <w:jc w:val="center"/>
              <w:rPr>
                <w:rFonts w:ascii="宋体" w:hAnsi="宋体"/>
                <w:color w:val="auto"/>
                <w:szCs w:val="21"/>
                <w:highlight w:val="none"/>
              </w:rPr>
            </w:pPr>
          </w:p>
        </w:tc>
        <w:tc>
          <w:tcPr>
            <w:tcW w:w="2234" w:type="dxa"/>
          </w:tcPr>
          <w:p>
            <w:pPr>
              <w:spacing w:line="360" w:lineRule="auto"/>
              <w:jc w:val="center"/>
              <w:rPr>
                <w:rFonts w:ascii="宋体" w:hAnsi="宋体"/>
                <w:color w:val="auto"/>
                <w:szCs w:val="21"/>
                <w:highlight w:val="none"/>
              </w:rPr>
            </w:pPr>
          </w:p>
        </w:tc>
        <w:tc>
          <w:tcPr>
            <w:tcW w:w="2425"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color w:val="auto"/>
                <w:szCs w:val="21"/>
                <w:highlight w:val="none"/>
              </w:rPr>
            </w:pPr>
          </w:p>
        </w:tc>
        <w:tc>
          <w:tcPr>
            <w:tcW w:w="1989" w:type="dxa"/>
          </w:tcPr>
          <w:p>
            <w:pPr>
              <w:spacing w:line="360" w:lineRule="auto"/>
              <w:jc w:val="center"/>
              <w:rPr>
                <w:rFonts w:ascii="宋体" w:hAnsi="宋体"/>
                <w:color w:val="auto"/>
                <w:szCs w:val="21"/>
                <w:highlight w:val="none"/>
              </w:rPr>
            </w:pPr>
          </w:p>
        </w:tc>
        <w:tc>
          <w:tcPr>
            <w:tcW w:w="1839" w:type="dxa"/>
          </w:tcPr>
          <w:p>
            <w:pPr>
              <w:spacing w:line="360" w:lineRule="auto"/>
              <w:jc w:val="center"/>
              <w:rPr>
                <w:rFonts w:ascii="宋体" w:hAnsi="宋体"/>
                <w:color w:val="auto"/>
                <w:szCs w:val="21"/>
                <w:highlight w:val="none"/>
              </w:rPr>
            </w:pPr>
          </w:p>
        </w:tc>
        <w:tc>
          <w:tcPr>
            <w:tcW w:w="2234" w:type="dxa"/>
          </w:tcPr>
          <w:p>
            <w:pPr>
              <w:spacing w:line="360" w:lineRule="auto"/>
              <w:jc w:val="center"/>
              <w:rPr>
                <w:rFonts w:ascii="宋体" w:hAnsi="宋体"/>
                <w:color w:val="auto"/>
                <w:szCs w:val="21"/>
                <w:highlight w:val="none"/>
              </w:rPr>
            </w:pPr>
          </w:p>
        </w:tc>
        <w:tc>
          <w:tcPr>
            <w:tcW w:w="2425"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color w:val="auto"/>
                <w:szCs w:val="21"/>
                <w:highlight w:val="none"/>
              </w:rPr>
            </w:pPr>
          </w:p>
        </w:tc>
        <w:tc>
          <w:tcPr>
            <w:tcW w:w="1989" w:type="dxa"/>
          </w:tcPr>
          <w:p>
            <w:pPr>
              <w:spacing w:line="360" w:lineRule="auto"/>
              <w:jc w:val="center"/>
              <w:rPr>
                <w:rFonts w:ascii="宋体" w:hAnsi="宋体"/>
                <w:color w:val="auto"/>
                <w:szCs w:val="21"/>
                <w:highlight w:val="none"/>
              </w:rPr>
            </w:pPr>
          </w:p>
        </w:tc>
        <w:tc>
          <w:tcPr>
            <w:tcW w:w="1839" w:type="dxa"/>
          </w:tcPr>
          <w:p>
            <w:pPr>
              <w:spacing w:line="360" w:lineRule="auto"/>
              <w:jc w:val="center"/>
              <w:rPr>
                <w:rFonts w:ascii="宋体" w:hAnsi="宋体"/>
                <w:color w:val="auto"/>
                <w:szCs w:val="21"/>
                <w:highlight w:val="none"/>
              </w:rPr>
            </w:pPr>
          </w:p>
        </w:tc>
        <w:tc>
          <w:tcPr>
            <w:tcW w:w="2234" w:type="dxa"/>
          </w:tcPr>
          <w:p>
            <w:pPr>
              <w:spacing w:line="360" w:lineRule="auto"/>
              <w:jc w:val="center"/>
              <w:rPr>
                <w:rFonts w:ascii="宋体" w:hAnsi="宋体"/>
                <w:color w:val="auto"/>
                <w:szCs w:val="21"/>
                <w:highlight w:val="none"/>
              </w:rPr>
            </w:pPr>
          </w:p>
        </w:tc>
        <w:tc>
          <w:tcPr>
            <w:tcW w:w="2425"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color w:val="auto"/>
                <w:szCs w:val="21"/>
                <w:highlight w:val="none"/>
              </w:rPr>
            </w:pPr>
          </w:p>
        </w:tc>
        <w:tc>
          <w:tcPr>
            <w:tcW w:w="1989" w:type="dxa"/>
          </w:tcPr>
          <w:p>
            <w:pPr>
              <w:spacing w:line="360" w:lineRule="auto"/>
              <w:jc w:val="center"/>
              <w:rPr>
                <w:rFonts w:ascii="宋体" w:hAnsi="宋体"/>
                <w:color w:val="auto"/>
                <w:szCs w:val="21"/>
                <w:highlight w:val="none"/>
              </w:rPr>
            </w:pPr>
          </w:p>
        </w:tc>
        <w:tc>
          <w:tcPr>
            <w:tcW w:w="1839" w:type="dxa"/>
          </w:tcPr>
          <w:p>
            <w:pPr>
              <w:spacing w:line="360" w:lineRule="auto"/>
              <w:jc w:val="center"/>
              <w:rPr>
                <w:rFonts w:ascii="宋体" w:hAnsi="宋体"/>
                <w:color w:val="auto"/>
                <w:szCs w:val="21"/>
                <w:highlight w:val="none"/>
              </w:rPr>
            </w:pPr>
          </w:p>
        </w:tc>
        <w:tc>
          <w:tcPr>
            <w:tcW w:w="2234" w:type="dxa"/>
          </w:tcPr>
          <w:p>
            <w:pPr>
              <w:spacing w:line="360" w:lineRule="auto"/>
              <w:jc w:val="center"/>
              <w:rPr>
                <w:rFonts w:ascii="宋体" w:hAnsi="宋体"/>
                <w:color w:val="auto"/>
                <w:szCs w:val="21"/>
                <w:highlight w:val="none"/>
              </w:rPr>
            </w:pPr>
          </w:p>
        </w:tc>
        <w:tc>
          <w:tcPr>
            <w:tcW w:w="2425" w:type="dxa"/>
          </w:tcPr>
          <w:p>
            <w:pPr>
              <w:spacing w:line="360" w:lineRule="auto"/>
              <w:jc w:val="center"/>
              <w:rPr>
                <w:rFonts w:ascii="宋体" w:hAnsi="宋体"/>
                <w:color w:val="auto"/>
                <w:szCs w:val="21"/>
                <w:highlight w:val="none"/>
              </w:rPr>
            </w:pPr>
          </w:p>
        </w:tc>
      </w:tr>
    </w:tbl>
    <w:p>
      <w:pPr>
        <w:spacing w:line="360" w:lineRule="auto"/>
        <w:rPr>
          <w:color w:val="auto"/>
          <w:highlight w:val="none"/>
        </w:rPr>
      </w:pPr>
    </w:p>
    <w:p>
      <w:pPr>
        <w:widowControl/>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注：1.</w:t>
      </w:r>
      <w:r>
        <w:rPr>
          <w:rFonts w:hint="eastAsia" w:asciiTheme="minorEastAsia" w:hAnsiTheme="minorEastAsia" w:eastAsiaTheme="minorEastAsia" w:cstheme="minorEastAsia"/>
          <w:b/>
          <w:bCs/>
          <w:color w:val="auto"/>
          <w:sz w:val="24"/>
          <w:highlight w:val="none"/>
          <w:lang w:val="en-US" w:eastAsia="zh-CN"/>
        </w:rPr>
        <w:t>供应商按照磋商</w:t>
      </w:r>
      <w:r>
        <w:rPr>
          <w:rFonts w:hint="eastAsia" w:asciiTheme="minorEastAsia" w:hAnsiTheme="minorEastAsia" w:eastAsiaTheme="minorEastAsia" w:cstheme="minorEastAsia"/>
          <w:b/>
          <w:bCs/>
          <w:color w:val="auto"/>
          <w:sz w:val="24"/>
          <w:highlight w:val="none"/>
        </w:rPr>
        <w:t>文件第</w:t>
      </w:r>
      <w:r>
        <w:rPr>
          <w:rFonts w:hint="eastAsia" w:asciiTheme="minorEastAsia" w:hAnsiTheme="minorEastAsia" w:eastAsiaTheme="minorEastAsia" w:cstheme="minorEastAsia"/>
          <w:b/>
          <w:bCs/>
          <w:color w:val="auto"/>
          <w:sz w:val="24"/>
          <w:highlight w:val="none"/>
          <w:lang w:val="en-US" w:eastAsia="zh-CN"/>
        </w:rPr>
        <w:t>五</w:t>
      </w:r>
      <w:r>
        <w:rPr>
          <w:rFonts w:hint="eastAsia" w:asciiTheme="minorEastAsia" w:hAnsiTheme="minorEastAsia" w:eastAsiaTheme="minorEastAsia" w:cstheme="minorEastAsia"/>
          <w:b/>
          <w:bCs/>
          <w:color w:val="auto"/>
          <w:sz w:val="24"/>
          <w:highlight w:val="none"/>
        </w:rPr>
        <w:t>章“</w:t>
      </w:r>
      <w:r>
        <w:rPr>
          <w:rFonts w:hint="eastAsia" w:asciiTheme="minorEastAsia" w:hAnsiTheme="minorEastAsia" w:eastAsiaTheme="minorEastAsia" w:cstheme="minorEastAsia"/>
          <w:b/>
          <w:bCs/>
          <w:color w:val="auto"/>
          <w:sz w:val="24"/>
          <w:highlight w:val="none"/>
          <w:lang w:val="en-US" w:eastAsia="zh-CN"/>
        </w:rPr>
        <w:t>技术参数要求</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其他要求、商务要求</w:t>
      </w:r>
      <w:r>
        <w:rPr>
          <w:rFonts w:hint="eastAsia" w:asciiTheme="minorEastAsia" w:hAnsiTheme="minorEastAsia" w:eastAsiaTheme="minorEastAsia" w:cstheme="minorEastAsia"/>
          <w:b/>
          <w:bCs/>
          <w:color w:val="auto"/>
          <w:sz w:val="24"/>
          <w:highlight w:val="none"/>
        </w:rPr>
        <w:t>”全部列入此表进行应答。</w:t>
      </w:r>
    </w:p>
    <w:p>
      <w:pPr>
        <w:widowControl/>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2．按照</w:t>
      </w:r>
      <w:r>
        <w:rPr>
          <w:rFonts w:hint="eastAsia" w:asciiTheme="minorEastAsia" w:hAnsiTheme="minorEastAsia" w:eastAsiaTheme="minorEastAsia" w:cstheme="minorEastAsia"/>
          <w:b/>
          <w:bCs/>
          <w:color w:val="auto"/>
          <w:sz w:val="24"/>
          <w:highlight w:val="none"/>
          <w:lang w:val="en-US" w:eastAsia="zh-CN"/>
        </w:rPr>
        <w:t>采购</w:t>
      </w:r>
      <w:r>
        <w:rPr>
          <w:rFonts w:hint="eastAsia" w:asciiTheme="minorEastAsia" w:hAnsiTheme="minorEastAsia" w:eastAsiaTheme="minorEastAsia" w:cstheme="minorEastAsia"/>
          <w:b/>
          <w:bCs/>
          <w:color w:val="auto"/>
          <w:sz w:val="24"/>
          <w:highlight w:val="none"/>
        </w:rPr>
        <w:t>项目“</w:t>
      </w:r>
      <w:r>
        <w:rPr>
          <w:rFonts w:hint="eastAsia" w:asciiTheme="minorEastAsia" w:hAnsiTheme="minorEastAsia" w:eastAsiaTheme="minorEastAsia" w:cstheme="minorEastAsia"/>
          <w:b/>
          <w:bCs/>
          <w:color w:val="auto"/>
          <w:sz w:val="24"/>
          <w:highlight w:val="none"/>
          <w:lang w:val="en-US" w:eastAsia="zh-CN"/>
        </w:rPr>
        <w:t>技术参数要求</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其他要求、商务要求</w:t>
      </w:r>
      <w:r>
        <w:rPr>
          <w:rFonts w:hint="eastAsia" w:asciiTheme="minorEastAsia" w:hAnsiTheme="minorEastAsia" w:eastAsiaTheme="minorEastAsia" w:cstheme="minorEastAsia"/>
          <w:b/>
          <w:bCs/>
          <w:color w:val="auto"/>
          <w:sz w:val="24"/>
          <w:highlight w:val="none"/>
        </w:rPr>
        <w:t>”的顺序逐条对应填写。</w:t>
      </w:r>
    </w:p>
    <w:p>
      <w:pPr>
        <w:widowControl/>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w:t>
      </w:r>
      <w:r>
        <w:rPr>
          <w:rFonts w:hint="eastAsia" w:asciiTheme="minorEastAsia" w:hAnsiTheme="minorEastAsia" w:eastAsiaTheme="minorEastAsia" w:cstheme="minorEastAsia"/>
          <w:b/>
          <w:bCs/>
          <w:color w:val="auto"/>
          <w:sz w:val="24"/>
          <w:highlight w:val="none"/>
          <w:lang w:val="en-US" w:eastAsia="zh-CN"/>
        </w:rPr>
        <w:t>供应商</w:t>
      </w:r>
      <w:r>
        <w:rPr>
          <w:rFonts w:hint="eastAsia" w:asciiTheme="minorEastAsia" w:hAnsiTheme="minorEastAsia" w:eastAsiaTheme="minorEastAsia" w:cstheme="minorEastAsia"/>
          <w:b/>
          <w:bCs/>
          <w:color w:val="auto"/>
          <w:sz w:val="24"/>
          <w:highlight w:val="none"/>
        </w:rPr>
        <w:t>必须据实填写，不得虚假填写，否则将取消其</w:t>
      </w:r>
      <w:r>
        <w:rPr>
          <w:rFonts w:hint="eastAsia" w:asciiTheme="minorEastAsia" w:hAnsiTheme="minorEastAsia" w:eastAsiaTheme="minorEastAsia" w:cstheme="minorEastAsia"/>
          <w:b/>
          <w:bCs/>
          <w:color w:val="auto"/>
          <w:sz w:val="24"/>
          <w:highlight w:val="none"/>
          <w:lang w:val="en-US" w:eastAsia="zh-CN"/>
        </w:rPr>
        <w:t>磋商</w:t>
      </w:r>
      <w:r>
        <w:rPr>
          <w:rFonts w:hint="eastAsia" w:asciiTheme="minorEastAsia" w:hAnsiTheme="minorEastAsia" w:eastAsiaTheme="minorEastAsia" w:cstheme="minorEastAsia"/>
          <w:b/>
          <w:bCs/>
          <w:color w:val="auto"/>
          <w:sz w:val="24"/>
          <w:highlight w:val="none"/>
        </w:rPr>
        <w:t>或</w:t>
      </w:r>
      <w:r>
        <w:rPr>
          <w:rFonts w:hint="eastAsia" w:asciiTheme="minorEastAsia" w:hAnsiTheme="minorEastAsia" w:eastAsiaTheme="minorEastAsia" w:cstheme="minorEastAsia"/>
          <w:b/>
          <w:bCs/>
          <w:color w:val="auto"/>
          <w:sz w:val="24"/>
          <w:highlight w:val="none"/>
          <w:lang w:val="en-US" w:eastAsia="zh-CN"/>
        </w:rPr>
        <w:t>成交</w:t>
      </w:r>
      <w:r>
        <w:rPr>
          <w:rFonts w:hint="eastAsia" w:asciiTheme="minorEastAsia" w:hAnsiTheme="minorEastAsia" w:eastAsiaTheme="minorEastAsia" w:cstheme="minorEastAsia"/>
          <w:b/>
          <w:bCs/>
          <w:color w:val="auto"/>
          <w:sz w:val="24"/>
          <w:highlight w:val="none"/>
        </w:rPr>
        <w:t>资格。</w:t>
      </w:r>
    </w:p>
    <w:p>
      <w:pPr>
        <w:adjustRightInd w:val="0"/>
        <w:spacing w:line="360" w:lineRule="auto"/>
        <w:ind w:firstLine="480" w:firstLineChars="200"/>
        <w:jc w:val="left"/>
        <w:rPr>
          <w:rFonts w:ascii="新宋体" w:hAnsi="新宋体" w:eastAsia="新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pStyle w:val="4"/>
        <w:spacing w:before="0" w:after="0" w:line="360" w:lineRule="auto"/>
        <w:jc w:val="center"/>
        <w:rPr>
          <w:color w:val="auto"/>
          <w:highlight w:val="none"/>
        </w:rPr>
      </w:pPr>
      <w:r>
        <w:rPr>
          <w:rFonts w:hint="eastAsia"/>
          <w:color w:val="auto"/>
          <w:highlight w:val="none"/>
        </w:rPr>
        <w:br w:type="page"/>
      </w:r>
      <w:bookmarkStart w:id="180" w:name="_Toc3368"/>
      <w:r>
        <w:rPr>
          <w:rFonts w:hint="eastAsia"/>
          <w:color w:val="auto"/>
          <w:highlight w:val="none"/>
          <w:lang w:val="en-US" w:eastAsia="zh-CN"/>
        </w:rPr>
        <w:t>五</w:t>
      </w:r>
      <w:r>
        <w:rPr>
          <w:rStyle w:val="33"/>
          <w:rFonts w:hint="eastAsia"/>
          <w:b/>
          <w:bCs/>
          <w:color w:val="auto"/>
          <w:highlight w:val="none"/>
        </w:rPr>
        <w:t>、供应商基本情况表</w:t>
      </w:r>
      <w:bookmarkEnd w:id="176"/>
      <w:bookmarkEnd w:id="177"/>
      <w:bookmarkEnd w:id="180"/>
    </w:p>
    <w:tbl>
      <w:tblPr>
        <w:tblStyle w:val="17"/>
        <w:tblW w:w="934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47"/>
        <w:gridCol w:w="1063"/>
        <w:gridCol w:w="1323"/>
        <w:gridCol w:w="1394"/>
        <w:gridCol w:w="1441"/>
        <w:gridCol w:w="176"/>
        <w:gridCol w:w="1114"/>
        <w:gridCol w:w="11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hAnsi="宋体"/>
                <w:color w:val="auto"/>
                <w:kern w:val="0"/>
                <w:szCs w:val="21"/>
                <w:highlight w:val="none"/>
              </w:rPr>
              <w:t>供应商</w:t>
            </w:r>
            <w:r>
              <w:rPr>
                <w:rFonts w:hint="eastAsia" w:ascii="宋体" w:hAnsi="宋体"/>
                <w:color w:val="auto"/>
                <w:kern w:val="0"/>
                <w:szCs w:val="21"/>
                <w:highlight w:val="none"/>
              </w:rPr>
              <w:t>名称</w:t>
            </w:r>
          </w:p>
        </w:tc>
        <w:tc>
          <w:tcPr>
            <w:tcW w:w="7696" w:type="dxa"/>
            <w:gridSpan w:val="7"/>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注册地址</w:t>
            </w:r>
          </w:p>
        </w:tc>
        <w:tc>
          <w:tcPr>
            <w:tcW w:w="3780" w:type="dxa"/>
            <w:gridSpan w:val="3"/>
            <w:vAlign w:val="center"/>
          </w:tcPr>
          <w:p>
            <w:pPr>
              <w:autoSpaceDE w:val="0"/>
              <w:autoSpaceDN w:val="0"/>
              <w:adjustRightInd w:val="0"/>
              <w:spacing w:line="360" w:lineRule="auto"/>
              <w:jc w:val="center"/>
              <w:rPr>
                <w:rFonts w:ascii="宋体" w:hAnsi="宋体"/>
                <w:color w:val="auto"/>
                <w:kern w:val="0"/>
                <w:szCs w:val="21"/>
                <w:highlight w:val="none"/>
              </w:rPr>
            </w:pPr>
          </w:p>
        </w:tc>
        <w:tc>
          <w:tcPr>
            <w:tcW w:w="1441"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邮政编码</w:t>
            </w:r>
          </w:p>
        </w:tc>
        <w:tc>
          <w:tcPr>
            <w:tcW w:w="2475" w:type="dxa"/>
            <w:gridSpan w:val="3"/>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Merge w:val="restart"/>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联系方式</w:t>
            </w:r>
          </w:p>
        </w:tc>
        <w:tc>
          <w:tcPr>
            <w:tcW w:w="1063"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联系人</w:t>
            </w:r>
          </w:p>
        </w:tc>
        <w:tc>
          <w:tcPr>
            <w:tcW w:w="271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441"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电话</w:t>
            </w:r>
          </w:p>
        </w:tc>
        <w:tc>
          <w:tcPr>
            <w:tcW w:w="2475" w:type="dxa"/>
            <w:gridSpan w:val="3"/>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Merge w:val="continue"/>
            <w:vAlign w:val="center"/>
          </w:tcPr>
          <w:p>
            <w:pPr>
              <w:autoSpaceDE w:val="0"/>
              <w:autoSpaceDN w:val="0"/>
              <w:adjustRightInd w:val="0"/>
              <w:spacing w:line="360" w:lineRule="auto"/>
              <w:jc w:val="center"/>
              <w:rPr>
                <w:rFonts w:ascii="宋体" w:hAnsi="宋体"/>
                <w:color w:val="auto"/>
                <w:kern w:val="0"/>
                <w:szCs w:val="21"/>
                <w:highlight w:val="none"/>
              </w:rPr>
            </w:pPr>
          </w:p>
        </w:tc>
        <w:tc>
          <w:tcPr>
            <w:tcW w:w="1063"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传真</w:t>
            </w:r>
          </w:p>
        </w:tc>
        <w:tc>
          <w:tcPr>
            <w:tcW w:w="271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441"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网址</w:t>
            </w:r>
          </w:p>
        </w:tc>
        <w:tc>
          <w:tcPr>
            <w:tcW w:w="2475" w:type="dxa"/>
            <w:gridSpan w:val="3"/>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组织结构</w:t>
            </w:r>
          </w:p>
        </w:tc>
        <w:tc>
          <w:tcPr>
            <w:tcW w:w="7696" w:type="dxa"/>
            <w:gridSpan w:val="7"/>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法定代表人</w:t>
            </w:r>
          </w:p>
        </w:tc>
        <w:tc>
          <w:tcPr>
            <w:tcW w:w="1063"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姓名</w:t>
            </w:r>
          </w:p>
        </w:tc>
        <w:tc>
          <w:tcPr>
            <w:tcW w:w="1323" w:type="dxa"/>
            <w:vAlign w:val="center"/>
          </w:tcPr>
          <w:p>
            <w:pPr>
              <w:autoSpaceDE w:val="0"/>
              <w:autoSpaceDN w:val="0"/>
              <w:adjustRightInd w:val="0"/>
              <w:spacing w:line="360" w:lineRule="auto"/>
              <w:jc w:val="center"/>
              <w:rPr>
                <w:rFonts w:ascii="宋体" w:hAnsi="宋体"/>
                <w:color w:val="auto"/>
                <w:kern w:val="0"/>
                <w:szCs w:val="21"/>
                <w:highlight w:val="none"/>
              </w:rPr>
            </w:pPr>
          </w:p>
        </w:tc>
        <w:tc>
          <w:tcPr>
            <w:tcW w:w="1394"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技术职称</w:t>
            </w:r>
          </w:p>
        </w:tc>
        <w:tc>
          <w:tcPr>
            <w:tcW w:w="1441" w:type="dxa"/>
            <w:vAlign w:val="center"/>
          </w:tcPr>
          <w:p>
            <w:pPr>
              <w:autoSpaceDE w:val="0"/>
              <w:autoSpaceDN w:val="0"/>
              <w:adjustRightInd w:val="0"/>
              <w:spacing w:line="360" w:lineRule="auto"/>
              <w:jc w:val="center"/>
              <w:rPr>
                <w:rFonts w:ascii="宋体" w:hAnsi="宋体"/>
                <w:color w:val="auto"/>
                <w:kern w:val="0"/>
                <w:szCs w:val="21"/>
                <w:highlight w:val="none"/>
              </w:rPr>
            </w:pPr>
          </w:p>
        </w:tc>
        <w:tc>
          <w:tcPr>
            <w:tcW w:w="1290" w:type="dxa"/>
            <w:gridSpan w:val="2"/>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电话</w:t>
            </w:r>
          </w:p>
        </w:tc>
        <w:tc>
          <w:tcPr>
            <w:tcW w:w="1185" w:type="dxa"/>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技术负责人</w:t>
            </w:r>
          </w:p>
        </w:tc>
        <w:tc>
          <w:tcPr>
            <w:tcW w:w="1063"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姓名</w:t>
            </w:r>
          </w:p>
        </w:tc>
        <w:tc>
          <w:tcPr>
            <w:tcW w:w="1323" w:type="dxa"/>
            <w:vAlign w:val="center"/>
          </w:tcPr>
          <w:p>
            <w:pPr>
              <w:autoSpaceDE w:val="0"/>
              <w:autoSpaceDN w:val="0"/>
              <w:adjustRightInd w:val="0"/>
              <w:spacing w:line="360" w:lineRule="auto"/>
              <w:jc w:val="center"/>
              <w:rPr>
                <w:rFonts w:ascii="宋体" w:hAnsi="宋体"/>
                <w:color w:val="auto"/>
                <w:kern w:val="0"/>
                <w:szCs w:val="21"/>
                <w:highlight w:val="none"/>
              </w:rPr>
            </w:pPr>
          </w:p>
        </w:tc>
        <w:tc>
          <w:tcPr>
            <w:tcW w:w="1394"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技术职称</w:t>
            </w:r>
          </w:p>
        </w:tc>
        <w:tc>
          <w:tcPr>
            <w:tcW w:w="1441" w:type="dxa"/>
            <w:vAlign w:val="center"/>
          </w:tcPr>
          <w:p>
            <w:pPr>
              <w:autoSpaceDE w:val="0"/>
              <w:autoSpaceDN w:val="0"/>
              <w:adjustRightInd w:val="0"/>
              <w:spacing w:line="360" w:lineRule="auto"/>
              <w:jc w:val="center"/>
              <w:rPr>
                <w:rFonts w:ascii="宋体" w:hAnsi="宋体"/>
                <w:color w:val="auto"/>
                <w:kern w:val="0"/>
                <w:szCs w:val="21"/>
                <w:highlight w:val="none"/>
              </w:rPr>
            </w:pPr>
          </w:p>
        </w:tc>
        <w:tc>
          <w:tcPr>
            <w:tcW w:w="1290" w:type="dxa"/>
            <w:gridSpan w:val="2"/>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电话</w:t>
            </w:r>
          </w:p>
        </w:tc>
        <w:tc>
          <w:tcPr>
            <w:tcW w:w="1185" w:type="dxa"/>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成立时间</w:t>
            </w:r>
          </w:p>
        </w:tc>
        <w:tc>
          <w:tcPr>
            <w:tcW w:w="2386"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5310" w:type="dxa"/>
            <w:gridSpan w:val="5"/>
            <w:vAlign w:val="center"/>
          </w:tcPr>
          <w:p>
            <w:pPr>
              <w:autoSpaceDE w:val="0"/>
              <w:autoSpaceDN w:val="0"/>
              <w:adjustRightInd w:val="0"/>
              <w:spacing w:line="360" w:lineRule="auto"/>
              <w:ind w:firstLine="1470" w:firstLineChars="700"/>
              <w:rPr>
                <w:rFonts w:ascii="宋体" w:hAnsi="宋体"/>
                <w:color w:val="auto"/>
                <w:kern w:val="0"/>
                <w:szCs w:val="21"/>
                <w:highlight w:val="none"/>
              </w:rPr>
            </w:pPr>
            <w:r>
              <w:rPr>
                <w:rFonts w:hint="eastAsia" w:ascii="宋体" w:hAnsi="宋体"/>
                <w:color w:val="auto"/>
                <w:kern w:val="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企业资质等级</w:t>
            </w:r>
          </w:p>
        </w:tc>
        <w:tc>
          <w:tcPr>
            <w:tcW w:w="2386"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394" w:type="dxa"/>
            <w:vMerge w:val="restart"/>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其中</w:t>
            </w:r>
          </w:p>
        </w:tc>
        <w:tc>
          <w:tcPr>
            <w:tcW w:w="1617" w:type="dxa"/>
            <w:gridSpan w:val="2"/>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2299" w:type="dxa"/>
            <w:gridSpan w:val="2"/>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营业执照号</w:t>
            </w:r>
          </w:p>
        </w:tc>
        <w:tc>
          <w:tcPr>
            <w:tcW w:w="2386"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ascii="宋体" w:hAnsi="宋体"/>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高级职称人员</w:t>
            </w:r>
          </w:p>
        </w:tc>
        <w:tc>
          <w:tcPr>
            <w:tcW w:w="2299" w:type="dxa"/>
            <w:gridSpan w:val="2"/>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注册资金</w:t>
            </w:r>
          </w:p>
        </w:tc>
        <w:tc>
          <w:tcPr>
            <w:tcW w:w="2386"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ascii="宋体" w:hAnsi="宋体"/>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中级职称人员</w:t>
            </w:r>
          </w:p>
        </w:tc>
        <w:tc>
          <w:tcPr>
            <w:tcW w:w="2299" w:type="dxa"/>
            <w:gridSpan w:val="2"/>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开户银行</w:t>
            </w:r>
          </w:p>
        </w:tc>
        <w:tc>
          <w:tcPr>
            <w:tcW w:w="2386"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ascii="宋体" w:hAnsi="宋体"/>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初级职称人员</w:t>
            </w:r>
          </w:p>
        </w:tc>
        <w:tc>
          <w:tcPr>
            <w:tcW w:w="2299" w:type="dxa"/>
            <w:gridSpan w:val="2"/>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2386"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394" w:type="dxa"/>
            <w:vMerge w:val="continue"/>
            <w:vAlign w:val="center"/>
          </w:tcPr>
          <w:p>
            <w:pPr>
              <w:autoSpaceDE w:val="0"/>
              <w:autoSpaceDN w:val="0"/>
              <w:adjustRightInd w:val="0"/>
              <w:spacing w:line="360" w:lineRule="auto"/>
              <w:jc w:val="center"/>
              <w:rPr>
                <w:rFonts w:ascii="宋体" w:hAnsi="宋体"/>
                <w:color w:val="auto"/>
                <w:kern w:val="0"/>
                <w:szCs w:val="21"/>
                <w:highlight w:val="none"/>
              </w:rPr>
            </w:pPr>
          </w:p>
        </w:tc>
        <w:tc>
          <w:tcPr>
            <w:tcW w:w="1617" w:type="dxa"/>
            <w:gridSpan w:val="2"/>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技工</w:t>
            </w:r>
          </w:p>
        </w:tc>
        <w:tc>
          <w:tcPr>
            <w:tcW w:w="2299" w:type="dxa"/>
            <w:gridSpan w:val="2"/>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经营范围</w:t>
            </w:r>
          </w:p>
        </w:tc>
        <w:tc>
          <w:tcPr>
            <w:tcW w:w="7696" w:type="dxa"/>
            <w:gridSpan w:val="7"/>
            <w:vAlign w:val="center"/>
          </w:tcPr>
          <w:p>
            <w:pPr>
              <w:autoSpaceDE w:val="0"/>
              <w:autoSpaceDN w:val="0"/>
              <w:adjustRightInd w:val="0"/>
              <w:spacing w:line="360" w:lineRule="auto"/>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备注</w:t>
            </w:r>
          </w:p>
        </w:tc>
        <w:tc>
          <w:tcPr>
            <w:tcW w:w="7696" w:type="dxa"/>
            <w:gridSpan w:val="7"/>
          </w:tcPr>
          <w:p>
            <w:pPr>
              <w:autoSpaceDE w:val="0"/>
              <w:autoSpaceDN w:val="0"/>
              <w:adjustRightInd w:val="0"/>
              <w:spacing w:line="360" w:lineRule="auto"/>
              <w:jc w:val="left"/>
              <w:rPr>
                <w:rFonts w:ascii="宋体" w:hAnsi="宋体"/>
                <w:color w:val="auto"/>
                <w:kern w:val="0"/>
                <w:szCs w:val="21"/>
                <w:highlight w:val="none"/>
              </w:rPr>
            </w:pPr>
          </w:p>
        </w:tc>
      </w:tr>
    </w:tbl>
    <w:p>
      <w:pPr>
        <w:adjustRightInd w:val="0"/>
        <w:spacing w:line="360" w:lineRule="auto"/>
        <w:ind w:firstLine="480" w:firstLineChars="200"/>
        <w:jc w:val="left"/>
        <w:rPr>
          <w:rFonts w:ascii="新宋体" w:hAnsi="新宋体" w:eastAsia="新宋体"/>
          <w:color w:val="auto"/>
          <w:sz w:val="24"/>
          <w:highlight w:val="none"/>
        </w:rPr>
      </w:pPr>
      <w:bookmarkStart w:id="181" w:name="_Toc217446089"/>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ind w:firstLine="420" w:firstLineChars="200"/>
        <w:rPr>
          <w:color w:val="auto"/>
          <w:highlight w:val="none"/>
        </w:rPr>
      </w:pPr>
      <w:r>
        <w:rPr>
          <w:rFonts w:hint="eastAsia"/>
          <w:color w:val="auto"/>
          <w:highlight w:val="none"/>
        </w:rPr>
        <w:br w:type="page"/>
      </w:r>
      <w:bookmarkStart w:id="182" w:name="_Toc562_WPSOffice_Level2"/>
      <w:bookmarkStart w:id="183" w:name="_Toc1968_WPSOffice_Level2"/>
    </w:p>
    <w:p>
      <w:pPr>
        <w:pStyle w:val="4"/>
        <w:spacing w:before="0" w:after="0" w:line="360" w:lineRule="auto"/>
        <w:jc w:val="center"/>
        <w:rPr>
          <w:color w:val="auto"/>
          <w:highlight w:val="none"/>
        </w:rPr>
      </w:pPr>
      <w:bookmarkStart w:id="184" w:name="_Toc8471"/>
      <w:r>
        <w:rPr>
          <w:rFonts w:hint="eastAsia"/>
          <w:color w:val="auto"/>
          <w:highlight w:val="none"/>
          <w:lang w:val="en-US" w:eastAsia="zh-CN"/>
        </w:rPr>
        <w:t>六</w:t>
      </w:r>
      <w:r>
        <w:rPr>
          <w:rFonts w:hint="eastAsia"/>
          <w:color w:val="auto"/>
          <w:highlight w:val="none"/>
        </w:rPr>
        <w:t>、供应商类似项目业绩一览表</w:t>
      </w:r>
      <w:bookmarkEnd w:id="181"/>
      <w:bookmarkEnd w:id="182"/>
      <w:bookmarkEnd w:id="183"/>
      <w:bookmarkEnd w:id="184"/>
    </w:p>
    <w:tbl>
      <w:tblPr>
        <w:tblStyle w:val="17"/>
        <w:tblW w:w="92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70"/>
        <w:gridCol w:w="1544"/>
        <w:gridCol w:w="1415"/>
        <w:gridCol w:w="1243"/>
        <w:gridCol w:w="1350"/>
        <w:gridCol w:w="9"/>
        <w:gridCol w:w="1452"/>
        <w:gridCol w:w="11"/>
        <w:gridCol w:w="1424"/>
        <w:gridCol w:w="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tcBorders>
              <w:top w:val="single" w:color="auto" w:sz="4" w:space="0"/>
            </w:tcBorders>
            <w:vAlign w:val="center"/>
          </w:tcPr>
          <w:p>
            <w:pPr>
              <w:spacing w:line="360" w:lineRule="auto"/>
              <w:ind w:firstLine="105" w:firstLineChars="50"/>
              <w:jc w:val="center"/>
              <w:rPr>
                <w:rFonts w:ascii="宋体" w:hAnsi="宋体" w:cs="Arial"/>
                <w:b/>
                <w:color w:val="auto"/>
                <w:szCs w:val="21"/>
                <w:highlight w:val="none"/>
              </w:rPr>
            </w:pPr>
            <w:r>
              <w:rPr>
                <w:rFonts w:hint="eastAsia" w:ascii="宋体" w:hAnsi="宋体" w:cs="Arial"/>
                <w:b/>
                <w:color w:val="auto"/>
                <w:szCs w:val="21"/>
                <w:highlight w:val="none"/>
              </w:rPr>
              <w:t>年份</w:t>
            </w:r>
          </w:p>
        </w:tc>
        <w:tc>
          <w:tcPr>
            <w:tcW w:w="1544"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用户名称</w:t>
            </w:r>
          </w:p>
        </w:tc>
        <w:tc>
          <w:tcPr>
            <w:tcW w:w="1415" w:type="dxa"/>
            <w:vAlign w:val="center"/>
          </w:tcPr>
          <w:p>
            <w:pPr>
              <w:spacing w:line="360" w:lineRule="auto"/>
              <w:jc w:val="center"/>
              <w:rPr>
                <w:rFonts w:ascii="宋体" w:hAnsi="宋体" w:cs="Arial"/>
                <w:b/>
                <w:color w:val="auto"/>
                <w:szCs w:val="21"/>
                <w:highlight w:val="none"/>
              </w:rPr>
            </w:pPr>
            <w:r>
              <w:rPr>
                <w:rFonts w:ascii="宋体" w:hAnsi="宋体" w:cs="Arial"/>
                <w:b/>
                <w:color w:val="auto"/>
                <w:szCs w:val="21"/>
                <w:highlight w:val="none"/>
              </w:rPr>
              <w:t>项目名称</w:t>
            </w:r>
          </w:p>
        </w:tc>
        <w:tc>
          <w:tcPr>
            <w:tcW w:w="1243" w:type="dxa"/>
            <w:vAlign w:val="center"/>
          </w:tcPr>
          <w:p>
            <w:pPr>
              <w:spacing w:line="360" w:lineRule="auto"/>
              <w:jc w:val="center"/>
              <w:rPr>
                <w:rFonts w:ascii="宋体" w:hAnsi="宋体" w:cs="Arial"/>
                <w:b/>
                <w:color w:val="auto"/>
                <w:szCs w:val="21"/>
                <w:highlight w:val="none"/>
              </w:rPr>
            </w:pPr>
            <w:r>
              <w:rPr>
                <w:rFonts w:ascii="宋体" w:hAnsi="宋体" w:cs="Arial"/>
                <w:b/>
                <w:color w:val="auto"/>
                <w:szCs w:val="21"/>
                <w:highlight w:val="none"/>
              </w:rPr>
              <w:t>完成时间</w:t>
            </w:r>
          </w:p>
        </w:tc>
        <w:tc>
          <w:tcPr>
            <w:tcW w:w="1350" w:type="dxa"/>
            <w:vAlign w:val="center"/>
          </w:tcPr>
          <w:p>
            <w:pPr>
              <w:spacing w:line="360" w:lineRule="auto"/>
              <w:ind w:firstLine="105" w:firstLineChars="50"/>
              <w:jc w:val="center"/>
              <w:rPr>
                <w:rFonts w:ascii="宋体" w:hAnsi="宋体" w:cs="Arial"/>
                <w:b/>
                <w:color w:val="auto"/>
                <w:szCs w:val="21"/>
                <w:highlight w:val="none"/>
              </w:rPr>
            </w:pPr>
            <w:r>
              <w:rPr>
                <w:rFonts w:ascii="宋体" w:hAnsi="宋体" w:cs="Arial"/>
                <w:b/>
                <w:color w:val="auto"/>
                <w:szCs w:val="21"/>
                <w:highlight w:val="none"/>
              </w:rPr>
              <w:t>合同金额</w:t>
            </w:r>
          </w:p>
        </w:tc>
        <w:tc>
          <w:tcPr>
            <w:tcW w:w="1472" w:type="dxa"/>
            <w:gridSpan w:val="3"/>
            <w:tcBorders>
              <w:right w:val="single" w:color="auto" w:sz="4" w:space="0"/>
            </w:tcBorders>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是否通过验收</w:t>
            </w:r>
          </w:p>
        </w:tc>
        <w:tc>
          <w:tcPr>
            <w:tcW w:w="1437" w:type="dxa"/>
            <w:gridSpan w:val="2"/>
            <w:tcBorders>
              <w:right w:val="single" w:color="auto" w:sz="4" w:space="0"/>
            </w:tcBorders>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70" w:type="dxa"/>
            <w:vAlign w:val="center"/>
          </w:tcPr>
          <w:p>
            <w:pPr>
              <w:spacing w:line="360" w:lineRule="auto"/>
              <w:jc w:val="center"/>
              <w:rPr>
                <w:rFonts w:ascii="宋体" w:hAnsi="宋体" w:cs="Arial"/>
                <w:color w:val="auto"/>
                <w:szCs w:val="21"/>
                <w:highlight w:val="none"/>
              </w:rPr>
            </w:pPr>
          </w:p>
        </w:tc>
        <w:tc>
          <w:tcPr>
            <w:tcW w:w="1544" w:type="dxa"/>
            <w:vAlign w:val="center"/>
          </w:tcPr>
          <w:p>
            <w:pPr>
              <w:spacing w:line="360" w:lineRule="auto"/>
              <w:jc w:val="center"/>
              <w:rPr>
                <w:rFonts w:ascii="宋体" w:hAnsi="宋体" w:cs="Arial"/>
                <w:color w:val="auto"/>
                <w:szCs w:val="21"/>
                <w:highlight w:val="none"/>
              </w:rPr>
            </w:pPr>
          </w:p>
        </w:tc>
        <w:tc>
          <w:tcPr>
            <w:tcW w:w="1415" w:type="dxa"/>
            <w:vAlign w:val="center"/>
          </w:tcPr>
          <w:p>
            <w:pPr>
              <w:spacing w:line="360" w:lineRule="auto"/>
              <w:jc w:val="center"/>
              <w:rPr>
                <w:rFonts w:ascii="宋体" w:hAnsi="宋体" w:cs="Arial"/>
                <w:color w:val="auto"/>
                <w:szCs w:val="21"/>
                <w:highlight w:val="none"/>
              </w:rPr>
            </w:pPr>
          </w:p>
        </w:tc>
        <w:tc>
          <w:tcPr>
            <w:tcW w:w="1243" w:type="dxa"/>
            <w:vAlign w:val="center"/>
          </w:tcPr>
          <w:p>
            <w:pPr>
              <w:spacing w:line="360" w:lineRule="auto"/>
              <w:jc w:val="center"/>
              <w:rPr>
                <w:rFonts w:ascii="宋体" w:hAnsi="宋体" w:cs="Arial"/>
                <w:color w:val="auto"/>
                <w:szCs w:val="21"/>
                <w:highlight w:val="none"/>
              </w:rPr>
            </w:pPr>
          </w:p>
        </w:tc>
        <w:tc>
          <w:tcPr>
            <w:tcW w:w="1350" w:type="dxa"/>
            <w:vAlign w:val="center"/>
          </w:tcPr>
          <w:p>
            <w:pPr>
              <w:spacing w:line="360" w:lineRule="auto"/>
              <w:jc w:val="center"/>
              <w:rPr>
                <w:rFonts w:ascii="宋体" w:hAnsi="宋体" w:cs="Arial"/>
                <w:color w:val="auto"/>
                <w:szCs w:val="21"/>
                <w:highlight w:val="none"/>
              </w:rPr>
            </w:pPr>
          </w:p>
        </w:tc>
        <w:tc>
          <w:tcPr>
            <w:tcW w:w="1472" w:type="dxa"/>
            <w:gridSpan w:val="3"/>
            <w:tcBorders>
              <w:right w:val="single" w:color="auto" w:sz="4" w:space="0"/>
            </w:tcBorders>
            <w:vAlign w:val="center"/>
          </w:tcPr>
          <w:p>
            <w:pPr>
              <w:spacing w:line="360" w:lineRule="auto"/>
              <w:jc w:val="center"/>
              <w:rPr>
                <w:rFonts w:ascii="宋体" w:hAnsi="宋体" w:cs="Arial"/>
                <w:color w:val="auto"/>
                <w:szCs w:val="21"/>
                <w:highlight w:val="none"/>
              </w:rPr>
            </w:pPr>
          </w:p>
        </w:tc>
        <w:tc>
          <w:tcPr>
            <w:tcW w:w="1437" w:type="dxa"/>
            <w:gridSpan w:val="2"/>
            <w:tcBorders>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宋体" w:hAnsi="宋体" w:cs="Arial"/>
                <w:color w:val="auto"/>
                <w:szCs w:val="21"/>
                <w:highlight w:val="none"/>
              </w:rPr>
            </w:pPr>
          </w:p>
        </w:tc>
        <w:tc>
          <w:tcPr>
            <w:tcW w:w="1544" w:type="dxa"/>
            <w:vAlign w:val="center"/>
          </w:tcPr>
          <w:p>
            <w:pPr>
              <w:spacing w:line="360" w:lineRule="auto"/>
              <w:jc w:val="center"/>
              <w:rPr>
                <w:rFonts w:ascii="宋体" w:hAnsi="宋体" w:cs="Arial"/>
                <w:color w:val="auto"/>
                <w:szCs w:val="21"/>
                <w:highlight w:val="none"/>
              </w:rPr>
            </w:pPr>
          </w:p>
        </w:tc>
        <w:tc>
          <w:tcPr>
            <w:tcW w:w="1415" w:type="dxa"/>
            <w:vAlign w:val="center"/>
          </w:tcPr>
          <w:p>
            <w:pPr>
              <w:spacing w:line="360" w:lineRule="auto"/>
              <w:jc w:val="center"/>
              <w:rPr>
                <w:rFonts w:ascii="宋体" w:hAnsi="宋体" w:cs="Arial"/>
                <w:color w:val="auto"/>
                <w:szCs w:val="21"/>
                <w:highlight w:val="none"/>
              </w:rPr>
            </w:pPr>
          </w:p>
        </w:tc>
        <w:tc>
          <w:tcPr>
            <w:tcW w:w="1243" w:type="dxa"/>
            <w:vAlign w:val="center"/>
          </w:tcPr>
          <w:p>
            <w:pPr>
              <w:spacing w:line="360" w:lineRule="auto"/>
              <w:jc w:val="center"/>
              <w:rPr>
                <w:rFonts w:ascii="宋体" w:hAnsi="宋体" w:cs="Arial"/>
                <w:color w:val="auto"/>
                <w:szCs w:val="21"/>
                <w:highlight w:val="none"/>
              </w:rPr>
            </w:pPr>
          </w:p>
        </w:tc>
        <w:tc>
          <w:tcPr>
            <w:tcW w:w="1350" w:type="dxa"/>
            <w:vAlign w:val="center"/>
          </w:tcPr>
          <w:p>
            <w:pPr>
              <w:spacing w:line="360" w:lineRule="auto"/>
              <w:jc w:val="center"/>
              <w:rPr>
                <w:rFonts w:ascii="宋体" w:hAnsi="宋体" w:cs="Arial"/>
                <w:color w:val="auto"/>
                <w:szCs w:val="21"/>
                <w:highlight w:val="none"/>
              </w:rPr>
            </w:pPr>
          </w:p>
        </w:tc>
        <w:tc>
          <w:tcPr>
            <w:tcW w:w="1472" w:type="dxa"/>
            <w:gridSpan w:val="3"/>
            <w:tcBorders>
              <w:right w:val="single" w:color="auto" w:sz="4" w:space="0"/>
            </w:tcBorders>
            <w:vAlign w:val="center"/>
          </w:tcPr>
          <w:p>
            <w:pPr>
              <w:spacing w:line="360" w:lineRule="auto"/>
              <w:jc w:val="center"/>
              <w:rPr>
                <w:rFonts w:ascii="宋体" w:hAnsi="宋体" w:cs="Arial"/>
                <w:color w:val="auto"/>
                <w:szCs w:val="21"/>
                <w:highlight w:val="none"/>
              </w:rPr>
            </w:pPr>
          </w:p>
        </w:tc>
        <w:tc>
          <w:tcPr>
            <w:tcW w:w="1437" w:type="dxa"/>
            <w:gridSpan w:val="2"/>
            <w:tcBorders>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宋体" w:hAnsi="宋体" w:cs="Arial"/>
                <w:color w:val="auto"/>
                <w:szCs w:val="21"/>
                <w:highlight w:val="none"/>
              </w:rPr>
            </w:pPr>
          </w:p>
        </w:tc>
        <w:tc>
          <w:tcPr>
            <w:tcW w:w="1544" w:type="dxa"/>
            <w:vAlign w:val="center"/>
          </w:tcPr>
          <w:p>
            <w:pPr>
              <w:spacing w:line="360" w:lineRule="auto"/>
              <w:jc w:val="center"/>
              <w:rPr>
                <w:rFonts w:ascii="宋体" w:hAnsi="宋体" w:cs="Arial"/>
                <w:color w:val="auto"/>
                <w:szCs w:val="21"/>
                <w:highlight w:val="none"/>
              </w:rPr>
            </w:pPr>
          </w:p>
        </w:tc>
        <w:tc>
          <w:tcPr>
            <w:tcW w:w="1415" w:type="dxa"/>
            <w:vAlign w:val="center"/>
          </w:tcPr>
          <w:p>
            <w:pPr>
              <w:spacing w:line="360" w:lineRule="auto"/>
              <w:jc w:val="center"/>
              <w:rPr>
                <w:rFonts w:ascii="宋体" w:hAnsi="宋体" w:cs="Arial"/>
                <w:color w:val="auto"/>
                <w:szCs w:val="21"/>
                <w:highlight w:val="none"/>
              </w:rPr>
            </w:pPr>
          </w:p>
        </w:tc>
        <w:tc>
          <w:tcPr>
            <w:tcW w:w="1243" w:type="dxa"/>
            <w:vAlign w:val="center"/>
          </w:tcPr>
          <w:p>
            <w:pPr>
              <w:spacing w:line="360" w:lineRule="auto"/>
              <w:jc w:val="center"/>
              <w:rPr>
                <w:rFonts w:ascii="宋体" w:hAnsi="宋体" w:cs="Arial"/>
                <w:color w:val="auto"/>
                <w:szCs w:val="21"/>
                <w:highlight w:val="none"/>
              </w:rPr>
            </w:pPr>
          </w:p>
        </w:tc>
        <w:tc>
          <w:tcPr>
            <w:tcW w:w="1350" w:type="dxa"/>
            <w:vAlign w:val="center"/>
          </w:tcPr>
          <w:p>
            <w:pPr>
              <w:spacing w:line="360" w:lineRule="auto"/>
              <w:jc w:val="center"/>
              <w:rPr>
                <w:rFonts w:ascii="宋体" w:hAnsi="宋体" w:cs="Arial"/>
                <w:color w:val="auto"/>
                <w:szCs w:val="21"/>
                <w:highlight w:val="none"/>
              </w:rPr>
            </w:pPr>
          </w:p>
        </w:tc>
        <w:tc>
          <w:tcPr>
            <w:tcW w:w="1472" w:type="dxa"/>
            <w:gridSpan w:val="3"/>
            <w:tcBorders>
              <w:right w:val="single" w:color="auto" w:sz="4" w:space="0"/>
            </w:tcBorders>
            <w:vAlign w:val="center"/>
          </w:tcPr>
          <w:p>
            <w:pPr>
              <w:spacing w:line="360" w:lineRule="auto"/>
              <w:jc w:val="center"/>
              <w:rPr>
                <w:rFonts w:ascii="宋体" w:hAnsi="宋体" w:cs="Arial"/>
                <w:color w:val="auto"/>
                <w:szCs w:val="21"/>
                <w:highlight w:val="none"/>
              </w:rPr>
            </w:pPr>
          </w:p>
        </w:tc>
        <w:tc>
          <w:tcPr>
            <w:tcW w:w="1437" w:type="dxa"/>
            <w:gridSpan w:val="2"/>
            <w:tcBorders>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宋体" w:hAnsi="宋体" w:cs="Arial"/>
                <w:color w:val="auto"/>
                <w:szCs w:val="21"/>
                <w:highlight w:val="none"/>
              </w:rPr>
            </w:pPr>
          </w:p>
        </w:tc>
        <w:tc>
          <w:tcPr>
            <w:tcW w:w="1544" w:type="dxa"/>
            <w:tcBorders>
              <w:right w:val="single" w:color="auto" w:sz="4" w:space="0"/>
            </w:tcBorders>
            <w:vAlign w:val="center"/>
          </w:tcPr>
          <w:p>
            <w:pPr>
              <w:spacing w:line="360" w:lineRule="auto"/>
              <w:jc w:val="center"/>
              <w:rPr>
                <w:rFonts w:ascii="宋体" w:hAnsi="宋体" w:cs="Arial"/>
                <w:color w:val="auto"/>
                <w:szCs w:val="21"/>
                <w:highlight w:val="none"/>
              </w:rPr>
            </w:pPr>
          </w:p>
        </w:tc>
        <w:tc>
          <w:tcPr>
            <w:tcW w:w="1415" w:type="dxa"/>
            <w:tcBorders>
              <w:left w:val="single" w:color="auto" w:sz="4" w:space="0"/>
            </w:tcBorders>
            <w:vAlign w:val="center"/>
          </w:tcPr>
          <w:p>
            <w:pPr>
              <w:spacing w:line="360" w:lineRule="auto"/>
              <w:jc w:val="center"/>
              <w:rPr>
                <w:rFonts w:ascii="宋体" w:hAnsi="宋体" w:cs="Arial"/>
                <w:color w:val="auto"/>
                <w:szCs w:val="21"/>
                <w:highlight w:val="none"/>
              </w:rPr>
            </w:pPr>
          </w:p>
        </w:tc>
        <w:tc>
          <w:tcPr>
            <w:tcW w:w="1243" w:type="dxa"/>
            <w:vAlign w:val="center"/>
          </w:tcPr>
          <w:p>
            <w:pPr>
              <w:spacing w:line="360" w:lineRule="auto"/>
              <w:jc w:val="center"/>
              <w:rPr>
                <w:rFonts w:ascii="宋体" w:hAnsi="宋体" w:cs="Arial"/>
                <w:color w:val="auto"/>
                <w:szCs w:val="21"/>
                <w:highlight w:val="none"/>
              </w:rPr>
            </w:pPr>
          </w:p>
        </w:tc>
        <w:tc>
          <w:tcPr>
            <w:tcW w:w="1350" w:type="dxa"/>
            <w:vAlign w:val="center"/>
          </w:tcPr>
          <w:p>
            <w:pPr>
              <w:spacing w:line="360" w:lineRule="auto"/>
              <w:jc w:val="center"/>
              <w:rPr>
                <w:rFonts w:ascii="宋体" w:hAnsi="宋体" w:cs="Arial"/>
                <w:color w:val="auto"/>
                <w:szCs w:val="21"/>
                <w:highlight w:val="none"/>
              </w:rPr>
            </w:pPr>
          </w:p>
        </w:tc>
        <w:tc>
          <w:tcPr>
            <w:tcW w:w="1472" w:type="dxa"/>
            <w:gridSpan w:val="3"/>
            <w:tcBorders>
              <w:right w:val="single" w:color="auto" w:sz="4" w:space="0"/>
            </w:tcBorders>
            <w:vAlign w:val="center"/>
          </w:tcPr>
          <w:p>
            <w:pPr>
              <w:spacing w:line="360" w:lineRule="auto"/>
              <w:jc w:val="center"/>
              <w:rPr>
                <w:rFonts w:ascii="宋体" w:hAnsi="宋体" w:cs="Arial"/>
                <w:color w:val="auto"/>
                <w:szCs w:val="21"/>
                <w:highlight w:val="none"/>
              </w:rPr>
            </w:pPr>
          </w:p>
        </w:tc>
        <w:tc>
          <w:tcPr>
            <w:tcW w:w="1437" w:type="dxa"/>
            <w:gridSpan w:val="2"/>
            <w:tcBorders>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tcBorders>
              <w:right w:val="single" w:color="auto" w:sz="4" w:space="0"/>
            </w:tcBorders>
            <w:vAlign w:val="center"/>
          </w:tcPr>
          <w:p>
            <w:pPr>
              <w:spacing w:line="360" w:lineRule="auto"/>
              <w:jc w:val="center"/>
              <w:rPr>
                <w:rFonts w:ascii="宋体" w:hAnsi="宋体" w:cs="Arial"/>
                <w:color w:val="auto"/>
                <w:szCs w:val="21"/>
                <w:highlight w:val="none"/>
              </w:rPr>
            </w:pPr>
          </w:p>
        </w:tc>
        <w:tc>
          <w:tcPr>
            <w:tcW w:w="1544" w:type="dxa"/>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15" w:type="dxa"/>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243" w:type="dxa"/>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359" w:type="dxa"/>
            <w:gridSpan w:val="2"/>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63" w:type="dxa"/>
            <w:gridSpan w:val="2"/>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7" w:type="dxa"/>
            <w:gridSpan w:val="2"/>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ascii="宋体" w:hAnsi="宋体" w:cs="Arial"/>
                <w:color w:val="auto"/>
                <w:szCs w:val="21"/>
                <w:highlight w:val="none"/>
              </w:rPr>
            </w:pPr>
          </w:p>
        </w:tc>
        <w:tc>
          <w:tcPr>
            <w:tcW w:w="1544" w:type="dxa"/>
            <w:vAlign w:val="center"/>
          </w:tcPr>
          <w:p>
            <w:pPr>
              <w:spacing w:line="360" w:lineRule="auto"/>
              <w:jc w:val="center"/>
              <w:rPr>
                <w:rFonts w:ascii="宋体" w:hAnsi="宋体" w:cs="Arial"/>
                <w:color w:val="auto"/>
                <w:szCs w:val="21"/>
                <w:highlight w:val="none"/>
              </w:rPr>
            </w:pPr>
          </w:p>
        </w:tc>
        <w:tc>
          <w:tcPr>
            <w:tcW w:w="1415" w:type="dxa"/>
            <w:vAlign w:val="center"/>
          </w:tcPr>
          <w:p>
            <w:pPr>
              <w:spacing w:line="360" w:lineRule="auto"/>
              <w:jc w:val="center"/>
              <w:rPr>
                <w:rFonts w:ascii="宋体" w:hAnsi="宋体" w:cs="Arial"/>
                <w:color w:val="auto"/>
                <w:szCs w:val="21"/>
                <w:highlight w:val="none"/>
              </w:rPr>
            </w:pPr>
          </w:p>
        </w:tc>
        <w:tc>
          <w:tcPr>
            <w:tcW w:w="1243" w:type="dxa"/>
            <w:vAlign w:val="center"/>
          </w:tcPr>
          <w:p>
            <w:pPr>
              <w:spacing w:line="360" w:lineRule="auto"/>
              <w:jc w:val="center"/>
              <w:rPr>
                <w:rFonts w:ascii="宋体" w:hAnsi="宋体" w:cs="Arial"/>
                <w:color w:val="auto"/>
                <w:szCs w:val="21"/>
                <w:highlight w:val="none"/>
              </w:rPr>
            </w:pPr>
          </w:p>
        </w:tc>
        <w:tc>
          <w:tcPr>
            <w:tcW w:w="1359" w:type="dxa"/>
            <w:gridSpan w:val="2"/>
            <w:tcBorders>
              <w:right w:val="single" w:color="auto" w:sz="4" w:space="0"/>
            </w:tcBorders>
            <w:vAlign w:val="center"/>
          </w:tcPr>
          <w:p>
            <w:pPr>
              <w:spacing w:line="360" w:lineRule="auto"/>
              <w:jc w:val="center"/>
              <w:rPr>
                <w:rFonts w:ascii="宋体" w:hAnsi="宋体" w:cs="Arial"/>
                <w:color w:val="auto"/>
                <w:szCs w:val="21"/>
                <w:highlight w:val="none"/>
              </w:rPr>
            </w:pPr>
          </w:p>
        </w:tc>
        <w:tc>
          <w:tcPr>
            <w:tcW w:w="1452" w:type="dxa"/>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5" w:type="dxa"/>
            <w:gridSpan w:val="2"/>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ascii="宋体" w:hAnsi="宋体" w:cs="Arial"/>
                <w:color w:val="auto"/>
                <w:szCs w:val="21"/>
                <w:highlight w:val="none"/>
              </w:rPr>
            </w:pPr>
          </w:p>
        </w:tc>
        <w:tc>
          <w:tcPr>
            <w:tcW w:w="1544" w:type="dxa"/>
            <w:vAlign w:val="center"/>
          </w:tcPr>
          <w:p>
            <w:pPr>
              <w:spacing w:line="360" w:lineRule="auto"/>
              <w:jc w:val="center"/>
              <w:rPr>
                <w:rFonts w:ascii="宋体" w:hAnsi="宋体" w:cs="Arial"/>
                <w:color w:val="auto"/>
                <w:szCs w:val="21"/>
                <w:highlight w:val="none"/>
              </w:rPr>
            </w:pPr>
          </w:p>
        </w:tc>
        <w:tc>
          <w:tcPr>
            <w:tcW w:w="1415" w:type="dxa"/>
            <w:vAlign w:val="center"/>
          </w:tcPr>
          <w:p>
            <w:pPr>
              <w:spacing w:line="360" w:lineRule="auto"/>
              <w:jc w:val="center"/>
              <w:rPr>
                <w:rFonts w:ascii="宋体" w:hAnsi="宋体" w:cs="Arial"/>
                <w:color w:val="auto"/>
                <w:szCs w:val="21"/>
                <w:highlight w:val="none"/>
              </w:rPr>
            </w:pPr>
          </w:p>
        </w:tc>
        <w:tc>
          <w:tcPr>
            <w:tcW w:w="1243" w:type="dxa"/>
            <w:vAlign w:val="center"/>
          </w:tcPr>
          <w:p>
            <w:pPr>
              <w:spacing w:line="360" w:lineRule="auto"/>
              <w:jc w:val="center"/>
              <w:rPr>
                <w:rFonts w:ascii="宋体" w:hAnsi="宋体" w:cs="Arial"/>
                <w:color w:val="auto"/>
                <w:szCs w:val="21"/>
                <w:highlight w:val="none"/>
              </w:rPr>
            </w:pPr>
          </w:p>
        </w:tc>
        <w:tc>
          <w:tcPr>
            <w:tcW w:w="1359" w:type="dxa"/>
            <w:gridSpan w:val="2"/>
            <w:tcBorders>
              <w:right w:val="single" w:color="auto" w:sz="4" w:space="0"/>
            </w:tcBorders>
            <w:vAlign w:val="center"/>
          </w:tcPr>
          <w:p>
            <w:pPr>
              <w:spacing w:line="360" w:lineRule="auto"/>
              <w:jc w:val="center"/>
              <w:rPr>
                <w:rFonts w:ascii="宋体" w:hAnsi="宋体" w:cs="Arial"/>
                <w:color w:val="auto"/>
                <w:szCs w:val="21"/>
                <w:highlight w:val="none"/>
              </w:rPr>
            </w:pPr>
          </w:p>
        </w:tc>
        <w:tc>
          <w:tcPr>
            <w:tcW w:w="1452" w:type="dxa"/>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5" w:type="dxa"/>
            <w:gridSpan w:val="2"/>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ascii="宋体" w:hAnsi="宋体" w:cs="Arial"/>
                <w:color w:val="auto"/>
                <w:szCs w:val="21"/>
                <w:highlight w:val="none"/>
              </w:rPr>
            </w:pPr>
          </w:p>
        </w:tc>
        <w:tc>
          <w:tcPr>
            <w:tcW w:w="1544" w:type="dxa"/>
            <w:vAlign w:val="center"/>
          </w:tcPr>
          <w:p>
            <w:pPr>
              <w:spacing w:line="360" w:lineRule="auto"/>
              <w:jc w:val="center"/>
              <w:rPr>
                <w:rFonts w:ascii="宋体" w:hAnsi="宋体" w:cs="Arial"/>
                <w:color w:val="auto"/>
                <w:szCs w:val="21"/>
                <w:highlight w:val="none"/>
              </w:rPr>
            </w:pPr>
          </w:p>
        </w:tc>
        <w:tc>
          <w:tcPr>
            <w:tcW w:w="1415" w:type="dxa"/>
            <w:vAlign w:val="center"/>
          </w:tcPr>
          <w:p>
            <w:pPr>
              <w:spacing w:line="360" w:lineRule="auto"/>
              <w:jc w:val="center"/>
              <w:rPr>
                <w:rFonts w:ascii="宋体" w:hAnsi="宋体" w:cs="Arial"/>
                <w:color w:val="auto"/>
                <w:szCs w:val="21"/>
                <w:highlight w:val="none"/>
              </w:rPr>
            </w:pPr>
          </w:p>
        </w:tc>
        <w:tc>
          <w:tcPr>
            <w:tcW w:w="1243" w:type="dxa"/>
            <w:vAlign w:val="center"/>
          </w:tcPr>
          <w:p>
            <w:pPr>
              <w:spacing w:line="360" w:lineRule="auto"/>
              <w:jc w:val="center"/>
              <w:rPr>
                <w:rFonts w:ascii="宋体" w:hAnsi="宋体" w:cs="Arial"/>
                <w:color w:val="auto"/>
                <w:szCs w:val="21"/>
                <w:highlight w:val="none"/>
              </w:rPr>
            </w:pPr>
          </w:p>
        </w:tc>
        <w:tc>
          <w:tcPr>
            <w:tcW w:w="1359" w:type="dxa"/>
            <w:gridSpan w:val="2"/>
            <w:tcBorders>
              <w:right w:val="single" w:color="auto" w:sz="4" w:space="0"/>
            </w:tcBorders>
            <w:vAlign w:val="center"/>
          </w:tcPr>
          <w:p>
            <w:pPr>
              <w:spacing w:line="360" w:lineRule="auto"/>
              <w:jc w:val="center"/>
              <w:rPr>
                <w:rFonts w:ascii="宋体" w:hAnsi="宋体" w:cs="Arial"/>
                <w:color w:val="auto"/>
                <w:szCs w:val="21"/>
                <w:highlight w:val="none"/>
              </w:rPr>
            </w:pPr>
          </w:p>
        </w:tc>
        <w:tc>
          <w:tcPr>
            <w:tcW w:w="1452" w:type="dxa"/>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5" w:type="dxa"/>
            <w:gridSpan w:val="2"/>
            <w:tcBorders>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510" w:hRule="atLeast"/>
          <w:jc w:val="center"/>
        </w:trPr>
        <w:tc>
          <w:tcPr>
            <w:tcW w:w="770" w:type="dxa"/>
            <w:tcBorders>
              <w:bottom w:val="single" w:color="auto" w:sz="4" w:space="0"/>
            </w:tcBorders>
            <w:vAlign w:val="center"/>
          </w:tcPr>
          <w:p>
            <w:pPr>
              <w:spacing w:line="360" w:lineRule="auto"/>
              <w:jc w:val="center"/>
              <w:rPr>
                <w:rFonts w:ascii="宋体" w:hAnsi="宋体" w:cs="Arial"/>
                <w:color w:val="auto"/>
                <w:szCs w:val="21"/>
                <w:highlight w:val="none"/>
              </w:rPr>
            </w:pPr>
          </w:p>
        </w:tc>
        <w:tc>
          <w:tcPr>
            <w:tcW w:w="1544" w:type="dxa"/>
            <w:tcBorders>
              <w:bottom w:val="single" w:color="auto" w:sz="4" w:space="0"/>
            </w:tcBorders>
            <w:vAlign w:val="center"/>
          </w:tcPr>
          <w:p>
            <w:pPr>
              <w:spacing w:line="360" w:lineRule="auto"/>
              <w:jc w:val="center"/>
              <w:rPr>
                <w:rFonts w:ascii="宋体" w:hAnsi="宋体" w:cs="Arial"/>
                <w:color w:val="auto"/>
                <w:szCs w:val="21"/>
                <w:highlight w:val="none"/>
              </w:rPr>
            </w:pPr>
          </w:p>
        </w:tc>
        <w:tc>
          <w:tcPr>
            <w:tcW w:w="1415" w:type="dxa"/>
            <w:tcBorders>
              <w:bottom w:val="single" w:color="auto" w:sz="4" w:space="0"/>
            </w:tcBorders>
            <w:vAlign w:val="center"/>
          </w:tcPr>
          <w:p>
            <w:pPr>
              <w:spacing w:line="360" w:lineRule="auto"/>
              <w:jc w:val="center"/>
              <w:rPr>
                <w:rFonts w:ascii="宋体" w:hAnsi="宋体" w:cs="Arial"/>
                <w:color w:val="auto"/>
                <w:szCs w:val="21"/>
                <w:highlight w:val="none"/>
              </w:rPr>
            </w:pPr>
          </w:p>
        </w:tc>
        <w:tc>
          <w:tcPr>
            <w:tcW w:w="1243" w:type="dxa"/>
            <w:tcBorders>
              <w:bottom w:val="single" w:color="auto" w:sz="4" w:space="0"/>
            </w:tcBorders>
            <w:vAlign w:val="center"/>
          </w:tcPr>
          <w:p>
            <w:pPr>
              <w:spacing w:line="360" w:lineRule="auto"/>
              <w:jc w:val="center"/>
              <w:rPr>
                <w:rFonts w:ascii="宋体" w:hAnsi="宋体" w:cs="Arial"/>
                <w:color w:val="auto"/>
                <w:szCs w:val="21"/>
                <w:highlight w:val="none"/>
              </w:rPr>
            </w:pPr>
          </w:p>
        </w:tc>
        <w:tc>
          <w:tcPr>
            <w:tcW w:w="1359" w:type="dxa"/>
            <w:gridSpan w:val="2"/>
            <w:tcBorders>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52"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5" w:type="dxa"/>
            <w:gridSpan w:val="2"/>
            <w:tcBorders>
              <w:left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15" w:hRule="atLeast"/>
          <w:jc w:val="center"/>
        </w:trPr>
        <w:tc>
          <w:tcPr>
            <w:tcW w:w="770"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544"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415"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243"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15" w:hRule="atLeast"/>
          <w:jc w:val="center"/>
        </w:trPr>
        <w:tc>
          <w:tcPr>
            <w:tcW w:w="770"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544"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415"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243"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450" w:hRule="atLeast"/>
          <w:jc w:val="center"/>
        </w:trPr>
        <w:tc>
          <w:tcPr>
            <w:tcW w:w="770"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544"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415"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243" w:type="dxa"/>
            <w:tcBorders>
              <w:top w:val="single" w:color="auto" w:sz="4" w:space="0"/>
              <w:bottom w:val="single" w:color="auto" w:sz="4" w:space="0"/>
            </w:tcBorders>
            <w:vAlign w:val="center"/>
          </w:tcPr>
          <w:p>
            <w:pPr>
              <w:spacing w:line="360" w:lineRule="auto"/>
              <w:jc w:val="center"/>
              <w:rPr>
                <w:rFonts w:ascii="宋体" w:hAnsi="宋体" w:cs="Arial"/>
                <w:color w:val="auto"/>
                <w:szCs w:val="21"/>
                <w:highlight w:val="none"/>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435" w:hRule="atLeast"/>
          <w:jc w:val="center"/>
        </w:trPr>
        <w:tc>
          <w:tcPr>
            <w:tcW w:w="770" w:type="dxa"/>
            <w:tcBorders>
              <w:top w:val="single" w:color="auto" w:sz="4" w:space="0"/>
            </w:tcBorders>
            <w:vAlign w:val="center"/>
          </w:tcPr>
          <w:p>
            <w:pPr>
              <w:spacing w:line="360" w:lineRule="auto"/>
              <w:jc w:val="center"/>
              <w:rPr>
                <w:rFonts w:ascii="宋体" w:hAnsi="宋体" w:cs="Arial"/>
                <w:color w:val="auto"/>
                <w:szCs w:val="21"/>
                <w:highlight w:val="none"/>
              </w:rPr>
            </w:pPr>
          </w:p>
        </w:tc>
        <w:tc>
          <w:tcPr>
            <w:tcW w:w="1544" w:type="dxa"/>
            <w:tcBorders>
              <w:top w:val="single" w:color="auto" w:sz="4" w:space="0"/>
            </w:tcBorders>
            <w:vAlign w:val="center"/>
          </w:tcPr>
          <w:p>
            <w:pPr>
              <w:spacing w:line="360" w:lineRule="auto"/>
              <w:jc w:val="center"/>
              <w:rPr>
                <w:rFonts w:ascii="宋体" w:hAnsi="宋体" w:cs="Arial"/>
                <w:color w:val="auto"/>
                <w:szCs w:val="21"/>
                <w:highlight w:val="none"/>
              </w:rPr>
            </w:pPr>
          </w:p>
        </w:tc>
        <w:tc>
          <w:tcPr>
            <w:tcW w:w="1415" w:type="dxa"/>
            <w:tcBorders>
              <w:top w:val="single" w:color="auto" w:sz="4" w:space="0"/>
            </w:tcBorders>
            <w:vAlign w:val="center"/>
          </w:tcPr>
          <w:p>
            <w:pPr>
              <w:spacing w:line="360" w:lineRule="auto"/>
              <w:jc w:val="center"/>
              <w:rPr>
                <w:rFonts w:ascii="宋体" w:hAnsi="宋体" w:cs="Arial"/>
                <w:color w:val="auto"/>
                <w:szCs w:val="21"/>
                <w:highlight w:val="none"/>
              </w:rPr>
            </w:pPr>
          </w:p>
        </w:tc>
        <w:tc>
          <w:tcPr>
            <w:tcW w:w="1243" w:type="dxa"/>
            <w:tcBorders>
              <w:top w:val="single" w:color="auto" w:sz="4" w:space="0"/>
            </w:tcBorders>
            <w:vAlign w:val="center"/>
          </w:tcPr>
          <w:p>
            <w:pPr>
              <w:spacing w:line="360" w:lineRule="auto"/>
              <w:jc w:val="center"/>
              <w:rPr>
                <w:rFonts w:ascii="宋体" w:hAnsi="宋体" w:cs="Arial"/>
                <w:color w:val="auto"/>
                <w:szCs w:val="21"/>
                <w:highlight w:val="none"/>
              </w:rPr>
            </w:pPr>
          </w:p>
        </w:tc>
        <w:tc>
          <w:tcPr>
            <w:tcW w:w="1359" w:type="dxa"/>
            <w:gridSpan w:val="2"/>
            <w:tcBorders>
              <w:top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52" w:type="dxa"/>
            <w:tcBorders>
              <w:top w:val="single" w:color="auto" w:sz="4" w:space="0"/>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c>
          <w:tcPr>
            <w:tcW w:w="1435" w:type="dxa"/>
            <w:gridSpan w:val="2"/>
            <w:tcBorders>
              <w:top w:val="single" w:color="auto" w:sz="4" w:space="0"/>
              <w:left w:val="single" w:color="auto" w:sz="4" w:space="0"/>
              <w:right w:val="single" w:color="auto" w:sz="4" w:space="0"/>
            </w:tcBorders>
            <w:vAlign w:val="center"/>
          </w:tcPr>
          <w:p>
            <w:pPr>
              <w:spacing w:line="360" w:lineRule="auto"/>
              <w:jc w:val="center"/>
              <w:rPr>
                <w:rFonts w:ascii="宋体" w:hAnsi="宋体" w:cs="Arial"/>
                <w:color w:val="auto"/>
                <w:szCs w:val="21"/>
                <w:highlight w:val="none"/>
              </w:rPr>
            </w:pPr>
          </w:p>
        </w:tc>
      </w:tr>
    </w:tbl>
    <w:p>
      <w:pPr>
        <w:adjustRightInd w:val="0"/>
        <w:spacing w:line="360" w:lineRule="auto"/>
        <w:ind w:firstLine="480" w:firstLineChars="200"/>
        <w:jc w:val="left"/>
        <w:rPr>
          <w:rFonts w:ascii="新宋体" w:hAnsi="新宋体" w:eastAsia="新宋体"/>
          <w:color w:val="auto"/>
          <w:sz w:val="24"/>
          <w:highlight w:val="none"/>
        </w:rPr>
      </w:pPr>
      <w:bookmarkStart w:id="185" w:name="_Toc217446091"/>
    </w:p>
    <w:p>
      <w:pPr>
        <w:adjustRightInd w:val="0"/>
        <w:spacing w:line="360" w:lineRule="auto"/>
        <w:ind w:firstLine="480" w:firstLineChars="200"/>
        <w:jc w:val="left"/>
        <w:rPr>
          <w:rFonts w:ascii="新宋体" w:hAnsi="新宋体" w:eastAsia="新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rPr>
          <w:color w:val="auto"/>
          <w:highlight w:val="none"/>
        </w:rPr>
      </w:pPr>
    </w:p>
    <w:p>
      <w:pPr>
        <w:pStyle w:val="4"/>
        <w:spacing w:before="0" w:after="0" w:line="360" w:lineRule="auto"/>
        <w:jc w:val="center"/>
        <w:rPr>
          <w:color w:val="auto"/>
          <w:highlight w:val="none"/>
        </w:rPr>
      </w:pPr>
      <w:r>
        <w:rPr>
          <w:rFonts w:hint="eastAsia"/>
          <w:color w:val="auto"/>
          <w:kern w:val="0"/>
          <w:highlight w:val="none"/>
        </w:rPr>
        <w:br w:type="page"/>
      </w:r>
      <w:bookmarkStart w:id="186" w:name="_Toc9969"/>
      <w:bookmarkStart w:id="187" w:name="_Toc19674_WPSOffice_Level2"/>
      <w:bookmarkStart w:id="188" w:name="_Toc13243_WPSOffice_Level2"/>
      <w:r>
        <w:rPr>
          <w:rFonts w:hint="eastAsia"/>
          <w:color w:val="auto"/>
          <w:kern w:val="0"/>
          <w:highlight w:val="none"/>
          <w:lang w:val="en-US" w:eastAsia="zh-CN"/>
        </w:rPr>
        <w:t>七</w:t>
      </w:r>
      <w:r>
        <w:rPr>
          <w:rFonts w:hint="eastAsia"/>
          <w:color w:val="auto"/>
          <w:highlight w:val="none"/>
        </w:rPr>
        <w:t>、供应商本项目管理、技术、服务人员情况表</w:t>
      </w:r>
      <w:bookmarkEnd w:id="185"/>
      <w:bookmarkEnd w:id="186"/>
      <w:bookmarkEnd w:id="187"/>
      <w:bookmarkEnd w:id="188"/>
    </w:p>
    <w:p>
      <w:pPr>
        <w:snapToGrid w:val="0"/>
        <w:spacing w:line="360" w:lineRule="auto"/>
        <w:rPr>
          <w:rFonts w:ascii="宋体" w:hAnsi="宋体" w:cs="仿宋_GB2312"/>
          <w:bCs/>
          <w:color w:val="auto"/>
          <w:szCs w:val="21"/>
          <w:highlight w:val="none"/>
          <w:u w:val="single"/>
        </w:rPr>
      </w:pPr>
      <w:r>
        <w:rPr>
          <w:rFonts w:hint="eastAsia" w:ascii="宋体" w:hAnsi="宋体" w:cs="仿宋_GB2312"/>
          <w:bCs/>
          <w:color w:val="auto"/>
          <w:szCs w:val="21"/>
          <w:highlight w:val="none"/>
        </w:rPr>
        <w:t>项目名称：</w:t>
      </w:r>
      <w:r>
        <w:rPr>
          <w:rFonts w:hint="eastAsia" w:ascii="宋体" w:hAnsi="宋体"/>
          <w:bCs/>
          <w:color w:val="auto"/>
          <w:sz w:val="24"/>
          <w:highlight w:val="none"/>
          <w:u w:val="single"/>
        </w:rPr>
        <w:t xml:space="preserve">            </w:t>
      </w:r>
    </w:p>
    <w:p>
      <w:pPr>
        <w:snapToGrid w:val="0"/>
        <w:spacing w:line="360" w:lineRule="auto"/>
        <w:rPr>
          <w:rFonts w:hint="eastAsia" w:ascii="宋体" w:hAnsi="宋体"/>
          <w:bCs/>
          <w:color w:val="auto"/>
          <w:sz w:val="24"/>
          <w:highlight w:val="none"/>
          <w:u w:val="single"/>
        </w:rPr>
      </w:pPr>
      <w:r>
        <w:rPr>
          <w:rFonts w:hint="eastAsia" w:ascii="宋体" w:hAnsi="宋体" w:cs="仿宋_GB2312"/>
          <w:bCs/>
          <w:color w:val="auto"/>
          <w:szCs w:val="21"/>
          <w:highlight w:val="none"/>
        </w:rPr>
        <w:t>项目编号：</w:t>
      </w:r>
      <w:r>
        <w:rPr>
          <w:rFonts w:hint="eastAsia" w:ascii="宋体" w:hAnsi="宋体"/>
          <w:bCs/>
          <w:color w:val="auto"/>
          <w:sz w:val="24"/>
          <w:highlight w:val="none"/>
          <w:u w:val="single"/>
        </w:rPr>
        <w:t xml:space="preserve">            </w:t>
      </w:r>
    </w:p>
    <w:tbl>
      <w:tblPr>
        <w:tblStyle w:val="17"/>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975"/>
        <w:gridCol w:w="976"/>
        <w:gridCol w:w="976"/>
        <w:gridCol w:w="976"/>
        <w:gridCol w:w="1341"/>
        <w:gridCol w:w="851"/>
        <w:gridCol w:w="102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restart"/>
            <w:noWrap w:val="0"/>
            <w:vAlign w:val="center"/>
          </w:tcPr>
          <w:p>
            <w:pPr>
              <w:widowControl/>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类别</w:t>
            </w:r>
          </w:p>
        </w:tc>
        <w:tc>
          <w:tcPr>
            <w:tcW w:w="975" w:type="dxa"/>
            <w:vMerge w:val="restart"/>
            <w:noWrap w:val="0"/>
            <w:vAlign w:val="center"/>
          </w:tcPr>
          <w:p>
            <w:pPr>
              <w:widowControl/>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976" w:type="dxa"/>
            <w:vMerge w:val="restart"/>
            <w:noWrap w:val="0"/>
            <w:vAlign w:val="center"/>
          </w:tcPr>
          <w:p>
            <w:pPr>
              <w:widowControl/>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976" w:type="dxa"/>
            <w:vMerge w:val="restart"/>
            <w:noWrap w:val="0"/>
            <w:vAlign w:val="center"/>
          </w:tcPr>
          <w:p>
            <w:pPr>
              <w:widowControl/>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976" w:type="dxa"/>
            <w:vMerge w:val="restart"/>
            <w:noWrap w:val="0"/>
            <w:vAlign w:val="center"/>
          </w:tcPr>
          <w:p>
            <w:pPr>
              <w:widowControl/>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常住地</w:t>
            </w:r>
          </w:p>
        </w:tc>
        <w:tc>
          <w:tcPr>
            <w:tcW w:w="4112" w:type="dxa"/>
            <w:gridSpan w:val="4"/>
            <w:noWrap w:val="0"/>
            <w:vAlign w:val="center"/>
          </w:tcPr>
          <w:p>
            <w:pPr>
              <w:widowControl/>
              <w:spacing w:line="360" w:lineRule="atLeast"/>
              <w:ind w:firstLine="411" w:firstLineChars="196"/>
              <w:jc w:val="center"/>
              <w:rPr>
                <w:rFonts w:hint="eastAsia" w:ascii="宋体" w:hAnsi="宋体" w:cs="宋体"/>
                <w:color w:val="auto"/>
                <w:szCs w:val="21"/>
                <w:highlight w:val="none"/>
              </w:rPr>
            </w:pPr>
            <w:r>
              <w:rPr>
                <w:rFonts w:hint="eastAsia" w:ascii="宋体" w:hAnsi="宋体" w:cs="宋体"/>
                <w:color w:val="auto"/>
                <w:szCs w:val="21"/>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noWrap w:val="0"/>
            <w:vAlign w:val="center"/>
          </w:tcPr>
          <w:p>
            <w:pPr>
              <w:jc w:val="center"/>
              <w:rPr>
                <w:rFonts w:hint="eastAsia" w:ascii="宋体" w:hAnsi="宋体" w:cs="宋体"/>
                <w:color w:val="auto"/>
                <w:szCs w:val="21"/>
                <w:highlight w:val="none"/>
              </w:rPr>
            </w:pPr>
          </w:p>
        </w:tc>
        <w:tc>
          <w:tcPr>
            <w:tcW w:w="975" w:type="dxa"/>
            <w:vMerge w:val="continue"/>
            <w:noWrap w:val="0"/>
            <w:vAlign w:val="center"/>
          </w:tcPr>
          <w:p>
            <w:pPr>
              <w:jc w:val="center"/>
              <w:rPr>
                <w:rFonts w:hint="eastAsia" w:ascii="宋体" w:hAnsi="宋体" w:cs="宋体"/>
                <w:color w:val="auto"/>
                <w:szCs w:val="21"/>
                <w:highlight w:val="none"/>
              </w:rPr>
            </w:pPr>
          </w:p>
        </w:tc>
        <w:tc>
          <w:tcPr>
            <w:tcW w:w="976" w:type="dxa"/>
            <w:vMerge w:val="continue"/>
            <w:noWrap w:val="0"/>
            <w:vAlign w:val="center"/>
          </w:tcPr>
          <w:p>
            <w:pPr>
              <w:jc w:val="center"/>
              <w:rPr>
                <w:rFonts w:hint="eastAsia" w:ascii="宋体" w:hAnsi="宋体" w:cs="宋体"/>
                <w:color w:val="auto"/>
                <w:szCs w:val="21"/>
                <w:highlight w:val="none"/>
              </w:rPr>
            </w:pPr>
          </w:p>
        </w:tc>
        <w:tc>
          <w:tcPr>
            <w:tcW w:w="976" w:type="dxa"/>
            <w:vMerge w:val="continue"/>
            <w:noWrap w:val="0"/>
            <w:vAlign w:val="center"/>
          </w:tcPr>
          <w:p>
            <w:pPr>
              <w:jc w:val="center"/>
              <w:rPr>
                <w:rFonts w:hint="eastAsia" w:ascii="宋体" w:hAnsi="宋体" w:cs="宋体"/>
                <w:color w:val="auto"/>
                <w:szCs w:val="21"/>
                <w:highlight w:val="none"/>
              </w:rPr>
            </w:pPr>
          </w:p>
        </w:tc>
        <w:tc>
          <w:tcPr>
            <w:tcW w:w="976" w:type="dxa"/>
            <w:vMerge w:val="continue"/>
            <w:noWrap w:val="0"/>
            <w:vAlign w:val="center"/>
          </w:tcPr>
          <w:p>
            <w:pPr>
              <w:jc w:val="center"/>
              <w:rPr>
                <w:rFonts w:hint="eastAsia" w:ascii="宋体" w:hAnsi="宋体" w:cs="宋体"/>
                <w:color w:val="auto"/>
                <w:szCs w:val="21"/>
                <w:highlight w:val="none"/>
              </w:rPr>
            </w:pPr>
          </w:p>
        </w:tc>
        <w:tc>
          <w:tcPr>
            <w:tcW w:w="1341" w:type="dxa"/>
            <w:noWrap w:val="0"/>
            <w:vAlign w:val="center"/>
          </w:tcPr>
          <w:p>
            <w:pPr>
              <w:widowControl/>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证书名称</w:t>
            </w:r>
          </w:p>
        </w:tc>
        <w:tc>
          <w:tcPr>
            <w:tcW w:w="851" w:type="dxa"/>
            <w:noWrap w:val="0"/>
            <w:vAlign w:val="center"/>
          </w:tcPr>
          <w:p>
            <w:pPr>
              <w:widowControl/>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级别</w:t>
            </w:r>
          </w:p>
        </w:tc>
        <w:tc>
          <w:tcPr>
            <w:tcW w:w="1025" w:type="dxa"/>
            <w:noWrap w:val="0"/>
            <w:vAlign w:val="center"/>
          </w:tcPr>
          <w:p>
            <w:pPr>
              <w:widowControl/>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证号</w:t>
            </w:r>
          </w:p>
        </w:tc>
        <w:tc>
          <w:tcPr>
            <w:tcW w:w="895" w:type="dxa"/>
            <w:noWrap w:val="0"/>
            <w:vAlign w:val="center"/>
          </w:tcPr>
          <w:p>
            <w:pPr>
              <w:widowControl/>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restart"/>
            <w:noWrap w:val="0"/>
            <w:vAlign w:val="center"/>
          </w:tcPr>
          <w:p>
            <w:pPr>
              <w:widowControl/>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管理</w:t>
            </w:r>
          </w:p>
          <w:p>
            <w:pPr>
              <w:widowControl/>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人员</w:t>
            </w:r>
          </w:p>
        </w:tc>
        <w:tc>
          <w:tcPr>
            <w:tcW w:w="97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noWrap w:val="0"/>
            <w:vAlign w:val="center"/>
          </w:tcPr>
          <w:p>
            <w:pPr>
              <w:jc w:val="center"/>
              <w:rPr>
                <w:rFonts w:hint="eastAsia" w:ascii="宋体" w:hAnsi="宋体" w:cs="宋体"/>
                <w:color w:val="auto"/>
                <w:szCs w:val="21"/>
                <w:highlight w:val="none"/>
              </w:rPr>
            </w:pPr>
          </w:p>
        </w:tc>
        <w:tc>
          <w:tcPr>
            <w:tcW w:w="97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noWrap w:val="0"/>
            <w:vAlign w:val="center"/>
          </w:tcPr>
          <w:p>
            <w:pPr>
              <w:jc w:val="center"/>
              <w:rPr>
                <w:rFonts w:hint="eastAsia" w:ascii="宋体" w:hAnsi="宋体" w:cs="宋体"/>
                <w:color w:val="auto"/>
                <w:szCs w:val="21"/>
                <w:highlight w:val="none"/>
              </w:rPr>
            </w:pPr>
          </w:p>
        </w:tc>
        <w:tc>
          <w:tcPr>
            <w:tcW w:w="97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restart"/>
            <w:noWrap w:val="0"/>
            <w:vAlign w:val="center"/>
          </w:tcPr>
          <w:p>
            <w:pPr>
              <w:widowControl/>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技术</w:t>
            </w:r>
          </w:p>
          <w:p>
            <w:pPr>
              <w:widowControl/>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人员</w:t>
            </w:r>
          </w:p>
        </w:tc>
        <w:tc>
          <w:tcPr>
            <w:tcW w:w="97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noWrap w:val="0"/>
            <w:vAlign w:val="center"/>
          </w:tcPr>
          <w:p>
            <w:pPr>
              <w:jc w:val="center"/>
              <w:rPr>
                <w:rFonts w:hint="eastAsia" w:ascii="宋体" w:hAnsi="宋体" w:cs="宋体"/>
                <w:color w:val="auto"/>
                <w:szCs w:val="21"/>
                <w:highlight w:val="none"/>
              </w:rPr>
            </w:pPr>
          </w:p>
        </w:tc>
        <w:tc>
          <w:tcPr>
            <w:tcW w:w="97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noWrap w:val="0"/>
            <w:vAlign w:val="center"/>
          </w:tcPr>
          <w:p>
            <w:pPr>
              <w:jc w:val="center"/>
              <w:rPr>
                <w:rFonts w:hint="eastAsia" w:ascii="宋体" w:hAnsi="宋体" w:cs="宋体"/>
                <w:color w:val="auto"/>
                <w:szCs w:val="21"/>
                <w:highlight w:val="none"/>
              </w:rPr>
            </w:pPr>
          </w:p>
        </w:tc>
        <w:tc>
          <w:tcPr>
            <w:tcW w:w="97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restart"/>
            <w:noWrap w:val="0"/>
            <w:vAlign w:val="center"/>
          </w:tcPr>
          <w:p>
            <w:pPr>
              <w:widowControl/>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售后服务人员</w:t>
            </w:r>
          </w:p>
        </w:tc>
        <w:tc>
          <w:tcPr>
            <w:tcW w:w="97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noWrap w:val="0"/>
            <w:vAlign w:val="center"/>
          </w:tcPr>
          <w:p>
            <w:pPr>
              <w:widowControl/>
              <w:spacing w:line="360" w:lineRule="atLeast"/>
              <w:jc w:val="center"/>
              <w:rPr>
                <w:rFonts w:hint="eastAsia" w:ascii="宋体" w:hAnsi="宋体" w:cs="宋体"/>
                <w:color w:val="auto"/>
                <w:szCs w:val="21"/>
                <w:highlight w:val="none"/>
              </w:rPr>
            </w:pPr>
          </w:p>
        </w:tc>
        <w:tc>
          <w:tcPr>
            <w:tcW w:w="97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tcBorders>
              <w:bottom w:val="single" w:color="auto" w:sz="4" w:space="0"/>
            </w:tcBorders>
            <w:noWrap w:val="0"/>
            <w:vAlign w:val="center"/>
          </w:tcPr>
          <w:p>
            <w:pPr>
              <w:jc w:val="center"/>
              <w:rPr>
                <w:rFonts w:hint="eastAsia" w:ascii="宋体" w:hAnsi="宋体" w:cs="宋体"/>
                <w:color w:val="auto"/>
                <w:szCs w:val="21"/>
                <w:highlight w:val="none"/>
              </w:rPr>
            </w:pPr>
          </w:p>
        </w:tc>
        <w:tc>
          <w:tcPr>
            <w:tcW w:w="975" w:type="dxa"/>
            <w:tcBorders>
              <w:bottom w:val="single" w:color="auto" w:sz="4" w:space="0"/>
            </w:tcBorders>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976"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34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51"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102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c>
          <w:tcPr>
            <w:tcW w:w="895" w:type="dxa"/>
            <w:noWrap w:val="0"/>
            <w:vAlign w:val="center"/>
          </w:tcPr>
          <w:p>
            <w:pPr>
              <w:widowControl/>
              <w:spacing w:line="360" w:lineRule="atLeast"/>
              <w:ind w:firstLine="411" w:firstLineChars="196"/>
              <w:jc w:val="center"/>
              <w:rPr>
                <w:rFonts w:hint="eastAsia" w:ascii="宋体" w:hAnsi="宋体" w:cs="宋体"/>
                <w:color w:val="auto"/>
                <w:szCs w:val="21"/>
                <w:highlight w:val="none"/>
              </w:rPr>
            </w:pPr>
          </w:p>
        </w:tc>
      </w:tr>
    </w:tbl>
    <w:p>
      <w:pPr>
        <w:adjustRightInd w:val="0"/>
        <w:spacing w:line="360" w:lineRule="auto"/>
        <w:ind w:firstLine="482" w:firstLineChars="200"/>
        <w:jc w:val="left"/>
        <w:rPr>
          <w:rFonts w:ascii="新宋体" w:hAnsi="新宋体" w:eastAsia="新宋体"/>
          <w:b/>
          <w:color w:val="auto"/>
          <w:sz w:val="24"/>
          <w:highlight w:val="none"/>
        </w:rPr>
      </w:pPr>
    </w:p>
    <w:p>
      <w:pPr>
        <w:adjustRightInd w:val="0"/>
        <w:spacing w:line="360" w:lineRule="auto"/>
        <w:ind w:firstLine="482" w:firstLineChars="200"/>
        <w:jc w:val="left"/>
        <w:rPr>
          <w:rFonts w:ascii="新宋体" w:hAnsi="新宋体" w:eastAsia="新宋体"/>
          <w:b/>
          <w:color w:val="auto"/>
          <w:sz w:val="24"/>
          <w:highlight w:val="none"/>
        </w:rPr>
      </w:pPr>
    </w:p>
    <w:p>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bCs/>
          <w:color w:val="auto"/>
          <w:sz w:val="24"/>
          <w:highlight w:val="none"/>
        </w:rPr>
        <w:t>注：1、本格式为参考格式，供应商可根据实际情况进行调整</w:t>
      </w:r>
      <w:r>
        <w:rPr>
          <w:rFonts w:hint="eastAsia" w:ascii="宋体" w:hAnsi="宋体" w:cs="宋体"/>
          <w:color w:val="auto"/>
          <w:sz w:val="24"/>
          <w:highlight w:val="none"/>
        </w:rPr>
        <w:t>。</w:t>
      </w:r>
    </w:p>
    <w:p>
      <w:pPr>
        <w:adjustRightInd w:val="0"/>
        <w:spacing w:line="360" w:lineRule="auto"/>
        <w:ind w:firstLine="480" w:firstLineChars="200"/>
        <w:jc w:val="left"/>
        <w:rPr>
          <w:rFonts w:ascii="新宋体" w:hAnsi="新宋体" w:eastAsia="新宋体"/>
          <w:color w:val="auto"/>
          <w:sz w:val="24"/>
          <w:highlight w:val="none"/>
        </w:rPr>
      </w:pPr>
    </w:p>
    <w:p>
      <w:pPr>
        <w:pStyle w:val="2"/>
        <w:spacing w:line="360" w:lineRule="auto"/>
        <w:rPr>
          <w:color w:val="auto"/>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rPr>
          <w:rFonts w:ascii="宋体" w:hAnsi="宋体"/>
          <w:bCs/>
          <w:color w:val="auto"/>
          <w:sz w:val="24"/>
          <w:highlight w:val="none"/>
        </w:rPr>
      </w:pPr>
    </w:p>
    <w:p>
      <w:pPr>
        <w:adjustRightInd w:val="0"/>
        <w:spacing w:line="360" w:lineRule="auto"/>
        <w:ind w:firstLine="560" w:firstLineChars="200"/>
        <w:jc w:val="left"/>
        <w:rPr>
          <w:rFonts w:ascii="宋体" w:hAnsi="宋体"/>
          <w:color w:val="auto"/>
          <w:sz w:val="28"/>
          <w:highlight w:val="none"/>
        </w:rPr>
        <w:sectPr>
          <w:footerReference r:id="rId9" w:type="default"/>
          <w:pgSz w:w="11850" w:h="16783"/>
          <w:pgMar w:top="1440" w:right="1304" w:bottom="1440" w:left="1417" w:header="851" w:footer="992" w:gutter="0"/>
          <w:pgBorders>
            <w:top w:val="none" w:sz="0" w:space="0"/>
            <w:left w:val="none" w:sz="0" w:space="0"/>
            <w:bottom w:val="none" w:sz="0" w:space="0"/>
            <w:right w:val="none" w:sz="0" w:space="0"/>
          </w:pgBorders>
          <w:pgNumType w:fmt="numberInDash" w:start="1"/>
          <w:cols w:space="0" w:num="1"/>
          <w:docGrid w:type="lines" w:linePitch="312" w:charSpace="0"/>
        </w:sectPr>
      </w:pPr>
    </w:p>
    <w:p>
      <w:pPr>
        <w:pStyle w:val="4"/>
        <w:spacing w:before="0" w:after="0" w:line="360" w:lineRule="auto"/>
        <w:jc w:val="center"/>
        <w:rPr>
          <w:color w:val="auto"/>
          <w:highlight w:val="none"/>
        </w:rPr>
      </w:pPr>
      <w:bookmarkStart w:id="189" w:name="_Toc10016"/>
      <w:bookmarkStart w:id="190" w:name="_Toc29279_WPSOffice_Level2"/>
      <w:bookmarkStart w:id="191" w:name="_Toc4498_WPSOffice_Level2"/>
      <w:r>
        <w:rPr>
          <w:rFonts w:hint="eastAsia"/>
          <w:color w:val="auto"/>
          <w:highlight w:val="none"/>
          <w:lang w:val="en-US" w:eastAsia="zh-CN"/>
        </w:rPr>
        <w:t>八</w:t>
      </w:r>
      <w:r>
        <w:rPr>
          <w:rFonts w:hint="eastAsia"/>
          <w:color w:val="auto"/>
          <w:highlight w:val="none"/>
        </w:rPr>
        <w:t>、关于知识产权的承诺函</w:t>
      </w:r>
      <w:bookmarkEnd w:id="189"/>
    </w:p>
    <w:p>
      <w:pPr>
        <w:pStyle w:val="11"/>
        <w:spacing w:after="0" w:line="360" w:lineRule="auto"/>
        <w:ind w:left="0" w:leftChars="0"/>
        <w:jc w:val="left"/>
        <w:rPr>
          <w:rFonts w:ascii="宋体" w:hAnsi="宋体"/>
          <w:bCs/>
          <w:color w:val="auto"/>
          <w:sz w:val="24"/>
          <w:highlight w:val="none"/>
        </w:rPr>
      </w:pPr>
      <w:r>
        <w:rPr>
          <w:rFonts w:hint="eastAsia" w:ascii="宋体" w:hAnsi="宋体"/>
          <w:color w:val="auto"/>
          <w:sz w:val="24"/>
          <w:highlight w:val="none"/>
          <w:u w:val="single"/>
        </w:rPr>
        <w:t>四川易通天和招标代理有限公司</w:t>
      </w:r>
      <w:r>
        <w:rPr>
          <w:rFonts w:hint="eastAsia" w:ascii="宋体" w:hAnsi="宋体"/>
          <w:bCs/>
          <w:color w:val="auto"/>
          <w:sz w:val="24"/>
          <w:highlight w:val="none"/>
        </w:rPr>
        <w:t>（采购代理机构名称）：</w:t>
      </w:r>
    </w:p>
    <w:p>
      <w:pPr>
        <w:pStyle w:val="11"/>
        <w:spacing w:after="0" w:line="360" w:lineRule="auto"/>
        <w:ind w:left="0" w:leftChars="0" w:firstLine="480" w:firstLineChars="200"/>
        <w:jc w:val="left"/>
        <w:rPr>
          <w:rFonts w:ascii="宋体" w:hAnsi="宋体"/>
          <w:bCs/>
          <w:color w:val="auto"/>
          <w:sz w:val="24"/>
          <w:highlight w:val="none"/>
        </w:rPr>
      </w:pPr>
      <w:r>
        <w:rPr>
          <w:rFonts w:hint="eastAsia" w:ascii="宋体" w:hAnsi="宋体"/>
          <w:bCs/>
          <w:color w:val="auto"/>
          <w:sz w:val="24"/>
          <w:highlight w:val="none"/>
        </w:rPr>
        <w:t>我方作为本次采购项目的供应商，根据磋商文件要求，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11"/>
        <w:spacing w:after="0" w:line="360" w:lineRule="auto"/>
        <w:ind w:left="0" w:leftChars="0" w:firstLine="480" w:firstLineChars="200"/>
        <w:jc w:val="left"/>
        <w:rPr>
          <w:rFonts w:ascii="宋体" w:hAnsi="宋体"/>
          <w:bCs/>
          <w:color w:val="auto"/>
          <w:sz w:val="24"/>
          <w:highlight w:val="none"/>
        </w:rPr>
      </w:pPr>
    </w:p>
    <w:p>
      <w:pPr>
        <w:pStyle w:val="11"/>
        <w:spacing w:line="360" w:lineRule="auto"/>
        <w:rPr>
          <w:bCs/>
          <w:color w:val="auto"/>
          <w:sz w:val="24"/>
          <w:highlight w:val="none"/>
        </w:rPr>
      </w:pPr>
    </w:p>
    <w:p>
      <w:pPr>
        <w:adjustRightInd w:val="0"/>
        <w:spacing w:line="360" w:lineRule="auto"/>
        <w:ind w:firstLine="480" w:firstLineChars="200"/>
        <w:jc w:val="left"/>
        <w:rPr>
          <w:rFonts w:ascii="新宋体" w:hAnsi="新宋体" w:eastAsia="新宋体"/>
          <w:color w:val="auto"/>
          <w:sz w:val="24"/>
          <w:highlight w:val="none"/>
        </w:rPr>
      </w:pPr>
      <w:r>
        <w:rPr>
          <w:rFonts w:hint="eastAsia" w:ascii="宋体" w:hAnsi="宋体" w:cs="宋体"/>
          <w:color w:val="auto"/>
          <w:sz w:val="24"/>
          <w:highlight w:val="none"/>
        </w:rPr>
        <w:t>注：本承诺函为参考格式，供应商可根据磋商文件第二章总则中第 9 条及第五章相关要求进行承诺。</w:t>
      </w:r>
    </w:p>
    <w:p>
      <w:pPr>
        <w:adjustRightInd w:val="0"/>
        <w:spacing w:line="360" w:lineRule="auto"/>
        <w:ind w:firstLine="480" w:firstLineChars="200"/>
        <w:jc w:val="left"/>
        <w:rPr>
          <w:rFonts w:ascii="新宋体" w:hAnsi="新宋体" w:eastAsia="新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spacing w:line="360" w:lineRule="auto"/>
        <w:rPr>
          <w:color w:val="auto"/>
          <w:highlight w:val="none"/>
        </w:rPr>
      </w:pPr>
    </w:p>
    <w:p>
      <w:pPr>
        <w:spacing w:line="360" w:lineRule="auto"/>
        <w:rPr>
          <w:color w:val="auto"/>
          <w:highlight w:val="none"/>
        </w:rPr>
      </w:pPr>
      <w:r>
        <w:rPr>
          <w:rFonts w:hint="eastAsia"/>
          <w:color w:val="auto"/>
          <w:highlight w:val="none"/>
        </w:rPr>
        <w:br w:type="page"/>
      </w:r>
    </w:p>
    <w:p>
      <w:pPr>
        <w:pStyle w:val="4"/>
        <w:spacing w:before="0" w:after="0" w:line="360" w:lineRule="auto"/>
        <w:jc w:val="center"/>
        <w:rPr>
          <w:color w:val="auto"/>
          <w:highlight w:val="none"/>
        </w:rPr>
      </w:pPr>
      <w:bookmarkStart w:id="192" w:name="_Toc4830"/>
      <w:r>
        <w:rPr>
          <w:rFonts w:hint="eastAsia"/>
          <w:color w:val="auto"/>
          <w:highlight w:val="none"/>
          <w:lang w:val="en-US" w:eastAsia="zh-CN"/>
        </w:rPr>
        <w:t>九</w:t>
      </w:r>
      <w:r>
        <w:rPr>
          <w:rFonts w:hint="eastAsia"/>
          <w:color w:val="auto"/>
          <w:highlight w:val="none"/>
        </w:rPr>
        <w:t>、服务方案</w:t>
      </w:r>
      <w:bookmarkEnd w:id="192"/>
    </w:p>
    <w:p>
      <w:pPr>
        <w:spacing w:line="360" w:lineRule="auto"/>
        <w:jc w:val="center"/>
        <w:rPr>
          <w:color w:val="auto"/>
          <w:highlight w:val="none"/>
        </w:rPr>
      </w:pPr>
      <w:r>
        <w:rPr>
          <w:rFonts w:hint="eastAsia"/>
          <w:color w:val="auto"/>
          <w:sz w:val="24"/>
          <w:szCs w:val="32"/>
          <w:highlight w:val="none"/>
        </w:rPr>
        <w:t>（格式自拟）</w:t>
      </w:r>
      <w:r>
        <w:rPr>
          <w:rFonts w:hint="eastAsia"/>
          <w:color w:val="auto"/>
          <w:highlight w:val="none"/>
        </w:rPr>
        <w:br w:type="page"/>
      </w:r>
    </w:p>
    <w:p>
      <w:pPr>
        <w:pStyle w:val="4"/>
        <w:spacing w:before="0" w:after="0" w:line="360" w:lineRule="auto"/>
        <w:jc w:val="center"/>
        <w:rPr>
          <w:rFonts w:cs="仿宋_GB2312"/>
          <w:color w:val="auto"/>
          <w:sz w:val="28"/>
          <w:highlight w:val="none"/>
        </w:rPr>
      </w:pPr>
      <w:bookmarkStart w:id="193" w:name="_Toc5472"/>
      <w:r>
        <w:rPr>
          <w:rFonts w:hint="eastAsia"/>
          <w:color w:val="auto"/>
          <w:highlight w:val="none"/>
        </w:rPr>
        <w:t>十、其他资料及相关说明等</w:t>
      </w:r>
      <w:bookmarkEnd w:id="190"/>
      <w:bookmarkEnd w:id="191"/>
      <w:bookmarkEnd w:id="193"/>
    </w:p>
    <w:p>
      <w:pPr>
        <w:adjustRightInd w:val="0"/>
        <w:snapToGrid w:val="0"/>
        <w:spacing w:line="360" w:lineRule="auto"/>
        <w:ind w:firstLine="480" w:firstLineChars="200"/>
        <w:rPr>
          <w:rFonts w:hint="eastAsia" w:ascii="宋体" w:hAnsi="宋体" w:cs="仿宋_GB2312"/>
          <w:color w:val="auto"/>
          <w:sz w:val="24"/>
          <w:highlight w:val="none"/>
          <w:lang w:eastAsia="zh-CN"/>
        </w:rPr>
      </w:pPr>
      <w:r>
        <w:rPr>
          <w:rFonts w:hint="eastAsia" w:ascii="宋体" w:hAnsi="宋体" w:cs="仿宋_GB2312"/>
          <w:color w:val="auto"/>
          <w:sz w:val="24"/>
          <w:highlight w:val="none"/>
        </w:rPr>
        <w:t>对照</w:t>
      </w:r>
      <w:r>
        <w:rPr>
          <w:rFonts w:hint="eastAsia" w:hAnsi="宋体" w:cs="仿宋_GB2312"/>
          <w:color w:val="auto"/>
          <w:sz w:val="24"/>
          <w:highlight w:val="none"/>
        </w:rPr>
        <w:t>采购文件</w:t>
      </w:r>
      <w:r>
        <w:rPr>
          <w:rFonts w:hint="eastAsia" w:ascii="宋体" w:hAnsi="宋体" w:cs="仿宋_GB2312"/>
          <w:color w:val="auto"/>
          <w:sz w:val="24"/>
          <w:highlight w:val="none"/>
        </w:rPr>
        <w:t>关于采购需求与评分规则等具体要求应当提供的其他资料、相关说明等，以及</w:t>
      </w:r>
      <w:r>
        <w:rPr>
          <w:rFonts w:hint="eastAsia" w:hAnsi="宋体" w:cs="仿宋_GB2312"/>
          <w:color w:val="auto"/>
          <w:sz w:val="24"/>
          <w:highlight w:val="none"/>
        </w:rPr>
        <w:t>供应商</w:t>
      </w:r>
      <w:r>
        <w:rPr>
          <w:rFonts w:hint="eastAsia" w:ascii="宋体" w:hAnsi="宋体" w:cs="仿宋_GB2312"/>
          <w:color w:val="auto"/>
          <w:sz w:val="24"/>
          <w:highlight w:val="none"/>
        </w:rPr>
        <w:t>认为可以提供的其他证明资料、相关说明等，格式自拟</w:t>
      </w:r>
      <w:r>
        <w:rPr>
          <w:rFonts w:hint="eastAsia" w:ascii="宋体" w:hAnsi="宋体" w:cs="仿宋_GB2312"/>
          <w:color w:val="auto"/>
          <w:sz w:val="24"/>
          <w:highlight w:val="none"/>
          <w:lang w:eastAsia="zh-CN"/>
        </w:rPr>
        <w:t>。</w:t>
      </w:r>
    </w:p>
    <w:p>
      <w:pPr>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br w:type="page"/>
      </w:r>
    </w:p>
    <w:p>
      <w:pPr>
        <w:spacing w:after="0" w:line="360" w:lineRule="auto"/>
        <w:jc w:val="center"/>
        <w:outlineLvl w:val="1"/>
        <w:rPr>
          <w:rStyle w:val="49"/>
          <w:rFonts w:hint="default" w:ascii="宋体" w:hAnsi="宋体" w:eastAsia="宋体" w:cs="宋体"/>
          <w:color w:val="auto"/>
          <w:highlight w:val="none"/>
          <w:lang w:val="en-US" w:eastAsia="zh-CN"/>
        </w:rPr>
      </w:pPr>
      <w:r>
        <w:rPr>
          <w:rStyle w:val="49"/>
          <w:rFonts w:hint="eastAsia" w:ascii="宋体" w:hAnsi="宋体" w:cs="宋体"/>
          <w:color w:val="auto"/>
          <w:highlight w:val="none"/>
          <w:lang w:val="en-US" w:eastAsia="zh-CN"/>
        </w:rPr>
        <w:t>十一</w:t>
      </w:r>
      <w:r>
        <w:rPr>
          <w:rStyle w:val="49"/>
          <w:rFonts w:hint="eastAsia" w:ascii="宋体" w:hAnsi="宋体" w:cs="宋体"/>
          <w:color w:val="auto"/>
          <w:highlight w:val="none"/>
        </w:rPr>
        <w:t>、</w:t>
      </w:r>
      <w:r>
        <w:rPr>
          <w:rStyle w:val="49"/>
          <w:rFonts w:hint="eastAsia" w:ascii="宋体" w:hAnsi="宋体" w:cs="宋体"/>
          <w:color w:val="auto"/>
          <w:highlight w:val="none"/>
          <w:lang w:val="en-US" w:eastAsia="zh-CN"/>
        </w:rPr>
        <w:t>其他承诺函</w:t>
      </w:r>
    </w:p>
    <w:p>
      <w:pPr>
        <w:spacing w:line="360" w:lineRule="auto"/>
        <w:rPr>
          <w:rFonts w:hint="eastAsia" w:ascii="宋体" w:hAnsi="宋体"/>
          <w:color w:val="auto"/>
          <w:sz w:val="24"/>
          <w:highlight w:val="none"/>
          <w:u w:val="single"/>
        </w:rPr>
      </w:pPr>
    </w:p>
    <w:p>
      <w:pPr>
        <w:spacing w:line="360" w:lineRule="auto"/>
        <w:rPr>
          <w:rFonts w:ascii="宋体" w:hAnsi="宋体"/>
          <w:color w:val="auto"/>
          <w:sz w:val="24"/>
          <w:highlight w:val="none"/>
        </w:rPr>
      </w:pPr>
      <w:r>
        <w:rPr>
          <w:rFonts w:hint="eastAsia" w:ascii="宋体" w:hAnsi="宋体"/>
          <w:color w:val="auto"/>
          <w:sz w:val="24"/>
          <w:highlight w:val="none"/>
          <w:u w:val="single"/>
        </w:rPr>
        <w:t>四川易通天和招标代理有限公司</w:t>
      </w:r>
      <w:r>
        <w:rPr>
          <w:rFonts w:hint="eastAsia" w:ascii="宋体" w:hAnsi="宋体"/>
          <w:color w:val="auto"/>
          <w:sz w:val="24"/>
          <w:highlight w:val="none"/>
        </w:rPr>
        <w:t>（采购代理机构名称）：</w:t>
      </w:r>
    </w:p>
    <w:p>
      <w:pPr>
        <w:widowControl/>
        <w:spacing w:line="360" w:lineRule="auto"/>
        <w:ind w:firstLine="480" w:firstLineChars="200"/>
        <w:jc w:val="left"/>
        <w:rPr>
          <w:rFonts w:ascii="宋体"/>
          <w:color w:val="auto"/>
          <w:sz w:val="24"/>
          <w:highlight w:val="none"/>
        </w:rPr>
      </w:pPr>
      <w:r>
        <w:rPr>
          <w:rFonts w:hint="eastAsia" w:ascii="宋体"/>
          <w:color w:val="auto"/>
          <w:sz w:val="24"/>
          <w:highlight w:val="none"/>
        </w:rPr>
        <w:t>我公司作为本次采购项目的供应商，根据磋商文件要求，现郑重承诺如下：</w:t>
      </w:r>
    </w:p>
    <w:p>
      <w:pPr>
        <w:spacing w:after="0"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本项目所投产品中至少有30%的货物由中型企业/小型企业/微型企业制造。在供货时向采购人提供报价明细并标明中小企业预留份额。</w:t>
      </w:r>
    </w:p>
    <w:p>
      <w:pPr>
        <w:spacing w:after="0"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本项目所投产品、材料凡涉及CCC认证产品的，在供货时需向采购人提供CCC认证证明，否则视为违约且承担由此引起的经济损失及相关法律责任。</w:t>
      </w:r>
    </w:p>
    <w:p>
      <w:pPr>
        <w:spacing w:after="0"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w:t>
      </w:r>
      <w:r>
        <w:rPr>
          <w:rFonts w:hint="eastAsia" w:ascii="宋体" w:hAnsi="宋体" w:cs="宋体"/>
          <w:color w:val="auto"/>
          <w:spacing w:val="6"/>
          <w:sz w:val="24"/>
          <w:highlight w:val="none"/>
          <w:lang w:val="en-US" w:eastAsia="zh-CN"/>
        </w:rPr>
        <w:t>承诺</w:t>
      </w:r>
      <w:r>
        <w:rPr>
          <w:rFonts w:hint="eastAsia" w:ascii="宋体" w:hAnsi="宋体" w:cs="宋体"/>
          <w:color w:val="auto"/>
          <w:spacing w:val="6"/>
          <w:sz w:val="24"/>
          <w:highlight w:val="none"/>
        </w:rPr>
        <w:t>的真实性负责。如有虚假，将依法承担相应责任。</w:t>
      </w:r>
    </w:p>
    <w:p>
      <w:pPr>
        <w:spacing w:after="0" w:line="360" w:lineRule="auto"/>
        <w:rPr>
          <w:rFonts w:hint="eastAsia" w:ascii="宋体" w:hAnsi="宋体" w:cs="宋体"/>
          <w:color w:val="auto"/>
          <w:spacing w:val="6"/>
          <w:sz w:val="24"/>
          <w:highlight w:val="none"/>
        </w:rPr>
      </w:pPr>
    </w:p>
    <w:p>
      <w:pPr>
        <w:spacing w:after="0" w:line="360" w:lineRule="auto"/>
        <w:rPr>
          <w:rFonts w:hint="eastAsia" w:ascii="宋体" w:hAnsi="宋体" w:cs="宋体"/>
          <w:color w:val="auto"/>
          <w:spacing w:val="6"/>
          <w:sz w:val="24"/>
          <w:highlight w:val="none"/>
        </w:rPr>
      </w:pP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after="0"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spacing w:after="0" w:line="360" w:lineRule="auto"/>
        <w:rPr>
          <w:rFonts w:hint="eastAsia" w:ascii="宋体" w:hAnsi="宋体" w:cs="宋体"/>
          <w:color w:val="auto"/>
          <w:sz w:val="24"/>
          <w:highlight w:val="none"/>
        </w:rPr>
      </w:pPr>
    </w:p>
    <w:p>
      <w:pPr>
        <w:rPr>
          <w:rStyle w:val="49"/>
          <w:rFonts w:hint="eastAsia" w:ascii="宋体" w:hAnsi="宋体" w:eastAsia="宋体" w:cs="宋体"/>
          <w:b/>
          <w:bCs/>
          <w:color w:val="auto"/>
          <w:kern w:val="2"/>
          <w:highlight w:val="none"/>
          <w:lang w:val="en-US" w:eastAsia="zh-CN" w:bidi="ar-SA"/>
        </w:rPr>
      </w:pPr>
      <w:r>
        <w:rPr>
          <w:rStyle w:val="49"/>
          <w:rFonts w:hint="eastAsia" w:ascii="宋体" w:hAnsi="宋体" w:eastAsia="宋体" w:cs="宋体"/>
          <w:b/>
          <w:bCs/>
          <w:color w:val="auto"/>
          <w:kern w:val="2"/>
          <w:highlight w:val="none"/>
          <w:lang w:val="en-US" w:eastAsia="zh-CN" w:bidi="ar-SA"/>
        </w:rPr>
        <w:br w:type="page"/>
      </w:r>
    </w:p>
    <w:p>
      <w:pPr>
        <w:pStyle w:val="4"/>
        <w:spacing w:before="0" w:after="0" w:line="360" w:lineRule="auto"/>
        <w:jc w:val="center"/>
        <w:outlineLvl w:val="1"/>
        <w:rPr>
          <w:rStyle w:val="49"/>
          <w:rFonts w:hint="eastAsia" w:ascii="宋体" w:hAnsi="宋体" w:eastAsia="宋体" w:cs="宋体"/>
          <w:b/>
          <w:bCs/>
          <w:color w:val="auto"/>
          <w:kern w:val="2"/>
          <w:highlight w:val="none"/>
          <w:lang w:val="en-US" w:eastAsia="zh-CN" w:bidi="ar-SA"/>
        </w:rPr>
      </w:pPr>
      <w:r>
        <w:rPr>
          <w:rStyle w:val="49"/>
          <w:rFonts w:hint="eastAsia" w:ascii="宋体" w:hAnsi="宋体" w:eastAsia="宋体" w:cs="宋体"/>
          <w:b/>
          <w:bCs/>
          <w:color w:val="auto"/>
          <w:kern w:val="2"/>
          <w:highlight w:val="none"/>
          <w:lang w:val="en-US" w:eastAsia="zh-CN" w:bidi="ar-SA"/>
        </w:rPr>
        <w:t>十二、中小企业声明函</w:t>
      </w:r>
    </w:p>
    <w:p>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本公司郑重声明，根据《政府采购促进中小企业发展管理办法》（财库〔2020）46号）的规定，本公司参加</w:t>
      </w:r>
      <w:r>
        <w:rPr>
          <w:rFonts w:hint="eastAsia" w:ascii="宋体" w:hAnsi="宋体"/>
          <w:color w:val="auto"/>
          <w:sz w:val="24"/>
          <w:highlight w:val="none"/>
          <w:u w:val="single"/>
        </w:rPr>
        <w:t xml:space="preserve">       </w:t>
      </w:r>
      <w:r>
        <w:rPr>
          <w:rFonts w:hint="eastAsia" w:ascii="宋体" w:hAnsi="宋体"/>
          <w:color w:val="auto"/>
          <w:sz w:val="24"/>
          <w:highlight w:val="none"/>
        </w:rPr>
        <w:t>（单位名称）的</w:t>
      </w:r>
      <w:r>
        <w:rPr>
          <w:rFonts w:hint="eastAsia" w:ascii="宋体" w:hAnsi="宋体"/>
          <w:color w:val="auto"/>
          <w:sz w:val="24"/>
          <w:highlight w:val="none"/>
          <w:u w:val="single"/>
        </w:rPr>
        <w:t xml:space="preserve">        </w:t>
      </w:r>
      <w:r>
        <w:rPr>
          <w:rFonts w:hint="eastAsia" w:ascii="宋体" w:hAnsi="宋体"/>
          <w:color w:val="auto"/>
          <w:sz w:val="24"/>
          <w:highlight w:val="none"/>
        </w:rPr>
        <w:t>（项目名称）釆购活动,提供的货物全部由符合政策要求的中小企业制造。相关企业（含联合体中的中小企业、签订分包意向协议的中小企业）的具体情况如下：</w:t>
      </w:r>
    </w:p>
    <w:p>
      <w:pPr>
        <w:keepNext w:val="0"/>
        <w:keepLines w:val="0"/>
        <w:pageBreakBefore w:val="0"/>
        <w:widowControl w:val="0"/>
        <w:numPr>
          <w:ilvl w:val="0"/>
          <w:numId w:val="8"/>
        </w:numPr>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（标的名称），属于</w:t>
      </w:r>
      <w:r>
        <w:rPr>
          <w:rFonts w:hint="eastAsia" w:ascii="宋体" w:hAnsi="宋体"/>
          <w:color w:val="auto"/>
          <w:sz w:val="24"/>
          <w:highlight w:val="none"/>
          <w:u w:val="single"/>
          <w:lang w:val="en-US" w:eastAsia="zh-CN"/>
        </w:rPr>
        <w:t>工业</w:t>
      </w:r>
      <w:r>
        <w:rPr>
          <w:rFonts w:hint="eastAsia" w:ascii="宋体" w:hAnsi="宋体"/>
          <w:color w:val="auto"/>
          <w:sz w:val="24"/>
          <w:highlight w:val="none"/>
        </w:rPr>
        <w:t>（釆购文件中明确的所属行业）、</w:t>
      </w:r>
      <w:r>
        <w:rPr>
          <w:rFonts w:hint="eastAsia" w:ascii="宋体" w:hAnsi="宋体"/>
          <w:color w:val="auto"/>
          <w:sz w:val="24"/>
          <w:highlight w:val="none"/>
          <w:lang w:val="en-US" w:eastAsia="zh-CN"/>
        </w:rPr>
        <w:t>制造商</w:t>
      </w:r>
      <w:r>
        <w:rPr>
          <w:rFonts w:hint="eastAsia" w:ascii="宋体" w:hAnsi="宋体"/>
          <w:color w:val="auto"/>
          <w:sz w:val="24"/>
          <w:highlight w:val="none"/>
        </w:rPr>
        <w:t>为</w:t>
      </w:r>
      <w:r>
        <w:rPr>
          <w:rFonts w:hint="eastAsia" w:ascii="宋体" w:hAnsi="宋体"/>
          <w:color w:val="auto"/>
          <w:sz w:val="24"/>
          <w:highlight w:val="none"/>
          <w:u w:val="single"/>
        </w:rPr>
        <w:t xml:space="preserve">   </w:t>
      </w:r>
      <w:r>
        <w:rPr>
          <w:rFonts w:hint="eastAsia" w:ascii="宋体" w:hAnsi="宋体"/>
          <w:color w:val="auto"/>
          <w:sz w:val="24"/>
          <w:highlight w:val="none"/>
        </w:rPr>
        <w:t>（企业名称）,从业人员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 xml:space="preserve">      </w:t>
      </w:r>
      <w:r>
        <w:rPr>
          <w:rFonts w:hint="eastAsia" w:ascii="宋体" w:hAnsi="宋体"/>
          <w:color w:val="auto"/>
          <w:sz w:val="24"/>
          <w:highlight w:val="none"/>
        </w:rPr>
        <w:t>（中型企业、小型企业、微型企业）。</w:t>
      </w:r>
    </w:p>
    <w:p>
      <w:pPr>
        <w:keepNext w:val="0"/>
        <w:keepLines w:val="0"/>
        <w:pageBreakBefore w:val="0"/>
        <w:widowControl w:val="0"/>
        <w:kinsoku/>
        <w:wordWrap/>
        <w:overflowPunct/>
        <w:topLinePunct w:val="0"/>
        <w:autoSpaceDE/>
        <w:autoSpaceDN/>
        <w:bidi w:val="0"/>
        <w:adjustRightInd w:val="0"/>
        <w:snapToGrid/>
        <w:spacing w:after="0" w:line="360" w:lineRule="auto"/>
        <w:ind w:firstLine="482" w:firstLineChars="200"/>
        <w:jc w:val="left"/>
        <w:textAlignment w:val="auto"/>
        <w:rPr>
          <w:rFonts w:ascii="宋体" w:hAnsi="宋体"/>
          <w:b/>
          <w:bCs/>
          <w:color w:val="auto"/>
          <w:sz w:val="24"/>
          <w:highlight w:val="none"/>
        </w:rPr>
      </w:pPr>
      <w:r>
        <w:rPr>
          <w:rFonts w:hint="eastAsia" w:ascii="宋体" w:hAnsi="宋体"/>
          <w:b/>
          <w:bCs/>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名称（盖章）：</w:t>
      </w:r>
      <w:r>
        <w:rPr>
          <w:rFonts w:hint="eastAsia" w:ascii="宋体" w:hAnsi="宋体"/>
          <w:color w:val="auto"/>
          <w:sz w:val="24"/>
          <w:highlight w:val="none"/>
          <w:u w:val="single"/>
        </w:rPr>
        <w:t xml:space="preserve">                      </w:t>
      </w:r>
    </w:p>
    <w:p>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pStyle w:val="2"/>
        <w:rPr>
          <w:color w:val="auto"/>
          <w:highlight w:val="none"/>
        </w:rPr>
      </w:pPr>
    </w:p>
    <w:p>
      <w:pPr>
        <w:keepNext w:val="0"/>
        <w:keepLines w:val="0"/>
        <w:pageBreakBefore w:val="0"/>
        <w:widowControl w:val="0"/>
        <w:tabs>
          <w:tab w:val="left" w:pos="7665"/>
        </w:tabs>
        <w:kinsoku/>
        <w:wordWrap/>
        <w:overflowPunct/>
        <w:topLinePunct w:val="0"/>
        <w:autoSpaceDE/>
        <w:autoSpaceDN/>
        <w:bidi w:val="0"/>
        <w:adjustRightInd/>
        <w:snapToGrid/>
        <w:spacing w:after="0"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注：1.从业人员、营业收入、资产总额填报上一年度数据，无上一年度数据的新成立企业可不填报。</w:t>
      </w:r>
    </w:p>
    <w:p>
      <w:pPr>
        <w:spacing w:after="0" w:line="360" w:lineRule="auto"/>
        <w:jc w:val="center"/>
        <w:outlineLvl w:val="1"/>
        <w:rPr>
          <w:rStyle w:val="49"/>
          <w:rFonts w:hint="eastAsia" w:ascii="宋体" w:hAnsi="宋体" w:eastAsia="宋体" w:cs="宋体"/>
          <w:color w:val="auto"/>
          <w:kern w:val="2"/>
          <w:highlight w:val="none"/>
          <w:lang w:val="en-US" w:eastAsia="zh-CN" w:bidi="ar-SA"/>
        </w:rPr>
      </w:pPr>
      <w:r>
        <w:rPr>
          <w:rFonts w:hint="eastAsia" w:ascii="宋体" w:hAnsi="宋体" w:cs="宋体"/>
          <w:b/>
          <w:bCs/>
          <w:color w:val="auto"/>
          <w:sz w:val="24"/>
          <w:highlight w:val="none"/>
        </w:rPr>
        <w:br w:type="page"/>
      </w:r>
      <w:r>
        <w:rPr>
          <w:rStyle w:val="49"/>
          <w:rFonts w:hint="eastAsia" w:ascii="宋体" w:hAnsi="宋体" w:eastAsia="宋体" w:cs="宋体"/>
          <w:color w:val="auto"/>
          <w:kern w:val="2"/>
          <w:highlight w:val="none"/>
          <w:lang w:val="en-US" w:eastAsia="zh-CN" w:bidi="ar-SA"/>
        </w:rPr>
        <w:t>十</w:t>
      </w:r>
      <w:r>
        <w:rPr>
          <w:rStyle w:val="49"/>
          <w:rFonts w:hint="eastAsia" w:ascii="宋体" w:hAnsi="宋体" w:cs="宋体"/>
          <w:color w:val="auto"/>
          <w:kern w:val="2"/>
          <w:highlight w:val="none"/>
          <w:lang w:val="en-US" w:eastAsia="zh-CN" w:bidi="ar-SA"/>
        </w:rPr>
        <w:t>三</w:t>
      </w:r>
      <w:r>
        <w:rPr>
          <w:rStyle w:val="49"/>
          <w:rFonts w:hint="eastAsia" w:ascii="宋体" w:hAnsi="宋体" w:eastAsia="宋体" w:cs="宋体"/>
          <w:color w:val="auto"/>
          <w:kern w:val="2"/>
          <w:highlight w:val="none"/>
          <w:lang w:val="en-US" w:eastAsia="zh-CN" w:bidi="ar-SA"/>
        </w:rPr>
        <w:t>、监狱企业</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根据《政府采购支持监狱企业发展有关问题的通知》（财库〔2014〕68号）的规定监狱企业参加采购活动的，应提供由省级以上监狱管理局、戒毒管理局(含新疆生产建设兵团)出具的属于监狱企业的证明文件。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符合《政府采购支持监狱企业发展有关问题的通知》（财库〔2014〕68号）规定的划分标准为监狱企业适用。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2、在政府采购活动中，监狱企业视同小型、微型企业，享受预留份额、评审中价格扣除等政府采购促进中小企业发展的政府采购政策。</w:t>
      </w:r>
    </w:p>
    <w:p>
      <w:pPr>
        <w:spacing w:after="0" w:line="360" w:lineRule="auto"/>
        <w:jc w:val="center"/>
        <w:outlineLvl w:val="1"/>
        <w:rPr>
          <w:rStyle w:val="49"/>
          <w:rFonts w:hint="eastAsia" w:ascii="宋体" w:hAnsi="宋体" w:eastAsia="宋体" w:cs="宋体"/>
          <w:color w:val="auto"/>
          <w:highlight w:val="none"/>
          <w:lang w:eastAsia="zh-CN"/>
        </w:rPr>
      </w:pPr>
      <w:r>
        <w:rPr>
          <w:rFonts w:hint="eastAsia" w:ascii="宋体" w:hAnsi="宋体" w:cs="宋体"/>
          <w:b/>
          <w:bCs/>
          <w:color w:val="auto"/>
          <w:sz w:val="24"/>
          <w:highlight w:val="none"/>
        </w:rPr>
        <w:br w:type="page"/>
      </w:r>
      <w:r>
        <w:rPr>
          <w:rStyle w:val="49"/>
          <w:rFonts w:hint="eastAsia" w:ascii="宋体" w:hAnsi="宋体" w:cs="宋体"/>
          <w:color w:val="auto"/>
          <w:highlight w:val="none"/>
          <w:lang w:val="en-US" w:eastAsia="zh-CN"/>
        </w:rPr>
        <w:t>十四</w:t>
      </w:r>
      <w:r>
        <w:rPr>
          <w:rStyle w:val="49"/>
          <w:rFonts w:hint="eastAsia" w:ascii="宋体" w:hAnsi="宋体" w:cs="宋体"/>
          <w:color w:val="auto"/>
          <w:highlight w:val="none"/>
        </w:rPr>
        <w:t>、残疾人福利性单位声明函</w:t>
      </w:r>
    </w:p>
    <w:p>
      <w:pPr>
        <w:spacing w:after="0"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w:t>
      </w:r>
      <w:r>
        <w:rPr>
          <w:rFonts w:hint="eastAsia" w:ascii="宋体" w:hAnsi="宋体" w:cs="宋体"/>
          <w:b/>
          <w:bCs/>
          <w:color w:val="auto"/>
          <w:spacing w:val="6"/>
          <w:sz w:val="24"/>
          <w:highlight w:val="none"/>
        </w:rPr>
        <w:t>本单位为符合条件的残疾人福利性单位</w:t>
      </w:r>
      <w:r>
        <w:rPr>
          <w:rFonts w:hint="eastAsia" w:ascii="宋体" w:hAnsi="宋体" w:cs="宋体"/>
          <w:color w:val="auto"/>
          <w:spacing w:val="6"/>
          <w:sz w:val="24"/>
          <w:highlight w:val="none"/>
        </w:rPr>
        <w:t>，且本单位参加</w:t>
      </w:r>
      <w:r>
        <w:rPr>
          <w:rFonts w:hint="eastAsia" w:ascii="宋体" w:hAnsi="宋体" w:cs="宋体"/>
          <w:color w:val="auto"/>
          <w:sz w:val="24"/>
          <w:highlight w:val="none"/>
          <w:u w:val="single"/>
        </w:rPr>
        <w:t>XXXX</w:t>
      </w:r>
      <w:r>
        <w:rPr>
          <w:rFonts w:hint="eastAsia" w:ascii="宋体" w:hAnsi="宋体" w:cs="宋体"/>
          <w:color w:val="auto"/>
          <w:spacing w:val="6"/>
          <w:sz w:val="24"/>
          <w:highlight w:val="none"/>
        </w:rPr>
        <w:t>单位的</w:t>
      </w:r>
      <w:r>
        <w:rPr>
          <w:rFonts w:hint="eastAsia" w:ascii="宋体" w:hAnsi="宋体" w:cs="宋体"/>
          <w:color w:val="auto"/>
          <w:sz w:val="24"/>
          <w:highlight w:val="none"/>
          <w:u w:val="single"/>
        </w:rPr>
        <w:t>XXXX</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after="0"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after="0" w:line="360" w:lineRule="auto"/>
        <w:rPr>
          <w:rFonts w:hint="eastAsia" w:ascii="宋体" w:hAnsi="宋体" w:cs="宋体"/>
          <w:color w:val="auto"/>
          <w:spacing w:val="6"/>
          <w:sz w:val="24"/>
          <w:highlight w:val="none"/>
        </w:rPr>
      </w:pPr>
    </w:p>
    <w:p>
      <w:pPr>
        <w:spacing w:after="0" w:line="360" w:lineRule="auto"/>
        <w:rPr>
          <w:rFonts w:hint="eastAsia" w:ascii="宋体" w:hAnsi="宋体" w:cs="宋体"/>
          <w:color w:val="auto"/>
          <w:spacing w:val="6"/>
          <w:sz w:val="24"/>
          <w:highlight w:val="none"/>
        </w:rPr>
      </w:pP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名称（盖章）：</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after="0"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spacing w:after="0" w:line="360" w:lineRule="auto"/>
        <w:rPr>
          <w:rFonts w:hint="eastAsia" w:ascii="宋体" w:hAnsi="宋体" w:cs="宋体"/>
          <w:color w:val="auto"/>
          <w:sz w:val="24"/>
          <w:highlight w:val="none"/>
        </w:rPr>
      </w:pPr>
    </w:p>
    <w:p>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注：1、残疾人福利性单位视同小型、微型企业，享受预留份额、评审中价格扣除等促进中小企业发展的政府采购政策。残疾人福利性单位属于小型、微型企业的，不重复享受政策。</w:t>
      </w:r>
    </w:p>
    <w:p>
      <w:pPr>
        <w:spacing w:after="0"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2、供应商为非残疾人福利性单位的，不得提供此声明。</w:t>
      </w: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Style w:val="2"/>
        <w:rPr>
          <w:rFonts w:hint="eastAsia"/>
          <w:color w:val="auto"/>
          <w:highlight w:val="none"/>
          <w:lang w:eastAsia="zh-CN"/>
        </w:rPr>
        <w:sectPr>
          <w:headerReference r:id="rId10" w:type="default"/>
          <w:footerReference r:id="rId11" w:type="default"/>
          <w:footerReference r:id="rId12" w:type="even"/>
          <w:pgSz w:w="11850" w:h="16783"/>
          <w:pgMar w:top="1440" w:right="1304" w:bottom="1440" w:left="1417"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pPr>
        <w:pStyle w:val="4"/>
        <w:spacing w:line="360" w:lineRule="auto"/>
        <w:jc w:val="center"/>
        <w:rPr>
          <w:rFonts w:hint="eastAsia"/>
          <w:color w:val="auto"/>
          <w:highlight w:val="none"/>
          <w:lang w:eastAsia="zh-CN"/>
        </w:rPr>
      </w:pPr>
      <w:bookmarkStart w:id="194" w:name="_Toc25035"/>
      <w:r>
        <w:rPr>
          <w:rFonts w:hint="eastAsia"/>
          <w:color w:val="auto"/>
          <w:highlight w:val="none"/>
        </w:rPr>
        <w:t>最终报价一览表</w:t>
      </w:r>
      <w:bookmarkEnd w:id="194"/>
    </w:p>
    <w:p>
      <w:pPr>
        <w:pStyle w:val="7"/>
        <w:spacing w:before="100" w:beforeAutospacing="1"/>
        <w:ind w:firstLine="480"/>
        <w:rPr>
          <w:rFonts w:hint="eastAsia" w:hAnsi="宋体" w:cs="宋体"/>
          <w:color w:val="auto"/>
          <w:sz w:val="24"/>
          <w:highlight w:val="none"/>
        </w:rPr>
      </w:pPr>
    </w:p>
    <w:p>
      <w:pPr>
        <w:pStyle w:val="7"/>
        <w:spacing w:before="100" w:beforeAutospacing="1"/>
        <w:ind w:firstLine="480"/>
        <w:rPr>
          <w:rFonts w:hAnsi="宋体" w:cs="宋体"/>
          <w:color w:val="auto"/>
          <w:sz w:val="24"/>
          <w:highlight w:val="none"/>
        </w:rPr>
      </w:pPr>
      <w:r>
        <w:rPr>
          <w:rFonts w:hint="eastAsia" w:hAnsi="宋体" w:cs="宋体"/>
          <w:color w:val="auto"/>
          <w:sz w:val="24"/>
          <w:highlight w:val="none"/>
        </w:rPr>
        <w:t>项目名称：</w:t>
      </w:r>
    </w:p>
    <w:p>
      <w:pPr>
        <w:pStyle w:val="7"/>
        <w:spacing w:before="100" w:beforeAutospacing="1"/>
        <w:ind w:firstLine="480"/>
        <w:rPr>
          <w:rFonts w:hAnsi="宋体" w:cs="宋体"/>
          <w:color w:val="auto"/>
          <w:sz w:val="24"/>
          <w:highlight w:val="none"/>
        </w:rPr>
      </w:pPr>
      <w:r>
        <w:rPr>
          <w:rFonts w:hint="eastAsia" w:hAnsi="宋体" w:cs="宋体"/>
          <w:color w:val="auto"/>
          <w:sz w:val="24"/>
          <w:highlight w:val="none"/>
        </w:rPr>
        <w:t>项目编号：</w:t>
      </w:r>
    </w:p>
    <w:p>
      <w:pPr>
        <w:spacing w:line="400" w:lineRule="exact"/>
        <w:jc w:val="left"/>
        <w:rPr>
          <w:rFonts w:hAnsi="宋体" w:cs="宋体"/>
          <w:color w:val="auto"/>
          <w:sz w:val="24"/>
          <w:highlight w:val="none"/>
        </w:rPr>
      </w:pPr>
    </w:p>
    <w:p>
      <w:pPr>
        <w:pStyle w:val="2"/>
        <w:rPr>
          <w:rFonts w:hAnsi="宋体" w:cs="宋体"/>
          <w:color w:val="auto"/>
          <w:sz w:val="24"/>
          <w:highlight w:val="none"/>
        </w:rPr>
      </w:pPr>
    </w:p>
    <w:p>
      <w:pPr>
        <w:pStyle w:val="7"/>
        <w:spacing w:before="100" w:beforeAutospacing="1"/>
        <w:ind w:firstLine="480"/>
        <w:rPr>
          <w:rFonts w:hint="eastAsia" w:hAnsi="宋体" w:eastAsia="宋体" w:cs="宋体"/>
          <w:color w:val="auto"/>
          <w:sz w:val="24"/>
          <w:highlight w:val="none"/>
          <w:lang w:eastAsia="zh-CN"/>
        </w:rPr>
      </w:pPr>
      <w:r>
        <w:rPr>
          <w:rFonts w:hint="eastAsia" w:hAnsi="宋体" w:cs="宋体"/>
          <w:color w:val="auto"/>
          <w:sz w:val="24"/>
          <w:highlight w:val="none"/>
        </w:rPr>
        <w:t>最终报价</w:t>
      </w:r>
    </w:p>
    <w:p>
      <w:pPr>
        <w:pStyle w:val="7"/>
        <w:spacing w:before="100" w:beforeAutospacing="1"/>
        <w:ind w:firstLine="480"/>
        <w:rPr>
          <w:rFonts w:hint="eastAsia" w:hAnsi="宋体" w:eastAsia="宋体" w:cs="宋体"/>
          <w:color w:val="auto"/>
          <w:sz w:val="24"/>
          <w:highlight w:val="none"/>
          <w:u w:val="single"/>
          <w:lang w:val="en-US" w:eastAsia="zh-CN"/>
        </w:rPr>
      </w:pPr>
      <w:r>
        <w:rPr>
          <w:rFonts w:hint="eastAsia" w:hAnsi="宋体" w:cs="宋体"/>
          <w:color w:val="auto"/>
          <w:sz w:val="24"/>
          <w:highlight w:val="none"/>
        </w:rPr>
        <w:t>小写：</w:t>
      </w:r>
      <w:r>
        <w:rPr>
          <w:rFonts w:hint="eastAsia" w:hAnsi="宋体" w:cs="宋体"/>
          <w:color w:val="auto"/>
          <w:sz w:val="24"/>
          <w:highlight w:val="none"/>
          <w:u w:val="single"/>
          <w:lang w:val="en-US" w:eastAsia="zh-CN"/>
        </w:rPr>
        <w:t xml:space="preserve">               </w:t>
      </w:r>
    </w:p>
    <w:p>
      <w:pPr>
        <w:pStyle w:val="7"/>
        <w:spacing w:before="100" w:beforeAutospacing="1"/>
        <w:ind w:firstLine="480"/>
        <w:rPr>
          <w:rFonts w:hint="eastAsia" w:hAnsi="宋体" w:eastAsia="宋体" w:cs="宋体"/>
          <w:color w:val="auto"/>
          <w:sz w:val="24"/>
          <w:highlight w:val="none"/>
          <w:u w:val="single"/>
          <w:lang w:val="en-US" w:eastAsia="zh-CN"/>
        </w:rPr>
      </w:pPr>
      <w:r>
        <w:rPr>
          <w:rFonts w:hint="eastAsia" w:hAnsi="宋体" w:cs="宋体"/>
          <w:color w:val="auto"/>
          <w:sz w:val="24"/>
          <w:highlight w:val="none"/>
        </w:rPr>
        <w:t>大写：</w:t>
      </w:r>
      <w:r>
        <w:rPr>
          <w:rFonts w:hint="eastAsia" w:hAnsi="宋体" w:cs="宋体"/>
          <w:color w:val="auto"/>
          <w:sz w:val="24"/>
          <w:highlight w:val="none"/>
          <w:u w:val="single"/>
          <w:lang w:val="en-US" w:eastAsia="zh-CN"/>
        </w:rPr>
        <w:t xml:space="preserve">               </w:t>
      </w:r>
    </w:p>
    <w:p>
      <w:pPr>
        <w:spacing w:line="400" w:lineRule="exact"/>
        <w:ind w:firstLine="480" w:firstLineChars="200"/>
        <w:jc w:val="left"/>
        <w:rPr>
          <w:rFonts w:ascii="宋体" w:hAnsi="宋体" w:cs="宋体"/>
          <w:color w:val="auto"/>
          <w:sz w:val="24"/>
          <w:highlight w:val="none"/>
        </w:rPr>
      </w:pP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其他承诺：</w:t>
      </w:r>
    </w:p>
    <w:p>
      <w:pPr>
        <w:spacing w:line="400" w:lineRule="exact"/>
        <w:ind w:firstLine="482" w:firstLineChars="200"/>
        <w:jc w:val="left"/>
        <w:rPr>
          <w:rFonts w:ascii="宋体" w:hAnsi="宋体" w:cs="宋体"/>
          <w:b/>
          <w:bCs/>
          <w:color w:val="auto"/>
          <w:sz w:val="24"/>
          <w:highlight w:val="none"/>
        </w:rPr>
      </w:pPr>
    </w:p>
    <w:p>
      <w:pPr>
        <w:spacing w:line="400" w:lineRule="exact"/>
        <w:ind w:firstLine="482" w:firstLineChars="200"/>
        <w:jc w:val="left"/>
        <w:rPr>
          <w:rFonts w:ascii="宋体" w:hAnsi="宋体" w:cs="宋体"/>
          <w:b/>
          <w:bCs/>
          <w:color w:val="auto"/>
          <w:sz w:val="24"/>
          <w:highlight w:val="none"/>
        </w:rPr>
      </w:pPr>
    </w:p>
    <w:p>
      <w:pPr>
        <w:spacing w:line="400" w:lineRule="exact"/>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注：此页不作为响应文件的组成部分，持空白页至磋商现场根据实际需要填写</w:t>
      </w:r>
      <w:r>
        <w:rPr>
          <w:rFonts w:hint="eastAsia" w:ascii="宋体" w:hAnsi="宋体" w:cs="宋体"/>
          <w:color w:val="auto"/>
          <w:sz w:val="24"/>
          <w:highlight w:val="none"/>
        </w:rPr>
        <w:t>。</w:t>
      </w:r>
    </w:p>
    <w:p>
      <w:pPr>
        <w:spacing w:line="400" w:lineRule="exact"/>
        <w:ind w:firstLine="480" w:firstLineChars="200"/>
        <w:rPr>
          <w:rFonts w:hAnsi="宋体" w:cs="宋体"/>
          <w:color w:val="auto"/>
          <w:sz w:val="24"/>
          <w:highlight w:val="none"/>
        </w:rPr>
      </w:pPr>
    </w:p>
    <w:p>
      <w:pPr>
        <w:spacing w:line="400" w:lineRule="exact"/>
        <w:ind w:firstLine="480" w:firstLineChars="200"/>
        <w:rPr>
          <w:rFonts w:hAnsi="宋体" w:cs="宋体"/>
          <w:color w:val="auto"/>
          <w:sz w:val="24"/>
          <w:highlight w:val="none"/>
        </w:rPr>
      </w:pPr>
    </w:p>
    <w:p>
      <w:pPr>
        <w:spacing w:line="400" w:lineRule="exact"/>
        <w:ind w:firstLine="480" w:firstLineChars="200"/>
        <w:rPr>
          <w:rFonts w:hAnsi="宋体" w:cs="宋体"/>
          <w:color w:val="auto"/>
          <w:sz w:val="24"/>
          <w:highlight w:val="none"/>
        </w:rPr>
      </w:pP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法定代表人或授权代表（签字或加盖个人名章）：</w:t>
      </w:r>
      <w:r>
        <w:rPr>
          <w:rFonts w:hint="eastAsia" w:ascii="宋体" w:hAnsi="宋体"/>
          <w:color w:val="auto"/>
          <w:sz w:val="24"/>
          <w:highlight w:val="none"/>
          <w:u w:val="single"/>
        </w:rPr>
        <w:t xml:space="preserve">           </w:t>
      </w:r>
    </w:p>
    <w:p>
      <w:pPr>
        <w:spacing w:line="360" w:lineRule="auto"/>
        <w:ind w:firstLine="480" w:firstLineChars="200"/>
        <w:rPr>
          <w:rFonts w:ascii="新宋体" w:hAnsi="新宋体" w:eastAsia="新宋体"/>
          <w:color w:val="auto"/>
          <w:sz w:val="24"/>
          <w:highlight w:val="none"/>
        </w:rPr>
      </w:pPr>
      <w:r>
        <w:rPr>
          <w:rFonts w:hint="eastAsia" w:ascii="宋体" w:hAnsi="宋体"/>
          <w:color w:val="auto"/>
          <w:sz w:val="24"/>
          <w:highlight w:val="none"/>
        </w:rPr>
        <w:t>日    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日</w:t>
      </w:r>
    </w:p>
    <w:p>
      <w:pPr>
        <w:pStyle w:val="3"/>
        <w:spacing w:before="0" w:after="0" w:line="360" w:lineRule="auto"/>
        <w:jc w:val="center"/>
        <w:rPr>
          <w:color w:val="auto"/>
          <w:highlight w:val="none"/>
        </w:rPr>
      </w:pPr>
      <w:r>
        <w:rPr>
          <w:rFonts w:hint="eastAsia"/>
          <w:color w:val="auto"/>
          <w:highlight w:val="none"/>
        </w:rPr>
        <w:br w:type="page"/>
      </w:r>
      <w:bookmarkStart w:id="195" w:name="_Toc8290_WPSOffice_Level1"/>
      <w:bookmarkStart w:id="196" w:name="_Toc4157"/>
      <w:bookmarkStart w:id="197" w:name="_Toc32541_WPSOffice_Level1"/>
      <w:bookmarkStart w:id="198" w:name="_Toc30631"/>
      <w:r>
        <w:rPr>
          <w:rFonts w:hint="eastAsia"/>
          <w:color w:val="auto"/>
          <w:highlight w:val="none"/>
        </w:rPr>
        <w:t>第八章  评审方法</w:t>
      </w:r>
      <w:bookmarkEnd w:id="195"/>
      <w:bookmarkEnd w:id="196"/>
      <w:bookmarkEnd w:id="197"/>
      <w:bookmarkEnd w:id="198"/>
    </w:p>
    <w:p>
      <w:pPr>
        <w:pStyle w:val="4"/>
        <w:keepNext w:val="0"/>
        <w:keepLines w:val="0"/>
        <w:spacing w:before="0" w:after="0" w:line="360" w:lineRule="auto"/>
        <w:ind w:firstLine="472" w:firstLineChars="196"/>
        <w:rPr>
          <w:rFonts w:ascii="宋体" w:hAnsi="宋体" w:eastAsia="宋体"/>
          <w:color w:val="auto"/>
          <w:sz w:val="24"/>
          <w:szCs w:val="24"/>
          <w:highlight w:val="none"/>
        </w:rPr>
      </w:pPr>
      <w:bookmarkStart w:id="199" w:name="_Toc3628_WPSOffice_Level2"/>
      <w:bookmarkStart w:id="200" w:name="_Toc28831_WPSOffice_Level2"/>
      <w:bookmarkStart w:id="201" w:name="_Toc8173"/>
      <w:bookmarkStart w:id="202" w:name="_Toc101250640"/>
      <w:bookmarkStart w:id="203" w:name="_Toc101338358"/>
      <w:bookmarkStart w:id="204" w:name="_Toc101174146"/>
      <w:bookmarkStart w:id="205" w:name="_Toc209847065"/>
      <w:bookmarkStart w:id="206" w:name="_Toc430773924"/>
      <w:r>
        <w:rPr>
          <w:rFonts w:hint="eastAsia" w:ascii="宋体" w:hAnsi="宋体" w:eastAsia="宋体"/>
          <w:color w:val="auto"/>
          <w:sz w:val="24"/>
          <w:szCs w:val="24"/>
          <w:highlight w:val="none"/>
        </w:rPr>
        <w:t>1.总则</w:t>
      </w:r>
      <w:bookmarkEnd w:id="199"/>
      <w:bookmarkEnd w:id="200"/>
      <w:bookmarkEnd w:id="201"/>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1.1根据《中华人民共和国政府采购法》、《中华人民共和国政府采购法实施条例》、《政府采购竞争性磋商采购方式管理暂行办法》等法律制度，结合本采购项目特点制定本磋商方法。</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1.2磋商工作由采购代理机构负责组织，具体磋商由采购人/采购代理机构依法组建的磋商小组负责。</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1.3磋商工作应遵循公平、公正、科学及择优的原则，并以相同的磋商程序和标准对待所有的供应商。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1.4磋商小组按照磋商文件规定的磋商程序、评分方法和标准进行评审，并独立履行下列职责：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（1）熟悉和理解磋商文件，确定磋商文件内容是否违反国家有关强制性规定或者磋商文件存在歧义、重大缺陷，根据需要书面要求采购人、采购代理机构对磋商文件作出解释；</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（2）审查供应商响应文件是否满足磋商文件要求，并作出公正评价；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（3）根据需要要求供应商对响应文件中含义不明确、同类问题表述不一致或者有明显文字和计算错误的内容等作出必要的澄清、说明或者更正；</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（4）推荐成交供应商，或者受采购人委托确定成交供应商；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（5）起草评审报告并进行签署；</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（6）向采购人/采购代理机构、财政部门或者其他监督部门报告非法干预评审工作的行为；</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（7）法律、法规和规章规定的其他职责。</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1.5</w:t>
      </w:r>
      <w:r>
        <w:rPr>
          <w:rFonts w:hint="eastAsia" w:ascii="宋体" w:hAnsi="宋体"/>
          <w:b/>
          <w:bCs/>
          <w:color w:val="auto"/>
          <w:sz w:val="24"/>
          <w:highlight w:val="none"/>
        </w:rPr>
        <w:t>（实质性要求）</w:t>
      </w:r>
      <w:r>
        <w:rPr>
          <w:rFonts w:hint="eastAsia" w:ascii="宋体" w:hAnsi="宋体"/>
          <w:color w:val="auto"/>
          <w:sz w:val="24"/>
          <w:highlight w:val="none"/>
        </w:rPr>
        <w:t>磋商过程独立、保密。供应商非法干预磋商过程的，其响应文件作无效处理。</w:t>
      </w:r>
    </w:p>
    <w:p>
      <w:pPr>
        <w:spacing w:line="360" w:lineRule="auto"/>
        <w:rPr>
          <w:color w:val="auto"/>
          <w:highlight w:val="none"/>
        </w:rPr>
      </w:pPr>
    </w:p>
    <w:p>
      <w:pPr>
        <w:pStyle w:val="4"/>
        <w:keepNext w:val="0"/>
        <w:keepLines w:val="0"/>
        <w:spacing w:before="0" w:after="0" w:line="360" w:lineRule="auto"/>
        <w:ind w:firstLine="472" w:firstLineChars="196"/>
        <w:rPr>
          <w:rFonts w:ascii="宋体" w:hAnsi="宋体" w:eastAsia="宋体"/>
          <w:color w:val="auto"/>
          <w:sz w:val="24"/>
          <w:szCs w:val="24"/>
          <w:highlight w:val="none"/>
        </w:rPr>
      </w:pPr>
      <w:bookmarkStart w:id="207" w:name="_Toc17993_WPSOffice_Level2"/>
      <w:bookmarkStart w:id="208" w:name="_Toc6143"/>
      <w:bookmarkStart w:id="209" w:name="_Toc28315_WPSOffice_Level2"/>
      <w:r>
        <w:rPr>
          <w:rFonts w:hint="eastAsia" w:ascii="宋体" w:hAnsi="宋体" w:eastAsia="宋体"/>
          <w:color w:val="auto"/>
          <w:sz w:val="24"/>
          <w:szCs w:val="24"/>
          <w:highlight w:val="none"/>
        </w:rPr>
        <w:t>2.磋商程序</w:t>
      </w:r>
      <w:bookmarkEnd w:id="207"/>
      <w:bookmarkEnd w:id="208"/>
      <w:bookmarkEnd w:id="209"/>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2.1审查磋商文件和停止评审。</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2.1.2 本磋商文件有下列情形之一的，磋商小组应当停止评审：</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（1）磋商文件的规定存在歧义、重大缺陷的；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（2）磋商文件明显以不合理条件对供应商实行差别待遇或者歧视待遇的；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（3）采购项目属于国家规定的优先、强制采购范围，但是磋商文件未依法体现优先、强制采购相关规定的；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（4）采购项目属于政府采购促进中小企业发展的范围，但是磋商文件未依法体现促进中小企业发展相关规定的；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（5）磋商文件将供应商的资格条件列为评分因素的；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（6）磋商文件载明的成交原则不合法的；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（7）磋商文件有违反国家其他有关强制性规定的情形。</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2.1.3 出现本条2.1.2规定应当停止评审情形的，磋商小组应当向采购人书面说明情况。除本条规定的情形外，磋商小组不得以任何方式和理由停止评审。</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2.2资格性审查。</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2.2.1本项目需要磋商小组进行资格性检查。</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2.2.2资格性审查结束后，磋商小组应当出具资格性审查报告，没有通过资格审查的供应商，磋商小组应当在资格审查报告中说明原因。</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2.2.3磋商小组应依据磋商文件规定的实质性要求，对符合资格的响应文件进行有效性、完整性和响应程度审查，以确定参加磋商的供应商名单。</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2.2.4采购人或者采购代理机构宣布未通过资格性审查的供应商名单时，应当告知供应商未通过审查的原因。</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2.3 通过资格性审查的供应商不足3家的（本章2.3.1的情况除外），终止本次采购活动，并发布终止采购活动公告。</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2.3.1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2.4磋商。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2.4.2每轮磋商开始前，磋商小组应根据磋商文件的规定，并结合各供应商的响应文件拟定磋商内容。</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2.4.4对磋商文件作出的实质性变动是磋商文件的有效组成部分，磋商小组应当及时以书面形式同时通知所有参加磋商的供应商。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2.4.6磋商过程中，磋商的任何一方不得透露与磋商有关的其他供应商的技术资料、价格和其他信息。</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2.4.7磋商过程中，磋商小组发现或者知晓供应商存在违法、违纪行为的，磋商小组应当将该供应商响应文件作无效处理，不允许其提交最后报价。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 xml:space="preserve">2.4.8磋商完成后，磋商小组应出具磋商情况记录表，磋商情况记录表需包含磋商内容、磋商意见、实质性变动内容等。   </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2.5最后报价。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2.5.1除首次响应文件中的报价以外，供应商报价采用现场报价（除现场报价以响应文件报价为准的情形之外，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2.5.3符合</w:t>
      </w:r>
      <w:bookmarkStart w:id="210" w:name="_Toc30986"/>
      <w:r>
        <w:rPr>
          <w:rFonts w:hint="eastAsia" w:ascii="宋体" w:hAnsi="宋体"/>
          <w:color w:val="auto"/>
          <w:sz w:val="24"/>
          <w:highlight w:val="none"/>
        </w:rPr>
        <w:t>《政府采购竞争性磋商采购方式管理暂行办法财库》〔2014〕214号</w:t>
      </w:r>
      <w:bookmarkEnd w:id="210"/>
      <w:r>
        <w:rPr>
          <w:rFonts w:hint="eastAsia" w:ascii="宋体" w:hAnsi="宋体"/>
          <w:color w:val="auto"/>
          <w:sz w:val="24"/>
          <w:highlight w:val="none"/>
        </w:rPr>
        <w:t>第三条第四项情形的，提交最后报价的供应商可以为2家。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2.5.6报价如果出现下列不一致的，可按以下原则进行修改：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（1）大写金额和小写金额不一致的，以大写金额为准，但大写金额文字存在错误的，应当先对大写金额的文字错误进行澄清、说明或者更正，再行修正。</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（3）单价金额小数点或者百分比有明显错位的，以总价为准，修正单价。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不得未经澄清、说明或者更正，直接将供应商响应文件作为无效处理。对不同文字文本响应文件的解释发生异议的，以中文文本为准。</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2.6比较与评价。由磋商小组采用综合评分法对提交最后报价的供应商的响应文件和最后报价进行综合评分，具体要求详见本章综合评分部分。</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2.9采购组织单位现场复核评审结果。</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（1）资格性审查认定错误的；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（2）分值汇总计算错误的；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（3）分项评分超出评分标准范围的；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（4）客观评分不一致的。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w:t>
      </w:r>
      <w:r>
        <w:rPr>
          <w:rFonts w:hint="eastAsia" w:ascii="宋体" w:hAnsi="宋体"/>
          <w:color w:val="auto"/>
          <w:sz w:val="24"/>
          <w:highlight w:val="none"/>
          <w:lang w:val="en-US" w:eastAsia="zh-CN"/>
        </w:rPr>
        <w:t>按</w:t>
      </w:r>
      <w:r>
        <w:rPr>
          <w:rFonts w:hint="eastAsia" w:ascii="宋体" w:hAnsi="宋体"/>
          <w:color w:val="auto"/>
          <w:sz w:val="24"/>
          <w:highlight w:val="none"/>
        </w:rPr>
        <w:t>照规定程序要求继续组织实施采购活动，不得擅自中止采购活动。采购人/采购代理机构认为磋商小组评审结果不合法的，应当书面报告采购项目同级财政部门。</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采购人/采购代理机构复核过程中，磋商小组成员不得离开评审现场。</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2.9.2有下列情形之一的，不得现场修改评审结果：</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（1）磋商小组已经出具磋商报告并且离开评审现场的；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（2）采购人/采购代理机构现场复核时，复核工作人员数量不足的；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（3）采购人/采购代理机构现场复核时，没有采购监督人员现场监督的；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（4）采购人/采购代理机构现场复核内容超出规定范围的；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（5）采购人/采购代理机构未提供书面建议的。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2.10编写磋商报告。磋商小组推荐成交候选供应商后，应向采购人/采购代理机构出具磋商报告。磋商报告应当包括以下主要内容：</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（1）邀请供应商参加采购活动的具体方式和相关情况；</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（2）响应文件开启日期和地点；</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（3）获取磋商文件的供应商名单和磋商小组成员名单；</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（4）评审情况记录和说明，包括对供应商的资格审查情况、供应商响应文件审查情况、磋商情况、报价情况等；</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（5）提出的成交候选供应商的排序名单及理由。</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2.12供应商澄清、说明</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2.12.2磋商小组要求供应商澄清、说明或者更正响应文件应当以书面形式作出。供应商的澄清、说明或者更正应当由法定代表人/主要负责人/本人或其授权代表签字或者加盖公章。</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2.13终止磋商采购活动。</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出现下列情形之一的，采购人或者采购代理机构应当终止竞争性磋商采购活动，发布项目终止公告并说明原因，重新开展采购活动：</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（1）因情况变化，不再符合规定的竞争性磋商采购方式适用情形的；</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（2）出现影响采购公正的违法、违规行为的；</w:t>
      </w:r>
    </w:p>
    <w:p>
      <w:pPr>
        <w:spacing w:line="360" w:lineRule="auto"/>
        <w:ind w:firstLine="470" w:firstLineChars="196"/>
        <w:rPr>
          <w:rFonts w:ascii="宋体" w:hAnsi="宋体"/>
          <w:color w:val="auto"/>
          <w:szCs w:val="21"/>
          <w:highlight w:val="none"/>
        </w:rPr>
      </w:pPr>
      <w:r>
        <w:rPr>
          <w:rFonts w:hint="eastAsia" w:ascii="宋体" w:hAnsi="宋体"/>
          <w:color w:val="auto"/>
          <w:sz w:val="24"/>
          <w:highlight w:val="none"/>
        </w:rPr>
        <w:t>（3）除本章2.3.1和2.5.3的情况外，在采购过程中符合要求的供应商或者报价未超过采购预算的供应商不足3家的。</w:t>
      </w:r>
    </w:p>
    <w:p>
      <w:pPr>
        <w:spacing w:line="360" w:lineRule="auto"/>
        <w:rPr>
          <w:rFonts w:ascii="宋体" w:hAnsi="宋体" w:cs="宋体"/>
          <w:color w:val="auto"/>
          <w:szCs w:val="21"/>
          <w:highlight w:val="none"/>
        </w:rPr>
      </w:pPr>
    </w:p>
    <w:p>
      <w:pPr>
        <w:pStyle w:val="4"/>
        <w:keepNext w:val="0"/>
        <w:keepLines w:val="0"/>
        <w:spacing w:before="0" w:after="0" w:line="360" w:lineRule="auto"/>
        <w:ind w:firstLine="472" w:firstLineChars="196"/>
        <w:rPr>
          <w:rFonts w:ascii="宋体" w:hAnsi="宋体" w:eastAsia="宋体"/>
          <w:color w:val="auto"/>
          <w:sz w:val="24"/>
          <w:szCs w:val="24"/>
          <w:highlight w:val="none"/>
        </w:rPr>
      </w:pPr>
      <w:bookmarkStart w:id="211" w:name="_Toc5686_WPSOffice_Level2"/>
      <w:bookmarkStart w:id="212" w:name="_Toc4551"/>
      <w:bookmarkStart w:id="213" w:name="_Toc7215_WPSOffice_Level2"/>
      <w:r>
        <w:rPr>
          <w:rFonts w:hint="eastAsia" w:ascii="宋体" w:hAnsi="宋体" w:eastAsia="宋体"/>
          <w:color w:val="auto"/>
          <w:sz w:val="24"/>
          <w:szCs w:val="24"/>
          <w:highlight w:val="none"/>
        </w:rPr>
        <w:t>3.综合评分</w:t>
      </w:r>
      <w:bookmarkEnd w:id="211"/>
      <w:bookmarkEnd w:id="212"/>
      <w:bookmarkEnd w:id="213"/>
    </w:p>
    <w:p>
      <w:pPr>
        <w:spacing w:line="360" w:lineRule="auto"/>
        <w:ind w:firstLine="470" w:firstLineChars="196"/>
        <w:rPr>
          <w:color w:val="auto"/>
          <w:sz w:val="24"/>
          <w:highlight w:val="none"/>
        </w:rPr>
      </w:pPr>
      <w:r>
        <w:rPr>
          <w:rFonts w:hint="eastAsia" w:ascii="宋体"/>
          <w:color w:val="auto"/>
          <w:sz w:val="24"/>
          <w:highlight w:val="none"/>
        </w:rPr>
        <w:t>3.1</w:t>
      </w:r>
      <w:r>
        <w:rPr>
          <w:rFonts w:hint="eastAsia"/>
          <w:color w:val="auto"/>
          <w:sz w:val="24"/>
          <w:highlight w:val="none"/>
        </w:rPr>
        <w:t>本次综合评分的因素是：价格</w:t>
      </w:r>
      <w:r>
        <w:rPr>
          <w:rFonts w:hint="eastAsia"/>
          <w:color w:val="auto"/>
          <w:szCs w:val="21"/>
          <w:highlight w:val="none"/>
        </w:rPr>
        <w:t>、</w:t>
      </w:r>
      <w:r>
        <w:rPr>
          <w:rFonts w:hint="eastAsia"/>
          <w:color w:val="auto"/>
          <w:sz w:val="24"/>
          <w:highlight w:val="none"/>
        </w:rPr>
        <w:t>商务、技术等。</w:t>
      </w:r>
    </w:p>
    <w:p>
      <w:pPr>
        <w:spacing w:line="360" w:lineRule="auto"/>
        <w:ind w:firstLine="470" w:firstLineChars="196"/>
        <w:rPr>
          <w:rFonts w:ascii="宋体"/>
          <w:color w:val="auto"/>
          <w:sz w:val="24"/>
          <w:highlight w:val="none"/>
        </w:rPr>
      </w:pPr>
      <w:r>
        <w:rPr>
          <w:rFonts w:hint="eastAsia" w:ascii="宋体"/>
          <w:color w:val="auto"/>
          <w:sz w:val="24"/>
          <w:highlight w:val="none"/>
        </w:rPr>
        <w:t>3.2</w:t>
      </w:r>
      <w:r>
        <w:rPr>
          <w:rFonts w:hint="eastAsia"/>
          <w:color w:val="auto"/>
          <w:sz w:val="24"/>
          <w:highlight w:val="none"/>
        </w:rPr>
        <w:t xml:space="preserve"> 除价格因素外</w:t>
      </w:r>
      <w:r>
        <w:rPr>
          <w:rFonts w:hint="eastAsia" w:ascii="宋体"/>
          <w:color w:val="auto"/>
          <w:sz w:val="24"/>
          <w:highlight w:val="none"/>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70" w:firstLineChars="196"/>
        <w:rPr>
          <w:rFonts w:ascii="宋体"/>
          <w:color w:val="auto"/>
          <w:sz w:val="24"/>
          <w:highlight w:val="none"/>
        </w:rPr>
      </w:pPr>
      <w:r>
        <w:rPr>
          <w:rFonts w:hint="eastAsia" w:ascii="宋体"/>
          <w:color w:val="auto"/>
          <w:sz w:val="24"/>
          <w:highlight w:val="none"/>
        </w:rPr>
        <w:t>3.3综合评分明细表</w:t>
      </w:r>
    </w:p>
    <w:p>
      <w:pPr>
        <w:pStyle w:val="9"/>
        <w:tabs>
          <w:tab w:val="left" w:pos="600"/>
        </w:tabs>
        <w:spacing w:line="360" w:lineRule="auto"/>
        <w:ind w:firstLine="0"/>
        <w:rPr>
          <w:rFonts w:ascii="宋体"/>
          <w:color w:val="auto"/>
          <w:sz w:val="24"/>
          <w:szCs w:val="24"/>
          <w:highlight w:val="none"/>
        </w:rPr>
      </w:pPr>
      <w:r>
        <w:rPr>
          <w:rFonts w:hint="eastAsia" w:ascii="宋体"/>
          <w:color w:val="auto"/>
          <w:sz w:val="24"/>
          <w:szCs w:val="24"/>
          <w:highlight w:val="none"/>
        </w:rPr>
        <w:t>3.3.1综合评分明细表的制定以科学合理、降低评委会自由裁量权为原则。</w:t>
      </w:r>
    </w:p>
    <w:p>
      <w:pPr>
        <w:spacing w:line="360" w:lineRule="auto"/>
        <w:rPr>
          <w:rFonts w:hint="eastAsia" w:ascii="宋体" w:hAnsi="宋体"/>
          <w:b/>
          <w:color w:val="auto"/>
          <w:sz w:val="24"/>
          <w:highlight w:val="none"/>
        </w:rPr>
      </w:pPr>
      <w:r>
        <w:rPr>
          <w:rFonts w:hint="eastAsia" w:ascii="宋体" w:hAnsi="宋体"/>
          <w:b/>
          <w:color w:val="auto"/>
          <w:sz w:val="24"/>
          <w:highlight w:val="none"/>
        </w:rPr>
        <w:t>3.3.2综合评分明细表：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246"/>
        <w:gridCol w:w="785"/>
        <w:gridCol w:w="6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0" w:type="pct"/>
            <w:noWrap/>
            <w:vAlign w:val="center"/>
          </w:tcPr>
          <w:p>
            <w:pPr>
              <w:keepNext/>
              <w:keepLines/>
              <w:wordWrap w:val="0"/>
              <w:topLinePunct/>
              <w:spacing w:line="240" w:lineRule="auto"/>
              <w:ind w:firstLine="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66" w:type="pct"/>
            <w:noWrap/>
            <w:vAlign w:val="center"/>
          </w:tcPr>
          <w:p>
            <w:pPr>
              <w:keepNext/>
              <w:keepLines/>
              <w:wordWrap w:val="0"/>
              <w:topLinePunct/>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评分因素及权重</w:t>
            </w:r>
          </w:p>
        </w:tc>
        <w:tc>
          <w:tcPr>
            <w:tcW w:w="420" w:type="pct"/>
            <w:noWrap/>
            <w:vAlign w:val="center"/>
          </w:tcPr>
          <w:p>
            <w:pPr>
              <w:keepNext/>
              <w:keepLines/>
              <w:wordWrap w:val="0"/>
              <w:topLinePunct/>
              <w:spacing w:line="240" w:lineRule="auto"/>
              <w:ind w:firstLine="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602" w:type="pct"/>
            <w:noWrap/>
            <w:vAlign w:val="center"/>
          </w:tcPr>
          <w:p>
            <w:pPr>
              <w:keepNext/>
              <w:keepLines/>
              <w:wordWrap w:val="0"/>
              <w:topLinePunct/>
              <w:spacing w:line="240" w:lineRule="auto"/>
              <w:ind w:firstLine="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0" w:type="pct"/>
            <w:noWrap/>
            <w:vAlign w:val="center"/>
          </w:tcPr>
          <w:p>
            <w:pPr>
              <w:keepNext/>
              <w:keepLines/>
              <w:wordWrap w:val="0"/>
              <w:topLinePunct/>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 w:type="pct"/>
            <w:noWrap/>
            <w:vAlign w:val="center"/>
          </w:tcPr>
          <w:p>
            <w:pPr>
              <w:keepNext/>
              <w:keepLines/>
              <w:wordWrap w:val="0"/>
              <w:topLinePunct/>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p>
            <w:pPr>
              <w:keepNext/>
              <w:keepLines/>
              <w:wordWrap w:val="0"/>
              <w:topLinePunct/>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420" w:type="pct"/>
            <w:noWrap/>
            <w:vAlign w:val="center"/>
          </w:tcPr>
          <w:p>
            <w:pPr>
              <w:keepNext/>
              <w:keepLines/>
              <w:wordWrap w:val="0"/>
              <w:topLinePunct/>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3602" w:type="pct"/>
            <w:noWrap/>
            <w:vAlign w:val="center"/>
          </w:tcPr>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满足磋商文件要求且最后报价最低的供应商的价格为磋商基准价，其价格分为满分。其他供应商的价格分统一按照下列公式计算：磋商报价得分=（磋商基准价/最后磋商报价）×30%×100。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0" w:type="pct"/>
            <w:noWrap/>
            <w:vAlign w:val="center"/>
          </w:tcPr>
          <w:p>
            <w:pPr>
              <w:keepNext/>
              <w:keepLines/>
              <w:wordWrap w:val="0"/>
              <w:topLinePunct/>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 w:type="pct"/>
            <w:noWrap/>
            <w:vAlign w:val="center"/>
          </w:tcPr>
          <w:p>
            <w:pPr>
              <w:keepNext/>
              <w:keepLines/>
              <w:wordWrap w:val="0"/>
              <w:topLinePunct/>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p>
          <w:p>
            <w:pPr>
              <w:keepNext/>
              <w:keepLines/>
              <w:wordWrap w:val="0"/>
              <w:topLinePunct/>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w:t>
            </w:r>
          </w:p>
        </w:tc>
        <w:tc>
          <w:tcPr>
            <w:tcW w:w="420" w:type="pct"/>
            <w:noWrap/>
            <w:vAlign w:val="center"/>
          </w:tcPr>
          <w:p>
            <w:pPr>
              <w:keepNext/>
              <w:keepLines/>
              <w:wordWrap w:val="0"/>
              <w:topLinePunct/>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分</w:t>
            </w:r>
          </w:p>
        </w:tc>
        <w:tc>
          <w:tcPr>
            <w:tcW w:w="3602" w:type="pct"/>
            <w:noWrap/>
            <w:vAlign w:val="center"/>
          </w:tcPr>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1、供应商响应产品的技术参数完全满足磋商文件中技术参数要求的，得</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分；</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2、供应商响应产品的技术参数不满足磋商文件中技术参数要求的，则在</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分的基础上，按以下原则扣分，扣完为止：每有一项参数（以编号“</w:t>
            </w:r>
            <w:r>
              <w:rPr>
                <w:rFonts w:hint="eastAsia" w:ascii="宋体" w:hAnsi="宋体" w:eastAsia="宋体" w:cs="宋体"/>
                <w:color w:val="auto"/>
                <w:sz w:val="21"/>
                <w:szCs w:val="21"/>
                <w:highlight w:val="none"/>
                <w:lang w:val="en-US" w:eastAsia="zh-CN"/>
              </w:rPr>
              <w:t>（XX）</w:t>
            </w:r>
            <w:r>
              <w:rPr>
                <w:rFonts w:hint="eastAsia" w:ascii="宋体" w:hAnsi="宋体" w:eastAsia="宋体" w:cs="宋体"/>
                <w:color w:val="auto"/>
                <w:sz w:val="21"/>
                <w:szCs w:val="21"/>
                <w:highlight w:val="none"/>
              </w:rPr>
              <w:t>”为1项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共105项</w:t>
            </w:r>
            <w:r>
              <w:rPr>
                <w:rFonts w:hint="eastAsia" w:ascii="宋体" w:hAnsi="宋体" w:eastAsia="宋体" w:cs="宋体"/>
                <w:color w:val="auto"/>
                <w:sz w:val="21"/>
                <w:szCs w:val="21"/>
                <w:highlight w:val="none"/>
              </w:rPr>
              <w:t>）不满足本项目技术参数要求的扣</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本项最高扣21分，</w:t>
            </w:r>
            <w:r>
              <w:rPr>
                <w:rFonts w:hint="eastAsia" w:ascii="宋体" w:hAnsi="宋体" w:eastAsia="宋体" w:cs="宋体"/>
                <w:color w:val="auto"/>
                <w:sz w:val="21"/>
                <w:szCs w:val="21"/>
                <w:highlight w:val="none"/>
              </w:rPr>
              <w:t>扣完为止。</w:t>
            </w:r>
          </w:p>
          <w:p>
            <w:pPr>
              <w:pStyle w:val="6"/>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以技术参数</w:t>
            </w:r>
            <w:r>
              <w:rPr>
                <w:rFonts w:hint="eastAsia"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商务、技术、服务应答表</w:t>
            </w:r>
            <w:r>
              <w:rPr>
                <w:rFonts w:hint="eastAsia" w:cs="宋体"/>
                <w:color w:val="auto"/>
                <w:sz w:val="21"/>
                <w:szCs w:val="21"/>
                <w:highlight w:val="none"/>
                <w:lang w:val="en-US" w:eastAsia="zh-CN"/>
              </w:rPr>
              <w:t>中的响应</w:t>
            </w:r>
            <w:r>
              <w:rPr>
                <w:rFonts w:hint="eastAsia" w:ascii="宋体" w:hAnsi="宋体" w:eastAsia="宋体" w:cs="宋体"/>
                <w:color w:val="auto"/>
                <w:sz w:val="21"/>
                <w:szCs w:val="21"/>
                <w:highlight w:val="none"/>
                <w:lang w:val="en-US"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0" w:type="pct"/>
            <w:noWrap/>
            <w:vAlign w:val="center"/>
          </w:tcPr>
          <w:p>
            <w:pPr>
              <w:keepNext/>
              <w:keepLines/>
              <w:wordWrap w:val="0"/>
              <w:topLinePunct/>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6" w:type="pct"/>
            <w:noWrap/>
            <w:vAlign w:val="center"/>
          </w:tcPr>
          <w:p>
            <w:pPr>
              <w:keepNext/>
              <w:keepLines/>
              <w:wordWrap w:val="0"/>
              <w:topLinePunct/>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p>
          <w:p>
            <w:pPr>
              <w:keepNext/>
              <w:keepLines/>
              <w:wordWrap w:val="0"/>
              <w:topLinePunct/>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tc>
        <w:tc>
          <w:tcPr>
            <w:tcW w:w="420" w:type="pct"/>
            <w:noWrap/>
            <w:vAlign w:val="center"/>
          </w:tcPr>
          <w:p>
            <w:pPr>
              <w:keepNext/>
              <w:keepLines/>
              <w:wordWrap w:val="0"/>
              <w:topLinePunct/>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c>
          <w:tcPr>
            <w:tcW w:w="3602" w:type="pct"/>
            <w:noWrap/>
            <w:vAlign w:val="center"/>
          </w:tcPr>
          <w:p>
            <w:pPr>
              <w:keepNext/>
              <w:keepLines/>
              <w:wordWrap w:val="0"/>
              <w:topLinePunct/>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供应商自201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年1月1日（含）以来每有1个类似项目业绩的得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pStyle w:val="2"/>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2、</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具备有效的质量管理体系认证证书、环境管理体系认证证书的，每提供一个得2分，本项最高得4分。</w:t>
            </w:r>
          </w:p>
          <w:p>
            <w:pPr>
              <w:pStyle w:val="2"/>
              <w:keepNext/>
              <w:keepLines/>
              <w:wordWrap w:val="0"/>
              <w:topLinePunct/>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第1项</w:t>
            </w:r>
            <w:r>
              <w:rPr>
                <w:rFonts w:hint="eastAsia" w:ascii="宋体" w:hAnsi="宋体" w:eastAsia="宋体" w:cs="宋体"/>
                <w:color w:val="auto"/>
                <w:sz w:val="21"/>
                <w:szCs w:val="21"/>
                <w:highlight w:val="none"/>
              </w:rPr>
              <w:t>提供中标（成交）通知书复印件或合同复印件并加盖鲜章。</w:t>
            </w:r>
            <w:r>
              <w:rPr>
                <w:rFonts w:hint="eastAsia" w:ascii="宋体" w:hAnsi="宋体" w:eastAsia="宋体" w:cs="宋体"/>
                <w:color w:val="auto"/>
                <w:sz w:val="21"/>
                <w:szCs w:val="21"/>
                <w:highlight w:val="none"/>
                <w:lang w:val="en-US" w:eastAsia="zh-CN"/>
              </w:rPr>
              <w:t>第2项</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复印件并加盖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0" w:type="pct"/>
            <w:noWrap/>
            <w:vAlign w:val="center"/>
          </w:tcPr>
          <w:p>
            <w:pPr>
              <w:keepNext/>
              <w:keepLines/>
              <w:wordWrap w:val="0"/>
              <w:topLinePunct/>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66" w:type="pct"/>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p>
        </w:tc>
        <w:tc>
          <w:tcPr>
            <w:tcW w:w="420" w:type="pct"/>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3602" w:type="pct"/>
            <w:noWrap/>
            <w:vAlign w:val="center"/>
          </w:tcPr>
          <w:p>
            <w:pPr>
              <w:autoSpaceDE w:val="0"/>
              <w:autoSpaceDN w:val="0"/>
              <w:adjustRightInd w:val="0"/>
              <w:spacing w:line="24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根据供应商提供的对项目的实施方案内容进行评审，内容至少包含：</w:t>
            </w:r>
            <w:r>
              <w:rPr>
                <w:rFonts w:hint="eastAsia" w:ascii="宋体" w:hAnsi="宋体" w:eastAsia="宋体" w:cs="宋体"/>
                <w:b/>
                <w:bCs/>
                <w:color w:val="auto"/>
                <w:sz w:val="21"/>
                <w:szCs w:val="21"/>
                <w:highlight w:val="none"/>
              </w:rPr>
              <w:t>项目实施重难点分析应对</w:t>
            </w:r>
            <w:r>
              <w:rPr>
                <w:rFonts w:hint="eastAsia" w:ascii="宋体" w:hAnsi="宋体" w:eastAsia="宋体" w:cs="宋体"/>
                <w:b/>
                <w:bCs/>
                <w:color w:val="auto"/>
                <w:sz w:val="21"/>
                <w:szCs w:val="21"/>
                <w:highlight w:val="none"/>
                <w:lang w:eastAsia="zh-CN"/>
              </w:rPr>
              <w:t>、内部管理制度、</w:t>
            </w:r>
            <w:r>
              <w:rPr>
                <w:rFonts w:hint="eastAsia" w:ascii="宋体" w:hAnsi="宋体" w:eastAsia="宋体" w:cs="宋体"/>
                <w:b/>
                <w:bCs/>
                <w:color w:val="auto"/>
                <w:sz w:val="21"/>
                <w:szCs w:val="21"/>
                <w:highlight w:val="none"/>
              </w:rPr>
              <w:t>组织协调分工、供货进度安排、</w:t>
            </w:r>
            <w:r>
              <w:rPr>
                <w:rFonts w:hint="eastAsia" w:ascii="宋体" w:hAnsi="宋体" w:cs="宋体"/>
                <w:b/>
                <w:bCs/>
                <w:color w:val="auto"/>
                <w:sz w:val="21"/>
                <w:szCs w:val="21"/>
                <w:highlight w:val="none"/>
                <w:lang w:val="en-US" w:eastAsia="zh-CN"/>
              </w:rPr>
              <w:t>安装调试方案</w:t>
            </w:r>
            <w:r>
              <w:rPr>
                <w:rFonts w:hint="eastAsia" w:ascii="宋体" w:hAnsi="宋体" w:eastAsia="宋体" w:cs="宋体"/>
                <w:b/>
                <w:bCs/>
                <w:color w:val="auto"/>
                <w:sz w:val="21"/>
                <w:szCs w:val="21"/>
                <w:highlight w:val="none"/>
              </w:rPr>
              <w:t>、应急</w:t>
            </w:r>
            <w:r>
              <w:rPr>
                <w:rFonts w:hint="eastAsia" w:ascii="宋体" w:hAnsi="宋体" w:eastAsia="宋体" w:cs="宋体"/>
                <w:b/>
                <w:bCs/>
                <w:color w:val="auto"/>
                <w:sz w:val="21"/>
                <w:szCs w:val="21"/>
                <w:highlight w:val="none"/>
                <w:lang w:val="en-US" w:eastAsia="zh-CN"/>
              </w:rPr>
              <w:t>预案</w:t>
            </w:r>
            <w:r>
              <w:rPr>
                <w:rFonts w:hint="eastAsia" w:ascii="宋体" w:hAnsi="宋体" w:eastAsia="宋体" w:cs="宋体"/>
                <w:b/>
                <w:bCs/>
                <w:color w:val="auto"/>
                <w:sz w:val="21"/>
                <w:szCs w:val="21"/>
                <w:highlight w:val="none"/>
              </w:rPr>
              <w:t>、质量保障</w:t>
            </w:r>
            <w:r>
              <w:rPr>
                <w:rFonts w:hint="eastAsia" w:ascii="宋体" w:hAnsi="宋体" w:eastAsia="宋体" w:cs="宋体"/>
                <w:b/>
                <w:bCs/>
                <w:color w:val="auto"/>
                <w:sz w:val="21"/>
                <w:szCs w:val="21"/>
                <w:highlight w:val="none"/>
                <w:lang w:val="en-US" w:eastAsia="zh-CN"/>
              </w:rPr>
              <w:t>措施</w:t>
            </w:r>
            <w:r>
              <w:rPr>
                <w:rFonts w:hint="eastAsia" w:ascii="宋体" w:hAnsi="宋体" w:eastAsia="宋体" w:cs="宋体"/>
                <w:b/>
                <w:bCs/>
                <w:color w:val="auto"/>
                <w:sz w:val="21"/>
                <w:szCs w:val="21"/>
                <w:highlight w:val="none"/>
              </w:rPr>
              <w:t>、技术指导</w:t>
            </w:r>
            <w:r>
              <w:rPr>
                <w:rFonts w:hint="eastAsia" w:ascii="宋体" w:hAnsi="宋体" w:eastAsia="宋体" w:cs="宋体"/>
                <w:b/>
                <w:bCs/>
                <w:color w:val="auto"/>
                <w:sz w:val="21"/>
                <w:szCs w:val="21"/>
                <w:highlight w:val="none"/>
                <w:lang w:val="en-US" w:eastAsia="zh-CN"/>
              </w:rPr>
              <w:t>方案</w:t>
            </w:r>
            <w:r>
              <w:rPr>
                <w:rFonts w:hint="eastAsia" w:ascii="宋体" w:hAnsi="宋体" w:eastAsia="宋体" w:cs="宋体"/>
                <w:b/>
                <w:bCs/>
                <w:color w:val="auto"/>
                <w:sz w:val="21"/>
                <w:szCs w:val="21"/>
                <w:highlight w:val="none"/>
              </w:rPr>
              <w:t>、售后服务方案、合理化建议</w:t>
            </w:r>
            <w:r>
              <w:rPr>
                <w:rFonts w:hint="eastAsia" w:ascii="宋体" w:hAnsi="宋体" w:eastAsia="宋体" w:cs="宋体"/>
                <w:color w:val="auto"/>
                <w:sz w:val="21"/>
                <w:szCs w:val="21"/>
                <w:highlight w:val="none"/>
              </w:rPr>
              <w:t>，进行综合评审，内容齐全且满足本项目实施进度及管理需求的得</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分，每有一项内容缺失扣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分，每有一项内容描述不合理或不完善的扣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0" w:type="dxa"/>
            <w:noWrap/>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246" w:type="dxa"/>
            <w:noWrap/>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节能、环境标志、无线局域网产品</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p>
        </w:tc>
        <w:tc>
          <w:tcPr>
            <w:tcW w:w="785" w:type="dxa"/>
            <w:noWrap/>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2分</w:t>
            </w:r>
          </w:p>
        </w:tc>
        <w:tc>
          <w:tcPr>
            <w:tcW w:w="6734" w:type="dxa"/>
            <w:noWrap/>
            <w:vAlign w:val="center"/>
          </w:tcPr>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响应产品中属于政府采购优先采购范围的，则每有一项为节能产品或者环境标志产品或者无线局域网产品的得1分，非节能、环境标志产品产品的，无线局域网产品的不得分，本项最多得2分。</w:t>
            </w:r>
          </w:p>
          <w:p>
            <w:pPr>
              <w:keepNext w:val="0"/>
              <w:keepLines w:val="0"/>
              <w:pageBreakBefore w:val="0"/>
              <w:kinsoku/>
              <w:wordWrap/>
              <w:overflowPunct/>
              <w:topLinePunct w:val="0"/>
              <w:autoSpaceDE/>
              <w:autoSpaceDN/>
              <w:bidi w:val="0"/>
              <w:adjustRightInd/>
              <w:snapToGrid/>
              <w:spacing w:after="0"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1、节能产品、环境标志产品优先采购范围以品目清单为准。财政部、发展改革委、生态环境部等部门根据产品节能环保性能、技术水平和市场成熟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pPr>
              <w:keepNext w:val="0"/>
              <w:keepLines w:val="0"/>
              <w:pageBreakBefore w:val="0"/>
              <w:kinsoku/>
              <w:wordWrap/>
              <w:overflowPunct/>
              <w:topLinePunct w:val="0"/>
              <w:autoSpaceDE/>
              <w:autoSpaceDN/>
              <w:bidi w:val="0"/>
              <w:adjustRightInd/>
              <w:snapToGrid/>
              <w:spacing w:after="0" w:line="240" w:lineRule="auto"/>
              <w:ind w:firstLine="48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2、报价产品属于优先采购范围内的节能产品或者环境标志产品的，提供国家确定的认证机构出具的、处于有效期内的节能产品、环境标志产品认证证书复印件加盖供应商公章（鲜章）。</w:t>
            </w:r>
          </w:p>
          <w:p>
            <w:pPr>
              <w:keepNext w:val="0"/>
              <w:keepLines w:val="0"/>
              <w:pageBreakBefore w:val="0"/>
              <w:kinsoku/>
              <w:wordWrap/>
              <w:overflowPunct/>
              <w:topLinePunct w:val="0"/>
              <w:autoSpaceDE/>
              <w:autoSpaceDN/>
              <w:bidi w:val="0"/>
              <w:adjustRightInd/>
              <w:snapToGrid/>
              <w:spacing w:after="0" w:line="240" w:lineRule="auto"/>
              <w:ind w:firstLine="48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3、报价产品属于优先采购范围内的无线局域网产品的，提供政府采购清单对应页并加盖供应商单位公章（鲜章）。</w:t>
            </w:r>
          </w:p>
        </w:tc>
      </w:tr>
    </w:tbl>
    <w:p>
      <w:pPr>
        <w:spacing w:line="360" w:lineRule="auto"/>
        <w:rPr>
          <w:color w:val="auto"/>
          <w:sz w:val="24"/>
          <w:highlight w:val="none"/>
        </w:rPr>
      </w:pPr>
      <w:r>
        <w:rPr>
          <w:rFonts w:hint="eastAsia"/>
          <w:color w:val="auto"/>
          <w:sz w:val="24"/>
          <w:highlight w:val="none"/>
        </w:rPr>
        <w:t>注：评分的取值按四舍五入法，保留小数点后两位。</w:t>
      </w:r>
      <w:bookmarkEnd w:id="202"/>
      <w:bookmarkEnd w:id="203"/>
      <w:bookmarkEnd w:id="204"/>
      <w:bookmarkEnd w:id="205"/>
      <w:bookmarkStart w:id="214" w:name="_Toc21472_WPSOffice_Level2"/>
    </w:p>
    <w:p>
      <w:pPr>
        <w:spacing w:line="360" w:lineRule="auto"/>
        <w:rPr>
          <w:color w:val="auto"/>
          <w:highlight w:val="none"/>
        </w:rPr>
      </w:pPr>
    </w:p>
    <w:p>
      <w:pPr>
        <w:pStyle w:val="4"/>
        <w:keepNext w:val="0"/>
        <w:keepLines w:val="0"/>
        <w:spacing w:before="0" w:after="0" w:line="360" w:lineRule="auto"/>
        <w:ind w:firstLine="472" w:firstLineChars="196"/>
        <w:rPr>
          <w:rFonts w:ascii="宋体" w:hAnsi="宋体" w:eastAsia="宋体"/>
          <w:color w:val="auto"/>
          <w:sz w:val="24"/>
          <w:szCs w:val="24"/>
          <w:highlight w:val="none"/>
        </w:rPr>
      </w:pPr>
      <w:bookmarkStart w:id="215" w:name="_Toc8289"/>
      <w:bookmarkStart w:id="216" w:name="_Toc32701_WPSOffice_Level2"/>
      <w:r>
        <w:rPr>
          <w:rFonts w:hint="eastAsia" w:ascii="宋体" w:hAnsi="宋体" w:eastAsia="宋体"/>
          <w:color w:val="auto"/>
          <w:sz w:val="24"/>
          <w:szCs w:val="24"/>
          <w:highlight w:val="none"/>
        </w:rPr>
        <w:t>4.磋商纪律及注意事项</w:t>
      </w:r>
      <w:bookmarkEnd w:id="214"/>
      <w:bookmarkEnd w:id="215"/>
      <w:bookmarkEnd w:id="216"/>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4.2在磋商过程中，供应商不得以任何形式对磋商小组成员进行旨在影响谈判结果的私下接触，否则将取消其参与磋商的资格。</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4.3</w:t>
      </w:r>
      <w:r>
        <w:rPr>
          <w:rFonts w:hint="eastAsia"/>
          <w:color w:val="auto"/>
          <w:sz w:val="24"/>
          <w:highlight w:val="none"/>
        </w:rPr>
        <w:t>对各供应商的商业秘密，磋商小组成员应予以保密，不得泄露给其他供应商。</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4.4 磋商小组独立评判，推荐成交候选人，并写出书面报告。</w:t>
      </w:r>
    </w:p>
    <w:p>
      <w:pPr>
        <w:tabs>
          <w:tab w:val="left" w:pos="851"/>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4.5 磋商小组可根据需要对供应商进行实地考察。</w:t>
      </w:r>
    </w:p>
    <w:p>
      <w:pPr>
        <w:spacing w:line="360" w:lineRule="auto"/>
        <w:rPr>
          <w:rFonts w:ascii="宋体"/>
          <w:color w:val="auto"/>
          <w:szCs w:val="21"/>
          <w:highlight w:val="none"/>
        </w:rPr>
      </w:pPr>
    </w:p>
    <w:p>
      <w:pPr>
        <w:pStyle w:val="4"/>
        <w:keepNext w:val="0"/>
        <w:keepLines w:val="0"/>
        <w:spacing w:before="0" w:after="0" w:line="360" w:lineRule="auto"/>
        <w:ind w:firstLine="472" w:firstLineChars="196"/>
        <w:rPr>
          <w:rFonts w:ascii="宋体" w:hAnsi="宋体" w:eastAsia="宋体"/>
          <w:color w:val="auto"/>
          <w:sz w:val="24"/>
          <w:szCs w:val="24"/>
          <w:highlight w:val="none"/>
        </w:rPr>
      </w:pPr>
      <w:bookmarkStart w:id="217" w:name="_Toc23282"/>
      <w:bookmarkStart w:id="218" w:name="_Toc17761_WPSOffice_Level2"/>
      <w:bookmarkStart w:id="219" w:name="_Toc29183_WPSOffice_Level2"/>
      <w:r>
        <w:rPr>
          <w:rFonts w:hint="eastAsia" w:ascii="宋体" w:hAnsi="宋体" w:eastAsia="宋体"/>
          <w:color w:val="auto"/>
          <w:sz w:val="24"/>
          <w:szCs w:val="24"/>
          <w:highlight w:val="none"/>
        </w:rPr>
        <w:t>5.</w:t>
      </w:r>
      <w:bookmarkEnd w:id="206"/>
      <w:r>
        <w:rPr>
          <w:rFonts w:hint="eastAsia" w:ascii="宋体" w:hAnsi="宋体" w:eastAsia="宋体"/>
          <w:color w:val="auto"/>
          <w:sz w:val="24"/>
          <w:szCs w:val="24"/>
          <w:highlight w:val="none"/>
        </w:rPr>
        <w:t>磋商小组在政府采购活动中承担以下义务：</w:t>
      </w:r>
      <w:bookmarkEnd w:id="217"/>
      <w:bookmarkEnd w:id="218"/>
      <w:bookmarkEnd w:id="219"/>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（1）遵守评审工作纪律；</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（2）按照客观、公正、审慎的原则，根据磋商文件规定的评审程序、评审方法和评审标准进行独立评审；</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（3）不得泄露评审文件、评审情况和在评审过程中获悉的商业秘密；</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（6）及时向财政、监察等部门举报在评审过程中受到非法干预的情况；</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（7）配合答复处理供应商的询问、质疑和投诉等事项；</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（8）法律、法规和规章规定的其他义务。</w:t>
      </w:r>
    </w:p>
    <w:p>
      <w:pPr>
        <w:spacing w:line="360" w:lineRule="auto"/>
        <w:rPr>
          <w:rFonts w:ascii="宋体" w:hAnsi="宋体"/>
          <w:color w:val="auto"/>
          <w:szCs w:val="21"/>
          <w:highlight w:val="none"/>
        </w:rPr>
      </w:pPr>
    </w:p>
    <w:p>
      <w:pPr>
        <w:pStyle w:val="4"/>
        <w:keepNext w:val="0"/>
        <w:keepLines w:val="0"/>
        <w:spacing w:before="0" w:after="0" w:line="360" w:lineRule="auto"/>
        <w:ind w:firstLine="472" w:firstLineChars="196"/>
        <w:rPr>
          <w:rFonts w:ascii="宋体" w:hAnsi="宋体" w:eastAsia="宋体"/>
          <w:color w:val="auto"/>
          <w:sz w:val="24"/>
          <w:szCs w:val="24"/>
          <w:highlight w:val="none"/>
        </w:rPr>
      </w:pPr>
      <w:bookmarkStart w:id="220" w:name="_Toc10645"/>
      <w:bookmarkStart w:id="221" w:name="_Toc17404_WPSOffice_Level2"/>
      <w:bookmarkStart w:id="222" w:name="_Toc13308_WPSOffice_Level2"/>
      <w:r>
        <w:rPr>
          <w:rFonts w:hint="eastAsia" w:ascii="宋体" w:hAnsi="宋体" w:eastAsia="宋体"/>
          <w:color w:val="auto"/>
          <w:sz w:val="24"/>
          <w:szCs w:val="24"/>
          <w:highlight w:val="none"/>
        </w:rPr>
        <w:t>6.评审专家在政府采购活动中应当遵守以下工作纪律：</w:t>
      </w:r>
      <w:bookmarkEnd w:id="220"/>
      <w:bookmarkEnd w:id="221"/>
      <w:bookmarkEnd w:id="222"/>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（2）评审前，应当将通讯工具或者相关电子设备交由采购代理机构统一保管；</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（5）在评审过程中和评审结束后，不得记录、复制或带走任何评审资料，不得向外界透露评审内容；</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（6）评审现场服从采购代理机构工作人员的管理，接受现场监督人员的合法监督；</w:t>
      </w:r>
    </w:p>
    <w:p>
      <w:pPr>
        <w:tabs>
          <w:tab w:val="left" w:pos="766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（7）遵守有关廉洁自律规定，不得私下接触供应商，不得收受供应商及有关业务单位和个人的财物或好处，不得接受采购代理机构的请托。</w:t>
      </w:r>
    </w:p>
    <w:p>
      <w:pPr>
        <w:pStyle w:val="3"/>
        <w:spacing w:before="0" w:after="0" w:line="360" w:lineRule="auto"/>
        <w:jc w:val="center"/>
        <w:rPr>
          <w:color w:val="auto"/>
          <w:highlight w:val="none"/>
        </w:rPr>
      </w:pPr>
      <w:r>
        <w:rPr>
          <w:rFonts w:hint="eastAsia"/>
          <w:color w:val="auto"/>
          <w:highlight w:val="none"/>
        </w:rPr>
        <w:br w:type="page"/>
      </w:r>
      <w:bookmarkStart w:id="223" w:name="_Toc14405_WPSOffice_Level1"/>
      <w:bookmarkStart w:id="224" w:name="_Toc28247"/>
      <w:bookmarkStart w:id="225" w:name="_Toc10837"/>
      <w:bookmarkStart w:id="226" w:name="_Toc28556_WPSOffice_Level1"/>
      <w:r>
        <w:rPr>
          <w:rFonts w:hint="eastAsia"/>
          <w:color w:val="auto"/>
          <w:highlight w:val="none"/>
        </w:rPr>
        <w:t>第九章  政府采购合同（草案）</w:t>
      </w:r>
      <w:bookmarkEnd w:id="223"/>
      <w:bookmarkEnd w:id="224"/>
      <w:bookmarkEnd w:id="225"/>
      <w:bookmarkEnd w:id="226"/>
    </w:p>
    <w:bookmarkEnd w:id="135"/>
    <w:bookmarkEnd w:id="136"/>
    <w:bookmarkEnd w:id="137"/>
    <w:p>
      <w:pPr>
        <w:spacing w:line="360" w:lineRule="auto"/>
        <w:rPr>
          <w:rFonts w:ascii="宋体" w:hAnsi="宋体"/>
          <w:color w:val="auto"/>
          <w:highlight w:val="none"/>
        </w:rPr>
      </w:pPr>
      <w:bookmarkStart w:id="227" w:name="_Hlt101846155"/>
      <w:bookmarkEnd w:id="227"/>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合同编号：XXXX。</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签订地点：XXXX。</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签订时间：XXXX年XX月XX日。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供应商（乙方）：</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依据《中华人民共和国民法典》、《中华人民共和国政府采购法》与项目行业有关的法律法规，以及XXXX项目（项目编号：XXXX）的《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文件》，乙方的《响应文件》及《成交通知书》，甲、乙双方同意签订本合同。详细技术说明及其他有关合同项目的特定信息由合同附件予以说明，合同附件及本项目的《</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文件》、《响应文件》、《成交通知书》等均为本合同的组成部分。 </w:t>
      </w:r>
    </w:p>
    <w:p>
      <w:pPr>
        <w:numPr>
          <w:ilvl w:val="0"/>
          <w:numId w:val="9"/>
        </w:numPr>
        <w:spacing w:line="360" w:lineRule="auto"/>
        <w:outlineLvl w:val="9"/>
        <w:rPr>
          <w:rFonts w:hint="eastAsia" w:ascii="宋体" w:hAnsi="宋体" w:eastAsia="宋体" w:cs="宋体"/>
          <w:b/>
          <w:color w:val="auto"/>
          <w:sz w:val="24"/>
          <w:szCs w:val="24"/>
          <w:highlight w:val="none"/>
        </w:rPr>
      </w:pPr>
      <w:bookmarkStart w:id="228" w:name="_Toc24556_WPSOffice_Level2"/>
      <w:bookmarkStart w:id="229" w:name="_Toc19201"/>
      <w:bookmarkStart w:id="230" w:name="_Toc12353_WPSOffice_Level2"/>
      <w:r>
        <w:rPr>
          <w:rFonts w:hint="eastAsia" w:ascii="宋体" w:hAnsi="宋体" w:eastAsia="宋体" w:cs="宋体"/>
          <w:b/>
          <w:color w:val="auto"/>
          <w:sz w:val="24"/>
          <w:szCs w:val="24"/>
          <w:highlight w:val="none"/>
        </w:rPr>
        <w:t>项目基本情况</w:t>
      </w:r>
      <w:bookmarkEnd w:id="228"/>
      <w:bookmarkEnd w:id="229"/>
      <w:bookmarkEnd w:id="230"/>
    </w:p>
    <w:p>
      <w:pPr>
        <w:numPr>
          <w:ilvl w:val="0"/>
          <w:numId w:val="9"/>
        </w:numPr>
        <w:spacing w:line="360" w:lineRule="auto"/>
        <w:outlineLvl w:val="9"/>
        <w:rPr>
          <w:rFonts w:hint="eastAsia" w:ascii="宋体" w:hAnsi="宋体" w:eastAsia="宋体" w:cs="宋体"/>
          <w:color w:val="auto"/>
          <w:sz w:val="24"/>
          <w:szCs w:val="24"/>
          <w:highlight w:val="none"/>
        </w:rPr>
      </w:pPr>
      <w:bookmarkStart w:id="231" w:name="_Toc23965_WPSOffice_Level2"/>
      <w:bookmarkStart w:id="232" w:name="_Toc13964_WPSOffice_Level2"/>
      <w:bookmarkStart w:id="233" w:name="_Toc15712"/>
      <w:r>
        <w:rPr>
          <w:rFonts w:hint="eastAsia" w:ascii="宋体" w:hAnsi="宋体" w:eastAsia="宋体" w:cs="宋体"/>
          <w:b/>
          <w:color w:val="auto"/>
          <w:sz w:val="24"/>
          <w:szCs w:val="24"/>
          <w:highlight w:val="none"/>
        </w:rPr>
        <w:t>合同期限</w:t>
      </w:r>
      <w:bookmarkEnd w:id="231"/>
      <w:bookmarkEnd w:id="232"/>
      <w:bookmarkEnd w:id="233"/>
    </w:p>
    <w:p>
      <w:pPr>
        <w:numPr>
          <w:ilvl w:val="0"/>
          <w:numId w:val="9"/>
        </w:numPr>
        <w:spacing w:line="360" w:lineRule="auto"/>
        <w:outlineLvl w:val="9"/>
        <w:rPr>
          <w:rFonts w:hint="eastAsia" w:ascii="宋体" w:hAnsi="宋体" w:eastAsia="宋体" w:cs="宋体"/>
          <w:b/>
          <w:color w:val="auto"/>
          <w:sz w:val="24"/>
          <w:szCs w:val="24"/>
          <w:highlight w:val="none"/>
        </w:rPr>
      </w:pPr>
      <w:bookmarkStart w:id="234" w:name="_Toc29080"/>
      <w:bookmarkStart w:id="235" w:name="_Toc23597_WPSOffice_Level2"/>
      <w:bookmarkStart w:id="236" w:name="_Toc11144_WPSOffice_Level2"/>
      <w:bookmarkStart w:id="237" w:name="_Toc247334841"/>
      <w:bookmarkStart w:id="238" w:name="_Toc239568418"/>
      <w:bookmarkStart w:id="239" w:name="_Toc225654644"/>
      <w:bookmarkStart w:id="240" w:name="_Toc225244852"/>
      <w:bookmarkStart w:id="241" w:name="_Toc225670751"/>
      <w:bookmarkStart w:id="242" w:name="_Toc238984975"/>
      <w:bookmarkStart w:id="243" w:name="_Toc185395249"/>
      <w:bookmarkStart w:id="244" w:name="_Toc212019594"/>
      <w:bookmarkStart w:id="245" w:name="_Toc211911348"/>
      <w:bookmarkStart w:id="246" w:name="_Toc251768862"/>
      <w:bookmarkStart w:id="247" w:name="_Toc283019214"/>
      <w:bookmarkStart w:id="248" w:name="_Toc241833903"/>
      <w:bookmarkStart w:id="249" w:name="_Toc239233914"/>
      <w:bookmarkStart w:id="250" w:name="_Toc237145406"/>
      <w:bookmarkStart w:id="251" w:name="_Toc282696226"/>
      <w:bookmarkStart w:id="252" w:name="_Toc286993786"/>
      <w:bookmarkStart w:id="253" w:name="_Toc211854449"/>
      <w:bookmarkStart w:id="254" w:name="_Toc232492928"/>
      <w:r>
        <w:rPr>
          <w:rFonts w:hint="eastAsia" w:ascii="宋体" w:hAnsi="宋体" w:eastAsia="宋体" w:cs="宋体"/>
          <w:b/>
          <w:color w:val="auto"/>
          <w:sz w:val="24"/>
          <w:szCs w:val="24"/>
          <w:highlight w:val="none"/>
        </w:rPr>
        <w:t>服务内容与质量标准</w:t>
      </w:r>
      <w:bookmarkEnd w:id="234"/>
      <w:bookmarkEnd w:id="235"/>
      <w:bookmarkEnd w:id="236"/>
    </w:p>
    <w:p>
      <w:pPr>
        <w:spacing w:line="360" w:lineRule="auto"/>
        <w:ind w:left="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1、XXXX；</w:t>
      </w:r>
    </w:p>
    <w:p>
      <w:pPr>
        <w:spacing w:line="360" w:lineRule="auto"/>
        <w:ind w:left="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2、XXXX；</w:t>
      </w:r>
    </w:p>
    <w:p>
      <w:pPr>
        <w:spacing w:line="360" w:lineRule="auto"/>
        <w:ind w:left="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3、XXXX．</w:t>
      </w:r>
    </w:p>
    <w:p>
      <w:pPr>
        <w:numPr>
          <w:ilvl w:val="0"/>
          <w:numId w:val="9"/>
        </w:numPr>
        <w:spacing w:line="360" w:lineRule="auto"/>
        <w:outlineLvl w:val="9"/>
        <w:rPr>
          <w:rFonts w:hint="eastAsia" w:ascii="宋体" w:hAnsi="宋体" w:eastAsia="宋体" w:cs="宋体"/>
          <w:b/>
          <w:color w:val="auto"/>
          <w:sz w:val="24"/>
          <w:szCs w:val="24"/>
          <w:highlight w:val="none"/>
        </w:rPr>
      </w:pPr>
      <w:bookmarkStart w:id="255" w:name="_Toc11083_WPSOffice_Level2"/>
      <w:bookmarkStart w:id="256" w:name="_Toc1442"/>
      <w:bookmarkStart w:id="257" w:name="_Toc18159_WPSOffice_Level2"/>
      <w:r>
        <w:rPr>
          <w:rFonts w:hint="eastAsia" w:ascii="宋体" w:hAnsi="宋体" w:eastAsia="宋体" w:cs="宋体"/>
          <w:b/>
          <w:color w:val="auto"/>
          <w:sz w:val="24"/>
          <w:szCs w:val="24"/>
          <w:highlight w:val="none"/>
        </w:rPr>
        <w:t>服务费用及支付方式</w:t>
      </w:r>
      <w:bookmarkEnd w:id="255"/>
      <w:bookmarkEnd w:id="256"/>
      <w:bookmarkEnd w:id="257"/>
    </w:p>
    <w:p>
      <w:pPr>
        <w:numPr>
          <w:ilvl w:val="0"/>
          <w:numId w:val="10"/>
        </w:numPr>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本项目服务费用由以下组成：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1、XX万元；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2、XX万元；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3、XX万元。</w:t>
      </w:r>
    </w:p>
    <w:p>
      <w:pPr>
        <w:numPr>
          <w:ilvl w:val="0"/>
          <w:numId w:val="10"/>
        </w:numPr>
        <w:tabs>
          <w:tab w:val="left" w:pos="780"/>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服务费支付方式： </w:t>
      </w:r>
    </w:p>
    <w:p>
      <w:pPr>
        <w:numPr>
          <w:ilvl w:val="0"/>
          <w:numId w:val="9"/>
        </w:numPr>
        <w:spacing w:line="360" w:lineRule="auto"/>
        <w:outlineLvl w:val="9"/>
        <w:rPr>
          <w:rFonts w:hint="eastAsia" w:ascii="宋体" w:hAnsi="宋体" w:eastAsia="宋体" w:cs="宋体"/>
          <w:b/>
          <w:color w:val="auto"/>
          <w:sz w:val="24"/>
          <w:szCs w:val="24"/>
          <w:highlight w:val="none"/>
        </w:rPr>
      </w:pPr>
      <w:bookmarkStart w:id="258" w:name="_Toc2167_WPSOffice_Level2"/>
      <w:bookmarkStart w:id="259" w:name="_Toc4051_WPSOffice_Level2"/>
      <w:bookmarkStart w:id="260" w:name="_Toc32608"/>
      <w:r>
        <w:rPr>
          <w:rFonts w:hint="eastAsia" w:ascii="宋体" w:hAnsi="宋体" w:eastAsia="宋体" w:cs="宋体"/>
          <w:b/>
          <w:color w:val="auto"/>
          <w:sz w:val="24"/>
          <w:szCs w:val="24"/>
          <w:highlight w:val="none"/>
        </w:rPr>
        <w:t>知识产权</w:t>
      </w:r>
      <w:bookmarkEnd w:id="258"/>
      <w:bookmarkEnd w:id="259"/>
      <w:bookmarkEnd w:id="260"/>
    </w:p>
    <w:p>
      <w:pPr>
        <w:tabs>
          <w:tab w:val="left" w:pos="144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乙方应保证所提供的服务或其任何一部分均不会侵犯任何第三方的专利权、商标权或著作权。</w:t>
      </w:r>
    </w:p>
    <w:p>
      <w:pPr>
        <w:numPr>
          <w:ilvl w:val="0"/>
          <w:numId w:val="9"/>
        </w:numPr>
        <w:spacing w:line="360" w:lineRule="auto"/>
        <w:outlineLvl w:val="9"/>
        <w:rPr>
          <w:rFonts w:hint="eastAsia" w:ascii="宋体" w:hAnsi="宋体" w:eastAsia="宋体" w:cs="宋体"/>
          <w:b/>
          <w:color w:val="auto"/>
          <w:sz w:val="24"/>
          <w:szCs w:val="24"/>
          <w:highlight w:val="none"/>
        </w:rPr>
      </w:pPr>
      <w:bookmarkStart w:id="261" w:name="_Toc1356_WPSOffice_Level2"/>
      <w:bookmarkStart w:id="262" w:name="_Toc20624_WPSOffice_Level2"/>
      <w:bookmarkStart w:id="263" w:name="_Toc22723"/>
      <w:r>
        <w:rPr>
          <w:rFonts w:hint="eastAsia" w:ascii="宋体" w:hAnsi="宋体" w:eastAsia="宋体" w:cs="宋体"/>
          <w:b/>
          <w:color w:val="auto"/>
          <w:sz w:val="24"/>
          <w:szCs w:val="24"/>
          <w:highlight w:val="none"/>
        </w:rPr>
        <w:t>无产权瑕疵条款</w:t>
      </w:r>
      <w:bookmarkEnd w:id="261"/>
      <w:bookmarkEnd w:id="262"/>
      <w:bookmarkEnd w:id="263"/>
    </w:p>
    <w:p>
      <w:pPr>
        <w:tabs>
          <w:tab w:val="left" w:pos="144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乙方保证所提供的服务的所有权完全属于乙方且无任何抵押、查封等产权瑕疵。如有产权瑕疵的，视为乙方违约。乙方应负担由此而产生的一切损失。</w:t>
      </w:r>
    </w:p>
    <w:p>
      <w:pPr>
        <w:numPr>
          <w:ilvl w:val="0"/>
          <w:numId w:val="9"/>
        </w:numPr>
        <w:spacing w:line="360" w:lineRule="auto"/>
        <w:outlineLvl w:val="9"/>
        <w:rPr>
          <w:rFonts w:hint="eastAsia" w:ascii="宋体" w:hAnsi="宋体" w:eastAsia="宋体" w:cs="宋体"/>
          <w:b/>
          <w:color w:val="auto"/>
          <w:sz w:val="24"/>
          <w:szCs w:val="24"/>
          <w:highlight w:val="none"/>
        </w:rPr>
      </w:pPr>
      <w:bookmarkStart w:id="264" w:name="_Toc23515_WPSOffice_Level2"/>
      <w:bookmarkStart w:id="265" w:name="_Toc4136_WPSOffice_Level2"/>
      <w:bookmarkStart w:id="266" w:name="_Toc56"/>
      <w:r>
        <w:rPr>
          <w:rFonts w:hint="eastAsia" w:ascii="宋体" w:hAnsi="宋体" w:eastAsia="宋体" w:cs="宋体"/>
          <w:b/>
          <w:color w:val="auto"/>
          <w:sz w:val="24"/>
          <w:szCs w:val="24"/>
          <w:highlight w:val="none"/>
        </w:rPr>
        <w:t>履约保证金</w:t>
      </w:r>
      <w:bookmarkEnd w:id="264"/>
      <w:bookmarkEnd w:id="265"/>
      <w:bookmarkEnd w:id="266"/>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1、乙方交纳人民币</w:t>
      </w:r>
      <w:r>
        <w:rPr>
          <w:rFonts w:hint="eastAsia" w:ascii="宋体" w:hAnsi="宋体" w:eastAsia="宋体" w:cs="宋体"/>
          <w:color w:val="auto"/>
          <w:sz w:val="24"/>
          <w:szCs w:val="24"/>
          <w:highlight w:val="none"/>
        </w:rPr>
        <w:t>XX</w:t>
      </w:r>
      <w:r>
        <w:rPr>
          <w:rFonts w:hint="eastAsia" w:ascii="宋体" w:hAnsi="宋体" w:eastAsia="宋体" w:cs="宋体"/>
          <w:bCs/>
          <w:color w:val="auto"/>
          <w:sz w:val="24"/>
          <w:szCs w:val="24"/>
          <w:highlight w:val="none"/>
        </w:rPr>
        <w:t>元作为本合同的履约保证金。</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2、履约保证金作为违约金的一部分及用于补偿甲方因乙方不能履行合同义务而蒙受的损失。</w:t>
      </w:r>
    </w:p>
    <w:p>
      <w:pPr>
        <w:numPr>
          <w:ilvl w:val="0"/>
          <w:numId w:val="9"/>
        </w:numPr>
        <w:spacing w:line="360" w:lineRule="auto"/>
        <w:outlineLvl w:val="9"/>
        <w:rPr>
          <w:rFonts w:hint="eastAsia" w:ascii="宋体" w:hAnsi="宋体" w:eastAsia="宋体" w:cs="宋体"/>
          <w:b/>
          <w:color w:val="auto"/>
          <w:sz w:val="24"/>
          <w:szCs w:val="24"/>
          <w:highlight w:val="none"/>
        </w:rPr>
      </w:pPr>
      <w:bookmarkStart w:id="267" w:name="_Toc6316"/>
      <w:bookmarkStart w:id="268" w:name="_Toc23216_WPSOffice_Level2"/>
      <w:bookmarkStart w:id="269" w:name="_Toc18407_WPSOffice_Level2"/>
      <w:r>
        <w:rPr>
          <w:rFonts w:hint="eastAsia" w:ascii="宋体" w:hAnsi="宋体" w:eastAsia="宋体" w:cs="宋体"/>
          <w:b/>
          <w:color w:val="auto"/>
          <w:sz w:val="24"/>
          <w:szCs w:val="24"/>
          <w:highlight w:val="none"/>
        </w:rPr>
        <w:t>甲方的权利和义务</w:t>
      </w:r>
      <w:bookmarkEnd w:id="267"/>
      <w:bookmarkEnd w:id="268"/>
      <w:bookmarkEnd w:id="269"/>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3、负责检查监督乙方管理工作的实施及制度的执行情况。</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4、根据本合同规定，按时向乙方支付应付服务费用。</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5、国家法律、法规所规定由甲方承担的其它责任。</w:t>
      </w:r>
    </w:p>
    <w:p>
      <w:pPr>
        <w:numPr>
          <w:ilvl w:val="0"/>
          <w:numId w:val="9"/>
        </w:numPr>
        <w:spacing w:line="360" w:lineRule="auto"/>
        <w:outlineLvl w:val="9"/>
        <w:rPr>
          <w:rFonts w:hint="eastAsia" w:ascii="宋体" w:hAnsi="宋体" w:eastAsia="宋体" w:cs="宋体"/>
          <w:b/>
          <w:color w:val="auto"/>
          <w:sz w:val="24"/>
          <w:szCs w:val="24"/>
          <w:highlight w:val="none"/>
        </w:rPr>
      </w:pPr>
      <w:bookmarkStart w:id="270" w:name="_Toc28651_WPSOffice_Level2"/>
      <w:bookmarkStart w:id="271" w:name="_Toc29426_WPSOffice_Level2"/>
      <w:bookmarkStart w:id="272" w:name="_Toc26052"/>
      <w:r>
        <w:rPr>
          <w:rFonts w:hint="eastAsia" w:ascii="宋体" w:hAnsi="宋体" w:eastAsia="宋体" w:cs="宋体"/>
          <w:b/>
          <w:color w:val="auto"/>
          <w:sz w:val="24"/>
          <w:szCs w:val="24"/>
          <w:highlight w:val="none"/>
        </w:rPr>
        <w:t>乙方的权利和义务</w:t>
      </w:r>
      <w:bookmarkEnd w:id="270"/>
      <w:bookmarkEnd w:id="271"/>
      <w:bookmarkEnd w:id="272"/>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1、对本合同规定的委托服务范围内的项目享有管理权及服务义务。</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接受项目行业管理部门及政府有关部门的指导，接受甲方的监督。</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5、国家法律、法规所规定由乙方承担的其它责任。</w:t>
      </w:r>
    </w:p>
    <w:p>
      <w:pPr>
        <w:numPr>
          <w:ilvl w:val="0"/>
          <w:numId w:val="9"/>
        </w:numPr>
        <w:spacing w:line="360" w:lineRule="auto"/>
        <w:outlineLvl w:val="9"/>
        <w:rPr>
          <w:rFonts w:hint="eastAsia" w:ascii="宋体" w:hAnsi="宋体" w:eastAsia="宋体" w:cs="宋体"/>
          <w:b/>
          <w:color w:val="auto"/>
          <w:sz w:val="24"/>
          <w:szCs w:val="24"/>
          <w:highlight w:val="none"/>
        </w:rPr>
      </w:pPr>
      <w:bookmarkStart w:id="273" w:name="_Toc12689_WPSOffice_Level2"/>
      <w:bookmarkStart w:id="274" w:name="_Toc12881"/>
      <w:bookmarkStart w:id="275" w:name="_Toc22285_WPSOffice_Level2"/>
      <w:r>
        <w:rPr>
          <w:rFonts w:hint="eastAsia" w:ascii="宋体" w:hAnsi="宋体" w:eastAsia="宋体" w:cs="宋体"/>
          <w:b/>
          <w:color w:val="auto"/>
          <w:sz w:val="24"/>
          <w:szCs w:val="24"/>
          <w:highlight w:val="none"/>
        </w:rPr>
        <w:t>违约责任</w:t>
      </w:r>
      <w:bookmarkEnd w:id="273"/>
      <w:bookmarkEnd w:id="274"/>
      <w:bookmarkEnd w:id="275"/>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numPr>
          <w:ilvl w:val="0"/>
          <w:numId w:val="9"/>
        </w:numPr>
        <w:spacing w:line="360" w:lineRule="auto"/>
        <w:outlineLvl w:val="9"/>
        <w:rPr>
          <w:rFonts w:hint="eastAsia" w:ascii="宋体" w:hAnsi="宋体" w:eastAsia="宋体" w:cs="宋体"/>
          <w:b/>
          <w:color w:val="auto"/>
          <w:sz w:val="24"/>
          <w:szCs w:val="24"/>
          <w:highlight w:val="none"/>
        </w:rPr>
      </w:pPr>
      <w:bookmarkStart w:id="276" w:name="_Toc2976"/>
      <w:bookmarkStart w:id="277" w:name="_Toc9930_WPSOffice_Level2"/>
      <w:r>
        <w:rPr>
          <w:rFonts w:hint="eastAsia" w:ascii="宋体" w:hAnsi="宋体" w:eastAsia="宋体" w:cs="宋体"/>
          <w:b/>
          <w:color w:val="auto"/>
          <w:sz w:val="24"/>
          <w:szCs w:val="24"/>
          <w:highlight w:val="none"/>
        </w:rPr>
        <w:t>不可抗力事件处理</w:t>
      </w:r>
      <w:bookmarkEnd w:id="276"/>
      <w:bookmarkEnd w:id="277"/>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3、不可抗力事件延续XX天以上，双方应通过友好协商，确定是否继续履行合同。</w:t>
      </w:r>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Pr>
        <w:numPr>
          <w:ilvl w:val="0"/>
          <w:numId w:val="9"/>
        </w:numPr>
        <w:spacing w:line="360" w:lineRule="auto"/>
        <w:outlineLvl w:val="9"/>
        <w:rPr>
          <w:rFonts w:hint="eastAsia" w:ascii="宋体" w:hAnsi="宋体" w:eastAsia="宋体" w:cs="宋体"/>
          <w:b/>
          <w:color w:val="auto"/>
          <w:sz w:val="24"/>
          <w:szCs w:val="24"/>
          <w:highlight w:val="none"/>
        </w:rPr>
      </w:pPr>
      <w:bookmarkStart w:id="278" w:name="_Toc212019599"/>
      <w:bookmarkStart w:id="279" w:name="_Toc225654649"/>
      <w:bookmarkStart w:id="280" w:name="_Toc247334846"/>
      <w:bookmarkStart w:id="281" w:name="_Toc31579_WPSOffice_Level2"/>
      <w:bookmarkStart w:id="282" w:name="_Toc12653_WPSOffice_Level2"/>
      <w:bookmarkStart w:id="283" w:name="_Toc211911353"/>
      <w:bookmarkStart w:id="284" w:name="_Toc286993792"/>
      <w:bookmarkStart w:id="285" w:name="_Toc185395254"/>
      <w:bookmarkStart w:id="286" w:name="_Toc241833908"/>
      <w:bookmarkStart w:id="287" w:name="_Toc239233919"/>
      <w:bookmarkStart w:id="288" w:name="_Toc239568423"/>
      <w:bookmarkStart w:id="289" w:name="_Toc251768867"/>
      <w:bookmarkStart w:id="290" w:name="_Toc225670756"/>
      <w:bookmarkStart w:id="291" w:name="_Toc211854454"/>
      <w:bookmarkStart w:id="292" w:name="_Toc225244857"/>
      <w:bookmarkStart w:id="293" w:name="_Toc29573"/>
      <w:bookmarkStart w:id="294" w:name="_Toc237145411"/>
      <w:bookmarkStart w:id="295" w:name="_Toc232492933"/>
      <w:bookmarkStart w:id="296" w:name="_Toc238984980"/>
      <w:r>
        <w:rPr>
          <w:rFonts w:hint="eastAsia" w:ascii="宋体" w:hAnsi="宋体" w:eastAsia="宋体" w:cs="宋体"/>
          <w:b/>
          <w:color w:val="auto"/>
          <w:sz w:val="24"/>
          <w:szCs w:val="24"/>
          <w:highlight w:val="none"/>
        </w:rPr>
        <w:t>解决合同纠纷的方式</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2、仲裁裁决应为最终决定，并对双方具有约束力。</w:t>
      </w:r>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3、除另有裁决外，仲裁费应由败诉方负担。 </w:t>
      </w:r>
    </w:p>
    <w:p>
      <w:pPr>
        <w:tabs>
          <w:tab w:val="left" w:pos="0"/>
        </w:tabs>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4、在仲裁期间，除正在进行仲裁部分外，合同其他部分继续执行。  </w:t>
      </w:r>
    </w:p>
    <w:p>
      <w:pPr>
        <w:numPr>
          <w:ilvl w:val="0"/>
          <w:numId w:val="9"/>
        </w:numPr>
        <w:spacing w:line="360" w:lineRule="auto"/>
        <w:outlineLvl w:val="9"/>
        <w:rPr>
          <w:rFonts w:hint="eastAsia" w:ascii="宋体" w:hAnsi="宋体" w:eastAsia="宋体" w:cs="宋体"/>
          <w:b/>
          <w:color w:val="auto"/>
          <w:sz w:val="24"/>
          <w:szCs w:val="24"/>
          <w:highlight w:val="none"/>
        </w:rPr>
      </w:pPr>
      <w:bookmarkStart w:id="297" w:name="_Toc239568424"/>
      <w:bookmarkStart w:id="298" w:name="_Toc247334847"/>
      <w:bookmarkStart w:id="299" w:name="_Toc241833909"/>
      <w:bookmarkStart w:id="300" w:name="_Toc251768868"/>
      <w:bookmarkStart w:id="301" w:name="_Toc232492934"/>
      <w:bookmarkStart w:id="302" w:name="_Toc286993793"/>
      <w:bookmarkStart w:id="303" w:name="_Toc225244858"/>
      <w:bookmarkStart w:id="304" w:name="_Toc225670757"/>
      <w:bookmarkStart w:id="305" w:name="_Toc283019219"/>
      <w:bookmarkStart w:id="306" w:name="_Toc239233920"/>
      <w:bookmarkStart w:id="307" w:name="_Toc238984981"/>
      <w:bookmarkStart w:id="308" w:name="_Toc282696231"/>
      <w:bookmarkStart w:id="309" w:name="_Toc212019600"/>
      <w:bookmarkStart w:id="310" w:name="_Toc211854455"/>
      <w:bookmarkStart w:id="311" w:name="_Toc211911354"/>
      <w:bookmarkStart w:id="312" w:name="_Toc185395255"/>
      <w:bookmarkStart w:id="313" w:name="_Toc237145412"/>
      <w:bookmarkStart w:id="314" w:name="_Toc225654650"/>
      <w:bookmarkStart w:id="315" w:name="_Toc19069_WPSOffice_Level2"/>
      <w:bookmarkStart w:id="316" w:name="_Toc31937"/>
      <w:bookmarkStart w:id="317" w:name="_Toc10503_WPSOffice_Level2"/>
      <w:r>
        <w:rPr>
          <w:rFonts w:hint="eastAsia" w:ascii="宋体" w:hAnsi="宋体" w:eastAsia="宋体" w:cs="宋体"/>
          <w:b/>
          <w:color w:val="auto"/>
          <w:sz w:val="24"/>
          <w:szCs w:val="24"/>
          <w:highlight w:val="none"/>
        </w:rPr>
        <w:t>合同</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Pr>
          <w:rFonts w:hint="eastAsia" w:ascii="宋体" w:hAnsi="宋体" w:eastAsia="宋体" w:cs="宋体"/>
          <w:b/>
          <w:color w:val="auto"/>
          <w:sz w:val="24"/>
          <w:szCs w:val="24"/>
          <w:highlight w:val="none"/>
        </w:rPr>
        <w:t>生效及其他</w:t>
      </w:r>
      <w:bookmarkEnd w:id="315"/>
      <w:bookmarkEnd w:id="316"/>
      <w:bookmarkEnd w:id="317"/>
    </w:p>
    <w:p>
      <w:pPr>
        <w:pStyle w:val="3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1、合同经双方法定代表人或授权委托代理人签字并加盖单位公章后生效。</w:t>
      </w:r>
    </w:p>
    <w:p>
      <w:pPr>
        <w:pStyle w:val="3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2、合同执行中涉及采购资金和采购内容修改或补充的，须经政府采购监管部门审批，并签书面补充协议报政府采购监督管理部门备案，方可作为主合同不可分割的一部分。</w:t>
      </w:r>
    </w:p>
    <w:p>
      <w:pPr>
        <w:pStyle w:val="3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3、本合同一式XX份，自双方签章之日起起效。甲方XX份，乙方XX份，政府采购代理机构XX份，同级财政部门备案XX份，具有同等法律效力。</w:t>
      </w:r>
    </w:p>
    <w:p>
      <w:pPr>
        <w:numPr>
          <w:ilvl w:val="0"/>
          <w:numId w:val="9"/>
        </w:numPr>
        <w:spacing w:line="360" w:lineRule="auto"/>
        <w:outlineLvl w:val="9"/>
        <w:rPr>
          <w:rFonts w:hint="eastAsia" w:ascii="宋体" w:hAnsi="宋体" w:eastAsia="宋体" w:cs="宋体"/>
          <w:b/>
          <w:color w:val="auto"/>
          <w:sz w:val="24"/>
          <w:szCs w:val="24"/>
          <w:highlight w:val="none"/>
        </w:rPr>
      </w:pPr>
      <w:bookmarkStart w:id="318" w:name="_Toc14459_WPSOffice_Level2"/>
      <w:bookmarkStart w:id="319" w:name="_Toc4728"/>
      <w:bookmarkStart w:id="320" w:name="_Toc28162_WPSOffice_Level2"/>
      <w:r>
        <w:rPr>
          <w:rFonts w:hint="eastAsia" w:ascii="宋体" w:hAnsi="宋体" w:eastAsia="宋体" w:cs="宋体"/>
          <w:b/>
          <w:color w:val="auto"/>
          <w:sz w:val="24"/>
          <w:szCs w:val="24"/>
          <w:highlight w:val="none"/>
        </w:rPr>
        <w:t>附件</w:t>
      </w:r>
      <w:bookmarkEnd w:id="318"/>
      <w:bookmarkEnd w:id="319"/>
      <w:bookmarkEnd w:id="320"/>
    </w:p>
    <w:p>
      <w:pPr>
        <w:pStyle w:val="3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w:t>
      </w:r>
    </w:p>
    <w:p>
      <w:pPr>
        <w:pStyle w:val="3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2、项目修改澄清文件</w:t>
      </w:r>
    </w:p>
    <w:p>
      <w:pPr>
        <w:pStyle w:val="3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3、项目响应文件</w:t>
      </w:r>
    </w:p>
    <w:p>
      <w:pPr>
        <w:pStyle w:val="3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4、成交通知书</w:t>
      </w:r>
    </w:p>
    <w:p>
      <w:pPr>
        <w:pStyle w:val="31"/>
        <w:spacing w:line="360" w:lineRule="auto"/>
        <w:ind w:firstLine="44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（盖章）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   （盖章）</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           法定代表人（授权代表）：</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                             账号：</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签约日期：XX年XX月XX日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签约日期：XX年XX月XX日</w:t>
      </w:r>
    </w:p>
    <w:p>
      <w:pPr>
        <w:pStyle w:val="2"/>
        <w:spacing w:line="360" w:lineRule="auto"/>
        <w:ind w:left="0" w:firstLine="466" w:firstLineChars="200"/>
        <w:outlineLvl w:val="9"/>
        <w:rPr>
          <w:rFonts w:hint="eastAsia" w:ascii="宋体" w:hAnsi="宋体" w:eastAsia="宋体" w:cs="宋体"/>
          <w:b w:val="0"/>
          <w:bCs/>
          <w:color w:val="auto"/>
          <w:sz w:val="24"/>
          <w:szCs w:val="24"/>
          <w:highlight w:val="none"/>
          <w:lang w:eastAsia="zh-CN"/>
        </w:rPr>
      </w:pPr>
      <w:r>
        <w:rPr>
          <w:rFonts w:ascii="宋体" w:hAnsi="宋体" w:eastAsia="宋体"/>
          <w:b/>
          <w:bCs/>
          <w:color w:val="auto"/>
          <w:spacing w:val="-4"/>
          <w:sz w:val="24"/>
          <w:szCs w:val="24"/>
          <w:highlight w:val="none"/>
          <w:lang w:eastAsia="zh-CN"/>
        </w:rPr>
        <w:t>注：合同条款可根据采购人及成交人签订合同时的实际情况进行修改调整。</w:t>
      </w:r>
    </w:p>
    <w:p>
      <w:pPr>
        <w:pStyle w:val="2"/>
        <w:rPr>
          <w:color w:val="auto"/>
          <w:highlight w:val="none"/>
        </w:rPr>
      </w:pPr>
    </w:p>
    <w:p>
      <w:pPr>
        <w:spacing w:line="360" w:lineRule="auto"/>
        <w:ind w:firstLine="420" w:firstLineChars="200"/>
        <w:rPr>
          <w:color w:val="auto"/>
          <w:szCs w:val="21"/>
          <w:highlight w:val="none"/>
        </w:rPr>
      </w:pPr>
      <w:r>
        <w:rPr>
          <w:rFonts w:hint="eastAsia"/>
          <w:color w:val="auto"/>
          <w:szCs w:val="21"/>
          <w:highlight w:val="none"/>
        </w:rPr>
        <w:br w:type="page"/>
      </w:r>
    </w:p>
    <w:p>
      <w:pPr>
        <w:widowControl/>
        <w:spacing w:line="360" w:lineRule="auto"/>
        <w:rPr>
          <w:b/>
          <w:bCs/>
          <w:color w:val="auto"/>
          <w:highlight w:val="none"/>
        </w:rPr>
      </w:pPr>
      <w:r>
        <w:rPr>
          <w:rFonts w:hint="eastAsia" w:ascii="宋体" w:hAnsi="宋体" w:cs="宋体"/>
          <w:b/>
          <w:bCs/>
          <w:color w:val="auto"/>
          <w:sz w:val="24"/>
          <w:highlight w:val="none"/>
        </w:rPr>
        <w:t>附件一：</w:t>
      </w:r>
      <w:r>
        <w:rPr>
          <w:rFonts w:hint="eastAsia"/>
          <w:b/>
          <w:bCs/>
          <w:color w:val="auto"/>
          <w:highlight w:val="none"/>
        </w:rPr>
        <w:t>《四川省财政厅关于推进四川省政府采购供应商信用融资工作的通知》(川财采〔2018〕123号文)</w:t>
      </w:r>
    </w:p>
    <w:p>
      <w:pPr>
        <w:pStyle w:val="16"/>
        <w:wordWrap w:val="0"/>
        <w:spacing w:before="0" w:beforeAutospacing="0" w:after="0" w:afterAutospacing="0" w:line="360" w:lineRule="auto"/>
        <w:rPr>
          <w:color w:val="auto"/>
          <w:highlight w:val="none"/>
        </w:rPr>
      </w:pPr>
      <w:r>
        <w:rPr>
          <w:rFonts w:hint="eastAsia"/>
          <w:b/>
          <w:bCs/>
          <w:color w:val="auto"/>
          <w:highlight w:val="none"/>
        </w:rPr>
        <w:t>查询链接：</w:t>
      </w:r>
      <w:r>
        <w:rPr>
          <w:rFonts w:hint="eastAsia" w:cs="宋体"/>
          <w:b/>
          <w:bCs/>
          <w:color w:val="auto"/>
          <w:sz w:val="24"/>
          <w:szCs w:val="24"/>
          <w:highlight w:val="none"/>
        </w:rPr>
        <w:t>http://www.ccgp-sichuan.gov.cn/view/staticpags/sjzcfg/40288687657ff75501672fd954532414.html</w:t>
      </w:r>
    </w:p>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drawing>
          <wp:inline distT="0" distB="0" distL="114300" distR="114300">
            <wp:extent cx="5302250" cy="1859915"/>
            <wp:effectExtent l="0" t="0" r="635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5" cstate="print"/>
                    <a:stretch>
                      <a:fillRect/>
                    </a:stretch>
                  </pic:blipFill>
                  <pic:spPr>
                    <a:xfrm>
                      <a:off x="0" y="0"/>
                      <a:ext cx="5302250" cy="1859915"/>
                    </a:xfrm>
                    <a:prstGeom prst="rect">
                      <a:avLst/>
                    </a:prstGeom>
                    <a:noFill/>
                    <a:ln w="9525">
                      <a:noFill/>
                    </a:ln>
                  </pic:spPr>
                </pic:pic>
              </a:graphicData>
            </a:graphic>
          </wp:inline>
        </w:drawing>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各市（州）、扩权县（市）财政局，各省直机关、事业单位、团体组织，各金融机构，各采购代理机构，各政府采购供应商：</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一、融资概念</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二、基本原则</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（一）财政引导，市场运行</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财政部门推进“政采贷”，银行和供应商按照自愿原则参与。供应商自愿选择是否申请“政采贷”，银行依据其内部审查制度和决策程序决定是否为供应商提供融资，自担风险。</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（二）建立机制，服务银企</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（三）优质优惠，加强扶持</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三、基本条件</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（一）银行暨“政采贷”金融产品</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1、征集。</w:t>
      </w:r>
      <w:r>
        <w:rPr>
          <w:rFonts w:hint="eastAsia" w:cs="宋体"/>
          <w:color w:val="auto"/>
          <w:sz w:val="24"/>
          <w:szCs w:val="24"/>
          <w:highlight w:val="none"/>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申请材料应当包括银行基本情况、“政采贷”产品名称、申请贷款条件、申请贷款方式、申请贷款程序、贷款审查流程、贷款额度、发放贷款时间、收款方式及其他优质服务和优惠承诺等。</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银行提供的“政采贷”产品应当满足“无抵押担保、程序简便、利率优惠、放款及时”的基本条件以及本通知其他相关规定。</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银行申请材料中应当载明其自愿提供“政采贷”产品，自担风险，不得要求或者变相要求财政部门和采购人为其提供风险担保、承诺。</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2、公示。</w:t>
      </w:r>
      <w:r>
        <w:rPr>
          <w:rFonts w:hint="eastAsia" w:cs="宋体"/>
          <w:color w:val="auto"/>
          <w:sz w:val="24"/>
          <w:szCs w:val="24"/>
          <w:highlight w:val="none"/>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（二）供应商</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政府采购供应商向银行申请“政采贷”，应当满足下列基本条件：</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1、</w:t>
      </w:r>
      <w:r>
        <w:rPr>
          <w:rFonts w:hint="eastAsia" w:cs="宋体"/>
          <w:color w:val="auto"/>
          <w:sz w:val="24"/>
          <w:szCs w:val="24"/>
          <w:highlight w:val="none"/>
        </w:rPr>
        <w:t>具有依法承担民事责任的能力；</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2、</w:t>
      </w:r>
      <w:r>
        <w:rPr>
          <w:rFonts w:hint="eastAsia" w:cs="宋体"/>
          <w:color w:val="auto"/>
          <w:sz w:val="24"/>
          <w:szCs w:val="24"/>
          <w:highlight w:val="none"/>
        </w:rPr>
        <w:t>具有依法履行政府采购合同的能力；</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3、</w:t>
      </w:r>
      <w:r>
        <w:rPr>
          <w:rFonts w:hint="eastAsia" w:cs="宋体"/>
          <w:color w:val="auto"/>
          <w:sz w:val="24"/>
          <w:szCs w:val="24"/>
          <w:highlight w:val="none"/>
        </w:rPr>
        <w:t>参加的政府采购活动未被财政部门依法暂停、责令重新开展或者认定中标、成交无效；</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4、</w:t>
      </w:r>
      <w:r>
        <w:rPr>
          <w:rFonts w:hint="eastAsia" w:cs="宋体"/>
          <w:color w:val="auto"/>
          <w:sz w:val="24"/>
          <w:szCs w:val="24"/>
          <w:highlight w:val="none"/>
        </w:rPr>
        <w:t>无《政府采购法》第二十二条第一款第（五）项所称的重大违法记录；</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5、</w:t>
      </w:r>
      <w:r>
        <w:rPr>
          <w:rFonts w:hint="eastAsia" w:cs="宋体"/>
          <w:color w:val="auto"/>
          <w:sz w:val="24"/>
          <w:szCs w:val="24"/>
          <w:highlight w:val="none"/>
        </w:rPr>
        <w:t>未被法院、市场监管、税务、银行等部门单位纳入失信名单且在有效期内；</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6、</w:t>
      </w:r>
      <w:r>
        <w:rPr>
          <w:rFonts w:hint="eastAsia" w:cs="宋体"/>
          <w:color w:val="auto"/>
          <w:sz w:val="24"/>
          <w:szCs w:val="24"/>
          <w:highlight w:val="none"/>
        </w:rPr>
        <w:t>在一定期限内的（银行可以具体确定）政府采购合同履约过程中或者其他经营活动履约过程中，无不依法履约被有关行政部门行政处罚的或者产生法律纠纷被法院、仲裁机构判决、裁决败诉的；</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7、</w:t>
      </w:r>
      <w:r>
        <w:rPr>
          <w:rFonts w:hint="eastAsia" w:cs="宋体"/>
          <w:color w:val="auto"/>
          <w:sz w:val="24"/>
          <w:szCs w:val="24"/>
          <w:highlight w:val="none"/>
        </w:rPr>
        <w:t>其他银行要求的不属于提供财产抵押或第三方担保的条件。</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四、构建平台</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四川省财政厅将在四川政府采购网统一构建四川省“政采贷”信息化服务平台，推进四川省“政采贷”工作信息化建设。</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五、财金互动</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六、基本流程</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（一）意向申请</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16"/>
        <w:spacing w:before="0" w:beforeAutospacing="0" w:after="0" w:afterAutospacing="0" w:line="360" w:lineRule="auto"/>
        <w:ind w:firstLine="482" w:firstLineChars="200"/>
        <w:rPr>
          <w:rFonts w:cs="宋体"/>
          <w:b/>
          <w:color w:val="auto"/>
          <w:sz w:val="24"/>
          <w:szCs w:val="24"/>
          <w:highlight w:val="none"/>
        </w:rPr>
      </w:pPr>
      <w:r>
        <w:rPr>
          <w:rFonts w:hint="eastAsia" w:cs="宋体"/>
          <w:b/>
          <w:color w:val="auto"/>
          <w:sz w:val="24"/>
          <w:szCs w:val="24"/>
          <w:highlight w:val="none"/>
        </w:rPr>
        <w:t>（二）正式申请</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（三）贷款审查</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（四）信息报送</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（五）资金支付</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政府采购资金支付过程中，银行需要查询采购资金支付进程有关信息的，财政部门和采购人应当支持。</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七、职责要求</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（一）</w:t>
      </w:r>
      <w:r>
        <w:rPr>
          <w:rFonts w:hint="eastAsia" w:cs="宋体"/>
          <w:color w:val="auto"/>
          <w:sz w:val="24"/>
          <w:szCs w:val="24"/>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（二）</w:t>
      </w:r>
      <w:r>
        <w:rPr>
          <w:rFonts w:hint="eastAsia" w:cs="宋体"/>
          <w:color w:val="auto"/>
          <w:sz w:val="24"/>
          <w:szCs w:val="24"/>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（三）</w:t>
      </w:r>
      <w:r>
        <w:rPr>
          <w:rFonts w:hint="eastAsia" w:cs="宋体"/>
          <w:color w:val="auto"/>
          <w:sz w:val="24"/>
          <w:szCs w:val="24"/>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（四）</w:t>
      </w:r>
      <w:r>
        <w:rPr>
          <w:rFonts w:hint="eastAsia" w:cs="宋体"/>
          <w:color w:val="auto"/>
          <w:sz w:val="24"/>
          <w:szCs w:val="24"/>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（五）</w:t>
      </w:r>
      <w:r>
        <w:rPr>
          <w:rFonts w:hint="eastAsia" w:cs="宋体"/>
          <w:color w:val="auto"/>
          <w:sz w:val="24"/>
          <w:szCs w:val="24"/>
          <w:highlight w:val="none"/>
        </w:rPr>
        <w:t>供应商应当依法参加政府采购活动，公平竞争，诚实守信，严格按照政府采购合同履约，严格按照借款合同偿还债务。</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（六）</w:t>
      </w:r>
      <w:r>
        <w:rPr>
          <w:rFonts w:hint="eastAsia" w:cs="宋体"/>
          <w:color w:val="auto"/>
          <w:sz w:val="24"/>
          <w:szCs w:val="24"/>
          <w:highlight w:val="none"/>
        </w:rPr>
        <w:t>财政部门、采购人、采购代理机构及其他有关单位和个人不得违规干预供应商选择“政采贷”银行及其产品，也不得违规干预银行向供应商进行贷款。</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（七）</w:t>
      </w:r>
      <w:r>
        <w:rPr>
          <w:rFonts w:hint="eastAsia" w:cs="宋体"/>
          <w:color w:val="auto"/>
          <w:sz w:val="24"/>
          <w:szCs w:val="24"/>
          <w:highlight w:val="none"/>
        </w:rPr>
        <w:t>相关单位和个人在开展“政采贷”工作过程中，发现新问题、新情况或者有意见建议的，请及时向四川省财政厅反馈。</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八、违规处理</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（一）银行违规处理</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（二）供应商违规处理</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16"/>
        <w:spacing w:before="0" w:beforeAutospacing="0" w:after="0" w:afterAutospacing="0" w:line="360" w:lineRule="auto"/>
        <w:ind w:firstLine="482" w:firstLineChars="200"/>
        <w:rPr>
          <w:rFonts w:cs="宋体"/>
          <w:color w:val="auto"/>
          <w:sz w:val="24"/>
          <w:szCs w:val="24"/>
          <w:highlight w:val="none"/>
        </w:rPr>
      </w:pPr>
      <w:r>
        <w:rPr>
          <w:rFonts w:hint="eastAsia" w:cs="宋体"/>
          <w:b/>
          <w:color w:val="auto"/>
          <w:sz w:val="24"/>
          <w:szCs w:val="24"/>
          <w:highlight w:val="none"/>
        </w:rPr>
        <w:t>（三）其他违规处理</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6"/>
        <w:spacing w:before="0" w:beforeAutospacing="0" w:after="0" w:afterAutospacing="0" w:line="360" w:lineRule="auto"/>
        <w:ind w:firstLine="480" w:firstLineChars="200"/>
        <w:rPr>
          <w:rFonts w:cs="宋体"/>
          <w:color w:val="auto"/>
          <w:sz w:val="24"/>
          <w:szCs w:val="24"/>
          <w:highlight w:val="none"/>
        </w:rPr>
      </w:pPr>
      <w:r>
        <w:rPr>
          <w:rFonts w:hint="eastAsia" w:cs="宋体"/>
          <w:color w:val="auto"/>
          <w:sz w:val="24"/>
          <w:szCs w:val="24"/>
          <w:highlight w:val="none"/>
        </w:rPr>
        <w:t> 附件：四川省“政采贷”信息统计表</w:t>
      </w:r>
    </w:p>
    <w:p>
      <w:pPr>
        <w:spacing w:line="360" w:lineRule="auto"/>
        <w:rPr>
          <w:rFonts w:ascii="宋体" w:hAnsi="宋体" w:cs="宋体"/>
          <w:color w:val="auto"/>
          <w:sz w:val="24"/>
          <w:highlight w:val="none"/>
        </w:rPr>
      </w:pPr>
      <w:r>
        <w:rPr>
          <w:rFonts w:hint="eastAsia" w:ascii="宋体" w:hAnsi="宋体" w:cs="宋体"/>
          <w:color w:val="auto"/>
          <w:kern w:val="0"/>
          <w:sz w:val="24"/>
          <w:highlight w:val="none"/>
        </w:rPr>
        <w:drawing>
          <wp:anchor distT="0" distB="0" distL="114300" distR="114300" simplePos="0" relativeHeight="251659264" behindDoc="0" locked="0" layoutInCell="1" allowOverlap="1">
            <wp:simplePos x="0" y="0"/>
            <wp:positionH relativeFrom="column">
              <wp:posOffset>3808095</wp:posOffset>
            </wp:positionH>
            <wp:positionV relativeFrom="paragraph">
              <wp:posOffset>446405</wp:posOffset>
            </wp:positionV>
            <wp:extent cx="1771650" cy="1781175"/>
            <wp:effectExtent l="0" t="0" r="6350" b="9525"/>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6" cstate="print"/>
                    <a:stretch>
                      <a:fillRect/>
                    </a:stretch>
                  </pic:blipFill>
                  <pic:spPr>
                    <a:xfrm>
                      <a:off x="0" y="0"/>
                      <a:ext cx="1771650" cy="1781175"/>
                    </a:xfrm>
                    <a:prstGeom prst="rect">
                      <a:avLst/>
                    </a:prstGeom>
                    <a:noFill/>
                    <a:ln w="9525">
                      <a:noFill/>
                    </a:ln>
                  </pic:spPr>
                </pic:pic>
              </a:graphicData>
            </a:graphic>
          </wp:anchor>
        </w:drawing>
      </w:r>
      <w:r>
        <w:rPr>
          <w:rFonts w:hint="eastAsia" w:ascii="宋体" w:hAnsi="宋体" w:cs="宋体"/>
          <w:color w:val="auto"/>
          <w:sz w:val="24"/>
          <w:highlight w:val="none"/>
        </w:rPr>
        <w:br w:type="page"/>
      </w:r>
    </w:p>
    <w:p>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附件二：成都市财政局  中国人民银行成都分行营业管理部关于印发《成都市中小企业政府采购信用融资暂行办法》和《成都市级支持中小企业政府采购信用融资实施方案》的通知（成财采〔2019〕17号）</w:t>
      </w:r>
    </w:p>
    <w:p>
      <w:pPr>
        <w:widowControl/>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查询链接：</w:t>
      </w:r>
      <w:r>
        <w:rPr>
          <w:color w:val="auto"/>
          <w:highlight w:val="none"/>
        </w:rPr>
        <w:fldChar w:fldCharType="begin"/>
      </w:r>
      <w:r>
        <w:rPr>
          <w:color w:val="auto"/>
          <w:highlight w:val="none"/>
        </w:rPr>
        <w:instrText xml:space="preserve"> HYPERLINK "http://cdcz.chengdu.gov.cn/cdsczj/c116726/2019-03/13/content_7d81ae9c2a1e48968c7839a9c5b88ccd.shtml" </w:instrText>
      </w:r>
      <w:r>
        <w:rPr>
          <w:color w:val="auto"/>
          <w:highlight w:val="none"/>
        </w:rPr>
        <w:fldChar w:fldCharType="separate"/>
      </w:r>
      <w:r>
        <w:rPr>
          <w:rStyle w:val="21"/>
          <w:rFonts w:hint="eastAsia" w:ascii="宋体" w:hAnsi="宋体" w:cs="宋体"/>
          <w:b/>
          <w:bCs/>
          <w:color w:val="auto"/>
          <w:sz w:val="24"/>
          <w:highlight w:val="none"/>
        </w:rPr>
        <w:t>http://cdcz.chengdu.gov.cn/cdsczj/c116726/2019-03/13/content_7d81ae9c2a1e48968c7839a9c5b88ccd.shtml</w:t>
      </w:r>
      <w:r>
        <w:rPr>
          <w:rStyle w:val="21"/>
          <w:rFonts w:hint="eastAsia" w:ascii="宋体" w:hAnsi="宋体" w:cs="宋体"/>
          <w:b/>
          <w:bCs/>
          <w:color w:val="auto"/>
          <w:sz w:val="24"/>
          <w:highlight w:val="none"/>
        </w:rPr>
        <w:fldChar w:fldCharType="end"/>
      </w:r>
    </w:p>
    <w:tbl>
      <w:tblPr>
        <w:tblStyle w:val="17"/>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vAlign w:val="center"/>
          </w:tcPr>
          <w:p>
            <w:pPr>
              <w:snapToGrid w:val="0"/>
              <w:spacing w:line="360" w:lineRule="auto"/>
              <w:jc w:val="distribute"/>
              <w:rPr>
                <w:rFonts w:hint="eastAsia" w:ascii="宋体" w:hAnsi="宋体" w:eastAsia="宋体" w:cs="宋体"/>
                <w:color w:val="auto"/>
                <w:sz w:val="66"/>
                <w:szCs w:val="66"/>
                <w:highlight w:val="none"/>
              </w:rPr>
            </w:pPr>
            <w:r>
              <w:rPr>
                <w:rFonts w:hint="eastAsia" w:ascii="宋体" w:hAnsi="宋体" w:eastAsia="宋体" w:cs="宋体"/>
                <w:color w:val="auto"/>
                <w:sz w:val="66"/>
                <w:szCs w:val="66"/>
                <w:highlight w:val="none"/>
              </w:rPr>
              <w:t>成都市财政局</w:t>
            </w:r>
          </w:p>
        </w:tc>
        <w:tc>
          <w:tcPr>
            <w:tcW w:w="1580" w:type="dxa"/>
            <w:vMerge w:val="restart"/>
            <w:vAlign w:val="center"/>
          </w:tcPr>
          <w:p>
            <w:pPr>
              <w:snapToGrid w:val="0"/>
              <w:spacing w:line="360" w:lineRule="auto"/>
              <w:jc w:val="center"/>
              <w:rPr>
                <w:rFonts w:hint="eastAsia" w:ascii="宋体" w:hAnsi="宋体" w:eastAsia="宋体" w:cs="宋体"/>
                <w:color w:val="auto"/>
                <w:sz w:val="66"/>
                <w:szCs w:val="66"/>
                <w:highlight w:val="none"/>
              </w:rPr>
            </w:pPr>
            <w:r>
              <w:rPr>
                <w:rFonts w:hint="eastAsia" w:ascii="宋体" w:hAnsi="宋体" w:eastAsia="宋体" w:cs="宋体"/>
                <w:color w:val="auto"/>
                <w:sz w:val="66"/>
                <w:szCs w:val="66"/>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vAlign w:val="center"/>
          </w:tcPr>
          <w:p>
            <w:pPr>
              <w:snapToGrid w:val="0"/>
              <w:spacing w:line="360" w:lineRule="auto"/>
              <w:jc w:val="distribute"/>
              <w:rPr>
                <w:rFonts w:hint="eastAsia" w:ascii="宋体" w:hAnsi="宋体" w:eastAsia="宋体" w:cs="宋体"/>
                <w:color w:val="auto"/>
                <w:spacing w:val="-20"/>
                <w:w w:val="82"/>
                <w:sz w:val="62"/>
                <w:szCs w:val="62"/>
                <w:highlight w:val="none"/>
              </w:rPr>
            </w:pPr>
            <w:r>
              <w:rPr>
                <w:rFonts w:hint="eastAsia" w:ascii="宋体" w:hAnsi="宋体" w:eastAsia="宋体" w:cs="宋体"/>
                <w:color w:val="auto"/>
                <w:spacing w:val="-20"/>
                <w:w w:val="82"/>
                <w:sz w:val="62"/>
                <w:szCs w:val="62"/>
                <w:highlight w:val="none"/>
              </w:rPr>
              <w:t>中国人民银行成都分行营业管理部</w:t>
            </w:r>
          </w:p>
        </w:tc>
        <w:tc>
          <w:tcPr>
            <w:tcW w:w="1580" w:type="dxa"/>
            <w:vMerge w:val="continue"/>
            <w:vAlign w:val="center"/>
          </w:tcPr>
          <w:p>
            <w:pPr>
              <w:snapToGrid w:val="0"/>
              <w:spacing w:line="360" w:lineRule="auto"/>
              <w:jc w:val="center"/>
              <w:rPr>
                <w:rFonts w:eastAsia="方正小标宋简体"/>
                <w:color w:val="auto"/>
                <w:sz w:val="66"/>
                <w:szCs w:val="66"/>
                <w:highlight w:val="none"/>
              </w:rPr>
            </w:pPr>
          </w:p>
        </w:tc>
      </w:tr>
    </w:tbl>
    <w:p>
      <w:pPr>
        <w:snapToGrid w:val="0"/>
        <w:spacing w:line="360" w:lineRule="auto"/>
        <w:jc w:val="center"/>
        <w:rPr>
          <w:rFonts w:eastAsia="方正仿宋_GBK"/>
          <w:color w:val="auto"/>
          <w:highlight w:val="none"/>
        </w:rPr>
      </w:pPr>
    </w:p>
    <w:p>
      <w:pPr>
        <w:spacing w:line="360" w:lineRule="auto"/>
        <w:jc w:val="center"/>
        <w:rPr>
          <w:rFonts w:eastAsia="方正仿宋_GBK"/>
          <w:color w:val="auto"/>
          <w:highlight w:val="none"/>
        </w:rPr>
      </w:pPr>
      <w:r>
        <w:rPr>
          <w:rFonts w:eastAsia="方正仿宋_GBK"/>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320675</wp:posOffset>
                </wp:positionV>
                <wp:extent cx="561848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5.25pt;height:0pt;width:442.4pt;z-index:251660288;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O/uPvWAAAABgEAAA8AAAAAAAAAAQAgAAAAIgAAAGRycy9kb3ducmV2LnhtbFBLAQIU&#10;ABQAAAAIAIdO4kDGCiK59QEAAOkDAAAOAAAAAAAAAAEAIAAAACUBAABkcnMvZTJvRG9jLnhtbFBL&#10;BQYAAAAABgAGAFkBAACMBQAAAAA=&#10;">
                <v:fill on="f" focussize="0,0"/>
                <v:stroke weight="1.5pt" color="#FF0000" joinstyle="round"/>
                <v:imagedata o:title=""/>
                <o:lock v:ext="edit" aspectratio="f"/>
              </v:line>
            </w:pict>
          </mc:Fallback>
        </mc:AlternateContent>
      </w:r>
      <w:r>
        <w:rPr>
          <w:rFonts w:eastAsia="方正仿宋_GBK"/>
          <w:color w:val="auto"/>
          <w:highlight w:val="none"/>
        </w:rPr>
        <w:t>成财</w:t>
      </w:r>
      <w:r>
        <w:rPr>
          <w:rFonts w:hint="eastAsia" w:eastAsia="方正仿宋_GBK"/>
          <w:color w:val="auto"/>
          <w:highlight w:val="none"/>
        </w:rPr>
        <w:t>采</w:t>
      </w:r>
      <w:r>
        <w:rPr>
          <w:rFonts w:eastAsia="方正仿宋_GBK"/>
          <w:color w:val="auto"/>
          <w:highlight w:val="none"/>
        </w:rPr>
        <w:t>〔201</w:t>
      </w:r>
      <w:r>
        <w:rPr>
          <w:rFonts w:hint="eastAsia" w:eastAsia="方正仿宋_GBK"/>
          <w:color w:val="auto"/>
          <w:highlight w:val="none"/>
        </w:rPr>
        <w:t>9</w:t>
      </w:r>
      <w:r>
        <w:rPr>
          <w:rFonts w:eastAsia="方正仿宋_GBK"/>
          <w:color w:val="auto"/>
          <w:highlight w:val="none"/>
        </w:rPr>
        <w:t>〕</w:t>
      </w:r>
      <w:r>
        <w:rPr>
          <w:rFonts w:hint="eastAsia" w:eastAsia="方正仿宋_GBK"/>
          <w:color w:val="auto"/>
          <w:highlight w:val="none"/>
        </w:rPr>
        <w:t>17</w:t>
      </w:r>
      <w:r>
        <w:rPr>
          <w:rFonts w:eastAsia="方正仿宋_GBK"/>
          <w:color w:val="auto"/>
          <w:highlight w:val="none"/>
        </w:rPr>
        <w:t>号</w:t>
      </w:r>
    </w:p>
    <w:p>
      <w:pPr>
        <w:topLinePunct/>
        <w:spacing w:line="360" w:lineRule="auto"/>
        <w:jc w:val="center"/>
        <w:rPr>
          <w:rFonts w:ascii="方正小标宋_GBK" w:hAnsi="方正小标宋_GBK" w:eastAsia="方正小标宋_GBK"/>
          <w:color w:val="auto"/>
          <w:highlight w:val="none"/>
        </w:rPr>
      </w:pPr>
    </w:p>
    <w:p>
      <w:pPr>
        <w:topLinePunct/>
        <w:snapToGrid w:val="0"/>
        <w:spacing w:line="360" w:lineRule="auto"/>
        <w:jc w:val="center"/>
        <w:outlineLvl w:val="9"/>
        <w:rPr>
          <w:rFonts w:ascii="方正小标宋_GBK" w:hAnsi="方正小标宋_GBK" w:eastAsia="方正小标宋_GBK"/>
          <w:color w:val="auto"/>
          <w:spacing w:val="-18"/>
          <w:sz w:val="44"/>
          <w:szCs w:val="44"/>
          <w:highlight w:val="none"/>
        </w:rPr>
      </w:pPr>
      <w:bookmarkStart w:id="321" w:name="_Toc5569"/>
      <w:r>
        <w:rPr>
          <w:rFonts w:hint="eastAsia" w:ascii="方正小标宋_GBK" w:hAnsi="方正小标宋_GBK" w:eastAsia="方正小标宋_GBK"/>
          <w:color w:val="auto"/>
          <w:spacing w:val="-18"/>
          <w:sz w:val="44"/>
          <w:szCs w:val="44"/>
          <w:highlight w:val="none"/>
        </w:rPr>
        <w:t>成都市财政局  中国人民银行成都分行营业管理部</w:t>
      </w:r>
      <w:bookmarkEnd w:id="321"/>
    </w:p>
    <w:p>
      <w:pPr>
        <w:topLinePunct/>
        <w:snapToGrid w:val="0"/>
        <w:spacing w:line="360" w:lineRule="auto"/>
        <w:jc w:val="center"/>
        <w:outlineLvl w:val="9"/>
        <w:rPr>
          <w:rFonts w:ascii="方正小标宋_GBK" w:hAnsi="方正小标宋_GBK" w:eastAsia="方正小标宋_GBK"/>
          <w:color w:val="auto"/>
          <w:sz w:val="44"/>
          <w:szCs w:val="44"/>
          <w:highlight w:val="none"/>
        </w:rPr>
      </w:pPr>
      <w:bookmarkStart w:id="322" w:name="_Toc18318"/>
      <w:r>
        <w:rPr>
          <w:rFonts w:hint="eastAsia" w:ascii="方正小标宋_GBK" w:hAnsi="方正小标宋_GBK" w:eastAsia="方正小标宋_GBK"/>
          <w:color w:val="auto"/>
          <w:sz w:val="44"/>
          <w:szCs w:val="44"/>
          <w:highlight w:val="none"/>
        </w:rPr>
        <w:t>关于印发《成都市中小企业政府采购信用融资</w:t>
      </w:r>
      <w:bookmarkEnd w:id="322"/>
    </w:p>
    <w:p>
      <w:pPr>
        <w:topLinePunct/>
        <w:snapToGrid w:val="0"/>
        <w:spacing w:line="360" w:lineRule="auto"/>
        <w:jc w:val="center"/>
        <w:outlineLvl w:val="9"/>
        <w:rPr>
          <w:rFonts w:ascii="方正小标宋_GBK" w:hAnsi="方正小标宋_GBK" w:eastAsia="方正小标宋_GBK"/>
          <w:color w:val="auto"/>
          <w:sz w:val="44"/>
          <w:szCs w:val="44"/>
          <w:highlight w:val="none"/>
        </w:rPr>
      </w:pPr>
      <w:bookmarkStart w:id="323" w:name="_Toc9312"/>
      <w:r>
        <w:rPr>
          <w:rFonts w:hint="eastAsia" w:ascii="方正小标宋_GBK" w:hAnsi="方正小标宋_GBK" w:eastAsia="方正小标宋_GBK"/>
          <w:color w:val="auto"/>
          <w:sz w:val="44"/>
          <w:szCs w:val="44"/>
          <w:highlight w:val="none"/>
        </w:rPr>
        <w:t>暂行办法》和《成都市级支持中小企业</w:t>
      </w:r>
      <w:bookmarkEnd w:id="323"/>
    </w:p>
    <w:p>
      <w:pPr>
        <w:topLinePunct/>
        <w:snapToGrid w:val="0"/>
        <w:spacing w:line="360" w:lineRule="auto"/>
        <w:jc w:val="center"/>
        <w:outlineLvl w:val="9"/>
        <w:rPr>
          <w:rFonts w:ascii="方正小标宋_GBK" w:hAnsi="方正小标宋_GBK" w:eastAsia="方正小标宋_GBK"/>
          <w:color w:val="auto"/>
          <w:sz w:val="44"/>
          <w:szCs w:val="44"/>
          <w:highlight w:val="none"/>
        </w:rPr>
      </w:pPr>
      <w:bookmarkStart w:id="324" w:name="_Toc1966"/>
      <w:r>
        <w:rPr>
          <w:rFonts w:hint="eastAsia" w:ascii="方正小标宋_GBK" w:hAnsi="方正小标宋_GBK" w:eastAsia="方正小标宋_GBK"/>
          <w:color w:val="auto"/>
          <w:sz w:val="44"/>
          <w:szCs w:val="44"/>
          <w:highlight w:val="none"/>
        </w:rPr>
        <w:t>政府采购信用融资实施方案》的通知</w:t>
      </w:r>
      <w:bookmarkEnd w:id="324"/>
    </w:p>
    <w:p>
      <w:pPr>
        <w:spacing w:line="360" w:lineRule="auto"/>
        <w:jc w:val="center"/>
        <w:rPr>
          <w:rFonts w:eastAsia="方正仿宋_GBK"/>
          <w:color w:val="auto"/>
          <w:highlight w:val="none"/>
        </w:rPr>
      </w:pP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成都天府新区、高新区财政金融局，各区（市）县财政局，市级各部门、单位，各银行业金融机构：</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一、高度重视、迅速行动</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二、明确责任、压茬推进</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三、优化服务、营造氛围</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spacing w:line="360" w:lineRule="auto"/>
        <w:ind w:firstLine="480" w:firstLineChars="200"/>
        <w:rPr>
          <w:rFonts w:ascii="宋体" w:hAnsi="宋体" w:cs="宋体"/>
          <w:color w:val="auto"/>
          <w:sz w:val="24"/>
          <w:highlight w:val="none"/>
        </w:rPr>
      </w:pPr>
    </w:p>
    <w:p>
      <w:pPr>
        <w:widowControl/>
        <w:spacing w:line="360" w:lineRule="auto"/>
        <w:ind w:firstLine="480" w:firstLineChars="200"/>
        <w:outlineLvl w:val="9"/>
        <w:rPr>
          <w:rFonts w:ascii="宋体" w:hAnsi="宋体" w:cs="宋体"/>
          <w:color w:val="auto"/>
          <w:sz w:val="24"/>
          <w:highlight w:val="none"/>
        </w:rPr>
      </w:pPr>
      <w:bookmarkStart w:id="325" w:name="_Toc16167"/>
      <w:r>
        <w:rPr>
          <w:rFonts w:hint="eastAsia" w:ascii="宋体" w:hAnsi="宋体" w:cs="宋体"/>
          <w:color w:val="auto"/>
          <w:sz w:val="24"/>
          <w:highlight w:val="none"/>
        </w:rPr>
        <w:t>附件：1．成都市中小企业政府采购信用融资暂行办法</w:t>
      </w:r>
      <w:bookmarkEnd w:id="325"/>
      <w:r>
        <w:rPr>
          <w:rFonts w:hint="eastAsia" w:ascii="宋体" w:hAnsi="宋体" w:cs="宋体"/>
          <w:color w:val="auto"/>
          <w:sz w:val="24"/>
          <w:highlight w:val="none"/>
        </w:rPr>
        <w:t xml:space="preserve"> </w:t>
      </w:r>
    </w:p>
    <w:p>
      <w:pPr>
        <w:widowControl/>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2．成都市级支持中小企业政府采购信用融资实施方案</w:t>
      </w:r>
    </w:p>
    <w:p>
      <w:pPr>
        <w:pStyle w:val="9"/>
        <w:widowControl/>
        <w:topLinePunct/>
        <w:spacing w:line="360" w:lineRule="auto"/>
        <w:ind w:firstLine="480" w:firstLineChars="200"/>
        <w:outlineLvl w:val="9"/>
        <w:rPr>
          <w:rFonts w:ascii="宋体" w:hAnsi="宋体" w:cs="宋体"/>
          <w:color w:val="auto"/>
          <w:sz w:val="24"/>
          <w:szCs w:val="24"/>
          <w:highlight w:val="none"/>
        </w:rPr>
      </w:pPr>
    </w:p>
    <w:p>
      <w:pPr>
        <w:pStyle w:val="9"/>
        <w:widowControl/>
        <w:topLinePunct/>
        <w:spacing w:line="360" w:lineRule="auto"/>
        <w:ind w:firstLine="480" w:firstLineChars="200"/>
        <w:outlineLvl w:val="9"/>
        <w:rPr>
          <w:rFonts w:ascii="宋体" w:hAnsi="宋体" w:cs="宋体"/>
          <w:color w:val="auto"/>
          <w:sz w:val="24"/>
          <w:szCs w:val="24"/>
          <w:highlight w:val="none"/>
        </w:rPr>
      </w:pPr>
    </w:p>
    <w:p>
      <w:pPr>
        <w:pStyle w:val="9"/>
        <w:widowControl/>
        <w:topLinePunct/>
        <w:spacing w:line="360" w:lineRule="auto"/>
        <w:ind w:firstLine="480" w:firstLineChars="200"/>
        <w:rPr>
          <w:rFonts w:ascii="宋体" w:hAnsi="宋体" w:cs="宋体"/>
          <w:color w:val="auto"/>
          <w:sz w:val="24"/>
          <w:szCs w:val="24"/>
          <w:highlight w:val="none"/>
        </w:rPr>
      </w:pPr>
    </w:p>
    <w:p>
      <w:pPr>
        <w:widowControl/>
        <w:tabs>
          <w:tab w:val="left" w:pos="7584"/>
        </w:tabs>
        <w:topLinePunct/>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成都市财政局         中国人民银行成都分行营业管理部</w:t>
      </w:r>
    </w:p>
    <w:p>
      <w:pPr>
        <w:widowControl/>
        <w:tabs>
          <w:tab w:val="left" w:pos="7584"/>
        </w:tabs>
        <w:topLinePunct/>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2019年2月26日</w:t>
      </w:r>
    </w:p>
    <w:p>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pPr>
        <w:topLinePunct/>
        <w:spacing w:line="360" w:lineRule="auto"/>
        <w:outlineLvl w:val="9"/>
        <w:rPr>
          <w:rFonts w:ascii="宋体" w:hAnsi="宋体" w:cs="宋体"/>
          <w:color w:val="auto"/>
          <w:sz w:val="24"/>
          <w:highlight w:val="none"/>
        </w:rPr>
      </w:pPr>
      <w:bookmarkStart w:id="326" w:name="_Toc18558"/>
      <w:r>
        <w:rPr>
          <w:rFonts w:hint="eastAsia" w:ascii="宋体" w:hAnsi="宋体" w:cs="宋体"/>
          <w:color w:val="auto"/>
          <w:sz w:val="24"/>
          <w:highlight w:val="none"/>
        </w:rPr>
        <w:t>附件1</w:t>
      </w:r>
      <w:bookmarkEnd w:id="326"/>
    </w:p>
    <w:p>
      <w:pPr>
        <w:topLinePunct/>
        <w:spacing w:line="360" w:lineRule="auto"/>
        <w:rPr>
          <w:rFonts w:ascii="宋体" w:hAnsi="宋体" w:cs="宋体"/>
          <w:color w:val="auto"/>
          <w:sz w:val="24"/>
          <w:highlight w:val="none"/>
        </w:rPr>
      </w:pPr>
    </w:p>
    <w:p>
      <w:pPr>
        <w:topLinePunct/>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成都市中小企业政府采购信用融资暂行办法</w:t>
      </w:r>
    </w:p>
    <w:p>
      <w:pPr>
        <w:topLinePunct/>
        <w:spacing w:line="360" w:lineRule="auto"/>
        <w:jc w:val="center"/>
        <w:rPr>
          <w:rFonts w:ascii="宋体" w:hAnsi="宋体" w:cs="宋体"/>
          <w:color w:val="auto"/>
          <w:sz w:val="24"/>
          <w:highlight w:val="none"/>
        </w:rPr>
      </w:pPr>
      <w:r>
        <w:rPr>
          <w:rFonts w:hint="eastAsia" w:ascii="宋体" w:hAnsi="宋体" w:cs="宋体"/>
          <w:color w:val="auto"/>
          <w:sz w:val="24"/>
          <w:highlight w:val="none"/>
        </w:rPr>
        <w:t>第一章  总  则</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第一条（政策依据）</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第二条（适用范围）</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成都市行政区域内政府采购信用融资适用本办法。</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第三条（术语定义）</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本办法所称政府采购信用融资，是指融资机构以信用审查为基础，依据政府采购合同，按相应的优惠政策向申请融资的中小企业（以下简称供应商）提供资金支持的融资模式。</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本办法所称融资机构，是指在成都市属地注册或设立分支机构，有意向按照本办法开展政府采购信用融资业务，经同级财政部门确定的银行机构。</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本办法所称中小企业，包括中型、小型及微型企业，其划型标准按照国家相关规定执行。</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第四条（基本原则）</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政府采购信用融资工作坚持政府引导、市场主导，自愿选择、自担风险，诚实信用、互惠共赢的原则，切实发挥市场在资源配置中的决定性作用。</w:t>
      </w:r>
    </w:p>
    <w:p>
      <w:pPr>
        <w:topLinePunct/>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第二章  融资优惠</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第五条（融资方式）</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供应商无需提供财产抵押或第三方担保，凭借政府采购合同向融资机构申请融资，融资机构根据其授信政策为供应商提供信用贷款。</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第六条（融资额度）</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融资额度原则上不超过政府采购合同金额。</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第七条（融资利率）</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融资机构向供应商提供融资的利率应低于同期一般中小企业的贷款利率。融资利率上浮比例原则上不超过中国人民银行公布的同期贷款基准利率的30%。</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第八条（融资期限）</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融资期限原则上与政府采购合同履行期限一致。</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第九条（融资效率）</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第十条（融资业务升级）</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对履约记录良好、诚信资质高的供应商，融资机构应当在授信额度、融资审查、融资利率等方面给予更大支持，促进供应商依法诚信经营。</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第十一条（贷款风险补贴）</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第三章  融资流程</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第十二条（融资流程）</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（一）信息发布。采购人应当在发布的采购公告和采购文件中载明采购项目可提供信用融资的信息。</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（二）融资申请。有融资需求的供应商自主选择提供政府采购信用融资服务的融资机构及产品，并按要求提供申请资料。</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（三）融资审查。融资机构对供应商的融资申请进行审查，并向供应商反馈审查及融资额度等情况。</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（四）账户确认。供应商须在合作融资机构开立结算账户，并与采购人在政府采购合同中或通过签订补充协议的方式约定唯一收款账户，融资机构对唯一收款账户进行确认和锁定。</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（五）放款。融资机构对政府采购合同及融资相关信息进行确认，并向供应商提供相应的融资产品。</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（六）贷款归还。采购人按相关规定和合同约定将合同资金支付至约定的唯一收款账户。</w:t>
      </w:r>
    </w:p>
    <w:p>
      <w:pPr>
        <w:topLinePunct/>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第四章  职责分工</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第十三条（财政部门职责）</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第十四条（融资机构主管部门职责）</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引导融资机构依法依规开展政府采购信用融资。推动成都市政府采购监督管理系统与中征应收账款融资服务平台直联，实现政府采购信用融资线上办理，加强与财政部门的信息共享。</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第十五条（采购人职责）</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第十六条（融资机构职责）</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第十七条（供应商职责）</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第五章 监督管理</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第十八条（采购人监管）</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采购人不执行政府采购信用融资政策，或不正当干预供应商选择合作融资机构，或无故拖延和拒付采购资金的，财政部门视情节进行约谈、通报直至暂停拨付财政资金。</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第十九条（融资机构监管）</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融资机构违反规定开展政府采购信用融资业务，对政府采购造成负面影响的，财政部门视情节取消其参与政府采购信用融资的业务权限。</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第二十条（供应商监管）</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第二十一条</w:t>
      </w:r>
      <w:bookmarkStart w:id="327" w:name="BM24558847_25425864_3"/>
      <w:bookmarkEnd w:id="327"/>
      <w:r>
        <w:rPr>
          <w:rFonts w:hint="eastAsia" w:ascii="宋体" w:hAnsi="宋体" w:cs="宋体"/>
          <w:color w:val="auto"/>
          <w:sz w:val="24"/>
          <w:highlight w:val="none"/>
        </w:rPr>
        <w:t>（相关单位及工作人员监管）</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各相关单位及其工作人员在履行职责中存在滥用职权、玩忽职守、徇私舞弊等违法违纪行为的，依照有关规定处理，涉嫌犯罪的，移送司法机关处理。</w:t>
      </w:r>
    </w:p>
    <w:p>
      <w:pPr>
        <w:topLinePunct/>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第六章  附  则</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第二十二条（解释相关）</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本办法由市财政局会同中国人民银行成都分行营业管理部负责解释。</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第二十三条（施行相关）</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本办法自印发之日起施行。市财政局、市金融办2013年12月9日印发的《关于开展中小企业政府采购信用担保及融资试点工作的通知》（成财采〔2013〕200号）同时废止。</w:t>
      </w:r>
    </w:p>
    <w:p>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pPr>
        <w:topLinePunct/>
        <w:spacing w:line="360" w:lineRule="auto"/>
        <w:outlineLvl w:val="9"/>
        <w:rPr>
          <w:rFonts w:ascii="宋体" w:hAnsi="宋体" w:cs="宋体"/>
          <w:color w:val="auto"/>
          <w:sz w:val="24"/>
          <w:highlight w:val="none"/>
        </w:rPr>
      </w:pPr>
      <w:bookmarkStart w:id="328" w:name="_Toc24929"/>
      <w:r>
        <w:rPr>
          <w:rFonts w:hint="eastAsia" w:ascii="宋体" w:hAnsi="宋体" w:cs="宋体"/>
          <w:color w:val="auto"/>
          <w:sz w:val="24"/>
          <w:highlight w:val="none"/>
        </w:rPr>
        <w:t>附件2</w:t>
      </w:r>
      <w:bookmarkEnd w:id="328"/>
    </w:p>
    <w:p>
      <w:pPr>
        <w:topLinePunct/>
        <w:spacing w:line="360" w:lineRule="auto"/>
        <w:ind w:firstLine="480" w:firstLineChars="200"/>
        <w:rPr>
          <w:rFonts w:ascii="宋体" w:hAnsi="宋体" w:cs="宋体"/>
          <w:color w:val="auto"/>
          <w:sz w:val="24"/>
          <w:highlight w:val="none"/>
        </w:rPr>
      </w:pPr>
    </w:p>
    <w:p>
      <w:pPr>
        <w:topLinePunct/>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成都市级支持中小企业政府采购</w:t>
      </w:r>
    </w:p>
    <w:p>
      <w:pPr>
        <w:topLinePunct/>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信用融资实施方案</w:t>
      </w:r>
    </w:p>
    <w:p>
      <w:pPr>
        <w:topLinePunct/>
        <w:spacing w:line="360" w:lineRule="auto"/>
        <w:ind w:firstLine="480" w:firstLineChars="200"/>
        <w:rPr>
          <w:rFonts w:ascii="宋体" w:hAnsi="宋体" w:cs="宋体"/>
          <w:color w:val="auto"/>
          <w:sz w:val="24"/>
          <w:highlight w:val="none"/>
        </w:rPr>
      </w:pP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一、目标任务</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二、适用范围</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本《实施方案》适用于成都市本级政府采购信用融资工作。</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三、基本原则 </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四、组织实施</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（一）宣传动员</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相关部门和单位采取多种方式积极宣传《暂行办法》和《实施方案》，落实财政部门、融资机构主管部门、采购人、融资机构等职责任务，明确各项工作目标任务，确保成都市级政府采购信用融资工作有序推进。</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（二）融资机构选择</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（1）融资机构基本情况；</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（2）政府采购信用融资实施方案（包括授信政策、融资产品、贷款利率及其它优惠措施、业务流程及各环节办结时间、联系方式等）；</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（3）关于遵照《暂行办法》和《实施方案》开展政府采购信用融资业务的承诺；</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（4）关于政府采购信用融资业务风险及系统对接研发费用自行承担的承诺。</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2．系统对接。融资机构成功报名后，须按要求完成政府采购信用融资业务与成都市政府采购监督管理系统的技术对接。</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3．确定融资机构。市财政局将完成系统对接的融资机构确定为我市开展政府采购信用融资业务的融资机构，并在成都市政府采购监督管理系统集中展示，为供应商开展融资提供指引。</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（三）其他事项</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五、相关要求</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（一）加强组织领导。</w:t>
      </w:r>
      <w:r>
        <w:rPr>
          <w:rFonts w:hint="eastAsia" w:ascii="宋体" w:hAnsi="宋体" w:cs="宋体"/>
          <w:color w:val="auto"/>
          <w:kern w:val="0"/>
          <w:sz w:val="24"/>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cs="宋体"/>
          <w:color w:val="auto"/>
          <w:sz w:val="24"/>
          <w:highlight w:val="none"/>
        </w:rPr>
        <w:t>全面、有序、科学推进政府采购信用融资工作。</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（二）注重协调配合。</w:t>
      </w:r>
      <w:r>
        <w:rPr>
          <w:rFonts w:hint="eastAsia" w:ascii="宋体" w:hAnsi="宋体" w:cs="宋体"/>
          <w:color w:val="auto"/>
          <w:kern w:val="0"/>
          <w:sz w:val="24"/>
          <w:highlight w:val="none"/>
        </w:rPr>
        <w:t>市财政局、中国人民银行成都分行营业管理部及采购人</w:t>
      </w:r>
      <w:r>
        <w:rPr>
          <w:rFonts w:hint="eastAsia" w:ascii="宋体" w:hAnsi="宋体" w:cs="宋体"/>
          <w:color w:val="auto"/>
          <w:sz w:val="24"/>
          <w:highlight w:val="none"/>
        </w:rPr>
        <w:t>等有关单位要根据职责任务，及时协调解决工作中遇到的困难和问题，积极</w:t>
      </w:r>
      <w:r>
        <w:rPr>
          <w:rFonts w:hint="eastAsia" w:ascii="宋体" w:hAnsi="宋体" w:cs="宋体"/>
          <w:color w:val="auto"/>
          <w:kern w:val="0"/>
          <w:sz w:val="24"/>
          <w:highlight w:val="none"/>
        </w:rPr>
        <w:t>创造条件主动服务，帮助有融资需求、符合条件的供应商实现政府采购信用融资，促进中小企业又好又快发展</w:t>
      </w:r>
      <w:r>
        <w:rPr>
          <w:rFonts w:hint="eastAsia" w:ascii="宋体" w:hAnsi="宋体" w:cs="宋体"/>
          <w:color w:val="auto"/>
          <w:sz w:val="24"/>
          <w:highlight w:val="none"/>
        </w:rPr>
        <w:t>。</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br w:type="page"/>
      </w:r>
    </w:p>
    <w:p>
      <w:pPr>
        <w:rPr>
          <w:rFonts w:hint="eastAsia" w:asciiTheme="minorEastAsia" w:hAnsiTheme="minorEastAsia" w:eastAsiaTheme="minorEastAsia" w:cstheme="minorEastAsia"/>
          <w:b/>
          <w:bCs/>
          <w:color w:val="auto"/>
          <w:sz w:val="28"/>
          <w:szCs w:val="36"/>
          <w:highlight w:val="none"/>
          <w:lang w:val="en-US" w:eastAsia="zh-CN"/>
        </w:rPr>
      </w:pPr>
      <w:r>
        <w:rPr>
          <w:rFonts w:hint="eastAsia" w:asciiTheme="minorEastAsia" w:hAnsiTheme="minorEastAsia" w:eastAsiaTheme="minorEastAsia" w:cstheme="minorEastAsia"/>
          <w:b/>
          <w:bCs/>
          <w:color w:val="auto"/>
          <w:sz w:val="28"/>
          <w:szCs w:val="36"/>
          <w:highlight w:val="none"/>
        </w:rPr>
        <w:t>附件三：</w:t>
      </w:r>
      <w:r>
        <w:rPr>
          <w:rFonts w:hint="eastAsia" w:asciiTheme="minorEastAsia" w:hAnsiTheme="minorEastAsia" w:eastAsiaTheme="minorEastAsia" w:cstheme="minorEastAsia"/>
          <w:b/>
          <w:bCs/>
          <w:color w:val="auto"/>
          <w:sz w:val="28"/>
          <w:szCs w:val="36"/>
          <w:highlight w:val="none"/>
          <w:lang w:val="en-US" w:eastAsia="zh-CN"/>
        </w:rPr>
        <w:t xml:space="preserve">         </w:t>
      </w:r>
    </w:p>
    <w:p>
      <w:pPr>
        <w:jc w:val="center"/>
        <w:rPr>
          <w:rFonts w:hint="eastAsia" w:asciiTheme="minorEastAsia" w:hAnsiTheme="minorEastAsia" w:eastAsiaTheme="minorEastAsia" w:cstheme="minorEastAsia"/>
          <w:b/>
          <w:bCs/>
          <w:color w:val="auto"/>
          <w:sz w:val="28"/>
          <w:szCs w:val="36"/>
          <w:highlight w:val="none"/>
          <w:lang w:val="en-US" w:eastAsia="zh-CN"/>
        </w:rPr>
      </w:pPr>
      <w:r>
        <w:rPr>
          <w:rFonts w:hint="eastAsia" w:asciiTheme="minorEastAsia" w:hAnsiTheme="minorEastAsia" w:eastAsiaTheme="minorEastAsia" w:cstheme="minorEastAsia"/>
          <w:b/>
          <w:bCs/>
          <w:color w:val="auto"/>
          <w:sz w:val="28"/>
          <w:szCs w:val="36"/>
          <w:highlight w:val="none"/>
          <w:lang w:val="en-US" w:eastAsia="zh-CN"/>
        </w:rPr>
        <w:t>信用评价服务效果调查表(供应商)</w:t>
      </w:r>
    </w:p>
    <w:p>
      <w:pPr>
        <w:pStyle w:val="45"/>
        <w:bidi w:val="0"/>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被评价代理机构名称：</w:t>
      </w:r>
    </w:p>
    <w:p>
      <w:pPr>
        <w:pStyle w:val="45"/>
        <w:bidi w:val="0"/>
        <w:spacing w:line="360" w:lineRule="auto"/>
        <w:rPr>
          <w:rFonts w:hint="eastAsia"/>
          <w:color w:val="auto"/>
          <w:sz w:val="24"/>
          <w:szCs w:val="24"/>
          <w:highlight w:val="none"/>
          <w:u w:val="single"/>
          <w:lang w:val="en-US" w:eastAsia="zh-CN"/>
        </w:rPr>
      </w:pPr>
      <w:r>
        <w:rPr>
          <w:rFonts w:hint="eastAsia"/>
          <w:color w:val="auto"/>
          <w:sz w:val="24"/>
          <w:szCs w:val="24"/>
          <w:highlight w:val="none"/>
          <w:lang w:val="en-US" w:eastAsia="zh-CN"/>
        </w:rPr>
        <w:t>项目名称：</w:t>
      </w:r>
    </w:p>
    <w:p>
      <w:pPr>
        <w:pStyle w:val="45"/>
        <w:bidi w:val="0"/>
        <w:spacing w:line="360" w:lineRule="auto"/>
        <w:rPr>
          <w:rFonts w:hint="eastAsia"/>
          <w:color w:val="auto"/>
          <w:sz w:val="24"/>
          <w:szCs w:val="24"/>
          <w:highlight w:val="none"/>
          <w:u w:val="single"/>
          <w:lang w:val="en-US" w:eastAsia="zh-CN"/>
        </w:rPr>
      </w:pPr>
      <w:r>
        <w:rPr>
          <w:rFonts w:hint="eastAsia"/>
          <w:color w:val="auto"/>
          <w:sz w:val="24"/>
          <w:szCs w:val="24"/>
          <w:highlight w:val="none"/>
          <w:lang w:val="en-US" w:eastAsia="zh-CN"/>
        </w:rPr>
        <w:t>项目编号：</w:t>
      </w:r>
    </w:p>
    <w:tbl>
      <w:tblPr>
        <w:tblStyle w:val="17"/>
        <w:tblW w:w="9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r>
              <w:rPr>
                <w:rFonts w:hint="eastAsia"/>
                <w:b/>
                <w:bCs/>
                <w:color w:val="auto"/>
                <w:sz w:val="24"/>
                <w:szCs w:val="24"/>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r>
              <w:rPr>
                <w:rFonts w:hint="eastAsia"/>
                <w:b/>
                <w:bCs/>
                <w:color w:val="auto"/>
                <w:sz w:val="24"/>
                <w:szCs w:val="24"/>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满意</w:t>
            </w:r>
          </w:p>
          <w:p>
            <w:pPr>
              <w:pStyle w:val="46"/>
              <w:bidi w:val="0"/>
              <w:jc w:val="center"/>
              <w:rPr>
                <w:rFonts w:hint="eastAsia"/>
                <w:b/>
                <w:bCs/>
                <w:color w:val="auto"/>
                <w:sz w:val="24"/>
                <w:szCs w:val="24"/>
                <w:highlight w:val="none"/>
              </w:rPr>
            </w:pPr>
            <w:r>
              <w:rPr>
                <w:rFonts w:hint="eastAsia"/>
                <w:b/>
                <w:bCs/>
                <w:color w:val="auto"/>
                <w:sz w:val="24"/>
                <w:szCs w:val="24"/>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基本满意</w:t>
            </w:r>
          </w:p>
          <w:p>
            <w:pPr>
              <w:pStyle w:val="46"/>
              <w:bidi w:val="0"/>
              <w:jc w:val="center"/>
              <w:rPr>
                <w:rFonts w:hint="eastAsia"/>
                <w:b/>
                <w:bCs/>
                <w:color w:val="auto"/>
                <w:sz w:val="24"/>
                <w:szCs w:val="24"/>
                <w:highlight w:val="none"/>
              </w:rPr>
            </w:pPr>
            <w:r>
              <w:rPr>
                <w:rFonts w:hint="eastAsia"/>
                <w:b/>
                <w:bCs/>
                <w:color w:val="auto"/>
                <w:sz w:val="24"/>
                <w:szCs w:val="24"/>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一般</w:t>
            </w:r>
          </w:p>
          <w:p>
            <w:pPr>
              <w:pStyle w:val="46"/>
              <w:bidi w:val="0"/>
              <w:jc w:val="center"/>
              <w:rPr>
                <w:rFonts w:hint="eastAsia"/>
                <w:b/>
                <w:bCs/>
                <w:color w:val="auto"/>
                <w:sz w:val="24"/>
                <w:szCs w:val="24"/>
                <w:highlight w:val="none"/>
              </w:rPr>
            </w:pPr>
            <w:r>
              <w:rPr>
                <w:rFonts w:hint="eastAsia"/>
                <w:b/>
                <w:bCs/>
                <w:color w:val="auto"/>
                <w:sz w:val="24"/>
                <w:szCs w:val="24"/>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不满意</w:t>
            </w:r>
          </w:p>
          <w:p>
            <w:pPr>
              <w:pStyle w:val="46"/>
              <w:bidi w:val="0"/>
              <w:jc w:val="center"/>
              <w:rPr>
                <w:rFonts w:hint="eastAsia"/>
                <w:b/>
                <w:bCs/>
                <w:color w:val="auto"/>
                <w:sz w:val="24"/>
                <w:szCs w:val="24"/>
                <w:highlight w:val="none"/>
              </w:rPr>
            </w:pPr>
            <w:r>
              <w:rPr>
                <w:rFonts w:hint="eastAsia"/>
                <w:b/>
                <w:bCs/>
                <w:color w:val="auto"/>
                <w:sz w:val="24"/>
                <w:szCs w:val="24"/>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r>
              <w:rPr>
                <w:rFonts w:hint="eastAsia"/>
                <w:b/>
                <w:bCs/>
                <w:color w:val="auto"/>
                <w:sz w:val="24"/>
                <w:szCs w:val="24"/>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r>
              <w:rPr>
                <w:rFonts w:hint="eastAsia"/>
                <w:b/>
                <w:bCs/>
                <w:color w:val="auto"/>
                <w:sz w:val="24"/>
                <w:szCs w:val="24"/>
                <w:highlight w:val="none"/>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r>
              <w:rPr>
                <w:rFonts w:hint="eastAsia"/>
                <w:b/>
                <w:bCs/>
                <w:color w:val="auto"/>
                <w:sz w:val="24"/>
                <w:szCs w:val="24"/>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r>
              <w:rPr>
                <w:rFonts w:hint="eastAsia"/>
                <w:b/>
                <w:bCs/>
                <w:color w:val="auto"/>
                <w:sz w:val="24"/>
                <w:szCs w:val="24"/>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r>
              <w:rPr>
                <w:rFonts w:hint="eastAsia"/>
                <w:b/>
                <w:bCs/>
                <w:color w:val="auto"/>
                <w:sz w:val="24"/>
                <w:szCs w:val="24"/>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r>
              <w:rPr>
                <w:rFonts w:hint="eastAsia"/>
                <w:b/>
                <w:bCs/>
                <w:color w:val="auto"/>
                <w:sz w:val="24"/>
                <w:szCs w:val="24"/>
                <w:highlight w:val="none"/>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r>
              <w:rPr>
                <w:rFonts w:hint="eastAsia"/>
                <w:b/>
                <w:bCs/>
                <w:color w:val="auto"/>
                <w:sz w:val="24"/>
                <w:szCs w:val="24"/>
                <w:highlight w:val="none"/>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r>
              <w:rPr>
                <w:rFonts w:hint="eastAsia"/>
                <w:b/>
                <w:bCs/>
                <w:color w:val="auto"/>
                <w:sz w:val="24"/>
                <w:szCs w:val="24"/>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bidi w:val="0"/>
              <w:jc w:val="center"/>
              <w:rPr>
                <w:rFonts w:hint="eastAsia"/>
                <w:b/>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7"/>
              <w:bidi w:val="0"/>
              <w:jc w:val="left"/>
              <w:rPr>
                <w:rFonts w:hint="eastAsia"/>
                <w:b/>
                <w:bCs/>
                <w:color w:val="auto"/>
                <w:sz w:val="24"/>
                <w:szCs w:val="24"/>
                <w:highlight w:val="none"/>
              </w:rPr>
            </w:pPr>
            <w:r>
              <w:rPr>
                <w:rFonts w:hint="eastAsia"/>
                <w:b/>
                <w:bCs/>
                <w:color w:val="auto"/>
                <w:sz w:val="24"/>
                <w:szCs w:val="24"/>
                <w:highlight w:val="none"/>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1"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7"/>
              <w:bidi w:val="0"/>
              <w:jc w:val="center"/>
              <w:rPr>
                <w:rFonts w:hint="eastAsia"/>
                <w:b/>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7"/>
              <w:bidi w:val="0"/>
              <w:rPr>
                <w:rFonts w:hint="eastAsia"/>
                <w:b/>
                <w:bCs/>
                <w:color w:val="auto"/>
                <w:sz w:val="24"/>
                <w:szCs w:val="24"/>
                <w:highlight w:val="none"/>
                <w:lang w:val="en-US" w:eastAsia="zh-CN"/>
              </w:rPr>
            </w:pPr>
            <w:r>
              <w:rPr>
                <w:rFonts w:hint="eastAsia"/>
                <w:b/>
                <w:bCs/>
                <w:color w:val="auto"/>
                <w:sz w:val="24"/>
                <w:szCs w:val="24"/>
                <w:highlight w:val="none"/>
                <w:lang w:val="en-US" w:eastAsia="zh-CN"/>
              </w:rPr>
              <w:t>供应商名称：</w:t>
            </w:r>
            <w:r>
              <w:rPr>
                <w:rFonts w:hint="eastAsia"/>
                <w:b/>
                <w:bCs/>
                <w:color w:val="auto"/>
                <w:sz w:val="24"/>
                <w:szCs w:val="24"/>
                <w:highlight w:val="none"/>
                <w:u w:val="single"/>
                <w:lang w:val="en-US" w:eastAsia="zh-CN"/>
              </w:rPr>
              <w:t xml:space="preserve">                     </w:t>
            </w:r>
            <w:r>
              <w:rPr>
                <w:rFonts w:hint="eastAsia"/>
                <w:b/>
                <w:bCs/>
                <w:color w:val="auto"/>
                <w:sz w:val="24"/>
                <w:szCs w:val="24"/>
                <w:highlight w:val="none"/>
                <w:lang w:val="en-US" w:eastAsia="zh-CN"/>
              </w:rPr>
              <w:t>(加盖鲜章)</w:t>
            </w:r>
          </w:p>
        </w:tc>
      </w:tr>
    </w:tbl>
    <w:p>
      <w:pPr>
        <w:pStyle w:val="2"/>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说明：1.请贵公司根据代理机构采购项目的实际情况，在“满意”、“基本满意”、“一般”、“不满意”四个评价档次栏中选取一栏打“√”，并加盖鲜章。</w:t>
      </w:r>
    </w:p>
    <w:p>
      <w:pPr>
        <w:pStyle w:val="2"/>
        <w:ind w:firstLine="482" w:firstLineChars="200"/>
        <w:rPr>
          <w:color w:val="auto"/>
          <w:highlight w:val="none"/>
        </w:rPr>
      </w:pPr>
      <w:r>
        <w:rPr>
          <w:rFonts w:hint="eastAsia" w:ascii="宋体" w:hAnsi="宋体" w:eastAsia="宋体" w:cs="宋体"/>
          <w:b/>
          <w:bCs/>
          <w:color w:val="auto"/>
          <w:sz w:val="24"/>
          <w:szCs w:val="24"/>
          <w:highlight w:val="none"/>
          <w:lang w:val="en-US" w:eastAsia="zh-CN"/>
        </w:rPr>
        <w:t>2.请贵公司于开标当日将此表原件交至代理机构工作人员。（不作为实质性要求，不作为评审依据）</w:t>
      </w:r>
    </w:p>
    <w:p>
      <w:pPr>
        <w:pStyle w:val="2"/>
        <w:ind w:firstLine="560" w:firstLineChars="200"/>
        <w:rPr>
          <w:color w:val="auto"/>
          <w:highlight w:val="none"/>
        </w:rPr>
      </w:pPr>
    </w:p>
    <w:sectPr>
      <w:footerReference r:id="rId13" w:type="default"/>
      <w:pgSz w:w="11850" w:h="16783"/>
      <w:pgMar w:top="1440" w:right="1304" w:bottom="1440" w:left="141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à.ā">
    <w:altName w:val="黑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4</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0"/>
      </w:rPr>
    </w:pPr>
    <w:r>
      <w:fldChar w:fldCharType="begin"/>
    </w:r>
    <w:r>
      <w:rPr>
        <w:rStyle w:val="20"/>
      </w:rPr>
      <w:instrText xml:space="preserve">PAGE  </w:instrText>
    </w:r>
    <w:r>
      <w:fldChar w:fldCharType="end"/>
    </w:r>
  </w:p>
  <w:p>
    <w:pPr>
      <w:pStyle w:val="1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685" w:firstLineChars="381"/>
      <w:jc w:val="both"/>
      <w:rPr>
        <w:rFonts w:ascii="宋体" w:hAnsi="宋体" w:cs="宋体"/>
        <w:b/>
        <w:bCs/>
        <w:sz w:val="21"/>
        <w:szCs w:val="21"/>
      </w:rPr>
    </w:pPr>
    <w:r>
      <w:rPr>
        <w:rFonts w:hint="eastAsia" w:eastAsiaTheme="minorEastAsia"/>
      </w:rPr>
      <w:drawing>
        <wp:anchor distT="0" distB="0" distL="114300" distR="114300" simplePos="0" relativeHeight="251661312" behindDoc="0" locked="0" layoutInCell="1" allowOverlap="1">
          <wp:simplePos x="0" y="0"/>
          <wp:positionH relativeFrom="column">
            <wp:posOffset>-12065</wp:posOffset>
          </wp:positionH>
          <wp:positionV relativeFrom="paragraph">
            <wp:posOffset>0</wp:posOffset>
          </wp:positionV>
          <wp:extent cx="340995" cy="338455"/>
          <wp:effectExtent l="0" t="0" r="1905" b="4445"/>
          <wp:wrapSquare wrapText="bothSides"/>
          <wp:docPr id="9" name="图片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ogo"/>
                  <pic:cNvPicPr>
                    <a:picLocks noChangeAspect="1"/>
                  </pic:cNvPicPr>
                </pic:nvPicPr>
                <pic:blipFill>
                  <a:blip r:embed="rId1"/>
                  <a:stretch>
                    <a:fillRect/>
                  </a:stretch>
                </pic:blipFill>
                <pic:spPr>
                  <a:xfrm>
                    <a:off x="0" y="0"/>
                    <a:ext cx="340995" cy="338455"/>
                  </a:xfrm>
                  <a:prstGeom prst="rect">
                    <a:avLst/>
                  </a:prstGeom>
                </pic:spPr>
              </pic:pic>
            </a:graphicData>
          </a:graphic>
        </wp:anchor>
      </w:drawing>
    </w:r>
    <w:r>
      <w:rPr>
        <w:rFonts w:hint="eastAsia" w:ascii="宋体" w:hAnsi="宋体" w:cs="宋体"/>
        <w:b/>
        <w:bCs/>
        <w:sz w:val="21"/>
        <w:szCs w:val="21"/>
      </w:rPr>
      <w:t>四川易通天和招标代理有限公司</w:t>
    </w:r>
  </w:p>
  <w:p>
    <w:pPr>
      <w:pStyle w:val="14"/>
      <w:pBdr>
        <w:bottom w:val="double" w:color="auto" w:sz="8" w:space="1"/>
      </w:pBdr>
      <w:ind w:firstLine="653" w:firstLineChars="500"/>
      <w:jc w:val="both"/>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公开·公平·公正·诚信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b/>
        <w:sz w:val="28"/>
        <w:szCs w:val="18"/>
      </w:rPr>
    </w:pPr>
    <w:r>
      <w:drawing>
        <wp:inline distT="0" distB="0" distL="114300" distR="114300">
          <wp:extent cx="1618615" cy="381000"/>
          <wp:effectExtent l="0" t="0" r="635" b="0"/>
          <wp:docPr id="4" name="图片 1" descr="说明: C:\Users\Administrator\Desktop\肖郑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C:\Users\Administrator\Desktop\肖郑洁.png"/>
                  <pic:cNvPicPr>
                    <a:picLocks noChangeAspect="1"/>
                  </pic:cNvPicPr>
                </pic:nvPicPr>
                <pic:blipFill>
                  <a:blip r:embed="rId1"/>
                  <a:stretch>
                    <a:fillRect/>
                  </a:stretch>
                </pic:blipFill>
                <pic:spPr>
                  <a:xfrm>
                    <a:off x="0" y="0"/>
                    <a:ext cx="1618615" cy="381000"/>
                  </a:xfrm>
                  <a:prstGeom prst="rect">
                    <a:avLst/>
                  </a:prstGeom>
                  <a:noFill/>
                  <a:ln w="9525">
                    <a:noFill/>
                  </a:ln>
                </pic:spPr>
              </pic:pic>
            </a:graphicData>
          </a:graphic>
        </wp:inline>
      </w:drawing>
    </w:r>
    <w:r>
      <w:rPr>
        <w:rFonts w:hint="eastAsia"/>
      </w:rPr>
      <w:t xml:space="preserve">                      </w:t>
    </w:r>
    <w:r>
      <w:rPr>
        <w:b/>
        <w:sz w:val="28"/>
        <w:szCs w:val="18"/>
      </w:rPr>
      <w:t>效率成就品牌</w:t>
    </w:r>
    <w:r>
      <w:rPr>
        <w:rFonts w:hint="eastAsia"/>
        <w:b/>
        <w:sz w:val="28"/>
      </w:rPr>
      <w:t xml:space="preserve">   </w:t>
    </w:r>
    <w:r>
      <w:rPr>
        <w:b/>
        <w:sz w:val="28"/>
        <w:szCs w:val="18"/>
      </w:rPr>
      <w:t>诚信铸就未来</w:t>
    </w:r>
  </w:p>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685" w:firstLineChars="381"/>
      <w:jc w:val="both"/>
      <w:rPr>
        <w:rFonts w:ascii="宋体" w:hAnsi="宋体" w:cs="宋体"/>
        <w:b/>
        <w:bCs/>
        <w:sz w:val="21"/>
        <w:szCs w:val="21"/>
      </w:rPr>
    </w:pPr>
    <w:r>
      <w:rPr>
        <w:rFonts w:hint="eastAsia" w:eastAsiaTheme="minorEastAsia"/>
      </w:rPr>
      <w:drawing>
        <wp:anchor distT="0" distB="0" distL="114300" distR="114300" simplePos="0" relativeHeight="251662336" behindDoc="0" locked="0" layoutInCell="1" allowOverlap="1">
          <wp:simplePos x="0" y="0"/>
          <wp:positionH relativeFrom="column">
            <wp:posOffset>-12065</wp:posOffset>
          </wp:positionH>
          <wp:positionV relativeFrom="paragraph">
            <wp:posOffset>0</wp:posOffset>
          </wp:positionV>
          <wp:extent cx="340995" cy="338455"/>
          <wp:effectExtent l="0" t="0" r="1905" b="4445"/>
          <wp:wrapSquare wrapText="bothSides"/>
          <wp:docPr id="11" name="图片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ogo"/>
                  <pic:cNvPicPr>
                    <a:picLocks noChangeAspect="1"/>
                  </pic:cNvPicPr>
                </pic:nvPicPr>
                <pic:blipFill>
                  <a:blip r:embed="rId1"/>
                  <a:stretch>
                    <a:fillRect/>
                  </a:stretch>
                </pic:blipFill>
                <pic:spPr>
                  <a:xfrm>
                    <a:off x="0" y="0"/>
                    <a:ext cx="340995" cy="338455"/>
                  </a:xfrm>
                  <a:prstGeom prst="rect">
                    <a:avLst/>
                  </a:prstGeom>
                </pic:spPr>
              </pic:pic>
            </a:graphicData>
          </a:graphic>
        </wp:anchor>
      </w:drawing>
    </w:r>
    <w:r>
      <w:rPr>
        <w:rFonts w:hint="eastAsia" w:ascii="宋体" w:hAnsi="宋体" w:cs="宋体"/>
        <w:b/>
        <w:bCs/>
        <w:sz w:val="21"/>
        <w:szCs w:val="21"/>
      </w:rPr>
      <w:t>四川易通天和招标代理有限公司</w:t>
    </w:r>
  </w:p>
  <w:p>
    <w:pPr>
      <w:pStyle w:val="14"/>
      <w:pBdr>
        <w:bottom w:val="double" w:color="auto" w:sz="8" w:space="1"/>
      </w:pBdr>
      <w:ind w:firstLine="653" w:firstLineChars="500"/>
      <w:jc w:val="both"/>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公开·公平·公正·诚信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685" w:firstLineChars="381"/>
      <w:jc w:val="both"/>
      <w:rPr>
        <w:rFonts w:ascii="宋体" w:hAnsi="宋体" w:cs="宋体"/>
        <w:b/>
        <w:bCs/>
        <w:sz w:val="21"/>
        <w:szCs w:val="21"/>
      </w:rPr>
    </w:pPr>
    <w:r>
      <w:rPr>
        <w:rFonts w:hint="eastAsia" w:eastAsiaTheme="minorEastAsia"/>
      </w:rPr>
      <w:drawing>
        <wp:anchor distT="0" distB="0" distL="114300" distR="114300" simplePos="0" relativeHeight="251663360" behindDoc="0" locked="0" layoutInCell="1" allowOverlap="1">
          <wp:simplePos x="0" y="0"/>
          <wp:positionH relativeFrom="column">
            <wp:posOffset>-12065</wp:posOffset>
          </wp:positionH>
          <wp:positionV relativeFrom="paragraph">
            <wp:posOffset>0</wp:posOffset>
          </wp:positionV>
          <wp:extent cx="340995" cy="338455"/>
          <wp:effectExtent l="0" t="0" r="1905" b="4445"/>
          <wp:wrapSquare wrapText="bothSides"/>
          <wp:docPr id="12" name="图片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logo"/>
                  <pic:cNvPicPr>
                    <a:picLocks noChangeAspect="1"/>
                  </pic:cNvPicPr>
                </pic:nvPicPr>
                <pic:blipFill>
                  <a:blip r:embed="rId1"/>
                  <a:stretch>
                    <a:fillRect/>
                  </a:stretch>
                </pic:blipFill>
                <pic:spPr>
                  <a:xfrm>
                    <a:off x="0" y="0"/>
                    <a:ext cx="340995" cy="338455"/>
                  </a:xfrm>
                  <a:prstGeom prst="rect">
                    <a:avLst/>
                  </a:prstGeom>
                </pic:spPr>
              </pic:pic>
            </a:graphicData>
          </a:graphic>
        </wp:anchor>
      </w:drawing>
    </w:r>
    <w:r>
      <w:rPr>
        <w:rFonts w:hint="eastAsia" w:ascii="宋体" w:hAnsi="宋体" w:cs="宋体"/>
        <w:b/>
        <w:bCs/>
        <w:sz w:val="21"/>
        <w:szCs w:val="21"/>
      </w:rPr>
      <w:t>四川易通天和招标代理有限公司</w:t>
    </w:r>
  </w:p>
  <w:p>
    <w:pPr>
      <w:pStyle w:val="14"/>
      <w:pBdr>
        <w:bottom w:val="double" w:color="auto" w:sz="8" w:space="1"/>
      </w:pBdr>
      <w:ind w:firstLine="653" w:firstLineChars="500"/>
      <w:jc w:val="both"/>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公开·公平·公正·诚信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79F54"/>
    <w:multiLevelType w:val="singleLevel"/>
    <w:tmpl w:val="8D279F54"/>
    <w:lvl w:ilvl="0" w:tentative="0">
      <w:start w:val="3"/>
      <w:numFmt w:val="chineseCounting"/>
      <w:suff w:val="nothing"/>
      <w:lvlText w:val="（%1）"/>
      <w:lvlJc w:val="left"/>
      <w:rPr>
        <w:rFonts w:hint="eastAsia"/>
      </w:rPr>
    </w:lvl>
  </w:abstractNum>
  <w:abstractNum w:abstractNumId="1">
    <w:nsid w:val="928CF0EE"/>
    <w:multiLevelType w:val="singleLevel"/>
    <w:tmpl w:val="928CF0EE"/>
    <w:lvl w:ilvl="0" w:tentative="0">
      <w:start w:val="2"/>
      <w:numFmt w:val="decimal"/>
      <w:suff w:val="nothing"/>
      <w:lvlText w:val="%1、"/>
      <w:lvlJc w:val="left"/>
    </w:lvl>
  </w:abstractNum>
  <w:abstractNum w:abstractNumId="2">
    <w:nsid w:val="93858637"/>
    <w:multiLevelType w:val="singleLevel"/>
    <w:tmpl w:val="93858637"/>
    <w:lvl w:ilvl="0" w:tentative="0">
      <w:start w:val="1"/>
      <w:numFmt w:val="decimal"/>
      <w:suff w:val="space"/>
      <w:lvlText w:val="%1."/>
      <w:lvlJc w:val="left"/>
    </w:lvl>
  </w:abstractNum>
  <w:abstractNum w:abstractNumId="3">
    <w:nsid w:val="9732D3F3"/>
    <w:multiLevelType w:val="singleLevel"/>
    <w:tmpl w:val="9732D3F3"/>
    <w:lvl w:ilvl="0" w:tentative="0">
      <w:start w:val="2"/>
      <w:numFmt w:val="chineseCounting"/>
      <w:suff w:val="nothing"/>
      <w:lvlText w:val="%1、"/>
      <w:lvlJc w:val="left"/>
      <w:rPr>
        <w:rFonts w:hint="eastAsia"/>
      </w:rPr>
    </w:lvl>
  </w:abstractNum>
  <w:abstractNum w:abstractNumId="4">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2"/>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EECA97B7"/>
    <w:multiLevelType w:val="singleLevel"/>
    <w:tmpl w:val="EECA97B7"/>
    <w:lvl w:ilvl="0" w:tentative="0">
      <w:start w:val="6"/>
      <w:numFmt w:val="chineseCounting"/>
      <w:suff w:val="space"/>
      <w:lvlText w:val="第%1章"/>
      <w:lvlJc w:val="left"/>
      <w:rPr>
        <w:rFonts w:hint="eastAsia"/>
      </w:rPr>
    </w:lvl>
  </w:abstractNum>
  <w:abstractNum w:abstractNumId="6">
    <w:nsid w:val="00000003"/>
    <w:multiLevelType w:val="multilevel"/>
    <w:tmpl w:val="00000003"/>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4"/>
    <w:multiLevelType w:val="singleLevel"/>
    <w:tmpl w:val="00000004"/>
    <w:lvl w:ilvl="0" w:tentative="0">
      <w:start w:val="1"/>
      <w:numFmt w:val="japaneseCounting"/>
      <w:lvlText w:val="第%1条"/>
      <w:lvlJc w:val="left"/>
      <w:pPr>
        <w:tabs>
          <w:tab w:val="left" w:pos="1521"/>
        </w:tabs>
        <w:ind w:left="1521" w:hanging="1095"/>
      </w:pPr>
      <w:rPr>
        <w:rFonts w:hint="eastAsia"/>
      </w:rPr>
    </w:lvl>
  </w:abstractNum>
  <w:abstractNum w:abstractNumId="8">
    <w:nsid w:val="3B512781"/>
    <w:multiLevelType w:val="singleLevel"/>
    <w:tmpl w:val="3B512781"/>
    <w:lvl w:ilvl="0" w:tentative="0">
      <w:start w:val="1"/>
      <w:numFmt w:val="decimal"/>
      <w:lvlText w:val="(%1)"/>
      <w:lvlJc w:val="left"/>
      <w:pPr>
        <w:ind w:left="425" w:hanging="425"/>
      </w:pPr>
      <w:rPr>
        <w:rFonts w:hint="default"/>
      </w:rPr>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9"/>
  </w:num>
  <w:num w:numId="2">
    <w:abstractNumId w:val="4"/>
  </w:num>
  <w:num w:numId="3">
    <w:abstractNumId w:val="3"/>
  </w:num>
  <w:num w:numId="4">
    <w:abstractNumId w:val="8"/>
  </w:num>
  <w:num w:numId="5">
    <w:abstractNumId w:val="5"/>
  </w:num>
  <w:num w:numId="6">
    <w:abstractNumId w:val="0"/>
  </w:num>
  <w:num w:numId="7">
    <w:abstractNumId w:val="1"/>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A43D5"/>
    <w:rsid w:val="00030EA7"/>
    <w:rsid w:val="00031832"/>
    <w:rsid w:val="000543C3"/>
    <w:rsid w:val="000567E4"/>
    <w:rsid w:val="000B640B"/>
    <w:rsid w:val="000D71C9"/>
    <w:rsid w:val="001060AE"/>
    <w:rsid w:val="00112A4C"/>
    <w:rsid w:val="00131818"/>
    <w:rsid w:val="00147A75"/>
    <w:rsid w:val="001A1816"/>
    <w:rsid w:val="001C041D"/>
    <w:rsid w:val="001D12C7"/>
    <w:rsid w:val="00207A31"/>
    <w:rsid w:val="00211670"/>
    <w:rsid w:val="00212FB0"/>
    <w:rsid w:val="00227F52"/>
    <w:rsid w:val="00241789"/>
    <w:rsid w:val="002515A1"/>
    <w:rsid w:val="00260894"/>
    <w:rsid w:val="00276F8F"/>
    <w:rsid w:val="00297564"/>
    <w:rsid w:val="002A0E49"/>
    <w:rsid w:val="002B0E1B"/>
    <w:rsid w:val="002B58EB"/>
    <w:rsid w:val="002D36A7"/>
    <w:rsid w:val="002E458C"/>
    <w:rsid w:val="003564E7"/>
    <w:rsid w:val="00362497"/>
    <w:rsid w:val="00370F37"/>
    <w:rsid w:val="00383384"/>
    <w:rsid w:val="0039517C"/>
    <w:rsid w:val="0039652D"/>
    <w:rsid w:val="003A574C"/>
    <w:rsid w:val="003B4D8F"/>
    <w:rsid w:val="003F6BDD"/>
    <w:rsid w:val="0040135F"/>
    <w:rsid w:val="004025D5"/>
    <w:rsid w:val="0043307F"/>
    <w:rsid w:val="0043596E"/>
    <w:rsid w:val="004440FC"/>
    <w:rsid w:val="00464430"/>
    <w:rsid w:val="004644F5"/>
    <w:rsid w:val="00485A89"/>
    <w:rsid w:val="004A0B1C"/>
    <w:rsid w:val="004D319B"/>
    <w:rsid w:val="0054671F"/>
    <w:rsid w:val="00555A90"/>
    <w:rsid w:val="00560802"/>
    <w:rsid w:val="00562251"/>
    <w:rsid w:val="00581331"/>
    <w:rsid w:val="00582BA9"/>
    <w:rsid w:val="00583139"/>
    <w:rsid w:val="00595880"/>
    <w:rsid w:val="005A168A"/>
    <w:rsid w:val="005C47E1"/>
    <w:rsid w:val="005C562F"/>
    <w:rsid w:val="00613BAB"/>
    <w:rsid w:val="0061657E"/>
    <w:rsid w:val="00644A4A"/>
    <w:rsid w:val="0065051F"/>
    <w:rsid w:val="00684DAC"/>
    <w:rsid w:val="006A51FB"/>
    <w:rsid w:val="006B0398"/>
    <w:rsid w:val="006E7840"/>
    <w:rsid w:val="00701505"/>
    <w:rsid w:val="007029AE"/>
    <w:rsid w:val="0070321D"/>
    <w:rsid w:val="007348A2"/>
    <w:rsid w:val="0073639D"/>
    <w:rsid w:val="007940AD"/>
    <w:rsid w:val="00795C81"/>
    <w:rsid w:val="007C3570"/>
    <w:rsid w:val="007C36D6"/>
    <w:rsid w:val="007C4D21"/>
    <w:rsid w:val="007D2CE7"/>
    <w:rsid w:val="00805F9B"/>
    <w:rsid w:val="0082633D"/>
    <w:rsid w:val="008309F2"/>
    <w:rsid w:val="008411A7"/>
    <w:rsid w:val="00851B24"/>
    <w:rsid w:val="00852910"/>
    <w:rsid w:val="00875B40"/>
    <w:rsid w:val="008832E5"/>
    <w:rsid w:val="008954E4"/>
    <w:rsid w:val="008B3A07"/>
    <w:rsid w:val="008B4D98"/>
    <w:rsid w:val="008B71A9"/>
    <w:rsid w:val="008D1C90"/>
    <w:rsid w:val="008F4F70"/>
    <w:rsid w:val="009014A8"/>
    <w:rsid w:val="00902EF2"/>
    <w:rsid w:val="0093340C"/>
    <w:rsid w:val="0094222E"/>
    <w:rsid w:val="00957CBA"/>
    <w:rsid w:val="00973B77"/>
    <w:rsid w:val="009748FD"/>
    <w:rsid w:val="009900D9"/>
    <w:rsid w:val="00991E61"/>
    <w:rsid w:val="00992668"/>
    <w:rsid w:val="009C181E"/>
    <w:rsid w:val="009C2E5B"/>
    <w:rsid w:val="009C4B25"/>
    <w:rsid w:val="009C5753"/>
    <w:rsid w:val="009D5242"/>
    <w:rsid w:val="009E7A78"/>
    <w:rsid w:val="009F5EBD"/>
    <w:rsid w:val="00A011E0"/>
    <w:rsid w:val="00A01CE0"/>
    <w:rsid w:val="00A079D8"/>
    <w:rsid w:val="00A239F0"/>
    <w:rsid w:val="00A35D49"/>
    <w:rsid w:val="00A5476D"/>
    <w:rsid w:val="00AA0CF6"/>
    <w:rsid w:val="00AA1FBC"/>
    <w:rsid w:val="00AB1822"/>
    <w:rsid w:val="00AE545B"/>
    <w:rsid w:val="00AE58FC"/>
    <w:rsid w:val="00B32520"/>
    <w:rsid w:val="00B41E6C"/>
    <w:rsid w:val="00B622C7"/>
    <w:rsid w:val="00B63692"/>
    <w:rsid w:val="00B811D0"/>
    <w:rsid w:val="00B85D54"/>
    <w:rsid w:val="00B86D4C"/>
    <w:rsid w:val="00BC076D"/>
    <w:rsid w:val="00BC2A67"/>
    <w:rsid w:val="00BD6D6C"/>
    <w:rsid w:val="00C24025"/>
    <w:rsid w:val="00C247FB"/>
    <w:rsid w:val="00C5343E"/>
    <w:rsid w:val="00C542D2"/>
    <w:rsid w:val="00CA2B3E"/>
    <w:rsid w:val="00CA5EC5"/>
    <w:rsid w:val="00CB451E"/>
    <w:rsid w:val="00CD4AA9"/>
    <w:rsid w:val="00CD548B"/>
    <w:rsid w:val="00CE19E1"/>
    <w:rsid w:val="00CE2853"/>
    <w:rsid w:val="00D208C5"/>
    <w:rsid w:val="00D36ADF"/>
    <w:rsid w:val="00D41E16"/>
    <w:rsid w:val="00DA7C7E"/>
    <w:rsid w:val="00DC21C7"/>
    <w:rsid w:val="00DC4741"/>
    <w:rsid w:val="00E02BF5"/>
    <w:rsid w:val="00E1047E"/>
    <w:rsid w:val="00E242B6"/>
    <w:rsid w:val="00E315E9"/>
    <w:rsid w:val="00E33D02"/>
    <w:rsid w:val="00E5050F"/>
    <w:rsid w:val="00E702E8"/>
    <w:rsid w:val="00E7133A"/>
    <w:rsid w:val="00EA0474"/>
    <w:rsid w:val="00EF27D5"/>
    <w:rsid w:val="00EF36E2"/>
    <w:rsid w:val="00F51264"/>
    <w:rsid w:val="00F52B10"/>
    <w:rsid w:val="00F603BE"/>
    <w:rsid w:val="00F927FD"/>
    <w:rsid w:val="00F96971"/>
    <w:rsid w:val="00FA3C2C"/>
    <w:rsid w:val="00FA3C8A"/>
    <w:rsid w:val="00FC1DCC"/>
    <w:rsid w:val="00FC2C55"/>
    <w:rsid w:val="00FC42D1"/>
    <w:rsid w:val="00FD0F6F"/>
    <w:rsid w:val="00FF37B4"/>
    <w:rsid w:val="01507077"/>
    <w:rsid w:val="015361BF"/>
    <w:rsid w:val="01B43287"/>
    <w:rsid w:val="020C4BB7"/>
    <w:rsid w:val="02121613"/>
    <w:rsid w:val="03761B91"/>
    <w:rsid w:val="03983C53"/>
    <w:rsid w:val="03CD7504"/>
    <w:rsid w:val="03DC461F"/>
    <w:rsid w:val="03EA6394"/>
    <w:rsid w:val="04094D3E"/>
    <w:rsid w:val="04FC5F69"/>
    <w:rsid w:val="0540023A"/>
    <w:rsid w:val="05C44BB2"/>
    <w:rsid w:val="05C76344"/>
    <w:rsid w:val="05EE182C"/>
    <w:rsid w:val="06E86908"/>
    <w:rsid w:val="07863234"/>
    <w:rsid w:val="0787178A"/>
    <w:rsid w:val="078B5D27"/>
    <w:rsid w:val="07F7461D"/>
    <w:rsid w:val="082967AD"/>
    <w:rsid w:val="08547AFF"/>
    <w:rsid w:val="08635D00"/>
    <w:rsid w:val="088645DD"/>
    <w:rsid w:val="09B3219B"/>
    <w:rsid w:val="0BF1723D"/>
    <w:rsid w:val="0BFD68F2"/>
    <w:rsid w:val="0C125656"/>
    <w:rsid w:val="0CC56F81"/>
    <w:rsid w:val="0CC85C93"/>
    <w:rsid w:val="0CD56C1C"/>
    <w:rsid w:val="0D4700BA"/>
    <w:rsid w:val="0D9521CA"/>
    <w:rsid w:val="0DEF2733"/>
    <w:rsid w:val="0E135CE5"/>
    <w:rsid w:val="0E910577"/>
    <w:rsid w:val="0EA72184"/>
    <w:rsid w:val="0EB469A8"/>
    <w:rsid w:val="0EDD5521"/>
    <w:rsid w:val="0F0B1A56"/>
    <w:rsid w:val="0F5E74D4"/>
    <w:rsid w:val="0FD802E2"/>
    <w:rsid w:val="0FDE4CDC"/>
    <w:rsid w:val="10101F72"/>
    <w:rsid w:val="1041584E"/>
    <w:rsid w:val="105276A1"/>
    <w:rsid w:val="10802135"/>
    <w:rsid w:val="11981D00"/>
    <w:rsid w:val="11DA4B55"/>
    <w:rsid w:val="12481913"/>
    <w:rsid w:val="12A90552"/>
    <w:rsid w:val="12BE2380"/>
    <w:rsid w:val="13023D97"/>
    <w:rsid w:val="13556DDD"/>
    <w:rsid w:val="13714F7E"/>
    <w:rsid w:val="13851C1B"/>
    <w:rsid w:val="14830615"/>
    <w:rsid w:val="14962431"/>
    <w:rsid w:val="14C57B55"/>
    <w:rsid w:val="154452F5"/>
    <w:rsid w:val="15C954C4"/>
    <w:rsid w:val="15D17C46"/>
    <w:rsid w:val="167546E7"/>
    <w:rsid w:val="16A10E63"/>
    <w:rsid w:val="16DF6E30"/>
    <w:rsid w:val="17134FEF"/>
    <w:rsid w:val="17A46D78"/>
    <w:rsid w:val="17B85BAA"/>
    <w:rsid w:val="17F65091"/>
    <w:rsid w:val="180447D6"/>
    <w:rsid w:val="18416370"/>
    <w:rsid w:val="189A72DF"/>
    <w:rsid w:val="18A40DAE"/>
    <w:rsid w:val="18AF2CDF"/>
    <w:rsid w:val="18BE00E0"/>
    <w:rsid w:val="18FF100D"/>
    <w:rsid w:val="19214B48"/>
    <w:rsid w:val="19AE23CB"/>
    <w:rsid w:val="1A307A27"/>
    <w:rsid w:val="1B1E7852"/>
    <w:rsid w:val="1B544DE1"/>
    <w:rsid w:val="1B941713"/>
    <w:rsid w:val="1BAC4D31"/>
    <w:rsid w:val="1BFC0A70"/>
    <w:rsid w:val="1C035C4C"/>
    <w:rsid w:val="1C495970"/>
    <w:rsid w:val="1C9D3F66"/>
    <w:rsid w:val="1CAB197B"/>
    <w:rsid w:val="1CFD2B56"/>
    <w:rsid w:val="1D204C6E"/>
    <w:rsid w:val="1E0B6D28"/>
    <w:rsid w:val="1E156D56"/>
    <w:rsid w:val="1E771524"/>
    <w:rsid w:val="1EBA2D29"/>
    <w:rsid w:val="1EEF2E78"/>
    <w:rsid w:val="1F2B72DA"/>
    <w:rsid w:val="1F2F2A72"/>
    <w:rsid w:val="1F314EFE"/>
    <w:rsid w:val="1F32736C"/>
    <w:rsid w:val="1F5B063B"/>
    <w:rsid w:val="1F6C6291"/>
    <w:rsid w:val="1F75756A"/>
    <w:rsid w:val="1FBA6DCE"/>
    <w:rsid w:val="1FC14C0C"/>
    <w:rsid w:val="20137552"/>
    <w:rsid w:val="20EA7860"/>
    <w:rsid w:val="2117637D"/>
    <w:rsid w:val="212A186B"/>
    <w:rsid w:val="213D1052"/>
    <w:rsid w:val="214F530E"/>
    <w:rsid w:val="215A78DB"/>
    <w:rsid w:val="21845E59"/>
    <w:rsid w:val="21AF28E2"/>
    <w:rsid w:val="22B845B7"/>
    <w:rsid w:val="22BB428C"/>
    <w:rsid w:val="22E61963"/>
    <w:rsid w:val="23301DD3"/>
    <w:rsid w:val="233A5BF6"/>
    <w:rsid w:val="23471CFF"/>
    <w:rsid w:val="235C2712"/>
    <w:rsid w:val="236E7502"/>
    <w:rsid w:val="23734890"/>
    <w:rsid w:val="239631F9"/>
    <w:rsid w:val="23E35F8F"/>
    <w:rsid w:val="24075CF7"/>
    <w:rsid w:val="24FD4F69"/>
    <w:rsid w:val="251754F8"/>
    <w:rsid w:val="251D3FBF"/>
    <w:rsid w:val="2528631F"/>
    <w:rsid w:val="25383DC9"/>
    <w:rsid w:val="25BD6947"/>
    <w:rsid w:val="25CE22F5"/>
    <w:rsid w:val="25E9629E"/>
    <w:rsid w:val="26186B12"/>
    <w:rsid w:val="263D57D9"/>
    <w:rsid w:val="26941400"/>
    <w:rsid w:val="26B960C7"/>
    <w:rsid w:val="26CB6E61"/>
    <w:rsid w:val="27285E19"/>
    <w:rsid w:val="282B432D"/>
    <w:rsid w:val="285927F1"/>
    <w:rsid w:val="28BD314E"/>
    <w:rsid w:val="29110057"/>
    <w:rsid w:val="29DD5068"/>
    <w:rsid w:val="2A106282"/>
    <w:rsid w:val="2A6B2554"/>
    <w:rsid w:val="2A7C7C8E"/>
    <w:rsid w:val="2AA91CAC"/>
    <w:rsid w:val="2AAF20B6"/>
    <w:rsid w:val="2AB92391"/>
    <w:rsid w:val="2B10501A"/>
    <w:rsid w:val="2B266521"/>
    <w:rsid w:val="2BAF5EE1"/>
    <w:rsid w:val="2BB033E6"/>
    <w:rsid w:val="2C5E6EB3"/>
    <w:rsid w:val="2C885139"/>
    <w:rsid w:val="2CB94C34"/>
    <w:rsid w:val="2D083000"/>
    <w:rsid w:val="2D743EC1"/>
    <w:rsid w:val="2D7D6FD6"/>
    <w:rsid w:val="2D9255F1"/>
    <w:rsid w:val="2DA01C7B"/>
    <w:rsid w:val="2DB24C23"/>
    <w:rsid w:val="2E185E3E"/>
    <w:rsid w:val="2E7308E2"/>
    <w:rsid w:val="2E820557"/>
    <w:rsid w:val="2EA47BEB"/>
    <w:rsid w:val="2EBD4690"/>
    <w:rsid w:val="2F767079"/>
    <w:rsid w:val="2F80004E"/>
    <w:rsid w:val="2FA45E84"/>
    <w:rsid w:val="30775589"/>
    <w:rsid w:val="30B2072B"/>
    <w:rsid w:val="3125096C"/>
    <w:rsid w:val="31392E8B"/>
    <w:rsid w:val="31410039"/>
    <w:rsid w:val="31E3404D"/>
    <w:rsid w:val="324B7453"/>
    <w:rsid w:val="326128EF"/>
    <w:rsid w:val="32677576"/>
    <w:rsid w:val="32735594"/>
    <w:rsid w:val="32B22BB5"/>
    <w:rsid w:val="331173A4"/>
    <w:rsid w:val="334D429D"/>
    <w:rsid w:val="33CD5B17"/>
    <w:rsid w:val="33E668D8"/>
    <w:rsid w:val="3463024B"/>
    <w:rsid w:val="34980CBE"/>
    <w:rsid w:val="351C6B89"/>
    <w:rsid w:val="35E61D03"/>
    <w:rsid w:val="362D3772"/>
    <w:rsid w:val="364C0682"/>
    <w:rsid w:val="36716DEA"/>
    <w:rsid w:val="36913732"/>
    <w:rsid w:val="37011865"/>
    <w:rsid w:val="372B31FE"/>
    <w:rsid w:val="375D0F21"/>
    <w:rsid w:val="37A41DF4"/>
    <w:rsid w:val="38F3713A"/>
    <w:rsid w:val="3A247DEA"/>
    <w:rsid w:val="3A5E5E0B"/>
    <w:rsid w:val="3A7F2F89"/>
    <w:rsid w:val="3B5615E0"/>
    <w:rsid w:val="3B600B12"/>
    <w:rsid w:val="3C213900"/>
    <w:rsid w:val="3C270A76"/>
    <w:rsid w:val="3D2807E5"/>
    <w:rsid w:val="3D911AA7"/>
    <w:rsid w:val="3D95537E"/>
    <w:rsid w:val="3D9672B9"/>
    <w:rsid w:val="3DAF5D14"/>
    <w:rsid w:val="3DBC36DA"/>
    <w:rsid w:val="3EE84FCF"/>
    <w:rsid w:val="3F184246"/>
    <w:rsid w:val="3F6D21CC"/>
    <w:rsid w:val="4023396D"/>
    <w:rsid w:val="40814253"/>
    <w:rsid w:val="40EF7660"/>
    <w:rsid w:val="410E521B"/>
    <w:rsid w:val="41E15103"/>
    <w:rsid w:val="42687D13"/>
    <w:rsid w:val="426C14D6"/>
    <w:rsid w:val="42862F3B"/>
    <w:rsid w:val="42C85B9B"/>
    <w:rsid w:val="434D2F2B"/>
    <w:rsid w:val="43912DB8"/>
    <w:rsid w:val="43A7141B"/>
    <w:rsid w:val="43FC4318"/>
    <w:rsid w:val="443B4A8A"/>
    <w:rsid w:val="44453DDE"/>
    <w:rsid w:val="445527DE"/>
    <w:rsid w:val="44CD5C3C"/>
    <w:rsid w:val="44FA17FE"/>
    <w:rsid w:val="45952042"/>
    <w:rsid w:val="45E00F6F"/>
    <w:rsid w:val="467D2FD5"/>
    <w:rsid w:val="46D26B0F"/>
    <w:rsid w:val="46E123BA"/>
    <w:rsid w:val="47113FA0"/>
    <w:rsid w:val="471B6BD9"/>
    <w:rsid w:val="477A599B"/>
    <w:rsid w:val="47891FE0"/>
    <w:rsid w:val="479B06E9"/>
    <w:rsid w:val="487402C3"/>
    <w:rsid w:val="48C5783A"/>
    <w:rsid w:val="48C71A50"/>
    <w:rsid w:val="49222F17"/>
    <w:rsid w:val="4944028F"/>
    <w:rsid w:val="497F67C2"/>
    <w:rsid w:val="49B7581B"/>
    <w:rsid w:val="49FC5A7E"/>
    <w:rsid w:val="4AC863AF"/>
    <w:rsid w:val="4AE70EE2"/>
    <w:rsid w:val="4B520F4F"/>
    <w:rsid w:val="4B6E15F6"/>
    <w:rsid w:val="4B6F5FD0"/>
    <w:rsid w:val="4BE17268"/>
    <w:rsid w:val="4BE610AE"/>
    <w:rsid w:val="4BED13F1"/>
    <w:rsid w:val="4BF23532"/>
    <w:rsid w:val="4C5A43D5"/>
    <w:rsid w:val="4C7429C1"/>
    <w:rsid w:val="4CB06B51"/>
    <w:rsid w:val="4D0730FD"/>
    <w:rsid w:val="4D3721CB"/>
    <w:rsid w:val="4D67049B"/>
    <w:rsid w:val="4DB85A75"/>
    <w:rsid w:val="4E2B394A"/>
    <w:rsid w:val="4E3D4764"/>
    <w:rsid w:val="4E6B47C5"/>
    <w:rsid w:val="4E8B2071"/>
    <w:rsid w:val="4E920E07"/>
    <w:rsid w:val="4F1B3311"/>
    <w:rsid w:val="4F352BA0"/>
    <w:rsid w:val="4F5D3E6A"/>
    <w:rsid w:val="4FE977AD"/>
    <w:rsid w:val="501C7D2E"/>
    <w:rsid w:val="501D21FE"/>
    <w:rsid w:val="50BE1274"/>
    <w:rsid w:val="50D128A2"/>
    <w:rsid w:val="50D42EC6"/>
    <w:rsid w:val="50D85F33"/>
    <w:rsid w:val="51390A7C"/>
    <w:rsid w:val="517C0865"/>
    <w:rsid w:val="52240DEE"/>
    <w:rsid w:val="52C631DB"/>
    <w:rsid w:val="52E56756"/>
    <w:rsid w:val="533307D0"/>
    <w:rsid w:val="53A54125"/>
    <w:rsid w:val="53B2556A"/>
    <w:rsid w:val="53BF557A"/>
    <w:rsid w:val="546B2526"/>
    <w:rsid w:val="5555341B"/>
    <w:rsid w:val="55857E0A"/>
    <w:rsid w:val="560B3D7D"/>
    <w:rsid w:val="56291E55"/>
    <w:rsid w:val="5636150F"/>
    <w:rsid w:val="564E773E"/>
    <w:rsid w:val="568E4FEC"/>
    <w:rsid w:val="56A52DAF"/>
    <w:rsid w:val="570714FA"/>
    <w:rsid w:val="57A969B8"/>
    <w:rsid w:val="57C200D9"/>
    <w:rsid w:val="58144F4B"/>
    <w:rsid w:val="58180559"/>
    <w:rsid w:val="58404739"/>
    <w:rsid w:val="585820EB"/>
    <w:rsid w:val="585E373A"/>
    <w:rsid w:val="58B11CC8"/>
    <w:rsid w:val="59826D36"/>
    <w:rsid w:val="59D47748"/>
    <w:rsid w:val="59F94AD5"/>
    <w:rsid w:val="5A685C38"/>
    <w:rsid w:val="5A7D155C"/>
    <w:rsid w:val="5A823454"/>
    <w:rsid w:val="5AB255FD"/>
    <w:rsid w:val="5B27596D"/>
    <w:rsid w:val="5BEC69CB"/>
    <w:rsid w:val="5C175839"/>
    <w:rsid w:val="5C3917F4"/>
    <w:rsid w:val="5C421D1E"/>
    <w:rsid w:val="5C6A2B77"/>
    <w:rsid w:val="5C7A324F"/>
    <w:rsid w:val="5C8D485A"/>
    <w:rsid w:val="5CBE08C7"/>
    <w:rsid w:val="5CBF301A"/>
    <w:rsid w:val="5CFD68CB"/>
    <w:rsid w:val="5D023515"/>
    <w:rsid w:val="5D23699A"/>
    <w:rsid w:val="5D626E0B"/>
    <w:rsid w:val="5D94601D"/>
    <w:rsid w:val="5DB76400"/>
    <w:rsid w:val="5E026A5D"/>
    <w:rsid w:val="5EC54706"/>
    <w:rsid w:val="5EE07706"/>
    <w:rsid w:val="5F023323"/>
    <w:rsid w:val="5F3E7AA3"/>
    <w:rsid w:val="5FB9057F"/>
    <w:rsid w:val="5FC05573"/>
    <w:rsid w:val="5FDD4455"/>
    <w:rsid w:val="60621D9E"/>
    <w:rsid w:val="60636989"/>
    <w:rsid w:val="60743C50"/>
    <w:rsid w:val="60931E13"/>
    <w:rsid w:val="60B53BFD"/>
    <w:rsid w:val="60E81E15"/>
    <w:rsid w:val="60F47741"/>
    <w:rsid w:val="60FB122F"/>
    <w:rsid w:val="61E15B5A"/>
    <w:rsid w:val="62466F58"/>
    <w:rsid w:val="62594562"/>
    <w:rsid w:val="627D48AE"/>
    <w:rsid w:val="6281129E"/>
    <w:rsid w:val="628C3545"/>
    <w:rsid w:val="62B87BD2"/>
    <w:rsid w:val="62C342A0"/>
    <w:rsid w:val="62F620EE"/>
    <w:rsid w:val="636C192D"/>
    <w:rsid w:val="63815C1C"/>
    <w:rsid w:val="63D0271D"/>
    <w:rsid w:val="63D87843"/>
    <w:rsid w:val="63E82A86"/>
    <w:rsid w:val="63F964F3"/>
    <w:rsid w:val="6480174A"/>
    <w:rsid w:val="64C5759F"/>
    <w:rsid w:val="64C8434D"/>
    <w:rsid w:val="65172C5B"/>
    <w:rsid w:val="652B58B9"/>
    <w:rsid w:val="6537556A"/>
    <w:rsid w:val="65544B09"/>
    <w:rsid w:val="656168FD"/>
    <w:rsid w:val="656D1421"/>
    <w:rsid w:val="65D73042"/>
    <w:rsid w:val="65EC7124"/>
    <w:rsid w:val="66553F3A"/>
    <w:rsid w:val="66942B37"/>
    <w:rsid w:val="68373DF6"/>
    <w:rsid w:val="683E55C8"/>
    <w:rsid w:val="68B44CC9"/>
    <w:rsid w:val="68B8300C"/>
    <w:rsid w:val="68BA1B1D"/>
    <w:rsid w:val="68FD5C80"/>
    <w:rsid w:val="691B5EED"/>
    <w:rsid w:val="693D350F"/>
    <w:rsid w:val="69883FAB"/>
    <w:rsid w:val="69B64A16"/>
    <w:rsid w:val="6A154D9D"/>
    <w:rsid w:val="6A6D5A98"/>
    <w:rsid w:val="6A895990"/>
    <w:rsid w:val="6B2617A3"/>
    <w:rsid w:val="6B5B2A96"/>
    <w:rsid w:val="6BFA1E4E"/>
    <w:rsid w:val="6C810F17"/>
    <w:rsid w:val="6CAE4DAD"/>
    <w:rsid w:val="6D826A3F"/>
    <w:rsid w:val="6DA67AFF"/>
    <w:rsid w:val="6E5A04A8"/>
    <w:rsid w:val="6F23208A"/>
    <w:rsid w:val="6FD0454F"/>
    <w:rsid w:val="6FFB031D"/>
    <w:rsid w:val="70146B39"/>
    <w:rsid w:val="707C7E82"/>
    <w:rsid w:val="711C6D1B"/>
    <w:rsid w:val="713F4FA7"/>
    <w:rsid w:val="71933077"/>
    <w:rsid w:val="72142978"/>
    <w:rsid w:val="730E14F5"/>
    <w:rsid w:val="73E106E0"/>
    <w:rsid w:val="74A061AF"/>
    <w:rsid w:val="74C57232"/>
    <w:rsid w:val="753E6D34"/>
    <w:rsid w:val="756623A9"/>
    <w:rsid w:val="75945C9E"/>
    <w:rsid w:val="75B10EA6"/>
    <w:rsid w:val="75B62020"/>
    <w:rsid w:val="75BD1916"/>
    <w:rsid w:val="75DD623F"/>
    <w:rsid w:val="762627A4"/>
    <w:rsid w:val="76DE025A"/>
    <w:rsid w:val="77834E95"/>
    <w:rsid w:val="77921B86"/>
    <w:rsid w:val="77A8603A"/>
    <w:rsid w:val="77E21804"/>
    <w:rsid w:val="78B13863"/>
    <w:rsid w:val="78E405C9"/>
    <w:rsid w:val="7A3F1335"/>
    <w:rsid w:val="7A6D2DE7"/>
    <w:rsid w:val="7AA05504"/>
    <w:rsid w:val="7ADE53A0"/>
    <w:rsid w:val="7B6A795D"/>
    <w:rsid w:val="7B934A4E"/>
    <w:rsid w:val="7BAB7BD5"/>
    <w:rsid w:val="7C6B084D"/>
    <w:rsid w:val="7C8012C1"/>
    <w:rsid w:val="7CBB2ED5"/>
    <w:rsid w:val="7D160961"/>
    <w:rsid w:val="7D1C0FBD"/>
    <w:rsid w:val="7D8F2B91"/>
    <w:rsid w:val="7DC07C47"/>
    <w:rsid w:val="7DC91087"/>
    <w:rsid w:val="7DE23CED"/>
    <w:rsid w:val="7DE56CFE"/>
    <w:rsid w:val="7EA60D2E"/>
    <w:rsid w:val="7EB14212"/>
    <w:rsid w:val="7EDD47D3"/>
    <w:rsid w:val="7EF46569"/>
    <w:rsid w:val="7EFA3F1E"/>
    <w:rsid w:val="7F2D280F"/>
    <w:rsid w:val="7F8056E0"/>
    <w:rsid w:val="7F915703"/>
    <w:rsid w:val="7FC0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3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9"/>
    <w:qFormat/>
    <w:uiPriority w:val="0"/>
    <w:pPr>
      <w:keepNext/>
      <w:keepLines/>
      <w:spacing w:before="260" w:after="260" w:line="416" w:lineRule="auto"/>
      <w:outlineLvl w:val="2"/>
    </w:pPr>
    <w:rPr>
      <w:rFonts w:ascii="Times New Roman" w:hAnsi="Times New Roman"/>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8"/>
    <w:qFormat/>
    <w:uiPriority w:val="0"/>
    <w:pPr>
      <w:spacing w:line="480" w:lineRule="exact"/>
    </w:pPr>
    <w:rPr>
      <w:rFonts w:ascii="仿宋_GB2312" w:hAnsi="Times New Roman" w:eastAsia="仿宋_GB2312"/>
      <w:sz w:val="28"/>
      <w:szCs w:val="28"/>
    </w:rPr>
  </w:style>
  <w:style w:type="paragraph" w:styleId="6">
    <w:name w:val="index 8"/>
    <w:basedOn w:val="1"/>
    <w:next w:val="1"/>
    <w:qFormat/>
    <w:uiPriority w:val="0"/>
    <w:pPr>
      <w:spacing w:line="276" w:lineRule="auto"/>
      <w:jc w:val="left"/>
    </w:pPr>
    <w:rPr>
      <w:rFonts w:ascii="宋体" w:hAnsi="宋体"/>
      <w:color w:val="FF0000"/>
      <w:szCs w:val="21"/>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Plain Text"/>
    <w:basedOn w:val="1"/>
    <w:qFormat/>
    <w:uiPriority w:val="0"/>
    <w:pPr>
      <w:autoSpaceDE w:val="0"/>
      <w:autoSpaceDN w:val="0"/>
      <w:adjustRightInd w:val="0"/>
    </w:pPr>
    <w:rPr>
      <w:rFonts w:hAnsi="Tms Rmn" w:cstheme="minorBidi"/>
      <w:szCs w:val="22"/>
    </w:rPr>
  </w:style>
  <w:style w:type="paragraph" w:styleId="11">
    <w:name w:val="Body Text Indent 2"/>
    <w:basedOn w:val="1"/>
    <w:qFormat/>
    <w:uiPriority w:val="0"/>
    <w:pPr>
      <w:spacing w:after="120" w:line="480" w:lineRule="auto"/>
      <w:ind w:left="420" w:leftChars="200"/>
    </w:pPr>
    <w:rPr>
      <w:rFonts w:ascii="Times New Roman" w:hAnsi="Times New Roman"/>
    </w:rPr>
  </w:style>
  <w:style w:type="paragraph" w:styleId="12">
    <w:name w:val="Balloon Text"/>
    <w:basedOn w:val="1"/>
    <w:link w:val="3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0"/>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8">
    <w:name w:val="Table Grid"/>
    <w:basedOn w:val="17"/>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rPr>
      <w:rFonts w:ascii="Times New Roman" w:hAnsi="Times New Roman" w:eastAsia="宋体" w:cs="Times New Roman"/>
    </w:rPr>
  </w:style>
  <w:style w:type="character" w:styleId="21">
    <w:name w:val="Hyperlink"/>
    <w:basedOn w:val="19"/>
    <w:qFormat/>
    <w:uiPriority w:val="0"/>
    <w:rPr>
      <w:rFonts w:ascii="Times New Roman" w:hAnsi="Times New Roman" w:eastAsia="宋体" w:cs="Times New Roman"/>
      <w:color w:val="333333"/>
      <w:u w:val="none"/>
    </w:rPr>
  </w:style>
  <w:style w:type="character" w:styleId="22">
    <w:name w:val="HTML Sample"/>
    <w:basedOn w:val="19"/>
    <w:qFormat/>
    <w:uiPriority w:val="0"/>
    <w:rPr>
      <w:rFonts w:ascii="Courier New" w:hAnsi="Courier New"/>
    </w:rPr>
  </w:style>
  <w:style w:type="paragraph" w:customStyle="1" w:styleId="23">
    <w:name w:val="Default"/>
    <w:next w:val="1"/>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24">
    <w:name w:val="标题 5（有编号）（绿盟科技）"/>
    <w:basedOn w:val="1"/>
    <w:next w:val="25"/>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6">
    <w:name w:val="WPSOffice手动目录 1"/>
    <w:qFormat/>
    <w:uiPriority w:val="0"/>
    <w:rPr>
      <w:rFonts w:ascii="Calibri" w:hAnsi="Calibri" w:eastAsia="宋体" w:cs="Times New Roman"/>
      <w:lang w:val="en-US" w:eastAsia="zh-CN" w:bidi="ar-SA"/>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Table Paragraph"/>
    <w:basedOn w:val="1"/>
    <w:qFormat/>
    <w:uiPriority w:val="0"/>
    <w:rPr>
      <w:rFonts w:ascii="宋体" w:hAnsi="宋体" w:cs="宋体"/>
      <w:lang w:val="zh-CN" w:bidi="zh-CN"/>
    </w:rPr>
  </w:style>
  <w:style w:type="paragraph" w:customStyle="1" w:styleId="29">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30">
    <w:name w:val="正文首行缩进两字符"/>
    <w:basedOn w:val="1"/>
    <w:qFormat/>
    <w:uiPriority w:val="0"/>
    <w:pPr>
      <w:spacing w:line="360" w:lineRule="auto"/>
      <w:ind w:firstLine="200" w:firstLineChars="200"/>
    </w:pPr>
    <w:rPr>
      <w:rFonts w:ascii="Times New Roman" w:hAnsi="Times New Roman"/>
    </w:rPr>
  </w:style>
  <w:style w:type="paragraph" w:styleId="31">
    <w:name w:val="List Paragraph"/>
    <w:basedOn w:val="1"/>
    <w:qFormat/>
    <w:uiPriority w:val="0"/>
    <w:pPr>
      <w:ind w:firstLine="420" w:firstLineChars="200"/>
    </w:pPr>
  </w:style>
  <w:style w:type="paragraph" w:customStyle="1" w:styleId="32">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33">
    <w:name w:val="标题 2 字符"/>
    <w:link w:val="4"/>
    <w:qFormat/>
    <w:uiPriority w:val="0"/>
    <w:rPr>
      <w:rFonts w:ascii="Arial" w:hAnsi="Arial" w:eastAsia="黑体" w:cs="Times New Roman"/>
      <w:b/>
      <w:bCs/>
      <w:sz w:val="32"/>
      <w:szCs w:val="32"/>
    </w:rPr>
  </w:style>
  <w:style w:type="paragraph" w:customStyle="1" w:styleId="34">
    <w:name w:val="列出段落1"/>
    <w:basedOn w:val="1"/>
    <w:qFormat/>
    <w:uiPriority w:val="34"/>
    <w:pPr>
      <w:ind w:firstLine="420" w:firstLineChars="200"/>
    </w:pPr>
  </w:style>
  <w:style w:type="character" w:customStyle="1" w:styleId="35">
    <w:name w:val="批注框文本 字符"/>
    <w:basedOn w:val="19"/>
    <w:link w:val="12"/>
    <w:qFormat/>
    <w:uiPriority w:val="0"/>
    <w:rPr>
      <w:rFonts w:ascii="Calibri" w:hAnsi="Calibri" w:eastAsia="宋体" w:cs="Times New Roman"/>
      <w:kern w:val="2"/>
      <w:sz w:val="18"/>
      <w:szCs w:val="18"/>
    </w:rPr>
  </w:style>
  <w:style w:type="character" w:customStyle="1" w:styleId="36">
    <w:name w:val="C503-正文格式 Char"/>
    <w:link w:val="37"/>
    <w:qFormat/>
    <w:uiPriority w:val="0"/>
    <w:rPr>
      <w:rFonts w:ascii="Times New Roman" w:hAnsi="Times New Roman" w:cs="宋体"/>
      <w:kern w:val="2"/>
      <w:sz w:val="24"/>
    </w:rPr>
  </w:style>
  <w:style w:type="paragraph" w:customStyle="1" w:styleId="37">
    <w:name w:val="C503-正文格式"/>
    <w:basedOn w:val="1"/>
    <w:link w:val="36"/>
    <w:qFormat/>
    <w:uiPriority w:val="0"/>
    <w:pPr>
      <w:spacing w:line="360" w:lineRule="auto"/>
      <w:ind w:firstLine="480" w:firstLineChars="200"/>
    </w:pPr>
    <w:rPr>
      <w:rFonts w:ascii="Times New Roman" w:hAnsi="Times New Roman" w:cs="宋体" w:eastAsiaTheme="minorEastAsia"/>
      <w:sz w:val="24"/>
      <w:szCs w:val="20"/>
    </w:rPr>
  </w:style>
  <w:style w:type="character" w:customStyle="1" w:styleId="38">
    <w:name w:val="正文文本 字符"/>
    <w:basedOn w:val="19"/>
    <w:link w:val="2"/>
    <w:qFormat/>
    <w:uiPriority w:val="0"/>
    <w:rPr>
      <w:rFonts w:ascii="仿宋_GB2312" w:hAnsi="Times New Roman" w:eastAsia="仿宋_GB2312" w:cs="Times New Roman"/>
      <w:kern w:val="2"/>
      <w:sz w:val="28"/>
      <w:szCs w:val="28"/>
    </w:rPr>
  </w:style>
  <w:style w:type="paragraph" w:customStyle="1" w:styleId="39">
    <w:name w:val="表格"/>
    <w:basedOn w:val="1"/>
    <w:qFormat/>
    <w:uiPriority w:val="0"/>
    <w:pPr>
      <w:spacing w:line="400" w:lineRule="exact"/>
    </w:pPr>
    <w:rPr>
      <w:rFonts w:ascii="Times New Roman" w:hAnsi="Times New Roman"/>
      <w:sz w:val="24"/>
    </w:rPr>
  </w:style>
  <w:style w:type="character" w:customStyle="1" w:styleId="40">
    <w:name w:val="font31"/>
    <w:basedOn w:val="19"/>
    <w:qFormat/>
    <w:uiPriority w:val="0"/>
    <w:rPr>
      <w:rFonts w:hint="eastAsia" w:ascii="宋体" w:hAnsi="宋体" w:eastAsia="宋体" w:cs="宋体"/>
      <w:color w:val="000000"/>
      <w:sz w:val="21"/>
      <w:szCs w:val="21"/>
      <w:u w:val="none"/>
    </w:rPr>
  </w:style>
  <w:style w:type="character" w:customStyle="1" w:styleId="41">
    <w:name w:val="font11"/>
    <w:basedOn w:val="19"/>
    <w:qFormat/>
    <w:uiPriority w:val="0"/>
    <w:rPr>
      <w:rFonts w:hint="eastAsia" w:ascii="宋体" w:hAnsi="宋体" w:eastAsia="宋体" w:cs="宋体"/>
      <w:color w:val="000000"/>
      <w:sz w:val="20"/>
      <w:szCs w:val="20"/>
      <w:u w:val="none"/>
    </w:rPr>
  </w:style>
  <w:style w:type="paragraph" w:customStyle="1" w:styleId="42">
    <w:name w:val="15、“一、”二级标题"/>
    <w:basedOn w:val="1"/>
    <w:qFormat/>
    <w:uiPriority w:val="0"/>
    <w:pPr>
      <w:numPr>
        <w:ilvl w:val="1"/>
        <w:numId w:val="2"/>
      </w:numPr>
      <w:tabs>
        <w:tab w:val="left" w:pos="0"/>
      </w:tabs>
      <w:wordWrap w:val="0"/>
      <w:topLinePunct/>
      <w:ind w:firstLine="803" w:firstLineChars="200"/>
      <w:outlineLvl w:val="1"/>
    </w:pPr>
    <w:rPr>
      <w:b/>
    </w:rPr>
  </w:style>
  <w:style w:type="paragraph" w:customStyle="1" w:styleId="43">
    <w:name w:val="02、首行缩进2字符正文"/>
    <w:basedOn w:val="1"/>
    <w:qFormat/>
    <w:uiPriority w:val="0"/>
    <w:pPr>
      <w:tabs>
        <w:tab w:val="left" w:pos="0"/>
      </w:tabs>
      <w:wordWrap w:val="0"/>
      <w:topLinePunct/>
      <w:ind w:firstLine="480" w:firstLineChars="200"/>
    </w:pPr>
  </w:style>
  <w:style w:type="paragraph" w:customStyle="1" w:styleId="44">
    <w:name w:val="03、“注：”正文(加粗，首行缩进2字符)"/>
    <w:basedOn w:val="45"/>
    <w:qFormat/>
    <w:uiPriority w:val="0"/>
    <w:pPr>
      <w:tabs>
        <w:tab w:val="left" w:pos="0"/>
      </w:tabs>
      <w:ind w:firstLine="480" w:firstLineChars="200"/>
    </w:pPr>
    <w:rPr>
      <w:b/>
    </w:rPr>
  </w:style>
  <w:style w:type="paragraph" w:customStyle="1" w:styleId="45">
    <w:name w:val="01、普通正文"/>
    <w:basedOn w:val="1"/>
    <w:qFormat/>
    <w:uiPriority w:val="0"/>
    <w:pPr>
      <w:tabs>
        <w:tab w:val="left" w:pos="0"/>
      </w:tabs>
      <w:wordWrap w:val="0"/>
      <w:topLinePunct/>
    </w:pPr>
    <w:rPr>
      <w:snapToGrid w:val="0"/>
    </w:rPr>
  </w:style>
  <w:style w:type="paragraph" w:customStyle="1" w:styleId="46">
    <w:name w:val="13、表格内居中正文"/>
    <w:basedOn w:val="1"/>
    <w:qFormat/>
    <w:uiPriority w:val="0"/>
    <w:pPr>
      <w:tabs>
        <w:tab w:val="left" w:pos="0"/>
      </w:tabs>
      <w:wordWrap w:val="0"/>
      <w:topLinePunct/>
      <w:spacing w:line="360" w:lineRule="exact"/>
      <w:jc w:val="center"/>
    </w:pPr>
  </w:style>
  <w:style w:type="paragraph" w:customStyle="1" w:styleId="47">
    <w:name w:val="12、表格内左对齐正文"/>
    <w:basedOn w:val="1"/>
    <w:qFormat/>
    <w:uiPriority w:val="0"/>
    <w:pPr>
      <w:tabs>
        <w:tab w:val="left" w:pos="0"/>
      </w:tabs>
      <w:wordWrap w:val="0"/>
      <w:topLinePunct/>
      <w:spacing w:line="360" w:lineRule="exact"/>
      <w:ind w:left="48" w:leftChars="20"/>
    </w:pPr>
    <w:rPr>
      <w:snapToGrid w:val="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 w:type="character" w:customStyle="1" w:styleId="49">
    <w:name w:val="标题 3 Char"/>
    <w:link w:val="5"/>
    <w:qFormat/>
    <w:uiPriority w:val="0"/>
    <w:rPr>
      <w:rFonts w:ascii="Times New Roman" w:hAnsi="Times New Roman"/>
      <w:b/>
      <w:bCs/>
      <w:sz w:val="32"/>
      <w:szCs w:val="32"/>
    </w:rPr>
  </w:style>
  <w:style w:type="paragraph" w:customStyle="1" w:styleId="50">
    <w:name w:val="正文2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GIF"/><Relationship Id="rId15" Type="http://schemas.openxmlformats.org/officeDocument/2006/relationships/image" Target="media/image3.GI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90</Pages>
  <Words>43080</Words>
  <Characters>45549</Characters>
  <Lines>336</Lines>
  <Paragraphs>94</Paragraphs>
  <TotalTime>30</TotalTime>
  <ScaleCrop>false</ScaleCrop>
  <LinksUpToDate>false</LinksUpToDate>
  <CharactersWithSpaces>47335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2019-10-11T03:00:00Z</dcterms:created>
  <dc:creator>Administrator</dc:creator>
  <cp:lastModifiedBy>宁缺毋滥</cp:lastModifiedBy>
  <cp:lastPrinted>2020-09-21T06:28:00Z</cp:lastPrinted>
  <dcterms:modified xsi:type="dcterms:W3CDTF">2021-08-23T03:57:21Z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FA13A103885D4507BF62838FB5C8F244</vt:lpwstr>
  </property>
  <property fmtid="{D5CDD505-2E9C-101B-9397-08002B2CF9AE}" pid="4" name="KSOSaveFontToCloudKey">
    <vt:lpwstr>1141903581_btnclosed</vt:lpwstr>
  </property>
</Properties>
</file>