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b/>
          <w:sz w:val="30"/>
          <w:szCs w:val="30"/>
          <w:highlight w:val="none"/>
        </w:rPr>
      </w:pPr>
      <w:bookmarkStart w:id="0" w:name="_Hlt101843627"/>
      <w:bookmarkEnd w:id="0"/>
      <w:bookmarkStart w:id="1" w:name="_Hlt101233737"/>
      <w:bookmarkEnd w:id="1"/>
      <w:r>
        <w:rPr>
          <w:rFonts w:hint="eastAsia" w:ascii="宋体" w:hAnsi="宋体"/>
          <w:b/>
          <w:sz w:val="30"/>
          <w:szCs w:val="30"/>
          <w:highlight w:val="none"/>
        </w:rPr>
        <w:t>项目编号：510186202100072 </w:t>
      </w:r>
    </w:p>
    <w:p>
      <w:pPr>
        <w:spacing w:line="360" w:lineRule="auto"/>
        <w:jc w:val="left"/>
        <w:rPr>
          <w:rFonts w:hint="default" w:ascii="宋体" w:hAnsi="宋体" w:eastAsia="宋体"/>
          <w:b/>
          <w:sz w:val="30"/>
          <w:szCs w:val="30"/>
          <w:highlight w:val="none"/>
          <w:lang w:val="en-US" w:eastAsia="zh-CN"/>
        </w:rPr>
      </w:pPr>
      <w:r>
        <w:rPr>
          <w:rFonts w:hint="eastAsia" w:ascii="宋体" w:hAnsi="宋体"/>
          <w:b/>
          <w:sz w:val="30"/>
          <w:szCs w:val="30"/>
          <w:highlight w:val="none"/>
        </w:rPr>
        <w:t>内部编号：YTTH-2021-ZC0019</w:t>
      </w:r>
    </w:p>
    <w:p>
      <w:pPr>
        <w:pStyle w:val="2"/>
        <w:rPr>
          <w:highlight w:val="none"/>
        </w:rPr>
      </w:pPr>
    </w:p>
    <w:p>
      <w:pPr>
        <w:pStyle w:val="2"/>
        <w:spacing w:line="360" w:lineRule="auto"/>
        <w:jc w:val="center"/>
        <w:rPr>
          <w:rFonts w:hint="eastAsia" w:ascii="宋体" w:hAnsi="宋体" w:eastAsia="宋体" w:cs="宋体"/>
          <w:highlight w:val="none"/>
        </w:rPr>
      </w:pPr>
      <w:r>
        <w:rPr>
          <w:rFonts w:hint="eastAsia" w:ascii="宋体" w:hAnsi="宋体" w:cs="宋体"/>
          <w:b/>
          <w:sz w:val="48"/>
          <w:szCs w:val="48"/>
          <w:highlight w:val="none"/>
          <w:lang w:eastAsia="zh-CN"/>
        </w:rPr>
        <w:t>四川天府新区籍田街道办事处2021年水稻、玉米重大病虫防治物资项目</w:t>
      </w:r>
    </w:p>
    <w:p>
      <w:pPr>
        <w:spacing w:line="360" w:lineRule="auto"/>
        <w:jc w:val="center"/>
        <w:rPr>
          <w:rFonts w:ascii="宋体" w:hAnsi="宋体"/>
          <w:b/>
          <w:sz w:val="72"/>
          <w:szCs w:val="72"/>
          <w:highlight w:val="none"/>
        </w:rPr>
      </w:pPr>
      <w:bookmarkStart w:id="2" w:name="_Toc18738"/>
      <w:bookmarkStart w:id="3" w:name="_Toc6636"/>
      <w:bookmarkStart w:id="4" w:name="_Toc10017"/>
    </w:p>
    <w:p>
      <w:pPr>
        <w:spacing w:line="360" w:lineRule="auto"/>
        <w:jc w:val="center"/>
        <w:rPr>
          <w:rFonts w:hint="eastAsia" w:ascii="宋体" w:hAnsi="宋体" w:eastAsia="宋体"/>
          <w:b/>
          <w:sz w:val="72"/>
          <w:szCs w:val="72"/>
          <w:highlight w:val="none"/>
          <w:lang w:eastAsia="zh-CN"/>
        </w:rPr>
      </w:pPr>
      <w:r>
        <w:rPr>
          <w:rFonts w:hint="eastAsia" w:ascii="宋体" w:hAnsi="宋体"/>
          <w:b/>
          <w:sz w:val="72"/>
          <w:szCs w:val="72"/>
          <w:highlight w:val="none"/>
        </w:rPr>
        <w:t>竞争性</w:t>
      </w:r>
      <w:bookmarkEnd w:id="2"/>
      <w:r>
        <w:rPr>
          <w:rFonts w:hint="eastAsia" w:ascii="宋体" w:hAnsi="宋体"/>
          <w:b/>
          <w:sz w:val="72"/>
          <w:szCs w:val="72"/>
          <w:highlight w:val="none"/>
          <w:lang w:val="en-US" w:eastAsia="zh-CN"/>
        </w:rPr>
        <w:t>谈判</w:t>
      </w:r>
    </w:p>
    <w:p>
      <w:pPr>
        <w:spacing w:line="360" w:lineRule="auto"/>
        <w:jc w:val="center"/>
        <w:rPr>
          <w:rFonts w:ascii="宋体" w:hAnsi="宋体"/>
          <w:b/>
          <w:sz w:val="32"/>
          <w:szCs w:val="40"/>
          <w:highlight w:val="none"/>
        </w:rPr>
      </w:pPr>
      <w:bookmarkStart w:id="5" w:name="_Toc15473"/>
      <w:r>
        <w:rPr>
          <w:rFonts w:hint="eastAsia" w:ascii="宋体" w:hAnsi="宋体"/>
          <w:b/>
          <w:sz w:val="72"/>
          <w:szCs w:val="72"/>
          <w:highlight w:val="none"/>
        </w:rPr>
        <w:t>采购文件</w:t>
      </w:r>
      <w:bookmarkEnd w:id="3"/>
      <w:bookmarkEnd w:id="4"/>
      <w:bookmarkEnd w:id="5"/>
    </w:p>
    <w:p>
      <w:pPr>
        <w:spacing w:line="360" w:lineRule="auto"/>
        <w:jc w:val="center"/>
        <w:rPr>
          <w:rFonts w:ascii="宋体" w:hAnsi="宋体"/>
          <w:b/>
          <w:w w:val="90"/>
          <w:sz w:val="36"/>
          <w:szCs w:val="36"/>
          <w:highlight w:val="none"/>
        </w:rPr>
      </w:pPr>
      <w:r>
        <w:rPr>
          <w:rFonts w:hint="eastAsia" w:ascii="宋体" w:hAnsi="宋体"/>
          <w:sz w:val="44"/>
          <w:szCs w:val="44"/>
          <w:highlight w:val="none"/>
        </w:rPr>
        <w:t xml:space="preserve"> </w:t>
      </w:r>
      <w:r>
        <w:rPr>
          <w:rFonts w:hint="eastAsia" w:ascii="宋体" w:hAnsi="宋体"/>
          <w:sz w:val="44"/>
          <w:szCs w:val="44"/>
          <w:highlight w:val="none"/>
        </w:rPr>
        <w:tab/>
      </w:r>
    </w:p>
    <w:p>
      <w:pPr>
        <w:pStyle w:val="2"/>
        <w:rPr>
          <w:rFonts w:ascii="宋体" w:hAnsi="宋体"/>
          <w:b/>
          <w:w w:val="90"/>
          <w:sz w:val="36"/>
          <w:szCs w:val="36"/>
          <w:highlight w:val="none"/>
        </w:rPr>
      </w:pPr>
    </w:p>
    <w:p>
      <w:pPr>
        <w:rPr>
          <w:highlight w:val="none"/>
        </w:rPr>
      </w:pPr>
    </w:p>
    <w:p>
      <w:pPr>
        <w:spacing w:line="360" w:lineRule="auto"/>
        <w:jc w:val="center"/>
        <w:rPr>
          <w:rFonts w:ascii="宋体" w:hAnsi="宋体"/>
          <w:b/>
          <w:w w:val="90"/>
          <w:sz w:val="36"/>
          <w:szCs w:val="36"/>
          <w:highlight w:val="none"/>
        </w:rPr>
      </w:pPr>
      <w:r>
        <w:rPr>
          <w:rFonts w:hint="eastAsia" w:ascii="宋体" w:hAnsi="宋体"/>
          <w:b/>
          <w:w w:val="90"/>
          <w:sz w:val="36"/>
          <w:szCs w:val="36"/>
          <w:highlight w:val="none"/>
        </w:rPr>
        <w:t>中国·四川</w:t>
      </w:r>
    </w:p>
    <w:p>
      <w:pPr>
        <w:spacing w:line="360" w:lineRule="auto"/>
        <w:jc w:val="center"/>
        <w:rPr>
          <w:rFonts w:hint="eastAsia" w:ascii="宋体" w:hAnsi="宋体" w:eastAsia="宋体"/>
          <w:b/>
          <w:w w:val="90"/>
          <w:sz w:val="36"/>
          <w:szCs w:val="36"/>
          <w:highlight w:val="none"/>
          <w:lang w:eastAsia="zh-CN"/>
        </w:rPr>
      </w:pPr>
      <w:r>
        <w:rPr>
          <w:rFonts w:hint="eastAsia" w:ascii="宋体" w:hAnsi="宋体"/>
          <w:b/>
          <w:w w:val="90"/>
          <w:sz w:val="36"/>
          <w:szCs w:val="36"/>
          <w:highlight w:val="none"/>
        </w:rPr>
        <w:t>采购人：</w:t>
      </w:r>
      <w:r>
        <w:rPr>
          <w:rFonts w:hint="eastAsia" w:ascii="宋体" w:hAnsi="宋体"/>
          <w:b/>
          <w:w w:val="90"/>
          <w:sz w:val="36"/>
          <w:szCs w:val="36"/>
          <w:highlight w:val="none"/>
          <w:lang w:eastAsia="zh-CN"/>
        </w:rPr>
        <w:t>四川天府新区籍田街道办事处</w:t>
      </w:r>
    </w:p>
    <w:p>
      <w:pPr>
        <w:spacing w:line="360" w:lineRule="auto"/>
        <w:jc w:val="center"/>
        <w:rPr>
          <w:rFonts w:ascii="宋体" w:hAnsi="宋体"/>
          <w:b/>
          <w:w w:val="90"/>
          <w:sz w:val="36"/>
          <w:szCs w:val="36"/>
          <w:highlight w:val="none"/>
        </w:rPr>
      </w:pPr>
      <w:r>
        <w:rPr>
          <w:rFonts w:hint="eastAsia" w:ascii="宋体" w:hAnsi="宋体"/>
          <w:b/>
          <w:w w:val="90"/>
          <w:sz w:val="36"/>
          <w:szCs w:val="36"/>
          <w:highlight w:val="none"/>
          <w:lang w:val="en-US" w:eastAsia="zh-CN"/>
        </w:rPr>
        <w:t>采购</w:t>
      </w:r>
      <w:r>
        <w:rPr>
          <w:rFonts w:hint="eastAsia" w:ascii="宋体" w:hAnsi="宋体"/>
          <w:b/>
          <w:w w:val="90"/>
          <w:sz w:val="36"/>
          <w:szCs w:val="36"/>
          <w:highlight w:val="none"/>
        </w:rPr>
        <w:t>代理机构：四川易通天和招标代理有限公司</w:t>
      </w:r>
    </w:p>
    <w:p>
      <w:pPr>
        <w:spacing w:line="360" w:lineRule="auto"/>
        <w:jc w:val="center"/>
        <w:rPr>
          <w:rFonts w:ascii="宋体" w:hAnsi="宋体"/>
          <w:b/>
          <w:w w:val="90"/>
          <w:sz w:val="36"/>
          <w:szCs w:val="36"/>
          <w:highlight w:val="none"/>
        </w:rPr>
      </w:pPr>
      <w:r>
        <w:rPr>
          <w:rFonts w:hint="eastAsia" w:ascii="宋体" w:hAnsi="宋体"/>
          <w:b/>
          <w:w w:val="90"/>
          <w:sz w:val="36"/>
          <w:szCs w:val="36"/>
          <w:highlight w:val="none"/>
        </w:rPr>
        <w:t>共同编制</w:t>
      </w:r>
    </w:p>
    <w:p>
      <w:pPr>
        <w:spacing w:line="360" w:lineRule="auto"/>
        <w:rPr>
          <w:rFonts w:ascii="宋体" w:hAnsi="宋体"/>
          <w:b/>
          <w:w w:val="90"/>
          <w:sz w:val="36"/>
          <w:szCs w:val="36"/>
          <w:highlight w:val="none"/>
        </w:rPr>
      </w:pPr>
    </w:p>
    <w:p>
      <w:pPr>
        <w:spacing w:line="400" w:lineRule="exact"/>
        <w:jc w:val="center"/>
        <w:rPr>
          <w:rFonts w:ascii="宋体" w:hAnsi="宋体"/>
          <w:b/>
          <w:w w:val="90"/>
          <w:sz w:val="36"/>
          <w:szCs w:val="36"/>
          <w:highlight w:val="none"/>
        </w:rPr>
      </w:pPr>
      <w:r>
        <w:rPr>
          <w:rFonts w:hint="eastAsia" w:ascii="宋体" w:hAnsi="宋体"/>
          <w:b/>
          <w:w w:val="90"/>
          <w:sz w:val="36"/>
          <w:szCs w:val="36"/>
          <w:highlight w:val="none"/>
        </w:rPr>
        <w:t>二○二</w:t>
      </w:r>
      <w:r>
        <w:rPr>
          <w:rFonts w:hint="eastAsia" w:ascii="宋体" w:hAnsi="宋体"/>
          <w:b/>
          <w:w w:val="90"/>
          <w:sz w:val="36"/>
          <w:szCs w:val="36"/>
          <w:highlight w:val="none"/>
          <w:lang w:eastAsia="zh-CN"/>
        </w:rPr>
        <w:t>一</w:t>
      </w:r>
      <w:r>
        <w:rPr>
          <w:rFonts w:hint="eastAsia" w:ascii="宋体" w:hAnsi="宋体"/>
          <w:b/>
          <w:w w:val="90"/>
          <w:sz w:val="36"/>
          <w:szCs w:val="36"/>
          <w:highlight w:val="none"/>
        </w:rPr>
        <w:t>年</w:t>
      </w:r>
      <w:r>
        <w:rPr>
          <w:rFonts w:hint="eastAsia" w:ascii="宋体" w:hAnsi="宋体"/>
          <w:b/>
          <w:w w:val="90"/>
          <w:sz w:val="36"/>
          <w:szCs w:val="36"/>
          <w:highlight w:val="none"/>
          <w:lang w:eastAsia="zh-CN"/>
        </w:rPr>
        <w:t>六</w:t>
      </w:r>
      <w:r>
        <w:rPr>
          <w:rFonts w:hint="eastAsia" w:ascii="宋体" w:hAnsi="宋体"/>
          <w:b/>
          <w:w w:val="90"/>
          <w:sz w:val="36"/>
          <w:szCs w:val="36"/>
          <w:highlight w:val="none"/>
        </w:rPr>
        <w:t>月</w:t>
      </w:r>
      <w:r>
        <w:rPr>
          <w:rFonts w:hint="eastAsia" w:ascii="宋体" w:hAnsi="宋体"/>
          <w:b/>
          <w:w w:val="90"/>
          <w:sz w:val="36"/>
          <w:szCs w:val="36"/>
          <w:highlight w:val="none"/>
        </w:rPr>
        <w:br w:type="page"/>
      </w:r>
    </w:p>
    <w:p>
      <w:pPr>
        <w:spacing w:before="0" w:after="0" w:line="360" w:lineRule="auto"/>
        <w:jc w:val="center"/>
        <w:outlineLvl w:val="9"/>
        <w:rPr>
          <w:b/>
          <w:bCs/>
          <w:sz w:val="44"/>
          <w:szCs w:val="44"/>
          <w:highlight w:val="none"/>
        </w:rPr>
      </w:pPr>
      <w:bookmarkStart w:id="6" w:name="_Toc554"/>
      <w:r>
        <w:rPr>
          <w:rFonts w:hint="eastAsia"/>
          <w:b/>
          <w:bCs/>
          <w:sz w:val="44"/>
          <w:szCs w:val="44"/>
          <w:highlight w:val="none"/>
        </w:rPr>
        <w:t>政府采购廉洁承诺书</w:t>
      </w:r>
      <w:bookmarkEnd w:id="6"/>
    </w:p>
    <w:p>
      <w:pPr>
        <w:spacing w:line="360" w:lineRule="auto"/>
        <w:ind w:left="0" w:leftChars="0" w:firstLine="480" w:firstLineChars="200"/>
        <w:rPr>
          <w:rFonts w:ascii="宋体" w:hAnsi="宋体" w:cs="宋体"/>
          <w:sz w:val="24"/>
          <w:szCs w:val="32"/>
          <w:highlight w:val="none"/>
          <w:lang w:val="zh-CN"/>
        </w:rPr>
      </w:pPr>
      <w:r>
        <w:rPr>
          <w:rFonts w:hint="eastAsia" w:ascii="宋体" w:hAnsi="宋体" w:cs="宋体"/>
          <w:sz w:val="24"/>
          <w:szCs w:val="32"/>
          <w:highlight w:val="none"/>
          <w:lang w:val="zh-CN"/>
        </w:rPr>
        <w:t>为加强招标投标活动中的廉政建设，坚决维护国家利益和社会公共利益，进一步规范招标投标市场，宣扬公平竞争的风气，努力提供优质、细心、专业的服务，为采购人创造价值，防止发生违法违纪行为，落实公开、公平、公正的原则，根据国家有关法律、法规和廉政建设责任制的规定，本招标代理机构作如下承诺：</w:t>
      </w:r>
    </w:p>
    <w:p>
      <w:pPr>
        <w:spacing w:line="360" w:lineRule="auto"/>
        <w:ind w:firstLine="480" w:firstLineChars="200"/>
        <w:rPr>
          <w:rFonts w:ascii="宋体" w:hAnsi="宋体" w:cs="宋体"/>
          <w:sz w:val="24"/>
          <w:szCs w:val="32"/>
          <w:highlight w:val="none"/>
          <w:lang w:val="zh-CN"/>
        </w:rPr>
      </w:pPr>
      <w:r>
        <w:rPr>
          <w:rFonts w:hint="eastAsia" w:ascii="宋体" w:hAnsi="宋体" w:cs="宋体"/>
          <w:sz w:val="24"/>
          <w:szCs w:val="32"/>
          <w:highlight w:val="none"/>
          <w:lang w:val="zh-CN"/>
        </w:rPr>
        <w:t>1、不与他人串通，</w:t>
      </w:r>
      <w:r>
        <w:rPr>
          <w:rFonts w:hint="eastAsia" w:ascii="宋体" w:hAnsi="宋体" w:cs="宋体"/>
          <w:sz w:val="24"/>
          <w:szCs w:val="32"/>
          <w:highlight w:val="none"/>
        </w:rPr>
        <w:t>泄露</w:t>
      </w:r>
      <w:r>
        <w:rPr>
          <w:rFonts w:hint="eastAsia" w:ascii="宋体" w:hAnsi="宋体" w:cs="宋体"/>
          <w:sz w:val="24"/>
          <w:szCs w:val="32"/>
          <w:highlight w:val="none"/>
          <w:lang w:val="zh-CN"/>
        </w:rPr>
        <w:t>招标投标机密。</w:t>
      </w:r>
    </w:p>
    <w:p>
      <w:pPr>
        <w:spacing w:line="360" w:lineRule="auto"/>
        <w:ind w:firstLine="480" w:firstLineChars="200"/>
        <w:rPr>
          <w:rFonts w:ascii="宋体" w:hAnsi="宋体" w:cs="宋体"/>
          <w:sz w:val="24"/>
          <w:szCs w:val="32"/>
          <w:highlight w:val="none"/>
          <w:lang w:val="zh-CN"/>
        </w:rPr>
      </w:pPr>
      <w:r>
        <w:rPr>
          <w:rFonts w:hint="eastAsia" w:ascii="宋体" w:hAnsi="宋体" w:cs="宋体"/>
          <w:sz w:val="24"/>
          <w:szCs w:val="32"/>
          <w:highlight w:val="none"/>
          <w:lang w:val="zh-CN"/>
        </w:rPr>
        <w:t>2、不与采购人、供应商串通投标。</w:t>
      </w:r>
    </w:p>
    <w:p>
      <w:pPr>
        <w:spacing w:line="360" w:lineRule="auto"/>
        <w:ind w:firstLine="480" w:firstLineChars="200"/>
        <w:rPr>
          <w:rFonts w:ascii="宋体" w:hAnsi="宋体" w:cs="宋体"/>
          <w:sz w:val="24"/>
          <w:szCs w:val="32"/>
          <w:highlight w:val="none"/>
          <w:lang w:val="zh-CN"/>
        </w:rPr>
      </w:pPr>
      <w:r>
        <w:rPr>
          <w:rFonts w:hint="eastAsia" w:ascii="宋体" w:hAnsi="宋体" w:cs="宋体"/>
          <w:sz w:val="24"/>
          <w:szCs w:val="32"/>
          <w:highlight w:val="none"/>
          <w:lang w:val="zh-CN"/>
        </w:rPr>
        <w:t>3、不向评标专家支付合理报酬以外的</w:t>
      </w:r>
      <w:r>
        <w:rPr>
          <w:rFonts w:hint="eastAsia" w:ascii="宋体" w:hAnsi="宋体" w:cs="宋体"/>
          <w:sz w:val="24"/>
          <w:szCs w:val="32"/>
          <w:highlight w:val="none"/>
        </w:rPr>
        <w:t>费用，包括并不限于</w:t>
      </w:r>
      <w:r>
        <w:rPr>
          <w:rFonts w:hint="eastAsia" w:ascii="宋体" w:hAnsi="宋体" w:cs="宋体"/>
          <w:sz w:val="24"/>
          <w:szCs w:val="32"/>
          <w:highlight w:val="none"/>
          <w:lang w:val="zh-CN"/>
        </w:rPr>
        <w:t>现金、购物卡、礼品、实物等，</w:t>
      </w:r>
      <w:r>
        <w:rPr>
          <w:rFonts w:hint="eastAsia" w:ascii="宋体" w:hAnsi="宋体" w:cs="宋体"/>
          <w:sz w:val="24"/>
          <w:szCs w:val="32"/>
          <w:highlight w:val="none"/>
        </w:rPr>
        <w:t>不进行</w:t>
      </w:r>
      <w:r>
        <w:rPr>
          <w:rFonts w:hint="eastAsia" w:ascii="宋体" w:hAnsi="宋体" w:cs="宋体"/>
          <w:sz w:val="24"/>
          <w:szCs w:val="32"/>
          <w:highlight w:val="none"/>
          <w:lang w:val="zh-CN"/>
        </w:rPr>
        <w:t>其他可能影响客观公正评审的活动。</w:t>
      </w:r>
    </w:p>
    <w:p>
      <w:pPr>
        <w:spacing w:line="360" w:lineRule="auto"/>
        <w:ind w:firstLine="480" w:firstLineChars="200"/>
        <w:rPr>
          <w:rFonts w:ascii="宋体" w:hAnsi="宋体" w:cs="宋体"/>
          <w:sz w:val="24"/>
          <w:szCs w:val="32"/>
          <w:highlight w:val="none"/>
          <w:lang w:val="zh-CN"/>
        </w:rPr>
      </w:pPr>
      <w:r>
        <w:rPr>
          <w:rFonts w:hint="eastAsia" w:ascii="宋体" w:hAnsi="宋体" w:cs="宋体"/>
          <w:sz w:val="24"/>
          <w:szCs w:val="32"/>
          <w:highlight w:val="none"/>
          <w:lang w:val="zh-CN"/>
        </w:rPr>
        <w:t>4、不向招标投标监督人员或机构请客、送礼及组织其它有可能影响客观公正监督的活动。</w:t>
      </w:r>
    </w:p>
    <w:p>
      <w:pPr>
        <w:spacing w:line="360" w:lineRule="auto"/>
        <w:ind w:firstLine="480" w:firstLineChars="200"/>
        <w:rPr>
          <w:rFonts w:ascii="宋体" w:hAnsi="宋体" w:cs="宋体"/>
          <w:sz w:val="24"/>
          <w:szCs w:val="32"/>
          <w:highlight w:val="none"/>
          <w:lang w:val="zh-CN"/>
        </w:rPr>
      </w:pPr>
      <w:r>
        <w:rPr>
          <w:rFonts w:hint="eastAsia" w:ascii="宋体" w:hAnsi="宋体" w:cs="宋体"/>
          <w:sz w:val="24"/>
          <w:szCs w:val="32"/>
          <w:highlight w:val="none"/>
        </w:rPr>
        <w:t>5、</w:t>
      </w:r>
      <w:r>
        <w:rPr>
          <w:rFonts w:hint="eastAsia" w:ascii="宋体" w:hAnsi="宋体" w:cs="宋体"/>
          <w:sz w:val="24"/>
          <w:szCs w:val="32"/>
          <w:highlight w:val="none"/>
          <w:lang w:val="zh-CN"/>
        </w:rPr>
        <w:t>不向采购人提供任何不正当利益的方式谋求合作关系。</w:t>
      </w:r>
    </w:p>
    <w:p>
      <w:pPr>
        <w:spacing w:line="360" w:lineRule="auto"/>
        <w:ind w:firstLine="480" w:firstLineChars="200"/>
        <w:rPr>
          <w:rFonts w:ascii="宋体" w:hAnsi="宋体" w:cs="宋体"/>
          <w:sz w:val="24"/>
          <w:szCs w:val="32"/>
          <w:highlight w:val="none"/>
          <w:lang w:val="zh-CN"/>
        </w:rPr>
      </w:pPr>
      <w:r>
        <w:rPr>
          <w:rFonts w:hint="eastAsia" w:ascii="宋体" w:hAnsi="宋体" w:cs="宋体"/>
          <w:sz w:val="24"/>
          <w:szCs w:val="32"/>
          <w:highlight w:val="none"/>
        </w:rPr>
        <w:t>6、</w:t>
      </w:r>
      <w:r>
        <w:rPr>
          <w:rFonts w:hint="eastAsia" w:ascii="宋体" w:hAnsi="宋体" w:cs="宋体"/>
          <w:sz w:val="24"/>
          <w:szCs w:val="32"/>
          <w:highlight w:val="none"/>
          <w:lang w:val="zh-CN"/>
        </w:rPr>
        <w:t>不采取恶性竞争等不正当手段竞争业务。</w:t>
      </w:r>
    </w:p>
    <w:p>
      <w:pPr>
        <w:spacing w:line="360" w:lineRule="auto"/>
        <w:ind w:firstLine="480" w:firstLineChars="200"/>
        <w:rPr>
          <w:rFonts w:ascii="宋体" w:hAnsi="宋体" w:cs="宋体"/>
          <w:sz w:val="24"/>
          <w:szCs w:val="32"/>
          <w:highlight w:val="none"/>
          <w:lang w:val="zh-CN"/>
        </w:rPr>
      </w:pPr>
      <w:r>
        <w:rPr>
          <w:rFonts w:hint="eastAsia" w:ascii="宋体" w:hAnsi="宋体" w:cs="宋体"/>
          <w:sz w:val="24"/>
          <w:szCs w:val="32"/>
          <w:highlight w:val="none"/>
          <w:lang w:val="en-US" w:eastAsia="zh-CN"/>
        </w:rPr>
        <w:t>7</w:t>
      </w:r>
      <w:r>
        <w:rPr>
          <w:rFonts w:hint="eastAsia" w:ascii="宋体" w:hAnsi="宋体" w:cs="宋体"/>
          <w:sz w:val="24"/>
          <w:szCs w:val="32"/>
          <w:highlight w:val="none"/>
        </w:rPr>
        <w:t>、禁止一切</w:t>
      </w:r>
      <w:r>
        <w:rPr>
          <w:rFonts w:hint="eastAsia" w:ascii="宋体" w:hAnsi="宋体" w:cs="宋体"/>
          <w:sz w:val="24"/>
          <w:szCs w:val="32"/>
          <w:highlight w:val="none"/>
          <w:lang w:val="zh-CN"/>
        </w:rPr>
        <w:t>行贿倾向、建议等行为。</w:t>
      </w:r>
    </w:p>
    <w:p>
      <w:pPr>
        <w:spacing w:line="360" w:lineRule="auto"/>
        <w:ind w:firstLine="480" w:firstLineChars="200"/>
        <w:rPr>
          <w:rFonts w:ascii="宋体" w:hAnsi="宋体" w:cs="宋体"/>
          <w:sz w:val="24"/>
          <w:szCs w:val="32"/>
          <w:highlight w:val="none"/>
          <w:lang w:val="zh-CN"/>
        </w:rPr>
      </w:pPr>
      <w:r>
        <w:rPr>
          <w:rFonts w:hint="eastAsia" w:ascii="宋体" w:hAnsi="宋体" w:cs="宋体"/>
          <w:sz w:val="24"/>
          <w:szCs w:val="32"/>
          <w:highlight w:val="none"/>
          <w:lang w:val="en-US" w:eastAsia="zh-CN"/>
        </w:rPr>
        <w:t>8</w:t>
      </w:r>
      <w:r>
        <w:rPr>
          <w:rFonts w:hint="eastAsia" w:ascii="宋体" w:hAnsi="宋体" w:cs="宋体"/>
          <w:sz w:val="24"/>
          <w:szCs w:val="32"/>
          <w:highlight w:val="none"/>
        </w:rPr>
        <w:t>、</w:t>
      </w:r>
      <w:r>
        <w:rPr>
          <w:rFonts w:hint="eastAsia" w:ascii="宋体" w:hAnsi="宋体" w:cs="宋体"/>
          <w:sz w:val="24"/>
          <w:szCs w:val="32"/>
          <w:highlight w:val="none"/>
          <w:lang w:val="zh-CN"/>
        </w:rPr>
        <w:t>禁止员工有索贿、受贿等行为。</w:t>
      </w:r>
    </w:p>
    <w:p>
      <w:pPr>
        <w:spacing w:line="360" w:lineRule="auto"/>
        <w:ind w:firstLine="480" w:firstLineChars="200"/>
        <w:rPr>
          <w:rFonts w:ascii="宋体" w:hAnsi="宋体" w:cs="宋体"/>
          <w:sz w:val="24"/>
          <w:szCs w:val="32"/>
          <w:highlight w:val="none"/>
        </w:rPr>
      </w:pPr>
      <w:r>
        <w:rPr>
          <w:rFonts w:hint="eastAsia" w:ascii="宋体" w:hAnsi="宋体" w:cs="宋体"/>
          <w:sz w:val="24"/>
          <w:szCs w:val="32"/>
          <w:highlight w:val="none"/>
          <w:lang w:val="en-US" w:eastAsia="zh-CN"/>
        </w:rPr>
        <w:t>9</w:t>
      </w:r>
      <w:r>
        <w:rPr>
          <w:rFonts w:hint="eastAsia" w:ascii="宋体" w:hAnsi="宋体" w:cs="宋体"/>
          <w:sz w:val="24"/>
          <w:szCs w:val="32"/>
          <w:highlight w:val="none"/>
        </w:rPr>
        <w:t>、严格遵守国家和省、市、区以及监管部门关于加强党风廉政建设的各项规定，加强对员工的廉政监督，积极开展廉政教育和职业道德教育，杜绝员工违纪违法行为的发生。</w:t>
      </w:r>
    </w:p>
    <w:p>
      <w:pPr>
        <w:spacing w:line="360" w:lineRule="auto"/>
        <w:ind w:firstLine="480" w:firstLineChars="200"/>
        <w:rPr>
          <w:rFonts w:ascii="宋体" w:hAnsi="宋体" w:cs="宋体"/>
          <w:sz w:val="24"/>
          <w:szCs w:val="32"/>
          <w:highlight w:val="none"/>
        </w:rPr>
      </w:pPr>
      <w:r>
        <w:rPr>
          <w:rFonts w:hint="eastAsia" w:ascii="宋体" w:hAnsi="宋体" w:cs="宋体"/>
          <w:sz w:val="24"/>
          <w:szCs w:val="32"/>
          <w:highlight w:val="none"/>
          <w:lang w:val="zh-CN"/>
        </w:rPr>
        <w:t>本承诺书由承诺人盖章签字生效，如出现上述行为，</w:t>
      </w:r>
      <w:r>
        <w:rPr>
          <w:rFonts w:hint="eastAsia" w:ascii="宋体" w:hAnsi="宋体" w:cs="宋体"/>
          <w:sz w:val="24"/>
          <w:szCs w:val="32"/>
          <w:highlight w:val="none"/>
        </w:rPr>
        <w:t>承诺人</w:t>
      </w:r>
      <w:r>
        <w:rPr>
          <w:rFonts w:hint="eastAsia" w:ascii="宋体" w:hAnsi="宋体" w:cs="宋体"/>
          <w:sz w:val="24"/>
          <w:szCs w:val="32"/>
          <w:highlight w:val="none"/>
          <w:lang w:val="zh-CN"/>
        </w:rPr>
        <w:t>自愿承担相关责任，接受招标投标监督管理部门、纪检监察机关或司法机关调查处理。如发现本单位员工个人出现违反廉洁纪律的行为，各方均有权提醒并督促其纠正，或直接向我公司投诉、举报，经核查属实的，</w:t>
      </w:r>
      <w:r>
        <w:rPr>
          <w:rFonts w:hint="eastAsia" w:ascii="宋体" w:hAnsi="宋体" w:cs="宋体"/>
          <w:sz w:val="24"/>
          <w:szCs w:val="32"/>
          <w:highlight w:val="none"/>
        </w:rPr>
        <w:t>将</w:t>
      </w:r>
      <w:r>
        <w:rPr>
          <w:rFonts w:hint="eastAsia" w:ascii="宋体" w:hAnsi="宋体" w:cs="宋体"/>
          <w:sz w:val="24"/>
          <w:szCs w:val="32"/>
          <w:highlight w:val="none"/>
          <w:lang w:val="zh-CN"/>
        </w:rPr>
        <w:t>严格按照公司规定处理，涉及违法违纪的将追究相关法律责任。</w:t>
      </w:r>
    </w:p>
    <w:p>
      <w:pPr>
        <w:spacing w:line="360" w:lineRule="auto"/>
        <w:ind w:firstLine="480" w:firstLineChars="200"/>
        <w:rPr>
          <w:rFonts w:ascii="宋体" w:hAnsi="宋体" w:cs="宋体"/>
          <w:sz w:val="24"/>
          <w:szCs w:val="32"/>
          <w:highlight w:val="none"/>
          <w:lang w:val="zh-CN"/>
        </w:rPr>
      </w:pPr>
      <w:r>
        <w:rPr>
          <w:rFonts w:hint="eastAsia" w:ascii="宋体" w:hAnsi="宋体" w:cs="宋体"/>
          <w:sz w:val="24"/>
          <w:szCs w:val="32"/>
          <w:highlight w:val="none"/>
          <w:lang w:val="zh-CN"/>
        </w:rPr>
        <w:t>请采购人及供应商监督！</w:t>
      </w:r>
    </w:p>
    <w:p>
      <w:pPr>
        <w:pStyle w:val="2"/>
        <w:rPr>
          <w:highlight w:val="none"/>
        </w:rPr>
      </w:pPr>
    </w:p>
    <w:p>
      <w:pPr>
        <w:pStyle w:val="2"/>
        <w:rPr>
          <w:highlight w:val="none"/>
        </w:rPr>
      </w:pPr>
    </w:p>
    <w:p>
      <w:pPr>
        <w:jc w:val="right"/>
        <w:rPr>
          <w:highlight w:val="none"/>
        </w:rPr>
        <w:sectPr>
          <w:headerReference r:id="rId5" w:type="first"/>
          <w:headerReference r:id="rId3" w:type="default"/>
          <w:headerReference r:id="rId4" w:type="even"/>
          <w:footerReference r:id="rId6" w:type="even"/>
          <w:pgSz w:w="11850" w:h="16783"/>
          <w:pgMar w:top="1440" w:right="1304" w:bottom="1440" w:left="1417" w:header="851" w:footer="992" w:gutter="0"/>
          <w:pgNumType w:start="1"/>
          <w:cols w:space="0" w:num="1"/>
          <w:docGrid w:type="lines" w:linePitch="312" w:charSpace="0"/>
        </w:sectPr>
      </w:pPr>
      <w:r>
        <w:rPr>
          <w:rFonts w:hint="eastAsia"/>
          <w:sz w:val="24"/>
          <w:szCs w:val="32"/>
          <w:highlight w:val="none"/>
          <w:lang w:val="zh-CN"/>
        </w:rPr>
        <w:t>招标代理机构：四川易通天和招标代理有限公司</w:t>
      </w:r>
    </w:p>
    <w:p>
      <w:pPr>
        <w:keepNext w:val="0"/>
        <w:keepLines w:val="0"/>
        <w:spacing w:before="0" w:after="0" w:line="360" w:lineRule="auto"/>
        <w:jc w:val="center"/>
        <w:outlineLvl w:val="9"/>
        <w:rPr>
          <w:rFonts w:hint="eastAsia" w:ascii="宋体" w:hAnsi="宋体" w:eastAsia="宋体" w:cs="宋体"/>
          <w:bCs w:val="0"/>
          <w:color w:val="auto"/>
          <w:sz w:val="36"/>
          <w:highlight w:val="none"/>
        </w:rPr>
      </w:pPr>
    </w:p>
    <w:p>
      <w:pPr>
        <w:keepNext w:val="0"/>
        <w:keepLines w:val="0"/>
        <w:spacing w:before="0" w:after="0" w:line="360" w:lineRule="auto"/>
        <w:jc w:val="center"/>
        <w:outlineLvl w:val="9"/>
        <w:rPr>
          <w:rFonts w:hint="eastAsia" w:ascii="宋体" w:hAnsi="宋体" w:eastAsia="宋体" w:cs="宋体"/>
          <w:bCs w:val="0"/>
          <w:color w:val="auto"/>
          <w:sz w:val="36"/>
          <w:highlight w:val="none"/>
        </w:rPr>
      </w:pPr>
    </w:p>
    <w:p>
      <w:pPr>
        <w:keepNext w:val="0"/>
        <w:keepLines w:val="0"/>
        <w:spacing w:before="0" w:after="0" w:line="360" w:lineRule="auto"/>
        <w:jc w:val="center"/>
        <w:outlineLvl w:val="9"/>
        <w:rPr>
          <w:rFonts w:hint="eastAsia" w:ascii="宋体" w:hAnsi="宋体" w:eastAsia="宋体" w:cs="宋体"/>
          <w:bCs w:val="0"/>
          <w:color w:val="auto"/>
          <w:sz w:val="36"/>
          <w:highlight w:val="none"/>
        </w:rPr>
      </w:pPr>
    </w:p>
    <w:p>
      <w:pPr>
        <w:spacing w:line="360" w:lineRule="auto"/>
        <w:rPr>
          <w:rFonts w:hint="eastAsia" w:ascii="宋体" w:hAnsi="宋体" w:eastAsia="宋体" w:cs="宋体"/>
          <w:color w:val="auto"/>
          <w:highlight w:val="none"/>
        </w:rPr>
      </w:pPr>
    </w:p>
    <w:sdt>
      <w:sdtPr>
        <w:rPr>
          <w:rFonts w:ascii="宋体" w:hAnsi="宋体" w:eastAsia="宋体" w:cs="Times New Roman"/>
          <w:kern w:val="2"/>
          <w:sz w:val="21"/>
          <w:szCs w:val="24"/>
          <w:lang w:val="en-US" w:eastAsia="zh-CN" w:bidi="ar-SA"/>
        </w:rPr>
        <w:id w:val="147477701"/>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360" w:lineRule="auto"/>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目录</w:t>
          </w:r>
        </w:p>
        <w:p>
          <w:pPr>
            <w:pStyle w:val="2"/>
            <w:rPr>
              <w:rFonts w:hint="eastAsia"/>
            </w:rPr>
          </w:pPr>
        </w:p>
        <w:p>
          <w:pPr>
            <w:pStyle w:val="173"/>
            <w:tabs>
              <w:tab w:val="right" w:leader="dot" w:pos="912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"1-1" \h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_Toc19121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第一章  谈判邀请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_Toc19121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3"/>
            <w:tabs>
              <w:tab w:val="right" w:leader="dot" w:pos="912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_Toc11410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第二章  谈判须知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_Toc11410 </w:instrText>
          </w:r>
          <w:r>
            <w:rPr>
              <w:rFonts w:hint="eastAsia" w:ascii="宋体" w:hAnsi="宋体" w:eastAsia="宋体" w:cs="宋体"/>
              <w:sz w:val="24"/>
              <w:szCs w:val="24"/>
            </w:rPr>
            <w:fldChar w:fldCharType="separate"/>
          </w:r>
          <w:r>
            <w:rPr>
              <w:rFonts w:hint="eastAsia" w:ascii="宋体" w:hAnsi="宋体" w:eastAsia="宋体" w:cs="宋体"/>
              <w:sz w:val="24"/>
              <w:szCs w:val="24"/>
            </w:rPr>
            <w:t>- 4 -</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3"/>
            <w:tabs>
              <w:tab w:val="right" w:leader="dot" w:pos="912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_Toc116 </w:instrText>
          </w:r>
          <w:r>
            <w:rPr>
              <w:rFonts w:hint="eastAsia" w:ascii="宋体" w:hAnsi="宋体" w:eastAsia="宋体" w:cs="宋体"/>
              <w:sz w:val="24"/>
              <w:szCs w:val="24"/>
            </w:rPr>
            <w:fldChar w:fldCharType="separate"/>
          </w:r>
          <w:r>
            <w:rPr>
              <w:rFonts w:hint="eastAsia" w:ascii="宋体" w:hAnsi="宋体" w:eastAsia="宋体" w:cs="宋体"/>
              <w:bCs/>
              <w:kern w:val="44"/>
              <w:sz w:val="24"/>
              <w:szCs w:val="24"/>
              <w:highlight w:val="none"/>
              <w:lang w:val="en-US" w:eastAsia="zh-CN" w:bidi="ar-SA"/>
            </w:rPr>
            <w:t>第三章  供应商资格条件要求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_Toc116 </w:instrText>
          </w:r>
          <w:r>
            <w:rPr>
              <w:rFonts w:hint="eastAsia" w:ascii="宋体" w:hAnsi="宋体" w:eastAsia="宋体" w:cs="宋体"/>
              <w:sz w:val="24"/>
              <w:szCs w:val="24"/>
            </w:rPr>
            <w:fldChar w:fldCharType="separate"/>
          </w:r>
          <w:r>
            <w:rPr>
              <w:rFonts w:hint="eastAsia" w:ascii="宋体" w:hAnsi="宋体" w:eastAsia="宋体" w:cs="宋体"/>
              <w:sz w:val="24"/>
              <w:szCs w:val="24"/>
            </w:rPr>
            <w:t>- 20 -</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3"/>
            <w:tabs>
              <w:tab w:val="right" w:leader="dot" w:pos="912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_Toc3631 </w:instrText>
          </w:r>
          <w:r>
            <w:rPr>
              <w:rFonts w:hint="eastAsia" w:ascii="宋体" w:hAnsi="宋体" w:eastAsia="宋体" w:cs="宋体"/>
              <w:sz w:val="24"/>
              <w:szCs w:val="24"/>
            </w:rPr>
            <w:fldChar w:fldCharType="separate"/>
          </w:r>
          <w:r>
            <w:rPr>
              <w:rFonts w:hint="eastAsia" w:ascii="宋体" w:hAnsi="宋体" w:eastAsia="宋体" w:cs="宋体"/>
              <w:bCs/>
              <w:kern w:val="44"/>
              <w:sz w:val="24"/>
              <w:szCs w:val="24"/>
              <w:highlight w:val="none"/>
              <w:lang w:val="en-US" w:eastAsia="zh-CN" w:bidi="ar-SA"/>
            </w:rPr>
            <w:t>第四章  供应商资格证明材料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_Toc3631 </w:instrText>
          </w:r>
          <w:r>
            <w:rPr>
              <w:rFonts w:hint="eastAsia" w:ascii="宋体" w:hAnsi="宋体" w:eastAsia="宋体" w:cs="宋体"/>
              <w:sz w:val="24"/>
              <w:szCs w:val="24"/>
            </w:rPr>
            <w:fldChar w:fldCharType="separate"/>
          </w:r>
          <w:r>
            <w:rPr>
              <w:rFonts w:hint="eastAsia" w:ascii="宋体" w:hAnsi="宋体" w:eastAsia="宋体" w:cs="宋体"/>
              <w:sz w:val="24"/>
              <w:szCs w:val="24"/>
            </w:rPr>
            <w:t>- 22 -</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3"/>
            <w:tabs>
              <w:tab w:val="right" w:leader="dot" w:pos="912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_Toc9994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第五章  采购项目技术、服务、政府采购合同内容条款及其他商务要求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_Toc9994 </w:instrText>
          </w:r>
          <w:r>
            <w:rPr>
              <w:rFonts w:hint="eastAsia" w:ascii="宋体" w:hAnsi="宋体" w:eastAsia="宋体" w:cs="宋体"/>
              <w:sz w:val="24"/>
              <w:szCs w:val="24"/>
            </w:rPr>
            <w:fldChar w:fldCharType="separate"/>
          </w:r>
          <w:r>
            <w:rPr>
              <w:rFonts w:hint="eastAsia" w:ascii="宋体" w:hAnsi="宋体" w:eastAsia="宋体" w:cs="宋体"/>
              <w:sz w:val="24"/>
              <w:szCs w:val="24"/>
            </w:rPr>
            <w:t>- 24 -</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3"/>
            <w:tabs>
              <w:tab w:val="right" w:leader="dot" w:pos="912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_Toc10673 </w:instrText>
          </w:r>
          <w:r>
            <w:rPr>
              <w:rFonts w:hint="eastAsia" w:ascii="宋体" w:hAnsi="宋体" w:eastAsia="宋体" w:cs="宋体"/>
              <w:sz w:val="24"/>
              <w:szCs w:val="24"/>
            </w:rPr>
            <w:fldChar w:fldCharType="separate"/>
          </w:r>
          <w:r>
            <w:rPr>
              <w:rFonts w:hint="eastAsia" w:ascii="宋体" w:hAnsi="宋体" w:eastAsia="宋体" w:cs="宋体"/>
              <w:bCs/>
              <w:kern w:val="44"/>
              <w:sz w:val="24"/>
              <w:szCs w:val="24"/>
              <w:highlight w:val="none"/>
              <w:lang w:val="en-US" w:eastAsia="zh-CN" w:bidi="ar-SA"/>
            </w:rPr>
            <w:t>第六章  谈判内容、谈判过程中可能实质性变动的内容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_Toc10673 </w:instrText>
          </w:r>
          <w:r>
            <w:rPr>
              <w:rFonts w:hint="eastAsia" w:ascii="宋体" w:hAnsi="宋体" w:eastAsia="宋体" w:cs="宋体"/>
              <w:sz w:val="24"/>
              <w:szCs w:val="24"/>
            </w:rPr>
            <w:fldChar w:fldCharType="separate"/>
          </w:r>
          <w:r>
            <w:rPr>
              <w:rFonts w:hint="eastAsia" w:ascii="宋体" w:hAnsi="宋体" w:eastAsia="宋体" w:cs="宋体"/>
              <w:sz w:val="24"/>
              <w:szCs w:val="24"/>
            </w:rPr>
            <w:t>- 26 -</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3"/>
            <w:tabs>
              <w:tab w:val="right" w:leader="dot" w:pos="912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_Toc11997 </w:instrText>
          </w:r>
          <w:r>
            <w:rPr>
              <w:rFonts w:hint="eastAsia" w:ascii="宋体" w:hAnsi="宋体" w:eastAsia="宋体" w:cs="宋体"/>
              <w:sz w:val="24"/>
              <w:szCs w:val="24"/>
            </w:rPr>
            <w:fldChar w:fldCharType="separate"/>
          </w:r>
          <w:r>
            <w:rPr>
              <w:rFonts w:hint="eastAsia" w:ascii="宋体" w:hAnsi="宋体" w:eastAsia="宋体" w:cs="宋体"/>
              <w:bCs/>
              <w:kern w:val="44"/>
              <w:sz w:val="24"/>
              <w:szCs w:val="24"/>
              <w:highlight w:val="none"/>
              <w:lang w:val="en-US" w:eastAsia="zh-CN" w:bidi="ar-SA"/>
            </w:rPr>
            <w:t>第七章  响应文件格式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_Toc11997 </w:instrText>
          </w:r>
          <w:r>
            <w:rPr>
              <w:rFonts w:hint="eastAsia" w:ascii="宋体" w:hAnsi="宋体" w:eastAsia="宋体" w:cs="宋体"/>
              <w:sz w:val="24"/>
              <w:szCs w:val="24"/>
            </w:rPr>
            <w:fldChar w:fldCharType="separate"/>
          </w:r>
          <w:r>
            <w:rPr>
              <w:rFonts w:hint="eastAsia" w:ascii="宋体" w:hAnsi="宋体" w:eastAsia="宋体" w:cs="宋体"/>
              <w:sz w:val="24"/>
              <w:szCs w:val="24"/>
            </w:rPr>
            <w:t>- 27 -</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3"/>
            <w:tabs>
              <w:tab w:val="right" w:leader="dot" w:pos="912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_Toc8013 </w:instrText>
          </w:r>
          <w:r>
            <w:rPr>
              <w:rFonts w:hint="eastAsia" w:ascii="宋体" w:hAnsi="宋体" w:eastAsia="宋体" w:cs="宋体"/>
              <w:sz w:val="24"/>
              <w:szCs w:val="24"/>
            </w:rPr>
            <w:fldChar w:fldCharType="separate"/>
          </w:r>
          <w:r>
            <w:rPr>
              <w:rFonts w:hint="eastAsia" w:ascii="宋体" w:hAnsi="宋体" w:eastAsia="宋体" w:cs="宋体"/>
              <w:bCs/>
              <w:kern w:val="44"/>
              <w:sz w:val="24"/>
              <w:szCs w:val="24"/>
              <w:highlight w:val="none"/>
              <w:lang w:val="en-US" w:eastAsia="zh-CN" w:bidi="ar-SA"/>
            </w:rPr>
            <w:t>第八章  评审方法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_Toc8013 </w:instrText>
          </w:r>
          <w:r>
            <w:rPr>
              <w:rFonts w:hint="eastAsia" w:ascii="宋体" w:hAnsi="宋体" w:eastAsia="宋体" w:cs="宋体"/>
              <w:sz w:val="24"/>
              <w:szCs w:val="24"/>
            </w:rPr>
            <w:fldChar w:fldCharType="separate"/>
          </w:r>
          <w:r>
            <w:rPr>
              <w:rFonts w:hint="eastAsia" w:ascii="宋体" w:hAnsi="宋体" w:eastAsia="宋体" w:cs="宋体"/>
              <w:sz w:val="24"/>
              <w:szCs w:val="24"/>
            </w:rPr>
            <w:t>- 53 -</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3"/>
            <w:tabs>
              <w:tab w:val="right" w:leader="dot" w:pos="912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_Toc13716 </w:instrText>
          </w:r>
          <w:r>
            <w:rPr>
              <w:rFonts w:hint="eastAsia" w:ascii="宋体" w:hAnsi="宋体" w:eastAsia="宋体" w:cs="宋体"/>
              <w:sz w:val="24"/>
              <w:szCs w:val="24"/>
            </w:rPr>
            <w:fldChar w:fldCharType="separate"/>
          </w:r>
          <w:r>
            <w:rPr>
              <w:rFonts w:hint="eastAsia" w:ascii="宋体" w:hAnsi="宋体" w:eastAsia="宋体" w:cs="宋体"/>
              <w:bCs/>
              <w:kern w:val="44"/>
              <w:sz w:val="24"/>
              <w:szCs w:val="24"/>
              <w:highlight w:val="none"/>
              <w:lang w:val="en-US" w:eastAsia="zh-CN" w:bidi="ar-SA"/>
            </w:rPr>
            <w:t>第九章  政府采购合同（草案）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_Toc13716 </w:instrText>
          </w:r>
          <w:r>
            <w:rPr>
              <w:rFonts w:hint="eastAsia" w:ascii="宋体" w:hAnsi="宋体" w:eastAsia="宋体" w:cs="宋体"/>
              <w:sz w:val="24"/>
              <w:szCs w:val="24"/>
            </w:rPr>
            <w:fldChar w:fldCharType="separate"/>
          </w:r>
          <w:r>
            <w:rPr>
              <w:rFonts w:hint="eastAsia" w:ascii="宋体" w:hAnsi="宋体" w:eastAsia="宋体" w:cs="宋体"/>
              <w:sz w:val="24"/>
              <w:szCs w:val="24"/>
            </w:rPr>
            <w:t>- 61 -</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pacing w:line="360" w:lineRule="auto"/>
          </w:pPr>
          <w:r>
            <w:rPr>
              <w:rFonts w:hint="eastAsia" w:ascii="宋体" w:hAnsi="宋体" w:eastAsia="宋体" w:cs="宋体"/>
              <w:sz w:val="24"/>
              <w:szCs w:val="24"/>
            </w:rPr>
            <w:fldChar w:fldCharType="end"/>
          </w:r>
        </w:p>
      </w:sdtContent>
    </w:sdt>
    <w:p>
      <w:pPr>
        <w:pStyle w:val="4"/>
        <w:spacing w:before="0" w:after="0" w:line="360" w:lineRule="auto"/>
        <w:jc w:val="center"/>
        <w:rPr>
          <w:rFonts w:hint="eastAsia" w:eastAsia="宋体"/>
          <w:highlight w:val="none"/>
        </w:rPr>
        <w:sectPr>
          <w:footerReference r:id="rId7" w:type="default"/>
          <w:type w:val="continuous"/>
          <w:pgSz w:w="11850" w:h="16783"/>
          <w:pgMar w:top="1440" w:right="1304" w:bottom="1440" w:left="1417" w:header="851" w:footer="992" w:gutter="0"/>
          <w:pgNumType w:fmt="numberInDash" w:start="1"/>
          <w:cols w:space="720" w:num="1"/>
          <w:docGrid w:type="lines" w:linePitch="312" w:charSpace="0"/>
        </w:sectPr>
      </w:pPr>
      <w:bookmarkStart w:id="7" w:name="_Toc531596531"/>
      <w:bookmarkStart w:id="8" w:name="_Toc19121"/>
    </w:p>
    <w:p>
      <w:pPr>
        <w:pStyle w:val="4"/>
        <w:spacing w:before="0" w:after="0" w:line="360" w:lineRule="auto"/>
        <w:jc w:val="center"/>
        <w:rPr>
          <w:rFonts w:hint="eastAsia" w:eastAsia="宋体"/>
          <w:highlight w:val="none"/>
        </w:rPr>
      </w:pPr>
      <w:r>
        <w:rPr>
          <w:rFonts w:hint="eastAsia" w:eastAsia="宋体"/>
          <w:highlight w:val="none"/>
        </w:rPr>
        <w:t>第一章  谈判邀请</w:t>
      </w:r>
      <w:bookmarkEnd w:id="7"/>
      <w:bookmarkEnd w:id="8"/>
    </w:p>
    <w:p>
      <w:pPr>
        <w:spacing w:line="360" w:lineRule="auto"/>
        <w:ind w:firstLine="480" w:firstLineChars="200"/>
        <w:jc w:val="left"/>
        <w:rPr>
          <w:rFonts w:hint="eastAsia" w:ascii="宋体" w:hAnsi="宋体" w:eastAsia="宋体" w:cs="宋体"/>
          <w:color w:val="auto"/>
          <w:sz w:val="24"/>
          <w:szCs w:val="28"/>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eastAsia="宋体" w:cs="宋体"/>
          <w:color w:val="auto"/>
          <w:sz w:val="24"/>
          <w:highlight w:val="none"/>
        </w:rPr>
        <w:t>受</w:t>
      </w:r>
      <w:r>
        <w:rPr>
          <w:rFonts w:hint="eastAsia" w:ascii="宋体" w:hAnsi="宋体" w:cs="宋体"/>
          <w:color w:val="auto"/>
          <w:sz w:val="24"/>
          <w:highlight w:val="none"/>
          <w:u w:val="single"/>
          <w:lang w:eastAsia="zh-CN"/>
        </w:rPr>
        <w:t>四川天府新区籍田街道办事处</w:t>
      </w:r>
      <w:r>
        <w:rPr>
          <w:rFonts w:hint="eastAsia" w:ascii="宋体" w:hAnsi="宋体" w:eastAsia="宋体" w:cs="宋体"/>
          <w:color w:val="auto"/>
          <w:sz w:val="24"/>
          <w:highlight w:val="none"/>
        </w:rPr>
        <w:t>委托，拟对</w:t>
      </w:r>
      <w:bookmarkStart w:id="9" w:name="PO_默认文件内容_1"/>
      <w:r>
        <w:rPr>
          <w:rFonts w:hint="eastAsia" w:ascii="宋体" w:hAnsi="宋体" w:cs="宋体"/>
          <w:color w:val="auto"/>
          <w:sz w:val="24"/>
          <w:highlight w:val="none"/>
          <w:u w:val="single"/>
          <w:lang w:eastAsia="zh-CN"/>
        </w:rPr>
        <w:t>四川天府新区籍田街道办事处2021年水稻、玉米重大病虫防治物资项目</w:t>
      </w:r>
      <w:r>
        <w:rPr>
          <w:rFonts w:hint="eastAsia" w:ascii="宋体" w:hAnsi="宋体" w:eastAsia="宋体" w:cs="宋体"/>
          <w:color w:val="auto"/>
          <w:sz w:val="24"/>
          <w:szCs w:val="32"/>
          <w:highlight w:val="none"/>
        </w:rPr>
        <w:t>采用竞争性谈判方式</w:t>
      </w:r>
      <w:r>
        <w:rPr>
          <w:rFonts w:hint="eastAsia" w:ascii="宋体" w:hAnsi="宋体" w:eastAsia="宋体" w:cs="宋体"/>
          <w:color w:val="auto"/>
          <w:sz w:val="24"/>
          <w:highlight w:val="none"/>
        </w:rPr>
        <w:t>进行采购，特</w:t>
      </w:r>
      <w:r>
        <w:rPr>
          <w:rFonts w:hint="eastAsia" w:ascii="宋体" w:hAnsi="宋体" w:eastAsia="宋体" w:cs="宋体"/>
          <w:color w:val="auto"/>
          <w:sz w:val="24"/>
          <w:szCs w:val="28"/>
          <w:highlight w:val="none"/>
        </w:rPr>
        <w:t>邀请符合本次采购要求的供应商参加</w:t>
      </w:r>
      <w:r>
        <w:rPr>
          <w:rFonts w:hint="eastAsia" w:ascii="宋体" w:hAnsi="宋体" w:eastAsia="宋体" w:cs="宋体"/>
          <w:color w:val="auto"/>
          <w:sz w:val="24"/>
          <w:highlight w:val="none"/>
        </w:rPr>
        <w:t>本项目的竞争性谈判</w:t>
      </w:r>
      <w:r>
        <w:rPr>
          <w:rFonts w:hint="eastAsia" w:ascii="宋体" w:hAnsi="宋体" w:eastAsia="宋体" w:cs="宋体"/>
          <w:color w:val="auto"/>
          <w:sz w:val="24"/>
          <w:szCs w:val="28"/>
          <w:highlight w:val="none"/>
        </w:rPr>
        <w:t>。</w:t>
      </w:r>
      <w:bookmarkEnd w:id="9"/>
    </w:p>
    <w:p>
      <w:pPr>
        <w:keepNext w:val="0"/>
        <w:keepLines w:val="0"/>
        <w:pageBreakBefore w:val="0"/>
        <w:widowControl w:val="0"/>
        <w:kinsoku/>
        <w:overflowPunct/>
        <w:autoSpaceDE/>
        <w:autoSpaceDN/>
        <w:bidi w:val="0"/>
        <w:adjustRightInd/>
        <w:snapToGrid/>
        <w:spacing w:line="360" w:lineRule="auto"/>
        <w:ind w:right="0" w:righ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一、采购项目基本情况</w:t>
      </w:r>
    </w:p>
    <w:p>
      <w:pPr>
        <w:keepNext w:val="0"/>
        <w:keepLines w:val="0"/>
        <w:pageBreakBefore w:val="0"/>
        <w:widowControl w:val="0"/>
        <w:kinsoku/>
        <w:overflowPunct/>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1.项目编号：510186202100072 </w:t>
      </w:r>
      <w:bookmarkStart w:id="182" w:name="_GoBack"/>
      <w:bookmarkEnd w:id="182"/>
    </w:p>
    <w:p>
      <w:pPr>
        <w:keepNext w:val="0"/>
        <w:keepLines w:val="0"/>
        <w:pageBreakBefore w:val="0"/>
        <w:widowControl w:val="0"/>
        <w:kinsoku/>
        <w:overflowPunct/>
        <w:autoSpaceDE/>
        <w:autoSpaceDN/>
        <w:bidi w:val="0"/>
        <w:adjustRightInd/>
        <w:snapToGrid/>
        <w:spacing w:line="360" w:lineRule="auto"/>
        <w:ind w:right="0" w:rightChars="0"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2.采购项目名称：</w:t>
      </w:r>
      <w:r>
        <w:rPr>
          <w:rFonts w:hint="eastAsia" w:ascii="宋体" w:hAnsi="宋体" w:cs="宋体"/>
          <w:color w:val="auto"/>
          <w:sz w:val="24"/>
          <w:szCs w:val="24"/>
          <w:highlight w:val="none"/>
          <w:lang w:eastAsia="zh-CN"/>
        </w:rPr>
        <w:t>四川天府新区籍田街道办事处2021年水稻、玉米重大病虫防治物资项目</w:t>
      </w:r>
    </w:p>
    <w:p>
      <w:pPr>
        <w:keepNext w:val="0"/>
        <w:keepLines w:val="0"/>
        <w:pageBreakBefore w:val="0"/>
        <w:widowControl w:val="0"/>
        <w:kinsoku/>
        <w:overflowPunct/>
        <w:autoSpaceDE/>
        <w:autoSpaceDN/>
        <w:bidi w:val="0"/>
        <w:adjustRightInd/>
        <w:snapToGrid/>
        <w:spacing w:line="360" w:lineRule="auto"/>
        <w:ind w:right="0" w:righ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二、资金情况</w:t>
      </w:r>
    </w:p>
    <w:p>
      <w:pPr>
        <w:keepNext w:val="0"/>
        <w:keepLines w:val="0"/>
        <w:pageBreakBefore w:val="0"/>
        <w:widowControl w:val="0"/>
        <w:kinsoku/>
        <w:overflowPunct/>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资金来源：财政性资金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已落实。</w:t>
      </w:r>
    </w:p>
    <w:p>
      <w:pPr>
        <w:keepNext w:val="0"/>
        <w:keepLines w:val="0"/>
        <w:pageBreakBefore w:val="0"/>
        <w:widowControl w:val="0"/>
        <w:kinsoku/>
        <w:overflowPunct/>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预算金额</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80</w:t>
      </w:r>
      <w:r>
        <w:rPr>
          <w:rFonts w:hint="eastAsia" w:ascii="宋体" w:hAnsi="宋体" w:eastAsia="宋体" w:cs="宋体"/>
          <w:color w:val="auto"/>
          <w:sz w:val="24"/>
          <w:szCs w:val="24"/>
          <w:highlight w:val="none"/>
          <w:lang w:val="en-US" w:eastAsia="zh-CN"/>
        </w:rPr>
        <w:t>万元</w:t>
      </w:r>
      <w:r>
        <w:rPr>
          <w:rFonts w:hint="eastAsia" w:ascii="宋体" w:hAnsi="宋体" w:cs="宋体"/>
          <w:color w:val="auto"/>
          <w:sz w:val="24"/>
          <w:szCs w:val="24"/>
          <w:highlight w:val="none"/>
          <w:lang w:val="en-US" w:eastAsia="zh-CN"/>
        </w:rPr>
        <w:t>（大写：人民币捌拾万元整）</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overflowPunct/>
        <w:autoSpaceDE/>
        <w:autoSpaceDN/>
        <w:bidi w:val="0"/>
        <w:adjustRightInd/>
        <w:snapToGrid/>
        <w:spacing w:line="360" w:lineRule="auto"/>
        <w:ind w:right="0" w:righ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w:t>
      </w:r>
      <w:r>
        <w:rPr>
          <w:rFonts w:hint="eastAsia" w:ascii="宋体" w:hAnsi="宋体" w:eastAsia="宋体" w:cs="宋体"/>
          <w:b/>
          <w:bCs/>
          <w:color w:val="auto"/>
          <w:sz w:val="24"/>
          <w:szCs w:val="24"/>
          <w:highlight w:val="none"/>
        </w:rPr>
        <w:t>、</w:t>
      </w:r>
      <w:r>
        <w:rPr>
          <w:rFonts w:hint="eastAsia" w:ascii="宋体" w:hAnsi="宋体" w:eastAsia="宋体" w:cs="宋体"/>
          <w:b/>
          <w:color w:val="auto"/>
          <w:sz w:val="24"/>
          <w:szCs w:val="24"/>
          <w:highlight w:val="none"/>
        </w:rPr>
        <w:t>采购项目简介：</w:t>
      </w:r>
    </w:p>
    <w:p>
      <w:pPr>
        <w:keepNext w:val="0"/>
        <w:keepLines w:val="0"/>
        <w:pageBreakBefore w:val="0"/>
        <w:widowControl w:val="0"/>
        <w:numPr>
          <w:ilvl w:val="0"/>
          <w:numId w:val="0"/>
        </w:numPr>
        <w:kinsoku/>
        <w:overflowPunct/>
        <w:autoSpaceDE/>
        <w:autoSpaceDN/>
        <w:bidi w:val="0"/>
        <w:adjustRightInd/>
        <w:snapToGrid/>
        <w:spacing w:line="360" w:lineRule="auto"/>
        <w:ind w:leftChars="0" w:right="0" w:rightChars="0" w:firstLine="480" w:firstLineChars="200"/>
        <w:jc w:val="left"/>
        <w:textAlignment w:val="auto"/>
        <w:rPr>
          <w:rFonts w:hint="eastAsia" w:ascii="宋体" w:hAnsi="宋体" w:eastAsia="宋体" w:cs="宋体"/>
          <w:b/>
          <w:bCs/>
          <w:color w:val="auto"/>
          <w:sz w:val="24"/>
          <w:szCs w:val="24"/>
          <w:highlight w:val="none"/>
          <w:lang w:val="en-US"/>
        </w:rPr>
      </w:pPr>
      <w:r>
        <w:rPr>
          <w:rFonts w:hint="eastAsia" w:ascii="宋体" w:hAnsi="宋体" w:eastAsia="宋体" w:cs="宋体"/>
          <w:color w:val="auto"/>
          <w:sz w:val="24"/>
          <w:szCs w:val="24"/>
          <w:highlight w:val="none"/>
          <w:lang w:eastAsia="zh-CN"/>
        </w:rPr>
        <w:t>本项目为</w:t>
      </w:r>
      <w:r>
        <w:rPr>
          <w:rFonts w:hint="eastAsia" w:ascii="宋体" w:hAnsi="宋体" w:cs="宋体"/>
          <w:color w:val="auto"/>
          <w:sz w:val="24"/>
          <w:szCs w:val="24"/>
          <w:highlight w:val="none"/>
          <w:lang w:eastAsia="zh-CN"/>
        </w:rPr>
        <w:t>四川天府新区籍田街道办事处2021年水稻、玉米重大病虫防治物资项目</w:t>
      </w:r>
      <w:r>
        <w:rPr>
          <w:rFonts w:hint="eastAsia" w:ascii="宋体" w:hAnsi="宋体" w:eastAsia="宋体" w:cs="宋体"/>
          <w:color w:val="auto"/>
          <w:sz w:val="24"/>
          <w:szCs w:val="24"/>
          <w:highlight w:val="none"/>
          <w:lang w:val="en-US" w:eastAsia="zh-CN"/>
        </w:rPr>
        <w:t>。本项目共一个包</w:t>
      </w:r>
      <w:r>
        <w:rPr>
          <w:rFonts w:hint="eastAsia" w:ascii="宋体" w:hAnsi="宋体" w:eastAsia="宋体" w:cs="宋体"/>
          <w:sz w:val="24"/>
          <w:szCs w:val="24"/>
          <w:highlight w:val="none"/>
          <w:lang w:val="en-US" w:eastAsia="zh-CN"/>
        </w:rPr>
        <w:t>，</w:t>
      </w:r>
      <w:r>
        <w:rPr>
          <w:rFonts w:hint="eastAsia" w:ascii="宋体" w:hAnsi="宋体" w:eastAsia="宋体" w:cs="宋体"/>
          <w:color w:val="auto"/>
          <w:sz w:val="24"/>
          <w:szCs w:val="24"/>
          <w:highlight w:val="none"/>
          <w:lang w:eastAsia="zh-CN"/>
        </w:rPr>
        <w:t>详见谈判文件第</w:t>
      </w:r>
      <w:r>
        <w:rPr>
          <w:rFonts w:hint="eastAsia" w:ascii="宋体" w:hAnsi="宋体" w:cs="宋体"/>
          <w:color w:val="auto"/>
          <w:sz w:val="24"/>
          <w:szCs w:val="24"/>
          <w:highlight w:val="none"/>
          <w:lang w:eastAsia="zh-CN"/>
        </w:rPr>
        <w:t>五</w:t>
      </w:r>
      <w:r>
        <w:rPr>
          <w:rFonts w:hint="eastAsia" w:ascii="宋体" w:hAnsi="宋体" w:eastAsia="宋体" w:cs="宋体"/>
          <w:color w:val="auto"/>
          <w:sz w:val="24"/>
          <w:szCs w:val="24"/>
          <w:highlight w:val="none"/>
          <w:lang w:val="en-US" w:eastAsia="zh-CN"/>
        </w:rPr>
        <w:t>章</w:t>
      </w:r>
      <w:r>
        <w:rPr>
          <w:rFonts w:hint="eastAsia" w:ascii="宋体" w:hAnsi="宋体" w:eastAsia="宋体" w:cs="宋体"/>
          <w:sz w:val="24"/>
          <w:szCs w:val="24"/>
          <w:highlight w:val="none"/>
          <w:lang w:val="en-US" w:eastAsia="zh-CN"/>
        </w:rPr>
        <w:t>。</w:t>
      </w:r>
    </w:p>
    <w:p>
      <w:pPr>
        <w:keepNext w:val="0"/>
        <w:keepLines w:val="0"/>
        <w:pageBreakBefore w:val="0"/>
        <w:widowControl w:val="0"/>
        <w:kinsoku/>
        <w:overflowPunct/>
        <w:autoSpaceDE/>
        <w:autoSpaceDN/>
        <w:bidi w:val="0"/>
        <w:adjustRightInd/>
        <w:snapToGrid/>
        <w:spacing w:line="360" w:lineRule="auto"/>
        <w:ind w:right="0" w:righ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四、供应商邀请方式</w:t>
      </w:r>
    </w:p>
    <w:p>
      <w:pPr>
        <w:keepNext w:val="0"/>
        <w:keepLines w:val="0"/>
        <w:pageBreakBefore w:val="0"/>
        <w:widowControl w:val="0"/>
        <w:kinsoku/>
        <w:wordWrap w:val="0"/>
        <w:overflowPunct/>
        <w:topLinePunct/>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公告方式：本次竞争性</w:t>
      </w:r>
      <w:r>
        <w:rPr>
          <w:rFonts w:hint="eastAsia" w:ascii="宋体" w:hAnsi="宋体" w:eastAsia="宋体" w:cs="宋体"/>
          <w:sz w:val="24"/>
          <w:szCs w:val="24"/>
          <w:highlight w:val="none"/>
          <w:lang w:val="en-US" w:eastAsia="zh-CN"/>
        </w:rPr>
        <w:t>谈判</w:t>
      </w:r>
      <w:r>
        <w:rPr>
          <w:rFonts w:hint="eastAsia" w:ascii="宋体" w:hAnsi="宋体" w:eastAsia="宋体" w:cs="宋体"/>
          <w:sz w:val="24"/>
          <w:szCs w:val="24"/>
          <w:highlight w:val="none"/>
        </w:rPr>
        <w:t>邀请在四川政府采购网（</w:t>
      </w:r>
      <w:r>
        <w:rPr>
          <w:rFonts w:hint="eastAsia" w:ascii="宋体" w:hAnsi="宋体" w:eastAsia="宋体" w:cs="宋体"/>
          <w:sz w:val="24"/>
          <w:szCs w:val="24"/>
          <w:highlight w:val="none"/>
          <w:u w:val="none"/>
        </w:rPr>
        <w:fldChar w:fldCharType="begin"/>
      </w:r>
      <w:r>
        <w:rPr>
          <w:rFonts w:hint="eastAsia" w:ascii="宋体" w:hAnsi="宋体" w:eastAsia="宋体" w:cs="宋体"/>
          <w:sz w:val="24"/>
          <w:szCs w:val="24"/>
          <w:highlight w:val="none"/>
          <w:u w:val="none"/>
        </w:rPr>
        <w:instrText xml:space="preserve"> HYPERLINK "http://www.ccgp-sichuan.gov.cn/" </w:instrText>
      </w:r>
      <w:r>
        <w:rPr>
          <w:rFonts w:hint="eastAsia" w:ascii="宋体" w:hAnsi="宋体" w:eastAsia="宋体" w:cs="宋体"/>
          <w:sz w:val="24"/>
          <w:szCs w:val="24"/>
          <w:highlight w:val="none"/>
          <w:u w:val="none"/>
        </w:rPr>
        <w:fldChar w:fldCharType="separate"/>
      </w:r>
      <w:r>
        <w:rPr>
          <w:rStyle w:val="52"/>
          <w:rFonts w:hint="eastAsia" w:ascii="宋体" w:hAnsi="宋体" w:eastAsia="宋体" w:cs="宋体"/>
          <w:color w:val="auto"/>
          <w:sz w:val="24"/>
          <w:szCs w:val="24"/>
          <w:highlight w:val="none"/>
          <w:u w:val="none"/>
        </w:rPr>
        <w:t>http://www.ccgp-sichuan.gov.cn</w:t>
      </w:r>
      <w:r>
        <w:rPr>
          <w:rStyle w:val="52"/>
          <w:rFonts w:hint="eastAsia" w:ascii="宋体" w:hAnsi="宋体" w:eastAsia="宋体" w:cs="宋体"/>
          <w:color w:val="auto"/>
          <w:sz w:val="24"/>
          <w:szCs w:val="24"/>
          <w:highlight w:val="none"/>
          <w:u w:val="none"/>
        </w:rPr>
        <w:fldChar w:fldCharType="end"/>
      </w:r>
      <w:r>
        <w:rPr>
          <w:rFonts w:hint="eastAsia" w:ascii="宋体" w:hAnsi="宋体" w:eastAsia="宋体" w:cs="宋体"/>
          <w:sz w:val="24"/>
          <w:szCs w:val="24"/>
          <w:highlight w:val="none"/>
        </w:rPr>
        <w:t>）上以公告形式发布。</w:t>
      </w:r>
    </w:p>
    <w:p>
      <w:pPr>
        <w:keepNext w:val="0"/>
        <w:keepLines w:val="0"/>
        <w:pageBreakBefore w:val="0"/>
        <w:widowControl w:val="0"/>
        <w:kinsoku/>
        <w:overflowPunct/>
        <w:autoSpaceDE/>
        <w:autoSpaceDN/>
        <w:bidi w:val="0"/>
        <w:adjustRightInd/>
        <w:snapToGrid/>
        <w:spacing w:line="360" w:lineRule="auto"/>
        <w:ind w:right="0" w:righ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五、供应商参加本次政府采购活动应具备下列条件：</w:t>
      </w:r>
    </w:p>
    <w:p>
      <w:pPr>
        <w:keepNext w:val="0"/>
        <w:keepLines w:val="0"/>
        <w:pageBreakBefore w:val="0"/>
        <w:widowControl w:val="0"/>
        <w:kinsoku/>
        <w:overflowPunct/>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p>
      <w:pPr>
        <w:keepNext w:val="0"/>
        <w:keepLines w:val="0"/>
        <w:pageBreakBefore w:val="0"/>
        <w:widowControl w:val="0"/>
        <w:kinsoku/>
        <w:overflowPunct/>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keepNext w:val="0"/>
        <w:keepLines w:val="0"/>
        <w:pageBreakBefore w:val="0"/>
        <w:widowControl w:val="0"/>
        <w:kinsoku/>
        <w:overflowPunct/>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w:t>
      </w:r>
      <w:r>
        <w:rPr>
          <w:rFonts w:hint="eastAsia" w:ascii="宋体" w:hAnsi="宋体" w:cs="宋体"/>
          <w:color w:val="auto"/>
          <w:sz w:val="24"/>
          <w:szCs w:val="24"/>
          <w:highlight w:val="none"/>
          <w:lang w:eastAsia="zh-CN"/>
        </w:rPr>
        <w:t>需</w:t>
      </w:r>
      <w:r>
        <w:rPr>
          <w:rFonts w:hint="eastAsia" w:ascii="宋体" w:hAnsi="宋体" w:eastAsia="宋体" w:cs="宋体"/>
          <w:color w:val="auto"/>
          <w:sz w:val="24"/>
          <w:szCs w:val="24"/>
          <w:highlight w:val="none"/>
        </w:rPr>
        <w:t>的设备和专业技术能力；</w:t>
      </w:r>
    </w:p>
    <w:p>
      <w:pPr>
        <w:keepNext w:val="0"/>
        <w:keepLines w:val="0"/>
        <w:pageBreakBefore w:val="0"/>
        <w:widowControl w:val="0"/>
        <w:kinsoku/>
        <w:overflowPunct/>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4.具有依法缴纳税收和社会保障资金的良好记录；</w:t>
      </w:r>
    </w:p>
    <w:p>
      <w:pPr>
        <w:keepNext w:val="0"/>
        <w:keepLines w:val="0"/>
        <w:pageBreakBefore w:val="0"/>
        <w:widowControl w:val="0"/>
        <w:kinsoku/>
        <w:overflowPunct/>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7.根据采购项目提出的特殊条件：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及其现任法定代表人（非法人机构则为主要负责人）不得具有行贿犯罪记录；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供应商须具</w:t>
      </w:r>
      <w:r>
        <w:rPr>
          <w:rFonts w:hint="eastAsia" w:ascii="宋体" w:hAnsi="宋体" w:cs="宋体"/>
          <w:color w:val="auto"/>
          <w:sz w:val="24"/>
          <w:szCs w:val="24"/>
          <w:highlight w:val="none"/>
          <w:lang w:eastAsia="zh-CN"/>
        </w:rPr>
        <w:t>有</w:t>
      </w:r>
      <w:r>
        <w:rPr>
          <w:rFonts w:hint="eastAsia" w:ascii="宋体" w:hAnsi="宋体" w:eastAsia="宋体" w:cs="宋体"/>
          <w:color w:val="auto"/>
          <w:sz w:val="24"/>
          <w:szCs w:val="24"/>
          <w:highlight w:val="none"/>
        </w:rPr>
        <w:t>有效的《农药经营许可证》</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7.3响应</w:t>
      </w:r>
      <w:r>
        <w:rPr>
          <w:rFonts w:hint="eastAsia" w:ascii="宋体" w:hAnsi="宋体" w:eastAsia="宋体" w:cs="宋体"/>
          <w:color w:val="auto"/>
          <w:sz w:val="24"/>
          <w:szCs w:val="24"/>
          <w:highlight w:val="none"/>
        </w:rPr>
        <w:t>农药产品须具</w:t>
      </w:r>
      <w:r>
        <w:rPr>
          <w:rFonts w:hint="eastAsia" w:ascii="宋体" w:hAnsi="宋体" w:cs="宋体"/>
          <w:color w:val="auto"/>
          <w:sz w:val="24"/>
          <w:szCs w:val="24"/>
          <w:highlight w:val="none"/>
          <w:lang w:eastAsia="zh-CN"/>
        </w:rPr>
        <w:t>有</w:t>
      </w:r>
      <w:r>
        <w:rPr>
          <w:rFonts w:hint="eastAsia" w:ascii="宋体" w:hAnsi="宋体" w:eastAsia="宋体" w:cs="宋体"/>
          <w:color w:val="auto"/>
          <w:sz w:val="24"/>
          <w:szCs w:val="24"/>
          <w:highlight w:val="none"/>
        </w:rPr>
        <w:t>有效的《农药登记证》、</w:t>
      </w:r>
      <w:r>
        <w:rPr>
          <w:rFonts w:hint="eastAsia" w:ascii="宋体" w:hAnsi="宋体" w:cs="宋体"/>
          <w:color w:val="auto"/>
          <w:sz w:val="24"/>
          <w:szCs w:val="24"/>
          <w:highlight w:val="none"/>
          <w:lang w:eastAsia="zh-CN"/>
        </w:rPr>
        <w:t>生产企业的有效</w:t>
      </w:r>
      <w:r>
        <w:rPr>
          <w:rFonts w:hint="eastAsia" w:ascii="宋体" w:hAnsi="宋体" w:eastAsia="宋体" w:cs="宋体"/>
          <w:color w:val="auto"/>
          <w:sz w:val="24"/>
          <w:szCs w:val="24"/>
          <w:highlight w:val="none"/>
        </w:rPr>
        <w:t>《农药生产许可证》、《产品标准证》。</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eastAsia="宋体"/>
          <w:lang w:val="en-US" w:eastAsia="zh-CN"/>
        </w:rPr>
      </w:pPr>
      <w:r>
        <w:rPr>
          <w:rFonts w:hint="eastAsia" w:ascii="宋体" w:hAnsi="宋体" w:cs="宋体"/>
          <w:color w:val="auto"/>
          <w:sz w:val="24"/>
          <w:szCs w:val="24"/>
          <w:highlight w:val="none"/>
          <w:lang w:val="en-US" w:eastAsia="zh-CN"/>
        </w:rPr>
        <w:t>7.4</w:t>
      </w:r>
      <w:r>
        <w:rPr>
          <w:rFonts w:hint="eastAsia" w:ascii="宋体" w:hAnsi="宋体" w:eastAsia="宋体" w:cs="宋体"/>
          <w:color w:val="auto"/>
          <w:sz w:val="24"/>
          <w:highlight w:val="none"/>
          <w:lang w:val="en-US" w:eastAsia="zh-CN"/>
        </w:rPr>
        <w:t>本项目为专门面向中小企业采购；</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本项目不接受联合体</w:t>
      </w:r>
      <w:r>
        <w:rPr>
          <w:rFonts w:hint="eastAsia" w:ascii="宋体" w:hAnsi="宋体" w:cs="宋体"/>
          <w:color w:val="auto"/>
          <w:sz w:val="24"/>
          <w:szCs w:val="24"/>
          <w:highlight w:val="none"/>
          <w:lang w:eastAsia="zh-CN"/>
        </w:rPr>
        <w:t>响应</w:t>
      </w:r>
      <w:r>
        <w:rPr>
          <w:rFonts w:hint="eastAsia" w:ascii="宋体" w:hAnsi="宋体" w:eastAsia="宋体" w:cs="宋体"/>
          <w:color w:val="auto"/>
          <w:sz w:val="24"/>
          <w:szCs w:val="24"/>
          <w:highlight w:val="none"/>
        </w:rPr>
        <w:t>。</w:t>
      </w:r>
    </w:p>
    <w:p>
      <w:pPr>
        <w:keepNext w:val="0"/>
        <w:keepLines w:val="0"/>
        <w:pageBreakBefore w:val="0"/>
        <w:widowControl w:val="0"/>
        <w:kinsoku/>
        <w:overflowPunct/>
        <w:autoSpaceDE/>
        <w:autoSpaceDN/>
        <w:bidi w:val="0"/>
        <w:adjustRightInd/>
        <w:snapToGrid/>
        <w:spacing w:line="360" w:lineRule="auto"/>
        <w:ind w:right="0" w:rightChars="0"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六、严禁参加本次采购活动的供应商</w:t>
      </w:r>
    </w:p>
    <w:p>
      <w:pPr>
        <w:keepNext w:val="0"/>
        <w:keepLines w:val="0"/>
        <w:pageBreakBefore w:val="0"/>
        <w:widowControl w:val="0"/>
        <w:kinsoku/>
        <w:overflowPunct/>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keepNext w:val="0"/>
        <w:keepLines w:val="0"/>
        <w:pageBreakBefore w:val="0"/>
        <w:widowControl w:val="0"/>
        <w:kinsoku/>
        <w:overflowPunct/>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2.为采购项目提供整体设计、规范编制或者项目管理、监理、检测等服务的供应商，不得参加本采购项目。供应商为采购人、采购代理机构在确定采购需求、编制</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文件过程中提供咨询论证，其提供的咨询论证意见成为</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文件中规定的供应商资格条件、技术服务商务要求、评审因素和标准、政府采购合同等实质性内容条款的，视同为采购项目提供规范编制。</w:t>
      </w:r>
    </w:p>
    <w:p>
      <w:pPr>
        <w:keepNext w:val="0"/>
        <w:keepLines w:val="0"/>
        <w:pageBreakBefore w:val="0"/>
        <w:widowControl w:val="0"/>
        <w:kinsoku/>
        <w:overflowPunct/>
        <w:autoSpaceDE/>
        <w:autoSpaceDN/>
        <w:bidi w:val="0"/>
        <w:adjustRightInd/>
        <w:snapToGrid/>
        <w:spacing w:line="360" w:lineRule="auto"/>
        <w:ind w:right="0" w:rightChars="0"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七、谈判文件获取方式、时间、地点：</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报名方式1：现场获取</w:t>
      </w:r>
      <w:r>
        <w:rPr>
          <w:rFonts w:hint="eastAsia" w:ascii="宋体" w:hAnsi="宋体" w:eastAsia="宋体" w:cs="宋体"/>
          <w:b w:val="0"/>
          <w:bCs w:val="0"/>
          <w:kern w:val="2"/>
          <w:sz w:val="24"/>
          <w:szCs w:val="24"/>
          <w:highlight w:val="none"/>
          <w:lang w:val="en-US" w:eastAsia="zh-CN" w:bidi="ar-SA"/>
        </w:rPr>
        <w:t>，</w:t>
      </w:r>
      <w:r>
        <w:rPr>
          <w:rFonts w:hint="eastAsia" w:ascii="宋体" w:hAnsi="宋体" w:cs="宋体"/>
          <w:sz w:val="24"/>
          <w:highlight w:val="none"/>
        </w:rPr>
        <w:t>谈判文件</w:t>
      </w:r>
      <w:r>
        <w:rPr>
          <w:rFonts w:hint="eastAsia" w:ascii="宋体" w:hAnsi="宋体" w:eastAsia="宋体" w:cs="宋体"/>
          <w:b w:val="0"/>
          <w:bCs w:val="0"/>
          <w:kern w:val="2"/>
          <w:sz w:val="24"/>
          <w:szCs w:val="24"/>
          <w:highlight w:val="none"/>
          <w:lang w:val="en-US" w:eastAsia="zh-CN" w:bidi="ar-SA"/>
        </w:rPr>
        <w:t>自2021年6</w:t>
      </w:r>
      <w:r>
        <w:rPr>
          <w:rFonts w:hint="eastAsia" w:ascii="宋体" w:hAnsi="宋体" w:eastAsia="宋体" w:cs="宋体"/>
          <w:b w:val="0"/>
          <w:bCs w:val="0"/>
          <w:color w:val="auto"/>
          <w:kern w:val="2"/>
          <w:sz w:val="24"/>
          <w:szCs w:val="24"/>
          <w:highlight w:val="none"/>
          <w:lang w:val="en-US" w:eastAsia="zh-CN" w:bidi="ar-SA"/>
        </w:rPr>
        <w:t>月</w:t>
      </w:r>
      <w:r>
        <w:rPr>
          <w:rFonts w:hint="eastAsia" w:ascii="宋体" w:hAnsi="宋体" w:cs="宋体"/>
          <w:b w:val="0"/>
          <w:bCs w:val="0"/>
          <w:color w:val="auto"/>
          <w:kern w:val="2"/>
          <w:sz w:val="24"/>
          <w:szCs w:val="24"/>
          <w:highlight w:val="none"/>
          <w:lang w:val="en-US" w:eastAsia="zh-CN" w:bidi="ar-SA"/>
        </w:rPr>
        <w:t>22</w:t>
      </w:r>
      <w:r>
        <w:rPr>
          <w:rFonts w:hint="eastAsia" w:ascii="宋体" w:hAnsi="宋体" w:eastAsia="宋体" w:cs="宋体"/>
          <w:b w:val="0"/>
          <w:bCs w:val="0"/>
          <w:color w:val="auto"/>
          <w:kern w:val="2"/>
          <w:sz w:val="24"/>
          <w:szCs w:val="24"/>
          <w:highlight w:val="none"/>
          <w:lang w:val="en-US" w:eastAsia="zh-CN" w:bidi="ar-SA"/>
        </w:rPr>
        <w:t>日至2021年6月</w:t>
      </w:r>
      <w:r>
        <w:rPr>
          <w:rFonts w:hint="eastAsia" w:ascii="宋体" w:hAnsi="宋体" w:cs="宋体"/>
          <w:b w:val="0"/>
          <w:bCs w:val="0"/>
          <w:color w:val="auto"/>
          <w:kern w:val="2"/>
          <w:sz w:val="24"/>
          <w:szCs w:val="24"/>
          <w:highlight w:val="none"/>
          <w:lang w:val="en-US" w:eastAsia="zh-CN" w:bidi="ar-SA"/>
        </w:rPr>
        <w:t>23</w:t>
      </w:r>
      <w:r>
        <w:rPr>
          <w:rFonts w:hint="eastAsia" w:ascii="宋体" w:hAnsi="宋体" w:eastAsia="宋体" w:cs="宋体"/>
          <w:b w:val="0"/>
          <w:bCs w:val="0"/>
          <w:color w:val="auto"/>
          <w:kern w:val="2"/>
          <w:sz w:val="24"/>
          <w:szCs w:val="24"/>
          <w:highlight w:val="none"/>
          <w:lang w:val="en-US" w:eastAsia="zh-CN" w:bidi="ar-SA"/>
        </w:rPr>
        <w:t>日每天上午9:00-12:00，下午14:00-17:00（北京时间，节假日除外）在我司获取，</w:t>
      </w:r>
      <w:r>
        <w:rPr>
          <w:rFonts w:hint="eastAsia" w:ascii="宋体" w:hAnsi="宋体" w:eastAsia="宋体" w:cs="宋体"/>
          <w:color w:val="auto"/>
          <w:kern w:val="2"/>
          <w:sz w:val="24"/>
          <w:szCs w:val="24"/>
          <w:highlight w:val="none"/>
          <w:lang w:val="en-US" w:eastAsia="zh-CN" w:bidi="ar-SA"/>
        </w:rPr>
        <w:t>凡有意参加的供应商，请持单位介绍信原件（盖鲜章）、经办人身份证明复印件（盖鲜章）；供应商为自然人的，提供本人身份证明材料至四川易通天和招标代理有限公司（地址：成都市高新区天府大道北段1700号新世纪环球中心W6-2019）获取谈判文件。</w:t>
      </w:r>
    </w:p>
    <w:p>
      <w:pPr>
        <w:spacing w:line="360" w:lineRule="auto"/>
        <w:ind w:firstLine="482" w:firstLineChars="200"/>
        <w:rPr>
          <w:rFonts w:hint="eastAsia" w:ascii="宋体" w:hAnsi="宋体" w:cs="宋体"/>
          <w:sz w:val="24"/>
          <w:highlight w:val="none"/>
        </w:rPr>
      </w:pPr>
      <w:r>
        <w:rPr>
          <w:rFonts w:hint="eastAsia" w:ascii="宋体" w:hAnsi="宋体" w:eastAsia="宋体" w:cs="宋体"/>
          <w:b/>
          <w:bCs/>
          <w:color w:val="auto"/>
          <w:kern w:val="2"/>
          <w:sz w:val="24"/>
          <w:szCs w:val="24"/>
          <w:highlight w:val="none"/>
          <w:lang w:val="en-US" w:eastAsia="zh-CN" w:bidi="ar-SA"/>
        </w:rPr>
        <w:t>报名方式2：网上报名</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cs="宋体"/>
          <w:sz w:val="24"/>
          <w:highlight w:val="none"/>
        </w:rPr>
        <w:t>谈判文件</w:t>
      </w:r>
      <w:r>
        <w:rPr>
          <w:rFonts w:hint="eastAsia" w:ascii="宋体" w:hAnsi="宋体" w:eastAsia="宋体" w:cs="宋体"/>
          <w:color w:val="auto"/>
          <w:sz w:val="24"/>
          <w:szCs w:val="24"/>
          <w:highlight w:val="none"/>
        </w:rPr>
        <w:t>自</w:t>
      </w:r>
      <w:r>
        <w:rPr>
          <w:rFonts w:hint="eastAsia" w:ascii="宋体" w:hAnsi="宋体" w:eastAsia="宋体" w:cs="宋体"/>
          <w:b w:val="0"/>
          <w:bCs w:val="0"/>
          <w:color w:val="auto"/>
          <w:kern w:val="2"/>
          <w:sz w:val="24"/>
          <w:szCs w:val="24"/>
          <w:highlight w:val="none"/>
          <w:lang w:val="en-US" w:eastAsia="zh-CN" w:bidi="ar-SA"/>
        </w:rPr>
        <w:t>2021年6月</w:t>
      </w:r>
      <w:r>
        <w:rPr>
          <w:rFonts w:hint="eastAsia" w:ascii="宋体" w:hAnsi="宋体" w:cs="宋体"/>
          <w:b w:val="0"/>
          <w:bCs w:val="0"/>
          <w:color w:val="auto"/>
          <w:kern w:val="2"/>
          <w:sz w:val="24"/>
          <w:szCs w:val="24"/>
          <w:highlight w:val="none"/>
          <w:lang w:val="en-US" w:eastAsia="zh-CN" w:bidi="ar-SA"/>
        </w:rPr>
        <w:t>22</w:t>
      </w:r>
      <w:r>
        <w:rPr>
          <w:rFonts w:hint="eastAsia" w:ascii="宋体" w:hAnsi="宋体" w:eastAsia="宋体" w:cs="宋体"/>
          <w:b w:val="0"/>
          <w:bCs w:val="0"/>
          <w:color w:val="auto"/>
          <w:kern w:val="2"/>
          <w:sz w:val="24"/>
          <w:szCs w:val="24"/>
          <w:highlight w:val="none"/>
          <w:lang w:val="en-US" w:eastAsia="zh-CN" w:bidi="ar-SA"/>
        </w:rPr>
        <w:t>日至2021年6月</w:t>
      </w:r>
      <w:r>
        <w:rPr>
          <w:rFonts w:hint="eastAsia" w:ascii="宋体" w:hAnsi="宋体" w:cs="宋体"/>
          <w:b w:val="0"/>
          <w:bCs w:val="0"/>
          <w:color w:val="auto"/>
          <w:kern w:val="2"/>
          <w:sz w:val="24"/>
          <w:szCs w:val="24"/>
          <w:highlight w:val="none"/>
          <w:lang w:val="en-US" w:eastAsia="zh-CN" w:bidi="ar-SA"/>
        </w:rPr>
        <w:t>23</w:t>
      </w:r>
      <w:r>
        <w:rPr>
          <w:rFonts w:hint="eastAsia" w:ascii="宋体" w:hAnsi="宋体" w:eastAsia="宋体" w:cs="宋体"/>
          <w:b w:val="0"/>
          <w:bCs w:val="0"/>
          <w:color w:val="auto"/>
          <w:kern w:val="2"/>
          <w:sz w:val="24"/>
          <w:szCs w:val="24"/>
          <w:highlight w:val="none"/>
          <w:lang w:val="en-US" w:eastAsia="zh-CN" w:bidi="ar-SA"/>
        </w:rPr>
        <w:t>日</w:t>
      </w:r>
      <w:r>
        <w:rPr>
          <w:rFonts w:hint="eastAsia" w:ascii="宋体" w:hAnsi="宋体" w:eastAsia="宋体" w:cs="宋体"/>
          <w:color w:val="auto"/>
          <w:sz w:val="24"/>
          <w:szCs w:val="24"/>
          <w:highlight w:val="none"/>
        </w:rPr>
        <w:t>每天上午9:</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0-12:00，下午1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:00-1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0（北京时间，节假日除外）在我司指定网站(http://scytth.c</w:t>
      </w:r>
      <w:r>
        <w:rPr>
          <w:rFonts w:hint="eastAsia" w:ascii="宋体" w:hAnsi="宋体" w:eastAsia="宋体" w:cs="宋体"/>
          <w:color w:val="auto"/>
          <w:kern w:val="2"/>
          <w:sz w:val="24"/>
          <w:szCs w:val="24"/>
          <w:highlight w:val="none"/>
          <w:lang w:val="en-US" w:eastAsia="zh-CN" w:bidi="ar-SA"/>
        </w:rPr>
        <w:t>om/)获取，获取流程咨询电话：李老师028-85320556。</w:t>
      </w:r>
    </w:p>
    <w:p>
      <w:pPr>
        <w:spacing w:line="360" w:lineRule="auto"/>
        <w:ind w:firstLine="480" w:firstLineChars="200"/>
        <w:rPr>
          <w:rFonts w:ascii="宋体" w:hAnsi="宋体"/>
          <w:sz w:val="24"/>
          <w:highlight w:val="none"/>
        </w:rPr>
      </w:pPr>
      <w:r>
        <w:rPr>
          <w:rFonts w:hint="eastAsia" w:ascii="宋体" w:hAnsi="宋体" w:cs="宋体"/>
          <w:sz w:val="24"/>
          <w:highlight w:val="none"/>
        </w:rPr>
        <w:t>本项目</w:t>
      </w:r>
      <w:r>
        <w:rPr>
          <w:rFonts w:hint="eastAsia" w:ascii="宋体" w:hAnsi="宋体" w:cs="宋体"/>
          <w:sz w:val="24"/>
          <w:highlight w:val="none"/>
          <w:lang w:eastAsia="zh-CN"/>
        </w:rPr>
        <w:t>谈判</w:t>
      </w:r>
      <w:r>
        <w:rPr>
          <w:rFonts w:hint="eastAsia" w:ascii="宋体" w:hAnsi="宋体" w:cs="宋体"/>
          <w:sz w:val="24"/>
          <w:highlight w:val="none"/>
        </w:rPr>
        <w:t>文件免费获取，</w:t>
      </w:r>
      <w:r>
        <w:rPr>
          <w:rFonts w:hint="eastAsia" w:ascii="宋体" w:hAnsi="宋体" w:cs="宋体"/>
          <w:sz w:val="24"/>
          <w:highlight w:val="none"/>
          <w:lang w:eastAsia="zh-CN"/>
        </w:rPr>
        <w:t>谈判</w:t>
      </w:r>
      <w:r>
        <w:rPr>
          <w:rFonts w:hint="eastAsia" w:ascii="宋体" w:hAnsi="宋体" w:cs="宋体"/>
          <w:sz w:val="24"/>
          <w:highlight w:val="none"/>
        </w:rPr>
        <w:t>资格不能转让。未购买竞争性谈判文件并登记备案的供应商不得参加本项目谈判。</w:t>
      </w:r>
    </w:p>
    <w:p>
      <w:pPr>
        <w:keepNext w:val="0"/>
        <w:keepLines w:val="0"/>
        <w:pageBreakBefore w:val="0"/>
        <w:widowControl w:val="0"/>
        <w:kinsoku/>
        <w:overflowPunct/>
        <w:autoSpaceDE/>
        <w:autoSpaceDN/>
        <w:bidi w:val="0"/>
        <w:adjustRightInd/>
        <w:snapToGrid/>
        <w:spacing w:line="360" w:lineRule="auto"/>
        <w:ind w:right="0" w:righ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八、递交响应文件截止时间</w:t>
      </w:r>
      <w:r>
        <w:rPr>
          <w:rFonts w:hint="eastAsia" w:ascii="宋体" w:hAnsi="宋体" w:eastAsia="宋体" w:cs="宋体"/>
          <w:b/>
          <w:color w:val="auto"/>
          <w:kern w:val="0"/>
          <w:sz w:val="24"/>
          <w:szCs w:val="24"/>
          <w:highlight w:val="none"/>
        </w:rPr>
        <w:t>(参加谈判的时间)</w:t>
      </w:r>
      <w:r>
        <w:rPr>
          <w:rFonts w:hint="eastAsia" w:ascii="宋体" w:hAnsi="宋体" w:eastAsia="宋体" w:cs="宋体"/>
          <w:b/>
          <w:color w:val="auto"/>
          <w:sz w:val="24"/>
          <w:szCs w:val="24"/>
          <w:highlight w:val="none"/>
        </w:rPr>
        <w:t>：</w:t>
      </w:r>
      <w:r>
        <w:rPr>
          <w:rFonts w:hint="eastAsia" w:ascii="宋体" w:hAnsi="宋体" w:eastAsia="宋体" w:cs="宋体"/>
          <w:b/>
          <w:bCs/>
          <w:color w:val="auto"/>
          <w:sz w:val="24"/>
          <w:szCs w:val="24"/>
          <w:highlight w:val="none"/>
        </w:rPr>
        <w:t>20</w:t>
      </w: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年</w:t>
      </w:r>
      <w:r>
        <w:rPr>
          <w:rFonts w:hint="eastAsia" w:ascii="宋体" w:hAnsi="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lang w:val="en-US" w:eastAsia="zh-CN"/>
        </w:rPr>
        <w:t>25</w:t>
      </w:r>
      <w:r>
        <w:rPr>
          <w:rFonts w:hint="eastAsia" w:ascii="宋体" w:hAnsi="宋体" w:eastAsia="宋体" w:cs="宋体"/>
          <w:b/>
          <w:bCs/>
          <w:color w:val="auto"/>
          <w:sz w:val="24"/>
          <w:szCs w:val="24"/>
          <w:highlight w:val="none"/>
        </w:rPr>
        <w:t>日1</w:t>
      </w:r>
      <w:r>
        <w:rPr>
          <w:rFonts w:hint="eastAsia" w:ascii="宋体" w:hAnsi="宋体" w:cs="宋体"/>
          <w:b/>
          <w:bCs/>
          <w:color w:val="auto"/>
          <w:sz w:val="24"/>
          <w:szCs w:val="24"/>
          <w:highlight w:val="none"/>
          <w:lang w:val="en-US" w:eastAsia="zh-CN"/>
        </w:rPr>
        <w:t>0</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r>
        <w:rPr>
          <w:rFonts w:hint="eastAsia" w:ascii="宋体" w:hAnsi="宋体" w:eastAsia="宋体" w:cs="宋体"/>
          <w:color w:val="auto"/>
          <w:sz w:val="24"/>
          <w:szCs w:val="24"/>
          <w:highlight w:val="none"/>
        </w:rPr>
        <w:t>（北京时间）。</w:t>
      </w:r>
    </w:p>
    <w:p>
      <w:pPr>
        <w:keepNext w:val="0"/>
        <w:keepLines w:val="0"/>
        <w:pageBreakBefore w:val="0"/>
        <w:widowControl w:val="0"/>
        <w:kinsoku/>
        <w:overflowPunct/>
        <w:autoSpaceDE/>
        <w:autoSpaceDN/>
        <w:bidi w:val="0"/>
        <w:adjustRightInd/>
        <w:snapToGrid/>
        <w:spacing w:line="360" w:lineRule="auto"/>
        <w:ind w:right="0" w:righ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九、递交响应文件地点：</w:t>
      </w:r>
      <w:bookmarkStart w:id="10" w:name="PO_默认文件内容_7"/>
      <w:r>
        <w:rPr>
          <w:rFonts w:hint="eastAsia" w:ascii="宋体" w:hAnsi="宋体" w:eastAsia="宋体" w:cs="宋体"/>
          <w:color w:val="auto"/>
          <w:sz w:val="24"/>
          <w:szCs w:val="24"/>
          <w:highlight w:val="none"/>
        </w:rPr>
        <w:t>响应文件必须在递交响应文件截止时间前送达谈判地点。逾期送达或没有密封的响应文件恕不接收。本次采购不接收邮寄的响应文件。</w:t>
      </w:r>
      <w:bookmarkEnd w:id="10"/>
    </w:p>
    <w:p>
      <w:pPr>
        <w:keepNext w:val="0"/>
        <w:keepLines w:val="0"/>
        <w:pageBreakBefore w:val="0"/>
        <w:widowControl w:val="0"/>
        <w:kinsoku/>
        <w:overflowPunct/>
        <w:autoSpaceDE/>
        <w:autoSpaceDN/>
        <w:bidi w:val="0"/>
        <w:adjustRightInd/>
        <w:snapToGrid/>
        <w:spacing w:line="360" w:lineRule="auto"/>
        <w:ind w:right="0" w:righ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十、响应文件开启时间：</w:t>
      </w:r>
      <w:r>
        <w:rPr>
          <w:rFonts w:hint="eastAsia" w:ascii="宋体" w:hAnsi="宋体" w:eastAsia="宋体" w:cs="宋体"/>
          <w:b/>
          <w:bCs/>
          <w:color w:val="auto"/>
          <w:sz w:val="24"/>
          <w:szCs w:val="24"/>
          <w:highlight w:val="none"/>
        </w:rPr>
        <w:t>20</w:t>
      </w: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年</w:t>
      </w:r>
      <w:r>
        <w:rPr>
          <w:rFonts w:hint="eastAsia" w:ascii="宋体" w:hAnsi="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lang w:val="en-US" w:eastAsia="zh-CN"/>
        </w:rPr>
        <w:t>25</w:t>
      </w:r>
      <w:r>
        <w:rPr>
          <w:rFonts w:hint="eastAsia" w:ascii="宋体" w:hAnsi="宋体" w:eastAsia="宋体" w:cs="宋体"/>
          <w:b/>
          <w:bCs/>
          <w:color w:val="auto"/>
          <w:sz w:val="24"/>
          <w:szCs w:val="24"/>
          <w:highlight w:val="none"/>
        </w:rPr>
        <w:t>日1</w:t>
      </w:r>
      <w:r>
        <w:rPr>
          <w:rFonts w:hint="eastAsia" w:ascii="宋体" w:hAnsi="宋体" w:cs="宋体"/>
          <w:b/>
          <w:bCs/>
          <w:color w:val="auto"/>
          <w:sz w:val="24"/>
          <w:szCs w:val="24"/>
          <w:highlight w:val="none"/>
          <w:lang w:val="en-US" w:eastAsia="zh-CN"/>
        </w:rPr>
        <w:t>0：3</w:t>
      </w:r>
      <w:r>
        <w:rPr>
          <w:rFonts w:hint="eastAsia" w:ascii="宋体" w:hAnsi="宋体" w:eastAsia="宋体" w:cs="宋体"/>
          <w:b/>
          <w:bCs/>
          <w:color w:val="auto"/>
          <w:sz w:val="24"/>
          <w:szCs w:val="24"/>
          <w:highlight w:val="none"/>
        </w:rPr>
        <w:t>0</w:t>
      </w:r>
      <w:r>
        <w:rPr>
          <w:rFonts w:hint="eastAsia" w:ascii="宋体" w:hAnsi="宋体" w:eastAsia="宋体" w:cs="宋体"/>
          <w:color w:val="auto"/>
          <w:sz w:val="24"/>
          <w:szCs w:val="24"/>
          <w:highlight w:val="none"/>
        </w:rPr>
        <w:t>（北京时间）在谈判地点开启。</w:t>
      </w:r>
    </w:p>
    <w:p>
      <w:pPr>
        <w:keepNext w:val="0"/>
        <w:keepLines w:val="0"/>
        <w:pageBreakBefore w:val="0"/>
        <w:widowControl w:val="0"/>
        <w:kinsoku/>
        <w:overflowPunct/>
        <w:autoSpaceDE/>
        <w:autoSpaceDN/>
        <w:bidi w:val="0"/>
        <w:adjustRightInd/>
        <w:snapToGrid/>
        <w:spacing w:line="360" w:lineRule="auto"/>
        <w:ind w:right="0" w:righ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十一、谈判地点：</w:t>
      </w:r>
      <w:r>
        <w:rPr>
          <w:rFonts w:hint="eastAsia" w:ascii="宋体" w:hAnsi="宋体" w:eastAsia="宋体" w:cs="宋体"/>
          <w:bCs/>
          <w:color w:val="auto"/>
          <w:sz w:val="24"/>
          <w:szCs w:val="24"/>
          <w:highlight w:val="none"/>
        </w:rPr>
        <w:t>四川易通天和招标代理有限公司（地址：</w:t>
      </w:r>
      <w:r>
        <w:rPr>
          <w:rFonts w:hint="eastAsia" w:ascii="宋体" w:hAnsi="宋体" w:eastAsia="宋体" w:cs="宋体"/>
          <w:bCs/>
          <w:color w:val="auto"/>
          <w:sz w:val="24"/>
          <w:szCs w:val="24"/>
          <w:highlight w:val="none"/>
          <w:lang w:eastAsia="zh-CN"/>
        </w:rPr>
        <w:t>成都市高新区天府大道北段1700号新世纪环球中心W6-2019</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w:t>
      </w:r>
    </w:p>
    <w:p>
      <w:pPr>
        <w:keepNext w:val="0"/>
        <w:keepLines w:val="0"/>
        <w:pageBreakBefore w:val="0"/>
        <w:widowControl w:val="0"/>
        <w:kinsoku/>
        <w:overflowPunct/>
        <w:autoSpaceDE/>
        <w:autoSpaceDN/>
        <w:bidi w:val="0"/>
        <w:adjustRightInd/>
        <w:snapToGrid/>
        <w:spacing w:line="360" w:lineRule="auto"/>
        <w:ind w:right="0" w:rightChars="0"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十二、供应商信用融资： </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w:t>
      </w:r>
      <w:r>
        <w:rPr>
          <w:rFonts w:hint="eastAsia" w:ascii="宋体" w:hAnsi="宋体"/>
          <w:bCs/>
          <w:color w:val="auto"/>
          <w:sz w:val="24"/>
          <w:highlight w:val="none"/>
          <w:lang w:eastAsia="zh-CN"/>
        </w:rPr>
        <w:t>谈判</w:t>
      </w:r>
      <w:r>
        <w:rPr>
          <w:rFonts w:hint="eastAsia" w:ascii="宋体" w:hAnsi="宋体"/>
          <w:bCs/>
          <w:color w:val="auto"/>
          <w:sz w:val="24"/>
          <w:highlight w:val="none"/>
        </w:rPr>
        <w:t>文件附件“川财采[2018]123号”）。</w:t>
      </w:r>
    </w:p>
    <w:p>
      <w:pPr>
        <w:keepNext w:val="0"/>
        <w:keepLines w:val="0"/>
        <w:pageBreakBefore w:val="0"/>
        <w:widowControl w:val="0"/>
        <w:kinsoku/>
        <w:overflowPunct/>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bCs/>
          <w:color w:val="auto"/>
          <w:sz w:val="24"/>
          <w:highlight w:val="none"/>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w:t>
      </w:r>
      <w:r>
        <w:rPr>
          <w:rFonts w:hint="eastAsia" w:ascii="宋体" w:hAnsi="宋体"/>
          <w:bCs/>
          <w:color w:val="auto"/>
          <w:sz w:val="24"/>
          <w:highlight w:val="none"/>
          <w:lang w:eastAsia="zh-CN"/>
        </w:rPr>
        <w:t>谈判</w:t>
      </w:r>
      <w:r>
        <w:rPr>
          <w:rFonts w:hint="eastAsia" w:ascii="宋体" w:hAnsi="宋体"/>
          <w:bCs/>
          <w:color w:val="auto"/>
          <w:sz w:val="24"/>
          <w:highlight w:val="none"/>
        </w:rPr>
        <w:t>文件附件“成财采[2019]17号”）。</w:t>
      </w:r>
    </w:p>
    <w:p>
      <w:pPr>
        <w:pStyle w:val="69"/>
        <w:keepNext w:val="0"/>
        <w:keepLines w:val="0"/>
        <w:pageBreakBefore w:val="0"/>
        <w:widowControl w:val="0"/>
        <w:kinsoku/>
        <w:overflowPunct/>
        <w:autoSpaceDE/>
        <w:autoSpaceDN/>
        <w:bidi w:val="0"/>
        <w:adjustRightInd/>
        <w:snapToGrid/>
        <w:spacing w:line="360" w:lineRule="auto"/>
        <w:ind w:right="0" w:rightChars="0"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十三、联系方式</w:t>
      </w:r>
    </w:p>
    <w:p>
      <w:pPr>
        <w:pStyle w:val="69"/>
        <w:keepNext w:val="0"/>
        <w:keepLines w:val="0"/>
        <w:pageBreakBefore w:val="0"/>
        <w:widowControl w:val="0"/>
        <w:kinsoku/>
        <w:wordWrap/>
        <w:overflowPunct/>
        <w:topLinePunct w:val="0"/>
        <w:autoSpaceDE/>
        <w:autoSpaceDN/>
        <w:bidi w:val="0"/>
        <w:adjustRightInd/>
        <w:snapToGrid/>
        <w:spacing w:line="440" w:lineRule="exact"/>
        <w:ind w:right="0" w:rightChars="0" w:firstLine="482" w:firstLineChars="200"/>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color w:val="auto"/>
          <w:sz w:val="24"/>
          <w:szCs w:val="24"/>
          <w:highlight w:val="none"/>
        </w:rPr>
        <w:t>采</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购</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人：</w:t>
      </w:r>
      <w:r>
        <w:rPr>
          <w:rFonts w:hint="eastAsia" w:ascii="宋体" w:hAnsi="宋体" w:cs="宋体"/>
          <w:b/>
          <w:color w:val="auto"/>
          <w:sz w:val="24"/>
          <w:szCs w:val="24"/>
          <w:highlight w:val="none"/>
          <w:lang w:eastAsia="zh-CN"/>
        </w:rPr>
        <w:t>四川天府新区籍田街道办事处</w:t>
      </w:r>
    </w:p>
    <w:p>
      <w:pPr>
        <w:pStyle w:val="69"/>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地</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址：</w:t>
      </w:r>
      <w:r>
        <w:rPr>
          <w:rFonts w:hint="eastAsia" w:ascii="宋体" w:hAnsi="宋体"/>
          <w:sz w:val="24"/>
        </w:rPr>
        <w:t>成都市天府新区籍田街道东街46号</w:t>
      </w:r>
    </w:p>
    <w:p>
      <w:pPr>
        <w:pStyle w:val="69"/>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 系 人：</w:t>
      </w:r>
      <w:r>
        <w:rPr>
          <w:rFonts w:hint="eastAsia" w:ascii="宋体" w:hAnsi="宋体" w:cs="宋体"/>
          <w:color w:val="auto"/>
          <w:sz w:val="24"/>
          <w:szCs w:val="24"/>
          <w:highlight w:val="none"/>
          <w:lang w:eastAsia="zh-CN"/>
        </w:rPr>
        <w:t>苏</w:t>
      </w:r>
      <w:r>
        <w:rPr>
          <w:rFonts w:hint="eastAsia" w:ascii="宋体" w:hAnsi="宋体" w:eastAsia="宋体" w:cs="宋体"/>
          <w:color w:val="auto"/>
          <w:sz w:val="24"/>
          <w:szCs w:val="24"/>
          <w:highlight w:val="none"/>
          <w:lang w:val="en-US" w:eastAsia="zh-CN"/>
        </w:rPr>
        <w:t>老师</w:t>
      </w:r>
    </w:p>
    <w:p>
      <w:pPr>
        <w:pStyle w:val="69"/>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联系电话：</w:t>
      </w:r>
      <w:r>
        <w:rPr>
          <w:rFonts w:hint="eastAsia" w:ascii="宋体" w:hAnsi="宋体"/>
          <w:sz w:val="24"/>
        </w:rPr>
        <w:t>028-85691289</w:t>
      </w:r>
    </w:p>
    <w:p>
      <w:pPr>
        <w:pStyle w:val="69"/>
        <w:keepNext w:val="0"/>
        <w:keepLines w:val="0"/>
        <w:pageBreakBefore w:val="0"/>
        <w:widowControl w:val="0"/>
        <w:kinsoku/>
        <w:wordWrap/>
        <w:overflowPunct/>
        <w:topLinePunct w:val="0"/>
        <w:autoSpaceDE/>
        <w:autoSpaceDN/>
        <w:bidi w:val="0"/>
        <w:adjustRightInd/>
        <w:snapToGrid/>
        <w:spacing w:line="440" w:lineRule="exact"/>
        <w:ind w:right="0" w:rightChars="0"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采购代理机构：四川易通天和招标代理有限公司</w:t>
      </w:r>
    </w:p>
    <w:p>
      <w:pPr>
        <w:pStyle w:val="69"/>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开户银行：中国民生银行股份有限公司成都铁像寺支行</w:t>
      </w:r>
    </w:p>
    <w:p>
      <w:pPr>
        <w:pStyle w:val="69"/>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账    号：150532479</w:t>
      </w:r>
    </w:p>
    <w:p>
      <w:pPr>
        <w:pStyle w:val="69"/>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地</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址：</w:t>
      </w:r>
      <w:r>
        <w:rPr>
          <w:rFonts w:hint="eastAsia" w:ascii="宋体" w:hAnsi="宋体" w:eastAsia="宋体" w:cs="宋体"/>
          <w:bCs/>
          <w:color w:val="auto"/>
          <w:sz w:val="24"/>
          <w:szCs w:val="24"/>
          <w:highlight w:val="none"/>
          <w:lang w:eastAsia="zh-CN"/>
        </w:rPr>
        <w:t>成都市高新区天府大道北段1700号新世纪环球中心W6-2019</w:t>
      </w:r>
    </w:p>
    <w:p>
      <w:pPr>
        <w:pStyle w:val="69"/>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邮    编：610041</w:t>
      </w:r>
    </w:p>
    <w:p>
      <w:pPr>
        <w:pStyle w:val="69"/>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联 系 人：</w:t>
      </w:r>
      <w:r>
        <w:rPr>
          <w:rFonts w:hint="eastAsia" w:ascii="宋体" w:hAnsi="宋体" w:cs="宋体"/>
          <w:bCs/>
          <w:color w:val="auto"/>
          <w:sz w:val="24"/>
          <w:szCs w:val="24"/>
          <w:highlight w:val="none"/>
          <w:lang w:eastAsia="zh-CN"/>
        </w:rPr>
        <w:t>范女士</w:t>
      </w:r>
    </w:p>
    <w:p>
      <w:pPr>
        <w:pStyle w:val="69"/>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联系电话：028-85320556</w:t>
      </w:r>
    </w:p>
    <w:p>
      <w:pPr>
        <w:pStyle w:val="69"/>
        <w:keepNext w:val="0"/>
        <w:keepLines w:val="0"/>
        <w:pageBreakBefore w:val="0"/>
        <w:widowControl w:val="0"/>
        <w:kinsoku/>
        <w:overflowPunct/>
        <w:autoSpaceDE/>
        <w:autoSpaceDN/>
        <w:bidi w:val="0"/>
        <w:adjustRightInd/>
        <w:snapToGrid/>
        <w:spacing w:line="360" w:lineRule="auto"/>
        <w:ind w:right="0" w:rightChars="0" w:firstLine="480" w:firstLineChars="200"/>
        <w:jc w:val="righ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20</w:t>
      </w:r>
      <w:r>
        <w:rPr>
          <w:rFonts w:hint="eastAsia" w:ascii="宋体" w:hAnsi="宋体" w:eastAsia="宋体" w:cs="宋体"/>
          <w:bCs/>
          <w:color w:val="auto"/>
          <w:sz w:val="24"/>
          <w:szCs w:val="24"/>
          <w:highlight w:val="none"/>
          <w:lang w:val="en-US" w:eastAsia="zh-CN"/>
        </w:rPr>
        <w:t>2</w:t>
      </w:r>
      <w:r>
        <w:rPr>
          <w:rFonts w:hint="eastAsia" w:ascii="宋体" w:hAnsi="宋体" w:cs="宋体"/>
          <w:bCs/>
          <w:color w:val="auto"/>
          <w:sz w:val="24"/>
          <w:szCs w:val="24"/>
          <w:highlight w:val="none"/>
          <w:lang w:val="en-US" w:eastAsia="zh-CN"/>
        </w:rPr>
        <w:t>1</w:t>
      </w:r>
      <w:r>
        <w:rPr>
          <w:rFonts w:hint="eastAsia" w:ascii="宋体" w:hAnsi="宋体" w:eastAsia="宋体" w:cs="宋体"/>
          <w:bCs/>
          <w:color w:val="auto"/>
          <w:sz w:val="24"/>
          <w:szCs w:val="24"/>
          <w:highlight w:val="none"/>
        </w:rPr>
        <w:t>年</w:t>
      </w:r>
      <w:r>
        <w:rPr>
          <w:rFonts w:hint="eastAsia" w:ascii="宋体" w:hAnsi="宋体" w:cs="宋体"/>
          <w:bCs/>
          <w:color w:val="auto"/>
          <w:sz w:val="24"/>
          <w:szCs w:val="24"/>
          <w:highlight w:val="none"/>
          <w:lang w:val="en-US" w:eastAsia="zh-CN"/>
        </w:rPr>
        <w:t>6</w:t>
      </w:r>
      <w:r>
        <w:rPr>
          <w:rFonts w:hint="eastAsia" w:ascii="宋体" w:hAnsi="宋体" w:eastAsia="宋体" w:cs="宋体"/>
          <w:bCs/>
          <w:color w:val="auto"/>
          <w:sz w:val="24"/>
          <w:szCs w:val="24"/>
          <w:highlight w:val="none"/>
        </w:rPr>
        <w:t>月</w:t>
      </w:r>
      <w:r>
        <w:rPr>
          <w:rFonts w:hint="eastAsia" w:ascii="宋体" w:hAnsi="宋体" w:cs="宋体"/>
          <w:bCs/>
          <w:color w:val="auto"/>
          <w:sz w:val="24"/>
          <w:szCs w:val="24"/>
          <w:highlight w:val="none"/>
          <w:lang w:val="en-US" w:eastAsia="zh-CN"/>
        </w:rPr>
        <w:t>21</w:t>
      </w:r>
      <w:r>
        <w:rPr>
          <w:rFonts w:hint="eastAsia" w:ascii="宋体" w:hAnsi="宋体" w:eastAsia="宋体" w:cs="宋体"/>
          <w:bCs/>
          <w:color w:val="auto"/>
          <w:sz w:val="24"/>
          <w:szCs w:val="24"/>
          <w:highlight w:val="none"/>
          <w:lang w:val="en-US" w:eastAsia="zh-CN"/>
        </w:rPr>
        <w:t>日</w:t>
      </w:r>
    </w:p>
    <w:p>
      <w:pPr>
        <w:widowControl/>
        <w:spacing w:line="360" w:lineRule="auto"/>
        <w:jc w:val="left"/>
        <w:rPr>
          <w:rFonts w:hint="eastAsia" w:ascii="宋体" w:hAnsi="宋体" w:eastAsia="宋体" w:cs="宋体"/>
          <w:color w:val="auto"/>
          <w:sz w:val="24"/>
          <w:szCs w:val="28"/>
          <w:highlight w:val="none"/>
        </w:rPr>
      </w:pPr>
      <w:bookmarkStart w:id="11" w:name="_Toc213396759"/>
      <w:bookmarkStart w:id="12" w:name="_Toc213496267"/>
      <w:bookmarkStart w:id="13" w:name="_Toc217446031"/>
      <w:bookmarkStart w:id="14" w:name="_Toc213396945"/>
      <w:bookmarkStart w:id="15" w:name="_Toc213397009"/>
      <w:r>
        <w:rPr>
          <w:rFonts w:hint="eastAsia" w:ascii="宋体" w:hAnsi="宋体" w:eastAsia="宋体" w:cs="宋体"/>
          <w:b/>
          <w:bCs/>
          <w:color w:val="auto"/>
          <w:sz w:val="24"/>
          <w:szCs w:val="28"/>
          <w:highlight w:val="none"/>
        </w:rPr>
        <w:br w:type="page"/>
      </w:r>
    </w:p>
    <w:p>
      <w:pPr>
        <w:pStyle w:val="4"/>
        <w:spacing w:before="0" w:after="0" w:line="360" w:lineRule="auto"/>
        <w:jc w:val="center"/>
        <w:rPr>
          <w:rFonts w:hint="eastAsia" w:eastAsia="宋体"/>
          <w:highlight w:val="none"/>
        </w:rPr>
      </w:pPr>
      <w:bookmarkStart w:id="16" w:name="_Toc11410"/>
      <w:bookmarkStart w:id="17" w:name="_Toc531596532"/>
      <w:r>
        <w:rPr>
          <w:rFonts w:hint="eastAsia" w:eastAsia="宋体"/>
          <w:highlight w:val="none"/>
        </w:rPr>
        <w:t>第二章  谈判须知</w:t>
      </w:r>
      <w:bookmarkEnd w:id="11"/>
      <w:bookmarkEnd w:id="12"/>
      <w:bookmarkEnd w:id="13"/>
      <w:bookmarkEnd w:id="14"/>
      <w:bookmarkEnd w:id="15"/>
      <w:bookmarkEnd w:id="16"/>
      <w:bookmarkEnd w:id="17"/>
    </w:p>
    <w:p>
      <w:pPr>
        <w:pStyle w:val="6"/>
        <w:spacing w:before="0" w:after="0" w:line="360" w:lineRule="auto"/>
        <w:jc w:val="center"/>
        <w:rPr>
          <w:rFonts w:hint="eastAsia"/>
          <w:highlight w:val="none"/>
        </w:rPr>
      </w:pPr>
      <w:r>
        <w:rPr>
          <w:rFonts w:hint="eastAsia"/>
          <w:highlight w:val="none"/>
        </w:rPr>
        <w:t>一、供应商须知附表</w:t>
      </w:r>
    </w:p>
    <w:tbl>
      <w:tblPr>
        <w:tblStyle w:val="43"/>
        <w:tblW w:w="5013" w:type="pct"/>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autofit"/>
        <w:tblCellMar>
          <w:top w:w="0" w:type="dxa"/>
          <w:left w:w="0" w:type="dxa"/>
          <w:bottom w:w="0" w:type="dxa"/>
          <w:right w:w="0" w:type="dxa"/>
        </w:tblCellMar>
      </w:tblPr>
      <w:tblGrid>
        <w:gridCol w:w="680"/>
        <w:gridCol w:w="1610"/>
        <w:gridCol w:w="6873"/>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序号</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应知事项</w:t>
            </w:r>
          </w:p>
        </w:tc>
        <w:tc>
          <w:tcPr>
            <w:tcW w:w="3749"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采购预算</w:t>
            </w:r>
          </w:p>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（实质性要求）</w:t>
            </w:r>
          </w:p>
        </w:tc>
        <w:tc>
          <w:tcPr>
            <w:tcW w:w="3749" w:type="pct"/>
          </w:tcPr>
          <w:p>
            <w:pPr>
              <w:pStyle w:val="7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2"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预算金额：</w:t>
            </w:r>
            <w:r>
              <w:rPr>
                <w:rFonts w:hint="eastAsia" w:cs="宋体"/>
                <w:b/>
                <w:bCs/>
                <w:color w:val="auto"/>
                <w:sz w:val="21"/>
                <w:szCs w:val="21"/>
                <w:highlight w:val="none"/>
                <w:lang w:val="en-US" w:eastAsia="zh-CN"/>
              </w:rPr>
              <w:t>80万元（大写：人民币捌拾万元整）</w:t>
            </w:r>
            <w:r>
              <w:rPr>
                <w:rFonts w:hint="eastAsia" w:ascii="宋体" w:hAnsi="宋体" w:eastAsia="宋体" w:cs="宋体"/>
                <w:b/>
                <w:bCs/>
                <w:color w:val="auto"/>
                <w:sz w:val="21"/>
                <w:szCs w:val="21"/>
                <w:highlight w:val="none"/>
              </w:rPr>
              <w:t>。</w:t>
            </w:r>
          </w:p>
          <w:p>
            <w:pPr>
              <w:pStyle w:val="7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报价超过采购预算,其响应文件按无效处理。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最高限价</w:t>
            </w:r>
          </w:p>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（实质性要求）</w:t>
            </w:r>
          </w:p>
        </w:tc>
        <w:tc>
          <w:tcPr>
            <w:tcW w:w="3749" w:type="pct"/>
            <w:vAlign w:val="center"/>
          </w:tcPr>
          <w:p>
            <w:pPr>
              <w:pStyle w:val="7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2" w:firstLineChars="200"/>
              <w:jc w:val="both"/>
              <w:textAlignment w:val="auto"/>
              <w:rPr>
                <w:rFonts w:hint="eastAsia" w:ascii="宋体" w:hAnsi="宋体" w:eastAsia="宋体" w:cs="宋体"/>
                <w:b/>
                <w:bCs/>
                <w:color w:val="auto"/>
                <w:sz w:val="21"/>
                <w:szCs w:val="21"/>
                <w:highlight w:val="none"/>
                <w:lang w:val="zh-CN"/>
              </w:rPr>
            </w:pPr>
            <w:bookmarkStart w:id="18" w:name="PO_默认文件内容_8"/>
            <w:r>
              <w:rPr>
                <w:rFonts w:hint="eastAsia" w:ascii="宋体" w:hAnsi="宋体" w:eastAsia="宋体" w:cs="宋体"/>
                <w:b/>
                <w:bCs/>
                <w:color w:val="auto"/>
                <w:sz w:val="21"/>
                <w:szCs w:val="21"/>
                <w:highlight w:val="none"/>
              </w:rPr>
              <w:t>最高限价：</w:t>
            </w:r>
            <w:r>
              <w:rPr>
                <w:rFonts w:hint="eastAsia" w:cs="宋体"/>
                <w:b/>
                <w:bCs/>
                <w:color w:val="auto"/>
                <w:sz w:val="21"/>
                <w:szCs w:val="21"/>
                <w:highlight w:val="none"/>
                <w:lang w:val="en-US" w:eastAsia="zh-CN"/>
              </w:rPr>
              <w:t>767460.06元（大写：人民币柒拾陆万柒仟肆佰陆拾元零陆分）（本项目单价限价：水稻36元/亩；玉米32元/亩）</w:t>
            </w:r>
            <w:r>
              <w:rPr>
                <w:rFonts w:hint="eastAsia" w:ascii="宋体" w:hAnsi="宋体" w:eastAsia="宋体" w:cs="宋体"/>
                <w:b/>
                <w:bCs/>
                <w:color w:val="auto"/>
                <w:sz w:val="21"/>
                <w:szCs w:val="21"/>
                <w:highlight w:val="none"/>
              </w:rPr>
              <w:t>。</w:t>
            </w:r>
          </w:p>
          <w:p>
            <w:pPr>
              <w:pStyle w:val="7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报价超过最高</w:t>
            </w:r>
            <w:r>
              <w:rPr>
                <w:rFonts w:hint="eastAsia" w:cs="宋体"/>
                <w:color w:val="auto"/>
                <w:sz w:val="21"/>
                <w:szCs w:val="21"/>
                <w:highlight w:val="none"/>
                <w:lang w:val="zh-CN"/>
              </w:rPr>
              <w:t>（单价）</w:t>
            </w:r>
            <w:r>
              <w:rPr>
                <w:rFonts w:hint="eastAsia" w:ascii="宋体" w:hAnsi="宋体" w:eastAsia="宋体" w:cs="宋体"/>
                <w:color w:val="auto"/>
                <w:sz w:val="21"/>
                <w:szCs w:val="21"/>
                <w:highlight w:val="none"/>
                <w:lang w:val="zh-CN"/>
              </w:rPr>
              <w:t>限价,其响应文件按无效处理。</w:t>
            </w:r>
            <w:bookmarkEnd w:id="18"/>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进口产品</w:t>
            </w:r>
          </w:p>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（实质性要求）</w:t>
            </w:r>
          </w:p>
        </w:tc>
        <w:tc>
          <w:tcPr>
            <w:tcW w:w="3749" w:type="pct"/>
            <w:vAlign w:val="center"/>
          </w:tcPr>
          <w:p>
            <w:pPr>
              <w:pStyle w:val="7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w:t>
            </w:r>
            <w:r>
              <w:rPr>
                <w:rFonts w:hint="eastAsia" w:cs="宋体"/>
                <w:color w:val="auto"/>
                <w:sz w:val="21"/>
                <w:szCs w:val="21"/>
                <w:highlight w:val="none"/>
                <w:lang w:val="en-US" w:eastAsia="zh-CN"/>
              </w:rPr>
              <w:t>谈判</w:t>
            </w:r>
            <w:r>
              <w:rPr>
                <w:rFonts w:hint="eastAsia" w:ascii="宋体" w:hAnsi="宋体" w:eastAsia="宋体" w:cs="宋体"/>
                <w:color w:val="auto"/>
                <w:sz w:val="21"/>
                <w:szCs w:val="21"/>
                <w:highlight w:val="none"/>
              </w:rPr>
              <w:t>文件中未载明“允许采购进口产品”的产品，视为拒绝进口产品参与竞争，供应商以进口产品投标时，将按无效投标处理。载明“允许采购进口产品”的产品，不限制国产产品参与竞争。</w:t>
            </w:r>
          </w:p>
          <w:p>
            <w:pPr>
              <w:pStyle w:val="7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低于成本价</w:t>
            </w:r>
          </w:p>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不正当竞争预防措施</w:t>
            </w:r>
          </w:p>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b/>
                <w:bCs/>
                <w:color w:val="auto"/>
                <w:sz w:val="21"/>
                <w:szCs w:val="21"/>
                <w:highlight w:val="none"/>
                <w:lang w:val="zh-CN"/>
              </w:rPr>
              <w:t>（实质性要求）</w:t>
            </w:r>
          </w:p>
        </w:tc>
        <w:tc>
          <w:tcPr>
            <w:tcW w:w="3749" w:type="pct"/>
          </w:tcPr>
          <w:p>
            <w:pPr>
              <w:pStyle w:val="172"/>
              <w:tabs>
                <w:tab w:val="left" w:pos="314"/>
              </w:tabs>
              <w:spacing w:line="360" w:lineRule="auto"/>
              <w:ind w:firstLine="420" w:firstLineChars="200"/>
              <w:jc w:val="left"/>
              <w:rPr>
                <w:bCs/>
                <w:sz w:val="21"/>
                <w:szCs w:val="21"/>
                <w:highlight w:val="none"/>
                <w:lang w:bidi="ar-SA"/>
              </w:rPr>
            </w:pPr>
            <w:r>
              <w:rPr>
                <w:rFonts w:hint="eastAsia"/>
                <w:bCs/>
                <w:sz w:val="21"/>
                <w:szCs w:val="21"/>
                <w:highlight w:val="none"/>
                <w:lang w:bidi="ar-SA"/>
              </w:rPr>
              <w:t>（</w:t>
            </w:r>
            <w:r>
              <w:rPr>
                <w:rFonts w:hint="eastAsia"/>
                <w:bCs/>
                <w:sz w:val="21"/>
                <w:szCs w:val="21"/>
                <w:highlight w:val="none"/>
                <w:lang w:val="en-US" w:bidi="ar-SA"/>
              </w:rPr>
              <w:t>1</w:t>
            </w:r>
            <w:r>
              <w:rPr>
                <w:rFonts w:hint="eastAsia"/>
                <w:bCs/>
                <w:sz w:val="21"/>
                <w:szCs w:val="21"/>
                <w:highlight w:val="none"/>
                <w:lang w:bidi="ar-SA"/>
              </w:rPr>
              <w:t>）在评审过程中，</w:t>
            </w:r>
            <w:r>
              <w:rPr>
                <w:rFonts w:hint="eastAsia"/>
                <w:bCs/>
                <w:sz w:val="21"/>
                <w:szCs w:val="21"/>
                <w:highlight w:val="none"/>
                <w:lang w:eastAsia="zh-CN" w:bidi="ar-SA"/>
              </w:rPr>
              <w:t>谈判</w:t>
            </w:r>
            <w:r>
              <w:rPr>
                <w:rFonts w:hint="eastAsia"/>
                <w:bCs/>
                <w:sz w:val="21"/>
                <w:szCs w:val="21"/>
                <w:highlight w:val="none"/>
                <w:lang w:bidi="ar-SA"/>
              </w:rPr>
              <w:t>小组认为供应商的报价明显低于其他有效供应商的报价，有可能影响产品质量或者不能诚信履约的，应当要求其在评审现场合理的时间内提供书面说明，必要时提交相关证明材料；供应商不能证明其报价合理性的，</w:t>
            </w:r>
            <w:r>
              <w:rPr>
                <w:rFonts w:hint="eastAsia"/>
                <w:bCs/>
                <w:sz w:val="21"/>
                <w:szCs w:val="21"/>
                <w:highlight w:val="none"/>
                <w:lang w:eastAsia="zh-CN" w:bidi="ar-SA"/>
              </w:rPr>
              <w:t>谈判</w:t>
            </w:r>
            <w:r>
              <w:rPr>
                <w:rFonts w:hint="eastAsia"/>
                <w:bCs/>
                <w:sz w:val="21"/>
                <w:szCs w:val="21"/>
                <w:highlight w:val="none"/>
                <w:lang w:bidi="ar-SA"/>
              </w:rPr>
              <w:t>小组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172"/>
              <w:tabs>
                <w:tab w:val="left" w:pos="314"/>
              </w:tabs>
              <w:spacing w:line="360" w:lineRule="auto"/>
              <w:ind w:firstLine="420" w:firstLineChars="200"/>
              <w:jc w:val="left"/>
              <w:rPr>
                <w:bCs/>
                <w:sz w:val="21"/>
                <w:szCs w:val="21"/>
                <w:highlight w:val="none"/>
                <w:lang w:bidi="ar-SA"/>
              </w:rPr>
            </w:pPr>
            <w:r>
              <w:rPr>
                <w:rFonts w:hint="eastAsia"/>
                <w:bCs/>
                <w:sz w:val="21"/>
                <w:szCs w:val="21"/>
                <w:highlight w:val="none"/>
                <w:lang w:bidi="ar-SA"/>
              </w:rPr>
              <w:t>（</w:t>
            </w:r>
            <w:r>
              <w:rPr>
                <w:rFonts w:hint="eastAsia"/>
                <w:bCs/>
                <w:sz w:val="21"/>
                <w:szCs w:val="21"/>
                <w:highlight w:val="none"/>
                <w:lang w:val="en-US" w:bidi="ar-SA"/>
              </w:rPr>
              <w:t>2</w:t>
            </w:r>
            <w:r>
              <w:rPr>
                <w:rFonts w:hint="eastAsia"/>
                <w:bCs/>
                <w:sz w:val="21"/>
                <w:szCs w:val="21"/>
                <w:highlight w:val="none"/>
                <w:lang w:bidi="ar-S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73"/>
              <w:keepNext w:val="0"/>
              <w:keepLines w:val="0"/>
              <w:pageBreakBefore w:val="0"/>
              <w:widowControl w:val="0"/>
              <w:kinsoku/>
              <w:wordWrap/>
              <w:overflowPunct/>
              <w:topLinePunct w:val="0"/>
              <w:bidi w:val="0"/>
              <w:snapToGrid/>
              <w:spacing w:line="360" w:lineRule="auto"/>
              <w:ind w:left="0" w:leftChars="0" w:right="0" w:rightChars="0" w:firstLine="210" w:firstLineChars="100"/>
              <w:jc w:val="both"/>
              <w:textAlignment w:val="auto"/>
              <w:rPr>
                <w:rFonts w:hint="eastAsia" w:ascii="宋体" w:hAnsi="宋体" w:eastAsia="宋体" w:cs="宋体"/>
                <w:color w:val="auto"/>
                <w:sz w:val="21"/>
                <w:szCs w:val="21"/>
                <w:highlight w:val="none"/>
                <w:lang w:val="zh-CN"/>
              </w:rPr>
            </w:pPr>
            <w:r>
              <w:rPr>
                <w:rFonts w:hint="eastAsia"/>
                <w:bCs/>
                <w:sz w:val="21"/>
                <w:szCs w:val="21"/>
                <w:highlight w:val="none"/>
                <w:lang w:bidi="ar-SA"/>
              </w:rPr>
              <w:t>（</w:t>
            </w:r>
            <w:r>
              <w:rPr>
                <w:rFonts w:hint="eastAsia"/>
                <w:bCs/>
                <w:sz w:val="21"/>
                <w:szCs w:val="21"/>
                <w:highlight w:val="none"/>
                <w:lang w:val="en-US" w:bidi="ar-SA"/>
              </w:rPr>
              <w:t>3</w:t>
            </w:r>
            <w:r>
              <w:rPr>
                <w:rFonts w:hint="eastAsia"/>
                <w:bCs/>
                <w:sz w:val="21"/>
                <w:szCs w:val="21"/>
                <w:highlight w:val="none"/>
                <w:lang w:bidi="ar-SA"/>
              </w:rPr>
              <w:t>）供应商提供书面说明后，</w:t>
            </w:r>
            <w:r>
              <w:rPr>
                <w:rFonts w:hint="eastAsia"/>
                <w:bCs/>
                <w:sz w:val="21"/>
                <w:szCs w:val="21"/>
                <w:highlight w:val="none"/>
                <w:lang w:eastAsia="zh-CN" w:bidi="ar-SA"/>
              </w:rPr>
              <w:t>谈判</w:t>
            </w:r>
            <w:r>
              <w:rPr>
                <w:rFonts w:hint="eastAsia"/>
                <w:bCs/>
                <w:sz w:val="21"/>
                <w:szCs w:val="21"/>
                <w:highlight w:val="none"/>
                <w:lang w:bidi="ar-SA"/>
              </w:rPr>
              <w:t>小组应当结合采购项目采购需求、专业实际情况、供应商财务状况报告、与其他供应商比较情况等就供应商书面说明进行审查评价。供应商拒绝或者变相拒绝(包括未在规定时间内提供的)提供  有效书面说明或者书面说明不能证明其报价合理性的，</w:t>
            </w:r>
            <w:r>
              <w:rPr>
                <w:rFonts w:hint="eastAsia"/>
                <w:bCs/>
                <w:sz w:val="21"/>
                <w:szCs w:val="21"/>
                <w:highlight w:val="none"/>
                <w:lang w:eastAsia="zh-CN" w:bidi="ar-SA"/>
              </w:rPr>
              <w:t>谈判</w:t>
            </w:r>
            <w:r>
              <w:rPr>
                <w:rFonts w:hint="eastAsia"/>
                <w:bCs/>
                <w:sz w:val="21"/>
                <w:szCs w:val="21"/>
                <w:highlight w:val="none"/>
                <w:lang w:bidi="ar-SA"/>
              </w:rPr>
              <w:t>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小微企业（监狱企业、残疾人福利单位视同小微企业）价格扣除和失信企业报价加成或者扣分</w:t>
            </w:r>
          </w:p>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b/>
                <w:bCs/>
                <w:color w:val="auto"/>
                <w:sz w:val="21"/>
                <w:szCs w:val="21"/>
                <w:highlight w:val="none"/>
                <w:lang w:val="zh-CN"/>
              </w:rPr>
              <w:t>（实质性要求）</w:t>
            </w:r>
          </w:p>
        </w:tc>
        <w:tc>
          <w:tcPr>
            <w:tcW w:w="3749" w:type="pct"/>
          </w:tcPr>
          <w:p>
            <w:pPr>
              <w:keepNext w:val="0"/>
              <w:keepLines w:val="0"/>
              <w:pageBreakBefore w:val="0"/>
              <w:widowControl w:val="0"/>
              <w:kinsoku/>
              <w:overflowPunct/>
              <w:topLinePunct w:val="0"/>
              <w:bidi w:val="0"/>
              <w:snapToGrid/>
              <w:spacing w:line="360" w:lineRule="auto"/>
              <w:ind w:firstLine="422" w:firstLineChars="200"/>
              <w:textAlignment w:val="auto"/>
              <w:rPr>
                <w:rFonts w:ascii="宋体" w:hAnsi="宋体" w:cs="宋体"/>
                <w:b/>
                <w:bCs/>
                <w:szCs w:val="21"/>
                <w:highlight w:val="none"/>
              </w:rPr>
            </w:pPr>
            <w:r>
              <w:rPr>
                <w:rFonts w:hint="eastAsia" w:ascii="宋体" w:hAnsi="宋体" w:cs="宋体"/>
                <w:b/>
                <w:bCs/>
                <w:szCs w:val="21"/>
                <w:highlight w:val="none"/>
              </w:rPr>
              <w:t>一、小微企业（监狱企业、残疾人福利性单位均视同小微企业）价格扣除</w:t>
            </w:r>
            <w:r>
              <w:rPr>
                <w:rFonts w:hint="eastAsia" w:ascii="宋体" w:hAnsi="宋体" w:cs="宋体"/>
                <w:b/>
                <w:bCs/>
                <w:szCs w:val="21"/>
                <w:highlight w:val="none"/>
                <w:lang w:eastAsia="zh-CN"/>
              </w:rPr>
              <w:t>（本项目不涉及）</w:t>
            </w:r>
          </w:p>
          <w:p>
            <w:pPr>
              <w:pStyle w:val="73"/>
              <w:spacing w:line="360" w:lineRule="auto"/>
              <w:ind w:firstLine="420" w:firstLineChars="200"/>
              <w:rPr>
                <w:bCs/>
                <w:kern w:val="2"/>
                <w:sz w:val="21"/>
                <w:szCs w:val="21"/>
              </w:rPr>
            </w:pPr>
            <w:r>
              <w:rPr>
                <w:rFonts w:hint="eastAsia"/>
                <w:bCs/>
                <w:kern w:val="2"/>
                <w:sz w:val="21"/>
                <w:szCs w:val="21"/>
              </w:rPr>
              <w:t>1、根据《</w:t>
            </w:r>
            <w:r>
              <w:rPr>
                <w:rFonts w:hint="eastAsia"/>
                <w:bCs/>
                <w:kern w:val="2"/>
                <w:sz w:val="21"/>
                <w:szCs w:val="21"/>
                <w:lang w:eastAsia="zh-CN"/>
              </w:rPr>
              <w:t>政府采购促进中小企业发展管理办法</w:t>
            </w:r>
            <w:r>
              <w:rPr>
                <w:rFonts w:hint="eastAsia"/>
                <w:bCs/>
                <w:kern w:val="2"/>
                <w:sz w:val="21"/>
                <w:szCs w:val="21"/>
              </w:rPr>
              <w:t>》（财库〔2020〕46号）的规定，对小型和微型企业产品的价格给予10%的价格扣除，用扣除后的价格参与评标。</w:t>
            </w:r>
          </w:p>
          <w:p>
            <w:pPr>
              <w:pStyle w:val="73"/>
              <w:spacing w:line="360" w:lineRule="auto"/>
              <w:ind w:firstLine="420" w:firstLineChars="200"/>
              <w:rPr>
                <w:bCs/>
                <w:kern w:val="2"/>
                <w:sz w:val="21"/>
                <w:szCs w:val="21"/>
              </w:rPr>
            </w:pPr>
            <w:r>
              <w:rPr>
                <w:rFonts w:hint="eastAsia"/>
                <w:bCs/>
                <w:kern w:val="2"/>
                <w:sz w:val="21"/>
                <w:szCs w:val="21"/>
              </w:rPr>
              <w:t>2、参加政府采购活动的中小企业应当提供《中小企业声明函》原件。监狱企业应当提供《监狱企业证明》原件。残疾人福利性单位应当提供《残疾人福利性单位声明函》原件。</w:t>
            </w:r>
          </w:p>
          <w:p>
            <w:pPr>
              <w:pStyle w:val="73"/>
              <w:spacing w:line="360" w:lineRule="auto"/>
              <w:ind w:firstLine="420" w:firstLineChars="200"/>
              <w:rPr>
                <w:bCs/>
                <w:kern w:val="2"/>
                <w:sz w:val="21"/>
                <w:szCs w:val="21"/>
              </w:rPr>
            </w:pPr>
            <w:r>
              <w:rPr>
                <w:rFonts w:hint="eastAsia"/>
                <w:bCs/>
                <w:kern w:val="2"/>
                <w:sz w:val="21"/>
                <w:szCs w:val="21"/>
              </w:rPr>
              <w:t>3、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3%（工程项目为2%）的扣除，用扣除后的价格参加评审。</w:t>
            </w:r>
          </w:p>
          <w:p>
            <w:pPr>
              <w:pStyle w:val="73"/>
              <w:spacing w:line="360" w:lineRule="auto"/>
              <w:ind w:firstLine="420" w:firstLineChars="200"/>
              <w:rPr>
                <w:rFonts w:hint="eastAsia"/>
                <w:bCs/>
                <w:kern w:val="2"/>
                <w:sz w:val="21"/>
                <w:szCs w:val="21"/>
              </w:rPr>
            </w:pPr>
            <w:r>
              <w:rPr>
                <w:rFonts w:hint="eastAsia"/>
                <w:bCs/>
                <w:kern w:val="2"/>
                <w:sz w:val="21"/>
                <w:szCs w:val="21"/>
              </w:rPr>
              <w:t>组成联合体或者接受分包的小微企业与联合体内其他企业、分包企业之间存在直接控股、管理关系的，不享受价格扣除优惠政策。</w:t>
            </w:r>
          </w:p>
          <w:p>
            <w:pPr>
              <w:keepNext w:val="0"/>
              <w:keepLines w:val="0"/>
              <w:pageBreakBefore w:val="0"/>
              <w:widowControl w:val="0"/>
              <w:kinsoku/>
              <w:overflowPunct/>
              <w:topLinePunct w:val="0"/>
              <w:bidi w:val="0"/>
              <w:snapToGrid/>
              <w:spacing w:line="360" w:lineRule="auto"/>
              <w:ind w:firstLine="420" w:firstLineChars="200"/>
              <w:textAlignment w:val="auto"/>
              <w:rPr>
                <w:rFonts w:ascii="宋体" w:hAnsi="宋体" w:cs="宋体"/>
                <w:szCs w:val="21"/>
                <w:highlight w:val="none"/>
              </w:rPr>
            </w:pPr>
            <w:r>
              <w:rPr>
                <w:rFonts w:hint="eastAsia"/>
                <w:bCs/>
                <w:kern w:val="2"/>
                <w:sz w:val="21"/>
                <w:szCs w:val="21"/>
              </w:rPr>
              <w:t>4、符合中小企业划分标准的个体工商户，在政府采购活动中视同中小企业。</w:t>
            </w:r>
          </w:p>
          <w:p>
            <w:pPr>
              <w:keepNext w:val="0"/>
              <w:keepLines w:val="0"/>
              <w:pageBreakBefore w:val="0"/>
              <w:widowControl w:val="0"/>
              <w:kinsoku/>
              <w:overflowPunct/>
              <w:topLinePunct w:val="0"/>
              <w:bidi w:val="0"/>
              <w:snapToGrid/>
              <w:spacing w:line="360" w:lineRule="auto"/>
              <w:ind w:firstLine="422" w:firstLineChars="200"/>
              <w:textAlignment w:val="auto"/>
              <w:rPr>
                <w:rFonts w:ascii="宋体" w:hAnsi="宋体" w:cs="宋体"/>
                <w:b/>
                <w:bCs/>
                <w:szCs w:val="21"/>
                <w:highlight w:val="none"/>
              </w:rPr>
            </w:pPr>
            <w:r>
              <w:rPr>
                <w:rFonts w:hint="eastAsia" w:ascii="宋体" w:hAnsi="宋体" w:cs="宋体"/>
                <w:b/>
                <w:bCs/>
                <w:szCs w:val="21"/>
                <w:highlight w:val="none"/>
              </w:rPr>
              <w:t>二、失信企业报价加成</w:t>
            </w:r>
          </w:p>
          <w:p>
            <w:pPr>
              <w:keepNext w:val="0"/>
              <w:keepLines w:val="0"/>
              <w:pageBreakBefore w:val="0"/>
              <w:widowControl w:val="0"/>
              <w:kinsoku/>
              <w:wordWrap w:val="0"/>
              <w:overflowPunct/>
              <w:topLinePunct w:val="0"/>
              <w:bidi w:val="0"/>
              <w:snapToGrid/>
              <w:spacing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1）对按照《四川省政府采购当事人诚信管理办法》（川财采[2015]33号）记入诚信档案的且在有效期内的失信供应商（被纳入法院、工商行政管理部门、税务部门、银行认定的失信名单且在有效期内的供应商以及列入“信用中国”网站(www.creditchina.gov.cn)、“中国政府采购网”网站(www.ccgp.gov.cn)中任一网站的失信被执行人名单或重大税收违法案件当事人名单或政府采购严重违法失信行为记录名单的除外），在参加政府采购活动中实行10%/次的报价加成、以加成后报价作为该供应商报价评标，因其失信行为进行报价加成惩戒后报价超过政府采购预算的，其投标文件按照无效处理。</w:t>
            </w:r>
          </w:p>
          <w:p>
            <w:pPr>
              <w:pStyle w:val="73"/>
              <w:keepNext w:val="0"/>
              <w:keepLines w:val="0"/>
              <w:pageBreakBefore w:val="0"/>
              <w:widowControl w:val="0"/>
              <w:kinsoku/>
              <w:overflowPunct/>
              <w:topLinePunct w:val="0"/>
              <w:bidi w:val="0"/>
              <w:snapToGrid/>
              <w:spacing w:line="360" w:lineRule="auto"/>
              <w:ind w:firstLine="420" w:firstLineChars="200"/>
              <w:textAlignment w:val="auto"/>
              <w:rPr>
                <w:sz w:val="21"/>
                <w:szCs w:val="21"/>
                <w:highlight w:val="none"/>
              </w:rPr>
            </w:pPr>
            <w:r>
              <w:rPr>
                <w:rFonts w:hint="eastAsia"/>
                <w:sz w:val="21"/>
                <w:szCs w:val="21"/>
                <w:highlight w:val="none"/>
              </w:rPr>
              <w:t>（2）供应商参加政府采购活动时，应当就自己的诚信情况在响应文件中进行承诺。</w:t>
            </w:r>
          </w:p>
          <w:p>
            <w:pPr>
              <w:pStyle w:val="73"/>
              <w:keepNext w:val="0"/>
              <w:keepLines w:val="0"/>
              <w:pageBreakBefore w:val="0"/>
              <w:widowControl w:val="0"/>
              <w:kinsoku/>
              <w:wordWrap/>
              <w:overflowPunct/>
              <w:topLinePunct w:val="0"/>
              <w:bidi w:val="0"/>
              <w:snapToGrid/>
              <w:spacing w:line="360" w:lineRule="auto"/>
              <w:ind w:left="0" w:leftChars="0" w:right="0" w:rightChars="0" w:firstLine="422" w:firstLineChars="200"/>
              <w:jc w:val="both"/>
              <w:textAlignment w:val="auto"/>
              <w:rPr>
                <w:rFonts w:hint="eastAsia" w:ascii="宋体" w:hAnsi="宋体" w:eastAsia="宋体" w:cs="宋体"/>
                <w:color w:val="auto"/>
                <w:sz w:val="21"/>
                <w:szCs w:val="21"/>
                <w:highlight w:val="none"/>
              </w:rPr>
            </w:pPr>
            <w:r>
              <w:rPr>
                <w:rFonts w:hint="eastAsia"/>
                <w:b/>
                <w:bCs/>
                <w:sz w:val="21"/>
                <w:szCs w:val="21"/>
                <w:highlight w:val="none"/>
              </w:rPr>
              <w:t>三、符合扶持不发达地区和少数民族地区政策条件的，在同等条件下享有优先采购的机会。</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6</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谈判情况公告</w:t>
            </w:r>
          </w:p>
        </w:tc>
        <w:tc>
          <w:tcPr>
            <w:tcW w:w="3749"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bookmarkStart w:id="19" w:name="PO_默认文件内容_16"/>
            <w:r>
              <w:rPr>
                <w:rFonts w:hint="eastAsia" w:ascii="宋体" w:hAnsi="宋体" w:eastAsia="宋体" w:cs="宋体"/>
                <w:color w:val="auto"/>
                <w:sz w:val="21"/>
                <w:szCs w:val="21"/>
                <w:highlight w:val="none"/>
                <w:lang w:val="zh-CN"/>
              </w:rPr>
              <w:t>供应商资格审查情况、谈判情况、报价情况、谈判结果等在四川政府采购网上采购结果公告栏中予以公告。</w:t>
            </w:r>
            <w:bookmarkEnd w:id="19"/>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7</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谈判保证金</w:t>
            </w:r>
          </w:p>
        </w:tc>
        <w:tc>
          <w:tcPr>
            <w:tcW w:w="3749"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b/>
                <w:color w:val="auto"/>
                <w:sz w:val="21"/>
                <w:szCs w:val="21"/>
                <w:highlight w:val="none"/>
                <w:lang w:val="zh-CN"/>
              </w:rPr>
            </w:pPr>
            <w:r>
              <w:rPr>
                <w:rFonts w:hint="eastAsia" w:ascii="宋体" w:hAnsi="宋体" w:eastAsia="宋体" w:cs="宋体"/>
                <w:color w:val="auto"/>
                <w:sz w:val="21"/>
                <w:szCs w:val="21"/>
                <w:highlight w:val="none"/>
                <w:lang w:val="zh-CN"/>
              </w:rPr>
              <w:t>本项目不收取。</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8</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履约保证金</w:t>
            </w:r>
          </w:p>
        </w:tc>
        <w:tc>
          <w:tcPr>
            <w:tcW w:w="3749"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zh-CN"/>
              </w:rPr>
              <w:t>金额：</w:t>
            </w:r>
            <w:r>
              <w:rPr>
                <w:rFonts w:hint="eastAsia" w:ascii="宋体" w:hAnsi="宋体" w:eastAsia="宋体" w:cs="宋体"/>
                <w:color w:val="auto"/>
                <w:sz w:val="21"/>
                <w:szCs w:val="21"/>
                <w:highlight w:val="none"/>
                <w:lang w:val="zh-CN" w:eastAsia="zh-CN"/>
              </w:rPr>
              <w:t>成交金额</w:t>
            </w:r>
            <w:r>
              <w:rPr>
                <w:rFonts w:hint="eastAsia" w:ascii="宋体" w:hAnsi="宋体" w:eastAsia="宋体" w:cs="宋体"/>
                <w:color w:val="auto"/>
                <w:sz w:val="21"/>
                <w:szCs w:val="21"/>
                <w:highlight w:val="none"/>
                <w:lang w:val="zh-CN"/>
              </w:rPr>
              <w:t>的</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zh-CN"/>
              </w:rPr>
              <w:t>。</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CN"/>
              </w:rPr>
              <w:t>）交款方式：以支票、汇票、本票、网上银行支付或者金融机构、担保机构出具的保函等非现金形式向采购人指定账户提交。</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）收款单位</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lang w:val="zh-CN" w:eastAsia="zh-CN"/>
              </w:rPr>
              <w:t>四川天府新区籍田街道办事处。</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val="zh-CN"/>
              </w:rPr>
              <w:t>）交款时间：成交通知书发放后，政府采购合同签订前。</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履约保证金退还方式：以转账形式或电汇形式递交的履约保证金，按转账方式退还。</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履约保证金退还时间：</w:t>
            </w:r>
            <w:r>
              <w:rPr>
                <w:rFonts w:hint="eastAsia" w:cs="宋体"/>
                <w:color w:val="auto"/>
                <w:sz w:val="21"/>
                <w:szCs w:val="21"/>
                <w:highlight w:val="none"/>
                <w:lang w:eastAsia="zh-CN"/>
              </w:rPr>
              <w:t>项目完成且</w:t>
            </w:r>
            <w:r>
              <w:rPr>
                <w:rFonts w:hint="eastAsia" w:ascii="宋体" w:hAnsi="宋体" w:eastAsia="宋体" w:cs="宋体"/>
                <w:color w:val="auto"/>
                <w:sz w:val="21"/>
                <w:szCs w:val="21"/>
                <w:highlight w:val="none"/>
                <w:lang w:val="zh-CN"/>
              </w:rPr>
              <w:t>验收合格后无息退还。</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履约保证金不予退还情形：验收结果不合格的，履约保证金将不予退还。</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履约保证金不予退还的，将按照有关规定上缴国库。逾期退还履约保证金的，将依法承担法律责任，并赔偿</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损失。</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9</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bCs/>
                <w:color w:val="auto"/>
                <w:sz w:val="21"/>
                <w:szCs w:val="21"/>
                <w:highlight w:val="none"/>
              </w:rPr>
              <w:t>谈判</w:t>
            </w:r>
            <w:r>
              <w:rPr>
                <w:rFonts w:hint="eastAsia" w:ascii="宋体" w:hAnsi="宋体" w:eastAsia="宋体" w:cs="宋体"/>
                <w:color w:val="auto"/>
                <w:sz w:val="21"/>
                <w:szCs w:val="21"/>
                <w:highlight w:val="none"/>
                <w:lang w:val="zh-CN"/>
              </w:rPr>
              <w:t>文件咨询</w:t>
            </w:r>
          </w:p>
        </w:tc>
        <w:tc>
          <w:tcPr>
            <w:tcW w:w="3749"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联系人：</w:t>
            </w:r>
            <w:r>
              <w:rPr>
                <w:rFonts w:hint="eastAsia" w:cs="宋体"/>
                <w:color w:val="auto"/>
                <w:sz w:val="21"/>
                <w:szCs w:val="21"/>
                <w:highlight w:val="none"/>
                <w:lang w:val="zh-CN"/>
              </w:rPr>
              <w:t>范女士</w:t>
            </w:r>
            <w:r>
              <w:rPr>
                <w:rFonts w:hint="eastAsia" w:ascii="宋体" w:hAnsi="宋体" w:eastAsia="宋体" w:cs="宋体"/>
                <w:color w:val="auto"/>
                <w:sz w:val="21"/>
                <w:szCs w:val="21"/>
                <w:highlight w:val="none"/>
                <w:lang w:val="zh-CN"/>
              </w:rPr>
              <w:t>。       联系电话：028-85320556。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48"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lang w:val="en-US" w:eastAsia="zh-CN"/>
              </w:rPr>
              <w:t>0</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谈判过程、结果工作咨询</w:t>
            </w:r>
          </w:p>
        </w:tc>
        <w:tc>
          <w:tcPr>
            <w:tcW w:w="3749"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联系人：</w:t>
            </w:r>
            <w:r>
              <w:rPr>
                <w:rFonts w:hint="eastAsia" w:cs="宋体"/>
                <w:color w:val="auto"/>
                <w:sz w:val="21"/>
                <w:szCs w:val="21"/>
                <w:highlight w:val="none"/>
                <w:lang w:val="zh-CN"/>
              </w:rPr>
              <w:t>范女士</w:t>
            </w:r>
            <w:r>
              <w:rPr>
                <w:rFonts w:hint="eastAsia" w:ascii="宋体" w:hAnsi="宋体" w:eastAsia="宋体" w:cs="宋体"/>
                <w:color w:val="auto"/>
                <w:sz w:val="21"/>
                <w:szCs w:val="21"/>
                <w:highlight w:val="none"/>
                <w:lang w:val="zh-CN"/>
              </w:rPr>
              <w:t>。       联系电话：028-85320556。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lang w:val="en-US" w:eastAsia="zh-CN"/>
              </w:rPr>
              <w:t>1</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成交通知书领取</w:t>
            </w:r>
          </w:p>
        </w:tc>
        <w:tc>
          <w:tcPr>
            <w:tcW w:w="3749"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bookmarkStart w:id="20" w:name="PO_默认文件内容_19"/>
            <w:r>
              <w:rPr>
                <w:rFonts w:hint="eastAsia" w:ascii="宋体" w:hAnsi="宋体" w:eastAsia="宋体" w:cs="宋体"/>
                <w:color w:val="auto"/>
                <w:sz w:val="21"/>
                <w:szCs w:val="21"/>
                <w:highlight w:val="none"/>
                <w:lang w:val="zh-CN"/>
              </w:rPr>
              <w:t>采购结果公告在四川政府采购网上发布后，请成交供应商凭有效身份证明证件到采购代理机构领取成交通知书。</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 系 人：</w:t>
            </w:r>
            <w:r>
              <w:rPr>
                <w:rFonts w:hint="eastAsia" w:cs="宋体"/>
                <w:color w:val="auto"/>
                <w:sz w:val="21"/>
                <w:szCs w:val="21"/>
                <w:highlight w:val="none"/>
                <w:lang w:val="zh-CN"/>
              </w:rPr>
              <w:t>范女士</w:t>
            </w:r>
            <w:r>
              <w:rPr>
                <w:rFonts w:hint="eastAsia" w:ascii="宋体" w:hAnsi="宋体" w:eastAsia="宋体" w:cs="宋体"/>
                <w:color w:val="auto"/>
                <w:sz w:val="21"/>
                <w:szCs w:val="21"/>
                <w:highlight w:val="none"/>
                <w:lang w:val="zh-CN"/>
              </w:rPr>
              <w:t>。</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联系电话：028-85320556。</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地    址：成都市高新区天府大道北段1700号新世纪环球中心W6-2019。</w:t>
            </w:r>
            <w:bookmarkEnd w:id="20"/>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lang w:val="en-US" w:eastAsia="zh-CN"/>
              </w:rPr>
              <w:t>2</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供应商询问</w:t>
            </w:r>
          </w:p>
        </w:tc>
        <w:tc>
          <w:tcPr>
            <w:tcW w:w="3749" w:type="pct"/>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rPr>
                <w:rFonts w:hint="eastAsia" w:ascii="宋体" w:hAnsi="宋体" w:eastAsia="宋体" w:cs="宋体"/>
                <w:sz w:val="21"/>
                <w:szCs w:val="21"/>
                <w:highlight w:val="none"/>
                <w:lang w:val="zh-CN"/>
              </w:rPr>
            </w:pPr>
            <w:bookmarkStart w:id="21" w:name="PO_默认文件内容_31"/>
            <w:r>
              <w:rPr>
                <w:rFonts w:hint="eastAsia" w:ascii="宋体" w:hAnsi="宋体" w:eastAsia="宋体" w:cs="宋体"/>
                <w:sz w:val="21"/>
                <w:szCs w:val="21"/>
                <w:highlight w:val="none"/>
                <w:lang w:val="zh-CN"/>
              </w:rPr>
              <w:t>根据委托代理协议约定，供应商询问由采购代理机构负责答复。</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项目问题询问：</w:t>
            </w:r>
          </w:p>
          <w:bookmarkEnd w:id="21"/>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系</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人：</w:t>
            </w:r>
            <w:r>
              <w:rPr>
                <w:rFonts w:hint="eastAsia" w:cs="宋体"/>
                <w:color w:val="auto"/>
                <w:sz w:val="21"/>
                <w:szCs w:val="21"/>
                <w:highlight w:val="none"/>
                <w:lang w:val="zh-CN"/>
              </w:rPr>
              <w:t>范女士</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联系电话：028-85320556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lang w:val="en-US" w:eastAsia="zh-CN"/>
              </w:rPr>
              <w:t>3</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供应商质疑</w:t>
            </w:r>
          </w:p>
        </w:tc>
        <w:tc>
          <w:tcPr>
            <w:tcW w:w="3749" w:type="pct"/>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rPr>
                <w:rFonts w:hint="eastAsia" w:ascii="宋体" w:hAnsi="宋体" w:eastAsia="宋体" w:cs="宋体"/>
                <w:sz w:val="21"/>
                <w:szCs w:val="21"/>
                <w:highlight w:val="none"/>
                <w:lang w:val="zh-CN"/>
              </w:rPr>
            </w:pPr>
            <w:bookmarkStart w:id="22" w:name="PO_默认文件内容_20"/>
            <w:r>
              <w:rPr>
                <w:rFonts w:hint="eastAsia" w:ascii="宋体" w:hAnsi="宋体" w:eastAsia="宋体" w:cs="宋体"/>
                <w:sz w:val="21"/>
                <w:szCs w:val="21"/>
                <w:highlight w:val="none"/>
                <w:lang w:val="zh-CN"/>
              </w:rPr>
              <w:t>根据委托代理协议约定，供应商询问由采购代理机构负责答复。</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 系 人：</w:t>
            </w:r>
            <w:r>
              <w:rPr>
                <w:rFonts w:hint="eastAsia" w:cs="宋体"/>
                <w:color w:val="auto"/>
                <w:sz w:val="21"/>
                <w:szCs w:val="21"/>
                <w:highlight w:val="none"/>
                <w:lang w:val="zh-CN"/>
              </w:rPr>
              <w:t>范女士</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联系电话：028-85320556。</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联系地址：成都市高新区天府大道北段1700号新世纪环球中心W6-2019。</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sz w:val="21"/>
                <w:szCs w:val="21"/>
                <w:highlight w:val="none"/>
                <w:lang w:val="zh-CN"/>
              </w:rPr>
              <w:t>注：根据《中华人民共和国政府采购法》等规定，供应商质疑不得超出谈判文件、谈判过程、谈判结果的范围</w:t>
            </w:r>
            <w:r>
              <w:rPr>
                <w:rFonts w:hint="eastAsia" w:ascii="宋体" w:hAnsi="宋体" w:eastAsia="宋体" w:cs="宋体"/>
                <w:color w:val="auto"/>
                <w:kern w:val="2"/>
                <w:sz w:val="21"/>
                <w:szCs w:val="21"/>
                <w:highlight w:val="none"/>
                <w:lang w:val="zh-CN"/>
              </w:rPr>
              <w:t>，供应商质疑不得超出采购文件、采购过程、采购结果的范围,供应商针对同一采购程序环节的质疑应在法定质疑期内一次性提出。</w:t>
            </w:r>
            <w:bookmarkEnd w:id="22"/>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lang w:val="en-US" w:eastAsia="zh-CN"/>
              </w:rPr>
              <w:t>4</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供应商投诉</w:t>
            </w:r>
          </w:p>
        </w:tc>
        <w:tc>
          <w:tcPr>
            <w:tcW w:w="3749" w:type="pct"/>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投诉受理单位：本项目同级财政部门，即四川天府新区财政金融局</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联系电话：028-61889702</w:t>
            </w:r>
          </w:p>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sz w:val="21"/>
                <w:szCs w:val="21"/>
                <w:highlight w:val="none"/>
                <w:lang w:val="zh-CN" w:eastAsia="zh-CN"/>
              </w:rPr>
              <w:t>注：根据《中华人民共和国政府采购法实施条例》的规定，供应商投诉事项不得超出已质疑事项的范围</w:t>
            </w:r>
            <w:r>
              <w:rPr>
                <w:rFonts w:hint="eastAsia" w:ascii="宋体" w:hAnsi="宋体" w:eastAsia="宋体" w:cs="宋体"/>
                <w:kern w:val="2"/>
                <w:sz w:val="21"/>
                <w:szCs w:val="21"/>
                <w:highlight w:val="none"/>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083"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lang w:val="en-US" w:eastAsia="zh-CN"/>
              </w:rPr>
              <w:t>5</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政府采购合同</w:t>
            </w:r>
          </w:p>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公告备案</w:t>
            </w:r>
          </w:p>
        </w:tc>
        <w:tc>
          <w:tcPr>
            <w:tcW w:w="3749" w:type="pct"/>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bookmarkStart w:id="23" w:name="PO_默认文件内容_21"/>
            <w:r>
              <w:rPr>
                <w:rFonts w:hint="eastAsia" w:ascii="宋体" w:hAnsi="宋体" w:eastAsia="宋体" w:cs="宋体"/>
                <w:sz w:val="21"/>
                <w:szCs w:val="21"/>
                <w:highlight w:val="none"/>
                <w:lang w:val="zh-CN"/>
              </w:rPr>
              <w:t>政府采购合同签订之日起2个工作日内，政府采购合同将在四川</w:t>
            </w:r>
            <w:r>
              <w:rPr>
                <w:rFonts w:hint="eastAsia" w:ascii="宋体" w:hAnsi="宋体" w:eastAsia="宋体" w:cs="宋体"/>
                <w:color w:val="auto"/>
                <w:sz w:val="21"/>
                <w:szCs w:val="21"/>
                <w:highlight w:val="none"/>
                <w:lang w:val="zh-CN"/>
              </w:rPr>
              <w:t>政府采购网公告；政府采购合同签订之日起七个工作日内，政府采购合同将向采购项目同级财政部门备案。</w:t>
            </w:r>
            <w:bookmarkEnd w:id="23"/>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lang w:val="en-US" w:eastAsia="zh-CN"/>
              </w:rPr>
              <w:t>6</w:t>
            </w:r>
          </w:p>
        </w:tc>
        <w:tc>
          <w:tcPr>
            <w:tcW w:w="878"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成交服务费</w:t>
            </w:r>
          </w:p>
        </w:tc>
        <w:tc>
          <w:tcPr>
            <w:tcW w:w="3749"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bookmarkStart w:id="24" w:name="PO_默认文件内容_22"/>
            <w:r>
              <w:rPr>
                <w:rFonts w:hint="eastAsia"/>
                <w:bCs/>
                <w:color w:val="auto"/>
                <w:kern w:val="2"/>
                <w:sz w:val="21"/>
                <w:szCs w:val="21"/>
                <w:highlight w:val="none"/>
                <w:lang w:eastAsia="zh-CN"/>
              </w:rPr>
              <w:t>采购</w:t>
            </w:r>
            <w:r>
              <w:rPr>
                <w:rFonts w:hint="eastAsia"/>
                <w:bCs/>
                <w:color w:val="auto"/>
                <w:kern w:val="2"/>
                <w:sz w:val="21"/>
                <w:szCs w:val="21"/>
                <w:highlight w:val="none"/>
              </w:rPr>
              <w:t>代理服务费</w:t>
            </w:r>
            <w:r>
              <w:rPr>
                <w:rFonts w:hint="eastAsia"/>
                <w:bCs/>
                <w:color w:val="auto"/>
                <w:kern w:val="2"/>
                <w:sz w:val="21"/>
                <w:szCs w:val="21"/>
                <w:highlight w:val="none"/>
                <w:lang w:eastAsia="zh-CN"/>
              </w:rPr>
              <w:t>参</w:t>
            </w:r>
            <w:r>
              <w:rPr>
                <w:rFonts w:hint="eastAsia"/>
                <w:bCs/>
                <w:color w:val="auto"/>
                <w:kern w:val="2"/>
                <w:sz w:val="21"/>
                <w:szCs w:val="21"/>
                <w:highlight w:val="none"/>
              </w:rPr>
              <w:t>照原国家计委计价格[2002]1980号及发改办价格[2003]857号通知规定</w:t>
            </w:r>
            <w:r>
              <w:rPr>
                <w:rFonts w:hint="eastAsia" w:eastAsia="宋体"/>
                <w:bCs/>
                <w:color w:val="auto"/>
                <w:kern w:val="2"/>
                <w:sz w:val="21"/>
                <w:szCs w:val="21"/>
                <w:highlight w:val="none"/>
                <w:lang w:eastAsia="zh-CN"/>
              </w:rPr>
              <w:t>，</w:t>
            </w:r>
            <w:r>
              <w:rPr>
                <w:rFonts w:hint="eastAsia"/>
                <w:bCs/>
                <w:color w:val="auto"/>
                <w:kern w:val="2"/>
                <w:sz w:val="21"/>
                <w:szCs w:val="21"/>
                <w:highlight w:val="none"/>
                <w:lang w:eastAsia="zh-CN"/>
              </w:rPr>
              <w:t>按标准收取</w:t>
            </w:r>
            <w:r>
              <w:rPr>
                <w:rFonts w:hint="eastAsia"/>
                <w:bCs/>
                <w:color w:val="auto"/>
                <w:kern w:val="2"/>
                <w:sz w:val="21"/>
                <w:szCs w:val="21"/>
                <w:highlight w:val="none"/>
              </w:rPr>
              <w:t>。</w:t>
            </w:r>
          </w:p>
          <w:bookmarkEnd w:id="24"/>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rPr>
            </w:pPr>
            <w:r>
              <w:rPr>
                <w:rFonts w:hint="eastAsia" w:cs="宋体"/>
                <w:color w:val="auto"/>
                <w:sz w:val="21"/>
                <w:szCs w:val="21"/>
                <w:highlight w:val="none"/>
                <w:lang w:val="zh-CN"/>
              </w:rPr>
              <w:t>由成交单位支付给采购代理机构。</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lang w:val="en-US" w:eastAsia="zh-CN"/>
              </w:rPr>
              <w:t>7</w:t>
            </w:r>
          </w:p>
        </w:tc>
        <w:tc>
          <w:tcPr>
            <w:tcW w:w="878" w:type="pct"/>
            <w:tcBorders>
              <w:top w:val="single" w:color="auto" w:sz="8" w:space="0"/>
              <w:left w:val="single" w:color="auto" w:sz="8" w:space="0"/>
              <w:bottom w:val="single" w:color="auto" w:sz="8" w:space="0"/>
              <w:right w:val="single" w:color="auto" w:sz="8" w:space="0"/>
            </w:tcBorders>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分包</w:t>
            </w:r>
          </w:p>
        </w:tc>
        <w:tc>
          <w:tcPr>
            <w:tcW w:w="3749" w:type="pct"/>
            <w:tcBorders>
              <w:top w:val="single" w:color="auto" w:sz="8" w:space="0"/>
              <w:left w:val="single" w:color="auto" w:sz="8" w:space="0"/>
              <w:bottom w:val="single" w:color="auto" w:sz="8" w:space="0"/>
            </w:tcBorders>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zh-CN"/>
              </w:rPr>
            </w:pPr>
            <w:bookmarkStart w:id="25" w:name="PO_默认文件内容_23"/>
            <w:r>
              <w:rPr>
                <w:rFonts w:hint="eastAsia" w:ascii="宋体" w:hAnsi="宋体" w:eastAsia="宋体" w:cs="宋体"/>
                <w:color w:val="auto"/>
                <w:sz w:val="21"/>
                <w:szCs w:val="21"/>
                <w:highlight w:val="none"/>
                <w:lang w:val="zh-CN"/>
              </w:rPr>
              <w:t>不允许分包</w:t>
            </w:r>
            <w:bookmarkEnd w:id="25"/>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71" w:type="pct"/>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w:t>
            </w:r>
          </w:p>
        </w:tc>
        <w:tc>
          <w:tcPr>
            <w:tcW w:w="878" w:type="pct"/>
            <w:tcBorders>
              <w:top w:val="single" w:color="auto" w:sz="8" w:space="0"/>
              <w:left w:val="single" w:color="auto" w:sz="8" w:space="0"/>
              <w:bottom w:val="single" w:color="auto" w:sz="8" w:space="0"/>
              <w:right w:val="single" w:color="auto" w:sz="8" w:space="0"/>
            </w:tcBorders>
            <w:vAlign w:val="center"/>
          </w:tcPr>
          <w:p>
            <w:pPr>
              <w:pStyle w:val="73"/>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bCs/>
                <w:color w:val="auto"/>
                <w:kern w:val="2"/>
                <w:sz w:val="21"/>
                <w:szCs w:val="21"/>
                <w:highlight w:val="none"/>
              </w:rPr>
              <w:t>国家规定的强制认证</w:t>
            </w:r>
          </w:p>
        </w:tc>
        <w:tc>
          <w:tcPr>
            <w:tcW w:w="3749" w:type="pct"/>
            <w:tcBorders>
              <w:top w:val="single" w:color="auto" w:sz="8" w:space="0"/>
              <w:left w:val="single" w:color="auto" w:sz="8" w:space="0"/>
              <w:bottom w:val="single" w:color="auto" w:sz="8" w:space="0"/>
            </w:tcBorders>
            <w:vAlign w:val="center"/>
          </w:tcPr>
          <w:p>
            <w:pPr>
              <w:pStyle w:val="7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lang w:val="zh-CN"/>
              </w:rPr>
            </w:pPr>
            <w:r>
              <w:rPr>
                <w:rFonts w:hint="eastAsia" w:ascii="宋体" w:hAnsi="宋体" w:eastAsia="宋体" w:cs="宋体"/>
                <w:bCs/>
                <w:color w:val="auto"/>
                <w:kern w:val="2"/>
                <w:sz w:val="21"/>
                <w:szCs w:val="21"/>
                <w:highlight w:val="none"/>
              </w:rPr>
              <w:t>本项目中所采购产品涉及国家强制CCC认证的，</w:t>
            </w:r>
            <w:r>
              <w:rPr>
                <w:rFonts w:hint="eastAsia" w:ascii="宋体" w:hAnsi="宋体" w:eastAsia="宋体" w:cs="宋体"/>
                <w:bCs/>
                <w:color w:val="auto"/>
                <w:kern w:val="2"/>
                <w:sz w:val="21"/>
                <w:szCs w:val="21"/>
                <w:highlight w:val="none"/>
                <w:lang w:eastAsia="zh-CN"/>
              </w:rPr>
              <w:t>供应商</w:t>
            </w:r>
            <w:r>
              <w:rPr>
                <w:rFonts w:hint="eastAsia" w:ascii="宋体" w:hAnsi="宋体" w:eastAsia="宋体" w:cs="宋体"/>
                <w:bCs/>
                <w:color w:val="auto"/>
                <w:kern w:val="2"/>
                <w:sz w:val="21"/>
                <w:szCs w:val="21"/>
                <w:highlight w:val="none"/>
              </w:rPr>
              <w:t>可不在</w:t>
            </w:r>
            <w:r>
              <w:rPr>
                <w:rFonts w:hint="eastAsia" w:ascii="宋体" w:hAnsi="宋体" w:eastAsia="宋体" w:cs="宋体"/>
                <w:bCs/>
                <w:color w:val="auto"/>
                <w:kern w:val="2"/>
                <w:sz w:val="21"/>
                <w:szCs w:val="21"/>
                <w:highlight w:val="none"/>
                <w:lang w:eastAsia="zh-CN"/>
              </w:rPr>
              <w:t>响应</w:t>
            </w:r>
            <w:r>
              <w:rPr>
                <w:rFonts w:hint="eastAsia" w:ascii="宋体" w:hAnsi="宋体" w:eastAsia="宋体" w:cs="宋体"/>
                <w:bCs/>
                <w:color w:val="auto"/>
                <w:kern w:val="2"/>
                <w:sz w:val="21"/>
                <w:szCs w:val="21"/>
                <w:highlight w:val="none"/>
              </w:rPr>
              <w:t>文件中提供。</w:t>
            </w:r>
            <w:r>
              <w:rPr>
                <w:rFonts w:hint="eastAsia" w:ascii="宋体" w:hAnsi="宋体" w:eastAsia="宋体" w:cs="宋体"/>
                <w:bCs/>
                <w:color w:val="auto"/>
                <w:kern w:val="2"/>
                <w:sz w:val="21"/>
                <w:szCs w:val="21"/>
                <w:highlight w:val="none"/>
                <w:lang w:eastAsia="zh-CN"/>
              </w:rPr>
              <w:t>成交</w:t>
            </w:r>
            <w:r>
              <w:rPr>
                <w:rFonts w:hint="eastAsia" w:ascii="宋体" w:hAnsi="宋体" w:eastAsia="宋体" w:cs="宋体"/>
                <w:bCs/>
                <w:color w:val="auto"/>
                <w:kern w:val="2"/>
                <w:sz w:val="21"/>
                <w:szCs w:val="21"/>
                <w:highlight w:val="none"/>
              </w:rPr>
              <w:t>后，应当向采购人提供符合国家CCC认证的产品并向采购人提供相应产品的CCC认证证书，否则采购人有权拒绝验收，由此带来的损失由</w:t>
            </w:r>
            <w:r>
              <w:rPr>
                <w:rFonts w:hint="eastAsia" w:ascii="宋体" w:hAnsi="宋体" w:eastAsia="宋体" w:cs="宋体"/>
                <w:bCs/>
                <w:color w:val="auto"/>
                <w:kern w:val="2"/>
                <w:sz w:val="21"/>
                <w:szCs w:val="21"/>
                <w:highlight w:val="none"/>
                <w:lang w:eastAsia="zh-CN"/>
              </w:rPr>
              <w:t>成交</w:t>
            </w:r>
            <w:r>
              <w:rPr>
                <w:rFonts w:hint="eastAsia" w:ascii="宋体" w:hAnsi="宋体" w:eastAsia="宋体" w:cs="宋体"/>
                <w:bCs/>
                <w:color w:val="auto"/>
                <w:kern w:val="2"/>
                <w:sz w:val="21"/>
                <w:szCs w:val="21"/>
                <w:highlight w:val="none"/>
              </w:rPr>
              <w:t>人承担。</w:t>
            </w:r>
          </w:p>
        </w:tc>
      </w:tr>
    </w:tbl>
    <w:p>
      <w:pPr>
        <w:pStyle w:val="6"/>
        <w:spacing w:before="0" w:after="0" w:line="360" w:lineRule="auto"/>
        <w:jc w:val="center"/>
        <w:rPr>
          <w:rFonts w:hint="eastAsia"/>
          <w:highlight w:val="none"/>
        </w:rPr>
      </w:pPr>
      <w:r>
        <w:rPr>
          <w:rFonts w:hint="eastAsia"/>
          <w:highlight w:val="none"/>
        </w:rPr>
        <w:t>二、总  则</w:t>
      </w:r>
    </w:p>
    <w:p>
      <w:pPr>
        <w:spacing w:line="360" w:lineRule="auto"/>
        <w:ind w:firstLine="643"/>
        <w:rPr>
          <w:rFonts w:hint="eastAsia" w:ascii="宋体" w:hAnsi="宋体" w:eastAsia="宋体" w:cs="宋体"/>
          <w:color w:val="auto"/>
          <w:highlight w:val="none"/>
        </w:rPr>
      </w:pPr>
      <w:bookmarkStart w:id="26" w:name="_Toc217446034"/>
      <w:bookmarkStart w:id="27" w:name="_Toc183682342"/>
      <w:bookmarkStart w:id="28" w:name="_Toc183582205"/>
    </w:p>
    <w:bookmarkEnd w:id="26"/>
    <w:bookmarkEnd w:id="27"/>
    <w:bookmarkEnd w:id="28"/>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bookmarkStart w:id="29" w:name="PO_默认文件内容_24"/>
      <w:bookmarkStart w:id="30" w:name="_Toc77400782"/>
      <w:bookmarkStart w:id="31" w:name="_Toc183682368"/>
      <w:bookmarkStart w:id="32" w:name="_Toc89075878"/>
      <w:bookmarkStart w:id="33" w:name="_Toc183582231"/>
      <w:bookmarkStart w:id="34" w:name="_Toc217446056"/>
      <w:r>
        <w:rPr>
          <w:rFonts w:hint="eastAsia" w:ascii="宋体" w:hAnsi="宋体" w:eastAsia="宋体" w:cs="宋体"/>
          <w:color w:val="auto"/>
          <w:sz w:val="24"/>
          <w:highlight w:val="none"/>
        </w:rPr>
        <w:t>1.</w:t>
      </w:r>
      <w:r>
        <w:rPr>
          <w:rFonts w:hint="eastAsia" w:ascii="宋体" w:hAnsi="宋体" w:eastAsia="宋体" w:cs="宋体"/>
          <w:color w:val="auto"/>
          <w:sz w:val="24"/>
          <w:szCs w:val="24"/>
          <w:highlight w:val="none"/>
        </w:rPr>
        <w:t>适用范围</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1.1本谈判文件仅适用于本次谈判采购项目。</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1.2本谈判文件的解释权归采购人和采购代理机构所有。</w:t>
      </w:r>
    </w:p>
    <w:p>
      <w:pPr>
        <w:pStyle w:val="2"/>
        <w:rPr>
          <w:rFonts w:hint="eastAsia"/>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bookmarkStart w:id="35" w:name="_Toc183582206"/>
      <w:bookmarkStart w:id="36" w:name="_Toc217446035"/>
      <w:bookmarkStart w:id="37" w:name="_Toc183682343"/>
      <w:r>
        <w:rPr>
          <w:rFonts w:hint="eastAsia" w:ascii="宋体" w:hAnsi="宋体" w:eastAsia="宋体" w:cs="宋体"/>
          <w:color w:val="auto"/>
          <w:sz w:val="24"/>
          <w:highlight w:val="none"/>
        </w:rPr>
        <w:t>2.</w:t>
      </w:r>
      <w:bookmarkEnd w:id="35"/>
      <w:bookmarkEnd w:id="36"/>
      <w:bookmarkEnd w:id="37"/>
      <w:r>
        <w:rPr>
          <w:rFonts w:hint="eastAsia" w:ascii="宋体" w:hAnsi="宋体" w:eastAsia="宋体" w:cs="宋体"/>
          <w:color w:val="auto"/>
          <w:sz w:val="24"/>
          <w:highlight w:val="none"/>
        </w:rPr>
        <w:t>采购主体</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2.1本次谈判的采购人是</w:t>
      </w:r>
      <w:bookmarkEnd w:id="29"/>
      <w:r>
        <w:rPr>
          <w:rFonts w:hint="eastAsia" w:ascii="宋体" w:hAnsi="宋体" w:cs="宋体"/>
          <w:b/>
          <w:bCs/>
          <w:color w:val="auto"/>
          <w:sz w:val="24"/>
          <w:highlight w:val="none"/>
          <w:u w:val="single"/>
          <w:lang w:eastAsia="zh-CN"/>
        </w:rPr>
        <w:t>四川天府新区籍田街道办事处</w:t>
      </w:r>
      <w:r>
        <w:rPr>
          <w:rFonts w:hint="eastAsia" w:ascii="宋体" w:hAnsi="宋体" w:eastAsia="宋体" w:cs="宋体"/>
          <w:color w:val="auto"/>
          <w:sz w:val="24"/>
          <w:highlight w:val="none"/>
        </w:rPr>
        <w:t>。</w:t>
      </w:r>
    </w:p>
    <w:p>
      <w:pPr>
        <w:tabs>
          <w:tab w:val="left" w:pos="7665"/>
        </w:tabs>
        <w:spacing w:line="360" w:lineRule="auto"/>
        <w:ind w:firstLine="480" w:firstLineChars="200"/>
        <w:rPr>
          <w:rFonts w:hint="eastAsia" w:ascii="宋体" w:hAnsi="宋体" w:eastAsia="宋体" w:cs="宋体"/>
          <w:color w:val="auto"/>
          <w:sz w:val="24"/>
          <w:highlight w:val="none"/>
        </w:rPr>
      </w:pPr>
      <w:bookmarkStart w:id="38" w:name="PO_默认文件内容_25"/>
      <w:r>
        <w:rPr>
          <w:rFonts w:hint="eastAsia" w:ascii="宋体" w:hAnsi="宋体" w:eastAsia="宋体" w:cs="宋体"/>
          <w:color w:val="auto"/>
          <w:sz w:val="24"/>
          <w:highlight w:val="none"/>
        </w:rPr>
        <w:t>2.2本次谈判的采购代理机构是</w:t>
      </w:r>
      <w:r>
        <w:rPr>
          <w:rFonts w:hint="eastAsia" w:ascii="宋体" w:hAnsi="宋体" w:eastAsia="宋体" w:cs="宋体"/>
          <w:b/>
          <w:bCs/>
          <w:color w:val="auto"/>
          <w:sz w:val="24"/>
          <w:highlight w:val="none"/>
          <w:u w:val="single"/>
        </w:rPr>
        <w:t>四川易通天和招标代理有限公司</w:t>
      </w:r>
      <w:r>
        <w:rPr>
          <w:rFonts w:hint="eastAsia" w:ascii="宋体" w:hAnsi="宋体" w:eastAsia="宋体" w:cs="宋体"/>
          <w:color w:val="auto"/>
          <w:sz w:val="24"/>
          <w:highlight w:val="none"/>
        </w:rPr>
        <w:t>。</w:t>
      </w:r>
    </w:p>
    <w:p>
      <w:pPr>
        <w:pStyle w:val="2"/>
        <w:rPr>
          <w:rFonts w:hint="eastAsia"/>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bookmarkStart w:id="39" w:name="_Toc217446036"/>
      <w:bookmarkStart w:id="40" w:name="_Toc183682344"/>
      <w:bookmarkStart w:id="41" w:name="_Toc217390843"/>
      <w:bookmarkStart w:id="42" w:name="_Toc183582207"/>
      <w:r>
        <w:rPr>
          <w:rFonts w:hint="eastAsia" w:ascii="宋体" w:hAnsi="宋体" w:eastAsia="宋体" w:cs="宋体"/>
          <w:color w:val="auto"/>
          <w:sz w:val="24"/>
          <w:highlight w:val="none"/>
        </w:rPr>
        <w:t>3.合格</w:t>
      </w:r>
      <w:bookmarkEnd w:id="39"/>
      <w:bookmarkEnd w:id="40"/>
      <w:bookmarkEnd w:id="41"/>
      <w:bookmarkEnd w:id="42"/>
      <w:r>
        <w:rPr>
          <w:rFonts w:hint="eastAsia" w:ascii="宋体" w:hAnsi="宋体" w:eastAsia="宋体" w:cs="宋体"/>
          <w:color w:val="auto"/>
          <w:sz w:val="24"/>
          <w:highlight w:val="none"/>
        </w:rPr>
        <w:t>供应商</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合格供应商应具备以下条件：</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3.1具备法律法规和本采购文件规定的资格条件；</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3.2不属于禁止参加本项目采购活动的供应商；</w:t>
      </w:r>
    </w:p>
    <w:p>
      <w:pPr>
        <w:tabs>
          <w:tab w:val="left" w:pos="7665"/>
        </w:tabs>
        <w:spacing w:line="360" w:lineRule="auto"/>
        <w:ind w:firstLine="480" w:firstLineChars="200"/>
        <w:rPr>
          <w:rFonts w:hint="eastAsia" w:ascii="宋体" w:hAnsi="宋体" w:eastAsia="宋体" w:cs="宋体"/>
          <w:color w:val="auto"/>
          <w:sz w:val="24"/>
          <w:highlight w:val="none"/>
        </w:rPr>
      </w:pPr>
      <w:bookmarkStart w:id="43" w:name="_Toc183582208"/>
      <w:bookmarkStart w:id="44" w:name="_Toc183682345"/>
      <w:bookmarkStart w:id="45" w:name="_Toc217446037"/>
      <w:r>
        <w:rPr>
          <w:rFonts w:hint="eastAsia" w:ascii="宋体" w:hAnsi="宋体" w:eastAsia="宋体" w:cs="宋体"/>
          <w:color w:val="auto"/>
          <w:sz w:val="24"/>
          <w:highlight w:val="none"/>
        </w:rPr>
        <w:t>3.3按照规定获取了</w:t>
      </w:r>
      <w:r>
        <w:rPr>
          <w:rFonts w:hint="eastAsia" w:ascii="宋体" w:hAnsi="宋体" w:eastAsia="宋体" w:cs="宋体"/>
          <w:color w:val="auto"/>
          <w:sz w:val="24"/>
          <w:highlight w:val="none"/>
          <w:lang w:val="en-US" w:eastAsia="zh-CN"/>
        </w:rPr>
        <w:t>谈判</w:t>
      </w:r>
      <w:r>
        <w:rPr>
          <w:rFonts w:hint="eastAsia" w:ascii="宋体" w:hAnsi="宋体" w:eastAsia="宋体" w:cs="宋体"/>
          <w:color w:val="auto"/>
          <w:sz w:val="24"/>
          <w:highlight w:val="none"/>
        </w:rPr>
        <w:t>文件，属于实质性参加政府采购活动的供应商。</w:t>
      </w:r>
    </w:p>
    <w:p>
      <w:pPr>
        <w:keepNext w:val="0"/>
        <w:keepLines w:val="0"/>
        <w:spacing w:before="0" w:after="0" w:line="360" w:lineRule="auto"/>
        <w:ind w:firstLine="480" w:firstLineChars="200"/>
        <w:outlineLvl w:val="9"/>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4.谈判费用</w:t>
      </w:r>
      <w:bookmarkEnd w:id="43"/>
      <w:bookmarkEnd w:id="44"/>
      <w:bookmarkEnd w:id="45"/>
      <w:r>
        <w:rPr>
          <w:rFonts w:hint="eastAsia" w:ascii="宋体" w:hAnsi="宋体" w:eastAsia="宋体" w:cs="宋体"/>
          <w:color w:val="auto"/>
          <w:sz w:val="24"/>
          <w:highlight w:val="none"/>
        </w:rPr>
        <w:t>（实质性要求）</w:t>
      </w:r>
    </w:p>
    <w:p>
      <w:pPr>
        <w:tabs>
          <w:tab w:val="left" w:pos="7665"/>
        </w:tabs>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供应商应自行承担参加谈判活动的全部费用。</w:t>
      </w:r>
    </w:p>
    <w:p>
      <w:pPr>
        <w:pStyle w:val="2"/>
        <w:rPr>
          <w:rFonts w:hint="eastAsia"/>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5.充分、公平竞争保障措施（实质性要求）</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提供同一品牌同一型号产品处理，提供同一品牌同一型号产品的不同供应商参加同一合同项下采购活动的，以其中通过资格审查、供应商响应文件评审且报价最低的同一品牌同一型号产品的供应商参加评审；报价相同的，由采购人或者采购人委托评标委员会按照采购文件规定的方式确定一个参加评审的供应商，采购文件未规定的采取随机抽取方式确定，其他响应文件无效。</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非单一产品采购项目中，多家供应商提供的部分或所有核心产品品牌相同的，视为提供相同品牌产品。</w:t>
      </w:r>
      <w:r>
        <w:rPr>
          <w:rFonts w:hint="eastAsia" w:ascii="宋体" w:hAnsi="宋体" w:eastAsia="宋体" w:cs="宋体"/>
          <w:b/>
          <w:bCs/>
          <w:color w:val="auto"/>
          <w:sz w:val="24"/>
          <w:highlight w:val="none"/>
        </w:rPr>
        <w:t>本采购项目核心产品</w:t>
      </w:r>
      <w:r>
        <w:rPr>
          <w:rFonts w:hint="eastAsia" w:hAnsi="宋体" w:cs="宋体"/>
          <w:b/>
          <w:bCs/>
          <w:color w:val="auto"/>
          <w:sz w:val="24"/>
          <w:highlight w:val="none"/>
          <w:lang w:eastAsia="zh-CN"/>
        </w:rPr>
        <w:t>详见谈判文件第五章</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多家供应商提供的核心产品品牌相同的，按前款规定处理</w:t>
      </w:r>
    </w:p>
    <w:p>
      <w:pPr>
        <w:pStyle w:val="70"/>
        <w:spacing w:line="360" w:lineRule="auto"/>
        <w:ind w:left="1" w:firstLine="480" w:firstLineChars="200"/>
        <w:rPr>
          <w:rFonts w:hint="eastAsia" w:ascii="宋体" w:hAnsi="宋体" w:eastAsia="宋体" w:cs="宋体"/>
          <w:color w:val="auto"/>
          <w:sz w:val="24"/>
          <w:highlight w:val="none"/>
        </w:rPr>
      </w:pPr>
      <w:r>
        <w:rPr>
          <w:rFonts w:hint="eastAsia" w:hAnsi="宋体" w:cs="宋体"/>
          <w:color w:val="auto"/>
          <w:sz w:val="24"/>
          <w:highlight w:val="none"/>
          <w:lang w:val="en-US" w:eastAsia="zh-CN"/>
        </w:rPr>
        <w:t>5.2</w:t>
      </w:r>
      <w:r>
        <w:rPr>
          <w:rFonts w:hint="eastAsia" w:ascii="宋体" w:hAnsi="宋体" w:eastAsia="宋体" w:cs="宋体"/>
          <w:color w:val="auto"/>
          <w:sz w:val="24"/>
          <w:highlight w:val="none"/>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利害关系授权代表处理。两家以上的供应商不得在同一合同项下的采购项目中，委托同一个自然人、同一家庭的人员、同一单位的人员作为其授权代表，否则，其响应文件作为无效处理。</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hAnsi="宋体" w:cs="宋体"/>
          <w:color w:val="auto"/>
          <w:sz w:val="24"/>
          <w:highlight w:val="none"/>
          <w:lang w:val="en-US" w:eastAsia="zh-CN"/>
        </w:rPr>
        <w:t>4</w:t>
      </w:r>
      <w:r>
        <w:rPr>
          <w:rFonts w:hint="eastAsia" w:ascii="宋体" w:hAnsi="宋体" w:eastAsia="宋体" w:cs="宋体"/>
          <w:color w:val="auto"/>
          <w:sz w:val="24"/>
          <w:highlight w:val="none"/>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hAnsi="宋体" w:cs="宋体"/>
          <w:color w:val="auto"/>
          <w:sz w:val="24"/>
          <w:highlight w:val="none"/>
          <w:lang w:val="en-US" w:eastAsia="zh-CN"/>
        </w:rPr>
        <w:t>5</w:t>
      </w:r>
      <w:r>
        <w:rPr>
          <w:rFonts w:hint="eastAsia" w:ascii="宋体" w:hAnsi="宋体" w:eastAsia="宋体" w:cs="宋体"/>
          <w:color w:val="auto"/>
          <w:sz w:val="24"/>
          <w:highlight w:val="none"/>
        </w:rPr>
        <w:t>供应商实际控制人或者中高级管理人员，同时是采购代理机构工作人员，不得参与本项目政府采购活动。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供应商与采购代理机构存在关联关系，或者是采购代理机构的母公司或子公司，不得参加本项目政府采购活动。</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hAnsi="宋体" w:cs="宋体"/>
          <w:color w:val="auto"/>
          <w:sz w:val="24"/>
          <w:highlight w:val="none"/>
          <w:lang w:val="en-US" w:eastAsia="zh-CN"/>
        </w:rPr>
        <w:t>8</w:t>
      </w:r>
      <w:r>
        <w:rPr>
          <w:rFonts w:hint="eastAsia" w:ascii="宋体" w:hAnsi="宋体" w:eastAsia="宋体" w:cs="宋体"/>
          <w:color w:val="auto"/>
          <w:sz w:val="24"/>
          <w:highlight w:val="none"/>
        </w:rPr>
        <w:t>回避。政府采购活动中，采购人员及相关人员与供应商有下列利害关系之一的，应当回避：</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（1）参加采购活动前3年内与供应商存在劳动关系；</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（2）参加采购活动前3年内担任供应商的董事、监事；</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（3）参加采购活动前3年内是供应商的控股股东或者实际控制人；</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（4）与供应商的法定代表人或者负责人有夫妻、直系血亲、三代以内旁系血亲或者近姻亲关系；</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（5）与供应商有其他可能影响政府采购活动公平、公正进行的关系。</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ascii="宋体" w:hAnsi="宋体" w:eastAsia="宋体" w:cs="宋体"/>
          <w:color w:val="auto"/>
          <w:sz w:val="24"/>
          <w:szCs w:val="18"/>
          <w:highlight w:val="none"/>
        </w:rPr>
        <w:t>谈判</w:t>
      </w:r>
      <w:r>
        <w:rPr>
          <w:rFonts w:hint="eastAsia" w:ascii="宋体" w:hAnsi="宋体" w:eastAsia="宋体" w:cs="宋体"/>
          <w:color w:val="auto"/>
          <w:sz w:val="24"/>
          <w:highlight w:val="none"/>
        </w:rPr>
        <w:t>小组成员。</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0"/>
        <w:spacing w:line="360" w:lineRule="auto"/>
        <w:ind w:left="1" w:firstLine="482" w:firstLineChars="200"/>
        <w:rPr>
          <w:rFonts w:hint="eastAsia" w:ascii="宋体" w:hAnsi="宋体" w:eastAsia="宋体" w:cs="宋体"/>
          <w:b/>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6.联合体竞争性谈判（仅适用于允许联合体参与的项目）</w:t>
      </w:r>
    </w:p>
    <w:p>
      <w:pPr>
        <w:pStyle w:val="70"/>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联合体各方应当共同与采购人签订采购合同，就采购合同约定的事项对采购人承担连带责任。</w:t>
      </w:r>
    </w:p>
    <w:p>
      <w:pPr>
        <w:pStyle w:val="70"/>
        <w:spacing w:line="360" w:lineRule="auto"/>
        <w:ind w:left="1" w:firstLine="480" w:firstLineChars="200"/>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7.谈判保证金</w:t>
      </w:r>
    </w:p>
    <w:p>
      <w:pPr>
        <w:spacing w:line="360" w:lineRule="auto"/>
        <w:ind w:firstLine="470" w:firstLineChars="196"/>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详见供应商须知附表。</w:t>
      </w:r>
    </w:p>
    <w:p>
      <w:pPr>
        <w:pStyle w:val="2"/>
        <w:rPr>
          <w:rFonts w:hint="default"/>
          <w:highlight w:val="none"/>
          <w:lang w:val="en-US" w:eastAsia="zh-CN"/>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8.响应文件有效期（实质性要求）</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响应文件有效期为递交谈判响应文件截止之日起90天。供应商响应文件中必须载明响应文件有效期，响应文件中载明的响应文件有效期可以长于谈判文件规定的期限，但不得短于谈判文件规定的期限。否则，其响应文件将作为无效响应处理。</w:t>
      </w:r>
    </w:p>
    <w:p>
      <w:pPr>
        <w:spacing w:line="360" w:lineRule="auto"/>
        <w:ind w:firstLine="470" w:firstLineChars="196"/>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9.知识产权（实质性要求）</w:t>
      </w:r>
    </w:p>
    <w:p>
      <w:pPr>
        <w:pStyle w:val="21"/>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w:t>
      </w:r>
      <w:r>
        <w:rPr>
          <w:rFonts w:hint="eastAsia" w:ascii="宋体" w:hAnsi="宋体" w:eastAsia="宋体" w:cs="宋体"/>
          <w:color w:val="auto"/>
          <w:sz w:val="24"/>
          <w:highlight w:val="none"/>
        </w:rPr>
        <w:t>供应商</w:t>
      </w:r>
      <w:r>
        <w:rPr>
          <w:rFonts w:hint="eastAsia" w:ascii="宋体" w:hAnsi="宋体" w:eastAsia="宋体" w:cs="宋体"/>
          <w:color w:val="auto"/>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eastAsia="宋体" w:cs="宋体"/>
          <w:color w:val="auto"/>
          <w:sz w:val="24"/>
          <w:highlight w:val="none"/>
        </w:rPr>
        <w:t>供应商</w:t>
      </w:r>
      <w:r>
        <w:rPr>
          <w:rFonts w:hint="eastAsia" w:ascii="宋体" w:hAnsi="宋体" w:eastAsia="宋体" w:cs="宋体"/>
          <w:color w:val="auto"/>
          <w:sz w:val="24"/>
          <w:szCs w:val="24"/>
          <w:highlight w:val="none"/>
        </w:rPr>
        <w:t>承担所有相关责任。</w:t>
      </w:r>
    </w:p>
    <w:p>
      <w:pPr>
        <w:pStyle w:val="21"/>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9.2除非谈判文件特别规定，采购人享有本项目实施过程中产生的知识成果及知识产权。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9.3供应商如欲在项目实施过程中采用自有知识成果，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9.4如采用供应商所不拥有的知识产权，则在报价中必须包括合法获取该知识产权的相关费用。 </w:t>
      </w:r>
    </w:p>
    <w:p>
      <w:pPr>
        <w:pStyle w:val="2"/>
        <w:rPr>
          <w:rFonts w:hint="eastAsia"/>
          <w:highlight w:val="none"/>
        </w:rPr>
      </w:pPr>
    </w:p>
    <w:p>
      <w:pPr>
        <w:pStyle w:val="6"/>
        <w:spacing w:before="0" w:after="0" w:line="360" w:lineRule="auto"/>
        <w:jc w:val="center"/>
        <w:rPr>
          <w:rFonts w:hint="eastAsia"/>
          <w:highlight w:val="none"/>
        </w:rPr>
      </w:pPr>
      <w:bookmarkStart w:id="46" w:name="_Toc89075875"/>
      <w:bookmarkStart w:id="47" w:name="_Toc183582209"/>
      <w:bookmarkStart w:id="48" w:name="_Toc217446038"/>
      <w:bookmarkStart w:id="49" w:name="_Toc183682346"/>
      <w:bookmarkStart w:id="50" w:name="_Toc77400779"/>
      <w:r>
        <w:rPr>
          <w:rFonts w:hint="eastAsia"/>
          <w:highlight w:val="none"/>
        </w:rPr>
        <w:t>三、谈判文件</w:t>
      </w:r>
      <w:bookmarkEnd w:id="46"/>
      <w:bookmarkEnd w:id="47"/>
      <w:bookmarkEnd w:id="48"/>
      <w:bookmarkEnd w:id="49"/>
      <w:bookmarkEnd w:id="50"/>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bookmarkStart w:id="51" w:name="_Toc217446039"/>
      <w:bookmarkStart w:id="52" w:name="_Toc183582210"/>
      <w:bookmarkStart w:id="53" w:name="_Toc183682347"/>
      <w:r>
        <w:rPr>
          <w:rFonts w:hint="eastAsia" w:ascii="宋体" w:hAnsi="宋体" w:eastAsia="宋体" w:cs="宋体"/>
          <w:color w:val="auto"/>
          <w:sz w:val="24"/>
          <w:highlight w:val="none"/>
        </w:rPr>
        <w:t>10．谈判文件的构成</w:t>
      </w:r>
      <w:bookmarkEnd w:id="51"/>
      <w:bookmarkEnd w:id="52"/>
      <w:bookmarkEnd w:id="53"/>
      <w:r>
        <w:rPr>
          <w:rFonts w:hint="eastAsia" w:ascii="宋体" w:hAnsi="宋体" w:eastAsia="宋体" w:cs="宋体"/>
          <w:color w:val="auto"/>
          <w:sz w:val="24"/>
          <w:highlight w:val="none"/>
        </w:rPr>
        <w:t>（实质性要求）</w:t>
      </w:r>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1谈判文件是供应商准备响应文件和参加谈判的依据，同时也是谈判的重要依据。谈判文件用以阐明谈判项目所需的资质、技术、服务及报价等要求、谈判程序、有关规定和注意事项以及合同主要条款等。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2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bookmarkStart w:id="54" w:name="_Toc183682348"/>
      <w:bookmarkStart w:id="55" w:name="_Toc183582211"/>
      <w:bookmarkStart w:id="56" w:name="_Toc217446040"/>
    </w:p>
    <w:p>
      <w:pPr>
        <w:pStyle w:val="2"/>
        <w:rPr>
          <w:rFonts w:hint="eastAsia"/>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11.谈判文件的澄清</w:t>
      </w:r>
      <w:bookmarkEnd w:id="54"/>
      <w:bookmarkEnd w:id="55"/>
      <w:r>
        <w:rPr>
          <w:rFonts w:hint="eastAsia" w:ascii="宋体" w:hAnsi="宋体" w:eastAsia="宋体" w:cs="宋体"/>
          <w:color w:val="auto"/>
          <w:sz w:val="24"/>
          <w:highlight w:val="none"/>
        </w:rPr>
        <w:t>和修改</w:t>
      </w:r>
      <w:bookmarkEnd w:id="56"/>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11.1在递交响应文件截止时间前，采购人、采购代理机构可以对谈判文件进行澄清或者修改。</w:t>
      </w:r>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采购代理机构对已发出的谈判文件进行澄清或者修改，应当以书面形式将澄清或者修改的内容通知所有购买了谈判文件的供应商，同时在四川政府采购网上发布更正公告。该澄清或者修改的内容为谈判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供应商应于递交响应文件截止前，在四川政府采购网查询本项目的更正公告，以保证其对谈判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更正通知通过供应商报名时备注的电子邮箱发送至所有购买谈判文件的供应商，供应商在收到相应更正通知后，以书面形式给予确认。如供应商未给予书面回复，则视为收到并认可该更正通知的内容。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11.4供应商认为需要对谈判文件进行澄清或者修改的，可以以书面形式向采购人或采购代理机构提出申请，由采购人或采购代理机构决定是否采纳供应商的申请事项。</w:t>
      </w:r>
      <w:bookmarkStart w:id="57" w:name="_Toc208848971"/>
      <w:bookmarkStart w:id="58" w:name="_Toc217446041"/>
    </w:p>
    <w:p>
      <w:pPr>
        <w:pStyle w:val="2"/>
        <w:rPr>
          <w:rFonts w:hint="eastAsia"/>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12.答疑会和现场考察</w:t>
      </w:r>
      <w:bookmarkEnd w:id="57"/>
      <w:bookmarkEnd w:id="58"/>
    </w:p>
    <w:p>
      <w:pPr>
        <w:keepNext w:val="0"/>
        <w:keepLines w:val="0"/>
        <w:spacing w:before="0" w:after="0" w:line="360" w:lineRule="auto"/>
        <w:ind w:firstLine="480" w:firstLineChars="200"/>
        <w:jc w:val="left"/>
        <w:outlineLvl w:val="9"/>
        <w:rPr>
          <w:rFonts w:hint="eastAsia" w:ascii="宋体" w:hAnsi="宋体" w:eastAsia="宋体" w:cs="宋体"/>
          <w:b w:val="0"/>
          <w:bCs w:val="0"/>
          <w:color w:val="auto"/>
          <w:sz w:val="24"/>
          <w:szCs w:val="24"/>
          <w:highlight w:val="none"/>
        </w:rPr>
      </w:pPr>
      <w:bookmarkStart w:id="59" w:name="_Toc183582214"/>
      <w:bookmarkStart w:id="60" w:name="_Toc183682351"/>
      <w:bookmarkStart w:id="61" w:name="_Toc217446042"/>
      <w:bookmarkStart w:id="62" w:name="_Toc89075876"/>
      <w:bookmarkStart w:id="63" w:name="_Toc77400780"/>
      <w:r>
        <w:rPr>
          <w:rFonts w:hint="eastAsia" w:ascii="宋体" w:hAnsi="宋体" w:eastAsia="宋体" w:cs="宋体"/>
          <w:b w:val="0"/>
          <w:bCs w:val="0"/>
          <w:color w:val="auto"/>
          <w:sz w:val="24"/>
          <w:szCs w:val="24"/>
          <w:highlight w:val="none"/>
        </w:rPr>
        <w:t>本项目不举办答疑会和现场考察。</w:t>
      </w:r>
    </w:p>
    <w:p>
      <w:pPr>
        <w:rPr>
          <w:rFonts w:hint="eastAsia"/>
          <w:highlight w:val="none"/>
        </w:rPr>
      </w:pPr>
    </w:p>
    <w:p>
      <w:pPr>
        <w:pStyle w:val="6"/>
        <w:spacing w:before="0" w:after="0" w:line="360" w:lineRule="auto"/>
        <w:jc w:val="center"/>
        <w:rPr>
          <w:rFonts w:hint="eastAsia"/>
          <w:highlight w:val="none"/>
        </w:rPr>
      </w:pPr>
      <w:r>
        <w:rPr>
          <w:rFonts w:hint="eastAsia"/>
          <w:highlight w:val="none"/>
        </w:rPr>
        <w:t>四、响应文件</w:t>
      </w:r>
      <w:bookmarkEnd w:id="59"/>
      <w:bookmarkEnd w:id="60"/>
      <w:bookmarkEnd w:id="61"/>
      <w:bookmarkEnd w:id="62"/>
      <w:bookmarkEnd w:id="63"/>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bookmarkStart w:id="64" w:name="_Toc183582215"/>
      <w:bookmarkStart w:id="65" w:name="_Toc217446043"/>
      <w:bookmarkStart w:id="66" w:name="_Toc183682352"/>
      <w:r>
        <w:rPr>
          <w:rFonts w:hint="eastAsia" w:ascii="宋体" w:hAnsi="宋体" w:eastAsia="宋体" w:cs="宋体"/>
          <w:color w:val="auto"/>
          <w:sz w:val="24"/>
          <w:highlight w:val="none"/>
        </w:rPr>
        <w:t>13.响应文件的组成</w:t>
      </w:r>
    </w:p>
    <w:p>
      <w:pPr>
        <w:pStyle w:val="7"/>
        <w:keepNext w:val="0"/>
        <w:keepLines w:val="0"/>
        <w:spacing w:before="0" w:after="0" w:line="360" w:lineRule="auto"/>
        <w:ind w:firstLine="480" w:firstLineChars="200"/>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13.1供应商应按照</w:t>
      </w:r>
      <w:r>
        <w:rPr>
          <w:rFonts w:hint="eastAsia" w:ascii="宋体" w:hAnsi="宋体" w:eastAsia="宋体" w:cs="宋体"/>
          <w:b w:val="0"/>
          <w:color w:val="auto"/>
          <w:sz w:val="24"/>
          <w:szCs w:val="18"/>
          <w:highlight w:val="none"/>
        </w:rPr>
        <w:t>谈判</w:t>
      </w:r>
      <w:r>
        <w:rPr>
          <w:rFonts w:hint="eastAsia" w:ascii="宋体" w:hAnsi="宋体" w:eastAsia="宋体" w:cs="宋体"/>
          <w:b w:val="0"/>
          <w:color w:val="auto"/>
          <w:sz w:val="24"/>
          <w:highlight w:val="none"/>
        </w:rPr>
        <w:t>文件的规定和要求编制响应文件。供应商在成交后将成交项目的非主体、非关键性工作分包他人完成的，应当在响应文件中载明或谈判过程中澄清。</w:t>
      </w:r>
      <w:r>
        <w:rPr>
          <w:rFonts w:hint="eastAsia" w:ascii="宋体" w:hAnsi="宋体" w:eastAsia="宋体" w:cs="宋体"/>
          <w:color w:val="auto"/>
          <w:sz w:val="24"/>
          <w:highlight w:val="none"/>
        </w:rPr>
        <w:t>（实质性要求）</w:t>
      </w:r>
    </w:p>
    <w:p>
      <w:pPr>
        <w:pStyle w:val="7"/>
        <w:keepNext w:val="0"/>
        <w:keepLines w:val="0"/>
        <w:spacing w:before="0" w:after="0" w:line="360" w:lineRule="auto"/>
        <w:ind w:firstLine="480" w:firstLineChars="200"/>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13.2供应商编写的响应文件应包括资格性响应文件和其他响应文件两部分，分册装订。</w:t>
      </w:r>
    </w:p>
    <w:p>
      <w:pPr>
        <w:spacing w:line="360" w:lineRule="auto"/>
        <w:ind w:left="2" w:leftChars="1" w:firstLine="420" w:firstLineChars="200"/>
        <w:rPr>
          <w:rFonts w:hint="eastAsia" w:ascii="宋体" w:hAnsi="宋体" w:eastAsia="宋体" w:cs="宋体"/>
          <w:color w:val="auto"/>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14.响应文件的语言</w:t>
      </w:r>
      <w:bookmarkEnd w:id="64"/>
      <w:bookmarkEnd w:id="65"/>
      <w:bookmarkEnd w:id="66"/>
      <w:r>
        <w:rPr>
          <w:rFonts w:hint="eastAsia" w:ascii="宋体" w:hAnsi="宋体" w:eastAsia="宋体" w:cs="宋体"/>
          <w:color w:val="auto"/>
          <w:sz w:val="24"/>
          <w:highlight w:val="none"/>
        </w:rPr>
        <w:t>（实质性要求）</w:t>
      </w:r>
    </w:p>
    <w:p>
      <w:pPr>
        <w:tabs>
          <w:tab w:val="left" w:pos="1134"/>
        </w:tabs>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14.1供应商提交的响应文件以及供应商与采购组织单位就有关谈判采购的所有来往书面文件均须使用中文。响应文件中如附有外文资料，主要部分对应翻译成中文并加盖供应商公章后附在相关外文资料后面。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14.2翻译的中文资料与外文资料如果出现差异和矛盾时，以中文为准。涉嫌虚假响应的按照相关法律法规处理。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14.3如因未翻译而造成的响应文件无效风险，由供应商承担。</w:t>
      </w:r>
    </w:p>
    <w:p>
      <w:pPr>
        <w:spacing w:line="360" w:lineRule="auto"/>
        <w:ind w:firstLine="480" w:firstLineChars="200"/>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bookmarkStart w:id="67" w:name="_Toc183582216"/>
      <w:bookmarkStart w:id="68" w:name="_Toc217446044"/>
      <w:bookmarkStart w:id="69" w:name="_Toc183682353"/>
      <w:r>
        <w:rPr>
          <w:rFonts w:hint="eastAsia" w:ascii="宋体" w:hAnsi="宋体" w:eastAsia="宋体" w:cs="宋体"/>
          <w:color w:val="auto"/>
          <w:sz w:val="24"/>
          <w:highlight w:val="none"/>
        </w:rPr>
        <w:t>15．计量单位</w:t>
      </w:r>
      <w:bookmarkEnd w:id="67"/>
      <w:bookmarkEnd w:id="68"/>
      <w:bookmarkEnd w:id="69"/>
      <w:r>
        <w:rPr>
          <w:rFonts w:hint="eastAsia" w:ascii="宋体" w:hAnsi="宋体" w:eastAsia="宋体" w:cs="宋体"/>
          <w:color w:val="auto"/>
          <w:sz w:val="24"/>
          <w:highlight w:val="none"/>
        </w:rPr>
        <w:t>（实质性要求）</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除谈判文件中另有规定外，本次采购项目所有合同项下的报价均采用国家法定的计量单位。</w:t>
      </w:r>
    </w:p>
    <w:p>
      <w:pPr>
        <w:spacing w:line="360" w:lineRule="auto"/>
        <w:ind w:firstLine="470" w:firstLineChars="195"/>
        <w:rPr>
          <w:rFonts w:hint="eastAsia" w:ascii="宋体" w:hAnsi="宋体" w:eastAsia="宋体" w:cs="宋体"/>
          <w:b/>
          <w:bCs/>
          <w:color w:val="auto"/>
          <w:sz w:val="24"/>
          <w:highlight w:val="none"/>
        </w:rPr>
      </w:pPr>
      <w:bookmarkStart w:id="70" w:name="_Toc217446045"/>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16.报价货币（实质性要求）</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16.1所有报价一律以人民币报价。采购人不接受任何非人民币币种的报价。</w:t>
      </w:r>
    </w:p>
    <w:p>
      <w:pPr>
        <w:spacing w:line="360" w:lineRule="auto"/>
        <w:ind w:firstLine="468" w:firstLineChars="195"/>
        <w:rPr>
          <w:rFonts w:hint="eastAsia" w:ascii="宋体" w:hAnsi="宋体" w:eastAsia="宋体" w:cs="宋体"/>
          <w:bCs/>
          <w:color w:val="auto"/>
          <w:szCs w:val="21"/>
          <w:highlight w:val="none"/>
        </w:rPr>
      </w:pPr>
      <w:r>
        <w:rPr>
          <w:rFonts w:hint="eastAsia" w:ascii="宋体" w:hAnsi="宋体" w:eastAsia="宋体" w:cs="宋体"/>
          <w:bCs/>
          <w:color w:val="auto"/>
          <w:sz w:val="24"/>
          <w:highlight w:val="none"/>
        </w:rPr>
        <w:t>16.2供应商的报价是其响应本项目要求的全部工作内容的价格体现，包括供应商完成本项目所需的一切费用。</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16.3供应商报价超过政府采购预算或最高限价（具体详见“供应商须知附表”）的，视为无效报价，将被淘汰。</w:t>
      </w:r>
    </w:p>
    <w:p>
      <w:pPr>
        <w:spacing w:line="360" w:lineRule="auto"/>
        <w:ind w:firstLine="470" w:firstLineChars="195"/>
        <w:rPr>
          <w:rFonts w:hint="eastAsia" w:ascii="宋体" w:hAnsi="宋体" w:eastAsia="宋体" w:cs="宋体"/>
          <w:b/>
          <w:bCs/>
          <w:color w:val="auto"/>
          <w:sz w:val="24"/>
          <w:highlight w:val="none"/>
        </w:rPr>
      </w:pPr>
    </w:p>
    <w:bookmarkEnd w:id="70"/>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17.响应文件格式</w:t>
      </w:r>
    </w:p>
    <w:p>
      <w:pPr>
        <w:spacing w:line="360" w:lineRule="auto"/>
        <w:ind w:left="2" w:leftChars="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17.1供应商应执行谈判文件第七章的规定要求。</w:t>
      </w:r>
    </w:p>
    <w:p>
      <w:pPr>
        <w:spacing w:line="360" w:lineRule="auto"/>
        <w:ind w:left="2" w:leftChars="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17.2对于没有格式要求的谈判文件由供应商自行编写。</w:t>
      </w:r>
    </w:p>
    <w:p>
      <w:pPr>
        <w:spacing w:line="360" w:lineRule="auto"/>
        <w:ind w:firstLine="470" w:firstLineChars="196"/>
        <w:rPr>
          <w:rFonts w:hint="eastAsia" w:ascii="宋体" w:hAnsi="宋体" w:eastAsia="宋体" w:cs="宋体"/>
          <w:color w:val="auto"/>
          <w:sz w:val="24"/>
          <w:highlight w:val="none"/>
        </w:rPr>
      </w:pPr>
      <w:bookmarkStart w:id="71" w:name="_Toc183582224"/>
      <w:bookmarkStart w:id="72" w:name="_Toc217446051"/>
      <w:bookmarkStart w:id="73" w:name="_Toc183682361"/>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18.响应文件的编制和签署</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18.1</w:t>
      </w:r>
      <w:r>
        <w:rPr>
          <w:rFonts w:hint="eastAsia" w:ascii="宋体" w:hAnsi="宋体" w:eastAsia="宋体" w:cs="宋体"/>
          <w:b/>
          <w:bCs/>
          <w:color w:val="auto"/>
          <w:sz w:val="24"/>
          <w:highlight w:val="none"/>
        </w:rPr>
        <w:t>资格性响应文件正本1份副本</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份</w:t>
      </w:r>
      <w:r>
        <w:rPr>
          <w:rFonts w:hint="eastAsia" w:ascii="宋体" w:hAnsi="宋体" w:eastAsia="宋体" w:cs="宋体"/>
          <w:color w:val="auto"/>
          <w:sz w:val="24"/>
          <w:highlight w:val="none"/>
        </w:rPr>
        <w:t>，并在其封面上清楚地标明资格性响应文件、采购项目名称、采购项目编号、包件号（若有）、供应商名称以及“正本”或“副本”字样。若正本和副本有不一致的内容，以正本书面响应文件为准。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18.2</w:t>
      </w:r>
      <w:r>
        <w:rPr>
          <w:rFonts w:hint="eastAsia" w:ascii="宋体" w:hAnsi="宋体" w:eastAsia="宋体" w:cs="宋体"/>
          <w:b/>
          <w:bCs/>
          <w:color w:val="auto"/>
          <w:sz w:val="24"/>
          <w:highlight w:val="none"/>
        </w:rPr>
        <w:t>其他响应文件正本1份副本</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份</w:t>
      </w:r>
      <w:r>
        <w:rPr>
          <w:rFonts w:hint="eastAsia" w:ascii="宋体" w:hAnsi="宋体" w:eastAsia="宋体" w:cs="宋体"/>
          <w:color w:val="auto"/>
          <w:sz w:val="24"/>
          <w:highlight w:val="none"/>
        </w:rPr>
        <w:t>，并在其封面上清楚地标明其他响应文件、采购项目名称、采购项目编号、包件号（若有）、供应商名称以及“正本”或“副本”字样。若正本和副本有不一致的内容，以正本书面响应文件为准。</w:t>
      </w:r>
    </w:p>
    <w:bookmarkEnd w:id="71"/>
    <w:bookmarkEnd w:id="72"/>
    <w:bookmarkEnd w:id="73"/>
    <w:p>
      <w:pPr>
        <w:tabs>
          <w:tab w:val="left" w:pos="1095"/>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18.3响应文件正本和副本均需打印或用不褪色、不变质的墨水书写，并在规定签章处签字和盖章。响应文件副本可采用正本的复印件。</w:t>
      </w:r>
    </w:p>
    <w:p>
      <w:pPr>
        <w:tabs>
          <w:tab w:val="left" w:pos="1095"/>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18.4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18.5</w:t>
      </w:r>
      <w:r>
        <w:rPr>
          <w:rFonts w:hint="eastAsia" w:ascii="宋体" w:hAnsi="宋体" w:eastAsia="宋体" w:cs="宋体"/>
          <w:b/>
          <w:color w:val="auto"/>
          <w:sz w:val="24"/>
          <w:highlight w:val="none"/>
        </w:rPr>
        <w:t>（实质性要求）</w:t>
      </w:r>
      <w:r>
        <w:rPr>
          <w:rFonts w:hint="eastAsia" w:ascii="宋体" w:hAnsi="宋体" w:eastAsia="宋体" w:cs="宋体"/>
          <w:color w:val="auto"/>
          <w:sz w:val="24"/>
          <w:highlight w:val="none"/>
        </w:rPr>
        <w:t>响应文件应由供应商法定代表人/主要负责人/本人或其授权代表在响应文件要求的地方签字</w:t>
      </w:r>
      <w:r>
        <w:rPr>
          <w:rFonts w:hint="eastAsia" w:ascii="宋体" w:hAnsi="宋体" w:eastAsia="宋体" w:cs="宋体"/>
          <w:bCs/>
          <w:color w:val="auto"/>
          <w:sz w:val="24"/>
          <w:highlight w:val="none"/>
        </w:rPr>
        <w:t>（注：</w:t>
      </w:r>
      <w:r>
        <w:rPr>
          <w:rFonts w:hint="eastAsia" w:ascii="宋体" w:hAnsi="宋体" w:eastAsia="宋体" w:cs="宋体"/>
          <w:color w:val="auto"/>
          <w:sz w:val="24"/>
          <w:highlight w:val="none"/>
        </w:rPr>
        <w:t>供应商为法人的，应当由其法定代表人或者</w:t>
      </w:r>
      <w:r>
        <w:rPr>
          <w:rFonts w:hint="eastAsia" w:ascii="宋体" w:hAnsi="宋体" w:eastAsia="宋体" w:cs="宋体"/>
          <w:bCs/>
          <w:color w:val="auto"/>
          <w:sz w:val="24"/>
          <w:highlight w:val="none"/>
        </w:rPr>
        <w:t>授权代表</w:t>
      </w:r>
      <w:r>
        <w:rPr>
          <w:rFonts w:hint="eastAsia" w:ascii="宋体" w:hAnsi="宋体" w:eastAsia="宋体" w:cs="宋体"/>
          <w:color w:val="auto"/>
          <w:sz w:val="24"/>
          <w:highlight w:val="none"/>
        </w:rPr>
        <w:t>签字确认；供应商为其他组织的，应当由其主要负责人或者</w:t>
      </w:r>
      <w:r>
        <w:rPr>
          <w:rFonts w:hint="eastAsia" w:ascii="宋体" w:hAnsi="宋体" w:eastAsia="宋体" w:cs="宋体"/>
          <w:bCs/>
          <w:color w:val="auto"/>
          <w:sz w:val="24"/>
          <w:highlight w:val="none"/>
        </w:rPr>
        <w:t>授权代表</w:t>
      </w:r>
      <w:r>
        <w:rPr>
          <w:rFonts w:hint="eastAsia" w:ascii="宋体" w:hAnsi="宋体" w:eastAsia="宋体" w:cs="宋体"/>
          <w:color w:val="auto"/>
          <w:sz w:val="24"/>
          <w:highlight w:val="none"/>
        </w:rPr>
        <w:t>签字确认；供应商为自然人的，应当由其本人或者</w:t>
      </w:r>
      <w:r>
        <w:rPr>
          <w:rFonts w:hint="eastAsia" w:ascii="宋体" w:hAnsi="宋体" w:eastAsia="宋体" w:cs="宋体"/>
          <w:bCs/>
          <w:color w:val="auto"/>
          <w:sz w:val="24"/>
          <w:highlight w:val="none"/>
        </w:rPr>
        <w:t>授权代表</w:t>
      </w:r>
      <w:r>
        <w:rPr>
          <w:rFonts w:hint="eastAsia" w:ascii="宋体" w:hAnsi="宋体" w:eastAsia="宋体" w:cs="宋体"/>
          <w:color w:val="auto"/>
          <w:sz w:val="24"/>
          <w:highlight w:val="none"/>
        </w:rPr>
        <w:t>签字确认</w:t>
      </w:r>
      <w:r>
        <w:rPr>
          <w:rFonts w:hint="eastAsia" w:ascii="宋体" w:hAnsi="宋体" w:eastAsia="宋体" w:cs="宋体"/>
          <w:bCs/>
          <w:color w:val="auto"/>
          <w:sz w:val="24"/>
          <w:highlight w:val="none"/>
        </w:rPr>
        <w:t>）或加盖私人印章</w:t>
      </w:r>
      <w:r>
        <w:rPr>
          <w:rFonts w:hint="eastAsia" w:ascii="宋体" w:hAnsi="宋体" w:eastAsia="宋体" w:cs="宋体"/>
          <w:color w:val="auto"/>
          <w:sz w:val="24"/>
          <w:highlight w:val="none"/>
        </w:rPr>
        <w:t>，要求加盖公章的地方加盖单位公章，不得使用专用章（如经济合同章、投标专用章等）或下属单位印章代替。</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18.6响应文件正本和副本需要逐页编目编码。</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18.7响应文件正本和副本应当采用胶装方式装订成册，不得散装或者合页装订。</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18.8</w:t>
      </w:r>
      <w:r>
        <w:rPr>
          <w:rFonts w:hint="eastAsia" w:ascii="宋体" w:hAnsi="宋体" w:eastAsia="宋体" w:cs="宋体"/>
          <w:b/>
          <w:color w:val="auto"/>
          <w:sz w:val="24"/>
          <w:highlight w:val="none"/>
        </w:rPr>
        <w:t>（实质性要求）</w:t>
      </w:r>
      <w:r>
        <w:rPr>
          <w:rFonts w:hint="eastAsia" w:ascii="宋体" w:hAnsi="宋体" w:eastAsia="宋体" w:cs="宋体"/>
          <w:color w:val="auto"/>
          <w:sz w:val="24"/>
          <w:highlight w:val="none"/>
        </w:rPr>
        <w:t>响应文件应根据谈判文件的要求签署、盖章。</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18.9响应文件统一用A4幅面纸印制，除另有规定外。</w:t>
      </w:r>
    </w:p>
    <w:p>
      <w:pPr>
        <w:tabs>
          <w:tab w:val="left" w:pos="1080"/>
        </w:tabs>
        <w:spacing w:line="360" w:lineRule="auto"/>
        <w:ind w:firstLine="463" w:firstLineChars="192"/>
        <w:rPr>
          <w:rFonts w:hint="eastAsia" w:ascii="宋体" w:hAnsi="宋体" w:eastAsia="宋体" w:cs="宋体"/>
          <w:b/>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bookmarkStart w:id="74" w:name="_Toc183582226"/>
      <w:bookmarkStart w:id="75" w:name="_Toc217446053"/>
      <w:bookmarkStart w:id="76" w:name="_Toc183682363"/>
      <w:bookmarkStart w:id="77" w:name="_Toc77400781"/>
      <w:bookmarkStart w:id="78" w:name="_Toc89075877"/>
      <w:r>
        <w:rPr>
          <w:rFonts w:hint="eastAsia" w:ascii="宋体" w:hAnsi="宋体" w:eastAsia="宋体" w:cs="宋体"/>
          <w:color w:val="auto"/>
          <w:sz w:val="24"/>
          <w:highlight w:val="none"/>
        </w:rPr>
        <w:t>19.响应文件的密封和标注（不属于本项目谈判小组评审范畴，由采购人、采购代理机构在接收响应文件时及时处理）</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19.1响应文件可以单独密封包装，也可以所有响应文件密封包装在一个密封袋内。</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19.2响应文件密封袋的最外层应清楚地标明采购项目名称、采购项目编号、包件号及名称（若有）、供应商名称。</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19.3所有外层密封袋的封口处应粘贴牢固。</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19.4未密封的响应文件，采购人、采购代理机构将拒收或者在时间允许的范围内，要求供应商密封完善后接收。</w:t>
      </w:r>
    </w:p>
    <w:p>
      <w:pPr>
        <w:tabs>
          <w:tab w:val="left" w:pos="1080"/>
        </w:tabs>
        <w:spacing w:line="360" w:lineRule="auto"/>
        <w:ind w:firstLine="460" w:firstLineChars="192"/>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20.响应文件的递交</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20.1资格性响应文件和其他响应文件应于递交响应文件截止时间前送达指定地点，采购代理机构拒绝接收截止时间后送达的响应文件。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20.2采购代理机构将向通过资格审查的供应商发出谈判邀请；告知未通过资格审查的供应商未通过的原因。</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20.3报价表在谈判后，谈判小组要求供应商进行最后报价时递交。</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20.4本次采购不接收邮寄的响应文件。</w:t>
      </w:r>
    </w:p>
    <w:p>
      <w:pPr>
        <w:tabs>
          <w:tab w:val="left" w:pos="1080"/>
        </w:tabs>
        <w:spacing w:line="360" w:lineRule="auto"/>
        <w:ind w:firstLine="460" w:firstLineChars="192"/>
        <w:rPr>
          <w:rFonts w:hint="eastAsia" w:ascii="宋体" w:hAnsi="宋体" w:eastAsia="宋体" w:cs="宋体"/>
          <w:color w:val="auto"/>
          <w:sz w:val="24"/>
          <w:highlight w:val="none"/>
        </w:rPr>
      </w:pPr>
    </w:p>
    <w:bookmarkEnd w:id="74"/>
    <w:bookmarkEnd w:id="75"/>
    <w:bookmarkEnd w:id="76"/>
    <w:bookmarkEnd w:id="77"/>
    <w:bookmarkEnd w:id="78"/>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bookmarkStart w:id="79" w:name="_Toc183582228"/>
      <w:bookmarkStart w:id="80" w:name="_Toc217446055"/>
      <w:bookmarkStart w:id="81" w:name="_Toc183682365"/>
      <w:r>
        <w:rPr>
          <w:rFonts w:hint="eastAsia" w:ascii="宋体" w:hAnsi="宋体" w:eastAsia="宋体" w:cs="宋体"/>
          <w:color w:val="auto"/>
          <w:sz w:val="24"/>
          <w:highlight w:val="none"/>
        </w:rPr>
        <w:t>21.响应文件的修改和撤回（补充、修改响应文件的密封和标注按照本章“19.响应文件的密封和标注”规定处理）</w:t>
      </w:r>
    </w:p>
    <w:p>
      <w:pPr>
        <w:pStyle w:val="16"/>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供应商不得在递交截止时间起至响应文件有效期期满前撤销其响应文件。否则其谈判保证金将按相关规定不予退还。</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21.4供应商对其提交的响应文件的真实性、合法性承担法律责任。</w:t>
      </w:r>
      <w:bookmarkEnd w:id="79"/>
      <w:bookmarkEnd w:id="80"/>
      <w:bookmarkEnd w:id="81"/>
    </w:p>
    <w:p>
      <w:pPr>
        <w:tabs>
          <w:tab w:val="left" w:pos="1080"/>
        </w:tabs>
        <w:spacing w:line="360" w:lineRule="auto"/>
        <w:ind w:firstLine="460" w:firstLineChars="192"/>
        <w:rPr>
          <w:rFonts w:hint="eastAsia" w:ascii="宋体" w:hAnsi="宋体" w:eastAsia="宋体" w:cs="宋体"/>
          <w:color w:val="auto"/>
          <w:sz w:val="24"/>
          <w:highlight w:val="none"/>
        </w:rPr>
      </w:pPr>
    </w:p>
    <w:p>
      <w:pPr>
        <w:pStyle w:val="6"/>
        <w:spacing w:before="0" w:after="0" w:line="360" w:lineRule="auto"/>
        <w:jc w:val="center"/>
        <w:rPr>
          <w:rFonts w:hint="eastAsia"/>
          <w:highlight w:val="none"/>
        </w:rPr>
      </w:pPr>
      <w:r>
        <w:rPr>
          <w:rFonts w:hint="eastAsia"/>
          <w:highlight w:val="none"/>
        </w:rPr>
        <w:t>五、评审</w:t>
      </w: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22.谈判小组的组建及其评审工作按照有关法律制度和本文件第八章的规定进行。</w:t>
      </w:r>
    </w:p>
    <w:p>
      <w:pPr>
        <w:spacing w:before="0" w:after="0" w:line="360" w:lineRule="auto"/>
        <w:jc w:val="center"/>
        <w:outlineLvl w:val="9"/>
        <w:rPr>
          <w:rFonts w:hint="eastAsia"/>
          <w:highlight w:val="none"/>
        </w:rPr>
      </w:pPr>
    </w:p>
    <w:p>
      <w:pPr>
        <w:pStyle w:val="6"/>
        <w:spacing w:before="0" w:after="0" w:line="360" w:lineRule="auto"/>
        <w:jc w:val="center"/>
        <w:rPr>
          <w:rFonts w:hint="eastAsia"/>
          <w:highlight w:val="none"/>
        </w:rPr>
      </w:pPr>
      <w:r>
        <w:rPr>
          <w:rFonts w:hint="eastAsia"/>
          <w:highlight w:val="none"/>
        </w:rPr>
        <w:t>六、成交事项</w:t>
      </w: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23.确定成交供应商</w:t>
      </w:r>
    </w:p>
    <w:p>
      <w:pPr>
        <w:keepNext w:val="0"/>
        <w:keepLines w:val="0"/>
        <w:spacing w:before="0" w:after="0" w:line="360" w:lineRule="auto"/>
        <w:ind w:firstLine="480" w:firstLineChars="200"/>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23.1采购代理机构自评审结束后2个工作日内将谈判报告及有关资料送交采购人确定成交供应商。</w:t>
      </w:r>
    </w:p>
    <w:p>
      <w:pPr>
        <w:keepNext w:val="0"/>
        <w:keepLines w:val="0"/>
        <w:spacing w:before="0" w:after="0" w:line="360" w:lineRule="auto"/>
        <w:ind w:firstLine="480" w:firstLineChars="200"/>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23.2采购人收到谈判报告及有关资料后，将在5个工作日内按照谈判报告中推荐的成交候选供应商顺序确定成交供应商。成交候选供应商并列的，采购人自主采取公平、择优的方式选择成交供应商。采购人逾期未确定成交供应商且不提出异议的，视为确定谈判报告提出的排序第一的供应商为成交供应商。</w:t>
      </w:r>
    </w:p>
    <w:p>
      <w:pPr>
        <w:keepNext w:val="0"/>
        <w:keepLines w:val="0"/>
        <w:spacing w:before="0" w:after="0" w:line="360" w:lineRule="auto"/>
        <w:ind w:firstLine="480" w:firstLineChars="200"/>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23.3采购人确定成交供应商过程中，发现成交候选供应商有下列情形之一的，应当不予确定其为成交供应商：</w:t>
      </w:r>
    </w:p>
    <w:p>
      <w:pPr>
        <w:keepNext w:val="0"/>
        <w:keepLines w:val="0"/>
        <w:spacing w:before="0" w:after="0" w:line="360" w:lineRule="auto"/>
        <w:ind w:firstLine="480" w:firstLineChars="200"/>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（1）发现成交候选供应商存在禁止参加本项目采购活动的违法行为的；</w:t>
      </w:r>
    </w:p>
    <w:p>
      <w:pPr>
        <w:keepNext w:val="0"/>
        <w:keepLines w:val="0"/>
        <w:spacing w:before="0" w:after="0" w:line="360" w:lineRule="auto"/>
        <w:ind w:firstLine="480" w:firstLineChars="200"/>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（2）成交候选供应商因不可抗力，不能继续参加政府采购活动。</w:t>
      </w:r>
    </w:p>
    <w:p>
      <w:pPr>
        <w:keepNext w:val="0"/>
        <w:keepLines w:val="0"/>
        <w:spacing w:before="0" w:after="0" w:line="360" w:lineRule="auto"/>
        <w:ind w:firstLine="480" w:firstLineChars="200"/>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（3）成交候选供应商无偿赠与或者低于成本价竞争；</w:t>
      </w:r>
    </w:p>
    <w:p>
      <w:pPr>
        <w:keepNext w:val="0"/>
        <w:keepLines w:val="0"/>
        <w:spacing w:before="0" w:after="0" w:line="360" w:lineRule="auto"/>
        <w:ind w:firstLine="480" w:firstLineChars="200"/>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（4）成交候选供应商提供虚假材料；</w:t>
      </w:r>
    </w:p>
    <w:p>
      <w:pPr>
        <w:keepNext w:val="0"/>
        <w:keepLines w:val="0"/>
        <w:spacing w:before="0" w:after="0" w:line="360" w:lineRule="auto"/>
        <w:ind w:firstLine="480" w:firstLineChars="200"/>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（5）成交候选供应商恶意串通。</w:t>
      </w:r>
    </w:p>
    <w:p>
      <w:pPr>
        <w:pStyle w:val="2"/>
        <w:rPr>
          <w:rFonts w:hint="eastAsia"/>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24.成交结果</w:t>
      </w:r>
    </w:p>
    <w:p>
      <w:pPr>
        <w:keepNext w:val="0"/>
        <w:keepLines w:val="0"/>
        <w:spacing w:before="0" w:after="0" w:line="360" w:lineRule="auto"/>
        <w:ind w:firstLine="480" w:firstLineChars="200"/>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24.1采购人确定成交供应商后，将及时书面通知采购代理机构，发出成交通知书并发布成交结果公告。</w:t>
      </w:r>
    </w:p>
    <w:p>
      <w:pPr>
        <w:spacing w:line="360" w:lineRule="auto"/>
        <w:ind w:firstLine="465"/>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24.2成交供应商应当及时领取成交通知书。本项目不需要交纳履约保证金/需要交纳履约保证金的，成交供应商应当及时向采购人交纳。</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24.3成交供应商不能及时领取成交通知书，采购人或者采购代理机构应当通过邮寄、快递等方式将项目成交通知书送达成交供应商。</w:t>
      </w:r>
    </w:p>
    <w:p>
      <w:pPr>
        <w:spacing w:line="360" w:lineRule="auto"/>
        <w:ind w:firstLine="480" w:firstLineChars="200"/>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25.成交通知书</w:t>
      </w:r>
    </w:p>
    <w:p>
      <w:pPr>
        <w:keepNext w:val="0"/>
        <w:keepLines w:val="0"/>
        <w:spacing w:before="0" w:after="0" w:line="360" w:lineRule="auto"/>
        <w:ind w:firstLine="480" w:firstLineChars="200"/>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25.1成交通知书为签订政府采购合同的依据之一，是合同的有效组成部分。</w:t>
      </w:r>
    </w:p>
    <w:p>
      <w:pPr>
        <w:keepNext w:val="0"/>
        <w:keepLines w:val="0"/>
        <w:spacing w:before="0" w:after="0" w:line="360" w:lineRule="auto"/>
        <w:ind w:firstLine="480" w:firstLineChars="200"/>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25.2成交通知书对采购人和成交供应商均具有法律效力。成交通知书发出后，采购人无正当理由改变成交结果，或者成交供应商无正当理由放弃成交的，将承担相应的法律责任。</w:t>
      </w:r>
    </w:p>
    <w:p>
      <w:pPr>
        <w:keepNext w:val="0"/>
        <w:keepLines w:val="0"/>
        <w:spacing w:before="0" w:after="0" w:line="360" w:lineRule="auto"/>
        <w:ind w:firstLine="480" w:firstLineChars="200"/>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2"/>
        <w:rPr>
          <w:rFonts w:hint="eastAsia"/>
          <w:highlight w:val="none"/>
        </w:rPr>
      </w:pPr>
    </w:p>
    <w:p>
      <w:pPr>
        <w:pStyle w:val="6"/>
        <w:spacing w:before="0" w:after="0" w:line="360" w:lineRule="auto"/>
        <w:jc w:val="center"/>
        <w:rPr>
          <w:rFonts w:hint="eastAsia"/>
          <w:highlight w:val="none"/>
        </w:rPr>
      </w:pPr>
      <w:r>
        <w:rPr>
          <w:rFonts w:hint="eastAsia"/>
          <w:highlight w:val="none"/>
        </w:rPr>
        <w:t>七、合同事项</w:t>
      </w: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bookmarkStart w:id="82" w:name="_Toc101250646"/>
      <w:bookmarkStart w:id="83" w:name="_Toc430773927"/>
      <w:bookmarkStart w:id="84" w:name="_Toc101338364"/>
      <w:bookmarkStart w:id="85" w:name="_Toc209847069"/>
      <w:bookmarkStart w:id="86" w:name="_Toc101174151"/>
      <w:r>
        <w:rPr>
          <w:rFonts w:hint="eastAsia" w:ascii="宋体" w:hAnsi="宋体" w:eastAsia="宋体" w:cs="宋体"/>
          <w:color w:val="auto"/>
          <w:sz w:val="24"/>
          <w:highlight w:val="none"/>
        </w:rPr>
        <w:t>26.签订合同</w:t>
      </w:r>
      <w:bookmarkEnd w:id="82"/>
      <w:bookmarkEnd w:id="83"/>
      <w:bookmarkEnd w:id="84"/>
      <w:bookmarkEnd w:id="85"/>
      <w:bookmarkEnd w:id="86"/>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26.2谈判文件、成交供应商的响应文件及双方确认的澄清文件等，均为有法律约束力的经济合同的组成部分。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26.4成交供应商因不可抗力原因不能履行采购合同或放弃成交的，采购人可以与排在成交供应商之后第一位的成交候选人签订采购合同，以此类推。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26.5竞争性谈判文件、成交供应商提交的响应文件、谈判中的最后报价、成交供应商承诺书、成交通知书等均称为有法律约束力的合同组成内容。</w:t>
      </w:r>
    </w:p>
    <w:p>
      <w:pPr>
        <w:spacing w:line="360" w:lineRule="auto"/>
        <w:ind w:firstLine="480" w:firstLineChars="200"/>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27.合同分包（实质性要求）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经采购人同意，成交供应商可以依法采取分包方式履行合同。这种要求应当在合同签订之前征得采购人同意，并且分包供应商履行的分包项目的品牌、规格型号及技术要求等，必须与成交的一致。分包工作实施前，将其选择的分包单位的资质、专业能力等相关资料情况报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分包履行合同的部分应当为采购项目的非主体、非关键性工作，不属于成交供应商的主要合同义务。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27.2采购合同实行分包履行的，成交供应商就采购项目和分包项目向采购人负责，分包供应商就分包项目承担责任。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27.3中小企业依据《政府采购促进中小企业发展</w:t>
      </w:r>
      <w:r>
        <w:rPr>
          <w:rFonts w:hint="eastAsia" w:ascii="宋体" w:hAnsi="宋体" w:cs="宋体"/>
          <w:color w:val="auto"/>
          <w:sz w:val="24"/>
          <w:highlight w:val="none"/>
          <w:lang w:eastAsia="zh-CN"/>
        </w:rPr>
        <w:t>管理</w:t>
      </w:r>
      <w:r>
        <w:rPr>
          <w:rFonts w:hint="eastAsia" w:ascii="宋体" w:hAnsi="宋体" w:eastAsia="宋体" w:cs="宋体"/>
          <w:color w:val="auto"/>
          <w:sz w:val="24"/>
          <w:highlight w:val="none"/>
        </w:rPr>
        <w:t>办法》（财库〔2020〕46号）规定的政策获取政府采购合同后，小型、微型企业不得分包或转包给大型、中型企业，中型企业不得分包或转包给大型企业。</w:t>
      </w:r>
    </w:p>
    <w:p>
      <w:pPr>
        <w:spacing w:line="360" w:lineRule="auto"/>
        <w:ind w:firstLine="480" w:firstLineChars="200"/>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28.合同转包（实质性要求）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成交供应商转包的，视同拒绝履行政府采购合同义务，将依法追究法律责任。</w:t>
      </w:r>
    </w:p>
    <w:p>
      <w:pPr>
        <w:spacing w:line="360" w:lineRule="auto"/>
        <w:ind w:firstLine="480" w:firstLineChars="200"/>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29.补充合同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360" w:lineRule="auto"/>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30.履约保证金（实质性要求）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30.1成交供应商应在合同签订之前交纳采购文件规定数额的履约保证金。</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30.2如果成交供应商在规定的合同签订时间内，没有按照采购文件的规定交纳履约保证金，且又无正当理由的，将视为放弃成交。</w:t>
      </w:r>
    </w:p>
    <w:p>
      <w:pPr>
        <w:spacing w:line="360" w:lineRule="auto"/>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31.合同公告</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32.合同备案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采购人应当将政府采购合同副本自签订（双方当事人均已签字盖章）之日起七个工作日内通过四川政府采购网报同级财政部门备案。</w:t>
      </w:r>
    </w:p>
    <w:p>
      <w:pPr>
        <w:spacing w:line="360" w:lineRule="auto"/>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33.履行合同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33.1成交供应商与采购人签订合同后，合同双方应严格执行合同条款，履行合同规定的义务，保证合同的顺利完成。</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33.2在合同履行过程中，如发生合同纠纷，合同双方应按照《</w:t>
      </w:r>
      <w:r>
        <w:rPr>
          <w:rFonts w:hint="eastAsia" w:ascii="宋体" w:hAnsi="宋体" w:cs="宋体"/>
          <w:sz w:val="24"/>
          <w:szCs w:val="24"/>
          <w:highlight w:val="none"/>
          <w:lang w:eastAsia="zh-CN"/>
        </w:rPr>
        <w:t>中华人民共和国民法典</w:t>
      </w:r>
      <w:r>
        <w:rPr>
          <w:rFonts w:hint="eastAsia" w:ascii="宋体" w:hAnsi="宋体" w:eastAsia="宋体" w:cs="宋体"/>
          <w:color w:val="auto"/>
          <w:sz w:val="24"/>
          <w:highlight w:val="none"/>
        </w:rPr>
        <w:t>》的有关规定进行处理。</w:t>
      </w:r>
    </w:p>
    <w:p>
      <w:pPr>
        <w:spacing w:line="360" w:lineRule="auto"/>
        <w:ind w:firstLine="480" w:firstLineChars="200"/>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34.验收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olor w:val="auto"/>
          <w:sz w:val="24"/>
          <w:highlight w:val="none"/>
        </w:rPr>
        <w:t>按国家有关规定以及本项目采购文件的质量要求和技术指标或者</w:t>
      </w:r>
      <w:r>
        <w:rPr>
          <w:rFonts w:hint="eastAsia" w:ascii="宋体" w:hAnsi="宋体"/>
          <w:color w:val="auto"/>
          <w:sz w:val="24"/>
          <w:highlight w:val="none"/>
          <w:lang w:val="en-US" w:eastAsia="zh-CN"/>
        </w:rPr>
        <w:t>成交</w:t>
      </w:r>
      <w:r>
        <w:rPr>
          <w:rFonts w:hint="eastAsia" w:ascii="宋体" w:hAnsi="宋体"/>
          <w:color w:val="auto"/>
          <w:sz w:val="24"/>
          <w:highlight w:val="none"/>
        </w:rPr>
        <w:t>供应商的</w:t>
      </w:r>
      <w:r>
        <w:rPr>
          <w:rFonts w:hint="eastAsia" w:ascii="宋体" w:hAnsi="宋体"/>
          <w:color w:val="auto"/>
          <w:sz w:val="24"/>
          <w:highlight w:val="none"/>
          <w:lang w:val="en-US" w:eastAsia="zh-CN"/>
        </w:rPr>
        <w:t>响应</w:t>
      </w:r>
      <w:r>
        <w:rPr>
          <w:rFonts w:hint="eastAsia" w:ascii="宋体" w:hAnsi="宋体"/>
          <w:color w:val="auto"/>
          <w:sz w:val="24"/>
          <w:highlight w:val="none"/>
        </w:rPr>
        <w:t>文件及承诺等进行验收。</w:t>
      </w:r>
    </w:p>
    <w:p>
      <w:pPr>
        <w:spacing w:line="360" w:lineRule="auto"/>
        <w:rPr>
          <w:rFonts w:hint="eastAsia" w:ascii="宋体" w:hAnsi="宋体" w:eastAsia="宋体" w:cs="宋体"/>
          <w:color w:val="auto"/>
          <w:sz w:val="24"/>
          <w:highlight w:val="none"/>
        </w:rPr>
      </w:pP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35.资金支付</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采购人将按照政府采购合同规定，及时向成交供应商支付采购资金。本项目采购资金付款详见第五章规定的付款方式。</w:t>
      </w:r>
    </w:p>
    <w:p>
      <w:pPr>
        <w:spacing w:line="360" w:lineRule="auto"/>
        <w:ind w:firstLine="420" w:firstLineChars="200"/>
        <w:rPr>
          <w:rFonts w:hint="eastAsia" w:ascii="宋体" w:hAnsi="宋体" w:eastAsia="宋体" w:cs="宋体"/>
          <w:color w:val="auto"/>
          <w:highlight w:val="none"/>
        </w:rPr>
      </w:pPr>
    </w:p>
    <w:p>
      <w:pPr>
        <w:pStyle w:val="6"/>
        <w:spacing w:before="0" w:after="0" w:line="360" w:lineRule="auto"/>
        <w:jc w:val="center"/>
        <w:rPr>
          <w:rFonts w:hint="eastAsia"/>
          <w:highlight w:val="none"/>
        </w:rPr>
      </w:pPr>
      <w:r>
        <w:rPr>
          <w:rFonts w:hint="eastAsia"/>
          <w:highlight w:val="none"/>
        </w:rPr>
        <w:t>八、谈判纪律要求</w:t>
      </w: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36.供应商不得具有的情形</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供应商参加本项目谈判不得有下列情形：</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（1）提供虚假材料谋取成交；</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（2）采取不正当手段诋毁、排挤其他供应商；</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（3）与采购人、采购代理机构、或其他供应商恶意串通；</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（4）向采购人、采购代理机构、谈判小组成员行贿或者提供其他不正当利益；</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（5）在谈判过程中与采购人、采购代理机构进行协商；</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（6）成交后无正当理由拒不与采购人签订政府采购合同；</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（7）未按照谈判文件确定的事项签订政府采购合同；</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（8）将政府采购合同转包或者违规分包；</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（9）提供假冒伪劣产品；</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（10）擅自变更、中止或者终止政府采购合同；</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（11）拒绝有关部门的监督检查或者向监督检查部门提供虚假情况；</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（12）法律法规规定的其他情形。</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供应商有上述情形的，按照规定追究法律责任，具备（1）-（10）条情形之一的，同时将取消被确认为成交供应商的资格或者认定成交无效。</w:t>
      </w:r>
    </w:p>
    <w:p>
      <w:pPr>
        <w:pStyle w:val="2"/>
        <w:rPr>
          <w:rFonts w:hint="eastAsia" w:ascii="宋体" w:hAnsi="宋体" w:eastAsia="宋体" w:cs="宋体"/>
          <w:color w:val="auto"/>
          <w:highlight w:val="none"/>
        </w:rPr>
      </w:pPr>
    </w:p>
    <w:p>
      <w:pPr>
        <w:pStyle w:val="6"/>
        <w:spacing w:before="0" w:after="0" w:line="360" w:lineRule="auto"/>
        <w:jc w:val="center"/>
        <w:rPr>
          <w:rFonts w:hint="eastAsia"/>
          <w:highlight w:val="none"/>
        </w:rPr>
      </w:pPr>
      <w:r>
        <w:rPr>
          <w:rFonts w:hint="eastAsia"/>
          <w:highlight w:val="none"/>
        </w:rPr>
        <w:t>九、询问、质疑和投诉</w:t>
      </w:r>
    </w:p>
    <w:p>
      <w:pPr>
        <w:pStyle w:val="7"/>
        <w:keepNext w:val="0"/>
        <w:keepLines w:val="0"/>
        <w:spacing w:before="0" w:after="0" w:line="360" w:lineRule="auto"/>
        <w:ind w:firstLine="482" w:firstLineChars="200"/>
        <w:rPr>
          <w:rFonts w:hint="eastAsia" w:ascii="宋体" w:hAnsi="宋体" w:eastAsia="宋体" w:cs="宋体"/>
          <w:b w:val="0"/>
          <w:bCs w:val="0"/>
          <w:color w:val="auto"/>
          <w:sz w:val="24"/>
          <w:highlight w:val="none"/>
        </w:rPr>
      </w:pPr>
      <w:r>
        <w:rPr>
          <w:rFonts w:hint="eastAsia" w:ascii="宋体" w:hAnsi="宋体" w:eastAsia="宋体" w:cs="宋体"/>
          <w:color w:val="auto"/>
          <w:sz w:val="24"/>
          <w:highlight w:val="none"/>
        </w:rPr>
        <w:t>37.</w:t>
      </w:r>
      <w:r>
        <w:rPr>
          <w:rFonts w:hint="eastAsia" w:ascii="宋体" w:hAnsi="宋体" w:eastAsia="宋体" w:cs="宋体"/>
          <w:b w:val="0"/>
          <w:bCs w:val="0"/>
          <w:color w:val="auto"/>
          <w:sz w:val="24"/>
          <w:highlight w:val="none"/>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pStyle w:val="2"/>
        <w:rPr>
          <w:rFonts w:hint="eastAsia" w:ascii="宋体" w:hAnsi="宋体" w:eastAsia="宋体" w:cs="宋体"/>
          <w:color w:val="auto"/>
          <w:highlight w:val="none"/>
        </w:rPr>
      </w:pPr>
    </w:p>
    <w:p>
      <w:pPr>
        <w:pStyle w:val="6"/>
        <w:spacing w:before="0" w:after="0" w:line="360" w:lineRule="auto"/>
        <w:jc w:val="center"/>
        <w:rPr>
          <w:rFonts w:hint="eastAsia"/>
          <w:highlight w:val="none"/>
        </w:rPr>
      </w:pPr>
      <w:r>
        <w:rPr>
          <w:rFonts w:hint="eastAsia"/>
          <w:highlight w:val="none"/>
        </w:rPr>
        <w:t>十、其  他</w:t>
      </w:r>
    </w:p>
    <w:p>
      <w:pPr>
        <w:pStyle w:val="7"/>
        <w:keepNext w:val="0"/>
        <w:keepLines w:val="0"/>
        <w:spacing w:before="0" w:after="0" w:line="360" w:lineRule="auto"/>
        <w:ind w:firstLine="482" w:firstLineChars="200"/>
        <w:rPr>
          <w:rFonts w:hint="eastAsia" w:ascii="宋体" w:hAnsi="宋体" w:eastAsia="宋体" w:cs="宋体"/>
          <w:b w:val="0"/>
          <w:bCs w:val="0"/>
          <w:color w:val="auto"/>
          <w:sz w:val="24"/>
          <w:highlight w:val="none"/>
        </w:rPr>
      </w:pPr>
      <w:r>
        <w:rPr>
          <w:rFonts w:hint="eastAsia" w:ascii="宋体" w:hAnsi="宋体" w:eastAsia="宋体" w:cs="宋体"/>
          <w:color w:val="auto"/>
          <w:sz w:val="24"/>
          <w:highlight w:val="none"/>
        </w:rPr>
        <w:t>38.</w:t>
      </w:r>
      <w:r>
        <w:rPr>
          <w:rFonts w:hint="eastAsia" w:ascii="宋体" w:hAnsi="宋体" w:eastAsia="宋体" w:cs="宋体"/>
          <w:b w:val="0"/>
          <w:bCs w:val="0"/>
          <w:color w:val="auto"/>
          <w:sz w:val="24"/>
          <w:highlight w:val="none"/>
        </w:rPr>
        <w:t>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pStyle w:val="7"/>
        <w:keepNext w:val="0"/>
        <w:keepLines w:val="0"/>
        <w:spacing w:before="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39.</w:t>
      </w:r>
      <w:r>
        <w:rPr>
          <w:rFonts w:hint="eastAsia" w:ascii="宋体" w:hAnsi="宋体" w:eastAsia="宋体" w:cs="宋体"/>
          <w:b w:val="0"/>
          <w:bCs w:val="0"/>
          <w:color w:val="auto"/>
          <w:sz w:val="24"/>
          <w:highlight w:val="none"/>
        </w:rPr>
        <w:t>（实质性要求）国家或行业主管部门对采购产品的技术标准、质量标准和资格资质条件等有强制性规定的，必须符合其要求。</w:t>
      </w:r>
    </w:p>
    <w:p>
      <w:pPr>
        <w:pStyle w:val="40"/>
        <w:rPr>
          <w:rFonts w:hint="eastAsia" w:ascii="Times New Roman" w:hAnsi="Times New Roman" w:eastAsia="宋体" w:cs="Times New Roman"/>
          <w:b/>
          <w:bCs/>
          <w:kern w:val="44"/>
          <w:sz w:val="44"/>
          <w:szCs w:val="44"/>
          <w:highlight w:val="none"/>
          <w:lang w:val="en-US" w:eastAsia="zh-CN" w:bidi="ar-SA"/>
        </w:rPr>
      </w:pPr>
      <w:r>
        <w:rPr>
          <w:rFonts w:hint="eastAsia" w:ascii="宋体" w:hAnsi="宋体" w:eastAsia="宋体" w:cs="宋体"/>
          <w:color w:val="auto"/>
          <w:sz w:val="24"/>
          <w:highlight w:val="none"/>
        </w:rPr>
        <w:br w:type="page"/>
      </w:r>
      <w:bookmarkStart w:id="87" w:name="_Toc531596533"/>
      <w:bookmarkStart w:id="88" w:name="_Toc116"/>
      <w:r>
        <w:rPr>
          <w:rFonts w:hint="eastAsia" w:ascii="Times New Roman" w:hAnsi="Times New Roman" w:eastAsia="宋体" w:cs="Times New Roman"/>
          <w:b/>
          <w:bCs/>
          <w:kern w:val="44"/>
          <w:sz w:val="44"/>
          <w:szCs w:val="44"/>
          <w:highlight w:val="none"/>
          <w:lang w:val="en-US" w:eastAsia="zh-CN" w:bidi="ar-SA"/>
        </w:rPr>
        <w:t xml:space="preserve">第三章  </w:t>
      </w:r>
      <w:bookmarkEnd w:id="87"/>
      <w:r>
        <w:rPr>
          <w:rFonts w:hint="eastAsia" w:ascii="Times New Roman" w:hAnsi="Times New Roman" w:eastAsia="宋体" w:cs="Times New Roman"/>
          <w:b/>
          <w:bCs/>
          <w:kern w:val="44"/>
          <w:sz w:val="44"/>
          <w:szCs w:val="44"/>
          <w:highlight w:val="none"/>
          <w:lang w:val="en-US" w:eastAsia="zh-CN" w:bidi="ar-SA"/>
        </w:rPr>
        <w:t>供应商资格条件要求</w:t>
      </w:r>
      <w:bookmarkEnd w:id="88"/>
    </w:p>
    <w:p>
      <w:pPr>
        <w:rPr>
          <w:rFonts w:hint="eastAsia" w:ascii="宋体" w:hAnsi="宋体" w:eastAsia="宋体" w:cs="宋体"/>
          <w:b/>
          <w:color w:val="auto"/>
          <w:sz w:val="32"/>
          <w:szCs w:val="32"/>
          <w:highlight w:val="none"/>
        </w:rPr>
      </w:pPr>
    </w:p>
    <w:p>
      <w:pPr>
        <w:pStyle w:val="6"/>
        <w:keepNext w:val="0"/>
        <w:keepLines w:val="0"/>
        <w:spacing w:before="0" w:after="0" w:line="360" w:lineRule="auto"/>
        <w:rPr>
          <w:rFonts w:ascii="宋体" w:hAnsi="宋体" w:eastAsia="宋体"/>
          <w:sz w:val="24"/>
          <w:szCs w:val="24"/>
          <w:highlight w:val="none"/>
        </w:rPr>
      </w:pPr>
      <w:r>
        <w:rPr>
          <w:rFonts w:hint="eastAsia" w:ascii="宋体" w:hAnsi="宋体" w:eastAsia="宋体"/>
          <w:sz w:val="24"/>
          <w:szCs w:val="24"/>
          <w:highlight w:val="none"/>
        </w:rPr>
        <w:t>一、供应商资格、资质性及其他类似效力要求</w:t>
      </w:r>
    </w:p>
    <w:p>
      <w:pPr>
        <w:spacing w:line="360" w:lineRule="auto"/>
        <w:ind w:firstLine="482" w:firstLineChars="200"/>
        <w:rPr>
          <w:rFonts w:ascii="宋体" w:hAnsi="宋体"/>
          <w:b/>
          <w:bCs/>
          <w:sz w:val="24"/>
          <w:highlight w:val="none"/>
        </w:rPr>
      </w:pPr>
      <w:bookmarkStart w:id="89" w:name="_Toc24503_WPSOffice_Level2"/>
      <w:bookmarkStart w:id="90" w:name="_Toc9860_WPSOffice_Level2"/>
      <w:r>
        <w:rPr>
          <w:rFonts w:hint="eastAsia" w:ascii="宋体" w:hAnsi="宋体"/>
          <w:b/>
          <w:bCs/>
          <w:sz w:val="24"/>
          <w:highlight w:val="none"/>
        </w:rPr>
        <w:t>（一）资格要求：</w:t>
      </w:r>
      <w:bookmarkEnd w:id="89"/>
      <w:bookmarkEnd w:id="90"/>
    </w:p>
    <w:p>
      <w:pPr>
        <w:spacing w:line="360" w:lineRule="auto"/>
        <w:ind w:firstLine="480" w:firstLineChars="200"/>
        <w:rPr>
          <w:rFonts w:ascii="宋体" w:hAnsi="宋体"/>
          <w:sz w:val="24"/>
          <w:highlight w:val="none"/>
        </w:rPr>
      </w:pPr>
      <w:r>
        <w:rPr>
          <w:rFonts w:hint="eastAsia" w:ascii="宋体" w:hAnsi="宋体"/>
          <w:sz w:val="24"/>
          <w:highlight w:val="none"/>
        </w:rPr>
        <w:t>1、具备《中华人民共和国政府采购法》第二十二条第一款规定的条件：</w:t>
      </w:r>
    </w:p>
    <w:p>
      <w:pPr>
        <w:spacing w:line="360" w:lineRule="auto"/>
        <w:ind w:firstLine="480" w:firstLineChars="200"/>
        <w:rPr>
          <w:rFonts w:ascii="宋体" w:hAnsi="宋体"/>
          <w:sz w:val="24"/>
          <w:highlight w:val="none"/>
        </w:rPr>
      </w:pPr>
      <w:r>
        <w:rPr>
          <w:rFonts w:hint="eastAsia" w:ascii="宋体" w:hAnsi="宋体"/>
          <w:sz w:val="24"/>
          <w:highlight w:val="none"/>
        </w:rPr>
        <w:t>（1）具有独立承担民事责任的能力；</w:t>
      </w:r>
    </w:p>
    <w:p>
      <w:pPr>
        <w:spacing w:line="360" w:lineRule="auto"/>
        <w:ind w:firstLine="480" w:firstLineChars="200"/>
        <w:rPr>
          <w:rFonts w:ascii="宋体" w:hAnsi="宋体"/>
          <w:sz w:val="24"/>
          <w:highlight w:val="none"/>
        </w:rPr>
      </w:pPr>
      <w:r>
        <w:rPr>
          <w:rFonts w:hint="eastAsia" w:ascii="宋体" w:hAnsi="宋体"/>
          <w:sz w:val="24"/>
          <w:highlight w:val="none"/>
        </w:rPr>
        <w:t>（2）具有良好的商业信誉和健全的财务会计制度；</w:t>
      </w:r>
    </w:p>
    <w:p>
      <w:pPr>
        <w:spacing w:line="360" w:lineRule="auto"/>
        <w:ind w:firstLine="480" w:firstLineChars="200"/>
        <w:rPr>
          <w:rFonts w:ascii="宋体" w:hAnsi="宋体"/>
          <w:sz w:val="24"/>
          <w:highlight w:val="none"/>
        </w:rPr>
      </w:pPr>
      <w:r>
        <w:rPr>
          <w:rFonts w:hint="eastAsia" w:ascii="宋体" w:hAnsi="宋体"/>
          <w:sz w:val="24"/>
          <w:highlight w:val="none"/>
        </w:rPr>
        <w:t>（3）具有履行合同所必需的设备和专业技术能力；</w:t>
      </w:r>
    </w:p>
    <w:p>
      <w:pPr>
        <w:spacing w:line="360" w:lineRule="auto"/>
        <w:ind w:firstLine="480" w:firstLineChars="200"/>
        <w:rPr>
          <w:rFonts w:ascii="宋体" w:hAnsi="宋体"/>
          <w:sz w:val="24"/>
          <w:highlight w:val="none"/>
        </w:rPr>
      </w:pPr>
      <w:r>
        <w:rPr>
          <w:rFonts w:hint="eastAsia" w:ascii="宋体" w:hAnsi="宋体"/>
          <w:sz w:val="24"/>
          <w:highlight w:val="none"/>
        </w:rPr>
        <w:t>（4）有依法缴纳税收和社会保障资金的良好记录；</w:t>
      </w:r>
    </w:p>
    <w:p>
      <w:pPr>
        <w:spacing w:line="360" w:lineRule="auto"/>
        <w:ind w:firstLine="480" w:firstLineChars="200"/>
        <w:rPr>
          <w:rFonts w:ascii="宋体" w:hAnsi="宋体"/>
          <w:sz w:val="24"/>
          <w:highlight w:val="none"/>
        </w:rPr>
      </w:pPr>
      <w:r>
        <w:rPr>
          <w:rFonts w:hint="eastAsia" w:ascii="宋体" w:hAnsi="宋体"/>
          <w:sz w:val="24"/>
          <w:highlight w:val="none"/>
        </w:rPr>
        <w:t>（5）参加政府采购活动前三年内，在经营活动中没有重大违法记录；</w:t>
      </w:r>
    </w:p>
    <w:p>
      <w:pPr>
        <w:spacing w:line="360" w:lineRule="auto"/>
        <w:ind w:firstLine="480" w:firstLineChars="200"/>
        <w:rPr>
          <w:rFonts w:ascii="宋体" w:hAnsi="宋体"/>
          <w:sz w:val="24"/>
          <w:highlight w:val="none"/>
        </w:rPr>
      </w:pPr>
      <w:r>
        <w:rPr>
          <w:rFonts w:hint="eastAsia" w:ascii="宋体" w:hAnsi="宋体"/>
          <w:sz w:val="24"/>
          <w:highlight w:val="none"/>
        </w:rPr>
        <w:t>（6）法律、行政法规规定的其他条件。</w:t>
      </w:r>
    </w:p>
    <w:p>
      <w:pPr>
        <w:spacing w:line="360" w:lineRule="auto"/>
        <w:ind w:firstLine="482" w:firstLineChars="200"/>
        <w:rPr>
          <w:rFonts w:ascii="宋体" w:hAnsi="宋体"/>
          <w:b/>
          <w:bCs/>
          <w:sz w:val="24"/>
          <w:highlight w:val="none"/>
        </w:rPr>
      </w:pPr>
      <w:bookmarkStart w:id="91" w:name="_Toc12093_WPSOffice_Level2"/>
      <w:bookmarkStart w:id="92" w:name="_Toc11574_WPSOffice_Level2"/>
      <w:r>
        <w:rPr>
          <w:rFonts w:hint="eastAsia" w:ascii="宋体" w:hAnsi="宋体"/>
          <w:b/>
          <w:bCs/>
          <w:sz w:val="24"/>
          <w:highlight w:val="none"/>
        </w:rPr>
        <w:t>（二）根据采购项目提出的特殊条件：</w:t>
      </w:r>
      <w:bookmarkEnd w:id="91"/>
      <w:bookmarkEnd w:id="92"/>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sz w:val="24"/>
          <w:highlight w:val="none"/>
          <w:lang w:val="en-US" w:eastAsia="zh-CN"/>
        </w:rPr>
        <w:t>1、</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及其现任法定代表人（非法人机构则为主要负责人）不得具有行贿犯罪记录；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供应商须具</w:t>
      </w:r>
      <w:r>
        <w:rPr>
          <w:rFonts w:hint="eastAsia" w:ascii="宋体" w:hAnsi="宋体" w:cs="宋体"/>
          <w:color w:val="auto"/>
          <w:sz w:val="24"/>
          <w:szCs w:val="24"/>
          <w:highlight w:val="none"/>
          <w:lang w:eastAsia="zh-CN"/>
        </w:rPr>
        <w:t>有</w:t>
      </w:r>
      <w:r>
        <w:rPr>
          <w:rFonts w:hint="eastAsia" w:ascii="宋体" w:hAnsi="宋体" w:eastAsia="宋体" w:cs="宋体"/>
          <w:color w:val="auto"/>
          <w:sz w:val="24"/>
          <w:szCs w:val="24"/>
          <w:highlight w:val="none"/>
        </w:rPr>
        <w:t>有效的《农药经营许可证》</w:t>
      </w:r>
      <w:r>
        <w:rPr>
          <w:rFonts w:hint="eastAsia" w:ascii="宋体" w:hAnsi="宋体" w:cs="宋体"/>
          <w:color w:val="auto"/>
          <w:sz w:val="24"/>
          <w:szCs w:val="24"/>
          <w:highlight w:val="none"/>
          <w:lang w:val="en-US" w:eastAsia="zh-CN"/>
        </w:rPr>
        <w:t>；</w:t>
      </w:r>
    </w:p>
    <w:p>
      <w:pPr>
        <w:spacing w:line="360" w:lineRule="auto"/>
        <w:ind w:firstLine="480" w:firstLineChars="200"/>
        <w:rPr>
          <w:rFonts w:hint="eastAsia" w:ascii="宋体" w:hAnsi="宋体"/>
          <w:color w:val="auto"/>
          <w:sz w:val="24"/>
          <w:highlight w:val="none"/>
        </w:rPr>
      </w:pPr>
      <w:r>
        <w:rPr>
          <w:rFonts w:hint="eastAsia" w:ascii="宋体" w:hAnsi="宋体" w:cs="宋体"/>
          <w:color w:val="auto"/>
          <w:sz w:val="24"/>
          <w:szCs w:val="24"/>
          <w:highlight w:val="none"/>
          <w:lang w:val="en-US" w:eastAsia="zh-CN"/>
        </w:rPr>
        <w:t>3、响应</w:t>
      </w:r>
      <w:r>
        <w:rPr>
          <w:rFonts w:hint="eastAsia" w:ascii="宋体" w:hAnsi="宋体" w:eastAsia="宋体" w:cs="宋体"/>
          <w:color w:val="auto"/>
          <w:sz w:val="24"/>
          <w:szCs w:val="24"/>
          <w:highlight w:val="none"/>
        </w:rPr>
        <w:t>农药产品须具</w:t>
      </w:r>
      <w:r>
        <w:rPr>
          <w:rFonts w:hint="eastAsia" w:ascii="宋体" w:hAnsi="宋体" w:cs="宋体"/>
          <w:color w:val="auto"/>
          <w:sz w:val="24"/>
          <w:szCs w:val="24"/>
          <w:highlight w:val="none"/>
          <w:lang w:eastAsia="zh-CN"/>
        </w:rPr>
        <w:t>有</w:t>
      </w:r>
      <w:r>
        <w:rPr>
          <w:rFonts w:hint="eastAsia" w:ascii="宋体" w:hAnsi="宋体" w:eastAsia="宋体" w:cs="宋体"/>
          <w:color w:val="auto"/>
          <w:sz w:val="24"/>
          <w:szCs w:val="24"/>
          <w:highlight w:val="none"/>
        </w:rPr>
        <w:t>有效的《农药登记证》、</w:t>
      </w:r>
      <w:r>
        <w:rPr>
          <w:rFonts w:hint="eastAsia" w:ascii="宋体" w:hAnsi="宋体" w:cs="宋体"/>
          <w:color w:val="auto"/>
          <w:sz w:val="24"/>
          <w:szCs w:val="24"/>
          <w:highlight w:val="none"/>
          <w:lang w:eastAsia="zh-CN"/>
        </w:rPr>
        <w:t>生产企业的有效</w:t>
      </w:r>
      <w:r>
        <w:rPr>
          <w:rFonts w:hint="eastAsia" w:ascii="宋体" w:hAnsi="宋体" w:eastAsia="宋体" w:cs="宋体"/>
          <w:color w:val="auto"/>
          <w:sz w:val="24"/>
          <w:szCs w:val="24"/>
          <w:highlight w:val="none"/>
        </w:rPr>
        <w:t>《农药生产许可证》、《产品标准证》。</w:t>
      </w:r>
    </w:p>
    <w:p>
      <w:pPr>
        <w:spacing w:line="360" w:lineRule="auto"/>
        <w:ind w:firstLine="480" w:firstLineChars="200"/>
        <w:rPr>
          <w:rFonts w:ascii="宋体" w:hAnsi="宋体"/>
          <w:sz w:val="24"/>
          <w:highlight w:val="none"/>
        </w:rPr>
      </w:pPr>
      <w:r>
        <w:rPr>
          <w:rFonts w:hint="eastAsia" w:ascii="宋体" w:hAnsi="宋体"/>
          <w:sz w:val="24"/>
          <w:highlight w:val="none"/>
          <w:lang w:val="en-US" w:eastAsia="zh-CN"/>
        </w:rPr>
        <w:t>4、</w:t>
      </w:r>
      <w:r>
        <w:rPr>
          <w:rFonts w:hint="eastAsia" w:ascii="宋体" w:hAnsi="宋体" w:eastAsia="宋体" w:cs="宋体"/>
          <w:color w:val="auto"/>
          <w:sz w:val="24"/>
          <w:highlight w:val="none"/>
          <w:lang w:eastAsia="zh-CN"/>
        </w:rPr>
        <w:t>本项目专门面向中小企业采购</w:t>
      </w:r>
      <w:r>
        <w:rPr>
          <w:rFonts w:hint="eastAsia" w:ascii="宋体" w:hAnsi="宋体" w:cs="宋体"/>
          <w:color w:val="auto"/>
          <w:sz w:val="24"/>
          <w:highlight w:val="none"/>
          <w:lang w:val="en-US" w:eastAsia="zh-CN"/>
        </w:rPr>
        <w:t>；</w:t>
      </w:r>
    </w:p>
    <w:p>
      <w:pPr>
        <w:spacing w:line="360" w:lineRule="auto"/>
        <w:ind w:firstLine="480" w:firstLineChars="200"/>
        <w:rPr>
          <w:sz w:val="24"/>
          <w:highlight w:val="none"/>
        </w:rPr>
      </w:pPr>
      <w:r>
        <w:rPr>
          <w:rFonts w:hint="eastAsia" w:ascii="宋体" w:hAnsi="宋体"/>
          <w:sz w:val="24"/>
          <w:highlight w:val="none"/>
          <w:lang w:val="en-US" w:eastAsia="zh-CN"/>
        </w:rPr>
        <w:t>5、</w:t>
      </w:r>
      <w:r>
        <w:rPr>
          <w:rFonts w:hint="eastAsia" w:ascii="宋体" w:hAnsi="宋体"/>
          <w:sz w:val="24"/>
          <w:highlight w:val="none"/>
        </w:rPr>
        <w:t>本次</w:t>
      </w:r>
      <w:r>
        <w:rPr>
          <w:rFonts w:hint="eastAsia" w:ascii="宋体" w:hAnsi="宋体"/>
          <w:sz w:val="24"/>
          <w:highlight w:val="none"/>
          <w:lang w:eastAsia="zh-CN"/>
        </w:rPr>
        <w:t>谈判</w:t>
      </w:r>
      <w:r>
        <w:rPr>
          <w:rFonts w:hint="eastAsia" w:ascii="宋体" w:hAnsi="宋体"/>
          <w:sz w:val="24"/>
          <w:highlight w:val="none"/>
        </w:rPr>
        <w:t>不接受联合体响应。</w:t>
      </w:r>
    </w:p>
    <w:p>
      <w:pPr>
        <w:spacing w:line="360" w:lineRule="auto"/>
        <w:ind w:firstLine="482" w:firstLineChars="200"/>
        <w:rPr>
          <w:rFonts w:ascii="宋体" w:hAnsi="宋体"/>
          <w:b/>
          <w:bCs/>
          <w:sz w:val="24"/>
          <w:highlight w:val="none"/>
        </w:rPr>
      </w:pPr>
      <w:bookmarkStart w:id="93" w:name="_Toc8836_WPSOffice_Level2"/>
      <w:bookmarkStart w:id="94" w:name="_Toc12366_WPSOffice_Level2"/>
      <w:r>
        <w:rPr>
          <w:rFonts w:hint="eastAsia" w:ascii="宋体" w:hAnsi="宋体"/>
          <w:b/>
          <w:bCs/>
          <w:sz w:val="24"/>
          <w:highlight w:val="none"/>
        </w:rPr>
        <w:t>（三）其他类似效力要求：</w:t>
      </w:r>
      <w:bookmarkEnd w:id="93"/>
      <w:bookmarkEnd w:id="94"/>
    </w:p>
    <w:p>
      <w:pPr>
        <w:spacing w:line="360" w:lineRule="auto"/>
        <w:ind w:firstLine="480" w:firstLineChars="200"/>
        <w:rPr>
          <w:rFonts w:hint="eastAsia" w:ascii="宋体" w:hAnsi="宋体"/>
          <w:sz w:val="24"/>
          <w:highlight w:val="none"/>
        </w:rPr>
      </w:pPr>
      <w:bookmarkStart w:id="95" w:name="_Toc443658843"/>
      <w:r>
        <w:rPr>
          <w:rFonts w:hint="eastAsia" w:ascii="宋体" w:hAnsi="宋体"/>
          <w:sz w:val="24"/>
          <w:highlight w:val="none"/>
          <w:lang w:val="en-US" w:eastAsia="zh-CN"/>
        </w:rPr>
        <w:t>1、</w:t>
      </w:r>
      <w:r>
        <w:rPr>
          <w:rFonts w:hint="eastAsia" w:ascii="宋体" w:hAnsi="宋体"/>
          <w:sz w:val="24"/>
          <w:highlight w:val="none"/>
        </w:rPr>
        <w:t>参加本次</w:t>
      </w:r>
      <w:r>
        <w:rPr>
          <w:rFonts w:hint="eastAsia" w:ascii="宋体" w:hAnsi="宋体"/>
          <w:sz w:val="24"/>
          <w:highlight w:val="none"/>
          <w:lang w:val="en-US" w:eastAsia="zh-CN"/>
        </w:rPr>
        <w:t>谈判</w:t>
      </w:r>
      <w:r>
        <w:rPr>
          <w:rFonts w:hint="eastAsia" w:ascii="宋体" w:hAnsi="宋体"/>
          <w:sz w:val="24"/>
          <w:highlight w:val="none"/>
        </w:rPr>
        <w:t>活动代表的证明材料。</w:t>
      </w:r>
    </w:p>
    <w:p>
      <w:pPr>
        <w:pStyle w:val="2"/>
        <w:rPr>
          <w:highlight w:val="none"/>
        </w:rPr>
      </w:pPr>
    </w:p>
    <w:p>
      <w:pPr>
        <w:pStyle w:val="6"/>
        <w:keepNext w:val="0"/>
        <w:keepLines w:val="0"/>
        <w:spacing w:before="0" w:after="0" w:line="360" w:lineRule="auto"/>
        <w:rPr>
          <w:rFonts w:ascii="宋体" w:hAnsi="宋体" w:eastAsia="宋体"/>
          <w:sz w:val="24"/>
          <w:szCs w:val="24"/>
          <w:highlight w:val="none"/>
        </w:rPr>
      </w:pPr>
      <w:r>
        <w:rPr>
          <w:rFonts w:hint="eastAsia" w:ascii="宋体" w:hAnsi="宋体" w:eastAsia="宋体"/>
          <w:sz w:val="24"/>
          <w:szCs w:val="24"/>
          <w:highlight w:val="none"/>
        </w:rPr>
        <w:t>二、报价产品的资格、资质性及其他类似效力要求</w:t>
      </w:r>
      <w:bookmarkEnd w:id="95"/>
      <w:r>
        <w:rPr>
          <w:rFonts w:hint="eastAsia" w:ascii="宋体" w:hAnsi="宋体" w:eastAsia="宋体"/>
          <w:sz w:val="24"/>
          <w:szCs w:val="24"/>
          <w:highlight w:val="none"/>
        </w:rPr>
        <w:t>：无。</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注：1、重大违法记录是指供应商因违法经营受到刑事处罚或者贵令停产停业、吊销许可证成者执照、较大数额罚款等行政处罚。供应商在参加政府采购活动前3年内因违法经营被禁止在一定期限内参加政府采购活动,期限届满的,可以参加政府采购活动。</w:t>
      </w:r>
    </w:p>
    <w:p>
      <w:pPr>
        <w:spacing w:line="360" w:lineRule="auto"/>
        <w:ind w:firstLine="480" w:firstLineChars="200"/>
        <w:rPr>
          <w:rFonts w:ascii="宋体" w:hAnsi="宋体"/>
          <w:sz w:val="24"/>
          <w:highlight w:val="none"/>
        </w:rPr>
      </w:pPr>
      <w:r>
        <w:rPr>
          <w:rFonts w:hint="eastAsia" w:ascii="宋体" w:hAnsi="宋体"/>
          <w:sz w:val="24"/>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若提供虚假承诺将被视为虚假响应,取消成交资格。</w:t>
      </w:r>
    </w:p>
    <w:p>
      <w:pPr>
        <w:spacing w:line="360" w:lineRule="auto"/>
        <w:ind w:firstLine="480" w:firstLineChars="200"/>
        <w:rPr>
          <w:rFonts w:ascii="宋体" w:hAnsi="宋体"/>
          <w:sz w:val="24"/>
          <w:highlight w:val="none"/>
        </w:rPr>
      </w:pPr>
      <w:r>
        <w:rPr>
          <w:rFonts w:hint="eastAsia" w:ascii="宋体" w:hAnsi="宋体"/>
          <w:sz w:val="24"/>
          <w:highlight w:val="none"/>
        </w:rPr>
        <w:t>3、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spacing w:line="360" w:lineRule="auto"/>
        <w:ind w:firstLine="480" w:firstLineChars="200"/>
        <w:rPr>
          <w:rFonts w:ascii="宋体" w:hAnsi="宋体"/>
          <w:sz w:val="24"/>
          <w:highlight w:val="none"/>
        </w:rPr>
      </w:pPr>
      <w:r>
        <w:rPr>
          <w:rFonts w:hint="eastAsia" w:ascii="宋体" w:hAnsi="宋体"/>
          <w:sz w:val="24"/>
          <w:highlight w:val="none"/>
        </w:rPr>
        <w:t>4、供应商应对其所提供的资格证明材料来源的合法性、真实性承担法律责任。</w:t>
      </w:r>
    </w:p>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40"/>
        <w:rPr>
          <w:rFonts w:hint="eastAsia" w:ascii="Times New Roman" w:hAnsi="Times New Roman" w:eastAsia="宋体" w:cs="Times New Roman"/>
          <w:b/>
          <w:bCs/>
          <w:kern w:val="44"/>
          <w:sz w:val="44"/>
          <w:szCs w:val="44"/>
          <w:highlight w:val="none"/>
          <w:lang w:val="en-US" w:eastAsia="zh-CN" w:bidi="ar-SA"/>
        </w:rPr>
      </w:pPr>
      <w:bookmarkStart w:id="96" w:name="_Toc531596534"/>
      <w:bookmarkStart w:id="97" w:name="_Toc3631"/>
      <w:r>
        <w:rPr>
          <w:rFonts w:hint="eastAsia" w:ascii="Times New Roman" w:hAnsi="Times New Roman" w:eastAsia="宋体" w:cs="Times New Roman"/>
          <w:b/>
          <w:bCs/>
          <w:kern w:val="44"/>
          <w:sz w:val="44"/>
          <w:szCs w:val="44"/>
          <w:highlight w:val="none"/>
          <w:lang w:val="en-US" w:eastAsia="zh-CN" w:bidi="ar-SA"/>
        </w:rPr>
        <w:t xml:space="preserve">第四章  </w:t>
      </w:r>
      <w:bookmarkEnd w:id="96"/>
      <w:r>
        <w:rPr>
          <w:rFonts w:hint="eastAsia" w:ascii="Times New Roman" w:hAnsi="Times New Roman" w:eastAsia="宋体" w:cs="Times New Roman"/>
          <w:b/>
          <w:bCs/>
          <w:kern w:val="44"/>
          <w:sz w:val="44"/>
          <w:szCs w:val="44"/>
          <w:highlight w:val="none"/>
          <w:lang w:val="en-US" w:eastAsia="zh-CN" w:bidi="ar-SA"/>
        </w:rPr>
        <w:t>供应商资格证明材料</w:t>
      </w:r>
      <w:bookmarkEnd w:id="97"/>
    </w:p>
    <w:p>
      <w:pPr>
        <w:keepNext w:val="0"/>
        <w:keepLines w:val="0"/>
        <w:spacing w:before="0" w:after="0" w:line="360" w:lineRule="auto"/>
        <w:outlineLvl w:val="9"/>
        <w:rPr>
          <w:rFonts w:hint="eastAsia" w:ascii="宋体" w:hAnsi="宋体" w:eastAsia="宋体"/>
          <w:sz w:val="24"/>
          <w:szCs w:val="24"/>
          <w:highlight w:val="none"/>
        </w:rPr>
      </w:pPr>
      <w:bookmarkStart w:id="98" w:name="_Toc29661_WPSOffice_Level2"/>
      <w:bookmarkStart w:id="99" w:name="_Toc2507_WPSOffice_Level2"/>
    </w:p>
    <w:p>
      <w:pPr>
        <w:pStyle w:val="6"/>
        <w:keepNext w:val="0"/>
        <w:keepLines w:val="0"/>
        <w:spacing w:before="0" w:after="0" w:line="360" w:lineRule="auto"/>
        <w:rPr>
          <w:rFonts w:ascii="宋体" w:hAnsi="宋体" w:eastAsia="宋体"/>
          <w:sz w:val="24"/>
          <w:szCs w:val="24"/>
          <w:highlight w:val="none"/>
        </w:rPr>
      </w:pPr>
      <w:r>
        <w:rPr>
          <w:rFonts w:hint="eastAsia" w:ascii="宋体" w:hAnsi="宋体" w:eastAsia="宋体"/>
          <w:sz w:val="24"/>
          <w:szCs w:val="24"/>
          <w:highlight w:val="none"/>
        </w:rPr>
        <w:t>一、应当提供的供应商资格、资质性及其他类似效力要求的相关证明材料</w:t>
      </w:r>
      <w:bookmarkEnd w:id="98"/>
      <w:bookmarkEnd w:id="99"/>
    </w:p>
    <w:p>
      <w:pPr>
        <w:tabs>
          <w:tab w:val="left" w:pos="7665"/>
        </w:tabs>
        <w:snapToGrid w:val="0"/>
        <w:spacing w:line="360" w:lineRule="auto"/>
        <w:ind w:firstLine="482" w:firstLineChars="200"/>
        <w:rPr>
          <w:rFonts w:ascii="宋体" w:hAnsi="宋体" w:cs="宋体"/>
          <w:b/>
          <w:bCs/>
          <w:sz w:val="24"/>
          <w:highlight w:val="none"/>
        </w:rPr>
      </w:pPr>
      <w:bookmarkStart w:id="100" w:name="_Toc443658848"/>
      <w:r>
        <w:rPr>
          <w:rFonts w:hint="eastAsia" w:ascii="宋体" w:hAnsi="宋体" w:cs="宋体"/>
          <w:b/>
          <w:bCs/>
          <w:sz w:val="24"/>
          <w:highlight w:val="none"/>
        </w:rPr>
        <w:t>（一）《中华人民共和国政府采购法》第二十二条第一款第（一）至（六）规定的条件：</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具有独立承担民事责任的能力。（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副本复印件）。</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具备健全的财务会计制度的证明材料。（①可提供201</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或20</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年经审计的财务报告复印件（至少包含审计报告和审计报告中所涉及的财务报表和报表附注）；②也可提供20</w:t>
      </w:r>
      <w:r>
        <w:rPr>
          <w:rFonts w:hint="eastAsia" w:ascii="宋体" w:hAnsi="宋体" w:cs="宋体"/>
          <w:color w:val="auto"/>
          <w:sz w:val="24"/>
          <w:highlight w:val="none"/>
          <w:lang w:val="en-US" w:eastAsia="zh-CN"/>
        </w:rPr>
        <w:t>19</w:t>
      </w:r>
      <w:r>
        <w:rPr>
          <w:rFonts w:hint="eastAsia" w:ascii="宋体" w:hAnsi="宋体" w:cs="宋体"/>
          <w:color w:val="auto"/>
          <w:sz w:val="24"/>
          <w:highlight w:val="none"/>
        </w:rPr>
        <w:t>或20</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年供应商内部财务报表复印件（至少包含资产负债表）；③也可提供距文件递交截止日一年内银行出具的资信证明（复印件）；④供应商注册时间至文件递交截止日不足1年的，也可提供在工商备案的公司章程（复印件））。</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提供具备良好商业信誉的承诺函原件（格式详见第七章）。</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提供具有依法缴纳税收和社会保障资金的良好记录的承诺函原件（格式详见第七章）。</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提供具备履行合同所必需的设备和专业技术能力的承诺函原件（格式详见第七章）。</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提供参加政府采购活动前3年内在经营活动中没有重大违法记录的承诺函原件（格式详见第七章）。</w:t>
      </w:r>
    </w:p>
    <w:p>
      <w:pPr>
        <w:tabs>
          <w:tab w:val="left" w:pos="7665"/>
        </w:tabs>
        <w:snapToGrid w:val="0"/>
        <w:spacing w:line="360" w:lineRule="auto"/>
        <w:ind w:firstLine="480" w:firstLineChars="200"/>
        <w:rPr>
          <w:rFonts w:ascii="宋体" w:hAnsi="宋体" w:cs="宋体"/>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提供具备法律、行政法规规定的其他条件的承诺函原件（格式详见第七章）。</w:t>
      </w:r>
    </w:p>
    <w:p>
      <w:pPr>
        <w:tabs>
          <w:tab w:val="left" w:pos="7665"/>
        </w:tabs>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（二）根据采购项目提出的特殊条件：</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1、</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及其现任法定代表人（非法人机构则为主要负责人）不得具有行贿犯罪记录；</w:t>
      </w:r>
      <w:r>
        <w:rPr>
          <w:rFonts w:hint="eastAsia" w:ascii="宋体" w:hAnsi="宋体" w:cs="宋体"/>
          <w:sz w:val="24"/>
          <w:highlight w:val="none"/>
        </w:rPr>
        <w:t>（</w:t>
      </w:r>
      <w:r>
        <w:rPr>
          <w:rFonts w:hint="eastAsia" w:ascii="宋体" w:hAnsi="宋体"/>
          <w:sz w:val="24"/>
          <w:highlight w:val="none"/>
          <w:lang w:val="en-US" w:eastAsia="zh-CN"/>
        </w:rPr>
        <w:t>格式详见第七章）</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2、供应商须具有有效的《农药经营许可证》；（提供证书复印件加盖公章）</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3、响应农药产品须具有有效的《农药登记证》、生产企业的有效《农药生产许可证》、《产品标准证》；（提供证书复印件加盖公章）</w:t>
      </w:r>
    </w:p>
    <w:p>
      <w:pPr>
        <w:tabs>
          <w:tab w:val="left" w:pos="7665"/>
        </w:tabs>
        <w:snapToGrid w:val="0"/>
        <w:spacing w:line="360" w:lineRule="auto"/>
        <w:ind w:firstLine="480" w:firstLineChars="200"/>
        <w:rPr>
          <w:rFonts w:hint="eastAsia" w:ascii="宋体" w:hAnsi="宋体" w:cs="宋体"/>
          <w:sz w:val="24"/>
          <w:highlight w:val="none"/>
        </w:rPr>
      </w:pPr>
      <w:r>
        <w:rPr>
          <w:rFonts w:hint="eastAsia" w:ascii="宋体" w:hAnsi="宋体"/>
          <w:sz w:val="24"/>
          <w:highlight w:val="none"/>
          <w:lang w:val="en-US" w:eastAsia="zh-CN"/>
        </w:rPr>
        <w:t>4、</w:t>
      </w:r>
      <w:r>
        <w:rPr>
          <w:rFonts w:hint="eastAsia" w:ascii="宋体" w:hAnsi="宋体" w:eastAsia="宋体" w:cs="宋体"/>
          <w:color w:val="auto"/>
          <w:sz w:val="24"/>
          <w:highlight w:val="none"/>
          <w:lang w:eastAsia="zh-CN"/>
        </w:rPr>
        <w:t>本项目专门面向中小企业采购，供应商应为中小微企业、监狱企业、残疾人福</w:t>
      </w:r>
      <w:r>
        <w:rPr>
          <w:rFonts w:hint="eastAsia" w:ascii="宋体" w:hAnsi="宋体" w:eastAsia="宋体" w:cs="宋体"/>
          <w:color w:val="auto"/>
          <w:sz w:val="24"/>
          <w:highlight w:val="none"/>
          <w:lang w:val="en-US" w:eastAsia="zh-CN"/>
        </w:rPr>
        <w:t>利性单位。（提供声明函）</w:t>
      </w:r>
    </w:p>
    <w:p>
      <w:pPr>
        <w:tabs>
          <w:tab w:val="left" w:pos="7665"/>
        </w:tabs>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（三）其他类似效力要求：</w:t>
      </w:r>
    </w:p>
    <w:p>
      <w:pPr>
        <w:tabs>
          <w:tab w:val="left" w:pos="7665"/>
        </w:tabs>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（1）法定代表人/单位负责人授权书原件及法定代表人/单位负责人、授权代表身份证明材料复印件（法定代表人/单位负责人授权他人参与</w:t>
      </w:r>
      <w:r>
        <w:rPr>
          <w:rFonts w:hint="eastAsia" w:ascii="宋体" w:hAnsi="宋体" w:cs="宋体"/>
          <w:sz w:val="24"/>
          <w:highlight w:val="none"/>
          <w:lang w:eastAsia="zh-CN"/>
        </w:rPr>
        <w:t>谈判</w:t>
      </w:r>
      <w:r>
        <w:rPr>
          <w:rFonts w:hint="eastAsia" w:ascii="宋体" w:hAnsi="宋体" w:cs="宋体"/>
          <w:sz w:val="24"/>
          <w:highlight w:val="none"/>
        </w:rPr>
        <w:t>时需要提供）。</w:t>
      </w:r>
    </w:p>
    <w:p>
      <w:pPr>
        <w:tabs>
          <w:tab w:val="left" w:pos="7665"/>
        </w:tabs>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（2）法定代表人/单位负责人证明书原件及法定代表人/单位负责人身份证明材料复印件（法定代表人/单位负责人亲自参加</w:t>
      </w:r>
      <w:r>
        <w:rPr>
          <w:rFonts w:hint="eastAsia" w:ascii="宋体" w:hAnsi="宋体" w:cs="宋体"/>
          <w:sz w:val="24"/>
          <w:highlight w:val="none"/>
          <w:lang w:eastAsia="zh-CN"/>
        </w:rPr>
        <w:t>谈判</w:t>
      </w:r>
      <w:r>
        <w:rPr>
          <w:rFonts w:hint="eastAsia" w:ascii="宋体" w:hAnsi="宋体" w:cs="宋体"/>
          <w:sz w:val="24"/>
          <w:highlight w:val="none"/>
        </w:rPr>
        <w:t>时需要提供）。</w:t>
      </w:r>
    </w:p>
    <w:p>
      <w:pPr>
        <w:tabs>
          <w:tab w:val="left" w:pos="7665"/>
        </w:tabs>
        <w:snapToGrid w:val="0"/>
        <w:spacing w:line="360" w:lineRule="auto"/>
        <w:ind w:firstLine="480" w:firstLineChars="200"/>
        <w:rPr>
          <w:rFonts w:ascii="宋体" w:hAnsi="宋体" w:cs="宋体"/>
          <w:sz w:val="24"/>
          <w:highlight w:val="none"/>
        </w:rPr>
      </w:pPr>
    </w:p>
    <w:p>
      <w:pPr>
        <w:pStyle w:val="6"/>
        <w:keepNext w:val="0"/>
        <w:keepLines w:val="0"/>
        <w:spacing w:before="0" w:after="0" w:line="360" w:lineRule="auto"/>
        <w:rPr>
          <w:rFonts w:ascii="宋体" w:hAnsi="宋体" w:eastAsia="宋体"/>
          <w:sz w:val="24"/>
          <w:szCs w:val="24"/>
          <w:highlight w:val="none"/>
        </w:rPr>
      </w:pPr>
      <w:bookmarkStart w:id="101" w:name="_Toc24332_WPSOffice_Level2"/>
      <w:bookmarkStart w:id="102" w:name="_Toc20115_WPSOffice_Level2"/>
      <w:r>
        <w:rPr>
          <w:rFonts w:hint="eastAsia" w:ascii="宋体" w:hAnsi="宋体" w:eastAsia="宋体"/>
          <w:sz w:val="24"/>
          <w:szCs w:val="24"/>
          <w:highlight w:val="none"/>
        </w:rPr>
        <w:t>二、应当提供的报价产品的资格、资质性及其他类似效力要求的相关证明材料：</w:t>
      </w:r>
      <w:bookmarkEnd w:id="100"/>
      <w:bookmarkEnd w:id="101"/>
      <w:bookmarkEnd w:id="102"/>
    </w:p>
    <w:p>
      <w:pPr>
        <w:tabs>
          <w:tab w:val="left" w:pos="7665"/>
        </w:tabs>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无。</w:t>
      </w:r>
    </w:p>
    <w:p>
      <w:pPr>
        <w:pStyle w:val="69"/>
        <w:snapToGrid w:val="0"/>
        <w:ind w:firstLine="0" w:firstLineChars="0"/>
        <w:rPr>
          <w:rFonts w:ascii="宋体" w:hAnsi="宋体"/>
          <w:sz w:val="24"/>
          <w:highlight w:val="none"/>
        </w:rPr>
      </w:pPr>
    </w:p>
    <w:p>
      <w:pPr>
        <w:tabs>
          <w:tab w:val="left" w:pos="7665"/>
        </w:tabs>
        <w:snapToGrid w:val="0"/>
        <w:spacing w:line="360" w:lineRule="auto"/>
        <w:ind w:firstLine="482" w:firstLineChars="200"/>
        <w:rPr>
          <w:rFonts w:ascii="宋体" w:hAnsi="宋体"/>
          <w:b/>
          <w:sz w:val="24"/>
          <w:highlight w:val="none"/>
        </w:rPr>
      </w:pPr>
    </w:p>
    <w:p>
      <w:pPr>
        <w:tabs>
          <w:tab w:val="left" w:pos="7665"/>
        </w:tabs>
        <w:snapToGrid w:val="0"/>
        <w:spacing w:line="360" w:lineRule="auto"/>
        <w:ind w:firstLine="482" w:firstLineChars="200"/>
        <w:rPr>
          <w:rFonts w:ascii="宋体" w:hAnsi="宋体"/>
          <w:b/>
          <w:sz w:val="24"/>
          <w:highlight w:val="none"/>
        </w:rPr>
      </w:pPr>
    </w:p>
    <w:p>
      <w:pPr>
        <w:pStyle w:val="69"/>
        <w:snapToGrid w:val="0"/>
        <w:ind w:firstLine="0" w:firstLineChars="0"/>
        <w:rPr>
          <w:rFonts w:ascii="宋体" w:hAnsi="宋体"/>
          <w:sz w:val="24"/>
          <w:highlight w:val="none"/>
        </w:rPr>
      </w:pPr>
      <w:r>
        <w:rPr>
          <w:rFonts w:hint="eastAsia" w:ascii="宋体" w:hAnsi="宋体"/>
          <w:sz w:val="24"/>
          <w:highlight w:val="none"/>
        </w:rPr>
        <w:t>说明：</w:t>
      </w:r>
    </w:p>
    <w:p>
      <w:pPr>
        <w:pStyle w:val="69"/>
        <w:snapToGrid w:val="0"/>
        <w:ind w:firstLine="0" w:firstLineChars="0"/>
        <w:rPr>
          <w:rFonts w:ascii="宋体" w:hAnsi="宋体"/>
          <w:b/>
          <w:bCs/>
          <w:sz w:val="24"/>
          <w:highlight w:val="none"/>
        </w:rPr>
      </w:pPr>
      <w:r>
        <w:rPr>
          <w:rFonts w:hint="eastAsia" w:ascii="宋体" w:hAnsi="宋体"/>
          <w:b/>
          <w:bCs/>
          <w:sz w:val="24"/>
          <w:highlight w:val="none"/>
        </w:rPr>
        <w:t>（1）供应商提供的以上资格证明材料为复印件的均应加盖供应商公章。</w:t>
      </w:r>
    </w:p>
    <w:p>
      <w:pPr>
        <w:pStyle w:val="69"/>
        <w:snapToGrid w:val="0"/>
        <w:ind w:firstLine="0" w:firstLineChars="0"/>
        <w:rPr>
          <w:rFonts w:ascii="宋体" w:hAnsi="宋体"/>
          <w:b/>
          <w:bCs/>
          <w:sz w:val="24"/>
          <w:highlight w:val="none"/>
        </w:rPr>
      </w:pPr>
      <w:r>
        <w:rPr>
          <w:rFonts w:hint="eastAsia" w:ascii="宋体" w:hAnsi="宋体"/>
          <w:b/>
          <w:bCs/>
          <w:sz w:val="24"/>
          <w:highlight w:val="none"/>
        </w:rPr>
        <w:t>（2）供应商所提供的资格证明材料应当真实、有效。</w:t>
      </w:r>
    </w:p>
    <w:p>
      <w:pPr>
        <w:spacing w:line="360" w:lineRule="auto"/>
        <w:rPr>
          <w:rFonts w:hint="eastAsia" w:ascii="宋体" w:hAnsi="宋体" w:eastAsia="宋体" w:cs="宋体"/>
          <w:b/>
          <w:bCs/>
          <w:color w:val="auto"/>
          <w:sz w:val="24"/>
          <w:highlight w:val="none"/>
        </w:rPr>
      </w:pPr>
    </w:p>
    <w:p>
      <w:pPr>
        <w:spacing w:line="360" w:lineRule="auto"/>
        <w:rPr>
          <w:rFonts w:hint="eastAsia" w:ascii="宋体" w:hAnsi="宋体" w:eastAsia="宋体" w:cs="宋体"/>
          <w:b/>
          <w:bCs/>
          <w:color w:val="auto"/>
          <w:sz w:val="24"/>
          <w:highlight w:val="none"/>
        </w:rPr>
      </w:pPr>
    </w:p>
    <w:p>
      <w:pPr>
        <w:spacing w:line="360" w:lineRule="auto"/>
        <w:ind w:firstLine="480"/>
        <w:rPr>
          <w:rFonts w:hint="eastAsia" w:ascii="宋体" w:hAnsi="宋体" w:eastAsia="宋体" w:cs="宋体"/>
          <w:color w:val="auto"/>
          <w:sz w:val="24"/>
          <w:highlight w:val="none"/>
        </w:rPr>
      </w:pPr>
    </w:p>
    <w:p>
      <w:pPr>
        <w:pStyle w:val="4"/>
        <w:spacing w:before="0" w:after="0" w:line="360" w:lineRule="auto"/>
        <w:jc w:val="center"/>
        <w:rPr>
          <w:rFonts w:ascii="宋体" w:hAnsi="宋体" w:cs="宋体"/>
          <w:highlight w:val="none"/>
        </w:rPr>
      </w:pPr>
      <w:r>
        <w:rPr>
          <w:rFonts w:hint="eastAsia" w:ascii="宋体" w:hAnsi="宋体" w:eastAsia="宋体" w:cs="宋体"/>
          <w:color w:val="auto"/>
          <w:highlight w:val="none"/>
        </w:rPr>
        <w:br w:type="page"/>
      </w:r>
      <w:bookmarkStart w:id="103" w:name="_Toc14938_WPSOffice_Level1"/>
      <w:bookmarkStart w:id="104" w:name="_Toc23697_WPSOffice_Level1"/>
      <w:bookmarkStart w:id="105" w:name="_Toc9994"/>
      <w:bookmarkStart w:id="106" w:name="_Toc4212"/>
      <w:bookmarkStart w:id="107" w:name="_Toc26674"/>
      <w:r>
        <w:rPr>
          <w:rFonts w:hint="eastAsia"/>
          <w:highlight w:val="none"/>
        </w:rPr>
        <w:t xml:space="preserve">第五章  </w:t>
      </w:r>
      <w:bookmarkEnd w:id="103"/>
      <w:bookmarkEnd w:id="104"/>
      <w:r>
        <w:rPr>
          <w:rFonts w:hint="eastAsia" w:ascii="宋体" w:hAnsi="宋体" w:cs="宋体"/>
          <w:highlight w:val="none"/>
        </w:rPr>
        <w:t>采购项目技术、服务、政府采购合同内容条款及其他商务要求</w:t>
      </w:r>
      <w:bookmarkEnd w:id="105"/>
      <w:bookmarkEnd w:id="106"/>
      <w:bookmarkEnd w:id="107"/>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outlineLvl w:val="1"/>
        <w:rPr>
          <w:rFonts w:hint="eastAsia" w:ascii="宋体" w:hAnsi="宋体" w:cs="宋体"/>
          <w:b/>
          <w:bCs/>
          <w:color w:val="000000"/>
          <w:sz w:val="28"/>
          <w:szCs w:val="28"/>
          <w:highlight w:val="none"/>
          <w:lang w:val="en-US" w:eastAsia="zh-CN"/>
        </w:rPr>
      </w:pPr>
      <w:bookmarkStart w:id="108" w:name="_Toc23827_WPSOffice_Level2"/>
      <w:bookmarkStart w:id="109" w:name="_Toc531596536"/>
      <w:r>
        <w:rPr>
          <w:rFonts w:hint="eastAsia" w:ascii="宋体" w:hAnsi="宋体" w:cs="宋体"/>
          <w:b/>
          <w:bCs/>
          <w:color w:val="000000"/>
          <w:sz w:val="28"/>
          <w:szCs w:val="28"/>
          <w:highlight w:val="none"/>
          <w:lang w:val="en-US" w:eastAsia="zh-CN"/>
        </w:rPr>
        <w:t>一、项目概述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1、本项目为四川天府新区籍田街道办事处2021年水稻、玉米重大病虫防治物资项目，共1个包件。</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eastAsiaTheme="minorEastAsia"/>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2、籍田街道2021年水稻种植面积共计</w:t>
      </w:r>
      <w:r>
        <w:rPr>
          <w:rFonts w:hint="default" w:ascii="宋体" w:hAnsi="宋体" w:cs="宋体"/>
          <w:b w:val="0"/>
          <w:bCs w:val="0"/>
          <w:color w:val="000000"/>
          <w:sz w:val="24"/>
          <w:szCs w:val="24"/>
          <w:highlight w:val="none"/>
          <w:lang w:val="en-US" w:eastAsia="zh-CN"/>
        </w:rPr>
        <w:t>11274.52</w:t>
      </w:r>
      <w:r>
        <w:rPr>
          <w:rFonts w:hint="eastAsia" w:ascii="宋体" w:hAnsi="宋体" w:cs="宋体"/>
          <w:b w:val="0"/>
          <w:bCs w:val="0"/>
          <w:color w:val="000000"/>
          <w:sz w:val="24"/>
          <w:szCs w:val="24"/>
          <w:highlight w:val="none"/>
          <w:lang w:val="en-US" w:eastAsia="zh-CN"/>
        </w:rPr>
        <w:t>亩，玉米种植面积共计</w:t>
      </w:r>
      <w:r>
        <w:rPr>
          <w:rFonts w:hint="default" w:ascii="宋体" w:hAnsi="宋体" w:cs="宋体"/>
          <w:b w:val="0"/>
          <w:bCs w:val="0"/>
          <w:color w:val="000000"/>
          <w:sz w:val="24"/>
          <w:szCs w:val="24"/>
          <w:highlight w:val="none"/>
          <w:lang w:val="en-US" w:eastAsia="zh-CN"/>
        </w:rPr>
        <w:t>11299.292</w:t>
      </w:r>
      <w:r>
        <w:rPr>
          <w:rFonts w:hint="eastAsia" w:ascii="宋体" w:hAnsi="宋体" w:cs="宋体"/>
          <w:b w:val="0"/>
          <w:bCs w:val="0"/>
          <w:color w:val="000000"/>
          <w:sz w:val="24"/>
          <w:szCs w:val="24"/>
          <w:highlight w:val="none"/>
          <w:lang w:val="en-US" w:eastAsia="zh-CN"/>
        </w:rPr>
        <w:t>亩。单价限价为：</w:t>
      </w:r>
      <w:r>
        <w:rPr>
          <w:rFonts w:hint="eastAsia" w:asciiTheme="minorEastAsia" w:hAnsiTheme="minorEastAsia" w:eastAsiaTheme="minorEastAsia"/>
          <w:sz w:val="24"/>
          <w:szCs w:val="24"/>
        </w:rPr>
        <w:t>水稻36元/亩</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玉米32元/亩，供应商应根据实际面积提供农药数量</w:t>
      </w:r>
      <w:r>
        <w:rPr>
          <w:rFonts w:hint="eastAsia" w:asciiTheme="minorEastAsia" w:hAnsiTheme="minorEastAsia" w:eastAsia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1"/>
        <w:rPr>
          <w:rFonts w:hint="eastAsia" w:ascii="宋体" w:hAnsi="宋体" w:eastAsia="宋体" w:cs="宋体"/>
          <w:b/>
          <w:bCs/>
          <w:color w:val="000000"/>
          <w:sz w:val="28"/>
          <w:szCs w:val="28"/>
          <w:highlight w:val="none"/>
          <w:lang w:val="en-US" w:eastAsia="zh-CN"/>
        </w:rPr>
      </w:pPr>
      <w:r>
        <w:rPr>
          <w:rFonts w:hint="eastAsia" w:ascii="宋体" w:hAnsi="宋体" w:cs="宋体"/>
          <w:b/>
          <w:bCs/>
          <w:color w:val="000000"/>
          <w:sz w:val="28"/>
          <w:szCs w:val="28"/>
          <w:highlight w:val="none"/>
          <w:lang w:val="en-US" w:eastAsia="zh-CN"/>
        </w:rPr>
        <w:t>二、</w:t>
      </w:r>
      <w:r>
        <w:rPr>
          <w:rFonts w:hint="eastAsia" w:ascii="宋体" w:hAnsi="宋体" w:eastAsia="宋体" w:cs="宋体"/>
          <w:b/>
          <w:bCs/>
          <w:color w:val="000000"/>
          <w:sz w:val="28"/>
          <w:szCs w:val="28"/>
          <w:highlight w:val="none"/>
          <w:lang w:val="en-US" w:eastAsia="zh-CN"/>
        </w:rPr>
        <w:t>技术参数要求</w:t>
      </w:r>
    </w:p>
    <w:tbl>
      <w:tblPr>
        <w:tblStyle w:val="43"/>
        <w:tblW w:w="54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848"/>
        <w:gridCol w:w="1335"/>
        <w:gridCol w:w="6039"/>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jc w:val="center"/>
        </w:trPr>
        <w:tc>
          <w:tcPr>
            <w:tcW w:w="383"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序号</w:t>
            </w:r>
          </w:p>
        </w:tc>
        <w:tc>
          <w:tcPr>
            <w:tcW w:w="41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eastAsia="zh-CN"/>
              </w:rPr>
              <w:t>分类</w:t>
            </w:r>
          </w:p>
        </w:tc>
        <w:tc>
          <w:tcPr>
            <w:tcW w:w="65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名称</w:t>
            </w:r>
          </w:p>
        </w:tc>
        <w:tc>
          <w:tcPr>
            <w:tcW w:w="297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技术参数</w:t>
            </w:r>
            <w:r>
              <w:rPr>
                <w:rFonts w:hint="eastAsia" w:ascii="宋体" w:hAnsi="宋体" w:cs="宋体"/>
                <w:color w:val="auto"/>
                <w:kern w:val="0"/>
                <w:sz w:val="21"/>
                <w:szCs w:val="21"/>
                <w:lang w:eastAsia="zh-CN"/>
              </w:rPr>
              <w:t>要求</w:t>
            </w:r>
          </w:p>
        </w:tc>
        <w:tc>
          <w:tcPr>
            <w:tcW w:w="560"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383"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418" w:type="pct"/>
            <w:vMerge w:val="restart"/>
            <w:shd w:val="clear" w:color="auto" w:fill="auto"/>
            <w:noWrap/>
            <w:vAlign w:val="center"/>
          </w:tcPr>
          <w:p>
            <w:pPr>
              <w:keepNext w:val="0"/>
              <w:keepLines w:val="0"/>
              <w:pageBreakBefore w:val="0"/>
              <w:widowControl/>
              <w:tabs>
                <w:tab w:val="left" w:pos="507"/>
              </w:tabs>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eastAsia="zh-CN"/>
              </w:rPr>
              <w:t>水稻</w:t>
            </w:r>
          </w:p>
        </w:tc>
        <w:tc>
          <w:tcPr>
            <w:tcW w:w="65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三环唑</w:t>
            </w:r>
          </w:p>
        </w:tc>
        <w:tc>
          <w:tcPr>
            <w:tcW w:w="297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color w:val="auto"/>
                <w:lang w:eastAsia="zh-CN"/>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有效成分及含量：75%三环唑；</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color w:val="auto"/>
                <w:lang w:eastAsia="zh-CN"/>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剂型：可湿性粉剂；</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eastAsia="宋体"/>
                <w:color w:val="auto"/>
                <w:lang w:eastAsia="zh-CN"/>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净含量15g/袋</w:t>
            </w:r>
            <w:r>
              <w:rPr>
                <w:rFonts w:hint="eastAsia"/>
                <w:color w:val="auto"/>
                <w:lang w:eastAsia="zh-CN"/>
              </w:rPr>
              <w:t>；</w:t>
            </w:r>
          </w:p>
          <w:p>
            <w:pPr>
              <w:pStyle w:val="2"/>
              <w:keepNext w:val="0"/>
              <w:keepLines w:val="0"/>
              <w:pageBreakBefore w:val="0"/>
              <w:kinsoku/>
              <w:wordWrap/>
              <w:overflowPunct/>
              <w:topLinePunct w:val="0"/>
              <w:autoSpaceDE/>
              <w:autoSpaceDN/>
              <w:bidi w:val="0"/>
              <w:adjustRightInd/>
              <w:snapToGrid/>
              <w:spacing w:after="0" w:line="240" w:lineRule="auto"/>
              <w:ind w:firstLine="420" w:firstLineChars="200"/>
              <w:textAlignment w:val="auto"/>
              <w:rPr>
                <w:rFonts w:hint="eastAsia"/>
                <w:color w:val="auto"/>
                <w:lang w:eastAsia="zh-CN"/>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供应商所投产品需可用于水稻并且防治对象为水稻稻瘟病</w:t>
            </w:r>
            <w:r>
              <w:rPr>
                <w:rFonts w:hint="eastAsia"/>
                <w:color w:val="auto"/>
                <w:lang w:eastAsia="zh-CN"/>
              </w:rPr>
              <w:t>；</w:t>
            </w:r>
          </w:p>
          <w:p>
            <w:pPr>
              <w:pStyle w:val="3"/>
              <w:keepNext w:val="0"/>
              <w:keepLines w:val="0"/>
              <w:pageBreakBefore w:val="0"/>
              <w:kinsoku/>
              <w:wordWrap/>
              <w:overflowPunct/>
              <w:topLinePunct w:val="0"/>
              <w:autoSpaceDE/>
              <w:autoSpaceDN/>
              <w:bidi w:val="0"/>
              <w:adjustRightInd/>
              <w:snapToGrid/>
              <w:spacing w:before="0" w:after="0" w:line="240" w:lineRule="auto"/>
              <w:ind w:firstLine="420" w:firstLineChars="200"/>
              <w:jc w:val="both"/>
              <w:textAlignment w:val="auto"/>
              <w:rPr>
                <w:rFonts w:hint="eastAsia"/>
                <w:color w:val="auto"/>
                <w:lang w:eastAsia="zh-CN"/>
              </w:rPr>
            </w:pPr>
            <w:r>
              <w:rPr>
                <w:rFonts w:hint="eastAsia" w:ascii="Times New Roman" w:hAnsi="Times New Roman" w:eastAsia="宋体" w:cs="Times New Roman"/>
                <w:b w:val="0"/>
                <w:bCs w:val="0"/>
                <w:color w:val="auto"/>
                <w:kern w:val="2"/>
                <w:sz w:val="21"/>
                <w:szCs w:val="24"/>
                <w:lang w:val="en-US" w:eastAsia="zh-CN" w:bidi="ar-SA"/>
              </w:rPr>
              <w:t>（5）供应商需提供检测报告，并加盖供应商公章；</w:t>
            </w:r>
          </w:p>
        </w:tc>
        <w:tc>
          <w:tcPr>
            <w:tcW w:w="560" w:type="pct"/>
            <w:shd w:val="clear" w:color="auto" w:fill="auto"/>
            <w:vAlign w:val="center"/>
          </w:tcPr>
          <w:p>
            <w:pPr>
              <w:pStyle w:val="3"/>
              <w:keepNext w:val="0"/>
              <w:keepLines w:val="0"/>
              <w:pageBreakBefore w:val="0"/>
              <w:kinsoku/>
              <w:wordWrap/>
              <w:overflowPunct/>
              <w:topLinePunct w:val="0"/>
              <w:autoSpaceDE/>
              <w:autoSpaceDN/>
              <w:bidi w:val="0"/>
              <w:adjustRightInd/>
              <w:snapToGrid/>
              <w:spacing w:before="0" w:after="0" w:line="240" w:lineRule="auto"/>
              <w:textAlignment w:val="auto"/>
              <w:rPr>
                <w:rFonts w:hint="eastAsia" w:ascii="Times New Roman" w:hAnsi="Times New Roman" w:eastAsia="宋体" w:cs="Times New Roman"/>
                <w:b w:val="0"/>
                <w:bCs w:val="0"/>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383"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418" w:type="pct"/>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p>
        </w:tc>
        <w:tc>
          <w:tcPr>
            <w:tcW w:w="65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苯甲丙环唑</w:t>
            </w:r>
          </w:p>
        </w:tc>
        <w:tc>
          <w:tcPr>
            <w:tcW w:w="297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color w:val="auto"/>
                <w:lang w:eastAsia="zh-CN"/>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有效成分及含量：30%苯甲丙环唑；</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color w:val="auto"/>
                <w:lang w:eastAsia="zh-CN"/>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剂型：悬乳剂；</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eastAsia="宋体"/>
                <w:color w:val="auto"/>
                <w:lang w:eastAsia="zh-CN"/>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净含量10g/袋</w:t>
            </w:r>
            <w:r>
              <w:rPr>
                <w:rFonts w:hint="eastAsia"/>
                <w:color w:val="auto"/>
                <w:lang w:eastAsia="zh-CN"/>
              </w:rPr>
              <w:t>；</w:t>
            </w:r>
          </w:p>
          <w:p>
            <w:pPr>
              <w:pStyle w:val="2"/>
              <w:keepNext w:val="0"/>
              <w:keepLines w:val="0"/>
              <w:pageBreakBefore w:val="0"/>
              <w:kinsoku/>
              <w:wordWrap/>
              <w:overflowPunct/>
              <w:topLinePunct w:val="0"/>
              <w:autoSpaceDE/>
              <w:autoSpaceDN/>
              <w:bidi w:val="0"/>
              <w:adjustRightInd/>
              <w:snapToGrid/>
              <w:spacing w:after="0" w:line="240" w:lineRule="auto"/>
              <w:ind w:firstLine="420" w:firstLineChars="200"/>
              <w:textAlignment w:val="auto"/>
              <w:rPr>
                <w:rFonts w:hint="eastAsia"/>
                <w:color w:val="auto"/>
                <w:lang w:eastAsia="zh-CN"/>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供应商所投产品需可用于水稻并且防治对象为水稻纹枯病</w:t>
            </w:r>
            <w:r>
              <w:rPr>
                <w:rFonts w:hint="eastAsia"/>
                <w:color w:val="auto"/>
                <w:lang w:eastAsia="zh-CN"/>
              </w:rPr>
              <w:t>；</w:t>
            </w:r>
          </w:p>
          <w:p>
            <w:pPr>
              <w:pStyle w:val="2"/>
              <w:keepNext w:val="0"/>
              <w:keepLines w:val="0"/>
              <w:pageBreakBefore w:val="0"/>
              <w:kinsoku/>
              <w:wordWrap/>
              <w:overflowPunct/>
              <w:topLinePunct w:val="0"/>
              <w:autoSpaceDE/>
              <w:autoSpaceDN/>
              <w:bidi w:val="0"/>
              <w:adjustRightInd/>
              <w:snapToGrid/>
              <w:spacing w:after="0" w:line="240" w:lineRule="auto"/>
              <w:ind w:firstLine="420" w:firstLineChars="200"/>
              <w:textAlignment w:val="auto"/>
              <w:rPr>
                <w:rFonts w:hint="eastAsia"/>
                <w:color w:val="auto"/>
                <w:lang w:eastAsia="zh-CN"/>
              </w:rPr>
            </w:pPr>
            <w:r>
              <w:rPr>
                <w:rFonts w:hint="eastAsia" w:ascii="Times New Roman" w:hAnsi="Times New Roman" w:eastAsia="宋体" w:cs="Times New Roman"/>
                <w:b w:val="0"/>
                <w:bCs w:val="0"/>
                <w:color w:val="auto"/>
                <w:kern w:val="2"/>
                <w:sz w:val="21"/>
                <w:szCs w:val="24"/>
                <w:lang w:val="en-US" w:eastAsia="zh-CN" w:bidi="ar-SA"/>
              </w:rPr>
              <w:t>（5）供应商需提供检测报告，并加盖供应商公章；</w:t>
            </w:r>
          </w:p>
        </w:tc>
        <w:tc>
          <w:tcPr>
            <w:tcW w:w="560" w:type="pct"/>
            <w:shd w:val="clear" w:color="auto" w:fill="auto"/>
            <w:vAlign w:val="center"/>
          </w:tcPr>
          <w:p>
            <w:pPr>
              <w:pStyle w:val="3"/>
              <w:keepNext w:val="0"/>
              <w:keepLines w:val="0"/>
              <w:pageBreakBefore w:val="0"/>
              <w:kinsoku/>
              <w:wordWrap/>
              <w:overflowPunct/>
              <w:topLinePunct w:val="0"/>
              <w:autoSpaceDE/>
              <w:autoSpaceDN/>
              <w:bidi w:val="0"/>
              <w:adjustRightInd/>
              <w:snapToGrid/>
              <w:spacing w:before="0" w:after="0" w:line="240" w:lineRule="auto"/>
              <w:textAlignment w:val="auto"/>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383"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418" w:type="pct"/>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p>
        </w:tc>
        <w:tc>
          <w:tcPr>
            <w:tcW w:w="65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氯虫苯甲酰胺</w:t>
            </w:r>
          </w:p>
        </w:tc>
        <w:tc>
          <w:tcPr>
            <w:tcW w:w="297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1</w:t>
            </w:r>
            <w:r>
              <w:rPr>
                <w:rFonts w:hint="eastAsia" w:ascii="Times New Roman" w:hAnsi="Times New Roman" w:cs="Times New Roman"/>
                <w:color w:val="auto"/>
                <w:lang w:eastAsia="zh-CN"/>
              </w:rPr>
              <w:t>）有效成分及含量：35%氯虫苯甲酰胺；</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2</w:t>
            </w:r>
            <w:r>
              <w:rPr>
                <w:rFonts w:hint="eastAsia" w:ascii="Times New Roman" w:hAnsi="Times New Roman" w:cs="Times New Roman"/>
                <w:color w:val="auto"/>
                <w:lang w:eastAsia="zh-CN"/>
              </w:rPr>
              <w:t>）剂型：水分散粒剂；</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3</w:t>
            </w:r>
            <w:r>
              <w:rPr>
                <w:rFonts w:hint="eastAsia" w:ascii="Times New Roman" w:hAnsi="Times New Roman" w:cs="Times New Roman"/>
                <w:color w:val="auto"/>
                <w:lang w:eastAsia="zh-CN"/>
              </w:rPr>
              <w:t>）净含量3g/袋；</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4</w:t>
            </w:r>
            <w:r>
              <w:rPr>
                <w:rFonts w:hint="eastAsia" w:ascii="Times New Roman" w:hAnsi="Times New Roman" w:cs="Times New Roman"/>
                <w:color w:val="auto"/>
                <w:lang w:eastAsia="zh-CN"/>
              </w:rPr>
              <w:t>）供应商所投产品需可用于水稻并且防治对象为水稻二化螟、稻纵卷叶螟；</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val="en-US" w:eastAsia="zh-CN"/>
              </w:rPr>
              <w:t>（5）供应商需提供检测报告，并加盖供应商公章；</w:t>
            </w:r>
          </w:p>
        </w:tc>
        <w:tc>
          <w:tcPr>
            <w:tcW w:w="560" w:type="pct"/>
            <w:shd w:val="clear" w:color="auto" w:fill="auto"/>
            <w:vAlign w:val="center"/>
          </w:tcPr>
          <w:p>
            <w:pPr>
              <w:pStyle w:val="3"/>
              <w:keepNext w:val="0"/>
              <w:keepLines w:val="0"/>
              <w:pageBreakBefore w:val="0"/>
              <w:kinsoku/>
              <w:wordWrap/>
              <w:overflowPunct/>
              <w:topLinePunct w:val="0"/>
              <w:autoSpaceDE/>
              <w:autoSpaceDN/>
              <w:bidi w:val="0"/>
              <w:adjustRightInd/>
              <w:snapToGrid/>
              <w:spacing w:before="0" w:after="0" w:line="240" w:lineRule="auto"/>
              <w:textAlignment w:val="auto"/>
              <w:rPr>
                <w:rFonts w:hint="eastAsia" w:ascii="Times New Roman" w:hAnsi="Times New Roman" w:eastAsia="宋体" w:cs="Times New Roman"/>
                <w:b w:val="0"/>
                <w:bCs w:val="0"/>
                <w:color w:val="auto"/>
                <w:kern w:val="2"/>
                <w:sz w:val="21"/>
                <w:szCs w:val="24"/>
                <w:lang w:val="en-US" w:eastAsia="zh-CN" w:bidi="ar-SA"/>
              </w:rPr>
            </w:pPr>
            <w:r>
              <w:rPr>
                <w:rFonts w:hint="eastAsia" w:ascii="Times New Roman" w:hAnsi="Times New Roman" w:eastAsia="宋体" w:cs="Times New Roman"/>
                <w:b/>
                <w:bCs/>
                <w:color w:val="auto"/>
                <w:kern w:val="2"/>
                <w:sz w:val="21"/>
                <w:szCs w:val="24"/>
                <w:lang w:val="en-US" w:eastAsia="zh-CN" w:bidi="ar-SA"/>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383"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418" w:type="pct"/>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p>
        </w:tc>
        <w:tc>
          <w:tcPr>
            <w:tcW w:w="65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吡虫啉</w:t>
            </w:r>
          </w:p>
        </w:tc>
        <w:tc>
          <w:tcPr>
            <w:tcW w:w="297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color w:val="auto"/>
                <w:lang w:eastAsia="zh-CN"/>
              </w:rPr>
            </w:pPr>
            <w:r>
              <w:rPr>
                <w:rFonts w:hint="eastAsia"/>
                <w:color w:val="auto"/>
                <w:lang w:eastAsia="zh-CN"/>
              </w:rPr>
              <w:t>（</w:t>
            </w:r>
            <w:r>
              <w:rPr>
                <w:rFonts w:hint="eastAsia"/>
                <w:color w:val="auto"/>
                <w:lang w:val="en-US" w:eastAsia="zh-CN"/>
              </w:rPr>
              <w:t>1</w:t>
            </w:r>
            <w:r>
              <w:rPr>
                <w:rFonts w:hint="eastAsia"/>
                <w:color w:val="auto"/>
                <w:lang w:eastAsia="zh-CN"/>
              </w:rPr>
              <w:t>）有效成分及含量：70%吡虫啉；</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color w:val="auto"/>
                <w:lang w:eastAsia="zh-CN"/>
              </w:rPr>
            </w:pPr>
            <w:r>
              <w:rPr>
                <w:rFonts w:hint="eastAsia"/>
                <w:color w:val="auto"/>
                <w:lang w:eastAsia="zh-CN"/>
              </w:rPr>
              <w:t>（</w:t>
            </w:r>
            <w:r>
              <w:rPr>
                <w:rFonts w:hint="eastAsia"/>
                <w:color w:val="auto"/>
                <w:lang w:val="en-US" w:eastAsia="zh-CN"/>
              </w:rPr>
              <w:t>2</w:t>
            </w:r>
            <w:r>
              <w:rPr>
                <w:rFonts w:hint="eastAsia"/>
                <w:color w:val="auto"/>
                <w:lang w:eastAsia="zh-CN"/>
              </w:rPr>
              <w:t>）剂型：水分散粒剂；</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color w:val="auto"/>
                <w:lang w:eastAsia="zh-CN"/>
              </w:rPr>
            </w:pPr>
            <w:r>
              <w:rPr>
                <w:rFonts w:hint="eastAsia"/>
                <w:color w:val="auto"/>
                <w:lang w:eastAsia="zh-CN"/>
              </w:rPr>
              <w:t>（</w:t>
            </w:r>
            <w:r>
              <w:rPr>
                <w:rFonts w:hint="eastAsia"/>
                <w:color w:val="auto"/>
                <w:lang w:val="en-US" w:eastAsia="zh-CN"/>
              </w:rPr>
              <w:t>3</w:t>
            </w:r>
            <w:r>
              <w:rPr>
                <w:rFonts w:hint="eastAsia"/>
                <w:color w:val="auto"/>
                <w:lang w:eastAsia="zh-CN"/>
              </w:rPr>
              <w:t>）净含量</w:t>
            </w:r>
            <w:r>
              <w:rPr>
                <w:rFonts w:hint="eastAsia"/>
                <w:color w:val="auto"/>
                <w:lang w:val="en-US" w:eastAsia="zh-CN"/>
              </w:rPr>
              <w:t>2</w:t>
            </w:r>
            <w:r>
              <w:rPr>
                <w:rFonts w:hint="eastAsia"/>
                <w:color w:val="auto"/>
                <w:lang w:eastAsia="zh-CN"/>
              </w:rPr>
              <w:t>g/袋；</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color w:val="auto"/>
                <w:lang w:val="en-US" w:eastAsia="zh-CN"/>
              </w:rPr>
            </w:pPr>
            <w:r>
              <w:rPr>
                <w:rFonts w:hint="eastAsia"/>
                <w:color w:val="auto"/>
                <w:lang w:eastAsia="zh-CN"/>
              </w:rPr>
              <w:t>（</w:t>
            </w:r>
            <w:r>
              <w:rPr>
                <w:rFonts w:hint="eastAsia"/>
                <w:color w:val="auto"/>
                <w:lang w:val="en-US" w:eastAsia="zh-CN"/>
              </w:rPr>
              <w:t>4</w:t>
            </w:r>
            <w:r>
              <w:rPr>
                <w:rFonts w:hint="eastAsia"/>
                <w:color w:val="auto"/>
                <w:lang w:eastAsia="zh-CN"/>
              </w:rPr>
              <w:t>）供应商所投产品需可用于水稻并且防治对象为水稻稻飞</w:t>
            </w:r>
            <w:r>
              <w:rPr>
                <w:rFonts w:hint="eastAsia"/>
                <w:color w:val="auto"/>
                <w:lang w:val="en-US" w:eastAsia="zh-CN"/>
              </w:rPr>
              <w:t>虱；</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color w:val="auto"/>
                <w:lang w:eastAsia="zh-CN"/>
              </w:rPr>
            </w:pPr>
            <w:r>
              <w:rPr>
                <w:rFonts w:hint="eastAsia"/>
                <w:color w:val="auto"/>
                <w:lang w:val="en-US" w:eastAsia="zh-CN"/>
              </w:rPr>
              <w:t>（5）供应商需提供检测报告，并加盖供应商公章；</w:t>
            </w:r>
          </w:p>
        </w:tc>
        <w:tc>
          <w:tcPr>
            <w:tcW w:w="560" w:type="pct"/>
            <w:shd w:val="clear" w:color="auto" w:fill="auto"/>
            <w:vAlign w:val="center"/>
          </w:tcPr>
          <w:p>
            <w:pPr>
              <w:pStyle w:val="2"/>
              <w:keepNext w:val="0"/>
              <w:keepLines w:val="0"/>
              <w:pageBreakBefore w:val="0"/>
              <w:kinsoku/>
              <w:wordWrap/>
              <w:overflowPunct/>
              <w:topLinePunct w:val="0"/>
              <w:autoSpaceDE/>
              <w:autoSpaceDN/>
              <w:bidi w:val="0"/>
              <w:adjustRightInd/>
              <w:snapToGrid/>
              <w:spacing w:after="0" w:line="240" w:lineRule="auto"/>
              <w:textAlignment w:val="auto"/>
              <w:rPr>
                <w:rFonts w:hint="eastAsia" w:ascii="宋体" w:hAnsi="宋体" w:cs="宋体"/>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83"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418" w:type="pct"/>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eastAsia="zh-CN"/>
              </w:rPr>
              <w:t>玉米</w:t>
            </w:r>
          </w:p>
        </w:tc>
        <w:tc>
          <w:tcPr>
            <w:tcW w:w="65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甲维</w:t>
            </w:r>
            <w:r>
              <w:rPr>
                <w:rFonts w:hint="eastAsia" w:cs="Times New Roman"/>
                <w:color w:val="auto"/>
                <w:lang w:eastAsia="zh-CN"/>
              </w:rPr>
              <w:t>虫螨晴</w:t>
            </w:r>
          </w:p>
        </w:tc>
        <w:tc>
          <w:tcPr>
            <w:tcW w:w="297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1</w:t>
            </w:r>
            <w:r>
              <w:rPr>
                <w:rFonts w:hint="eastAsia" w:ascii="Times New Roman" w:hAnsi="Times New Roman" w:cs="Times New Roman"/>
                <w:color w:val="auto"/>
                <w:lang w:eastAsia="zh-CN"/>
              </w:rPr>
              <w:t>）总有效成分及含量</w:t>
            </w:r>
            <w:r>
              <w:rPr>
                <w:rFonts w:hint="eastAsia" w:cs="Times New Roman"/>
                <w:color w:val="auto"/>
                <w:lang w:val="en-US" w:eastAsia="zh-CN"/>
              </w:rPr>
              <w:t>12</w:t>
            </w:r>
            <w:r>
              <w:rPr>
                <w:rFonts w:hint="eastAsia" w:ascii="Times New Roman" w:hAnsi="Times New Roman" w:cs="Times New Roman"/>
                <w:color w:val="auto"/>
                <w:lang w:eastAsia="zh-CN"/>
              </w:rPr>
              <w:t>%，甲氨基阿维菌素苯甲酸盐；</w:t>
            </w:r>
            <w:r>
              <w:rPr>
                <w:rFonts w:hint="eastAsia" w:cs="Times New Roman"/>
                <w:color w:val="auto"/>
                <w:lang w:eastAsia="zh-CN"/>
              </w:rPr>
              <w:t>虫螨晴</w:t>
            </w:r>
            <w:r>
              <w:rPr>
                <w:rFonts w:hint="eastAsia" w:ascii="Times New Roman" w:hAnsi="Times New Roman" w:cs="Times New Roman"/>
                <w:color w:val="auto"/>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2</w:t>
            </w:r>
            <w:r>
              <w:rPr>
                <w:rFonts w:hint="eastAsia" w:ascii="Times New Roman" w:hAnsi="Times New Roman" w:cs="Times New Roman"/>
                <w:color w:val="auto"/>
                <w:lang w:eastAsia="zh-CN"/>
              </w:rPr>
              <w:t>）剂型：悬浮剂；</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3</w:t>
            </w:r>
            <w:r>
              <w:rPr>
                <w:rFonts w:hint="eastAsia" w:ascii="Times New Roman" w:hAnsi="Times New Roman" w:cs="Times New Roman"/>
                <w:color w:val="auto"/>
                <w:lang w:eastAsia="zh-CN"/>
              </w:rPr>
              <w:t>）净含量</w:t>
            </w:r>
            <w:r>
              <w:rPr>
                <w:rFonts w:hint="eastAsia" w:cs="Times New Roman"/>
                <w:color w:val="auto"/>
                <w:lang w:val="en-US" w:eastAsia="zh-CN"/>
              </w:rPr>
              <w:t>2</w:t>
            </w:r>
            <w:r>
              <w:rPr>
                <w:rFonts w:hint="eastAsia" w:ascii="Times New Roman" w:hAnsi="Times New Roman" w:cs="Times New Roman"/>
                <w:color w:val="auto"/>
                <w:lang w:eastAsia="zh-CN"/>
              </w:rPr>
              <w:t>0g/瓶；</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4</w:t>
            </w:r>
            <w:r>
              <w:rPr>
                <w:rFonts w:hint="eastAsia" w:ascii="Times New Roman" w:hAnsi="Times New Roman" w:cs="Times New Roman"/>
                <w:color w:val="auto"/>
                <w:lang w:eastAsia="zh-CN"/>
              </w:rPr>
              <w:t>）供应商所投产品应为全国农业技术推广服务中心，推广防治玉米草地贪夜蛾的产品；</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val="en-US" w:eastAsia="zh-CN"/>
              </w:rPr>
              <w:t>（5）供应商需提供检测报告，并加盖供应商公章；</w:t>
            </w:r>
          </w:p>
        </w:tc>
        <w:tc>
          <w:tcPr>
            <w:tcW w:w="560" w:type="pct"/>
            <w:shd w:val="clear" w:color="auto" w:fill="auto"/>
            <w:vAlign w:val="center"/>
          </w:tcPr>
          <w:p>
            <w:pPr>
              <w:pStyle w:val="3"/>
              <w:keepNext w:val="0"/>
              <w:keepLines w:val="0"/>
              <w:pageBreakBefore w:val="0"/>
              <w:kinsoku/>
              <w:wordWrap/>
              <w:overflowPunct/>
              <w:topLinePunct w:val="0"/>
              <w:autoSpaceDE/>
              <w:autoSpaceDN/>
              <w:bidi w:val="0"/>
              <w:adjustRightInd/>
              <w:snapToGrid/>
              <w:spacing w:before="0" w:after="0" w:line="240" w:lineRule="auto"/>
              <w:textAlignment w:val="auto"/>
              <w:rPr>
                <w:rFonts w:hint="eastAsia" w:ascii="Times New Roman" w:hAnsi="Times New Roman" w:eastAsia="宋体" w:cs="Times New Roman"/>
                <w:b w:val="0"/>
                <w:bCs w:val="0"/>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83"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6</w:t>
            </w:r>
          </w:p>
        </w:tc>
        <w:tc>
          <w:tcPr>
            <w:tcW w:w="418" w:type="pct"/>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rPr>
            </w:pPr>
          </w:p>
        </w:tc>
        <w:tc>
          <w:tcPr>
            <w:tcW w:w="65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氯虫苯甲酰胺</w:t>
            </w:r>
          </w:p>
        </w:tc>
        <w:tc>
          <w:tcPr>
            <w:tcW w:w="297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1</w:t>
            </w:r>
            <w:r>
              <w:rPr>
                <w:rFonts w:hint="eastAsia" w:ascii="Times New Roman" w:hAnsi="Times New Roman" w:cs="Times New Roman"/>
                <w:color w:val="auto"/>
                <w:lang w:eastAsia="zh-CN"/>
              </w:rPr>
              <w:t>）有效成分及含量：35%氯虫苯甲酰胺；</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2</w:t>
            </w:r>
            <w:r>
              <w:rPr>
                <w:rFonts w:hint="eastAsia" w:ascii="Times New Roman" w:hAnsi="Times New Roman" w:cs="Times New Roman"/>
                <w:color w:val="auto"/>
                <w:lang w:eastAsia="zh-CN"/>
              </w:rPr>
              <w:t>）剂型：水分散粒剂；</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3</w:t>
            </w:r>
            <w:r>
              <w:rPr>
                <w:rFonts w:hint="eastAsia" w:ascii="Times New Roman" w:hAnsi="Times New Roman" w:cs="Times New Roman"/>
                <w:color w:val="auto"/>
                <w:lang w:eastAsia="zh-CN"/>
              </w:rPr>
              <w:t>）净含量3g/袋；</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4</w:t>
            </w:r>
            <w:r>
              <w:rPr>
                <w:rFonts w:hint="eastAsia" w:ascii="Times New Roman" w:hAnsi="Times New Roman" w:cs="Times New Roman"/>
                <w:color w:val="auto"/>
                <w:lang w:eastAsia="zh-CN"/>
              </w:rPr>
              <w:t>）供应商所投产品</w:t>
            </w:r>
            <w:r>
              <w:rPr>
                <w:rFonts w:hint="eastAsia" w:cs="Times New Roman"/>
                <w:color w:val="auto"/>
                <w:lang w:eastAsia="zh-CN"/>
              </w:rPr>
              <w:t>应为</w:t>
            </w:r>
            <w:r>
              <w:rPr>
                <w:rFonts w:hint="eastAsia" w:ascii="Times New Roman" w:hAnsi="Times New Roman" w:cs="Times New Roman"/>
                <w:color w:val="auto"/>
                <w:lang w:eastAsia="zh-CN"/>
              </w:rPr>
              <w:t>全国农业技术推广服务中心，推广防治玉米草地贪夜蛾的产品；</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lang w:val="en-US" w:eastAsia="zh-CN"/>
              </w:rPr>
              <w:t>（5）供应商需提供检测报告，并加盖供应商公章；</w:t>
            </w:r>
          </w:p>
        </w:tc>
        <w:tc>
          <w:tcPr>
            <w:tcW w:w="560" w:type="pct"/>
            <w:shd w:val="clear" w:color="auto" w:fill="auto"/>
            <w:vAlign w:val="center"/>
          </w:tcPr>
          <w:p>
            <w:pPr>
              <w:pStyle w:val="3"/>
              <w:keepNext w:val="0"/>
              <w:keepLines w:val="0"/>
              <w:pageBreakBefore w:val="0"/>
              <w:kinsoku/>
              <w:wordWrap/>
              <w:overflowPunct/>
              <w:topLinePunct w:val="0"/>
              <w:autoSpaceDE/>
              <w:autoSpaceDN/>
              <w:bidi w:val="0"/>
              <w:adjustRightInd/>
              <w:snapToGrid/>
              <w:spacing w:before="0" w:after="0" w:line="240" w:lineRule="auto"/>
              <w:textAlignment w:val="auto"/>
              <w:rPr>
                <w:rFonts w:hint="eastAsia" w:ascii="Times New Roman" w:hAnsi="Times New Roman" w:eastAsia="宋体" w:cs="Times New Roman"/>
                <w:b w:val="0"/>
                <w:bCs w:val="0"/>
                <w:color w:val="auto"/>
                <w:kern w:val="2"/>
                <w:sz w:val="21"/>
                <w:szCs w:val="24"/>
                <w:lang w:val="en-US" w:eastAsia="zh-CN" w:bidi="ar-SA"/>
              </w:rPr>
            </w:pPr>
            <w:r>
              <w:rPr>
                <w:rFonts w:hint="eastAsia" w:ascii="Times New Roman" w:hAnsi="Times New Roman" w:eastAsia="宋体" w:cs="Times New Roman"/>
                <w:b/>
                <w:bCs/>
                <w:color w:val="auto"/>
                <w:kern w:val="2"/>
                <w:sz w:val="21"/>
                <w:szCs w:val="24"/>
                <w:lang w:val="en-US" w:eastAsia="zh-CN" w:bidi="ar-SA"/>
              </w:rPr>
              <w:t>核心产品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1"/>
        <w:rPr>
          <w:rFonts w:hint="eastAsia" w:ascii="宋体" w:hAnsi="宋体" w:eastAsia="宋体" w:cs="宋体"/>
          <w:b/>
          <w:bCs/>
          <w:color w:val="000000"/>
          <w:sz w:val="28"/>
          <w:szCs w:val="28"/>
          <w:highlight w:val="none"/>
          <w:lang w:val="en-US" w:eastAsia="zh-CN"/>
        </w:rPr>
      </w:pPr>
      <w:r>
        <w:rPr>
          <w:rFonts w:hint="eastAsia" w:ascii="宋体" w:hAnsi="宋体" w:cs="宋体"/>
          <w:b/>
          <w:bCs/>
          <w:color w:val="000000"/>
          <w:sz w:val="28"/>
          <w:szCs w:val="28"/>
          <w:highlight w:val="none"/>
          <w:lang w:val="en-US" w:eastAsia="zh-CN"/>
        </w:rPr>
        <w:t>三、</w:t>
      </w:r>
      <w:r>
        <w:rPr>
          <w:rFonts w:hint="eastAsia" w:ascii="宋体" w:hAnsi="宋体" w:eastAsia="宋体" w:cs="宋体"/>
          <w:b/>
          <w:bCs/>
          <w:color w:val="000000"/>
          <w:sz w:val="28"/>
          <w:szCs w:val="28"/>
          <w:highlight w:val="none"/>
          <w:lang w:val="en-US" w:eastAsia="zh-CN"/>
        </w:rPr>
        <w:t>商务要求</w:t>
      </w:r>
    </w:p>
    <w:p>
      <w:pPr>
        <w:keepNext w:val="0"/>
        <w:keepLines w:val="0"/>
        <w:pageBreakBefore w:val="0"/>
        <w:widowControl w:val="0"/>
        <w:kinsoku/>
        <w:wordWrap/>
        <w:overflowPunct/>
        <w:topLinePunct w:val="0"/>
        <w:autoSpaceDE/>
        <w:autoSpaceDN/>
        <w:bidi w:val="0"/>
        <w:adjustRightInd/>
        <w:snapToGrid/>
        <w:spacing w:before="20" w:after="0" w:line="360" w:lineRule="auto"/>
        <w:ind w:firstLine="480" w:firstLineChars="200"/>
        <w:jc w:val="left"/>
        <w:textAlignment w:val="auto"/>
        <w:rPr>
          <w:rFonts w:hint="eastAsia" w:ascii="宋体" w:hAnsi="宋体" w:eastAsia="宋体" w:cs="宋体"/>
          <w:color w:val="FF0000"/>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交货时间</w:t>
      </w:r>
      <w:r>
        <w:rPr>
          <w:rFonts w:hint="eastAsia" w:ascii="宋体" w:hAnsi="宋体" w:eastAsia="宋体" w:cs="宋体"/>
          <w:color w:val="auto"/>
          <w:sz w:val="24"/>
          <w:szCs w:val="24"/>
          <w:highlight w:val="none"/>
        </w:rPr>
        <w:t>：合同签订生效后</w:t>
      </w:r>
      <w:r>
        <w:rPr>
          <w:rFonts w:hint="eastAsia" w:ascii="宋体" w:hAnsi="宋体" w:cs="宋体"/>
          <w:color w:val="auto"/>
          <w:sz w:val="24"/>
          <w:szCs w:val="24"/>
          <w:highlight w:val="none"/>
          <w:lang w:val="en-US" w:eastAsia="zh-CN"/>
        </w:rPr>
        <w:t>10个日历天内交货</w:t>
      </w:r>
      <w:r>
        <w:rPr>
          <w:rFonts w:hint="eastAsia" w:ascii="宋体" w:hAnsi="宋体" w:eastAsia="宋体" w:cs="宋体"/>
          <w:color w:val="auto"/>
          <w:sz w:val="24"/>
          <w:szCs w:val="24"/>
          <w:highlight w:val="none"/>
        </w:rPr>
        <w:t>；</w:t>
      </w:r>
    </w:p>
    <w:p>
      <w:pPr>
        <w:pStyle w:val="15"/>
        <w:keepNext w:val="0"/>
        <w:keepLines w:val="0"/>
        <w:pageBreakBefore w:val="0"/>
        <w:widowControl w:val="0"/>
        <w:kinsoku/>
        <w:wordWrap/>
        <w:overflowPunct/>
        <w:topLinePunct w:val="0"/>
        <w:autoSpaceDE/>
        <w:autoSpaceDN/>
        <w:bidi w:val="0"/>
        <w:adjustRightInd/>
        <w:snapToGrid/>
        <w:spacing w:before="20" w:after="0" w:line="360" w:lineRule="auto"/>
        <w:ind w:firstLine="480" w:firstLineChars="200"/>
        <w:textAlignment w:val="auto"/>
        <w:rPr>
          <w:rFonts w:hint="default" w:eastAsia="宋体"/>
          <w:color w:val="auto"/>
          <w:highlight w:val="none"/>
          <w:lang w:val="en-US" w:eastAsia="zh-CN"/>
        </w:rPr>
      </w:pPr>
      <w:r>
        <w:rPr>
          <w:rFonts w:hint="eastAsia" w:cs="宋体"/>
          <w:color w:val="auto"/>
          <w:sz w:val="24"/>
          <w:szCs w:val="24"/>
          <w:highlight w:val="none"/>
          <w:lang w:val="en-US" w:eastAsia="zh-CN"/>
        </w:rPr>
        <w:t>2、交货地点：采购人指定地点；</w:t>
      </w:r>
    </w:p>
    <w:p>
      <w:pPr>
        <w:keepNext w:val="0"/>
        <w:keepLines w:val="0"/>
        <w:pageBreakBefore w:val="0"/>
        <w:widowControl w:val="0"/>
        <w:kinsoku/>
        <w:wordWrap/>
        <w:overflowPunct/>
        <w:topLinePunct w:val="0"/>
        <w:autoSpaceDE/>
        <w:autoSpaceDN/>
        <w:bidi w:val="0"/>
        <w:adjustRightInd/>
        <w:snapToGrid/>
        <w:spacing w:before="20" w:after="0"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付款方式：（1）</w:t>
      </w:r>
      <w:r>
        <w:rPr>
          <w:rFonts w:hint="eastAsia" w:ascii="宋体" w:hAnsi="宋体" w:cs="宋体"/>
          <w:color w:val="auto"/>
          <w:sz w:val="24"/>
          <w:szCs w:val="24"/>
          <w:highlight w:val="none"/>
          <w:lang w:val="zh-CN"/>
        </w:rPr>
        <w:t>成交</w:t>
      </w:r>
      <w:r>
        <w:rPr>
          <w:rFonts w:hint="eastAsia" w:ascii="宋体" w:hAnsi="宋体" w:eastAsia="宋体" w:cs="宋体"/>
          <w:color w:val="auto"/>
          <w:sz w:val="24"/>
          <w:szCs w:val="24"/>
          <w:highlight w:val="none"/>
          <w:lang w:val="zh-CN"/>
        </w:rPr>
        <w:t>通知书发出后合同签订前</w:t>
      </w:r>
      <w:r>
        <w:rPr>
          <w:rFonts w:hint="eastAsia" w:ascii="宋体" w:hAnsi="宋体" w:cs="宋体"/>
          <w:color w:val="auto"/>
          <w:sz w:val="24"/>
          <w:szCs w:val="24"/>
          <w:highlight w:val="none"/>
          <w:lang w:val="zh-CN"/>
        </w:rPr>
        <w:t>成交</w:t>
      </w:r>
      <w:r>
        <w:rPr>
          <w:rFonts w:hint="eastAsia" w:ascii="宋体" w:hAnsi="宋体" w:eastAsia="宋体" w:cs="宋体"/>
          <w:color w:val="auto"/>
          <w:sz w:val="24"/>
          <w:szCs w:val="24"/>
          <w:highlight w:val="none"/>
          <w:lang w:val="zh-CN"/>
        </w:rPr>
        <w:t>人支付合同金额的5%作为履约保证金。</w:t>
      </w:r>
    </w:p>
    <w:p>
      <w:pPr>
        <w:keepNext w:val="0"/>
        <w:keepLines w:val="0"/>
        <w:pageBreakBefore w:val="0"/>
        <w:widowControl w:val="0"/>
        <w:kinsoku/>
        <w:wordWrap/>
        <w:overflowPunct/>
        <w:topLinePunct w:val="0"/>
        <w:autoSpaceDE/>
        <w:autoSpaceDN/>
        <w:bidi w:val="0"/>
        <w:adjustRightInd/>
        <w:snapToGrid/>
        <w:spacing w:before="20" w:after="0" w:line="360" w:lineRule="auto"/>
        <w:ind w:firstLine="480" w:firstLineChars="200"/>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rPr>
        <w:t>（2）合同签订后</w:t>
      </w:r>
      <w:r>
        <w:rPr>
          <w:rFonts w:hint="eastAsia" w:ascii="宋体" w:hAnsi="宋体" w:cs="宋体"/>
          <w:color w:val="auto"/>
          <w:sz w:val="24"/>
          <w:szCs w:val="24"/>
          <w:highlight w:val="none"/>
          <w:lang w:val="zh-CN"/>
        </w:rPr>
        <w:t>且到货后</w:t>
      </w:r>
      <w:r>
        <w:rPr>
          <w:rFonts w:hint="eastAsia" w:ascii="宋体" w:hAnsi="宋体" w:eastAsia="宋体" w:cs="宋体"/>
          <w:color w:val="auto"/>
          <w:sz w:val="24"/>
          <w:szCs w:val="24"/>
          <w:highlight w:val="none"/>
          <w:lang w:val="zh-CN"/>
        </w:rPr>
        <w:t>支付合同金额的</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0%，</w:t>
      </w:r>
      <w:r>
        <w:rPr>
          <w:rFonts w:hint="eastAsia" w:ascii="宋体" w:hAnsi="宋体" w:cs="宋体"/>
          <w:color w:val="auto"/>
          <w:sz w:val="24"/>
          <w:szCs w:val="24"/>
          <w:highlight w:val="none"/>
          <w:lang w:val="zh-CN"/>
        </w:rPr>
        <w:t>采购人完成全部防治作业后支付至合</w:t>
      </w:r>
      <w:r>
        <w:rPr>
          <w:rFonts w:hint="eastAsia" w:ascii="宋体" w:hAnsi="宋体" w:eastAsia="宋体" w:cs="宋体"/>
          <w:color w:val="auto"/>
          <w:sz w:val="24"/>
          <w:szCs w:val="24"/>
          <w:highlight w:val="none"/>
          <w:lang w:val="zh-CN" w:eastAsia="zh-CN"/>
        </w:rPr>
        <w:t>同金额的</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before="20"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、服务要求：（</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）成交供应商将货物送达采购人指定的地点。成交供应商应自行组织卸货，并负责卸货过程的安全，保证产品完整，如出现短缺、破损、变质，应无偿补足或调换。</w:t>
      </w:r>
    </w:p>
    <w:p>
      <w:pPr>
        <w:keepNext w:val="0"/>
        <w:keepLines w:val="0"/>
        <w:pageBreakBefore w:val="0"/>
        <w:widowControl w:val="0"/>
        <w:kinsoku/>
        <w:wordWrap/>
        <w:overflowPunct/>
        <w:topLinePunct w:val="0"/>
        <w:autoSpaceDE/>
        <w:autoSpaceDN/>
        <w:bidi w:val="0"/>
        <w:adjustRightInd/>
        <w:snapToGrid/>
        <w:spacing w:before="20" w:after="0" w:line="360" w:lineRule="auto"/>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成交供应商须确保供应货物的质量，因货物质量造成的损失全部由成交供应商赔偿，并承担相应法律责任；造成严重后果的，将追究成交供应商当事人和负责人的法律责任。</w:t>
      </w:r>
    </w:p>
    <w:p>
      <w:pPr>
        <w:keepNext w:val="0"/>
        <w:keepLines w:val="0"/>
        <w:pageBreakBefore w:val="0"/>
        <w:widowControl w:val="0"/>
        <w:kinsoku/>
        <w:wordWrap/>
        <w:overflowPunct/>
        <w:topLinePunct w:val="0"/>
        <w:autoSpaceDE/>
        <w:autoSpaceDN/>
        <w:bidi w:val="0"/>
        <w:adjustRightInd/>
        <w:snapToGrid/>
        <w:spacing w:before="20"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、发放方式：经有关部门检验合格后，由供货商按项目实施单位的要求将货物运送到指定地点并按公示后的发放名单、数量组织物资发放（发放的影像资料和签字领取花名册作为项目验收依据之一）。</w:t>
      </w:r>
    </w:p>
    <w:p>
      <w:pPr>
        <w:keepNext w:val="0"/>
        <w:keepLines w:val="0"/>
        <w:pageBreakBefore w:val="0"/>
        <w:widowControl w:val="0"/>
        <w:kinsoku/>
        <w:wordWrap/>
        <w:overflowPunct/>
        <w:topLinePunct w:val="0"/>
        <w:autoSpaceDE/>
        <w:autoSpaceDN/>
        <w:bidi w:val="0"/>
        <w:adjustRightInd/>
        <w:snapToGrid/>
        <w:spacing w:before="20" w:after="0"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、验收标准：按国家有关规定以及</w:t>
      </w:r>
      <w:r>
        <w:rPr>
          <w:rFonts w:hint="eastAsia" w:ascii="宋体" w:hAnsi="宋体" w:eastAsia="宋体" w:cs="宋体"/>
          <w:color w:val="auto"/>
          <w:kern w:val="2"/>
          <w:sz w:val="24"/>
          <w:szCs w:val="24"/>
          <w:lang w:val="en-US" w:eastAsia="zh-CN" w:bidi="ar-SA"/>
        </w:rPr>
        <w:t>本项目采购文件的质量要求和技术指标或者成交供应商的响应文件及承诺等进行验收。</w:t>
      </w:r>
    </w:p>
    <w:bookmarkEnd w:id="108"/>
    <w:p>
      <w:pPr>
        <w:pStyle w:val="40"/>
        <w:keepNext w:val="0"/>
        <w:keepLines w:val="0"/>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outlineLvl w:val="9"/>
        <w:rPr>
          <w:rFonts w:hint="eastAsia" w:ascii="宋体" w:hAnsi="宋体" w:eastAsia="宋体" w:cs="宋体"/>
          <w:color w:val="auto"/>
          <w:sz w:val="24"/>
          <w:szCs w:val="24"/>
          <w:highlight w:val="none"/>
        </w:rPr>
      </w:pPr>
      <w:bookmarkStart w:id="110" w:name="_Toc9060"/>
    </w:p>
    <w:p>
      <w:pPr>
        <w:pStyle w:val="40"/>
        <w:keepNext w:val="0"/>
        <w:keepLines w:val="0"/>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val="en-US" w:eastAsia="zh-CN"/>
        </w:rPr>
        <w:t>本章内容</w:t>
      </w:r>
      <w:r>
        <w:rPr>
          <w:rFonts w:hint="eastAsia" w:ascii="宋体" w:hAnsi="宋体" w:eastAsia="宋体" w:cs="宋体"/>
          <w:color w:val="auto"/>
          <w:sz w:val="24"/>
          <w:szCs w:val="24"/>
          <w:highlight w:val="none"/>
        </w:rPr>
        <w:t>为本项目实质性要求，不允许有负偏离。本章要求未明确证明材料的，技术</w:t>
      </w:r>
      <w:r>
        <w:rPr>
          <w:rFonts w:hint="eastAsia" w:ascii="宋体" w:hAnsi="宋体" w:eastAsia="宋体" w:cs="宋体"/>
          <w:color w:val="auto"/>
          <w:sz w:val="24"/>
          <w:szCs w:val="24"/>
          <w:highlight w:val="none"/>
          <w:lang w:val="en-US" w:eastAsia="zh-CN"/>
        </w:rPr>
        <w:t>参数</w:t>
      </w:r>
      <w:r>
        <w:rPr>
          <w:rFonts w:hint="eastAsia" w:ascii="宋体" w:hAnsi="宋体" w:eastAsia="宋体" w:cs="宋体"/>
          <w:color w:val="auto"/>
          <w:sz w:val="24"/>
          <w:szCs w:val="24"/>
          <w:highlight w:val="none"/>
        </w:rPr>
        <w:t>要求在技术</w:t>
      </w:r>
      <w:r>
        <w:rPr>
          <w:rFonts w:hint="eastAsia" w:ascii="宋体" w:hAnsi="宋体" w:eastAsia="宋体" w:cs="宋体"/>
          <w:color w:val="auto"/>
          <w:sz w:val="24"/>
          <w:szCs w:val="24"/>
          <w:highlight w:val="none"/>
          <w:lang w:val="en-US" w:eastAsia="zh-CN"/>
        </w:rPr>
        <w:t>参数要求应答</w:t>
      </w:r>
      <w:r>
        <w:rPr>
          <w:rFonts w:hint="eastAsia" w:ascii="宋体" w:hAnsi="宋体" w:eastAsia="宋体" w:cs="宋体"/>
          <w:color w:val="auto"/>
          <w:sz w:val="24"/>
          <w:szCs w:val="24"/>
          <w:highlight w:val="none"/>
        </w:rPr>
        <w:t>表中响应，商务要求在商务应答表中响应即可。采购文件具体有明确证明材料的，以具体证明材料为准</w:t>
      </w:r>
      <w:r>
        <w:rPr>
          <w:rFonts w:hint="eastAsia" w:ascii="宋体" w:hAnsi="宋体" w:eastAsia="宋体" w:cs="宋体"/>
          <w:color w:val="auto"/>
          <w:sz w:val="24"/>
          <w:szCs w:val="24"/>
          <w:highlight w:val="none"/>
          <w:lang w:eastAsia="zh-CN"/>
        </w:rPr>
        <w:t>，如无佐证材料的，不予认定。</w:t>
      </w:r>
      <w:r>
        <w:rPr>
          <w:rFonts w:hint="eastAsia" w:ascii="宋体" w:hAnsi="宋体" w:eastAsia="宋体" w:cs="宋体"/>
          <w:color w:val="auto"/>
          <w:sz w:val="24"/>
          <w:szCs w:val="24"/>
          <w:highlight w:val="none"/>
        </w:rPr>
        <w:br w:type="page"/>
      </w:r>
      <w:bookmarkEnd w:id="110"/>
    </w:p>
    <w:p>
      <w:pPr>
        <w:pStyle w:val="40"/>
        <w:rPr>
          <w:rFonts w:hint="eastAsia" w:ascii="Times New Roman" w:hAnsi="Times New Roman" w:eastAsia="宋体" w:cs="Times New Roman"/>
          <w:b/>
          <w:bCs/>
          <w:color w:val="auto"/>
          <w:kern w:val="44"/>
          <w:sz w:val="44"/>
          <w:szCs w:val="44"/>
          <w:highlight w:val="none"/>
          <w:lang w:val="en-US" w:eastAsia="zh-CN" w:bidi="ar-SA"/>
        </w:rPr>
      </w:pPr>
      <w:bookmarkStart w:id="111" w:name="_Toc10673"/>
      <w:r>
        <w:rPr>
          <w:rFonts w:hint="eastAsia" w:ascii="Times New Roman" w:hAnsi="Times New Roman" w:eastAsia="宋体" w:cs="Times New Roman"/>
          <w:b/>
          <w:bCs/>
          <w:color w:val="auto"/>
          <w:kern w:val="44"/>
          <w:sz w:val="44"/>
          <w:szCs w:val="44"/>
          <w:highlight w:val="none"/>
          <w:lang w:val="en-US" w:eastAsia="zh-CN" w:bidi="ar-SA"/>
        </w:rPr>
        <w:t>第六章  谈判内容、谈判过程中可能实质性变动的内容</w:t>
      </w:r>
      <w:bookmarkEnd w:id="109"/>
      <w:bookmarkEnd w:id="111"/>
    </w:p>
    <w:p>
      <w:pPr>
        <w:keepNext w:val="0"/>
        <w:keepLines w:val="0"/>
        <w:spacing w:before="0" w:after="0" w:line="360" w:lineRule="auto"/>
        <w:outlineLvl w:val="9"/>
        <w:rPr>
          <w:rFonts w:hint="eastAsia" w:ascii="宋体" w:hAnsi="宋体" w:eastAsia="宋体" w:cs="宋体"/>
          <w:color w:val="auto"/>
          <w:sz w:val="24"/>
          <w:szCs w:val="24"/>
          <w:highlight w:val="none"/>
        </w:rPr>
      </w:pPr>
    </w:p>
    <w:p>
      <w:pPr>
        <w:spacing w:line="360" w:lineRule="auto"/>
        <w:ind w:firstLine="393" w:firstLineChars="164"/>
        <w:rPr>
          <w:rFonts w:hint="eastAsia" w:ascii="宋体" w:hAnsi="宋体" w:eastAsia="宋体" w:cs="宋体"/>
          <w:color w:val="auto"/>
          <w:highlight w:val="none"/>
        </w:rPr>
      </w:pPr>
      <w:r>
        <w:rPr>
          <w:rFonts w:hint="eastAsia" w:ascii="宋体" w:hAnsi="宋体" w:eastAsia="宋体" w:cs="宋体"/>
          <w:color w:val="auto"/>
          <w:sz w:val="24"/>
          <w:highlight w:val="none"/>
        </w:rPr>
        <w:t>针对第五章、第九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bookmarkEnd w:id="30"/>
    <w:bookmarkEnd w:id="31"/>
    <w:bookmarkEnd w:id="32"/>
    <w:bookmarkEnd w:id="33"/>
    <w:bookmarkEnd w:id="34"/>
    <w:p>
      <w:pPr>
        <w:widowControl/>
        <w:spacing w:line="360" w:lineRule="auto"/>
        <w:jc w:val="left"/>
        <w:rPr>
          <w:rFonts w:hint="eastAsia" w:ascii="宋体" w:hAnsi="宋体" w:eastAsia="宋体" w:cs="宋体"/>
          <w:b/>
          <w:bCs/>
          <w:color w:val="auto"/>
          <w:sz w:val="32"/>
          <w:szCs w:val="32"/>
          <w:highlight w:val="none"/>
        </w:rPr>
      </w:pPr>
      <w:bookmarkStart w:id="112" w:name="_Toc183682369"/>
      <w:bookmarkStart w:id="113" w:name="_Toc183582232"/>
      <w:bookmarkStart w:id="114" w:name="_Toc217446057"/>
      <w:r>
        <w:rPr>
          <w:rFonts w:hint="eastAsia" w:ascii="宋体" w:hAnsi="宋体" w:eastAsia="宋体" w:cs="宋体"/>
          <w:b/>
          <w:bCs/>
          <w:color w:val="auto"/>
          <w:sz w:val="32"/>
          <w:szCs w:val="32"/>
          <w:highlight w:val="none"/>
        </w:rPr>
        <w:br w:type="page"/>
      </w:r>
    </w:p>
    <w:p>
      <w:pPr>
        <w:pStyle w:val="40"/>
        <w:rPr>
          <w:rFonts w:hint="eastAsia" w:ascii="Times New Roman" w:hAnsi="Times New Roman" w:eastAsia="宋体" w:cs="Times New Roman"/>
          <w:b/>
          <w:bCs/>
          <w:color w:val="auto"/>
          <w:kern w:val="44"/>
          <w:sz w:val="44"/>
          <w:szCs w:val="44"/>
          <w:highlight w:val="none"/>
          <w:lang w:val="en-US" w:eastAsia="zh-CN" w:bidi="ar-SA"/>
        </w:rPr>
      </w:pPr>
      <w:bookmarkStart w:id="115" w:name="_Toc11997"/>
      <w:bookmarkStart w:id="116" w:name="_Toc531596537"/>
      <w:r>
        <w:rPr>
          <w:rFonts w:hint="eastAsia" w:ascii="Times New Roman" w:hAnsi="Times New Roman" w:eastAsia="宋体" w:cs="Times New Roman"/>
          <w:b/>
          <w:bCs/>
          <w:color w:val="auto"/>
          <w:kern w:val="44"/>
          <w:sz w:val="44"/>
          <w:szCs w:val="44"/>
          <w:highlight w:val="none"/>
          <w:lang w:val="en-US" w:eastAsia="zh-CN" w:bidi="ar-SA"/>
        </w:rPr>
        <w:t>第七章  响应文件格式</w:t>
      </w:r>
      <w:bookmarkEnd w:id="115"/>
      <w:bookmarkEnd w:id="116"/>
    </w:p>
    <w:p>
      <w:pPr>
        <w:tabs>
          <w:tab w:val="left" w:pos="7665"/>
        </w:tabs>
        <w:spacing w:line="360" w:lineRule="auto"/>
        <w:ind w:firstLine="480"/>
        <w:rPr>
          <w:rFonts w:hint="eastAsia" w:ascii="宋体" w:hAnsi="宋体" w:eastAsia="宋体" w:cs="宋体"/>
          <w:bCs/>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color w:val="auto"/>
          <w:sz w:val="24"/>
          <w:highlight w:val="none"/>
        </w:rPr>
      </w:pPr>
      <w:r>
        <w:rPr>
          <w:rFonts w:hint="eastAsia"/>
          <w:color w:val="auto"/>
          <w:sz w:val="24"/>
          <w:highlight w:val="none"/>
        </w:rPr>
        <w:t>（一）本章所制响应文件格式，除格式中明确将该格式作为实质性要求的，一律不具有强制性。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color w:val="auto"/>
          <w:sz w:val="24"/>
          <w:highlight w:val="none"/>
        </w:rPr>
      </w:pPr>
      <w:r>
        <w:rPr>
          <w:rFonts w:hint="eastAsia"/>
          <w:color w:val="auto"/>
          <w:sz w:val="24"/>
          <w:highlight w:val="none"/>
        </w:rPr>
        <w:t>（二）本章所制响应文件格式有关表格中的备注栏，由供应商根据自身响应情况作解释性说明，不作为必填项。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left"/>
        <w:textAlignment w:val="auto"/>
        <w:rPr>
          <w:color w:val="auto"/>
          <w:sz w:val="24"/>
          <w:highlight w:val="none"/>
        </w:rPr>
      </w:pPr>
      <w:r>
        <w:rPr>
          <w:rFonts w:hint="eastAsia"/>
          <w:color w:val="auto"/>
          <w:sz w:val="24"/>
          <w:highlight w:val="none"/>
        </w:rPr>
        <w:t>本章所制响应文件格式中需要填写的相关内容事项，可能会与本采购项目无关，在不改变响应文件原义、不影响本项目采购需求的情况下，供应商可以不予填写。</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360" w:lineRule="auto"/>
        <w:jc w:val="left"/>
        <w:textAlignment w:val="auto"/>
        <w:rPr>
          <w:rFonts w:ascii="Times New Roman" w:eastAsia="宋体"/>
          <w:color w:val="auto"/>
          <w:sz w:val="24"/>
          <w:szCs w:val="24"/>
          <w:highlight w:val="none"/>
        </w:rPr>
      </w:pPr>
      <w:r>
        <w:rPr>
          <w:rFonts w:hint="eastAsia" w:ascii="Times New Roman" w:eastAsia="宋体"/>
          <w:color w:val="auto"/>
          <w:sz w:val="24"/>
          <w:szCs w:val="24"/>
          <w:highlight w:val="none"/>
        </w:rPr>
        <w:t>本章所制响应文件格式中“注”的部分，供应商在编制响应文件时可以删除，也可以保留。</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360" w:lineRule="auto"/>
        <w:jc w:val="left"/>
        <w:textAlignment w:val="auto"/>
        <w:rPr>
          <w:rFonts w:ascii="Times New Roman" w:eastAsia="宋体"/>
          <w:color w:val="auto"/>
          <w:sz w:val="24"/>
          <w:szCs w:val="24"/>
          <w:highlight w:val="none"/>
        </w:rPr>
      </w:pPr>
      <w:r>
        <w:rPr>
          <w:rFonts w:hint="eastAsia" w:ascii="Times New Roman" w:eastAsia="宋体"/>
          <w:color w:val="auto"/>
          <w:sz w:val="24"/>
          <w:szCs w:val="24"/>
          <w:highlight w:val="none"/>
        </w:rPr>
        <w:t>本章所制响应文件格式中涉及“法定代表人”的描述，在非法人机构参与</w:t>
      </w:r>
      <w:r>
        <w:rPr>
          <w:rFonts w:hint="eastAsia"/>
          <w:color w:val="auto"/>
          <w:sz w:val="24"/>
          <w:szCs w:val="24"/>
          <w:highlight w:val="none"/>
          <w:lang w:eastAsia="zh-CN"/>
        </w:rPr>
        <w:t>谈判</w:t>
      </w:r>
      <w:r>
        <w:rPr>
          <w:rFonts w:hint="eastAsia" w:ascii="Times New Roman" w:eastAsia="宋体"/>
          <w:color w:val="auto"/>
          <w:sz w:val="24"/>
          <w:szCs w:val="24"/>
          <w:highlight w:val="none"/>
        </w:rPr>
        <w:t>情况下可修改为“负责人”，在自然人参与</w:t>
      </w:r>
      <w:r>
        <w:rPr>
          <w:rFonts w:hint="eastAsia"/>
          <w:color w:val="auto"/>
          <w:sz w:val="24"/>
          <w:szCs w:val="24"/>
          <w:highlight w:val="none"/>
          <w:lang w:eastAsia="zh-CN"/>
        </w:rPr>
        <w:t>谈判</w:t>
      </w:r>
      <w:r>
        <w:rPr>
          <w:rFonts w:hint="eastAsia" w:ascii="Times New Roman" w:eastAsia="宋体"/>
          <w:color w:val="auto"/>
          <w:sz w:val="24"/>
          <w:szCs w:val="24"/>
          <w:highlight w:val="none"/>
        </w:rPr>
        <w:t>情况下可修改为“本人”。</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360" w:lineRule="auto"/>
        <w:jc w:val="left"/>
        <w:textAlignment w:val="auto"/>
        <w:rPr>
          <w:rFonts w:ascii="Times New Roman" w:eastAsia="宋体"/>
          <w:color w:val="auto"/>
          <w:sz w:val="24"/>
          <w:szCs w:val="24"/>
          <w:highlight w:val="none"/>
        </w:rPr>
      </w:pPr>
      <w:r>
        <w:rPr>
          <w:rFonts w:hint="eastAsia" w:ascii="Times New Roman" w:eastAsia="宋体"/>
          <w:color w:val="auto"/>
          <w:sz w:val="24"/>
          <w:szCs w:val="24"/>
          <w:highlight w:val="none"/>
        </w:rPr>
        <w:t>本章所制响应文件格式中涉及加盖供应商公章的地方，在自然人参与</w:t>
      </w:r>
      <w:r>
        <w:rPr>
          <w:rFonts w:hint="eastAsia"/>
          <w:color w:val="auto"/>
          <w:sz w:val="24"/>
          <w:szCs w:val="24"/>
          <w:highlight w:val="none"/>
          <w:lang w:eastAsia="zh-CN"/>
        </w:rPr>
        <w:t>谈判</w:t>
      </w:r>
      <w:r>
        <w:rPr>
          <w:rFonts w:hint="eastAsia" w:ascii="Times New Roman" w:eastAsia="宋体"/>
          <w:color w:val="auto"/>
          <w:sz w:val="24"/>
          <w:szCs w:val="24"/>
          <w:highlight w:val="none"/>
        </w:rPr>
        <w:t>情况下可删除，仅由自然人本人或其响应代表签字即可。</w:t>
      </w:r>
    </w:p>
    <w:p>
      <w:pPr>
        <w:pStyle w:val="2"/>
        <w:rPr>
          <w:rFonts w:ascii="宋体" w:hAnsi="宋体" w:eastAsia="宋体"/>
          <w:color w:val="auto"/>
          <w:highlight w:val="none"/>
        </w:rPr>
      </w:pPr>
      <w:r>
        <w:rPr>
          <w:color w:val="auto"/>
          <w:highlight w:val="none"/>
        </w:rPr>
        <w:br w:type="page"/>
      </w:r>
      <w:bookmarkStart w:id="117" w:name="_Toc15373_WPSOffice_Level2"/>
      <w:bookmarkStart w:id="118" w:name="_Toc14906_WPSOffice_Level2"/>
      <w:r>
        <w:rPr>
          <w:rFonts w:hint="eastAsia" w:ascii="宋体" w:hAnsi="宋体" w:eastAsia="宋体"/>
          <w:color w:val="auto"/>
          <w:highlight w:val="none"/>
        </w:rPr>
        <w:t>（封面格式）</w:t>
      </w:r>
      <w:bookmarkEnd w:id="117"/>
      <w:bookmarkEnd w:id="118"/>
    </w:p>
    <w:p>
      <w:pPr>
        <w:autoSpaceDE w:val="0"/>
        <w:autoSpaceDN w:val="0"/>
        <w:adjustRightInd w:val="0"/>
        <w:ind w:firstLine="1680" w:firstLineChars="200"/>
        <w:jc w:val="center"/>
        <w:rPr>
          <w:rFonts w:ascii="宋体" w:hAnsi="宋体"/>
          <w:color w:val="auto"/>
          <w:sz w:val="84"/>
          <w:szCs w:val="84"/>
          <w:highlight w:val="none"/>
        </w:rPr>
      </w:pPr>
    </w:p>
    <w:p>
      <w:pPr>
        <w:autoSpaceDE w:val="0"/>
        <w:autoSpaceDN w:val="0"/>
        <w:adjustRightInd w:val="0"/>
        <w:ind w:firstLine="1680" w:firstLineChars="200"/>
        <w:jc w:val="center"/>
        <w:rPr>
          <w:rFonts w:ascii="宋体" w:hAnsi="宋体"/>
          <w:color w:val="auto"/>
          <w:sz w:val="84"/>
          <w:szCs w:val="84"/>
          <w:highlight w:val="none"/>
        </w:rPr>
      </w:pPr>
    </w:p>
    <w:p>
      <w:pPr>
        <w:autoSpaceDE w:val="0"/>
        <w:autoSpaceDN w:val="0"/>
        <w:adjustRightInd w:val="0"/>
        <w:jc w:val="center"/>
        <w:rPr>
          <w:rFonts w:ascii="宋体" w:hAnsi="宋体"/>
          <w:color w:val="auto"/>
          <w:sz w:val="84"/>
          <w:szCs w:val="84"/>
          <w:highlight w:val="none"/>
        </w:rPr>
      </w:pPr>
      <w:bookmarkStart w:id="119" w:name="_Toc2971_WPSOffice_Level2"/>
      <w:bookmarkStart w:id="120" w:name="_Toc7834_WPSOffice_Level2"/>
      <w:r>
        <w:rPr>
          <w:rFonts w:hint="eastAsia" w:ascii="宋体" w:hAnsi="宋体"/>
          <w:color w:val="auto"/>
          <w:sz w:val="84"/>
          <w:szCs w:val="84"/>
          <w:highlight w:val="none"/>
        </w:rPr>
        <w:t>资格性</w:t>
      </w:r>
      <w:r>
        <w:rPr>
          <w:rFonts w:hint="eastAsia" w:hAnsi="宋体"/>
          <w:color w:val="auto"/>
          <w:sz w:val="84"/>
          <w:szCs w:val="84"/>
          <w:highlight w:val="none"/>
        </w:rPr>
        <w:t>响应文件</w:t>
      </w:r>
      <w:bookmarkEnd w:id="119"/>
      <w:bookmarkEnd w:id="120"/>
    </w:p>
    <w:p>
      <w:pPr>
        <w:autoSpaceDE w:val="0"/>
        <w:autoSpaceDN w:val="0"/>
        <w:adjustRightInd w:val="0"/>
        <w:spacing w:line="520" w:lineRule="exact"/>
        <w:ind w:firstLine="880" w:firstLineChars="200"/>
        <w:jc w:val="center"/>
        <w:rPr>
          <w:rFonts w:ascii="宋体" w:hAnsi="宋体"/>
          <w:color w:val="auto"/>
          <w:sz w:val="44"/>
          <w:highlight w:val="none"/>
        </w:rPr>
      </w:pPr>
    </w:p>
    <w:p>
      <w:pPr>
        <w:autoSpaceDE w:val="0"/>
        <w:autoSpaceDN w:val="0"/>
        <w:adjustRightInd w:val="0"/>
        <w:spacing w:line="520" w:lineRule="exact"/>
        <w:jc w:val="center"/>
        <w:rPr>
          <w:rFonts w:ascii="宋体" w:hAnsi="宋体"/>
          <w:color w:val="auto"/>
          <w:sz w:val="44"/>
          <w:highlight w:val="none"/>
        </w:rPr>
      </w:pPr>
      <w:bookmarkStart w:id="121" w:name="_Toc15121_WPSOffice_Level2"/>
      <w:bookmarkStart w:id="122" w:name="_Toc17870_WPSOffice_Level2"/>
      <w:r>
        <w:rPr>
          <w:rFonts w:hint="eastAsia" w:ascii="宋体" w:hAnsi="宋体"/>
          <w:color w:val="auto"/>
          <w:sz w:val="44"/>
          <w:highlight w:val="none"/>
        </w:rPr>
        <w:t>（正本/副本）</w:t>
      </w:r>
      <w:bookmarkEnd w:id="121"/>
      <w:bookmarkEnd w:id="122"/>
    </w:p>
    <w:p>
      <w:pPr>
        <w:pStyle w:val="2"/>
        <w:rPr>
          <w:rFonts w:ascii="宋体" w:hAnsi="宋体"/>
          <w:color w:val="auto"/>
          <w:sz w:val="44"/>
          <w:highlight w:val="none"/>
        </w:rPr>
      </w:pPr>
    </w:p>
    <w:p>
      <w:pPr>
        <w:pStyle w:val="2"/>
        <w:rPr>
          <w:rFonts w:ascii="宋体" w:hAnsi="宋体"/>
          <w:color w:val="auto"/>
          <w:sz w:val="44"/>
          <w:highlight w:val="none"/>
        </w:rPr>
      </w:pPr>
    </w:p>
    <w:p>
      <w:pPr>
        <w:pStyle w:val="2"/>
        <w:rPr>
          <w:rFonts w:ascii="宋体" w:hAnsi="宋体"/>
          <w:color w:val="auto"/>
          <w:sz w:val="44"/>
          <w:highlight w:val="none"/>
        </w:rPr>
      </w:pP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r>
        <w:rPr>
          <w:rFonts w:hint="eastAsia" w:ascii="宋体" w:hAnsi="宋体"/>
          <w:color w:val="auto"/>
          <w:sz w:val="32"/>
          <w:szCs w:val="32"/>
          <w:highlight w:val="none"/>
        </w:rPr>
        <w:t>项目编号：</w:t>
      </w:r>
      <w:r>
        <w:rPr>
          <w:rFonts w:hint="eastAsia" w:ascii="宋体" w:hAnsi="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u w:val="single"/>
        </w:rPr>
      </w:pPr>
      <w:r>
        <w:rPr>
          <w:rFonts w:hint="eastAsia" w:ascii="宋体" w:hAnsi="宋体"/>
          <w:color w:val="auto"/>
          <w:sz w:val="32"/>
          <w:szCs w:val="32"/>
          <w:highlight w:val="none"/>
        </w:rPr>
        <w:t>项目名称：</w:t>
      </w:r>
      <w:r>
        <w:rPr>
          <w:rFonts w:hint="eastAsia" w:ascii="宋体" w:hAnsi="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r>
        <w:rPr>
          <w:rFonts w:hint="eastAsia" w:ascii="宋体" w:hAnsi="宋体"/>
          <w:color w:val="auto"/>
          <w:sz w:val="32"/>
          <w:szCs w:val="32"/>
          <w:highlight w:val="none"/>
        </w:rPr>
        <w:t>供 应 商：</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（公章）</w:t>
      </w: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r>
        <w:rPr>
          <w:rFonts w:hint="eastAsia" w:ascii="宋体" w:hAnsi="宋体"/>
          <w:color w:val="auto"/>
          <w:sz w:val="32"/>
          <w:szCs w:val="32"/>
          <w:highlight w:val="none"/>
        </w:rPr>
        <w:t>日    期：</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年</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月</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日</w:t>
      </w:r>
    </w:p>
    <w:p>
      <w:pPr>
        <w:jc w:val="center"/>
        <w:rPr>
          <w:b/>
          <w:bCs/>
          <w:color w:val="auto"/>
          <w:sz w:val="28"/>
          <w:szCs w:val="36"/>
          <w:highlight w:val="none"/>
        </w:rPr>
      </w:pPr>
      <w:r>
        <w:rPr>
          <w:color w:val="auto"/>
          <w:highlight w:val="none"/>
        </w:rPr>
        <w:br w:type="page"/>
      </w:r>
      <w:r>
        <w:rPr>
          <w:rFonts w:hint="eastAsia"/>
          <w:b/>
          <w:bCs/>
          <w:color w:val="auto"/>
          <w:sz w:val="28"/>
          <w:szCs w:val="36"/>
          <w:highlight w:val="none"/>
        </w:rPr>
        <w:t>目录（自拟）</w:t>
      </w:r>
    </w:p>
    <w:p>
      <w:pPr>
        <w:pStyle w:val="6"/>
        <w:numPr>
          <w:ilvl w:val="0"/>
          <w:numId w:val="3"/>
        </w:numPr>
        <w:spacing w:before="0" w:after="0" w:line="360" w:lineRule="auto"/>
        <w:jc w:val="center"/>
        <w:rPr>
          <w:rFonts w:hint="eastAsia"/>
          <w:color w:val="auto"/>
          <w:highlight w:val="none"/>
        </w:rPr>
      </w:pPr>
      <w:r>
        <w:rPr>
          <w:color w:val="auto"/>
          <w:highlight w:val="none"/>
        </w:rPr>
        <w:br w:type="page"/>
      </w:r>
      <w:bookmarkStart w:id="123" w:name="_Toc27332_WPSOffice_Level2"/>
      <w:bookmarkStart w:id="124" w:name="_Toc4892_WPSOffice_Level2"/>
      <w:r>
        <w:rPr>
          <w:rFonts w:hint="eastAsia"/>
          <w:color w:val="auto"/>
          <w:highlight w:val="none"/>
        </w:rPr>
        <w:t>法定代表人授权书</w:t>
      </w:r>
    </w:p>
    <w:p>
      <w:pPr>
        <w:numPr>
          <w:ilvl w:val="0"/>
          <w:numId w:val="0"/>
        </w:numPr>
        <w:rPr>
          <w:highlight w:val="none"/>
        </w:rPr>
      </w:pPr>
    </w:p>
    <w:p>
      <w:pPr>
        <w:spacing w:line="360" w:lineRule="auto"/>
        <w:rPr>
          <w:rFonts w:ascii="宋体" w:hAnsi="宋体"/>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color w:val="auto"/>
          <w:sz w:val="24"/>
          <w:highlight w:val="none"/>
        </w:rPr>
        <w:t>（采购代理机构名称）：</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本授权声明：</w:t>
      </w:r>
      <w:r>
        <w:rPr>
          <w:rFonts w:hint="eastAsia" w:ascii="宋体" w:hAnsi="宋体"/>
          <w:color w:val="auto"/>
          <w:sz w:val="24"/>
          <w:highlight w:val="none"/>
          <w:u w:val="single"/>
        </w:rPr>
        <w:t xml:space="preserve">                     </w:t>
      </w:r>
      <w:r>
        <w:rPr>
          <w:rFonts w:hint="eastAsia" w:ascii="宋体" w:hAnsi="宋体"/>
          <w:color w:val="auto"/>
          <w:sz w:val="24"/>
          <w:highlight w:val="none"/>
        </w:rPr>
        <w:t>（</w:t>
      </w:r>
      <w:r>
        <w:rPr>
          <w:rFonts w:hint="eastAsia" w:hAnsi="宋体"/>
          <w:color w:val="auto"/>
          <w:sz w:val="24"/>
          <w:highlight w:val="none"/>
        </w:rPr>
        <w:t>供应商</w:t>
      </w:r>
      <w:r>
        <w:rPr>
          <w:rFonts w:hint="eastAsia" w:ascii="宋体" w:hAnsi="宋体"/>
          <w:color w:val="auto"/>
          <w:sz w:val="24"/>
          <w:highlight w:val="none"/>
        </w:rPr>
        <w:t>名称）</w:t>
      </w:r>
      <w:r>
        <w:rPr>
          <w:rFonts w:hint="eastAsia" w:ascii="宋体" w:hAnsi="宋体"/>
          <w:color w:val="auto"/>
          <w:sz w:val="24"/>
          <w:highlight w:val="none"/>
          <w:u w:val="single"/>
        </w:rPr>
        <w:t xml:space="preserve">          </w:t>
      </w:r>
      <w:r>
        <w:rPr>
          <w:rFonts w:hint="eastAsia" w:ascii="宋体" w:hAnsi="宋体"/>
          <w:color w:val="auto"/>
          <w:sz w:val="24"/>
          <w:highlight w:val="none"/>
        </w:rPr>
        <w:t>（法定代表人姓名、职务）授权</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（被授权人姓名、职务）为我方 “ </w:t>
      </w:r>
      <w:r>
        <w:rPr>
          <w:rFonts w:hint="eastAsia" w:ascii="宋体" w:hAnsi="宋体"/>
          <w:color w:val="auto"/>
          <w:sz w:val="24"/>
          <w:highlight w:val="none"/>
          <w:u w:val="single"/>
        </w:rPr>
        <w:t xml:space="preserve">             </w:t>
      </w:r>
      <w:r>
        <w:rPr>
          <w:rFonts w:hint="eastAsia" w:ascii="宋体" w:hAnsi="宋体"/>
          <w:color w:val="auto"/>
          <w:sz w:val="24"/>
          <w:highlight w:val="none"/>
        </w:rPr>
        <w:t>” 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w:t>
      </w:r>
      <w:r>
        <w:rPr>
          <w:rFonts w:hint="eastAsia" w:ascii="宋体" w:hAnsi="宋体"/>
          <w:color w:val="auto"/>
          <w:sz w:val="24"/>
          <w:highlight w:val="none"/>
          <w:lang w:eastAsia="zh-CN"/>
        </w:rPr>
        <w:t>谈判</w:t>
      </w:r>
      <w:r>
        <w:rPr>
          <w:rFonts w:hint="eastAsia" w:ascii="宋体" w:hAnsi="宋体"/>
          <w:color w:val="auto"/>
          <w:sz w:val="24"/>
          <w:highlight w:val="none"/>
        </w:rPr>
        <w:t>采购活动的合法代表，全权处理该项目有关</w:t>
      </w:r>
      <w:r>
        <w:rPr>
          <w:rFonts w:hint="eastAsia" w:ascii="宋体" w:hAnsi="宋体"/>
          <w:color w:val="auto"/>
          <w:sz w:val="24"/>
          <w:highlight w:val="none"/>
          <w:lang w:eastAsia="zh-CN"/>
        </w:rPr>
        <w:t>谈判</w:t>
      </w:r>
      <w:r>
        <w:rPr>
          <w:rFonts w:hint="eastAsia" w:ascii="宋体" w:hAnsi="宋体"/>
          <w:color w:val="auto"/>
          <w:sz w:val="24"/>
          <w:highlight w:val="none"/>
        </w:rPr>
        <w:t>采购、签订合同以及执行合同等一切事宜。</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特此声明。</w:t>
      </w:r>
    </w:p>
    <w:p>
      <w:pPr>
        <w:spacing w:line="360" w:lineRule="auto"/>
        <w:ind w:firstLine="480" w:firstLineChars="200"/>
        <w:rPr>
          <w:rFonts w:ascii="宋体" w:hAnsi="宋体"/>
          <w:bCs/>
          <w:color w:val="auto"/>
          <w:sz w:val="24"/>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附：（1）法定代表人有效身份证明材料正反面复印件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（2）授权代表有效身份证明材料正反面复印件</w:t>
      </w:r>
    </w:p>
    <w:p>
      <w:pPr>
        <w:spacing w:line="400" w:lineRule="exact"/>
        <w:rPr>
          <w:rFonts w:ascii="宋体" w:hAnsi="宋体"/>
          <w:color w:val="auto"/>
          <w:sz w:val="24"/>
          <w:highlight w:val="none"/>
        </w:rPr>
      </w:pPr>
    </w:p>
    <w:p>
      <w:pPr>
        <w:spacing w:line="400" w:lineRule="exact"/>
        <w:ind w:firstLine="480" w:firstLineChars="200"/>
        <w:rPr>
          <w:rFonts w:ascii="宋体" w:hAnsi="宋体"/>
          <w:color w:val="auto"/>
          <w:sz w:val="24"/>
          <w:highlight w:val="none"/>
        </w:rPr>
      </w:pPr>
    </w:p>
    <w:p>
      <w:pPr>
        <w:spacing w:line="400" w:lineRule="exact"/>
        <w:ind w:firstLine="480" w:firstLineChars="200"/>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法定代表人</w:t>
      </w:r>
      <w:r>
        <w:rPr>
          <w:rFonts w:hint="eastAsia" w:asciiTheme="minorEastAsia" w:hAnsiTheme="minorEastAsia" w:eastAsiaTheme="minorEastAsia"/>
          <w:color w:val="auto"/>
          <w:sz w:val="24"/>
          <w:highlight w:val="none"/>
        </w:rPr>
        <w:t>（签字或加盖个人名章）</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授权代表</w:t>
      </w:r>
      <w:r>
        <w:rPr>
          <w:rFonts w:hint="eastAsia" w:asciiTheme="minorEastAsia" w:hAnsiTheme="minorEastAsia" w:eastAsiaTheme="minorEastAsia"/>
          <w:color w:val="auto"/>
          <w:sz w:val="24"/>
          <w:highlight w:val="none"/>
        </w:rPr>
        <w:t>（签字或加盖个人名章）</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rPr>
      </w:pPr>
      <w:r>
        <w:rPr>
          <w:rFonts w:hint="eastAsia" w:hAnsi="宋体"/>
          <w:color w:val="auto"/>
          <w:sz w:val="24"/>
          <w:highlight w:val="none"/>
        </w:rPr>
        <w:t>供应商</w:t>
      </w:r>
      <w:r>
        <w:rPr>
          <w:rFonts w:hint="eastAsia" w:ascii="宋体" w:hAnsi="宋体"/>
          <w:color w:val="auto"/>
          <w:sz w:val="24"/>
          <w:highlight w:val="none"/>
        </w:rPr>
        <w:t>名称：</w:t>
      </w:r>
      <w:r>
        <w:rPr>
          <w:rFonts w:hint="eastAsia" w:ascii="宋体" w:hAnsi="宋体"/>
          <w:color w:val="auto"/>
          <w:sz w:val="24"/>
          <w:highlight w:val="none"/>
          <w:u w:val="single"/>
        </w:rPr>
        <w:t xml:space="preserve">                      </w:t>
      </w:r>
      <w:r>
        <w:rPr>
          <w:rFonts w:hint="eastAsia" w:ascii="宋体" w:hAnsi="宋体"/>
          <w:color w:val="auto"/>
          <w:sz w:val="24"/>
          <w:highlight w:val="none"/>
        </w:rPr>
        <w:t>（盖章）</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rPr>
          <w:color w:val="auto"/>
          <w:highlight w:val="none"/>
        </w:rPr>
      </w:pPr>
    </w:p>
    <w:p>
      <w:pPr>
        <w:spacing w:line="360" w:lineRule="auto"/>
        <w:rPr>
          <w:b/>
          <w:color w:val="auto"/>
          <w:sz w:val="24"/>
          <w:highlight w:val="none"/>
        </w:rPr>
      </w:pPr>
      <w:r>
        <w:rPr>
          <w:rFonts w:hint="eastAsia" w:ascii="宋体" w:hAnsi="宋体" w:cs="宋体"/>
          <w:color w:val="auto"/>
          <w:sz w:val="24"/>
          <w:highlight w:val="none"/>
        </w:rPr>
        <w:t>注：</w:t>
      </w:r>
      <w:r>
        <w:rPr>
          <w:rFonts w:hint="eastAsia" w:ascii="宋体" w:hAnsi="宋体" w:cs="宋体"/>
          <w:b/>
          <w:bCs/>
          <w:color w:val="auto"/>
          <w:sz w:val="24"/>
          <w:highlight w:val="none"/>
        </w:rPr>
        <w:t>1、</w:t>
      </w:r>
      <w:r>
        <w:rPr>
          <w:b/>
          <w:color w:val="auto"/>
          <w:sz w:val="24"/>
          <w:highlight w:val="none"/>
        </w:rPr>
        <w:t>法定代表人不亲自参加</w:t>
      </w:r>
      <w:r>
        <w:rPr>
          <w:rFonts w:hint="eastAsia"/>
          <w:b/>
          <w:color w:val="auto"/>
          <w:sz w:val="24"/>
          <w:highlight w:val="none"/>
          <w:lang w:eastAsia="zh-CN"/>
        </w:rPr>
        <w:t>谈判</w:t>
      </w:r>
      <w:r>
        <w:rPr>
          <w:b/>
          <w:color w:val="auto"/>
          <w:sz w:val="24"/>
          <w:highlight w:val="none"/>
        </w:rPr>
        <w:t>，而授权代表参加</w:t>
      </w:r>
      <w:r>
        <w:rPr>
          <w:rFonts w:hint="eastAsia"/>
          <w:b/>
          <w:color w:val="auto"/>
          <w:sz w:val="24"/>
          <w:highlight w:val="none"/>
          <w:lang w:eastAsia="zh-CN"/>
        </w:rPr>
        <w:t>谈判</w:t>
      </w:r>
      <w:r>
        <w:rPr>
          <w:b/>
          <w:color w:val="auto"/>
          <w:sz w:val="24"/>
          <w:highlight w:val="none"/>
        </w:rPr>
        <w:t>的适用。</w:t>
      </w:r>
    </w:p>
    <w:p>
      <w:pPr>
        <w:pStyle w:val="15"/>
        <w:ind w:firstLine="482" w:firstLineChars="200"/>
        <w:rPr>
          <w:rFonts w:cs="宋体"/>
          <w:color w:val="auto"/>
          <w:sz w:val="24"/>
          <w:szCs w:val="24"/>
          <w:highlight w:val="none"/>
        </w:rPr>
      </w:pPr>
      <w:r>
        <w:rPr>
          <w:rFonts w:hint="eastAsia" w:cs="宋体"/>
          <w:b/>
          <w:color w:val="auto"/>
          <w:sz w:val="24"/>
          <w:szCs w:val="24"/>
          <w:highlight w:val="none"/>
        </w:rPr>
        <w:t>2、供应商为法人单位时提供“法定代表人授权书”，供应商为其他组织时提供“单位负责人授权书”，供应商为自然人时提供“自然人身份证明材料”。</w:t>
      </w:r>
    </w:p>
    <w:p>
      <w:pPr>
        <w:spacing w:line="360" w:lineRule="auto"/>
        <w:ind w:firstLine="482" w:firstLineChars="200"/>
        <w:rPr>
          <w:rFonts w:ascii="黑体"/>
          <w:color w:val="auto"/>
          <w:highlight w:val="none"/>
        </w:rPr>
      </w:pPr>
      <w:r>
        <w:rPr>
          <w:rFonts w:hint="eastAsia" w:ascii="宋体" w:hAnsi="宋体" w:cs="宋体"/>
          <w:b/>
          <w:color w:val="auto"/>
          <w:sz w:val="24"/>
          <w:highlight w:val="none"/>
        </w:rPr>
        <w:t>3、身份证明材料包括居民身份证或户口本或军官证或护照等。</w:t>
      </w:r>
      <w:r>
        <w:rPr>
          <w:color w:val="auto"/>
          <w:sz w:val="24"/>
          <w:highlight w:val="none"/>
        </w:rPr>
        <w:br w:type="page"/>
      </w:r>
      <w:bookmarkEnd w:id="123"/>
      <w:bookmarkEnd w:id="124"/>
    </w:p>
    <w:p>
      <w:pPr>
        <w:pStyle w:val="6"/>
        <w:spacing w:before="0" w:after="0" w:line="360" w:lineRule="auto"/>
        <w:jc w:val="center"/>
        <w:rPr>
          <w:rFonts w:hint="eastAsia"/>
          <w:color w:val="auto"/>
          <w:highlight w:val="none"/>
        </w:rPr>
      </w:pPr>
      <w:r>
        <w:rPr>
          <w:rFonts w:hint="eastAsia"/>
          <w:color w:val="auto"/>
          <w:highlight w:val="none"/>
        </w:rPr>
        <w:t>一、法定代表人证明书</w:t>
      </w:r>
    </w:p>
    <w:p>
      <w:pPr>
        <w:rPr>
          <w:highlight w:val="none"/>
        </w:rPr>
      </w:pPr>
    </w:p>
    <w:p>
      <w:pPr>
        <w:pStyle w:val="2"/>
        <w:tabs>
          <w:tab w:val="left" w:pos="1519"/>
          <w:tab w:val="left" w:pos="5419"/>
        </w:tabs>
        <w:spacing w:before="241" w:line="343" w:lineRule="auto"/>
        <w:ind w:left="800" w:right="4964"/>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单位名称：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2"/>
        <w:tabs>
          <w:tab w:val="left" w:pos="1519"/>
          <w:tab w:val="left" w:pos="5419"/>
        </w:tabs>
        <w:spacing w:before="241" w:line="343" w:lineRule="auto"/>
        <w:ind w:left="800" w:right="4964"/>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2"/>
        <w:tabs>
          <w:tab w:val="left" w:pos="1519"/>
          <w:tab w:val="left" w:pos="3079"/>
          <w:tab w:val="left" w:pos="4399"/>
          <w:tab w:val="left" w:pos="5719"/>
          <w:tab w:val="left" w:pos="7939"/>
        </w:tabs>
        <w:spacing w:before="1"/>
        <w:ind w:left="8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姓</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2"/>
        <w:tabs>
          <w:tab w:val="left" w:pos="3295"/>
          <w:tab w:val="left" w:pos="4759"/>
          <w:tab w:val="left" w:pos="6871"/>
        </w:tabs>
        <w:spacing w:before="132" w:line="343" w:lineRule="auto"/>
        <w:ind w:left="320" w:right="317"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本人系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(供应商名称)的法定代表人/单位负责人。就参加</w:t>
      </w:r>
      <w:r>
        <w:rPr>
          <w:rFonts w:hint="eastAsia" w:ascii="宋体" w:hAnsi="宋体" w:eastAsia="宋体" w:cs="宋体"/>
          <w:color w:val="auto"/>
          <w:spacing w:val="-16"/>
          <w:sz w:val="24"/>
          <w:szCs w:val="24"/>
          <w:highlight w:val="none"/>
        </w:rPr>
        <w:t>你</w:t>
      </w:r>
      <w:r>
        <w:rPr>
          <w:rFonts w:hint="eastAsia" w:ascii="宋体" w:hAnsi="宋体" w:eastAsia="宋体" w:cs="宋体"/>
          <w:color w:val="auto"/>
          <w:sz w:val="24"/>
          <w:szCs w:val="24"/>
          <w:highlight w:val="none"/>
        </w:rPr>
        <w:t>单位组织</w:t>
      </w:r>
      <w:r>
        <w:rPr>
          <w:rFonts w:hint="eastAsia" w:ascii="宋体" w:hAnsi="宋体" w:eastAsia="宋体" w:cs="宋体"/>
          <w:color w:val="auto"/>
          <w:spacing w:val="-24"/>
          <w:sz w:val="24"/>
          <w:szCs w:val="24"/>
          <w:highlight w:val="none"/>
        </w:rPr>
        <w:t>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(项目名称)(项目编号</w:t>
      </w:r>
      <w:r>
        <w:rPr>
          <w:rFonts w:hint="eastAsia" w:ascii="宋体" w:hAnsi="宋体" w:eastAsia="宋体" w:cs="宋体"/>
          <w:color w:val="auto"/>
          <w:spacing w:val="-24"/>
          <w:sz w:val="24"/>
          <w:szCs w:val="24"/>
          <w:highlight w:val="none"/>
        </w:rPr>
        <w:t>：</w:t>
      </w:r>
      <w:r>
        <w:rPr>
          <w:rFonts w:hint="eastAsia" w:ascii="宋体" w:hAnsi="宋体" w:eastAsia="宋体" w:cs="宋体"/>
          <w:color w:val="auto"/>
          <w:spacing w:val="-24"/>
          <w:sz w:val="24"/>
          <w:szCs w:val="24"/>
          <w:highlight w:val="none"/>
          <w:u w:val="single"/>
        </w:rPr>
        <w:t xml:space="preserve">         </w:t>
      </w:r>
      <w:r>
        <w:rPr>
          <w:rFonts w:hint="eastAsia" w:ascii="宋体" w:hAnsi="宋体" w:eastAsia="宋体" w:cs="宋体"/>
          <w:color w:val="auto"/>
          <w:spacing w:val="-24"/>
          <w:sz w:val="24"/>
          <w:szCs w:val="24"/>
          <w:highlight w:val="none"/>
          <w:u w:val="single"/>
        </w:rPr>
        <w:tab/>
      </w:r>
      <w:r>
        <w:rPr>
          <w:rFonts w:hint="eastAsia" w:ascii="宋体" w:hAnsi="宋体" w:eastAsia="宋体" w:cs="宋体"/>
          <w:color w:val="auto"/>
          <w:spacing w:val="-12"/>
          <w:sz w:val="24"/>
          <w:szCs w:val="24"/>
          <w:highlight w:val="none"/>
        </w:rPr>
        <w:t>)”</w:t>
      </w:r>
      <w:r>
        <w:rPr>
          <w:rFonts w:hint="eastAsia" w:ascii="宋体" w:hAnsi="宋体" w:eastAsia="宋体" w:cs="宋体"/>
          <w:color w:val="auto"/>
          <w:sz w:val="24"/>
          <w:szCs w:val="24"/>
          <w:highlight w:val="none"/>
        </w:rPr>
        <w:t>的政府采购活动</w:t>
      </w:r>
      <w:r>
        <w:rPr>
          <w:rFonts w:hint="eastAsia" w:ascii="宋体" w:hAnsi="宋体" w:eastAsia="宋体" w:cs="宋体"/>
          <w:color w:val="auto"/>
          <w:spacing w:val="-22"/>
          <w:sz w:val="24"/>
          <w:szCs w:val="24"/>
          <w:highlight w:val="none"/>
        </w:rPr>
        <w:t>、</w:t>
      </w:r>
      <w:r>
        <w:rPr>
          <w:rFonts w:hint="eastAsia" w:ascii="宋体" w:hAnsi="宋体" w:eastAsia="宋体" w:cs="宋体"/>
          <w:color w:val="auto"/>
          <w:sz w:val="24"/>
          <w:szCs w:val="24"/>
          <w:highlight w:val="none"/>
        </w:rPr>
        <w:t>合同签</w:t>
      </w:r>
      <w:r>
        <w:rPr>
          <w:rFonts w:hint="eastAsia" w:ascii="宋体" w:hAnsi="宋体" w:eastAsia="宋体" w:cs="宋体"/>
          <w:color w:val="auto"/>
          <w:spacing w:val="-16"/>
          <w:sz w:val="24"/>
          <w:szCs w:val="24"/>
          <w:highlight w:val="none"/>
        </w:rPr>
        <w:t>订</w:t>
      </w:r>
      <w:r>
        <w:rPr>
          <w:rFonts w:hint="eastAsia" w:ascii="宋体" w:hAnsi="宋体" w:eastAsia="宋体" w:cs="宋体"/>
          <w:color w:val="auto"/>
          <w:sz w:val="24"/>
          <w:szCs w:val="24"/>
          <w:highlight w:val="none"/>
        </w:rPr>
        <w:t>以及合同履约等一切事宜，我单位均予承认，所产生的法律后果均由我单位承担。</w:t>
      </w:r>
    </w:p>
    <w:p>
      <w:pPr>
        <w:pStyle w:val="2"/>
        <w:spacing w:before="1"/>
        <w:ind w:left="8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400" w:lineRule="exact"/>
        <w:rPr>
          <w:rFonts w:ascii="宋体" w:hAnsi="宋体"/>
          <w:color w:val="auto"/>
          <w:sz w:val="24"/>
          <w:highlight w:val="none"/>
        </w:rPr>
      </w:pPr>
    </w:p>
    <w:p>
      <w:pPr>
        <w:spacing w:line="400" w:lineRule="exact"/>
        <w:ind w:firstLine="480" w:firstLineChars="200"/>
        <w:rPr>
          <w:rFonts w:ascii="宋体" w:hAnsi="宋体"/>
          <w:color w:val="auto"/>
          <w:sz w:val="24"/>
          <w:highlight w:val="none"/>
        </w:rPr>
      </w:pP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附：（1）法定代表人有效身份证明材料正反面复印件</w:t>
      </w:r>
    </w:p>
    <w:p>
      <w:pPr>
        <w:spacing w:line="400" w:lineRule="exact"/>
        <w:ind w:firstLine="480" w:firstLineChars="200"/>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法定代表人</w:t>
      </w:r>
      <w:r>
        <w:rPr>
          <w:rFonts w:hint="eastAsia" w:asciiTheme="minorEastAsia" w:hAnsiTheme="minorEastAsia" w:eastAsiaTheme="minorEastAsia"/>
          <w:color w:val="auto"/>
          <w:sz w:val="24"/>
          <w:highlight w:val="none"/>
        </w:rPr>
        <w:t>（签字或加盖个人名章）</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rPr>
      </w:pPr>
      <w:r>
        <w:rPr>
          <w:rFonts w:hint="eastAsia" w:hAnsi="宋体"/>
          <w:color w:val="auto"/>
          <w:sz w:val="24"/>
          <w:highlight w:val="none"/>
        </w:rPr>
        <w:t>供应商</w:t>
      </w:r>
      <w:r>
        <w:rPr>
          <w:rFonts w:hint="eastAsia" w:ascii="宋体" w:hAnsi="宋体"/>
          <w:color w:val="auto"/>
          <w:sz w:val="24"/>
          <w:highlight w:val="none"/>
        </w:rPr>
        <w:t>名称：</w:t>
      </w:r>
      <w:r>
        <w:rPr>
          <w:rFonts w:hint="eastAsia" w:ascii="宋体" w:hAnsi="宋体"/>
          <w:color w:val="auto"/>
          <w:sz w:val="24"/>
          <w:highlight w:val="none"/>
          <w:u w:val="single"/>
        </w:rPr>
        <w:t xml:space="preserve">                      </w:t>
      </w:r>
      <w:r>
        <w:rPr>
          <w:rFonts w:hint="eastAsia" w:ascii="宋体" w:hAnsi="宋体"/>
          <w:color w:val="auto"/>
          <w:sz w:val="24"/>
          <w:highlight w:val="none"/>
        </w:rPr>
        <w:t>（盖章）</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rPr>
          <w:color w:val="auto"/>
          <w:highlight w:val="none"/>
        </w:rPr>
      </w:pPr>
    </w:p>
    <w:p>
      <w:pPr>
        <w:spacing w:line="360" w:lineRule="auto"/>
        <w:rPr>
          <w:b/>
          <w:color w:val="auto"/>
          <w:sz w:val="24"/>
          <w:highlight w:val="none"/>
        </w:rPr>
      </w:pPr>
      <w:r>
        <w:rPr>
          <w:rFonts w:hint="eastAsia" w:ascii="宋体" w:hAnsi="宋体" w:cs="宋体"/>
          <w:color w:val="auto"/>
          <w:sz w:val="24"/>
          <w:highlight w:val="none"/>
        </w:rPr>
        <w:t>注：</w:t>
      </w:r>
      <w:r>
        <w:rPr>
          <w:rFonts w:hint="eastAsia" w:ascii="宋体" w:hAnsi="宋体" w:cs="宋体"/>
          <w:b/>
          <w:bCs/>
          <w:color w:val="auto"/>
          <w:sz w:val="24"/>
          <w:highlight w:val="none"/>
        </w:rPr>
        <w:t>1、</w:t>
      </w:r>
      <w:r>
        <w:rPr>
          <w:b/>
          <w:color w:val="auto"/>
          <w:sz w:val="24"/>
          <w:highlight w:val="none"/>
        </w:rPr>
        <w:t>法定代表人亲自参加</w:t>
      </w:r>
      <w:r>
        <w:rPr>
          <w:rFonts w:hint="eastAsia"/>
          <w:b/>
          <w:color w:val="auto"/>
          <w:sz w:val="24"/>
          <w:highlight w:val="none"/>
          <w:lang w:eastAsia="zh-CN"/>
        </w:rPr>
        <w:t>谈判</w:t>
      </w:r>
      <w:r>
        <w:rPr>
          <w:b/>
          <w:color w:val="auto"/>
          <w:sz w:val="24"/>
          <w:highlight w:val="none"/>
        </w:rPr>
        <w:t>时适用本证明书。</w:t>
      </w:r>
    </w:p>
    <w:p>
      <w:pPr>
        <w:spacing w:line="360" w:lineRule="auto"/>
        <w:ind w:firstLine="482" w:firstLineChars="200"/>
        <w:rPr>
          <w:color w:val="auto"/>
          <w:highlight w:val="none"/>
        </w:rPr>
      </w:pPr>
      <w:r>
        <w:rPr>
          <w:rFonts w:hint="eastAsia" w:ascii="宋体" w:hAnsi="宋体" w:cs="宋体"/>
          <w:b/>
          <w:bCs/>
          <w:color w:val="auto"/>
          <w:sz w:val="24"/>
          <w:highlight w:val="none"/>
        </w:rPr>
        <w:t>2、身份证明材料包括居民身份证或户口本或军官证或护照等。</w:t>
      </w:r>
      <w:r>
        <w:rPr>
          <w:rFonts w:hint="eastAsia"/>
          <w:color w:val="auto"/>
          <w:highlight w:val="none"/>
        </w:rPr>
        <w:br w:type="page"/>
      </w:r>
    </w:p>
    <w:p>
      <w:pPr>
        <w:pStyle w:val="6"/>
        <w:spacing w:before="0" w:after="0" w:line="360" w:lineRule="auto"/>
        <w:jc w:val="center"/>
        <w:rPr>
          <w:rFonts w:hint="eastAsia"/>
          <w:color w:val="auto"/>
          <w:highlight w:val="none"/>
        </w:rPr>
      </w:pPr>
      <w:r>
        <w:rPr>
          <w:rFonts w:hint="eastAsia"/>
          <w:color w:val="auto"/>
          <w:highlight w:val="none"/>
        </w:rPr>
        <w:t>二、承诺函</w:t>
      </w:r>
    </w:p>
    <w:p>
      <w:pPr>
        <w:rPr>
          <w:highlight w:val="none"/>
        </w:rPr>
      </w:pPr>
    </w:p>
    <w:p>
      <w:pPr>
        <w:spacing w:line="360" w:lineRule="auto"/>
        <w:rPr>
          <w:rFonts w:ascii="宋体" w:hAnsi="宋体"/>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color w:val="auto"/>
          <w:sz w:val="24"/>
          <w:highlight w:val="none"/>
        </w:rPr>
        <w:t>（采购代理机构名称）：</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我公司作为本次采购项目的供应商，根据</w:t>
      </w:r>
      <w:r>
        <w:rPr>
          <w:rFonts w:hint="eastAsia" w:ascii="宋体"/>
          <w:color w:val="auto"/>
          <w:sz w:val="24"/>
          <w:highlight w:val="none"/>
          <w:lang w:eastAsia="zh-CN"/>
        </w:rPr>
        <w:t>谈判</w:t>
      </w:r>
      <w:r>
        <w:rPr>
          <w:rFonts w:hint="eastAsia" w:ascii="宋体"/>
          <w:color w:val="auto"/>
          <w:sz w:val="24"/>
          <w:highlight w:val="none"/>
        </w:rPr>
        <w:t>文件要求，现郑重承诺如下：</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一、具备《中华人民共和国政府采购法》第二十二条第一款和本项目规定的条件：</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（一）具有独立承担民事责任的能力；</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（二）具有良好的商业信誉和健全的财务会计制度；</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（三）具有履行合同所必需的设备和专业技术能力；</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（四）有依法缴纳税收和社会保障资金的良好记录；</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（五）参加政府采购活动前三年内，在经营活动中没有重大违法记录；</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（六）法律、行政法规规定的其他条件；</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（七）根据采购项目提出的特殊条件</w:t>
      </w:r>
      <w:r>
        <w:rPr>
          <w:rFonts w:ascii="宋体"/>
          <w:color w:val="auto"/>
          <w:sz w:val="24"/>
          <w:highlight w:val="none"/>
        </w:rPr>
        <w:t>。</w:t>
      </w:r>
    </w:p>
    <w:p>
      <w:pPr>
        <w:widowControl/>
        <w:spacing w:line="276" w:lineRule="auto"/>
        <w:ind w:firstLine="480" w:firstLineChars="200"/>
        <w:jc w:val="left"/>
        <w:rPr>
          <w:rFonts w:ascii="宋体"/>
          <w:color w:val="auto"/>
          <w:sz w:val="24"/>
          <w:highlight w:val="none"/>
        </w:rPr>
      </w:pPr>
      <w:r>
        <w:rPr>
          <w:rFonts w:ascii="宋体"/>
          <w:color w:val="auto"/>
          <w:sz w:val="24"/>
          <w:highlight w:val="none"/>
        </w:rPr>
        <w:t>二、完全接受和满足本项目</w:t>
      </w:r>
      <w:r>
        <w:rPr>
          <w:rFonts w:hint="eastAsia" w:ascii="宋体"/>
          <w:color w:val="auto"/>
          <w:sz w:val="24"/>
          <w:highlight w:val="none"/>
          <w:lang w:eastAsia="zh-CN"/>
        </w:rPr>
        <w:t>谈判</w:t>
      </w:r>
      <w:r>
        <w:rPr>
          <w:rFonts w:hint="eastAsia" w:ascii="宋体"/>
          <w:color w:val="auto"/>
          <w:sz w:val="24"/>
          <w:highlight w:val="none"/>
        </w:rPr>
        <w:t>文件</w:t>
      </w:r>
      <w:r>
        <w:rPr>
          <w:rFonts w:ascii="宋体"/>
          <w:color w:val="auto"/>
          <w:sz w:val="24"/>
          <w:highlight w:val="none"/>
        </w:rPr>
        <w:t>中规定的实质性要求，如对</w:t>
      </w:r>
      <w:r>
        <w:rPr>
          <w:rFonts w:hint="eastAsia" w:ascii="宋体"/>
          <w:color w:val="auto"/>
          <w:sz w:val="24"/>
          <w:highlight w:val="none"/>
          <w:lang w:eastAsia="zh-CN"/>
        </w:rPr>
        <w:t>谈判</w:t>
      </w:r>
      <w:r>
        <w:rPr>
          <w:rFonts w:hint="eastAsia" w:ascii="宋体"/>
          <w:color w:val="auto"/>
          <w:sz w:val="24"/>
          <w:highlight w:val="none"/>
        </w:rPr>
        <w:t>文件</w:t>
      </w:r>
      <w:r>
        <w:rPr>
          <w:rFonts w:ascii="宋体"/>
          <w:color w:val="auto"/>
          <w:sz w:val="24"/>
          <w:highlight w:val="none"/>
        </w:rPr>
        <w:t>有异议，</w:t>
      </w:r>
      <w:r>
        <w:rPr>
          <w:rFonts w:hint="eastAsia" w:ascii="宋体"/>
          <w:color w:val="auto"/>
          <w:sz w:val="24"/>
          <w:highlight w:val="none"/>
        </w:rPr>
        <w:t>已经在</w:t>
      </w:r>
      <w:r>
        <w:rPr>
          <w:rFonts w:hint="eastAsia" w:ascii="宋体"/>
          <w:color w:val="auto"/>
          <w:sz w:val="24"/>
          <w:highlight w:val="none"/>
          <w:lang w:eastAsia="zh-CN"/>
        </w:rPr>
        <w:t>谈判</w:t>
      </w:r>
      <w:r>
        <w:rPr>
          <w:rFonts w:hint="eastAsia" w:ascii="宋体"/>
          <w:color w:val="auto"/>
          <w:sz w:val="24"/>
          <w:highlight w:val="none"/>
        </w:rPr>
        <w:t>文件递交截止时间届满前依法进行维权救济，不存在对</w:t>
      </w:r>
      <w:r>
        <w:rPr>
          <w:rFonts w:hint="eastAsia" w:ascii="宋体"/>
          <w:color w:val="auto"/>
          <w:sz w:val="24"/>
          <w:highlight w:val="none"/>
          <w:lang w:eastAsia="zh-CN"/>
        </w:rPr>
        <w:t>谈判</w:t>
      </w:r>
      <w:r>
        <w:rPr>
          <w:rFonts w:hint="eastAsia" w:ascii="宋体"/>
          <w:color w:val="auto"/>
          <w:sz w:val="24"/>
          <w:highlight w:val="none"/>
        </w:rPr>
        <w:t>文件有异议的同时又参加</w:t>
      </w:r>
      <w:r>
        <w:rPr>
          <w:rFonts w:hint="eastAsia" w:ascii="宋体"/>
          <w:color w:val="auto"/>
          <w:sz w:val="24"/>
          <w:highlight w:val="none"/>
          <w:lang w:eastAsia="zh-CN"/>
        </w:rPr>
        <w:t>谈判</w:t>
      </w:r>
      <w:r>
        <w:rPr>
          <w:rFonts w:ascii="宋体"/>
          <w:color w:val="auto"/>
          <w:sz w:val="24"/>
          <w:highlight w:val="none"/>
        </w:rPr>
        <w:t>以求侥幸</w:t>
      </w:r>
      <w:r>
        <w:rPr>
          <w:rFonts w:hint="eastAsia" w:ascii="宋体"/>
          <w:color w:val="auto"/>
          <w:sz w:val="24"/>
          <w:highlight w:val="none"/>
        </w:rPr>
        <w:t>成交</w:t>
      </w:r>
      <w:r>
        <w:rPr>
          <w:rFonts w:ascii="宋体"/>
          <w:color w:val="auto"/>
          <w:sz w:val="24"/>
          <w:highlight w:val="none"/>
        </w:rPr>
        <w:t>或者为实现其他非法目的的行为。</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三、参加本次</w:t>
      </w:r>
      <w:r>
        <w:rPr>
          <w:rFonts w:hint="eastAsia" w:ascii="宋体"/>
          <w:color w:val="auto"/>
          <w:sz w:val="24"/>
          <w:highlight w:val="none"/>
          <w:lang w:eastAsia="zh-CN"/>
        </w:rPr>
        <w:t>谈判</w:t>
      </w:r>
      <w:r>
        <w:rPr>
          <w:rFonts w:hint="eastAsia" w:ascii="宋体"/>
          <w:color w:val="auto"/>
          <w:sz w:val="24"/>
          <w:highlight w:val="none"/>
        </w:rPr>
        <w:t>采购活动，不存在与单位负责人为同一人或者存在直接控股、管理关系的其他供应商参与同一合同项下的政府采购活动的行为。</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四、参加本次</w:t>
      </w:r>
      <w:r>
        <w:rPr>
          <w:rFonts w:hint="eastAsia" w:ascii="宋体"/>
          <w:color w:val="auto"/>
          <w:sz w:val="24"/>
          <w:highlight w:val="none"/>
          <w:lang w:eastAsia="zh-CN"/>
        </w:rPr>
        <w:t>谈判</w:t>
      </w:r>
      <w:r>
        <w:rPr>
          <w:rFonts w:hint="eastAsia" w:ascii="宋体"/>
          <w:color w:val="auto"/>
          <w:sz w:val="24"/>
          <w:highlight w:val="none"/>
        </w:rPr>
        <w:t>采购活动，不存在和其他供应商在同一合同项下的采购项目中，同时委托同一个自然人、同一家庭的人员、同一单位的人员作为代理人的行为。本供应商未对本次采购项目提供过整体设计、规范编制或者项目管理、监理、检测等服务。未为采购人、采购代理机构在确定采购需求、编制采购文件过程中提供咨询论证。</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五、如果有《四川省政府采购当事人诚信管理办法》（川财采[2015]33号）规定的记入诚信档案的失信行为，将在响应文件中全面如实反映。</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六、截至响应文件递交截止日未被列入失信被执行人、重大税收违法案件当事人名单、政府采购严重违法失信行为记录名单。</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七、如本项目评标过程中需要提供样品，则我公司提供的样品即为成交后将要提供的成交产品，我公司对提供样品的性能和质量负责，因样品存在缺陷或者不符合采购文件要求导致未能成交的，我公司愿意承担相应不利后果。</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八、我公司及其现任法定代表人（非法人机构则为主要负责人）不具有行贿犯罪记录。</w:t>
      </w:r>
    </w:p>
    <w:p>
      <w:pPr>
        <w:widowControl/>
        <w:spacing w:line="276" w:lineRule="auto"/>
        <w:ind w:firstLine="480" w:firstLineChars="200"/>
        <w:jc w:val="left"/>
        <w:rPr>
          <w:rFonts w:ascii="宋体"/>
          <w:color w:val="auto"/>
          <w:sz w:val="24"/>
          <w:highlight w:val="none"/>
        </w:rPr>
      </w:pPr>
      <w:r>
        <w:rPr>
          <w:rFonts w:hint="eastAsia" w:ascii="宋体"/>
          <w:color w:val="auto"/>
          <w:sz w:val="24"/>
          <w:highlight w:val="none"/>
        </w:rPr>
        <w:t>本公司对上述承诺的内容事项真实性负责。如经查实上述承诺的内容事项存在虚假，我公司愿意接受以提供虚假材料谋取成交追究法律责任。</w:t>
      </w:r>
    </w:p>
    <w:p>
      <w:pPr>
        <w:adjustRightInd w:val="0"/>
        <w:spacing w:line="360" w:lineRule="auto"/>
        <w:ind w:firstLine="480" w:firstLineChars="200"/>
        <w:jc w:val="left"/>
        <w:rPr>
          <w:rFonts w:ascii="宋体" w:hAnsi="宋体"/>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rPr>
          <w:rFonts w:ascii="宋体" w:hAnsi="宋体"/>
          <w:color w:val="auto"/>
          <w:sz w:val="24"/>
          <w:highlight w:val="none"/>
        </w:rPr>
      </w:pPr>
      <w:r>
        <w:rPr>
          <w:rFonts w:ascii="宋体" w:hAnsi="宋体"/>
          <w:color w:val="auto"/>
          <w:sz w:val="24"/>
          <w:highlight w:val="none"/>
        </w:rPr>
        <w:br w:type="page"/>
      </w:r>
    </w:p>
    <w:p>
      <w:pPr>
        <w:pStyle w:val="6"/>
        <w:spacing w:before="0" w:after="0" w:line="360" w:lineRule="auto"/>
        <w:jc w:val="center"/>
        <w:outlineLvl w:val="1"/>
        <w:rPr>
          <w:rStyle w:val="63"/>
          <w:rFonts w:hint="eastAsia" w:ascii="宋体" w:hAnsi="宋体" w:eastAsia="宋体" w:cs="宋体"/>
          <w:b/>
          <w:bCs/>
          <w:color w:val="auto"/>
          <w:kern w:val="2"/>
          <w:highlight w:val="none"/>
          <w:lang w:val="en-US" w:eastAsia="zh-CN" w:bidi="ar-SA"/>
        </w:rPr>
      </w:pPr>
      <w:r>
        <w:rPr>
          <w:rStyle w:val="62"/>
          <w:rFonts w:hint="eastAsia"/>
          <w:b/>
          <w:bCs/>
          <w:highlight w:val="none"/>
          <w:lang w:eastAsia="zh-CN"/>
        </w:rPr>
        <w:t>三、</w:t>
      </w:r>
      <w:r>
        <w:rPr>
          <w:rStyle w:val="63"/>
          <w:rFonts w:hint="eastAsia" w:ascii="宋体" w:hAnsi="宋体" w:eastAsia="宋体" w:cs="宋体"/>
          <w:b/>
          <w:bCs/>
          <w:color w:val="auto"/>
          <w:kern w:val="2"/>
          <w:highlight w:val="none"/>
          <w:lang w:val="en-US" w:eastAsia="zh-CN" w:bidi="ar-SA"/>
        </w:rPr>
        <w:t>中小企业声明函</w:t>
      </w:r>
    </w:p>
    <w:p>
      <w:pPr>
        <w:keepNext w:val="0"/>
        <w:keepLines w:val="0"/>
        <w:pageBreakBefore w:val="0"/>
        <w:widowControl w:val="0"/>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本公司郑重声明，根据《政府采购促进中小企业发展管理办法》（财库〔2020）46号）的规定，本公司参加</w:t>
      </w:r>
      <w:r>
        <w:rPr>
          <w:rFonts w:hint="eastAsia" w:ascii="宋体" w:hAnsi="宋体"/>
          <w:color w:val="auto"/>
          <w:sz w:val="24"/>
          <w:highlight w:val="none"/>
          <w:u w:val="single"/>
        </w:rPr>
        <w:t xml:space="preserve">       </w:t>
      </w:r>
      <w:r>
        <w:rPr>
          <w:rFonts w:hint="eastAsia" w:ascii="宋体" w:hAnsi="宋体"/>
          <w:color w:val="auto"/>
          <w:sz w:val="24"/>
          <w:highlight w:val="none"/>
        </w:rPr>
        <w:t>（单位名称）的</w:t>
      </w:r>
      <w:r>
        <w:rPr>
          <w:rFonts w:hint="eastAsia" w:ascii="宋体" w:hAnsi="宋体"/>
          <w:color w:val="auto"/>
          <w:sz w:val="24"/>
          <w:highlight w:val="none"/>
          <w:u w:val="single"/>
        </w:rPr>
        <w:t xml:space="preserve">        </w:t>
      </w:r>
      <w:r>
        <w:rPr>
          <w:rFonts w:hint="eastAsia" w:ascii="宋体" w:hAnsi="宋体"/>
          <w:color w:val="auto"/>
          <w:sz w:val="24"/>
          <w:highlight w:val="none"/>
        </w:rPr>
        <w:t>（项目名称）釆购活动,提供的货物全部由符合政策要求的中小企业制造。相关企业（含联合体中的中小企业、签订分包意向协议的中小企业）的具体情况如下：</w:t>
      </w:r>
    </w:p>
    <w:p>
      <w:pPr>
        <w:keepNext w:val="0"/>
        <w:keepLines w:val="0"/>
        <w:pageBreakBefore w:val="0"/>
        <w:widowControl w:val="0"/>
        <w:numPr>
          <w:ilvl w:val="0"/>
          <w:numId w:val="4"/>
        </w:numPr>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（标的名称），属于</w:t>
      </w:r>
      <w:r>
        <w:rPr>
          <w:rFonts w:hint="eastAsia" w:ascii="宋体" w:hAnsi="宋体"/>
          <w:color w:val="auto"/>
          <w:sz w:val="24"/>
          <w:highlight w:val="none"/>
          <w:u w:val="single"/>
          <w:lang w:val="en-US" w:eastAsia="zh-CN"/>
        </w:rPr>
        <w:t>工业</w:t>
      </w:r>
      <w:r>
        <w:rPr>
          <w:rFonts w:hint="eastAsia" w:ascii="宋体" w:hAnsi="宋体"/>
          <w:color w:val="auto"/>
          <w:sz w:val="24"/>
          <w:highlight w:val="none"/>
        </w:rPr>
        <w:t>（釆购文件中明确的所属行业）、</w:t>
      </w:r>
      <w:r>
        <w:rPr>
          <w:rFonts w:hint="eastAsia" w:ascii="宋体" w:hAnsi="宋体"/>
          <w:color w:val="auto"/>
          <w:sz w:val="24"/>
          <w:highlight w:val="none"/>
          <w:lang w:val="en-US" w:eastAsia="zh-CN"/>
        </w:rPr>
        <w:t>制造商</w:t>
      </w:r>
      <w:r>
        <w:rPr>
          <w:rFonts w:hint="eastAsia" w:ascii="宋体" w:hAnsi="宋体"/>
          <w:color w:val="auto"/>
          <w:sz w:val="24"/>
          <w:highlight w:val="none"/>
        </w:rPr>
        <w:t>为</w:t>
      </w:r>
      <w:r>
        <w:rPr>
          <w:rFonts w:hint="eastAsia" w:ascii="宋体" w:hAnsi="宋体"/>
          <w:color w:val="auto"/>
          <w:sz w:val="24"/>
          <w:highlight w:val="none"/>
          <w:u w:val="single"/>
        </w:rPr>
        <w:t xml:space="preserve">          </w:t>
      </w:r>
      <w:r>
        <w:rPr>
          <w:rFonts w:hint="eastAsia" w:ascii="宋体" w:hAnsi="宋体"/>
          <w:color w:val="auto"/>
          <w:sz w:val="24"/>
          <w:highlight w:val="none"/>
        </w:rPr>
        <w:t>（企业名称）,从业人员</w:t>
      </w:r>
      <w:r>
        <w:rPr>
          <w:rFonts w:hint="eastAsia" w:ascii="宋体" w:hAnsi="宋体"/>
          <w:color w:val="auto"/>
          <w:sz w:val="24"/>
          <w:highlight w:val="none"/>
          <w:u w:val="single"/>
        </w:rPr>
        <w:t xml:space="preserve">        </w:t>
      </w:r>
      <w:r>
        <w:rPr>
          <w:rFonts w:hint="eastAsia" w:ascii="宋体" w:hAnsi="宋体"/>
          <w:color w:val="auto"/>
          <w:sz w:val="24"/>
          <w:highlight w:val="none"/>
        </w:rPr>
        <w:t>人，营业收入为</w:t>
      </w:r>
      <w:r>
        <w:rPr>
          <w:rFonts w:hint="eastAsia" w:ascii="宋体" w:hAnsi="宋体"/>
          <w:color w:val="auto"/>
          <w:sz w:val="24"/>
          <w:highlight w:val="none"/>
          <w:u w:val="single"/>
        </w:rPr>
        <w:t xml:space="preserve">        </w:t>
      </w:r>
      <w:r>
        <w:rPr>
          <w:rFonts w:hint="eastAsia" w:ascii="宋体" w:hAnsi="宋体"/>
          <w:color w:val="auto"/>
          <w:sz w:val="24"/>
          <w:highlight w:val="none"/>
        </w:rPr>
        <w:t>万元，资产总额为</w:t>
      </w:r>
      <w:r>
        <w:rPr>
          <w:rFonts w:hint="eastAsia" w:ascii="宋体" w:hAnsi="宋体"/>
          <w:color w:val="auto"/>
          <w:sz w:val="24"/>
          <w:highlight w:val="none"/>
          <w:u w:val="single"/>
        </w:rPr>
        <w:t xml:space="preserve">        </w:t>
      </w:r>
      <w:r>
        <w:rPr>
          <w:rFonts w:hint="eastAsia" w:ascii="宋体" w:hAnsi="宋体"/>
          <w:color w:val="auto"/>
          <w:sz w:val="24"/>
          <w:highlight w:val="none"/>
        </w:rPr>
        <w:t>万元属于</w:t>
      </w:r>
      <w:r>
        <w:rPr>
          <w:rFonts w:hint="eastAsia" w:ascii="宋体" w:hAnsi="宋体"/>
          <w:color w:val="auto"/>
          <w:sz w:val="24"/>
          <w:highlight w:val="none"/>
          <w:u w:val="single"/>
        </w:rPr>
        <w:t xml:space="preserve">      </w:t>
      </w:r>
      <w:r>
        <w:rPr>
          <w:rFonts w:hint="eastAsia" w:ascii="宋体" w:hAnsi="宋体"/>
          <w:color w:val="auto"/>
          <w:sz w:val="24"/>
          <w:highlight w:val="none"/>
        </w:rPr>
        <w:t>（中型企业、小型企业、微型企业）。</w:t>
      </w:r>
    </w:p>
    <w:p>
      <w:pPr>
        <w:keepNext w:val="0"/>
        <w:keepLines w:val="0"/>
        <w:pageBreakBefore w:val="0"/>
        <w:widowControl w:val="0"/>
        <w:kinsoku/>
        <w:wordWrap/>
        <w:overflowPunct/>
        <w:topLinePunct w:val="0"/>
        <w:autoSpaceDE/>
        <w:autoSpaceDN/>
        <w:bidi w:val="0"/>
        <w:adjustRightInd w:val="0"/>
        <w:snapToGrid/>
        <w:spacing w:after="0" w:line="360" w:lineRule="auto"/>
        <w:ind w:firstLine="482" w:firstLineChars="200"/>
        <w:jc w:val="left"/>
        <w:textAlignment w:val="auto"/>
        <w:rPr>
          <w:rFonts w:ascii="宋体" w:hAnsi="宋体"/>
          <w:b/>
          <w:bCs/>
          <w:color w:val="auto"/>
          <w:sz w:val="24"/>
          <w:highlight w:val="none"/>
        </w:rPr>
      </w:pPr>
      <w:r>
        <w:rPr>
          <w:rFonts w:hint="eastAsia" w:ascii="宋体" w:hAnsi="宋体"/>
          <w:b/>
          <w:bCs/>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after="0" w:line="360" w:lineRule="auto"/>
        <w:ind w:firstLine="480" w:firstLineChars="200"/>
        <w:jc w:val="left"/>
        <w:textAlignment w:val="auto"/>
        <w:rPr>
          <w:rFonts w:ascii="宋体" w:hAnsi="宋体"/>
          <w:color w:val="auto"/>
          <w:sz w:val="24"/>
          <w:highlight w:val="none"/>
        </w:rPr>
      </w:pPr>
      <w:r>
        <w:rPr>
          <w:rFonts w:hint="eastAsia" w:ascii="宋体" w:hAnsi="宋体"/>
          <w:color w:val="auto"/>
          <w:sz w:val="24"/>
          <w:highlight w:val="none"/>
          <w:lang w:val="en-US" w:eastAsia="zh-CN"/>
        </w:rPr>
        <w:t>供应商</w:t>
      </w:r>
      <w:r>
        <w:rPr>
          <w:rFonts w:hint="eastAsia" w:ascii="宋体" w:hAnsi="宋体"/>
          <w:color w:val="auto"/>
          <w:sz w:val="24"/>
          <w:highlight w:val="none"/>
        </w:rPr>
        <w:t>名称（盖章）：</w:t>
      </w:r>
      <w:r>
        <w:rPr>
          <w:rFonts w:hint="eastAsia" w:ascii="宋体" w:hAnsi="宋体"/>
          <w:color w:val="auto"/>
          <w:sz w:val="24"/>
          <w:highlight w:val="none"/>
          <w:u w:val="single"/>
        </w:rPr>
        <w:t xml:space="preserve">                      </w:t>
      </w:r>
    </w:p>
    <w:p>
      <w:pPr>
        <w:keepNext w:val="0"/>
        <w:keepLines w:val="0"/>
        <w:pageBreakBefore w:val="0"/>
        <w:widowControl w:val="0"/>
        <w:kinsoku/>
        <w:wordWrap/>
        <w:overflowPunct/>
        <w:topLinePunct w:val="0"/>
        <w:autoSpaceDE/>
        <w:autoSpaceDN/>
        <w:bidi w:val="0"/>
        <w:snapToGrid/>
        <w:spacing w:after="0" w:line="360"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pStyle w:val="2"/>
        <w:rPr>
          <w:color w:val="auto"/>
          <w:highlight w:val="none"/>
        </w:rPr>
      </w:pP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注：1.从业人员、营业收入、资产总额填报上一年度数据，无上一年度数据的新成立企业可不填报。</w:t>
      </w:r>
    </w:p>
    <w:p>
      <w:pPr>
        <w:spacing w:after="0" w:line="360" w:lineRule="auto"/>
        <w:jc w:val="center"/>
        <w:outlineLvl w:val="1"/>
        <w:rPr>
          <w:rStyle w:val="63"/>
          <w:rFonts w:hint="eastAsia" w:ascii="宋体" w:hAnsi="宋体" w:eastAsia="宋体" w:cs="宋体"/>
          <w:color w:val="auto"/>
          <w:kern w:val="2"/>
          <w:highlight w:val="none"/>
          <w:lang w:val="en-US" w:eastAsia="zh-CN" w:bidi="ar-SA"/>
        </w:rPr>
      </w:pPr>
      <w:r>
        <w:rPr>
          <w:rFonts w:hint="eastAsia" w:ascii="宋体" w:hAnsi="宋体" w:cs="宋体"/>
          <w:color w:val="auto"/>
          <w:sz w:val="24"/>
          <w:highlight w:val="none"/>
        </w:rPr>
        <w:br w:type="page"/>
      </w:r>
      <w:r>
        <w:rPr>
          <w:rStyle w:val="63"/>
          <w:rFonts w:hint="eastAsia" w:ascii="宋体" w:hAnsi="宋体" w:eastAsia="宋体" w:cs="宋体"/>
          <w:color w:val="auto"/>
          <w:kern w:val="2"/>
          <w:highlight w:val="none"/>
          <w:lang w:val="en-US" w:eastAsia="zh-CN" w:bidi="ar-SA"/>
        </w:rPr>
        <w:t>四、监狱企业</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根据《政府采购支持监狱企业发展有关问题的通知》（财库〔2014〕68号）的规定监狱企业参加采购活动的，应提供由省级以上监狱管理局、戒毒管理局(含新疆生产建设兵团)出具的属于监狱企业的证明文件。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供应商</w:t>
      </w:r>
      <w:r>
        <w:rPr>
          <w:rFonts w:hint="eastAsia" w:ascii="宋体" w:hAnsi="宋体" w:eastAsia="宋体" w:cs="宋体"/>
          <w:color w:val="auto"/>
          <w:sz w:val="24"/>
          <w:highlight w:val="none"/>
        </w:rPr>
        <w:t>符合《政府采购支持监狱企业发展有关问题的通知》（财库〔2014〕68号）规定的划分标准为监狱企业适用。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highlight w:val="none"/>
        </w:rPr>
      </w:pPr>
      <w:r>
        <w:rPr>
          <w:rFonts w:hint="eastAsia" w:ascii="宋体" w:hAnsi="宋体" w:eastAsia="宋体" w:cs="宋体"/>
          <w:color w:val="auto"/>
          <w:sz w:val="24"/>
          <w:highlight w:val="none"/>
        </w:rPr>
        <w:t>2、在政府采购活动中，监狱企业视同小型、微型企业，享受预留份额、评审中价格扣除等政府采购促进中小企业发展的政府采购政策。</w:t>
      </w:r>
      <w:r>
        <w:rPr>
          <w:rFonts w:hint="eastAsia" w:ascii="宋体" w:hAnsi="宋体" w:cs="宋体"/>
          <w:color w:val="auto"/>
          <w:sz w:val="24"/>
          <w:highlight w:val="none"/>
        </w:rPr>
        <w:br w:type="page"/>
      </w:r>
    </w:p>
    <w:p>
      <w:pPr>
        <w:pStyle w:val="6"/>
        <w:spacing w:before="0" w:after="0" w:line="360" w:lineRule="auto"/>
        <w:jc w:val="center"/>
        <w:rPr>
          <w:rFonts w:ascii="仿宋" w:hAnsi="仿宋" w:eastAsia="仿宋" w:cs="宋体"/>
          <w:color w:val="auto"/>
          <w:spacing w:val="6"/>
          <w:sz w:val="24"/>
          <w:highlight w:val="none"/>
        </w:rPr>
      </w:pPr>
      <w:r>
        <w:rPr>
          <w:rFonts w:hint="eastAsia"/>
          <w:color w:val="auto"/>
          <w:highlight w:val="none"/>
          <w:lang w:eastAsia="zh-CN"/>
        </w:rPr>
        <w:t>五、</w:t>
      </w:r>
      <w:r>
        <w:rPr>
          <w:rFonts w:hint="eastAsia"/>
          <w:color w:val="auto"/>
          <w:highlight w:val="none"/>
        </w:rPr>
        <w:t>残疾人福利性单位声明函</w:t>
      </w:r>
    </w:p>
    <w:p>
      <w:pPr>
        <w:spacing w:line="360" w:lineRule="auto"/>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 141</w:t>
      </w:r>
      <w:r>
        <w:rPr>
          <w:rFonts w:hint="eastAsia" w:ascii="宋体" w:hAnsi="宋体" w:cs="宋体"/>
          <w:color w:val="auto"/>
          <w:spacing w:val="6"/>
          <w:sz w:val="24"/>
          <w:highlight w:val="none"/>
        </w:rPr>
        <w:t>号）的规定，本单位为符合条件的残疾人福利性单位，且本单位参加</w:t>
      </w:r>
      <w:r>
        <w:rPr>
          <w:rFonts w:hint="eastAsia" w:ascii="宋体" w:hAnsi="宋体" w:cs="宋体"/>
          <w:color w:val="auto"/>
          <w:sz w:val="24"/>
          <w:highlight w:val="none"/>
          <w:u w:val="single"/>
        </w:rPr>
        <w:t xml:space="preserve"> XXXX </w:t>
      </w:r>
      <w:r>
        <w:rPr>
          <w:rFonts w:hint="eastAsia" w:ascii="宋体" w:hAnsi="宋体" w:cs="宋体"/>
          <w:color w:val="auto"/>
          <w:spacing w:val="6"/>
          <w:sz w:val="24"/>
          <w:highlight w:val="none"/>
        </w:rPr>
        <w:t>单位的</w:t>
      </w:r>
      <w:r>
        <w:rPr>
          <w:rFonts w:hint="eastAsia" w:ascii="宋体" w:hAnsi="宋体" w:cs="宋体"/>
          <w:color w:val="auto"/>
          <w:sz w:val="24"/>
          <w:highlight w:val="none"/>
          <w:u w:val="single"/>
        </w:rPr>
        <w:t xml:space="preserve"> XXXX </w:t>
      </w:r>
      <w:r>
        <w:rPr>
          <w:rFonts w:hint="eastAsia" w:ascii="宋体" w:hAnsi="宋体" w:cs="宋体"/>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line="588" w:lineRule="exact"/>
        <w:rPr>
          <w:rFonts w:ascii="仿宋" w:hAnsi="仿宋" w:eastAsia="仿宋" w:cs="宋体"/>
          <w:color w:val="auto"/>
          <w:spacing w:val="6"/>
          <w:sz w:val="24"/>
          <w:highlight w:val="none"/>
        </w:rPr>
      </w:pPr>
    </w:p>
    <w:p>
      <w:pPr>
        <w:spacing w:line="588" w:lineRule="exact"/>
        <w:rPr>
          <w:rFonts w:ascii="仿宋" w:hAnsi="仿宋" w:eastAsia="仿宋" w:cs="宋体"/>
          <w:color w:val="auto"/>
          <w:spacing w:val="6"/>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spacing w:line="360" w:lineRule="auto"/>
        <w:rPr>
          <w:rFonts w:ascii="仿宋" w:hAnsi="仿宋" w:eastAsia="仿宋"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注：</w:t>
      </w:r>
    </w:p>
    <w:p>
      <w:pPr>
        <w:spacing w:after="160" w:line="360" w:lineRule="auto"/>
        <w:rPr>
          <w:rFonts w:ascii="宋体" w:hAnsi="宋体" w:cs="宋体"/>
          <w:color w:val="auto"/>
          <w:sz w:val="24"/>
          <w:highlight w:val="none"/>
        </w:rPr>
      </w:pPr>
      <w:r>
        <w:rPr>
          <w:rFonts w:hint="eastAsia" w:ascii="宋体" w:hAnsi="宋体" w:cs="宋体"/>
          <w:color w:val="auto"/>
          <w:sz w:val="24"/>
          <w:highlight w:val="none"/>
        </w:rPr>
        <w:t>1.残疾人福利性单位视同小型、微型企业，享受预留份额、评审中价格扣除等促进中小企业发展的政府采购政策。残疾人福利性单位属于小型、微型企业的，不重复享受政策。</w:t>
      </w:r>
    </w:p>
    <w:p>
      <w:pPr>
        <w:spacing w:after="160" w:line="360" w:lineRule="auto"/>
        <w:rPr>
          <w:rFonts w:ascii="宋体" w:hAnsi="宋体" w:cs="宋体"/>
          <w:b/>
          <w:bCs/>
          <w:color w:val="auto"/>
          <w:sz w:val="24"/>
          <w:highlight w:val="none"/>
        </w:rPr>
      </w:pPr>
      <w:r>
        <w:rPr>
          <w:rFonts w:hint="eastAsia" w:ascii="宋体" w:hAnsi="宋体" w:cs="宋体"/>
          <w:b/>
          <w:bCs/>
          <w:color w:val="auto"/>
          <w:sz w:val="24"/>
          <w:highlight w:val="none"/>
        </w:rPr>
        <w:t>2.供应商为非残疾人福利性单位的，可不提供此声明。</w:t>
      </w:r>
    </w:p>
    <w:p>
      <w:pPr>
        <w:numPr>
          <w:ilvl w:val="0"/>
          <w:numId w:val="5"/>
        </w:numPr>
        <w:spacing w:line="440" w:lineRule="exact"/>
        <w:jc w:val="left"/>
        <w:rPr>
          <w:rFonts w:hint="eastAsia" w:ascii="宋体" w:hAnsi="宋体" w:eastAsia="宋体" w:cs="宋体"/>
          <w:b/>
          <w:color w:val="auto"/>
          <w:sz w:val="32"/>
          <w:szCs w:val="32"/>
          <w:highlight w:val="none"/>
        </w:rPr>
      </w:pPr>
      <w:r>
        <w:rPr>
          <w:rFonts w:hint="eastAsia"/>
          <w:color w:val="auto"/>
          <w:highlight w:val="none"/>
        </w:rPr>
        <w:br w:type="page"/>
      </w:r>
    </w:p>
    <w:p>
      <w:pPr>
        <w:pStyle w:val="6"/>
        <w:spacing w:before="0" w:after="0" w:line="360" w:lineRule="auto"/>
        <w:jc w:val="center"/>
        <w:rPr>
          <w:color w:val="auto"/>
          <w:highlight w:val="none"/>
        </w:rPr>
      </w:pPr>
      <w:bookmarkStart w:id="125" w:name="_Toc4159_WPSOffice_Level2"/>
      <w:bookmarkStart w:id="126" w:name="_Toc31492_WPSOffice_Level2"/>
      <w:r>
        <w:rPr>
          <w:rFonts w:hint="eastAsia"/>
          <w:color w:val="auto"/>
          <w:highlight w:val="none"/>
          <w:lang w:eastAsia="zh-CN"/>
        </w:rPr>
        <w:t>六</w:t>
      </w:r>
      <w:r>
        <w:rPr>
          <w:rFonts w:hint="eastAsia"/>
          <w:color w:val="auto"/>
          <w:highlight w:val="none"/>
        </w:rPr>
        <w:t>、其他资格证明资料及相关说明等</w:t>
      </w:r>
      <w:bookmarkEnd w:id="125"/>
      <w:bookmarkEnd w:id="126"/>
    </w:p>
    <w:p>
      <w:pPr>
        <w:adjustRightInd w:val="0"/>
        <w:snapToGrid w:val="0"/>
        <w:spacing w:after="156" w:afterLines="5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对照“第四章  </w:t>
      </w:r>
      <w:r>
        <w:rPr>
          <w:rFonts w:hint="eastAsia" w:hAnsi="宋体" w:cs="宋体"/>
          <w:color w:val="auto"/>
          <w:sz w:val="24"/>
          <w:highlight w:val="none"/>
        </w:rPr>
        <w:t>供应商资格证明材料</w:t>
      </w:r>
      <w:r>
        <w:rPr>
          <w:rFonts w:hint="eastAsia" w:ascii="宋体" w:hAnsi="宋体" w:cs="宋体"/>
          <w:color w:val="auto"/>
          <w:sz w:val="24"/>
          <w:highlight w:val="none"/>
        </w:rPr>
        <w:t>”等具体要求提供。</w:t>
      </w:r>
    </w:p>
    <w:p>
      <w:pPr>
        <w:autoSpaceDE w:val="0"/>
        <w:autoSpaceDN w:val="0"/>
        <w:adjustRightInd w:val="0"/>
        <w:spacing w:line="520" w:lineRule="exact"/>
        <w:ind w:firstLine="602" w:firstLineChars="200"/>
        <w:jc w:val="center"/>
        <w:rPr>
          <w:rFonts w:ascii="宋体" w:hAnsi="宋体"/>
          <w:color w:val="auto"/>
          <w:sz w:val="28"/>
          <w:highlight w:val="none"/>
        </w:rPr>
      </w:pPr>
      <w:r>
        <w:rPr>
          <w:rFonts w:ascii="宋体" w:hAnsi="宋体"/>
          <w:b/>
          <w:color w:val="auto"/>
          <w:sz w:val="30"/>
          <w:szCs w:val="30"/>
          <w:highlight w:val="none"/>
        </w:rPr>
        <w:br w:type="page"/>
      </w:r>
      <w:bookmarkStart w:id="127" w:name="_Toc11589_WPSOffice_Level2"/>
      <w:bookmarkStart w:id="128" w:name="_Toc18398_WPSOffice_Level2"/>
      <w:r>
        <w:rPr>
          <w:rFonts w:hint="eastAsia" w:ascii="宋体" w:hAnsi="宋体"/>
          <w:color w:val="auto"/>
          <w:sz w:val="28"/>
          <w:highlight w:val="none"/>
        </w:rPr>
        <w:t>（封面格式）</w:t>
      </w:r>
      <w:bookmarkEnd w:id="127"/>
      <w:bookmarkEnd w:id="128"/>
    </w:p>
    <w:p>
      <w:pPr>
        <w:autoSpaceDE w:val="0"/>
        <w:autoSpaceDN w:val="0"/>
        <w:adjustRightInd w:val="0"/>
        <w:ind w:firstLine="1680" w:firstLineChars="200"/>
        <w:jc w:val="center"/>
        <w:rPr>
          <w:rFonts w:ascii="宋体" w:hAnsi="宋体"/>
          <w:color w:val="auto"/>
          <w:sz w:val="84"/>
          <w:szCs w:val="84"/>
          <w:highlight w:val="none"/>
        </w:rPr>
      </w:pPr>
    </w:p>
    <w:p>
      <w:pPr>
        <w:autoSpaceDE w:val="0"/>
        <w:autoSpaceDN w:val="0"/>
        <w:adjustRightInd w:val="0"/>
        <w:ind w:firstLine="1680" w:firstLineChars="200"/>
        <w:rPr>
          <w:rFonts w:hint="eastAsia" w:ascii="宋体" w:hAnsi="宋体" w:eastAsia="宋体"/>
          <w:color w:val="auto"/>
          <w:sz w:val="84"/>
          <w:szCs w:val="84"/>
          <w:highlight w:val="none"/>
          <w:lang w:eastAsia="zh-CN"/>
        </w:rPr>
      </w:pPr>
      <w:r>
        <w:rPr>
          <w:rFonts w:hint="eastAsia" w:ascii="宋体" w:hAnsi="宋体"/>
          <w:color w:val="auto"/>
          <w:sz w:val="84"/>
          <w:szCs w:val="84"/>
          <w:highlight w:val="none"/>
          <w:lang w:eastAsia="zh-CN"/>
        </w:rPr>
        <w:t>其他响应文件</w:t>
      </w:r>
    </w:p>
    <w:p>
      <w:pPr>
        <w:autoSpaceDE w:val="0"/>
        <w:autoSpaceDN w:val="0"/>
        <w:adjustRightInd w:val="0"/>
        <w:spacing w:line="520" w:lineRule="exact"/>
        <w:ind w:firstLine="880" w:firstLineChars="200"/>
        <w:jc w:val="center"/>
        <w:rPr>
          <w:rFonts w:ascii="宋体" w:hAnsi="宋体"/>
          <w:color w:val="auto"/>
          <w:sz w:val="44"/>
          <w:highlight w:val="none"/>
        </w:rPr>
      </w:pPr>
    </w:p>
    <w:p>
      <w:pPr>
        <w:autoSpaceDE w:val="0"/>
        <w:autoSpaceDN w:val="0"/>
        <w:adjustRightInd w:val="0"/>
        <w:spacing w:line="520" w:lineRule="exact"/>
        <w:ind w:firstLine="3080" w:firstLineChars="700"/>
        <w:rPr>
          <w:rFonts w:ascii="宋体" w:hAnsi="宋体"/>
          <w:color w:val="auto"/>
          <w:sz w:val="44"/>
          <w:highlight w:val="none"/>
        </w:rPr>
      </w:pPr>
      <w:bookmarkStart w:id="129" w:name="_Toc22614_WPSOffice_Level2"/>
      <w:bookmarkStart w:id="130" w:name="_Toc26337_WPSOffice_Level2"/>
      <w:r>
        <w:rPr>
          <w:rFonts w:hint="eastAsia" w:ascii="宋体" w:hAnsi="宋体"/>
          <w:color w:val="auto"/>
          <w:sz w:val="44"/>
          <w:highlight w:val="none"/>
        </w:rPr>
        <w:t>（正本/副本）</w:t>
      </w:r>
      <w:bookmarkEnd w:id="129"/>
      <w:bookmarkEnd w:id="130"/>
    </w:p>
    <w:p>
      <w:pPr>
        <w:pStyle w:val="2"/>
        <w:rPr>
          <w:rFonts w:ascii="宋体" w:hAnsi="宋体"/>
          <w:color w:val="auto"/>
          <w:sz w:val="44"/>
          <w:highlight w:val="none"/>
        </w:rPr>
      </w:pPr>
    </w:p>
    <w:p>
      <w:pPr>
        <w:pStyle w:val="2"/>
        <w:rPr>
          <w:rFonts w:ascii="宋体" w:hAnsi="宋体"/>
          <w:color w:val="auto"/>
          <w:sz w:val="44"/>
          <w:highlight w:val="none"/>
        </w:rPr>
      </w:pP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bookmarkStart w:id="131" w:name="_Toc14986_WPSOffice_Level2"/>
      <w:bookmarkStart w:id="132" w:name="_Toc30289_WPSOffice_Level2"/>
      <w:r>
        <w:rPr>
          <w:rFonts w:hint="eastAsia" w:ascii="宋体" w:hAnsi="宋体"/>
          <w:color w:val="auto"/>
          <w:sz w:val="32"/>
          <w:szCs w:val="32"/>
          <w:highlight w:val="none"/>
        </w:rPr>
        <w:t>项目编号：</w:t>
      </w:r>
      <w:bookmarkEnd w:id="131"/>
      <w:bookmarkEnd w:id="132"/>
      <w:r>
        <w:rPr>
          <w:rFonts w:hint="eastAsia" w:ascii="宋体" w:hAnsi="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u w:val="single"/>
        </w:rPr>
      </w:pPr>
      <w:bookmarkStart w:id="133" w:name="_Toc27590_WPSOffice_Level2"/>
      <w:bookmarkStart w:id="134" w:name="_Toc30244_WPSOffice_Level2"/>
      <w:r>
        <w:rPr>
          <w:rFonts w:hint="eastAsia" w:ascii="宋体" w:hAnsi="宋体"/>
          <w:color w:val="auto"/>
          <w:sz w:val="32"/>
          <w:szCs w:val="32"/>
          <w:highlight w:val="none"/>
        </w:rPr>
        <w:t>项目名称：</w:t>
      </w:r>
      <w:bookmarkEnd w:id="133"/>
      <w:bookmarkEnd w:id="134"/>
      <w:r>
        <w:rPr>
          <w:rFonts w:hint="eastAsia" w:ascii="宋体" w:hAnsi="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bookmarkStart w:id="135" w:name="_Toc30720_WPSOffice_Level2"/>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r>
        <w:rPr>
          <w:rFonts w:hint="eastAsia" w:ascii="宋体" w:hAnsi="宋体"/>
          <w:color w:val="auto"/>
          <w:sz w:val="32"/>
          <w:szCs w:val="32"/>
          <w:highlight w:val="none"/>
        </w:rPr>
        <w:t>供 应 商：</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（公章）</w:t>
      </w:r>
      <w:bookmarkEnd w:id="135"/>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bookmarkStart w:id="136" w:name="_Toc18121_WPSOffice_Level2"/>
      <w:bookmarkStart w:id="137" w:name="_Toc20218_WPSOffice_Level2"/>
      <w:r>
        <w:rPr>
          <w:rFonts w:hint="eastAsia" w:ascii="宋体" w:hAnsi="宋体"/>
          <w:color w:val="auto"/>
          <w:sz w:val="32"/>
          <w:szCs w:val="32"/>
          <w:highlight w:val="none"/>
        </w:rPr>
        <w:t>日    期：</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年</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月</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日</w:t>
      </w:r>
      <w:bookmarkEnd w:id="136"/>
      <w:bookmarkEnd w:id="137"/>
    </w:p>
    <w:p>
      <w:pPr>
        <w:jc w:val="center"/>
        <w:rPr>
          <w:color w:val="auto"/>
          <w:szCs w:val="28"/>
          <w:highlight w:val="none"/>
        </w:rPr>
      </w:pPr>
      <w:r>
        <w:rPr>
          <w:color w:val="auto"/>
          <w:highlight w:val="none"/>
        </w:rPr>
        <w:br w:type="page"/>
      </w:r>
      <w:bookmarkStart w:id="138" w:name="_Toc217446087"/>
      <w:r>
        <w:rPr>
          <w:rFonts w:hint="eastAsia"/>
          <w:b/>
          <w:bCs/>
          <w:color w:val="auto"/>
          <w:sz w:val="28"/>
          <w:szCs w:val="36"/>
          <w:highlight w:val="none"/>
        </w:rPr>
        <w:t>目录（自拟）</w:t>
      </w:r>
    </w:p>
    <w:p>
      <w:pPr>
        <w:rPr>
          <w:color w:val="auto"/>
          <w:highlight w:val="none"/>
        </w:rPr>
      </w:pPr>
      <w:r>
        <w:rPr>
          <w:rFonts w:hint="eastAsia"/>
          <w:color w:val="auto"/>
          <w:highlight w:val="none"/>
        </w:rPr>
        <w:br w:type="page"/>
      </w:r>
    </w:p>
    <w:p>
      <w:pPr>
        <w:pStyle w:val="6"/>
        <w:numPr>
          <w:ilvl w:val="0"/>
          <w:numId w:val="6"/>
        </w:numPr>
        <w:spacing w:before="0" w:after="0" w:line="360" w:lineRule="auto"/>
        <w:jc w:val="center"/>
        <w:rPr>
          <w:rFonts w:hint="eastAsia"/>
          <w:color w:val="auto"/>
          <w:highlight w:val="none"/>
        </w:rPr>
      </w:pPr>
      <w:r>
        <w:rPr>
          <w:rFonts w:hint="eastAsia"/>
          <w:color w:val="auto"/>
          <w:highlight w:val="none"/>
        </w:rPr>
        <w:t>响应函</w:t>
      </w:r>
    </w:p>
    <w:p>
      <w:pPr>
        <w:numPr>
          <w:ilvl w:val="0"/>
          <w:numId w:val="0"/>
        </w:numPr>
        <w:rPr>
          <w:highlight w:val="none"/>
        </w:rPr>
      </w:pPr>
    </w:p>
    <w:p>
      <w:pPr>
        <w:pStyle w:val="28"/>
        <w:spacing w:after="0" w:line="360" w:lineRule="auto"/>
        <w:ind w:left="0" w:leftChars="0"/>
        <w:jc w:val="left"/>
        <w:rPr>
          <w:rFonts w:ascii="宋体" w:hAnsi="宋体"/>
          <w:bCs/>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bCs/>
          <w:color w:val="auto"/>
          <w:sz w:val="24"/>
          <w:highlight w:val="none"/>
        </w:rPr>
        <w:t>（采购代理机构名称）：</w:t>
      </w:r>
    </w:p>
    <w:p>
      <w:pPr>
        <w:pStyle w:val="28"/>
        <w:spacing w:after="0" w:line="360" w:lineRule="auto"/>
        <w:ind w:left="0" w:leftChars="0" w:firstLine="480" w:firstLineChars="200"/>
        <w:jc w:val="left"/>
        <w:rPr>
          <w:rFonts w:ascii="宋体" w:hAnsi="宋体"/>
          <w:bCs/>
          <w:color w:val="auto"/>
          <w:sz w:val="24"/>
          <w:highlight w:val="none"/>
        </w:rPr>
      </w:pPr>
      <w:r>
        <w:rPr>
          <w:rFonts w:hint="eastAsia" w:ascii="宋体" w:hAnsi="宋体"/>
          <w:bCs/>
          <w:color w:val="auto"/>
          <w:sz w:val="24"/>
          <w:highlight w:val="none"/>
        </w:rPr>
        <w:t>我方全面研究了 “</w:t>
      </w:r>
      <w:r>
        <w:rPr>
          <w:rFonts w:hint="eastAsia" w:ascii="宋体" w:hAnsi="宋体"/>
          <w:bCs/>
          <w:color w:val="auto"/>
          <w:sz w:val="24"/>
          <w:highlight w:val="none"/>
          <w:u w:val="single"/>
        </w:rPr>
        <w:t xml:space="preserve">           </w:t>
      </w:r>
      <w:r>
        <w:rPr>
          <w:rFonts w:hint="eastAsia" w:ascii="宋体" w:hAnsi="宋体"/>
          <w:bCs/>
          <w:color w:val="auto"/>
          <w:sz w:val="24"/>
          <w:highlight w:val="none"/>
        </w:rPr>
        <w:t>”（项目名称）（项目编号：</w:t>
      </w:r>
      <w:r>
        <w:rPr>
          <w:rFonts w:hint="eastAsia" w:ascii="宋体" w:hAnsi="宋体"/>
          <w:bCs/>
          <w:color w:val="auto"/>
          <w:sz w:val="24"/>
          <w:highlight w:val="none"/>
          <w:u w:val="single"/>
        </w:rPr>
        <w:t xml:space="preserve">       </w:t>
      </w:r>
      <w:r>
        <w:rPr>
          <w:rFonts w:hint="eastAsia" w:ascii="宋体" w:hAnsi="宋体"/>
          <w:bCs/>
          <w:color w:val="auto"/>
          <w:sz w:val="24"/>
          <w:highlight w:val="none"/>
        </w:rPr>
        <w:t>）</w:t>
      </w:r>
      <w:r>
        <w:rPr>
          <w:rFonts w:hint="eastAsia" w:ascii="宋体" w:hAnsi="宋体"/>
          <w:bCs/>
          <w:color w:val="auto"/>
          <w:sz w:val="24"/>
          <w:highlight w:val="none"/>
          <w:lang w:eastAsia="zh-CN"/>
        </w:rPr>
        <w:t>谈判</w:t>
      </w:r>
      <w:r>
        <w:rPr>
          <w:rFonts w:hint="eastAsia" w:ascii="宋体" w:hAnsi="宋体"/>
          <w:bCs/>
          <w:color w:val="auto"/>
          <w:sz w:val="24"/>
          <w:highlight w:val="none"/>
        </w:rPr>
        <w:t>文件，决定参加贵单位组织的本项目</w:t>
      </w:r>
      <w:r>
        <w:rPr>
          <w:rFonts w:hint="eastAsia" w:ascii="宋体" w:hAnsi="宋体"/>
          <w:bCs/>
          <w:color w:val="auto"/>
          <w:sz w:val="24"/>
          <w:highlight w:val="none"/>
          <w:lang w:eastAsia="zh-CN"/>
        </w:rPr>
        <w:t>谈判</w:t>
      </w:r>
      <w:r>
        <w:rPr>
          <w:rFonts w:hint="eastAsia" w:ascii="宋体" w:hAnsi="宋体"/>
          <w:bCs/>
          <w:color w:val="auto"/>
          <w:sz w:val="24"/>
          <w:highlight w:val="none"/>
        </w:rPr>
        <w:t>采购。</w:t>
      </w:r>
    </w:p>
    <w:p>
      <w:pPr>
        <w:pStyle w:val="28"/>
        <w:spacing w:after="0" w:line="360" w:lineRule="auto"/>
        <w:ind w:left="0" w:leftChars="0"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1、我方自愿按照</w:t>
      </w:r>
      <w:r>
        <w:rPr>
          <w:rFonts w:hint="eastAsia" w:ascii="宋体" w:hAnsi="宋体" w:cs="宋体"/>
          <w:bCs/>
          <w:color w:val="auto"/>
          <w:sz w:val="24"/>
          <w:highlight w:val="none"/>
          <w:lang w:eastAsia="zh-CN"/>
        </w:rPr>
        <w:t>谈判</w:t>
      </w:r>
      <w:r>
        <w:rPr>
          <w:rFonts w:hint="eastAsia" w:ascii="宋体" w:hAnsi="宋体" w:cs="宋体"/>
          <w:bCs/>
          <w:color w:val="auto"/>
          <w:sz w:val="24"/>
          <w:highlight w:val="none"/>
        </w:rPr>
        <w:t>文件规定的各项要求向采购人提供所需</w:t>
      </w:r>
      <w:r>
        <w:rPr>
          <w:rFonts w:hint="eastAsia" w:ascii="宋体" w:hAnsi="宋体" w:cs="宋体"/>
          <w:bCs/>
          <w:color w:val="auto"/>
          <w:sz w:val="24"/>
          <w:highlight w:val="none"/>
          <w:lang w:eastAsia="zh-CN"/>
        </w:rPr>
        <w:t>货物</w:t>
      </w:r>
      <w:r>
        <w:rPr>
          <w:rFonts w:hint="eastAsia" w:ascii="宋体" w:hAnsi="宋体" w:cs="宋体"/>
          <w:bCs/>
          <w:color w:val="auto"/>
          <w:sz w:val="24"/>
          <w:highlight w:val="none"/>
        </w:rPr>
        <w:t>，第一次总报价为“第一次报价一览表”中所述价格。</w:t>
      </w:r>
    </w:p>
    <w:p>
      <w:pPr>
        <w:pStyle w:val="28"/>
        <w:numPr>
          <w:ilvl w:val="0"/>
          <w:numId w:val="7"/>
        </w:numPr>
        <w:spacing w:after="0" w:line="360" w:lineRule="auto"/>
        <w:ind w:left="0" w:leftChars="0"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一旦我方成交，我方将严格履行合同规定的责任和义务，保证于合同签字生效后按合同约定时间完成，并交付采购人验收、使用。</w:t>
      </w:r>
    </w:p>
    <w:p>
      <w:pPr>
        <w:pStyle w:val="28"/>
        <w:numPr>
          <w:ilvl w:val="0"/>
          <w:numId w:val="7"/>
        </w:numPr>
        <w:spacing w:after="0" w:line="360" w:lineRule="auto"/>
        <w:ind w:left="0" w:leftChars="0"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我方同意本</w:t>
      </w:r>
      <w:r>
        <w:rPr>
          <w:rFonts w:hint="eastAsia" w:ascii="宋体" w:hAnsi="宋体" w:cs="宋体"/>
          <w:bCs/>
          <w:color w:val="auto"/>
          <w:sz w:val="24"/>
          <w:highlight w:val="none"/>
          <w:lang w:eastAsia="zh-CN"/>
        </w:rPr>
        <w:t>谈判</w:t>
      </w:r>
      <w:r>
        <w:rPr>
          <w:rFonts w:hint="eastAsia" w:ascii="宋体" w:hAnsi="宋体" w:cs="宋体"/>
          <w:bCs/>
          <w:color w:val="auto"/>
          <w:sz w:val="24"/>
          <w:highlight w:val="none"/>
        </w:rPr>
        <w:t>文件依据《四川省政府采购当事人诚信管理办法》（川财采〔2015〕33号文件）对我方可能存在的失信行为进行惩戒。</w:t>
      </w:r>
    </w:p>
    <w:p>
      <w:pPr>
        <w:pStyle w:val="28"/>
        <w:numPr>
          <w:ilvl w:val="0"/>
          <w:numId w:val="7"/>
        </w:numPr>
        <w:spacing w:after="0" w:line="360" w:lineRule="auto"/>
        <w:ind w:left="0" w:leftChars="0" w:firstLine="480" w:firstLineChars="200"/>
        <w:rPr>
          <w:rFonts w:ascii="宋体" w:hAnsi="宋体" w:cs="宋体"/>
          <w:bCs/>
          <w:color w:val="auto"/>
          <w:sz w:val="24"/>
          <w:highlight w:val="none"/>
        </w:rPr>
      </w:pPr>
      <w:r>
        <w:rPr>
          <w:rFonts w:hint="eastAsia" w:ascii="宋体" w:hAnsi="宋体" w:cs="宋体"/>
          <w:bCs/>
          <w:color w:val="auto"/>
          <w:sz w:val="24"/>
          <w:highlight w:val="none"/>
        </w:rPr>
        <w:t>我方同意按照</w:t>
      </w:r>
      <w:r>
        <w:rPr>
          <w:rFonts w:hint="eastAsia" w:ascii="宋体" w:hAnsi="宋体" w:cs="宋体"/>
          <w:bCs/>
          <w:color w:val="auto"/>
          <w:sz w:val="24"/>
          <w:highlight w:val="none"/>
          <w:lang w:eastAsia="zh-CN"/>
        </w:rPr>
        <w:t>谈判</w:t>
      </w:r>
      <w:r>
        <w:rPr>
          <w:rFonts w:hint="eastAsia" w:ascii="宋体" w:hAnsi="宋体" w:cs="宋体"/>
          <w:bCs/>
          <w:color w:val="auto"/>
          <w:sz w:val="24"/>
          <w:highlight w:val="none"/>
        </w:rPr>
        <w:t>文件的要求，向贵单位交纳人民币</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元（大写：</w:t>
      </w:r>
      <w:r>
        <w:rPr>
          <w:rFonts w:hint="eastAsia" w:ascii="宋体" w:hAnsi="宋体" w:cs="宋体"/>
          <w:bCs/>
          <w:color w:val="auto"/>
          <w:sz w:val="24"/>
          <w:highlight w:val="none"/>
          <w:u w:val="single"/>
        </w:rPr>
        <w:t xml:space="preserve">  /  </w:t>
      </w:r>
      <w:r>
        <w:rPr>
          <w:rFonts w:hint="eastAsia" w:ascii="宋体" w:hAnsi="宋体" w:cs="宋体"/>
          <w:bCs/>
          <w:color w:val="auto"/>
          <w:sz w:val="24"/>
          <w:highlight w:val="none"/>
        </w:rPr>
        <w:t>）的</w:t>
      </w:r>
      <w:r>
        <w:rPr>
          <w:rFonts w:hint="eastAsia" w:ascii="宋体" w:hAnsi="宋体" w:cs="宋体"/>
          <w:bCs/>
          <w:color w:val="auto"/>
          <w:sz w:val="24"/>
          <w:highlight w:val="none"/>
          <w:lang w:eastAsia="zh-CN"/>
        </w:rPr>
        <w:t>谈判</w:t>
      </w:r>
      <w:r>
        <w:rPr>
          <w:rFonts w:hint="eastAsia" w:ascii="宋体" w:hAnsi="宋体" w:cs="宋体"/>
          <w:bCs/>
          <w:color w:val="auto"/>
          <w:sz w:val="24"/>
          <w:highlight w:val="none"/>
        </w:rPr>
        <w:t>保证金。并承诺：下列任何情况发生时，我方将不要求退还</w:t>
      </w:r>
      <w:r>
        <w:rPr>
          <w:rFonts w:hint="eastAsia" w:ascii="宋体" w:hAnsi="宋体" w:cs="宋体"/>
          <w:bCs/>
          <w:color w:val="auto"/>
          <w:sz w:val="24"/>
          <w:highlight w:val="none"/>
          <w:lang w:eastAsia="zh-CN"/>
        </w:rPr>
        <w:t>谈判</w:t>
      </w:r>
      <w:r>
        <w:rPr>
          <w:rFonts w:hint="eastAsia" w:ascii="宋体" w:hAnsi="宋体" w:cs="宋体"/>
          <w:bCs/>
          <w:color w:val="auto"/>
          <w:sz w:val="24"/>
          <w:highlight w:val="none"/>
        </w:rPr>
        <w:t>保证金：</w:t>
      </w:r>
    </w:p>
    <w:p>
      <w:pPr>
        <w:pStyle w:val="28"/>
        <w:spacing w:after="0" w:line="360" w:lineRule="auto"/>
        <w:jc w:val="left"/>
        <w:rPr>
          <w:rFonts w:ascii="宋体" w:hAnsi="宋体" w:cs="宋体"/>
          <w:bCs/>
          <w:color w:val="auto"/>
          <w:sz w:val="24"/>
          <w:highlight w:val="none"/>
        </w:rPr>
      </w:pPr>
      <w:r>
        <w:rPr>
          <w:rFonts w:hint="eastAsia" w:ascii="宋体" w:hAnsi="宋体" w:cs="宋体"/>
          <w:bCs/>
          <w:color w:val="auto"/>
          <w:sz w:val="24"/>
          <w:highlight w:val="none"/>
        </w:rPr>
        <w:t>（1）如果我方在</w:t>
      </w:r>
      <w:r>
        <w:rPr>
          <w:rFonts w:hint="eastAsia" w:ascii="宋体" w:hAnsi="宋体" w:cs="宋体"/>
          <w:bCs/>
          <w:color w:val="auto"/>
          <w:sz w:val="24"/>
          <w:highlight w:val="none"/>
          <w:lang w:eastAsia="zh-CN"/>
        </w:rPr>
        <w:t>谈判</w:t>
      </w:r>
      <w:r>
        <w:rPr>
          <w:rFonts w:hint="eastAsia" w:ascii="宋体" w:hAnsi="宋体" w:cs="宋体"/>
          <w:bCs/>
          <w:color w:val="auto"/>
          <w:sz w:val="24"/>
          <w:highlight w:val="none"/>
        </w:rPr>
        <w:t>有效期内撤回响应文件；</w:t>
      </w:r>
    </w:p>
    <w:p>
      <w:pPr>
        <w:pStyle w:val="28"/>
        <w:spacing w:after="0" w:line="360" w:lineRule="auto"/>
        <w:jc w:val="left"/>
        <w:rPr>
          <w:rFonts w:ascii="宋体" w:hAnsi="宋体" w:cs="宋体"/>
          <w:bCs/>
          <w:color w:val="auto"/>
          <w:sz w:val="24"/>
          <w:highlight w:val="none"/>
        </w:rPr>
      </w:pPr>
      <w:r>
        <w:rPr>
          <w:rFonts w:hint="eastAsia" w:ascii="宋体" w:hAnsi="宋体" w:cs="宋体"/>
          <w:bCs/>
          <w:color w:val="auto"/>
          <w:sz w:val="24"/>
          <w:highlight w:val="none"/>
        </w:rPr>
        <w:t>（2）我方提供了虚假响应</w:t>
      </w:r>
      <w:r>
        <w:rPr>
          <w:rFonts w:hint="eastAsia" w:ascii="宋体" w:hAnsi="宋体" w:cs="宋体"/>
          <w:bCs/>
          <w:color w:val="auto"/>
          <w:sz w:val="24"/>
          <w:highlight w:val="none"/>
          <w:lang w:eastAsia="zh-CN"/>
        </w:rPr>
        <w:t>谈判</w:t>
      </w:r>
      <w:r>
        <w:rPr>
          <w:rFonts w:hint="eastAsia" w:ascii="宋体" w:hAnsi="宋体" w:cs="宋体"/>
          <w:bCs/>
          <w:color w:val="auto"/>
          <w:sz w:val="24"/>
          <w:highlight w:val="none"/>
        </w:rPr>
        <w:t>文件的响应文件；</w:t>
      </w:r>
    </w:p>
    <w:p>
      <w:pPr>
        <w:pStyle w:val="28"/>
        <w:spacing w:after="0" w:line="360" w:lineRule="auto"/>
        <w:jc w:val="left"/>
        <w:rPr>
          <w:rFonts w:ascii="宋体" w:hAnsi="宋体" w:cs="宋体"/>
          <w:bCs/>
          <w:color w:val="auto"/>
          <w:sz w:val="24"/>
          <w:highlight w:val="none"/>
        </w:rPr>
      </w:pPr>
      <w:r>
        <w:rPr>
          <w:rFonts w:hint="eastAsia" w:ascii="宋体" w:hAnsi="宋体" w:cs="宋体"/>
          <w:bCs/>
          <w:color w:val="auto"/>
          <w:sz w:val="24"/>
          <w:highlight w:val="none"/>
        </w:rPr>
        <w:t>（3）在</w:t>
      </w:r>
      <w:r>
        <w:rPr>
          <w:rFonts w:hint="eastAsia" w:ascii="宋体" w:hAnsi="宋体" w:cs="宋体"/>
          <w:bCs/>
          <w:color w:val="auto"/>
          <w:sz w:val="24"/>
          <w:highlight w:val="none"/>
          <w:lang w:eastAsia="zh-CN"/>
        </w:rPr>
        <w:t>谈判</w:t>
      </w:r>
      <w:r>
        <w:rPr>
          <w:rFonts w:hint="eastAsia" w:ascii="宋体" w:hAnsi="宋体" w:cs="宋体"/>
          <w:bCs/>
          <w:color w:val="auto"/>
          <w:sz w:val="24"/>
          <w:highlight w:val="none"/>
        </w:rPr>
        <w:t>过程中有违规违纪行为；</w:t>
      </w:r>
    </w:p>
    <w:p>
      <w:pPr>
        <w:pStyle w:val="28"/>
        <w:spacing w:after="0" w:line="360" w:lineRule="auto"/>
        <w:ind w:left="0" w:leftChars="0"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（4）我方在</w:t>
      </w:r>
      <w:r>
        <w:rPr>
          <w:rFonts w:hint="eastAsia" w:ascii="宋体" w:hAnsi="宋体" w:cs="宋体"/>
          <w:bCs/>
          <w:color w:val="auto"/>
          <w:sz w:val="24"/>
          <w:highlight w:val="none"/>
          <w:lang w:eastAsia="zh-CN"/>
        </w:rPr>
        <w:t>谈判</w:t>
      </w:r>
      <w:r>
        <w:rPr>
          <w:rFonts w:hint="eastAsia" w:ascii="宋体" w:hAnsi="宋体" w:cs="宋体"/>
          <w:bCs/>
          <w:color w:val="auto"/>
          <w:sz w:val="24"/>
          <w:highlight w:val="none"/>
        </w:rPr>
        <w:t>有效期内收到成交通知书后，由于我方原因未能按照</w:t>
      </w:r>
      <w:r>
        <w:rPr>
          <w:rFonts w:hint="eastAsia" w:ascii="宋体" w:hAnsi="宋体" w:cs="宋体"/>
          <w:bCs/>
          <w:color w:val="auto"/>
          <w:sz w:val="24"/>
          <w:highlight w:val="none"/>
          <w:lang w:eastAsia="zh-CN"/>
        </w:rPr>
        <w:t>谈判</w:t>
      </w:r>
      <w:r>
        <w:rPr>
          <w:rFonts w:hint="eastAsia" w:ascii="宋体" w:hAnsi="宋体" w:cs="宋体"/>
          <w:bCs/>
          <w:color w:val="auto"/>
          <w:sz w:val="24"/>
          <w:highlight w:val="none"/>
        </w:rPr>
        <w:t>文件要求提交履约保证金或与采购人签订并履行合同。</w:t>
      </w:r>
    </w:p>
    <w:p>
      <w:pPr>
        <w:pStyle w:val="28"/>
        <w:spacing w:after="0" w:line="360" w:lineRule="auto"/>
        <w:ind w:left="0" w:leftChars="0" w:firstLine="480" w:firstLineChars="200"/>
        <w:jc w:val="left"/>
        <w:rPr>
          <w:rFonts w:ascii="宋体" w:hAnsi="宋体"/>
          <w:bCs/>
          <w:color w:val="auto"/>
          <w:sz w:val="24"/>
          <w:highlight w:val="none"/>
        </w:rPr>
      </w:pPr>
      <w:r>
        <w:rPr>
          <w:rFonts w:hint="eastAsia" w:ascii="宋体" w:hAnsi="宋体"/>
          <w:bCs/>
          <w:color w:val="auto"/>
          <w:sz w:val="24"/>
          <w:highlight w:val="none"/>
        </w:rPr>
        <w:t>5、我方为本项目提交的响应文件正本</w:t>
      </w:r>
      <w:r>
        <w:rPr>
          <w:rFonts w:hint="eastAsia" w:ascii="宋体" w:hAnsi="宋体"/>
          <w:bCs/>
          <w:color w:val="auto"/>
          <w:sz w:val="24"/>
          <w:highlight w:val="none"/>
          <w:u w:val="single"/>
        </w:rPr>
        <w:t xml:space="preserve"> 壹 </w:t>
      </w:r>
      <w:r>
        <w:rPr>
          <w:rFonts w:hint="eastAsia" w:ascii="宋体" w:hAnsi="宋体"/>
          <w:bCs/>
          <w:color w:val="auto"/>
          <w:sz w:val="24"/>
          <w:highlight w:val="none"/>
        </w:rPr>
        <w:t>份、副本</w:t>
      </w:r>
      <w:r>
        <w:rPr>
          <w:rFonts w:hint="eastAsia" w:ascii="宋体" w:hAnsi="宋体"/>
          <w:bCs/>
          <w:color w:val="auto"/>
          <w:sz w:val="24"/>
          <w:highlight w:val="none"/>
          <w:u w:val="single"/>
        </w:rPr>
        <w:t xml:space="preserve"> </w:t>
      </w:r>
      <w:r>
        <w:rPr>
          <w:rFonts w:hint="eastAsia" w:ascii="宋体" w:hAnsi="宋体"/>
          <w:color w:val="auto"/>
          <w:sz w:val="24"/>
          <w:highlight w:val="none"/>
          <w:u w:val="single"/>
          <w:lang w:eastAsia="zh-CN"/>
        </w:rPr>
        <w:t>壹</w:t>
      </w:r>
      <w:r>
        <w:rPr>
          <w:rFonts w:hint="eastAsia" w:ascii="宋体" w:hAnsi="宋体"/>
          <w:color w:val="auto"/>
          <w:sz w:val="24"/>
          <w:highlight w:val="none"/>
          <w:u w:val="single"/>
        </w:rPr>
        <w:t xml:space="preserve"> </w:t>
      </w:r>
      <w:r>
        <w:rPr>
          <w:rFonts w:hint="eastAsia" w:ascii="宋体" w:hAnsi="宋体"/>
          <w:bCs/>
          <w:color w:val="auto"/>
          <w:sz w:val="24"/>
          <w:highlight w:val="none"/>
        </w:rPr>
        <w:t>份，本次</w:t>
      </w:r>
      <w:r>
        <w:rPr>
          <w:rFonts w:hint="eastAsia" w:ascii="宋体" w:hAnsi="宋体"/>
          <w:bCs/>
          <w:color w:val="auto"/>
          <w:sz w:val="24"/>
          <w:highlight w:val="none"/>
          <w:lang w:eastAsia="zh-CN"/>
        </w:rPr>
        <w:t>谈判</w:t>
      </w:r>
      <w:r>
        <w:rPr>
          <w:rFonts w:hint="eastAsia" w:ascii="宋体" w:hAnsi="宋体"/>
          <w:bCs/>
          <w:color w:val="auto"/>
          <w:sz w:val="24"/>
          <w:highlight w:val="none"/>
        </w:rPr>
        <w:t>，我方递交的</w:t>
      </w:r>
      <w:r>
        <w:rPr>
          <w:rFonts w:hint="eastAsia" w:ascii="宋体" w:hAnsi="宋体"/>
          <w:color w:val="auto"/>
          <w:sz w:val="24"/>
          <w:highlight w:val="none"/>
        </w:rPr>
        <w:t>响应文件有效期为递交</w:t>
      </w:r>
      <w:r>
        <w:rPr>
          <w:rFonts w:hint="eastAsia" w:ascii="宋体" w:hAnsi="宋体"/>
          <w:color w:val="auto"/>
          <w:sz w:val="24"/>
          <w:highlight w:val="none"/>
          <w:lang w:eastAsia="zh-CN"/>
        </w:rPr>
        <w:t>谈判</w:t>
      </w:r>
      <w:r>
        <w:rPr>
          <w:rFonts w:hint="eastAsia" w:ascii="宋体" w:hAnsi="宋体"/>
          <w:color w:val="auto"/>
          <w:sz w:val="24"/>
          <w:highlight w:val="none"/>
        </w:rPr>
        <w:t>响应文件截止之日起</w:t>
      </w:r>
      <w:r>
        <w:rPr>
          <w:rFonts w:hint="eastAsia" w:ascii="宋体" w:hAnsi="宋体"/>
          <w:color w:val="auto"/>
          <w:sz w:val="24"/>
          <w:highlight w:val="none"/>
          <w:u w:val="single"/>
        </w:rPr>
        <w:t>90天</w:t>
      </w:r>
      <w:r>
        <w:rPr>
          <w:rFonts w:hint="eastAsia" w:ascii="宋体" w:hAnsi="宋体"/>
          <w:bCs/>
          <w:color w:val="auto"/>
          <w:sz w:val="24"/>
          <w:highlight w:val="none"/>
        </w:rPr>
        <w:t>。</w:t>
      </w:r>
    </w:p>
    <w:p>
      <w:pPr>
        <w:pStyle w:val="28"/>
        <w:spacing w:after="0" w:line="360" w:lineRule="auto"/>
        <w:ind w:left="0" w:leftChars="0" w:firstLine="480" w:firstLineChars="200"/>
        <w:jc w:val="left"/>
        <w:rPr>
          <w:rFonts w:ascii="宋体" w:hAnsi="宋体"/>
          <w:bCs/>
          <w:color w:val="auto"/>
          <w:sz w:val="24"/>
          <w:highlight w:val="none"/>
        </w:rPr>
      </w:pPr>
      <w:r>
        <w:rPr>
          <w:rFonts w:hint="eastAsia" w:ascii="宋体" w:hAnsi="宋体"/>
          <w:bCs/>
          <w:color w:val="auto"/>
          <w:sz w:val="24"/>
          <w:highlight w:val="none"/>
        </w:rPr>
        <w:t>6、我方愿意提供贵单位可能另外要求的，与</w:t>
      </w:r>
      <w:r>
        <w:rPr>
          <w:rFonts w:hint="eastAsia" w:ascii="宋体" w:hAnsi="宋体"/>
          <w:bCs/>
          <w:color w:val="auto"/>
          <w:sz w:val="24"/>
          <w:highlight w:val="none"/>
          <w:lang w:eastAsia="zh-CN"/>
        </w:rPr>
        <w:t>谈判</w:t>
      </w:r>
      <w:r>
        <w:rPr>
          <w:rFonts w:hint="eastAsia" w:ascii="宋体" w:hAnsi="宋体"/>
          <w:bCs/>
          <w:color w:val="auto"/>
          <w:sz w:val="24"/>
          <w:highlight w:val="none"/>
        </w:rPr>
        <w:t>有关的文件资料，并保证我方已提供和将要提供的文件资料是真实、准确的。</w:t>
      </w:r>
    </w:p>
    <w:p>
      <w:pPr>
        <w:pStyle w:val="28"/>
        <w:spacing w:after="0" w:line="360" w:lineRule="auto"/>
        <w:ind w:left="0" w:leftChars="0" w:firstLine="480" w:firstLineChars="200"/>
        <w:jc w:val="left"/>
        <w:rPr>
          <w:rFonts w:ascii="宋体" w:hAnsi="宋体"/>
          <w:bCs/>
          <w:color w:val="auto"/>
          <w:sz w:val="24"/>
          <w:highlight w:val="none"/>
        </w:rPr>
      </w:pPr>
      <w:r>
        <w:rPr>
          <w:rFonts w:hint="eastAsia" w:ascii="宋体" w:hAnsi="宋体"/>
          <w:bCs/>
          <w:color w:val="auto"/>
          <w:sz w:val="24"/>
          <w:highlight w:val="none"/>
        </w:rPr>
        <w:t>7、国家或行业主管部门对采购产品的技术标准、质量标准和资格资质条件等有强制性规定的，我方承诺符合其要求。</w:t>
      </w:r>
    </w:p>
    <w:p>
      <w:pPr>
        <w:pStyle w:val="28"/>
        <w:spacing w:after="0" w:line="360" w:lineRule="auto"/>
        <w:ind w:left="0" w:leftChars="0" w:firstLine="480" w:firstLineChars="200"/>
        <w:jc w:val="left"/>
        <w:rPr>
          <w:bCs/>
          <w:color w:val="auto"/>
          <w:sz w:val="24"/>
          <w:highlight w:val="none"/>
        </w:rPr>
      </w:pPr>
      <w:r>
        <w:rPr>
          <w:rFonts w:hint="eastAsia" w:ascii="宋体" w:hAnsi="宋体"/>
          <w:bCs/>
          <w:color w:val="auto"/>
          <w:sz w:val="24"/>
          <w:highlight w:val="none"/>
        </w:rPr>
        <w:t>8、我方完全理解采购人不一定将合同授予最低报价的供应商的行为。</w:t>
      </w:r>
    </w:p>
    <w:p>
      <w:pPr>
        <w:adjustRightInd w:val="0"/>
        <w:spacing w:line="360" w:lineRule="auto"/>
        <w:ind w:firstLine="480" w:firstLineChars="200"/>
        <w:jc w:val="left"/>
        <w:rPr>
          <w:rFonts w:ascii="宋体" w:hAnsi="宋体"/>
          <w:color w:val="auto"/>
          <w:sz w:val="24"/>
          <w:highlight w:val="none"/>
        </w:rPr>
      </w:pPr>
      <w:bookmarkStart w:id="139" w:name="_Toc217446085"/>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bookmarkEnd w:id="138"/>
      <w:bookmarkEnd w:id="139"/>
    </w:p>
    <w:p>
      <w:pPr>
        <w:pStyle w:val="6"/>
        <w:numPr>
          <w:ilvl w:val="0"/>
          <w:numId w:val="8"/>
        </w:numPr>
        <w:jc w:val="center"/>
        <w:rPr>
          <w:rFonts w:hint="eastAsia"/>
          <w:color w:val="auto"/>
          <w:highlight w:val="none"/>
        </w:rPr>
      </w:pPr>
      <w:bookmarkStart w:id="140" w:name="_Toc4636_WPSOffice_Level2"/>
      <w:bookmarkStart w:id="141" w:name="_Toc17152_WPSOffice_Level2"/>
      <w:r>
        <w:rPr>
          <w:rFonts w:hint="eastAsia"/>
          <w:color w:val="auto"/>
          <w:highlight w:val="none"/>
        </w:rPr>
        <w:t>第一次报价一览表</w:t>
      </w:r>
    </w:p>
    <w:p>
      <w:pPr>
        <w:numPr>
          <w:ilvl w:val="0"/>
          <w:numId w:val="0"/>
        </w:numPr>
        <w:rPr>
          <w:highlight w:val="none"/>
        </w:rPr>
      </w:pPr>
    </w:p>
    <w:p>
      <w:pPr>
        <w:spacing w:line="360" w:lineRule="auto"/>
        <w:jc w:val="left"/>
        <w:rPr>
          <w:rFonts w:ascii="宋体" w:hAnsi="宋体"/>
          <w:color w:val="auto"/>
          <w:sz w:val="24"/>
          <w:highlight w:val="none"/>
          <w:u w:val="single"/>
        </w:rPr>
      </w:pPr>
      <w:r>
        <w:rPr>
          <w:rFonts w:hint="eastAsia" w:ascii="宋体" w:hAnsi="宋体"/>
          <w:color w:val="auto"/>
          <w:sz w:val="24"/>
          <w:highlight w:val="none"/>
        </w:rPr>
        <w:t>项目名称：</w:t>
      </w:r>
    </w:p>
    <w:p>
      <w:pPr>
        <w:spacing w:line="360" w:lineRule="auto"/>
        <w:jc w:val="left"/>
        <w:rPr>
          <w:rFonts w:ascii="宋体" w:hAnsi="宋体"/>
          <w:color w:val="auto"/>
          <w:sz w:val="24"/>
          <w:highlight w:val="none"/>
        </w:rPr>
      </w:pPr>
      <w:r>
        <w:rPr>
          <w:rFonts w:hint="eastAsia" w:ascii="宋体" w:hAnsi="宋体"/>
          <w:color w:val="auto"/>
          <w:sz w:val="24"/>
          <w:highlight w:val="none"/>
        </w:rPr>
        <w:t>项目编号：</w:t>
      </w:r>
    </w:p>
    <w:tbl>
      <w:tblPr>
        <w:tblStyle w:val="4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5" w:type="pct"/>
            <w:vAlign w:val="center"/>
          </w:tcPr>
          <w:p>
            <w:pPr>
              <w:tabs>
                <w:tab w:val="left" w:pos="7513"/>
              </w:tabs>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项目名称</w:t>
            </w:r>
          </w:p>
        </w:tc>
        <w:tc>
          <w:tcPr>
            <w:tcW w:w="3944" w:type="pct"/>
            <w:vAlign w:val="center"/>
          </w:tcPr>
          <w:p>
            <w:pPr>
              <w:tabs>
                <w:tab w:val="left" w:pos="7513"/>
              </w:tabs>
              <w:spacing w:line="360" w:lineRule="auto"/>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5" w:type="pct"/>
            <w:vAlign w:val="center"/>
          </w:tcPr>
          <w:p>
            <w:pPr>
              <w:tabs>
                <w:tab w:val="left" w:pos="7513"/>
              </w:tabs>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项目编号</w:t>
            </w:r>
          </w:p>
        </w:tc>
        <w:tc>
          <w:tcPr>
            <w:tcW w:w="3944" w:type="pct"/>
            <w:vAlign w:val="center"/>
          </w:tcPr>
          <w:p>
            <w:pPr>
              <w:tabs>
                <w:tab w:val="left" w:pos="7513"/>
              </w:tabs>
              <w:spacing w:line="360" w:lineRule="auto"/>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5" w:type="pct"/>
            <w:vAlign w:val="center"/>
          </w:tcPr>
          <w:p>
            <w:pPr>
              <w:tabs>
                <w:tab w:val="left" w:pos="7513"/>
              </w:tabs>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供应商名称</w:t>
            </w:r>
          </w:p>
        </w:tc>
        <w:tc>
          <w:tcPr>
            <w:tcW w:w="3944" w:type="pct"/>
            <w:vAlign w:val="center"/>
          </w:tcPr>
          <w:p>
            <w:pPr>
              <w:tabs>
                <w:tab w:val="left" w:pos="7513"/>
              </w:tabs>
              <w:spacing w:line="360" w:lineRule="auto"/>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5" w:type="pct"/>
            <w:vAlign w:val="center"/>
          </w:tcPr>
          <w:p>
            <w:pPr>
              <w:tabs>
                <w:tab w:val="left" w:pos="7513"/>
              </w:tabs>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报价合计（元）</w:t>
            </w:r>
          </w:p>
        </w:tc>
        <w:tc>
          <w:tcPr>
            <w:tcW w:w="3944" w:type="pct"/>
            <w:vAlign w:val="center"/>
          </w:tcPr>
          <w:p>
            <w:pPr>
              <w:tabs>
                <w:tab w:val="left" w:pos="7513"/>
              </w:tabs>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人民币：</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元</w:t>
            </w:r>
          </w:p>
          <w:p>
            <w:pPr>
              <w:tabs>
                <w:tab w:val="left" w:pos="7513"/>
              </w:tabs>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（大写：</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5" w:type="pct"/>
            <w:vAlign w:val="center"/>
          </w:tcPr>
          <w:p>
            <w:pPr>
              <w:tabs>
                <w:tab w:val="left" w:pos="7513"/>
              </w:tabs>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备注</w:t>
            </w:r>
          </w:p>
        </w:tc>
        <w:tc>
          <w:tcPr>
            <w:tcW w:w="3944" w:type="pct"/>
            <w:vAlign w:val="center"/>
          </w:tcPr>
          <w:p>
            <w:pPr>
              <w:tabs>
                <w:tab w:val="left" w:pos="7513"/>
              </w:tabs>
              <w:spacing w:line="360" w:lineRule="auto"/>
              <w:jc w:val="center"/>
              <w:rPr>
                <w:rFonts w:ascii="宋体" w:hAnsi="宋体" w:cs="宋体"/>
                <w:color w:val="auto"/>
                <w:kern w:val="0"/>
                <w:sz w:val="21"/>
                <w:szCs w:val="21"/>
                <w:highlight w:val="none"/>
              </w:rPr>
            </w:pPr>
          </w:p>
        </w:tc>
      </w:tr>
    </w:tbl>
    <w:p>
      <w:pPr>
        <w:spacing w:line="360" w:lineRule="auto"/>
        <w:ind w:firstLine="241" w:firstLineChars="100"/>
        <w:jc w:val="left"/>
        <w:rPr>
          <w:rFonts w:ascii="宋体" w:hAnsi="宋体"/>
          <w:b/>
          <w:bCs/>
          <w:color w:val="auto"/>
          <w:sz w:val="24"/>
          <w:highlight w:val="none"/>
        </w:rPr>
      </w:pPr>
      <w:r>
        <w:rPr>
          <w:rFonts w:hint="eastAsia" w:ascii="宋体" w:hAnsi="宋体"/>
          <w:b/>
          <w:bCs/>
          <w:color w:val="auto"/>
          <w:sz w:val="24"/>
          <w:highlight w:val="none"/>
        </w:rPr>
        <w:t>注:1.所有报价均用人民币表示。</w:t>
      </w:r>
    </w:p>
    <w:p>
      <w:pPr>
        <w:spacing w:line="360" w:lineRule="auto"/>
        <w:ind w:firstLine="482" w:firstLineChars="200"/>
        <w:jc w:val="left"/>
        <w:rPr>
          <w:rFonts w:ascii="宋体" w:hAnsi="宋体"/>
          <w:b/>
          <w:bCs/>
          <w:color w:val="auto"/>
          <w:sz w:val="24"/>
          <w:highlight w:val="none"/>
        </w:rPr>
      </w:pPr>
      <w:r>
        <w:rPr>
          <w:rFonts w:hint="eastAsia" w:ascii="宋体" w:hAnsi="宋体"/>
          <w:b/>
          <w:bCs/>
          <w:color w:val="auto"/>
          <w:sz w:val="24"/>
          <w:highlight w:val="none"/>
        </w:rPr>
        <w:t>2.表格如不能完全表达相关内容，供应商可自行补充。</w:t>
      </w:r>
    </w:p>
    <w:p>
      <w:pPr>
        <w:spacing w:line="480" w:lineRule="auto"/>
        <w:rPr>
          <w:rFonts w:ascii="宋体" w:hAnsi="宋体"/>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br w:type="page"/>
      </w:r>
    </w:p>
    <w:p>
      <w:pPr>
        <w:spacing w:line="360" w:lineRule="auto"/>
        <w:jc w:val="center"/>
        <w:outlineLvl w:val="1"/>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三、分项报价明细表</w:t>
      </w:r>
    </w:p>
    <w:p>
      <w:pPr>
        <w:spacing w:line="360" w:lineRule="auto"/>
        <w:jc w:val="left"/>
        <w:rPr>
          <w:rFonts w:hint="eastAsia" w:ascii="宋体" w:hAnsi="宋体"/>
          <w:color w:val="auto"/>
          <w:sz w:val="24"/>
          <w:highlight w:val="none"/>
        </w:rPr>
      </w:pPr>
    </w:p>
    <w:p>
      <w:pPr>
        <w:spacing w:line="360" w:lineRule="auto"/>
        <w:jc w:val="left"/>
        <w:rPr>
          <w:rFonts w:ascii="宋体" w:hAnsi="宋体"/>
          <w:color w:val="auto"/>
          <w:sz w:val="24"/>
          <w:highlight w:val="none"/>
          <w:u w:val="single"/>
        </w:rPr>
      </w:pPr>
      <w:r>
        <w:rPr>
          <w:rFonts w:hint="eastAsia" w:ascii="宋体" w:hAnsi="宋体"/>
          <w:color w:val="auto"/>
          <w:sz w:val="24"/>
          <w:highlight w:val="none"/>
        </w:rPr>
        <w:t>项目名称：</w:t>
      </w:r>
    </w:p>
    <w:p>
      <w:pPr>
        <w:spacing w:line="360" w:lineRule="auto"/>
        <w:jc w:val="left"/>
        <w:rPr>
          <w:rFonts w:ascii="宋体" w:hAnsi="宋体"/>
          <w:color w:val="auto"/>
          <w:sz w:val="24"/>
          <w:highlight w:val="none"/>
        </w:rPr>
      </w:pPr>
      <w:r>
        <w:rPr>
          <w:rFonts w:hint="eastAsia" w:ascii="宋体" w:hAnsi="宋体"/>
          <w:color w:val="auto"/>
          <w:sz w:val="24"/>
          <w:highlight w:val="none"/>
        </w:rPr>
        <w:t>项目编号：</w:t>
      </w:r>
    </w:p>
    <w:tbl>
      <w:tblPr>
        <w:tblStyle w:val="4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1316"/>
        <w:gridCol w:w="1407"/>
        <w:gridCol w:w="919"/>
        <w:gridCol w:w="1252"/>
        <w:gridCol w:w="869"/>
        <w:gridCol w:w="869"/>
        <w:gridCol w:w="90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481" w:type="pct"/>
            <w:vAlign w:val="center"/>
          </w:tcPr>
          <w:p>
            <w:pPr>
              <w:widowControl/>
              <w:spacing w:line="360" w:lineRule="atLeast"/>
              <w:jc w:val="center"/>
              <w:outlineLvl w:val="1"/>
              <w:rPr>
                <w:rFonts w:ascii="宋体" w:hAnsi="宋体" w:cs="宋体"/>
                <w:color w:val="auto"/>
                <w:sz w:val="21"/>
                <w:szCs w:val="21"/>
                <w:highlight w:val="none"/>
              </w:rPr>
            </w:pPr>
            <w:r>
              <w:rPr>
                <w:rFonts w:hint="eastAsia" w:ascii="宋体" w:hAnsi="宋体" w:cs="宋体"/>
                <w:color w:val="auto"/>
                <w:sz w:val="21"/>
                <w:szCs w:val="21"/>
                <w:highlight w:val="none"/>
              </w:rPr>
              <w:t>序号</w:t>
            </w:r>
          </w:p>
        </w:tc>
        <w:tc>
          <w:tcPr>
            <w:tcW w:w="705" w:type="pct"/>
            <w:vAlign w:val="center"/>
          </w:tcPr>
          <w:p>
            <w:pPr>
              <w:widowControl/>
              <w:spacing w:line="360" w:lineRule="atLeast"/>
              <w:jc w:val="center"/>
              <w:outlineLvl w:val="1"/>
              <w:rPr>
                <w:rFonts w:ascii="宋体" w:hAnsi="宋体" w:cs="宋体"/>
                <w:color w:val="auto"/>
                <w:sz w:val="21"/>
                <w:szCs w:val="21"/>
                <w:highlight w:val="none"/>
              </w:rPr>
            </w:pPr>
            <w:r>
              <w:rPr>
                <w:rFonts w:hint="eastAsia" w:ascii="宋体" w:hAnsi="宋体" w:cs="宋体"/>
                <w:color w:val="auto"/>
                <w:sz w:val="21"/>
                <w:szCs w:val="21"/>
                <w:highlight w:val="none"/>
              </w:rPr>
              <w:t>产品名称</w:t>
            </w:r>
          </w:p>
        </w:tc>
        <w:tc>
          <w:tcPr>
            <w:tcW w:w="753" w:type="pct"/>
            <w:vAlign w:val="center"/>
          </w:tcPr>
          <w:p>
            <w:pPr>
              <w:widowControl/>
              <w:spacing w:line="360" w:lineRule="atLeast"/>
              <w:jc w:val="center"/>
              <w:outlineLvl w:val="1"/>
              <w:rPr>
                <w:rFonts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492" w:type="pct"/>
            <w:vAlign w:val="center"/>
          </w:tcPr>
          <w:p>
            <w:pPr>
              <w:widowControl/>
              <w:spacing w:line="360" w:lineRule="atLeast"/>
              <w:jc w:val="center"/>
              <w:outlineLvl w:val="1"/>
              <w:rPr>
                <w:rFonts w:ascii="宋体" w:hAnsi="宋体" w:cs="宋体"/>
                <w:color w:val="auto"/>
                <w:sz w:val="21"/>
                <w:szCs w:val="21"/>
                <w:highlight w:val="none"/>
              </w:rPr>
            </w:pPr>
            <w:r>
              <w:rPr>
                <w:rFonts w:hint="eastAsia" w:ascii="宋体" w:hAnsi="宋体" w:cs="宋体"/>
                <w:color w:val="auto"/>
                <w:sz w:val="21"/>
                <w:szCs w:val="21"/>
                <w:highlight w:val="none"/>
              </w:rPr>
              <w:t>品牌</w:t>
            </w:r>
          </w:p>
        </w:tc>
        <w:tc>
          <w:tcPr>
            <w:tcW w:w="670" w:type="pct"/>
            <w:vAlign w:val="center"/>
          </w:tcPr>
          <w:p>
            <w:pPr>
              <w:widowControl/>
              <w:spacing w:line="360" w:lineRule="atLeast"/>
              <w:jc w:val="center"/>
              <w:outlineLvl w:val="1"/>
              <w:rPr>
                <w:rFonts w:ascii="宋体" w:hAnsi="宋体" w:cs="宋体"/>
                <w:color w:val="auto"/>
                <w:sz w:val="21"/>
                <w:szCs w:val="21"/>
                <w:highlight w:val="none"/>
              </w:rPr>
            </w:pPr>
            <w:r>
              <w:rPr>
                <w:rFonts w:hint="eastAsia" w:ascii="宋体" w:hAnsi="宋体" w:cs="宋体"/>
                <w:color w:val="auto"/>
                <w:sz w:val="21"/>
                <w:szCs w:val="21"/>
                <w:highlight w:val="none"/>
              </w:rPr>
              <w:t>单位</w:t>
            </w:r>
          </w:p>
        </w:tc>
        <w:tc>
          <w:tcPr>
            <w:tcW w:w="465" w:type="pct"/>
            <w:vAlign w:val="center"/>
          </w:tcPr>
          <w:p>
            <w:pPr>
              <w:widowControl/>
              <w:spacing w:line="360" w:lineRule="atLeast"/>
              <w:jc w:val="center"/>
              <w:outlineLvl w:val="1"/>
              <w:rPr>
                <w:rFonts w:ascii="宋体" w:hAnsi="宋体" w:cs="宋体"/>
                <w:color w:val="auto"/>
                <w:sz w:val="21"/>
                <w:szCs w:val="21"/>
                <w:highlight w:val="none"/>
              </w:rPr>
            </w:pPr>
            <w:r>
              <w:rPr>
                <w:rFonts w:hint="eastAsia" w:ascii="宋体" w:hAnsi="宋体" w:cs="宋体"/>
                <w:color w:val="auto"/>
                <w:sz w:val="21"/>
                <w:szCs w:val="21"/>
                <w:highlight w:val="none"/>
              </w:rPr>
              <w:t>数量</w:t>
            </w:r>
          </w:p>
        </w:tc>
        <w:tc>
          <w:tcPr>
            <w:tcW w:w="465" w:type="pct"/>
            <w:vAlign w:val="center"/>
          </w:tcPr>
          <w:p>
            <w:pPr>
              <w:widowControl/>
              <w:spacing w:line="360" w:lineRule="atLeast"/>
              <w:jc w:val="center"/>
              <w:outlineLvl w:val="1"/>
              <w:rPr>
                <w:rFonts w:ascii="宋体" w:hAnsi="宋体" w:cs="宋体"/>
                <w:color w:val="auto"/>
                <w:sz w:val="21"/>
                <w:szCs w:val="21"/>
                <w:highlight w:val="none"/>
              </w:rPr>
            </w:pPr>
            <w:r>
              <w:rPr>
                <w:rFonts w:hint="eastAsia" w:ascii="宋体" w:hAnsi="宋体" w:cs="宋体"/>
                <w:color w:val="auto"/>
                <w:sz w:val="21"/>
                <w:szCs w:val="21"/>
                <w:highlight w:val="none"/>
              </w:rPr>
              <w:t>单价</w:t>
            </w:r>
          </w:p>
        </w:tc>
        <w:tc>
          <w:tcPr>
            <w:tcW w:w="486" w:type="pct"/>
            <w:vAlign w:val="center"/>
          </w:tcPr>
          <w:p>
            <w:pPr>
              <w:widowControl/>
              <w:spacing w:line="360" w:lineRule="atLeast"/>
              <w:jc w:val="center"/>
              <w:outlineLvl w:val="1"/>
              <w:rPr>
                <w:rFonts w:ascii="宋体" w:hAnsi="宋体" w:cs="宋体"/>
                <w:color w:val="auto"/>
                <w:sz w:val="21"/>
                <w:szCs w:val="21"/>
                <w:highlight w:val="none"/>
              </w:rPr>
            </w:pPr>
            <w:r>
              <w:rPr>
                <w:rFonts w:hint="eastAsia" w:ascii="宋体" w:hAnsi="宋体" w:cs="宋体"/>
                <w:color w:val="auto"/>
                <w:sz w:val="21"/>
                <w:szCs w:val="21"/>
                <w:highlight w:val="none"/>
              </w:rPr>
              <w:t>总价</w:t>
            </w:r>
          </w:p>
        </w:tc>
        <w:tc>
          <w:tcPr>
            <w:tcW w:w="480" w:type="pct"/>
            <w:vAlign w:val="center"/>
          </w:tcPr>
          <w:p>
            <w:pPr>
              <w:widowControl/>
              <w:spacing w:line="360" w:lineRule="atLeast"/>
              <w:outlineLvl w:val="1"/>
              <w:rPr>
                <w:rFonts w:ascii="宋体" w:hAnsi="宋体" w:cs="宋体"/>
                <w:color w:val="auto"/>
                <w:sz w:val="21"/>
                <w:szCs w:val="21"/>
                <w:highlight w:val="none"/>
              </w:rPr>
            </w:pPr>
            <w:r>
              <w:rPr>
                <w:rFonts w:hint="eastAsia" w:ascii="宋体"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81"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70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753"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92"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670"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6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6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86"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80" w:type="pct"/>
            <w:vAlign w:val="center"/>
          </w:tcPr>
          <w:p>
            <w:pPr>
              <w:widowControl/>
              <w:spacing w:line="360" w:lineRule="atLeast"/>
              <w:ind w:firstLine="411" w:firstLineChars="196"/>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81"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70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753"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92"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670"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6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6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86"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80" w:type="pct"/>
            <w:vAlign w:val="center"/>
          </w:tcPr>
          <w:p>
            <w:pPr>
              <w:widowControl/>
              <w:spacing w:line="360" w:lineRule="atLeast"/>
              <w:ind w:firstLine="411" w:firstLineChars="196"/>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81"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70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753"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92"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670"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6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6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86"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80" w:type="pct"/>
            <w:vAlign w:val="center"/>
          </w:tcPr>
          <w:p>
            <w:pPr>
              <w:widowControl/>
              <w:spacing w:line="360" w:lineRule="atLeast"/>
              <w:ind w:firstLine="411" w:firstLineChars="196"/>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81" w:type="pct"/>
            <w:tcBorders>
              <w:left w:val="single" w:color="auto" w:sz="4" w:space="0"/>
            </w:tcBorders>
            <w:vAlign w:val="center"/>
          </w:tcPr>
          <w:p>
            <w:pPr>
              <w:widowControl/>
              <w:spacing w:line="360" w:lineRule="atLeast"/>
              <w:ind w:firstLine="411" w:firstLineChars="196"/>
              <w:jc w:val="left"/>
              <w:rPr>
                <w:rFonts w:ascii="宋体" w:hAnsi="宋体" w:cs="宋体"/>
                <w:color w:val="auto"/>
                <w:sz w:val="21"/>
                <w:szCs w:val="21"/>
                <w:highlight w:val="none"/>
              </w:rPr>
            </w:pPr>
          </w:p>
        </w:tc>
        <w:tc>
          <w:tcPr>
            <w:tcW w:w="70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753"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92"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670"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6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6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86"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80" w:type="pct"/>
            <w:vAlign w:val="center"/>
          </w:tcPr>
          <w:p>
            <w:pPr>
              <w:widowControl/>
              <w:spacing w:line="360" w:lineRule="atLeast"/>
              <w:ind w:firstLine="411" w:firstLineChars="196"/>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81"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70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753"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92"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670"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6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6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86"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80" w:type="pct"/>
            <w:vAlign w:val="center"/>
          </w:tcPr>
          <w:p>
            <w:pPr>
              <w:widowControl/>
              <w:spacing w:line="360" w:lineRule="atLeast"/>
              <w:ind w:firstLine="411" w:firstLineChars="196"/>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81"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70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753"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92"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670"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6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65"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86" w:type="pct"/>
            <w:vAlign w:val="center"/>
          </w:tcPr>
          <w:p>
            <w:pPr>
              <w:widowControl/>
              <w:spacing w:line="360" w:lineRule="atLeast"/>
              <w:ind w:firstLine="411" w:firstLineChars="196"/>
              <w:jc w:val="left"/>
              <w:rPr>
                <w:rFonts w:ascii="宋体" w:hAnsi="宋体" w:cs="宋体"/>
                <w:color w:val="auto"/>
                <w:sz w:val="21"/>
                <w:szCs w:val="21"/>
                <w:highlight w:val="none"/>
              </w:rPr>
            </w:pPr>
          </w:p>
        </w:tc>
        <w:tc>
          <w:tcPr>
            <w:tcW w:w="480" w:type="pct"/>
            <w:vAlign w:val="center"/>
          </w:tcPr>
          <w:p>
            <w:pPr>
              <w:widowControl/>
              <w:spacing w:line="360" w:lineRule="atLeast"/>
              <w:ind w:firstLine="411" w:firstLineChars="196"/>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81" w:type="pct"/>
            <w:tcBorders>
              <w:top w:val="single" w:color="auto" w:sz="4" w:space="0"/>
              <w:bottom w:val="single" w:color="auto" w:sz="4" w:space="0"/>
            </w:tcBorders>
            <w:vAlign w:val="center"/>
          </w:tcPr>
          <w:p>
            <w:pPr>
              <w:widowControl/>
              <w:spacing w:line="360" w:lineRule="atLeast"/>
              <w:ind w:firstLine="411" w:firstLineChars="196"/>
              <w:jc w:val="left"/>
              <w:rPr>
                <w:rFonts w:ascii="宋体" w:hAnsi="宋体" w:cs="宋体"/>
                <w:color w:val="auto"/>
                <w:sz w:val="21"/>
                <w:szCs w:val="21"/>
                <w:highlight w:val="none"/>
              </w:rPr>
            </w:pPr>
          </w:p>
        </w:tc>
        <w:tc>
          <w:tcPr>
            <w:tcW w:w="4518" w:type="pct"/>
            <w:gridSpan w:val="8"/>
            <w:tcBorders>
              <w:top w:val="single" w:color="auto" w:sz="4" w:space="0"/>
              <w:bottom w:val="single" w:color="auto" w:sz="4" w:space="0"/>
            </w:tcBorders>
            <w:vAlign w:val="center"/>
          </w:tcPr>
          <w:p>
            <w:pPr>
              <w:widowControl/>
              <w:spacing w:line="360" w:lineRule="atLeast"/>
              <w:ind w:firstLine="411" w:firstLineChars="196"/>
              <w:jc w:val="left"/>
              <w:outlineLvl w:val="1"/>
              <w:rPr>
                <w:rFonts w:ascii="宋体" w:hAnsi="宋体" w:cs="宋体"/>
                <w:color w:val="auto"/>
                <w:sz w:val="21"/>
                <w:szCs w:val="21"/>
                <w:highlight w:val="none"/>
              </w:rPr>
            </w:pPr>
            <w:r>
              <w:rPr>
                <w:rFonts w:hint="eastAsia" w:ascii="宋体" w:hAnsi="宋体" w:cs="宋体"/>
                <w:color w:val="auto"/>
                <w:sz w:val="21"/>
                <w:szCs w:val="21"/>
                <w:highlight w:val="none"/>
              </w:rPr>
              <w:t xml:space="preserve">分项报价合计¥ </w:t>
            </w:r>
            <w:r>
              <w:rPr>
                <w:rFonts w:hint="eastAsia" w:ascii="宋体" w:hAnsi="宋体" w:cs="宋体"/>
                <w:color w:val="auto"/>
                <w:sz w:val="21"/>
                <w:szCs w:val="21"/>
                <w:highlight w:val="none"/>
                <w:u w:val="single"/>
              </w:rPr>
              <w:t xml:space="preserve">XXX，XXX，XXX .XX   </w:t>
            </w:r>
            <w:r>
              <w:rPr>
                <w:rFonts w:hint="eastAsia" w:ascii="宋体" w:hAnsi="宋体" w:cs="宋体"/>
                <w:color w:val="auto"/>
                <w:sz w:val="21"/>
                <w:szCs w:val="21"/>
                <w:highlight w:val="none"/>
              </w:rPr>
              <w:t xml:space="preserve">       大写：</w:t>
            </w:r>
            <w:r>
              <w:rPr>
                <w:rFonts w:hint="eastAsia" w:ascii="宋体" w:hAnsi="宋体" w:cs="宋体"/>
                <w:color w:val="auto"/>
                <w:sz w:val="21"/>
                <w:szCs w:val="21"/>
                <w:highlight w:val="none"/>
                <w:u w:val="single"/>
              </w:rPr>
              <w:t xml:space="preserve">           </w:t>
            </w:r>
          </w:p>
        </w:tc>
      </w:tr>
    </w:tbl>
    <w:p>
      <w:pPr>
        <w:widowControl/>
        <w:spacing w:line="360" w:lineRule="auto"/>
        <w:ind w:firstLine="482" w:firstLineChars="200"/>
        <w:jc w:val="left"/>
        <w:rPr>
          <w:rFonts w:hint="eastAsia" w:asciiTheme="minorEastAsia" w:hAnsiTheme="minorEastAsia" w:eastAsiaTheme="minorEastAsia" w:cstheme="minorEastAsia"/>
          <w:b/>
          <w:bCs/>
          <w:color w:val="auto"/>
          <w:sz w:val="24"/>
          <w:highlight w:val="none"/>
          <w:lang w:eastAsia="zh-CN"/>
        </w:rPr>
      </w:pPr>
      <w:r>
        <w:rPr>
          <w:rFonts w:hint="eastAsia" w:asciiTheme="minorEastAsia" w:hAnsiTheme="minorEastAsia" w:eastAsiaTheme="minorEastAsia" w:cstheme="minorEastAsia"/>
          <w:b/>
          <w:bCs/>
          <w:color w:val="auto"/>
          <w:sz w:val="24"/>
          <w:highlight w:val="none"/>
        </w:rPr>
        <w:t>注：1.供应商应根据</w:t>
      </w:r>
      <w:r>
        <w:rPr>
          <w:rFonts w:hint="eastAsia" w:asciiTheme="minorEastAsia" w:hAnsiTheme="minorEastAsia" w:eastAsiaTheme="minorEastAsia" w:cstheme="minorEastAsia"/>
          <w:b/>
          <w:bCs/>
          <w:color w:val="auto"/>
          <w:sz w:val="24"/>
          <w:highlight w:val="none"/>
          <w:lang w:eastAsia="zh-CN"/>
        </w:rPr>
        <w:t>本项目水稻、玉米</w:t>
      </w:r>
      <w:r>
        <w:rPr>
          <w:rFonts w:hint="eastAsia" w:asciiTheme="minorEastAsia" w:hAnsiTheme="minorEastAsia" w:eastAsiaTheme="minorEastAsia" w:cstheme="minorEastAsia"/>
          <w:b/>
          <w:bCs/>
          <w:color w:val="auto"/>
          <w:sz w:val="24"/>
          <w:highlight w:val="none"/>
        </w:rPr>
        <w:t>面积</w:t>
      </w:r>
      <w:r>
        <w:rPr>
          <w:rFonts w:hint="eastAsia" w:asciiTheme="minorEastAsia" w:hAnsiTheme="minorEastAsia" w:eastAsiaTheme="minorEastAsia" w:cstheme="minorEastAsia"/>
          <w:b/>
          <w:bCs/>
          <w:color w:val="auto"/>
          <w:sz w:val="24"/>
          <w:highlight w:val="none"/>
          <w:lang w:eastAsia="zh-CN"/>
        </w:rPr>
        <w:t>进行报价；</w:t>
      </w:r>
      <w:r>
        <w:rPr>
          <w:rFonts w:hint="eastAsia" w:asciiTheme="minorEastAsia" w:hAnsiTheme="minorEastAsia" w:eastAsiaTheme="minorEastAsia" w:cstheme="minorEastAsia"/>
          <w:b/>
          <w:bCs/>
          <w:color w:val="auto"/>
          <w:sz w:val="24"/>
          <w:highlight w:val="none"/>
          <w:lang w:val="en-US" w:eastAsia="zh-CN"/>
        </w:rPr>
        <w:t>单价限价为：</w:t>
      </w:r>
      <w:r>
        <w:rPr>
          <w:rFonts w:hint="eastAsia" w:asciiTheme="minorEastAsia" w:hAnsiTheme="minorEastAsia" w:eastAsiaTheme="minorEastAsia" w:cstheme="minorEastAsia"/>
          <w:b/>
          <w:bCs/>
          <w:color w:val="auto"/>
          <w:sz w:val="24"/>
          <w:highlight w:val="none"/>
          <w:lang w:eastAsia="zh-CN"/>
        </w:rPr>
        <w:t>水稻36元/亩，玉米32元/亩。</w:t>
      </w:r>
    </w:p>
    <w:p>
      <w:pPr>
        <w:widowControl/>
        <w:spacing w:line="360" w:lineRule="auto"/>
        <w:ind w:firstLine="482" w:firstLineChars="200"/>
        <w:jc w:val="lef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lang w:val="en-US" w:eastAsia="zh-CN"/>
        </w:rPr>
        <w:t>2.</w:t>
      </w:r>
      <w:r>
        <w:rPr>
          <w:rFonts w:hint="eastAsia" w:asciiTheme="minorEastAsia" w:hAnsiTheme="minorEastAsia" w:eastAsiaTheme="minorEastAsia" w:cstheme="minorEastAsia"/>
          <w:b/>
          <w:bCs/>
          <w:color w:val="auto"/>
          <w:sz w:val="24"/>
          <w:highlight w:val="none"/>
        </w:rPr>
        <w:t>供应商应按“分项报价明细表”的格式详细报出总价的各个组成部分的报价。</w:t>
      </w:r>
    </w:p>
    <w:p>
      <w:pPr>
        <w:widowControl/>
        <w:spacing w:line="360" w:lineRule="auto"/>
        <w:ind w:firstLine="482" w:firstLineChars="200"/>
        <w:jc w:val="lef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lang w:val="en-US" w:eastAsia="zh-CN"/>
        </w:rPr>
        <w:t>3</w:t>
      </w:r>
      <w:r>
        <w:rPr>
          <w:rFonts w:hint="eastAsia" w:asciiTheme="minorEastAsia" w:hAnsiTheme="minorEastAsia" w:eastAsiaTheme="minorEastAsia" w:cstheme="minorEastAsia"/>
          <w:b/>
          <w:bCs/>
          <w:color w:val="auto"/>
          <w:sz w:val="24"/>
          <w:highlight w:val="none"/>
        </w:rPr>
        <w:t>.“分项报价明细表”各分项报价合计应当与“第一次报价一览表”报价合计相等。</w:t>
      </w:r>
    </w:p>
    <w:p>
      <w:pPr>
        <w:widowControl/>
        <w:spacing w:line="360" w:lineRule="atLeast"/>
        <w:ind w:firstLine="472" w:firstLineChars="196"/>
        <w:jc w:val="left"/>
        <w:rPr>
          <w:rFonts w:ascii="仿宋" w:hAnsi="仿宋" w:eastAsia="仿宋"/>
          <w:b/>
          <w:color w:val="auto"/>
          <w:sz w:val="24"/>
          <w:highlight w:val="none"/>
        </w:rPr>
      </w:pPr>
    </w:p>
    <w:p>
      <w:pPr>
        <w:widowControl/>
        <w:spacing w:line="360" w:lineRule="atLeast"/>
        <w:ind w:firstLine="472" w:firstLineChars="196"/>
        <w:jc w:val="left"/>
        <w:rPr>
          <w:rFonts w:ascii="仿宋" w:hAnsi="仿宋" w:eastAsia="仿宋"/>
          <w:b/>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pStyle w:val="2"/>
        <w:rPr>
          <w:rFonts w:hint="eastAsia" w:asciiTheme="minorEastAsia" w:hAnsiTheme="minorEastAsia" w:eastAsiaTheme="minorEastAsia" w:cstheme="minorEastAsia"/>
          <w:color w:val="auto"/>
          <w:sz w:val="24"/>
          <w:highlight w:val="none"/>
        </w:rPr>
      </w:pPr>
    </w:p>
    <w:p>
      <w:pPr>
        <w:pStyle w:val="42"/>
        <w:rPr>
          <w:highlight w:val="none"/>
        </w:rPr>
        <w:sectPr>
          <w:footerReference r:id="rId8" w:type="default"/>
          <w:pgSz w:w="11850" w:h="16783"/>
          <w:pgMar w:top="1440" w:right="1304" w:bottom="1440" w:left="1417" w:header="851" w:footer="992" w:gutter="0"/>
          <w:pgNumType w:fmt="numberInDash" w:start="1"/>
          <w:cols w:space="720" w:num="1"/>
          <w:docGrid w:type="lines" w:linePitch="312" w:charSpace="0"/>
        </w:sectPr>
      </w:pPr>
    </w:p>
    <w:p>
      <w:pPr>
        <w:pStyle w:val="6"/>
        <w:spacing w:before="0" w:after="0" w:line="360" w:lineRule="auto"/>
        <w:jc w:val="center"/>
        <w:rPr>
          <w:rStyle w:val="62"/>
          <w:b/>
          <w:bCs/>
          <w:color w:val="auto"/>
          <w:highlight w:val="none"/>
        </w:rPr>
      </w:pPr>
      <w:r>
        <w:rPr>
          <w:rStyle w:val="62"/>
          <w:rFonts w:hint="eastAsia"/>
          <w:b/>
          <w:bCs/>
          <w:color w:val="auto"/>
          <w:highlight w:val="none"/>
        </w:rPr>
        <w:t>四、技术参数要求应答表</w:t>
      </w:r>
    </w:p>
    <w:p>
      <w:pPr>
        <w:spacing w:line="360" w:lineRule="auto"/>
        <w:rPr>
          <w:rFonts w:hint="eastAsia" w:ascii="宋体" w:hAnsi="宋体"/>
          <w:color w:val="auto"/>
          <w:sz w:val="24"/>
          <w:highlight w:val="none"/>
        </w:rPr>
      </w:pPr>
    </w:p>
    <w:p>
      <w:pPr>
        <w:spacing w:line="360" w:lineRule="auto"/>
        <w:rPr>
          <w:rFonts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u w:val="single"/>
        </w:rPr>
      </w:pPr>
      <w:r>
        <w:rPr>
          <w:rFonts w:hint="eastAsia" w:ascii="宋体" w:hAnsi="宋体"/>
          <w:color w:val="auto"/>
          <w:sz w:val="24"/>
          <w:highlight w:val="none"/>
        </w:rPr>
        <w:t>项目编号：</w:t>
      </w:r>
      <w:r>
        <w:rPr>
          <w:rFonts w:hint="eastAsia" w:ascii="宋体" w:hAnsi="宋体"/>
          <w:color w:val="auto"/>
          <w:sz w:val="24"/>
          <w:highlight w:val="none"/>
          <w:u w:val="single"/>
        </w:rPr>
        <w:t xml:space="preserve">            </w:t>
      </w:r>
    </w:p>
    <w:tbl>
      <w:tblPr>
        <w:tblStyle w:val="4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989"/>
        <w:gridCol w:w="1839"/>
        <w:gridCol w:w="2234"/>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vAlign w:val="center"/>
          </w:tcPr>
          <w:p>
            <w:pPr>
              <w:spacing w:line="480" w:lineRule="auto"/>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1064" w:type="pct"/>
            <w:vAlign w:val="center"/>
          </w:tcPr>
          <w:p>
            <w:pPr>
              <w:spacing w:line="480" w:lineRule="auto"/>
              <w:jc w:val="center"/>
              <w:rPr>
                <w:rFonts w:ascii="宋体" w:hAnsi="宋体"/>
                <w:color w:val="auto"/>
                <w:sz w:val="21"/>
                <w:szCs w:val="21"/>
                <w:highlight w:val="none"/>
              </w:rPr>
            </w:pPr>
            <w:r>
              <w:rPr>
                <w:rFonts w:hint="eastAsia" w:ascii="宋体" w:hAnsi="宋体"/>
                <w:color w:val="auto"/>
                <w:sz w:val="21"/>
                <w:szCs w:val="21"/>
                <w:highlight w:val="none"/>
                <w:lang w:eastAsia="zh-CN"/>
              </w:rPr>
              <w:t>谈判</w:t>
            </w:r>
            <w:r>
              <w:rPr>
                <w:rFonts w:hint="eastAsia" w:ascii="宋体" w:hAnsi="宋体"/>
                <w:color w:val="auto"/>
                <w:sz w:val="21"/>
                <w:szCs w:val="21"/>
                <w:highlight w:val="none"/>
              </w:rPr>
              <w:t>文件条目号</w:t>
            </w:r>
          </w:p>
        </w:tc>
        <w:tc>
          <w:tcPr>
            <w:tcW w:w="984" w:type="pct"/>
            <w:vAlign w:val="center"/>
          </w:tcPr>
          <w:p>
            <w:pPr>
              <w:spacing w:line="480" w:lineRule="auto"/>
              <w:jc w:val="center"/>
              <w:rPr>
                <w:rFonts w:ascii="宋体" w:hAnsi="宋体"/>
                <w:color w:val="auto"/>
                <w:sz w:val="21"/>
                <w:szCs w:val="21"/>
                <w:highlight w:val="none"/>
              </w:rPr>
            </w:pPr>
            <w:r>
              <w:rPr>
                <w:rFonts w:hint="eastAsia" w:ascii="宋体" w:hAnsi="宋体"/>
                <w:color w:val="auto"/>
                <w:sz w:val="21"/>
                <w:szCs w:val="21"/>
                <w:highlight w:val="none"/>
                <w:lang w:eastAsia="zh-CN"/>
              </w:rPr>
              <w:t>谈判</w:t>
            </w:r>
            <w:r>
              <w:rPr>
                <w:rFonts w:hint="eastAsia" w:ascii="宋体" w:hAnsi="宋体"/>
                <w:color w:val="auto"/>
                <w:sz w:val="21"/>
                <w:szCs w:val="21"/>
                <w:highlight w:val="none"/>
              </w:rPr>
              <w:t>文件要求</w:t>
            </w:r>
          </w:p>
        </w:tc>
        <w:tc>
          <w:tcPr>
            <w:tcW w:w="1195" w:type="pct"/>
            <w:vAlign w:val="center"/>
          </w:tcPr>
          <w:p>
            <w:pPr>
              <w:spacing w:line="480" w:lineRule="auto"/>
              <w:jc w:val="center"/>
              <w:rPr>
                <w:rFonts w:ascii="宋体" w:hAnsi="宋体"/>
                <w:color w:val="auto"/>
                <w:sz w:val="21"/>
                <w:szCs w:val="21"/>
                <w:highlight w:val="none"/>
              </w:rPr>
            </w:pPr>
            <w:r>
              <w:rPr>
                <w:rFonts w:hint="eastAsia" w:ascii="宋体" w:hAnsi="宋体"/>
                <w:color w:val="auto"/>
                <w:sz w:val="21"/>
                <w:szCs w:val="21"/>
                <w:highlight w:val="none"/>
              </w:rPr>
              <w:t>响应文件应答</w:t>
            </w:r>
          </w:p>
        </w:tc>
        <w:tc>
          <w:tcPr>
            <w:tcW w:w="1298" w:type="pct"/>
            <w:vAlign w:val="center"/>
          </w:tcPr>
          <w:p>
            <w:pPr>
              <w:spacing w:line="480" w:lineRule="auto"/>
              <w:jc w:val="center"/>
              <w:rPr>
                <w:rFonts w:ascii="宋体" w:hAnsi="宋体"/>
                <w:color w:val="auto"/>
                <w:sz w:val="21"/>
                <w:szCs w:val="21"/>
                <w:highlight w:val="none"/>
              </w:rPr>
            </w:pPr>
            <w:r>
              <w:rPr>
                <w:rFonts w:hint="eastAsia" w:ascii="宋体" w:hAnsi="宋体"/>
                <w:color w:val="auto"/>
                <w:sz w:val="21"/>
                <w:szCs w:val="21"/>
                <w:highlight w:val="none"/>
              </w:rPr>
              <w:t>偏离情况（正偏离或负偏离或无偏离）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 w:val="21"/>
                <w:szCs w:val="21"/>
                <w:highlight w:val="none"/>
              </w:rPr>
            </w:pPr>
          </w:p>
        </w:tc>
        <w:tc>
          <w:tcPr>
            <w:tcW w:w="1064" w:type="pct"/>
          </w:tcPr>
          <w:p>
            <w:pPr>
              <w:spacing w:line="480" w:lineRule="auto"/>
              <w:jc w:val="center"/>
              <w:rPr>
                <w:rFonts w:ascii="宋体" w:hAnsi="宋体"/>
                <w:color w:val="auto"/>
                <w:sz w:val="21"/>
                <w:szCs w:val="21"/>
                <w:highlight w:val="none"/>
              </w:rPr>
            </w:pPr>
          </w:p>
        </w:tc>
        <w:tc>
          <w:tcPr>
            <w:tcW w:w="984" w:type="pct"/>
          </w:tcPr>
          <w:p>
            <w:pPr>
              <w:spacing w:line="480" w:lineRule="auto"/>
              <w:jc w:val="center"/>
              <w:rPr>
                <w:rFonts w:ascii="宋体" w:hAnsi="宋体"/>
                <w:color w:val="auto"/>
                <w:sz w:val="21"/>
                <w:szCs w:val="21"/>
                <w:highlight w:val="none"/>
              </w:rPr>
            </w:pPr>
          </w:p>
        </w:tc>
        <w:tc>
          <w:tcPr>
            <w:tcW w:w="1195" w:type="pct"/>
          </w:tcPr>
          <w:p>
            <w:pPr>
              <w:spacing w:line="480" w:lineRule="auto"/>
              <w:jc w:val="center"/>
              <w:rPr>
                <w:rFonts w:ascii="宋体" w:hAnsi="宋体"/>
                <w:color w:val="auto"/>
                <w:sz w:val="21"/>
                <w:szCs w:val="21"/>
                <w:highlight w:val="none"/>
              </w:rPr>
            </w:pPr>
          </w:p>
        </w:tc>
        <w:tc>
          <w:tcPr>
            <w:tcW w:w="1298" w:type="pct"/>
          </w:tcPr>
          <w:p>
            <w:pPr>
              <w:spacing w:line="48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 w:val="21"/>
                <w:szCs w:val="21"/>
                <w:highlight w:val="none"/>
              </w:rPr>
            </w:pPr>
          </w:p>
        </w:tc>
        <w:tc>
          <w:tcPr>
            <w:tcW w:w="1064" w:type="pct"/>
          </w:tcPr>
          <w:p>
            <w:pPr>
              <w:spacing w:line="480" w:lineRule="auto"/>
              <w:jc w:val="center"/>
              <w:rPr>
                <w:rFonts w:ascii="宋体" w:hAnsi="宋体"/>
                <w:color w:val="auto"/>
                <w:sz w:val="21"/>
                <w:szCs w:val="21"/>
                <w:highlight w:val="none"/>
              </w:rPr>
            </w:pPr>
          </w:p>
        </w:tc>
        <w:tc>
          <w:tcPr>
            <w:tcW w:w="984" w:type="pct"/>
          </w:tcPr>
          <w:p>
            <w:pPr>
              <w:spacing w:line="480" w:lineRule="auto"/>
              <w:jc w:val="center"/>
              <w:rPr>
                <w:rFonts w:ascii="宋体" w:hAnsi="宋体"/>
                <w:color w:val="auto"/>
                <w:sz w:val="21"/>
                <w:szCs w:val="21"/>
                <w:highlight w:val="none"/>
              </w:rPr>
            </w:pPr>
          </w:p>
        </w:tc>
        <w:tc>
          <w:tcPr>
            <w:tcW w:w="1195" w:type="pct"/>
          </w:tcPr>
          <w:p>
            <w:pPr>
              <w:spacing w:line="480" w:lineRule="auto"/>
              <w:jc w:val="center"/>
              <w:rPr>
                <w:rFonts w:ascii="宋体" w:hAnsi="宋体"/>
                <w:color w:val="auto"/>
                <w:sz w:val="21"/>
                <w:szCs w:val="21"/>
                <w:highlight w:val="none"/>
              </w:rPr>
            </w:pPr>
          </w:p>
        </w:tc>
        <w:tc>
          <w:tcPr>
            <w:tcW w:w="1298" w:type="pct"/>
          </w:tcPr>
          <w:p>
            <w:pPr>
              <w:spacing w:line="48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 w:val="21"/>
                <w:szCs w:val="21"/>
                <w:highlight w:val="none"/>
              </w:rPr>
            </w:pPr>
          </w:p>
        </w:tc>
        <w:tc>
          <w:tcPr>
            <w:tcW w:w="1064" w:type="pct"/>
          </w:tcPr>
          <w:p>
            <w:pPr>
              <w:spacing w:line="480" w:lineRule="auto"/>
              <w:jc w:val="center"/>
              <w:rPr>
                <w:rFonts w:ascii="宋体" w:hAnsi="宋体"/>
                <w:color w:val="auto"/>
                <w:sz w:val="21"/>
                <w:szCs w:val="21"/>
                <w:highlight w:val="none"/>
              </w:rPr>
            </w:pPr>
          </w:p>
        </w:tc>
        <w:tc>
          <w:tcPr>
            <w:tcW w:w="984" w:type="pct"/>
          </w:tcPr>
          <w:p>
            <w:pPr>
              <w:spacing w:line="480" w:lineRule="auto"/>
              <w:jc w:val="center"/>
              <w:rPr>
                <w:rFonts w:ascii="宋体" w:hAnsi="宋体"/>
                <w:color w:val="auto"/>
                <w:sz w:val="21"/>
                <w:szCs w:val="21"/>
                <w:highlight w:val="none"/>
              </w:rPr>
            </w:pPr>
          </w:p>
        </w:tc>
        <w:tc>
          <w:tcPr>
            <w:tcW w:w="1195" w:type="pct"/>
          </w:tcPr>
          <w:p>
            <w:pPr>
              <w:spacing w:line="480" w:lineRule="auto"/>
              <w:jc w:val="center"/>
              <w:rPr>
                <w:rFonts w:ascii="宋体" w:hAnsi="宋体"/>
                <w:color w:val="auto"/>
                <w:sz w:val="21"/>
                <w:szCs w:val="21"/>
                <w:highlight w:val="none"/>
              </w:rPr>
            </w:pPr>
          </w:p>
        </w:tc>
        <w:tc>
          <w:tcPr>
            <w:tcW w:w="1298" w:type="pct"/>
          </w:tcPr>
          <w:p>
            <w:pPr>
              <w:spacing w:line="48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 w:val="21"/>
                <w:szCs w:val="21"/>
                <w:highlight w:val="none"/>
              </w:rPr>
            </w:pPr>
          </w:p>
        </w:tc>
        <w:tc>
          <w:tcPr>
            <w:tcW w:w="1064" w:type="pct"/>
          </w:tcPr>
          <w:p>
            <w:pPr>
              <w:spacing w:line="480" w:lineRule="auto"/>
              <w:jc w:val="center"/>
              <w:rPr>
                <w:rFonts w:ascii="宋体" w:hAnsi="宋体"/>
                <w:color w:val="auto"/>
                <w:sz w:val="21"/>
                <w:szCs w:val="21"/>
                <w:highlight w:val="none"/>
              </w:rPr>
            </w:pPr>
          </w:p>
        </w:tc>
        <w:tc>
          <w:tcPr>
            <w:tcW w:w="984" w:type="pct"/>
          </w:tcPr>
          <w:p>
            <w:pPr>
              <w:spacing w:line="480" w:lineRule="auto"/>
              <w:jc w:val="center"/>
              <w:rPr>
                <w:rFonts w:ascii="宋体" w:hAnsi="宋体"/>
                <w:color w:val="auto"/>
                <w:sz w:val="21"/>
                <w:szCs w:val="21"/>
                <w:highlight w:val="none"/>
              </w:rPr>
            </w:pPr>
          </w:p>
        </w:tc>
        <w:tc>
          <w:tcPr>
            <w:tcW w:w="1195" w:type="pct"/>
          </w:tcPr>
          <w:p>
            <w:pPr>
              <w:spacing w:line="480" w:lineRule="auto"/>
              <w:jc w:val="center"/>
              <w:rPr>
                <w:rFonts w:ascii="宋体" w:hAnsi="宋体"/>
                <w:color w:val="auto"/>
                <w:sz w:val="21"/>
                <w:szCs w:val="21"/>
                <w:highlight w:val="none"/>
              </w:rPr>
            </w:pPr>
          </w:p>
        </w:tc>
        <w:tc>
          <w:tcPr>
            <w:tcW w:w="1298" w:type="pct"/>
          </w:tcPr>
          <w:p>
            <w:pPr>
              <w:spacing w:line="48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 w:val="21"/>
                <w:szCs w:val="21"/>
                <w:highlight w:val="none"/>
              </w:rPr>
            </w:pPr>
          </w:p>
        </w:tc>
        <w:tc>
          <w:tcPr>
            <w:tcW w:w="1064" w:type="pct"/>
          </w:tcPr>
          <w:p>
            <w:pPr>
              <w:spacing w:line="480" w:lineRule="auto"/>
              <w:jc w:val="center"/>
              <w:rPr>
                <w:rFonts w:ascii="宋体" w:hAnsi="宋体"/>
                <w:color w:val="auto"/>
                <w:sz w:val="21"/>
                <w:szCs w:val="21"/>
                <w:highlight w:val="none"/>
              </w:rPr>
            </w:pPr>
          </w:p>
        </w:tc>
        <w:tc>
          <w:tcPr>
            <w:tcW w:w="984" w:type="pct"/>
          </w:tcPr>
          <w:p>
            <w:pPr>
              <w:spacing w:line="480" w:lineRule="auto"/>
              <w:jc w:val="center"/>
              <w:rPr>
                <w:rFonts w:ascii="宋体" w:hAnsi="宋体"/>
                <w:color w:val="auto"/>
                <w:sz w:val="21"/>
                <w:szCs w:val="21"/>
                <w:highlight w:val="none"/>
              </w:rPr>
            </w:pPr>
          </w:p>
        </w:tc>
        <w:tc>
          <w:tcPr>
            <w:tcW w:w="1195" w:type="pct"/>
          </w:tcPr>
          <w:p>
            <w:pPr>
              <w:spacing w:line="480" w:lineRule="auto"/>
              <w:jc w:val="center"/>
              <w:rPr>
                <w:rFonts w:ascii="宋体" w:hAnsi="宋体"/>
                <w:color w:val="auto"/>
                <w:sz w:val="21"/>
                <w:szCs w:val="21"/>
                <w:highlight w:val="none"/>
              </w:rPr>
            </w:pPr>
          </w:p>
        </w:tc>
        <w:tc>
          <w:tcPr>
            <w:tcW w:w="1298" w:type="pct"/>
          </w:tcPr>
          <w:p>
            <w:pPr>
              <w:spacing w:line="48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 w:val="21"/>
                <w:szCs w:val="21"/>
                <w:highlight w:val="none"/>
              </w:rPr>
            </w:pPr>
          </w:p>
        </w:tc>
        <w:tc>
          <w:tcPr>
            <w:tcW w:w="1064" w:type="pct"/>
          </w:tcPr>
          <w:p>
            <w:pPr>
              <w:spacing w:line="480" w:lineRule="auto"/>
              <w:jc w:val="center"/>
              <w:rPr>
                <w:rFonts w:ascii="宋体" w:hAnsi="宋体"/>
                <w:color w:val="auto"/>
                <w:sz w:val="21"/>
                <w:szCs w:val="21"/>
                <w:highlight w:val="none"/>
              </w:rPr>
            </w:pPr>
          </w:p>
        </w:tc>
        <w:tc>
          <w:tcPr>
            <w:tcW w:w="984" w:type="pct"/>
          </w:tcPr>
          <w:p>
            <w:pPr>
              <w:spacing w:line="480" w:lineRule="auto"/>
              <w:jc w:val="center"/>
              <w:rPr>
                <w:rFonts w:ascii="宋体" w:hAnsi="宋体"/>
                <w:color w:val="auto"/>
                <w:sz w:val="21"/>
                <w:szCs w:val="21"/>
                <w:highlight w:val="none"/>
              </w:rPr>
            </w:pPr>
          </w:p>
        </w:tc>
        <w:tc>
          <w:tcPr>
            <w:tcW w:w="1195" w:type="pct"/>
          </w:tcPr>
          <w:p>
            <w:pPr>
              <w:spacing w:line="480" w:lineRule="auto"/>
              <w:jc w:val="center"/>
              <w:rPr>
                <w:rFonts w:ascii="宋体" w:hAnsi="宋体"/>
                <w:color w:val="auto"/>
                <w:sz w:val="21"/>
                <w:szCs w:val="21"/>
                <w:highlight w:val="none"/>
              </w:rPr>
            </w:pPr>
          </w:p>
        </w:tc>
        <w:tc>
          <w:tcPr>
            <w:tcW w:w="1298" w:type="pct"/>
          </w:tcPr>
          <w:p>
            <w:pPr>
              <w:spacing w:line="48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 w:val="21"/>
                <w:szCs w:val="21"/>
                <w:highlight w:val="none"/>
              </w:rPr>
            </w:pPr>
          </w:p>
        </w:tc>
        <w:tc>
          <w:tcPr>
            <w:tcW w:w="1064" w:type="pct"/>
          </w:tcPr>
          <w:p>
            <w:pPr>
              <w:spacing w:line="480" w:lineRule="auto"/>
              <w:jc w:val="center"/>
              <w:rPr>
                <w:rFonts w:ascii="宋体" w:hAnsi="宋体"/>
                <w:color w:val="auto"/>
                <w:sz w:val="21"/>
                <w:szCs w:val="21"/>
                <w:highlight w:val="none"/>
              </w:rPr>
            </w:pPr>
          </w:p>
        </w:tc>
        <w:tc>
          <w:tcPr>
            <w:tcW w:w="984" w:type="pct"/>
          </w:tcPr>
          <w:p>
            <w:pPr>
              <w:spacing w:line="480" w:lineRule="auto"/>
              <w:jc w:val="center"/>
              <w:rPr>
                <w:rFonts w:ascii="宋体" w:hAnsi="宋体"/>
                <w:color w:val="auto"/>
                <w:sz w:val="21"/>
                <w:szCs w:val="21"/>
                <w:highlight w:val="none"/>
              </w:rPr>
            </w:pPr>
          </w:p>
        </w:tc>
        <w:tc>
          <w:tcPr>
            <w:tcW w:w="1195" w:type="pct"/>
          </w:tcPr>
          <w:p>
            <w:pPr>
              <w:spacing w:line="480" w:lineRule="auto"/>
              <w:jc w:val="center"/>
              <w:rPr>
                <w:rFonts w:ascii="宋体" w:hAnsi="宋体"/>
                <w:color w:val="auto"/>
                <w:sz w:val="21"/>
                <w:szCs w:val="21"/>
                <w:highlight w:val="none"/>
              </w:rPr>
            </w:pPr>
          </w:p>
        </w:tc>
        <w:tc>
          <w:tcPr>
            <w:tcW w:w="1298" w:type="pct"/>
          </w:tcPr>
          <w:p>
            <w:pPr>
              <w:spacing w:line="480" w:lineRule="auto"/>
              <w:jc w:val="center"/>
              <w:rPr>
                <w:rFonts w:ascii="宋体" w:hAnsi="宋体"/>
                <w:color w:val="auto"/>
                <w:sz w:val="21"/>
                <w:szCs w:val="21"/>
                <w:highlight w:val="none"/>
              </w:rPr>
            </w:pPr>
          </w:p>
        </w:tc>
      </w:tr>
    </w:tbl>
    <w:p>
      <w:pPr>
        <w:widowControl/>
        <w:spacing w:line="360" w:lineRule="auto"/>
        <w:ind w:firstLine="482"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注：1.</w:t>
      </w:r>
      <w:r>
        <w:rPr>
          <w:rFonts w:hint="eastAsia" w:asciiTheme="minorEastAsia" w:hAnsiTheme="minorEastAsia" w:eastAsiaTheme="minorEastAsia" w:cstheme="minorEastAsia"/>
          <w:b/>
          <w:bCs/>
          <w:color w:val="auto"/>
          <w:sz w:val="24"/>
          <w:highlight w:val="none"/>
          <w:lang w:val="en-US" w:eastAsia="zh-CN"/>
        </w:rPr>
        <w:t>供应商按照谈判</w:t>
      </w:r>
      <w:r>
        <w:rPr>
          <w:rFonts w:hint="eastAsia" w:asciiTheme="minorEastAsia" w:hAnsiTheme="minorEastAsia" w:eastAsiaTheme="minorEastAsia" w:cstheme="minorEastAsia"/>
          <w:b/>
          <w:bCs/>
          <w:color w:val="auto"/>
          <w:sz w:val="24"/>
          <w:highlight w:val="none"/>
        </w:rPr>
        <w:t>文件第</w:t>
      </w:r>
      <w:r>
        <w:rPr>
          <w:rFonts w:hint="eastAsia" w:asciiTheme="minorEastAsia" w:hAnsiTheme="minorEastAsia" w:eastAsiaTheme="minorEastAsia" w:cstheme="minorEastAsia"/>
          <w:b/>
          <w:bCs/>
          <w:color w:val="auto"/>
          <w:sz w:val="24"/>
          <w:highlight w:val="none"/>
          <w:lang w:val="en-US" w:eastAsia="zh-CN"/>
        </w:rPr>
        <w:t>五</w:t>
      </w:r>
      <w:r>
        <w:rPr>
          <w:rFonts w:hint="eastAsia" w:asciiTheme="minorEastAsia" w:hAnsiTheme="minorEastAsia" w:eastAsiaTheme="minorEastAsia" w:cstheme="minorEastAsia"/>
          <w:b/>
          <w:bCs/>
          <w:color w:val="auto"/>
          <w:sz w:val="24"/>
          <w:highlight w:val="none"/>
        </w:rPr>
        <w:t>章“技术参数要求”全部列入此表进行应答。</w:t>
      </w:r>
    </w:p>
    <w:p>
      <w:pPr>
        <w:widowControl/>
        <w:spacing w:line="360" w:lineRule="auto"/>
        <w:ind w:firstLine="482"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2．按照</w:t>
      </w:r>
      <w:r>
        <w:rPr>
          <w:rFonts w:hint="eastAsia" w:asciiTheme="minorEastAsia" w:hAnsiTheme="minorEastAsia" w:eastAsiaTheme="minorEastAsia" w:cstheme="minorEastAsia"/>
          <w:b/>
          <w:bCs/>
          <w:color w:val="auto"/>
          <w:sz w:val="24"/>
          <w:highlight w:val="none"/>
          <w:lang w:val="en-US" w:eastAsia="zh-CN"/>
        </w:rPr>
        <w:t>采购</w:t>
      </w:r>
      <w:r>
        <w:rPr>
          <w:rFonts w:hint="eastAsia" w:asciiTheme="minorEastAsia" w:hAnsiTheme="minorEastAsia" w:eastAsiaTheme="minorEastAsia" w:cstheme="minorEastAsia"/>
          <w:b/>
          <w:bCs/>
          <w:color w:val="auto"/>
          <w:sz w:val="24"/>
          <w:highlight w:val="none"/>
        </w:rPr>
        <w:t>项目技术</w:t>
      </w:r>
      <w:r>
        <w:rPr>
          <w:rFonts w:hint="eastAsia" w:asciiTheme="minorEastAsia" w:hAnsiTheme="minorEastAsia" w:eastAsiaTheme="minorEastAsia" w:cstheme="minorEastAsia"/>
          <w:b/>
          <w:bCs/>
          <w:color w:val="auto"/>
          <w:sz w:val="24"/>
          <w:highlight w:val="none"/>
          <w:lang w:val="en-US" w:eastAsia="zh-CN"/>
        </w:rPr>
        <w:t>参数</w:t>
      </w:r>
      <w:r>
        <w:rPr>
          <w:rFonts w:hint="eastAsia" w:asciiTheme="minorEastAsia" w:hAnsiTheme="minorEastAsia" w:eastAsiaTheme="minorEastAsia" w:cstheme="minorEastAsia"/>
          <w:b/>
          <w:bCs/>
          <w:color w:val="auto"/>
          <w:sz w:val="24"/>
          <w:highlight w:val="none"/>
        </w:rPr>
        <w:t>要求的顺序逐条对应填写。</w:t>
      </w:r>
    </w:p>
    <w:p>
      <w:pPr>
        <w:widowControl/>
        <w:spacing w:line="360" w:lineRule="auto"/>
        <w:ind w:firstLine="482"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3．</w:t>
      </w:r>
      <w:r>
        <w:rPr>
          <w:rFonts w:hint="eastAsia" w:asciiTheme="minorEastAsia" w:hAnsiTheme="minorEastAsia" w:eastAsiaTheme="minorEastAsia" w:cstheme="minorEastAsia"/>
          <w:b/>
          <w:bCs/>
          <w:color w:val="auto"/>
          <w:sz w:val="24"/>
          <w:highlight w:val="none"/>
          <w:lang w:val="en-US" w:eastAsia="zh-CN"/>
        </w:rPr>
        <w:t>供应商</w:t>
      </w:r>
      <w:r>
        <w:rPr>
          <w:rFonts w:hint="eastAsia" w:asciiTheme="minorEastAsia" w:hAnsiTheme="minorEastAsia" w:eastAsiaTheme="minorEastAsia" w:cstheme="minorEastAsia"/>
          <w:b/>
          <w:bCs/>
          <w:color w:val="auto"/>
          <w:sz w:val="24"/>
          <w:highlight w:val="none"/>
        </w:rPr>
        <w:t>必须据实填写，不得虚假填写，否则将取消其</w:t>
      </w:r>
      <w:r>
        <w:rPr>
          <w:rFonts w:hint="eastAsia" w:asciiTheme="minorEastAsia" w:hAnsiTheme="minorEastAsia" w:eastAsiaTheme="minorEastAsia" w:cstheme="minorEastAsia"/>
          <w:b/>
          <w:bCs/>
          <w:color w:val="auto"/>
          <w:sz w:val="24"/>
          <w:highlight w:val="none"/>
          <w:lang w:val="en-US" w:eastAsia="zh-CN"/>
        </w:rPr>
        <w:t>谈判</w:t>
      </w:r>
      <w:r>
        <w:rPr>
          <w:rFonts w:hint="eastAsia" w:asciiTheme="minorEastAsia" w:hAnsiTheme="minorEastAsia" w:eastAsiaTheme="minorEastAsia" w:cstheme="minorEastAsia"/>
          <w:b/>
          <w:bCs/>
          <w:color w:val="auto"/>
          <w:sz w:val="24"/>
          <w:highlight w:val="none"/>
        </w:rPr>
        <w:t>或</w:t>
      </w:r>
      <w:r>
        <w:rPr>
          <w:rFonts w:hint="eastAsia" w:asciiTheme="minorEastAsia" w:hAnsiTheme="minorEastAsia" w:eastAsiaTheme="minorEastAsia" w:cstheme="minorEastAsia"/>
          <w:b/>
          <w:bCs/>
          <w:color w:val="auto"/>
          <w:sz w:val="24"/>
          <w:highlight w:val="none"/>
          <w:lang w:val="en-US" w:eastAsia="zh-CN"/>
        </w:rPr>
        <w:t>成交</w:t>
      </w:r>
      <w:r>
        <w:rPr>
          <w:rFonts w:hint="eastAsia" w:asciiTheme="minorEastAsia" w:hAnsiTheme="minorEastAsia" w:eastAsiaTheme="minorEastAsia" w:cstheme="minorEastAsia"/>
          <w:b/>
          <w:bCs/>
          <w:color w:val="auto"/>
          <w:sz w:val="24"/>
          <w:highlight w:val="none"/>
        </w:rPr>
        <w:t>资格。</w:t>
      </w:r>
    </w:p>
    <w:p>
      <w:pPr>
        <w:adjustRightInd w:val="0"/>
        <w:spacing w:line="480" w:lineRule="auto"/>
        <w:ind w:firstLine="480" w:firstLineChars="200"/>
        <w:jc w:val="left"/>
        <w:rPr>
          <w:rFonts w:ascii="新宋体" w:hAnsi="新宋体" w:eastAsia="新宋体"/>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pStyle w:val="6"/>
        <w:spacing w:before="0" w:after="0" w:line="360" w:lineRule="auto"/>
        <w:jc w:val="center"/>
        <w:outlineLvl w:val="9"/>
        <w:rPr>
          <w:color w:val="auto"/>
          <w:highlight w:val="none"/>
        </w:rPr>
        <w:sectPr>
          <w:footerReference r:id="rId9" w:type="default"/>
          <w:pgSz w:w="11850" w:h="16783"/>
          <w:pgMar w:top="1440" w:right="1304" w:bottom="1440" w:left="1417" w:header="851" w:footer="992" w:gutter="0"/>
          <w:pgNumType w:fmt="numberInDash"/>
          <w:cols w:space="0" w:num="1"/>
          <w:docGrid w:type="lines" w:linePitch="312" w:charSpace="0"/>
        </w:sectPr>
      </w:pPr>
    </w:p>
    <w:p>
      <w:pPr>
        <w:pStyle w:val="6"/>
        <w:spacing w:before="0" w:after="0" w:line="360" w:lineRule="auto"/>
        <w:jc w:val="center"/>
        <w:rPr>
          <w:rStyle w:val="62"/>
          <w:b/>
          <w:bCs/>
          <w:color w:val="auto"/>
          <w:highlight w:val="none"/>
        </w:rPr>
      </w:pPr>
      <w:r>
        <w:rPr>
          <w:rStyle w:val="62"/>
          <w:rFonts w:hint="eastAsia"/>
          <w:b/>
          <w:bCs/>
          <w:color w:val="auto"/>
          <w:highlight w:val="none"/>
        </w:rPr>
        <w:t>五、商务要求应答表</w:t>
      </w:r>
    </w:p>
    <w:p>
      <w:pPr>
        <w:rPr>
          <w:color w:val="auto"/>
          <w:highlight w:val="none"/>
        </w:rPr>
      </w:pPr>
    </w:p>
    <w:p>
      <w:pPr>
        <w:spacing w:line="360" w:lineRule="auto"/>
        <w:rPr>
          <w:rFonts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u w:val="single"/>
        </w:rPr>
      </w:pPr>
      <w:r>
        <w:rPr>
          <w:rFonts w:hint="eastAsia" w:ascii="宋体" w:hAnsi="宋体"/>
          <w:color w:val="auto"/>
          <w:sz w:val="24"/>
          <w:highlight w:val="none"/>
        </w:rPr>
        <w:t>项目编号：</w:t>
      </w:r>
      <w:r>
        <w:rPr>
          <w:rFonts w:hint="eastAsia" w:ascii="宋体" w:hAnsi="宋体"/>
          <w:color w:val="auto"/>
          <w:sz w:val="24"/>
          <w:highlight w:val="none"/>
          <w:u w:val="single"/>
        </w:rPr>
        <w:t xml:space="preserve">            </w:t>
      </w:r>
    </w:p>
    <w:tbl>
      <w:tblPr>
        <w:tblStyle w:val="4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989"/>
        <w:gridCol w:w="1839"/>
        <w:gridCol w:w="2234"/>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vAlign w:val="center"/>
          </w:tcPr>
          <w:p>
            <w:pPr>
              <w:spacing w:line="480" w:lineRule="auto"/>
              <w:jc w:val="center"/>
              <w:rPr>
                <w:rFonts w:ascii="宋体" w:hAnsi="宋体"/>
                <w:color w:val="auto"/>
                <w:szCs w:val="21"/>
                <w:highlight w:val="none"/>
              </w:rPr>
            </w:pPr>
            <w:r>
              <w:rPr>
                <w:rFonts w:hint="eastAsia" w:ascii="宋体" w:hAnsi="宋体"/>
                <w:color w:val="auto"/>
                <w:szCs w:val="21"/>
                <w:highlight w:val="none"/>
              </w:rPr>
              <w:t>序号</w:t>
            </w:r>
          </w:p>
        </w:tc>
        <w:tc>
          <w:tcPr>
            <w:tcW w:w="1064" w:type="pct"/>
            <w:vAlign w:val="center"/>
          </w:tcPr>
          <w:p>
            <w:pPr>
              <w:spacing w:line="480" w:lineRule="auto"/>
              <w:jc w:val="center"/>
              <w:rPr>
                <w:rFonts w:ascii="宋体" w:hAnsi="宋体"/>
                <w:color w:val="auto"/>
                <w:szCs w:val="21"/>
                <w:highlight w:val="none"/>
              </w:rPr>
            </w:pPr>
            <w:r>
              <w:rPr>
                <w:rFonts w:hint="eastAsia" w:ascii="宋体" w:hAnsi="宋体"/>
                <w:color w:val="auto"/>
                <w:szCs w:val="21"/>
                <w:highlight w:val="none"/>
                <w:lang w:eastAsia="zh-CN"/>
              </w:rPr>
              <w:t>谈判</w:t>
            </w:r>
            <w:r>
              <w:rPr>
                <w:rFonts w:hint="eastAsia" w:ascii="宋体" w:hAnsi="宋体"/>
                <w:color w:val="auto"/>
                <w:szCs w:val="21"/>
                <w:highlight w:val="none"/>
              </w:rPr>
              <w:t>文件条目号</w:t>
            </w:r>
          </w:p>
        </w:tc>
        <w:tc>
          <w:tcPr>
            <w:tcW w:w="984" w:type="pct"/>
            <w:vAlign w:val="center"/>
          </w:tcPr>
          <w:p>
            <w:pPr>
              <w:spacing w:line="480" w:lineRule="auto"/>
              <w:jc w:val="center"/>
              <w:rPr>
                <w:rFonts w:ascii="宋体" w:hAnsi="宋体"/>
                <w:color w:val="auto"/>
                <w:szCs w:val="21"/>
                <w:highlight w:val="none"/>
              </w:rPr>
            </w:pPr>
            <w:r>
              <w:rPr>
                <w:rFonts w:hint="eastAsia" w:ascii="宋体" w:hAnsi="宋体"/>
                <w:color w:val="auto"/>
                <w:szCs w:val="21"/>
                <w:highlight w:val="none"/>
                <w:lang w:eastAsia="zh-CN"/>
              </w:rPr>
              <w:t>谈判</w:t>
            </w:r>
            <w:r>
              <w:rPr>
                <w:rFonts w:hint="eastAsia" w:ascii="宋体" w:hAnsi="宋体"/>
                <w:color w:val="auto"/>
                <w:szCs w:val="21"/>
                <w:highlight w:val="none"/>
              </w:rPr>
              <w:t>文件要求</w:t>
            </w:r>
          </w:p>
        </w:tc>
        <w:tc>
          <w:tcPr>
            <w:tcW w:w="1195" w:type="pct"/>
            <w:vAlign w:val="center"/>
          </w:tcPr>
          <w:p>
            <w:pPr>
              <w:spacing w:line="480" w:lineRule="auto"/>
              <w:jc w:val="center"/>
              <w:rPr>
                <w:rFonts w:ascii="宋体" w:hAnsi="宋体"/>
                <w:color w:val="auto"/>
                <w:szCs w:val="21"/>
                <w:highlight w:val="none"/>
              </w:rPr>
            </w:pPr>
            <w:r>
              <w:rPr>
                <w:rFonts w:hint="eastAsia" w:ascii="宋体" w:hAnsi="宋体"/>
                <w:color w:val="auto"/>
                <w:szCs w:val="21"/>
                <w:highlight w:val="none"/>
              </w:rPr>
              <w:t>响应文件应答</w:t>
            </w:r>
          </w:p>
        </w:tc>
        <w:tc>
          <w:tcPr>
            <w:tcW w:w="1298" w:type="pct"/>
            <w:vAlign w:val="center"/>
          </w:tcPr>
          <w:p>
            <w:pPr>
              <w:spacing w:line="480" w:lineRule="auto"/>
              <w:jc w:val="center"/>
              <w:rPr>
                <w:rFonts w:ascii="宋体" w:hAnsi="宋体"/>
                <w:color w:val="auto"/>
                <w:szCs w:val="21"/>
                <w:highlight w:val="none"/>
              </w:rPr>
            </w:pPr>
            <w:r>
              <w:rPr>
                <w:rFonts w:hint="eastAsia" w:ascii="宋体" w:hAnsi="宋体"/>
                <w:color w:val="auto"/>
                <w:szCs w:val="21"/>
                <w:highlight w:val="none"/>
              </w:rPr>
              <w:t>偏离情况（正偏离或负偏离或无偏离）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Cs w:val="21"/>
                <w:highlight w:val="none"/>
              </w:rPr>
            </w:pPr>
          </w:p>
        </w:tc>
        <w:tc>
          <w:tcPr>
            <w:tcW w:w="1064" w:type="pct"/>
          </w:tcPr>
          <w:p>
            <w:pPr>
              <w:spacing w:line="480" w:lineRule="auto"/>
              <w:jc w:val="center"/>
              <w:rPr>
                <w:rFonts w:ascii="宋体" w:hAnsi="宋体"/>
                <w:color w:val="auto"/>
                <w:szCs w:val="21"/>
                <w:highlight w:val="none"/>
              </w:rPr>
            </w:pPr>
          </w:p>
        </w:tc>
        <w:tc>
          <w:tcPr>
            <w:tcW w:w="984" w:type="pct"/>
          </w:tcPr>
          <w:p>
            <w:pPr>
              <w:spacing w:line="480" w:lineRule="auto"/>
              <w:jc w:val="center"/>
              <w:rPr>
                <w:rFonts w:ascii="宋体" w:hAnsi="宋体"/>
                <w:color w:val="auto"/>
                <w:szCs w:val="21"/>
                <w:highlight w:val="none"/>
              </w:rPr>
            </w:pPr>
          </w:p>
        </w:tc>
        <w:tc>
          <w:tcPr>
            <w:tcW w:w="1195" w:type="pct"/>
          </w:tcPr>
          <w:p>
            <w:pPr>
              <w:spacing w:line="480" w:lineRule="auto"/>
              <w:jc w:val="center"/>
              <w:rPr>
                <w:rFonts w:ascii="宋体" w:hAnsi="宋体"/>
                <w:color w:val="auto"/>
                <w:szCs w:val="21"/>
                <w:highlight w:val="none"/>
              </w:rPr>
            </w:pPr>
          </w:p>
        </w:tc>
        <w:tc>
          <w:tcPr>
            <w:tcW w:w="1298" w:type="pct"/>
          </w:tcPr>
          <w:p>
            <w:pPr>
              <w:spacing w:line="48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Cs w:val="21"/>
                <w:highlight w:val="none"/>
              </w:rPr>
            </w:pPr>
          </w:p>
        </w:tc>
        <w:tc>
          <w:tcPr>
            <w:tcW w:w="1064" w:type="pct"/>
          </w:tcPr>
          <w:p>
            <w:pPr>
              <w:spacing w:line="480" w:lineRule="auto"/>
              <w:jc w:val="center"/>
              <w:rPr>
                <w:rFonts w:ascii="宋体" w:hAnsi="宋体"/>
                <w:color w:val="auto"/>
                <w:szCs w:val="21"/>
                <w:highlight w:val="none"/>
              </w:rPr>
            </w:pPr>
          </w:p>
        </w:tc>
        <w:tc>
          <w:tcPr>
            <w:tcW w:w="984" w:type="pct"/>
          </w:tcPr>
          <w:p>
            <w:pPr>
              <w:spacing w:line="480" w:lineRule="auto"/>
              <w:jc w:val="center"/>
              <w:rPr>
                <w:rFonts w:ascii="宋体" w:hAnsi="宋体"/>
                <w:color w:val="auto"/>
                <w:szCs w:val="21"/>
                <w:highlight w:val="none"/>
              </w:rPr>
            </w:pPr>
          </w:p>
        </w:tc>
        <w:tc>
          <w:tcPr>
            <w:tcW w:w="1195" w:type="pct"/>
          </w:tcPr>
          <w:p>
            <w:pPr>
              <w:spacing w:line="480" w:lineRule="auto"/>
              <w:jc w:val="center"/>
              <w:rPr>
                <w:rFonts w:ascii="宋体" w:hAnsi="宋体"/>
                <w:color w:val="auto"/>
                <w:szCs w:val="21"/>
                <w:highlight w:val="none"/>
              </w:rPr>
            </w:pPr>
          </w:p>
        </w:tc>
        <w:tc>
          <w:tcPr>
            <w:tcW w:w="1298" w:type="pct"/>
          </w:tcPr>
          <w:p>
            <w:pPr>
              <w:spacing w:line="48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Cs w:val="21"/>
                <w:highlight w:val="none"/>
              </w:rPr>
            </w:pPr>
          </w:p>
        </w:tc>
        <w:tc>
          <w:tcPr>
            <w:tcW w:w="1064" w:type="pct"/>
          </w:tcPr>
          <w:p>
            <w:pPr>
              <w:spacing w:line="480" w:lineRule="auto"/>
              <w:jc w:val="center"/>
              <w:rPr>
                <w:rFonts w:ascii="宋体" w:hAnsi="宋体"/>
                <w:color w:val="auto"/>
                <w:szCs w:val="21"/>
                <w:highlight w:val="none"/>
              </w:rPr>
            </w:pPr>
          </w:p>
        </w:tc>
        <w:tc>
          <w:tcPr>
            <w:tcW w:w="984" w:type="pct"/>
          </w:tcPr>
          <w:p>
            <w:pPr>
              <w:spacing w:line="480" w:lineRule="auto"/>
              <w:jc w:val="center"/>
              <w:rPr>
                <w:rFonts w:ascii="宋体" w:hAnsi="宋体"/>
                <w:color w:val="auto"/>
                <w:szCs w:val="21"/>
                <w:highlight w:val="none"/>
              </w:rPr>
            </w:pPr>
          </w:p>
        </w:tc>
        <w:tc>
          <w:tcPr>
            <w:tcW w:w="1195" w:type="pct"/>
          </w:tcPr>
          <w:p>
            <w:pPr>
              <w:spacing w:line="480" w:lineRule="auto"/>
              <w:jc w:val="center"/>
              <w:rPr>
                <w:rFonts w:ascii="宋体" w:hAnsi="宋体"/>
                <w:color w:val="auto"/>
                <w:szCs w:val="21"/>
                <w:highlight w:val="none"/>
              </w:rPr>
            </w:pPr>
          </w:p>
        </w:tc>
        <w:tc>
          <w:tcPr>
            <w:tcW w:w="1298" w:type="pct"/>
          </w:tcPr>
          <w:p>
            <w:pPr>
              <w:spacing w:line="48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Cs w:val="21"/>
                <w:highlight w:val="none"/>
              </w:rPr>
            </w:pPr>
          </w:p>
        </w:tc>
        <w:tc>
          <w:tcPr>
            <w:tcW w:w="1064" w:type="pct"/>
          </w:tcPr>
          <w:p>
            <w:pPr>
              <w:spacing w:line="480" w:lineRule="auto"/>
              <w:jc w:val="center"/>
              <w:rPr>
                <w:rFonts w:ascii="宋体" w:hAnsi="宋体"/>
                <w:color w:val="auto"/>
                <w:szCs w:val="21"/>
                <w:highlight w:val="none"/>
              </w:rPr>
            </w:pPr>
          </w:p>
        </w:tc>
        <w:tc>
          <w:tcPr>
            <w:tcW w:w="984" w:type="pct"/>
          </w:tcPr>
          <w:p>
            <w:pPr>
              <w:spacing w:line="480" w:lineRule="auto"/>
              <w:jc w:val="center"/>
              <w:rPr>
                <w:rFonts w:ascii="宋体" w:hAnsi="宋体"/>
                <w:color w:val="auto"/>
                <w:szCs w:val="21"/>
                <w:highlight w:val="none"/>
              </w:rPr>
            </w:pPr>
          </w:p>
        </w:tc>
        <w:tc>
          <w:tcPr>
            <w:tcW w:w="1195" w:type="pct"/>
          </w:tcPr>
          <w:p>
            <w:pPr>
              <w:spacing w:line="480" w:lineRule="auto"/>
              <w:jc w:val="center"/>
              <w:rPr>
                <w:rFonts w:ascii="宋体" w:hAnsi="宋体"/>
                <w:color w:val="auto"/>
                <w:szCs w:val="21"/>
                <w:highlight w:val="none"/>
              </w:rPr>
            </w:pPr>
          </w:p>
        </w:tc>
        <w:tc>
          <w:tcPr>
            <w:tcW w:w="1298" w:type="pct"/>
          </w:tcPr>
          <w:p>
            <w:pPr>
              <w:spacing w:line="48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Cs w:val="21"/>
                <w:highlight w:val="none"/>
              </w:rPr>
            </w:pPr>
          </w:p>
        </w:tc>
        <w:tc>
          <w:tcPr>
            <w:tcW w:w="1064" w:type="pct"/>
          </w:tcPr>
          <w:p>
            <w:pPr>
              <w:spacing w:line="480" w:lineRule="auto"/>
              <w:jc w:val="center"/>
              <w:rPr>
                <w:rFonts w:ascii="宋体" w:hAnsi="宋体"/>
                <w:color w:val="auto"/>
                <w:szCs w:val="21"/>
                <w:highlight w:val="none"/>
              </w:rPr>
            </w:pPr>
          </w:p>
        </w:tc>
        <w:tc>
          <w:tcPr>
            <w:tcW w:w="984" w:type="pct"/>
          </w:tcPr>
          <w:p>
            <w:pPr>
              <w:spacing w:line="480" w:lineRule="auto"/>
              <w:jc w:val="center"/>
              <w:rPr>
                <w:rFonts w:ascii="宋体" w:hAnsi="宋体"/>
                <w:color w:val="auto"/>
                <w:szCs w:val="21"/>
                <w:highlight w:val="none"/>
              </w:rPr>
            </w:pPr>
          </w:p>
        </w:tc>
        <w:tc>
          <w:tcPr>
            <w:tcW w:w="1195" w:type="pct"/>
          </w:tcPr>
          <w:p>
            <w:pPr>
              <w:spacing w:line="480" w:lineRule="auto"/>
              <w:jc w:val="center"/>
              <w:rPr>
                <w:rFonts w:ascii="宋体" w:hAnsi="宋体"/>
                <w:color w:val="auto"/>
                <w:szCs w:val="21"/>
                <w:highlight w:val="none"/>
              </w:rPr>
            </w:pPr>
          </w:p>
        </w:tc>
        <w:tc>
          <w:tcPr>
            <w:tcW w:w="1298" w:type="pct"/>
          </w:tcPr>
          <w:p>
            <w:pPr>
              <w:spacing w:line="48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Cs w:val="21"/>
                <w:highlight w:val="none"/>
              </w:rPr>
            </w:pPr>
          </w:p>
        </w:tc>
        <w:tc>
          <w:tcPr>
            <w:tcW w:w="1064" w:type="pct"/>
          </w:tcPr>
          <w:p>
            <w:pPr>
              <w:spacing w:line="480" w:lineRule="auto"/>
              <w:jc w:val="center"/>
              <w:rPr>
                <w:rFonts w:ascii="宋体" w:hAnsi="宋体"/>
                <w:color w:val="auto"/>
                <w:szCs w:val="21"/>
                <w:highlight w:val="none"/>
              </w:rPr>
            </w:pPr>
          </w:p>
        </w:tc>
        <w:tc>
          <w:tcPr>
            <w:tcW w:w="984" w:type="pct"/>
          </w:tcPr>
          <w:p>
            <w:pPr>
              <w:spacing w:line="480" w:lineRule="auto"/>
              <w:jc w:val="center"/>
              <w:rPr>
                <w:rFonts w:ascii="宋体" w:hAnsi="宋体"/>
                <w:color w:val="auto"/>
                <w:szCs w:val="21"/>
                <w:highlight w:val="none"/>
              </w:rPr>
            </w:pPr>
          </w:p>
        </w:tc>
        <w:tc>
          <w:tcPr>
            <w:tcW w:w="1195" w:type="pct"/>
          </w:tcPr>
          <w:p>
            <w:pPr>
              <w:spacing w:line="480" w:lineRule="auto"/>
              <w:jc w:val="center"/>
              <w:rPr>
                <w:rFonts w:ascii="宋体" w:hAnsi="宋体"/>
                <w:color w:val="auto"/>
                <w:szCs w:val="21"/>
                <w:highlight w:val="none"/>
              </w:rPr>
            </w:pPr>
          </w:p>
        </w:tc>
        <w:tc>
          <w:tcPr>
            <w:tcW w:w="1298" w:type="pct"/>
          </w:tcPr>
          <w:p>
            <w:pPr>
              <w:spacing w:line="48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480" w:lineRule="auto"/>
              <w:jc w:val="center"/>
              <w:rPr>
                <w:rFonts w:ascii="宋体" w:hAnsi="宋体"/>
                <w:color w:val="auto"/>
                <w:szCs w:val="21"/>
                <w:highlight w:val="none"/>
              </w:rPr>
            </w:pPr>
          </w:p>
        </w:tc>
        <w:tc>
          <w:tcPr>
            <w:tcW w:w="1064" w:type="pct"/>
          </w:tcPr>
          <w:p>
            <w:pPr>
              <w:spacing w:line="480" w:lineRule="auto"/>
              <w:jc w:val="center"/>
              <w:rPr>
                <w:rFonts w:ascii="宋体" w:hAnsi="宋体"/>
                <w:color w:val="auto"/>
                <w:szCs w:val="21"/>
                <w:highlight w:val="none"/>
              </w:rPr>
            </w:pPr>
          </w:p>
        </w:tc>
        <w:tc>
          <w:tcPr>
            <w:tcW w:w="984" w:type="pct"/>
          </w:tcPr>
          <w:p>
            <w:pPr>
              <w:spacing w:line="480" w:lineRule="auto"/>
              <w:jc w:val="center"/>
              <w:rPr>
                <w:rFonts w:ascii="宋体" w:hAnsi="宋体"/>
                <w:color w:val="auto"/>
                <w:szCs w:val="21"/>
                <w:highlight w:val="none"/>
              </w:rPr>
            </w:pPr>
          </w:p>
        </w:tc>
        <w:tc>
          <w:tcPr>
            <w:tcW w:w="1195" w:type="pct"/>
          </w:tcPr>
          <w:p>
            <w:pPr>
              <w:spacing w:line="480" w:lineRule="auto"/>
              <w:jc w:val="center"/>
              <w:rPr>
                <w:rFonts w:ascii="宋体" w:hAnsi="宋体"/>
                <w:color w:val="auto"/>
                <w:szCs w:val="21"/>
                <w:highlight w:val="none"/>
              </w:rPr>
            </w:pPr>
          </w:p>
        </w:tc>
        <w:tc>
          <w:tcPr>
            <w:tcW w:w="1298" w:type="pct"/>
          </w:tcPr>
          <w:p>
            <w:pPr>
              <w:spacing w:line="480" w:lineRule="auto"/>
              <w:jc w:val="center"/>
              <w:rPr>
                <w:rFonts w:ascii="宋体" w:hAnsi="宋体"/>
                <w:color w:val="auto"/>
                <w:szCs w:val="21"/>
                <w:highlight w:val="none"/>
              </w:rPr>
            </w:pPr>
          </w:p>
        </w:tc>
      </w:tr>
    </w:tbl>
    <w:p>
      <w:pPr>
        <w:widowControl/>
        <w:spacing w:line="360" w:lineRule="auto"/>
        <w:ind w:firstLine="482"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注：1.供应商应当将响应服务相对</w:t>
      </w:r>
      <w:r>
        <w:rPr>
          <w:rFonts w:hint="eastAsia" w:asciiTheme="minorEastAsia" w:hAnsiTheme="minorEastAsia" w:eastAsiaTheme="minorEastAsia" w:cstheme="minorEastAsia"/>
          <w:b/>
          <w:bCs/>
          <w:color w:val="auto"/>
          <w:sz w:val="24"/>
          <w:highlight w:val="none"/>
          <w:lang w:eastAsia="zh-CN"/>
        </w:rPr>
        <w:t>谈判</w:t>
      </w:r>
      <w:r>
        <w:rPr>
          <w:rFonts w:hint="eastAsia" w:asciiTheme="minorEastAsia" w:hAnsiTheme="minorEastAsia" w:eastAsiaTheme="minorEastAsia" w:cstheme="minorEastAsia"/>
          <w:b/>
          <w:bCs/>
          <w:color w:val="auto"/>
          <w:sz w:val="24"/>
          <w:highlight w:val="none"/>
        </w:rPr>
        <w:t>文件“第五章商务要求”有偏离的内容（包括正偏离和负偏离）在上表中如实反映，未在上表中予以列明的，视为供应商承诺其所提供服务相对于</w:t>
      </w:r>
      <w:r>
        <w:rPr>
          <w:rFonts w:hint="eastAsia" w:asciiTheme="minorEastAsia" w:hAnsiTheme="minorEastAsia" w:eastAsiaTheme="minorEastAsia" w:cstheme="minorEastAsia"/>
          <w:b/>
          <w:bCs/>
          <w:color w:val="auto"/>
          <w:sz w:val="24"/>
          <w:highlight w:val="none"/>
          <w:lang w:eastAsia="zh-CN"/>
        </w:rPr>
        <w:t>谈判</w:t>
      </w:r>
      <w:r>
        <w:rPr>
          <w:rFonts w:hint="eastAsia" w:asciiTheme="minorEastAsia" w:hAnsiTheme="minorEastAsia" w:eastAsiaTheme="minorEastAsia" w:cstheme="minorEastAsia"/>
          <w:b/>
          <w:bCs/>
          <w:color w:val="auto"/>
          <w:sz w:val="24"/>
          <w:highlight w:val="none"/>
        </w:rPr>
        <w:t>文件要求无偏离。</w:t>
      </w:r>
    </w:p>
    <w:p>
      <w:pPr>
        <w:widowControl/>
        <w:spacing w:line="360" w:lineRule="auto"/>
        <w:ind w:firstLine="482" w:firstLineChars="200"/>
        <w:jc w:val="left"/>
        <w:rPr>
          <w:rFonts w:hint="eastAsia" w:asciiTheme="minorEastAsia" w:hAnsiTheme="minorEastAsia" w:eastAsiaTheme="minorEastAsia" w:cstheme="minorEastAsia"/>
          <w:b/>
          <w:bCs/>
          <w:color w:val="auto"/>
          <w:sz w:val="24"/>
          <w:highlight w:val="none"/>
          <w:lang w:eastAsia="zh-CN"/>
        </w:rPr>
      </w:pPr>
      <w:r>
        <w:rPr>
          <w:rFonts w:hint="eastAsia" w:asciiTheme="minorEastAsia" w:hAnsiTheme="minorEastAsia" w:eastAsiaTheme="minorEastAsia" w:cstheme="minorEastAsia"/>
          <w:b/>
          <w:bCs/>
          <w:color w:val="auto"/>
          <w:sz w:val="24"/>
          <w:highlight w:val="none"/>
          <w:lang w:val="en-US" w:eastAsia="zh-CN"/>
        </w:rPr>
        <w:t>2.</w:t>
      </w:r>
      <w:r>
        <w:rPr>
          <w:rFonts w:hint="eastAsia" w:asciiTheme="minorEastAsia" w:hAnsiTheme="minorEastAsia" w:eastAsiaTheme="minorEastAsia" w:cstheme="minorEastAsia"/>
          <w:b/>
          <w:bCs/>
          <w:color w:val="auto"/>
          <w:sz w:val="24"/>
          <w:highlight w:val="none"/>
        </w:rPr>
        <w:t>供应商应当根据</w:t>
      </w:r>
      <w:r>
        <w:rPr>
          <w:rFonts w:hint="eastAsia" w:asciiTheme="minorEastAsia" w:hAnsiTheme="minorEastAsia" w:eastAsiaTheme="minorEastAsia" w:cstheme="minorEastAsia"/>
          <w:b/>
          <w:bCs/>
          <w:color w:val="auto"/>
          <w:sz w:val="24"/>
          <w:highlight w:val="none"/>
          <w:lang w:eastAsia="zh-CN"/>
        </w:rPr>
        <w:t>谈判</w:t>
      </w:r>
      <w:r>
        <w:rPr>
          <w:rFonts w:hint="eastAsia" w:asciiTheme="minorEastAsia" w:hAnsiTheme="minorEastAsia" w:eastAsiaTheme="minorEastAsia" w:cstheme="minorEastAsia"/>
          <w:b/>
          <w:bCs/>
          <w:color w:val="auto"/>
          <w:sz w:val="24"/>
          <w:highlight w:val="none"/>
        </w:rPr>
        <w:t>文件要求据实填写</w:t>
      </w:r>
      <w:r>
        <w:rPr>
          <w:rFonts w:hint="eastAsia" w:asciiTheme="minorEastAsia" w:hAnsiTheme="minorEastAsia" w:eastAsiaTheme="minorEastAsia" w:cstheme="minorEastAsia"/>
          <w:b/>
          <w:bCs/>
          <w:color w:val="auto"/>
          <w:sz w:val="24"/>
          <w:highlight w:val="none"/>
          <w:lang w:eastAsia="zh-CN"/>
        </w:rPr>
        <w:t>。</w:t>
      </w:r>
    </w:p>
    <w:p>
      <w:pPr>
        <w:widowControl/>
        <w:numPr>
          <w:ilvl w:val="0"/>
          <w:numId w:val="0"/>
        </w:numPr>
        <w:spacing w:line="360" w:lineRule="auto"/>
        <w:ind w:firstLine="482"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lang w:val="en-US" w:eastAsia="zh-CN"/>
        </w:rPr>
        <w:t>3.</w:t>
      </w:r>
      <w:r>
        <w:rPr>
          <w:rFonts w:hint="eastAsia" w:asciiTheme="minorEastAsia" w:hAnsiTheme="minorEastAsia" w:eastAsiaTheme="minorEastAsia" w:cstheme="minorEastAsia"/>
          <w:b/>
          <w:bCs/>
          <w:color w:val="auto"/>
          <w:sz w:val="24"/>
          <w:highlight w:val="none"/>
        </w:rPr>
        <w:t>不得虚假响应，虚假响应的，其响应文件无效并按规定追究其相关责任。</w:t>
      </w:r>
    </w:p>
    <w:p>
      <w:pPr>
        <w:adjustRightInd w:val="0"/>
        <w:spacing w:line="480" w:lineRule="auto"/>
        <w:ind w:firstLine="480" w:firstLineChars="200"/>
        <w:jc w:val="left"/>
        <w:rPr>
          <w:rFonts w:ascii="新宋体" w:hAnsi="新宋体" w:eastAsia="新宋体"/>
          <w:color w:val="auto"/>
          <w:sz w:val="24"/>
          <w:highlight w:val="none"/>
        </w:rPr>
      </w:pPr>
    </w:p>
    <w:p>
      <w:pPr>
        <w:pStyle w:val="2"/>
        <w:rPr>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Arial" w:hAnsi="Arial" w:eastAsia="黑体"/>
          <w:b/>
          <w:bCs/>
          <w:color w:val="auto"/>
          <w:sz w:val="32"/>
          <w:szCs w:val="32"/>
          <w:highlight w:val="none"/>
        </w:rPr>
        <w:sectPr>
          <w:footerReference r:id="rId10" w:type="default"/>
          <w:pgSz w:w="11850" w:h="16783"/>
          <w:pgMar w:top="1440" w:right="1304" w:bottom="1440" w:left="1417" w:header="851" w:footer="992" w:gutter="0"/>
          <w:pgNumType w:fmt="numberInDash"/>
          <w:cols w:space="0" w:num="1"/>
          <w:docGrid w:type="lines" w:linePitch="312" w:charSpace="0"/>
        </w:sect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pStyle w:val="6"/>
        <w:numPr>
          <w:ilvl w:val="0"/>
          <w:numId w:val="9"/>
        </w:numPr>
        <w:spacing w:before="0" w:after="0" w:line="360" w:lineRule="auto"/>
        <w:jc w:val="center"/>
        <w:rPr>
          <w:rStyle w:val="62"/>
          <w:rFonts w:hint="eastAsia"/>
          <w:b/>
          <w:bCs/>
          <w:color w:val="auto"/>
          <w:highlight w:val="none"/>
        </w:rPr>
      </w:pPr>
      <w:r>
        <w:rPr>
          <w:rStyle w:val="62"/>
          <w:rFonts w:hint="eastAsia"/>
          <w:b/>
          <w:bCs/>
          <w:color w:val="auto"/>
          <w:highlight w:val="none"/>
        </w:rPr>
        <w:t>供应商基本情况表</w:t>
      </w:r>
      <w:bookmarkEnd w:id="140"/>
      <w:bookmarkEnd w:id="141"/>
    </w:p>
    <w:p>
      <w:pPr>
        <w:numPr>
          <w:ilvl w:val="0"/>
          <w:numId w:val="0"/>
        </w:numPr>
        <w:rPr>
          <w:highlight w:val="none"/>
        </w:rPr>
      </w:pPr>
    </w:p>
    <w:tbl>
      <w:tblPr>
        <w:tblStyle w:val="43"/>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645"/>
        <w:gridCol w:w="1061"/>
        <w:gridCol w:w="1323"/>
        <w:gridCol w:w="1394"/>
        <w:gridCol w:w="1441"/>
        <w:gridCol w:w="176"/>
        <w:gridCol w:w="1114"/>
        <w:gridCol w:w="11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hAnsi="宋体"/>
                <w:color w:val="auto"/>
                <w:kern w:val="0"/>
                <w:szCs w:val="21"/>
                <w:highlight w:val="none"/>
              </w:rPr>
              <w:t>供应商</w:t>
            </w:r>
            <w:r>
              <w:rPr>
                <w:rFonts w:hint="eastAsia" w:ascii="宋体" w:hAnsi="宋体"/>
                <w:color w:val="auto"/>
                <w:kern w:val="0"/>
                <w:szCs w:val="21"/>
                <w:highlight w:val="none"/>
              </w:rPr>
              <w:t>名称</w:t>
            </w:r>
          </w:p>
        </w:tc>
        <w:tc>
          <w:tcPr>
            <w:tcW w:w="4118" w:type="pct"/>
            <w:gridSpan w:val="7"/>
            <w:vAlign w:val="center"/>
          </w:tcPr>
          <w:p>
            <w:pPr>
              <w:autoSpaceDE w:val="0"/>
              <w:autoSpaceDN w:val="0"/>
              <w:adjustRightInd w:val="0"/>
              <w:spacing w:line="400" w:lineRule="exact"/>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注册地址</w:t>
            </w:r>
          </w:p>
        </w:tc>
        <w:tc>
          <w:tcPr>
            <w:tcW w:w="2022" w:type="pct"/>
            <w:gridSpan w:val="3"/>
            <w:vAlign w:val="center"/>
          </w:tcPr>
          <w:p>
            <w:pPr>
              <w:autoSpaceDE w:val="0"/>
              <w:autoSpaceDN w:val="0"/>
              <w:adjustRightInd w:val="0"/>
              <w:spacing w:line="400" w:lineRule="exact"/>
              <w:jc w:val="center"/>
              <w:rPr>
                <w:rFonts w:ascii="宋体" w:hAnsi="宋体"/>
                <w:color w:val="auto"/>
                <w:kern w:val="0"/>
                <w:szCs w:val="21"/>
                <w:highlight w:val="none"/>
              </w:rPr>
            </w:pPr>
          </w:p>
        </w:tc>
        <w:tc>
          <w:tcPr>
            <w:tcW w:w="77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邮政编码</w:t>
            </w:r>
          </w:p>
        </w:tc>
        <w:tc>
          <w:tcPr>
            <w:tcW w:w="1324" w:type="pct"/>
            <w:gridSpan w:val="3"/>
            <w:vAlign w:val="center"/>
          </w:tcPr>
          <w:p>
            <w:pPr>
              <w:autoSpaceDE w:val="0"/>
              <w:autoSpaceDN w:val="0"/>
              <w:adjustRightInd w:val="0"/>
              <w:spacing w:line="400" w:lineRule="exact"/>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1" w:type="pct"/>
            <w:vMerge w:val="restar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联系方式</w:t>
            </w:r>
          </w:p>
        </w:tc>
        <w:tc>
          <w:tcPr>
            <w:tcW w:w="568"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联系人</w:t>
            </w:r>
          </w:p>
        </w:tc>
        <w:tc>
          <w:tcPr>
            <w:tcW w:w="1454" w:type="pct"/>
            <w:gridSpan w:val="2"/>
            <w:vAlign w:val="center"/>
          </w:tcPr>
          <w:p>
            <w:pPr>
              <w:autoSpaceDE w:val="0"/>
              <w:autoSpaceDN w:val="0"/>
              <w:adjustRightInd w:val="0"/>
              <w:spacing w:line="400" w:lineRule="exact"/>
              <w:jc w:val="center"/>
              <w:rPr>
                <w:rFonts w:ascii="宋体" w:hAnsi="宋体"/>
                <w:color w:val="auto"/>
                <w:kern w:val="0"/>
                <w:szCs w:val="21"/>
                <w:highlight w:val="none"/>
              </w:rPr>
            </w:pPr>
          </w:p>
        </w:tc>
        <w:tc>
          <w:tcPr>
            <w:tcW w:w="77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电话</w:t>
            </w:r>
          </w:p>
        </w:tc>
        <w:tc>
          <w:tcPr>
            <w:tcW w:w="1324" w:type="pct"/>
            <w:gridSpan w:val="3"/>
            <w:vAlign w:val="center"/>
          </w:tcPr>
          <w:p>
            <w:pPr>
              <w:autoSpaceDE w:val="0"/>
              <w:autoSpaceDN w:val="0"/>
              <w:adjustRightInd w:val="0"/>
              <w:spacing w:line="400" w:lineRule="exact"/>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1" w:type="pct"/>
            <w:vMerge w:val="continue"/>
            <w:vAlign w:val="center"/>
          </w:tcPr>
          <w:p>
            <w:pPr>
              <w:autoSpaceDE w:val="0"/>
              <w:autoSpaceDN w:val="0"/>
              <w:adjustRightInd w:val="0"/>
              <w:spacing w:line="400" w:lineRule="exact"/>
              <w:jc w:val="center"/>
              <w:rPr>
                <w:rFonts w:ascii="宋体" w:hAnsi="宋体"/>
                <w:color w:val="auto"/>
                <w:kern w:val="0"/>
                <w:szCs w:val="21"/>
                <w:highlight w:val="none"/>
              </w:rPr>
            </w:pPr>
          </w:p>
        </w:tc>
        <w:tc>
          <w:tcPr>
            <w:tcW w:w="568"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传真</w:t>
            </w:r>
          </w:p>
        </w:tc>
        <w:tc>
          <w:tcPr>
            <w:tcW w:w="1454" w:type="pct"/>
            <w:gridSpan w:val="2"/>
            <w:vAlign w:val="center"/>
          </w:tcPr>
          <w:p>
            <w:pPr>
              <w:autoSpaceDE w:val="0"/>
              <w:autoSpaceDN w:val="0"/>
              <w:adjustRightInd w:val="0"/>
              <w:spacing w:line="400" w:lineRule="exact"/>
              <w:jc w:val="center"/>
              <w:rPr>
                <w:rFonts w:ascii="宋体" w:hAnsi="宋体"/>
                <w:color w:val="auto"/>
                <w:kern w:val="0"/>
                <w:szCs w:val="21"/>
                <w:highlight w:val="none"/>
              </w:rPr>
            </w:pPr>
          </w:p>
        </w:tc>
        <w:tc>
          <w:tcPr>
            <w:tcW w:w="77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网址</w:t>
            </w:r>
          </w:p>
        </w:tc>
        <w:tc>
          <w:tcPr>
            <w:tcW w:w="1324" w:type="pct"/>
            <w:gridSpan w:val="3"/>
            <w:vAlign w:val="center"/>
          </w:tcPr>
          <w:p>
            <w:pPr>
              <w:autoSpaceDE w:val="0"/>
              <w:autoSpaceDN w:val="0"/>
              <w:adjustRightInd w:val="0"/>
              <w:spacing w:line="400" w:lineRule="exact"/>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组织结构</w:t>
            </w:r>
          </w:p>
        </w:tc>
        <w:tc>
          <w:tcPr>
            <w:tcW w:w="4118" w:type="pct"/>
            <w:gridSpan w:val="7"/>
            <w:vAlign w:val="center"/>
          </w:tcPr>
          <w:p>
            <w:pPr>
              <w:autoSpaceDE w:val="0"/>
              <w:autoSpaceDN w:val="0"/>
              <w:adjustRightInd w:val="0"/>
              <w:spacing w:line="400" w:lineRule="exact"/>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8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法定代表人</w:t>
            </w:r>
          </w:p>
        </w:tc>
        <w:tc>
          <w:tcPr>
            <w:tcW w:w="568"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姓名</w:t>
            </w:r>
          </w:p>
        </w:tc>
        <w:tc>
          <w:tcPr>
            <w:tcW w:w="708" w:type="pct"/>
            <w:vAlign w:val="center"/>
          </w:tcPr>
          <w:p>
            <w:pPr>
              <w:autoSpaceDE w:val="0"/>
              <w:autoSpaceDN w:val="0"/>
              <w:adjustRightInd w:val="0"/>
              <w:spacing w:line="400" w:lineRule="exact"/>
              <w:jc w:val="center"/>
              <w:rPr>
                <w:rFonts w:ascii="宋体" w:hAnsi="宋体"/>
                <w:color w:val="auto"/>
                <w:kern w:val="0"/>
                <w:szCs w:val="21"/>
                <w:highlight w:val="none"/>
              </w:rPr>
            </w:pPr>
          </w:p>
        </w:tc>
        <w:tc>
          <w:tcPr>
            <w:tcW w:w="746"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技术职称</w:t>
            </w:r>
          </w:p>
        </w:tc>
        <w:tc>
          <w:tcPr>
            <w:tcW w:w="771" w:type="pct"/>
            <w:vAlign w:val="center"/>
          </w:tcPr>
          <w:p>
            <w:pPr>
              <w:autoSpaceDE w:val="0"/>
              <w:autoSpaceDN w:val="0"/>
              <w:adjustRightInd w:val="0"/>
              <w:spacing w:line="400" w:lineRule="exact"/>
              <w:jc w:val="center"/>
              <w:rPr>
                <w:rFonts w:ascii="宋体" w:hAnsi="宋体"/>
                <w:color w:val="auto"/>
                <w:kern w:val="0"/>
                <w:szCs w:val="21"/>
                <w:highlight w:val="none"/>
              </w:rPr>
            </w:pPr>
          </w:p>
        </w:tc>
        <w:tc>
          <w:tcPr>
            <w:tcW w:w="690" w:type="pct"/>
            <w:gridSpan w:val="2"/>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电话</w:t>
            </w:r>
          </w:p>
        </w:tc>
        <w:tc>
          <w:tcPr>
            <w:tcW w:w="634" w:type="pct"/>
            <w:vAlign w:val="center"/>
          </w:tcPr>
          <w:p>
            <w:pPr>
              <w:autoSpaceDE w:val="0"/>
              <w:autoSpaceDN w:val="0"/>
              <w:adjustRightInd w:val="0"/>
              <w:spacing w:line="400" w:lineRule="exact"/>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8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技术负责人</w:t>
            </w:r>
          </w:p>
        </w:tc>
        <w:tc>
          <w:tcPr>
            <w:tcW w:w="568"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姓名</w:t>
            </w:r>
          </w:p>
        </w:tc>
        <w:tc>
          <w:tcPr>
            <w:tcW w:w="708" w:type="pct"/>
            <w:vAlign w:val="center"/>
          </w:tcPr>
          <w:p>
            <w:pPr>
              <w:autoSpaceDE w:val="0"/>
              <w:autoSpaceDN w:val="0"/>
              <w:adjustRightInd w:val="0"/>
              <w:spacing w:line="400" w:lineRule="exact"/>
              <w:jc w:val="center"/>
              <w:rPr>
                <w:rFonts w:ascii="宋体" w:hAnsi="宋体"/>
                <w:color w:val="auto"/>
                <w:kern w:val="0"/>
                <w:szCs w:val="21"/>
                <w:highlight w:val="none"/>
              </w:rPr>
            </w:pPr>
          </w:p>
        </w:tc>
        <w:tc>
          <w:tcPr>
            <w:tcW w:w="746"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技术职称</w:t>
            </w:r>
          </w:p>
        </w:tc>
        <w:tc>
          <w:tcPr>
            <w:tcW w:w="771" w:type="pct"/>
            <w:vAlign w:val="center"/>
          </w:tcPr>
          <w:p>
            <w:pPr>
              <w:autoSpaceDE w:val="0"/>
              <w:autoSpaceDN w:val="0"/>
              <w:adjustRightInd w:val="0"/>
              <w:spacing w:line="400" w:lineRule="exact"/>
              <w:jc w:val="center"/>
              <w:rPr>
                <w:rFonts w:ascii="宋体" w:hAnsi="宋体"/>
                <w:color w:val="auto"/>
                <w:kern w:val="0"/>
                <w:szCs w:val="21"/>
                <w:highlight w:val="none"/>
              </w:rPr>
            </w:pPr>
          </w:p>
        </w:tc>
        <w:tc>
          <w:tcPr>
            <w:tcW w:w="690" w:type="pct"/>
            <w:gridSpan w:val="2"/>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电话</w:t>
            </w:r>
          </w:p>
        </w:tc>
        <w:tc>
          <w:tcPr>
            <w:tcW w:w="634" w:type="pct"/>
            <w:vAlign w:val="center"/>
          </w:tcPr>
          <w:p>
            <w:pPr>
              <w:autoSpaceDE w:val="0"/>
              <w:autoSpaceDN w:val="0"/>
              <w:adjustRightInd w:val="0"/>
              <w:spacing w:line="400" w:lineRule="exact"/>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成立时间</w:t>
            </w:r>
          </w:p>
        </w:tc>
        <w:tc>
          <w:tcPr>
            <w:tcW w:w="1276" w:type="pct"/>
            <w:gridSpan w:val="2"/>
            <w:vAlign w:val="center"/>
          </w:tcPr>
          <w:p>
            <w:pPr>
              <w:autoSpaceDE w:val="0"/>
              <w:autoSpaceDN w:val="0"/>
              <w:adjustRightInd w:val="0"/>
              <w:spacing w:line="400" w:lineRule="exact"/>
              <w:jc w:val="center"/>
              <w:rPr>
                <w:rFonts w:ascii="宋体" w:hAnsi="宋体"/>
                <w:color w:val="auto"/>
                <w:kern w:val="0"/>
                <w:szCs w:val="21"/>
                <w:highlight w:val="none"/>
              </w:rPr>
            </w:pPr>
          </w:p>
        </w:tc>
        <w:tc>
          <w:tcPr>
            <w:tcW w:w="2841" w:type="pct"/>
            <w:gridSpan w:val="5"/>
            <w:vAlign w:val="center"/>
          </w:tcPr>
          <w:p>
            <w:pPr>
              <w:autoSpaceDE w:val="0"/>
              <w:autoSpaceDN w:val="0"/>
              <w:adjustRightInd w:val="0"/>
              <w:spacing w:line="400" w:lineRule="exact"/>
              <w:ind w:firstLine="1470" w:firstLineChars="700"/>
              <w:rPr>
                <w:rFonts w:ascii="宋体" w:hAnsi="宋体"/>
                <w:color w:val="auto"/>
                <w:kern w:val="0"/>
                <w:szCs w:val="21"/>
                <w:highlight w:val="none"/>
              </w:rPr>
            </w:pPr>
            <w:r>
              <w:rPr>
                <w:rFonts w:hint="eastAsia" w:ascii="宋体" w:hAnsi="宋体"/>
                <w:color w:val="auto"/>
                <w:kern w:val="0"/>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企业资质等级</w:t>
            </w:r>
          </w:p>
        </w:tc>
        <w:tc>
          <w:tcPr>
            <w:tcW w:w="1276" w:type="pct"/>
            <w:gridSpan w:val="2"/>
            <w:vAlign w:val="center"/>
          </w:tcPr>
          <w:p>
            <w:pPr>
              <w:autoSpaceDE w:val="0"/>
              <w:autoSpaceDN w:val="0"/>
              <w:adjustRightInd w:val="0"/>
              <w:spacing w:line="400" w:lineRule="exact"/>
              <w:jc w:val="center"/>
              <w:rPr>
                <w:rFonts w:ascii="宋体" w:hAnsi="宋体"/>
                <w:color w:val="auto"/>
                <w:kern w:val="0"/>
                <w:szCs w:val="21"/>
                <w:highlight w:val="none"/>
              </w:rPr>
            </w:pPr>
          </w:p>
        </w:tc>
        <w:tc>
          <w:tcPr>
            <w:tcW w:w="746" w:type="pct"/>
            <w:vMerge w:val="restar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其中</w:t>
            </w:r>
          </w:p>
        </w:tc>
        <w:tc>
          <w:tcPr>
            <w:tcW w:w="865" w:type="pct"/>
            <w:gridSpan w:val="2"/>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项目经理</w:t>
            </w:r>
          </w:p>
        </w:tc>
        <w:tc>
          <w:tcPr>
            <w:tcW w:w="1230" w:type="pct"/>
            <w:gridSpan w:val="2"/>
            <w:vAlign w:val="center"/>
          </w:tcPr>
          <w:p>
            <w:pPr>
              <w:autoSpaceDE w:val="0"/>
              <w:autoSpaceDN w:val="0"/>
              <w:adjustRightInd w:val="0"/>
              <w:spacing w:line="400" w:lineRule="exact"/>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营业执照号</w:t>
            </w:r>
          </w:p>
        </w:tc>
        <w:tc>
          <w:tcPr>
            <w:tcW w:w="1276" w:type="pct"/>
            <w:gridSpan w:val="2"/>
            <w:vAlign w:val="center"/>
          </w:tcPr>
          <w:p>
            <w:pPr>
              <w:autoSpaceDE w:val="0"/>
              <w:autoSpaceDN w:val="0"/>
              <w:adjustRightInd w:val="0"/>
              <w:spacing w:line="400" w:lineRule="exact"/>
              <w:jc w:val="center"/>
              <w:rPr>
                <w:rFonts w:ascii="宋体" w:hAnsi="宋体"/>
                <w:color w:val="auto"/>
                <w:kern w:val="0"/>
                <w:szCs w:val="21"/>
                <w:highlight w:val="none"/>
              </w:rPr>
            </w:pPr>
          </w:p>
        </w:tc>
        <w:tc>
          <w:tcPr>
            <w:tcW w:w="746" w:type="pct"/>
            <w:vMerge w:val="continue"/>
            <w:vAlign w:val="center"/>
          </w:tcPr>
          <w:p>
            <w:pPr>
              <w:autoSpaceDE w:val="0"/>
              <w:autoSpaceDN w:val="0"/>
              <w:adjustRightInd w:val="0"/>
              <w:spacing w:line="400" w:lineRule="exact"/>
              <w:jc w:val="center"/>
              <w:rPr>
                <w:rFonts w:ascii="宋体" w:hAnsi="宋体"/>
                <w:color w:val="auto"/>
                <w:kern w:val="0"/>
                <w:szCs w:val="21"/>
                <w:highlight w:val="none"/>
              </w:rPr>
            </w:pPr>
          </w:p>
        </w:tc>
        <w:tc>
          <w:tcPr>
            <w:tcW w:w="865" w:type="pct"/>
            <w:gridSpan w:val="2"/>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高级职称人员</w:t>
            </w:r>
          </w:p>
        </w:tc>
        <w:tc>
          <w:tcPr>
            <w:tcW w:w="1230" w:type="pct"/>
            <w:gridSpan w:val="2"/>
            <w:vAlign w:val="center"/>
          </w:tcPr>
          <w:p>
            <w:pPr>
              <w:autoSpaceDE w:val="0"/>
              <w:autoSpaceDN w:val="0"/>
              <w:adjustRightInd w:val="0"/>
              <w:spacing w:line="400" w:lineRule="exact"/>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注册资金</w:t>
            </w:r>
          </w:p>
        </w:tc>
        <w:tc>
          <w:tcPr>
            <w:tcW w:w="1276" w:type="pct"/>
            <w:gridSpan w:val="2"/>
            <w:vAlign w:val="center"/>
          </w:tcPr>
          <w:p>
            <w:pPr>
              <w:autoSpaceDE w:val="0"/>
              <w:autoSpaceDN w:val="0"/>
              <w:adjustRightInd w:val="0"/>
              <w:spacing w:line="400" w:lineRule="exact"/>
              <w:jc w:val="center"/>
              <w:rPr>
                <w:rFonts w:ascii="宋体" w:hAnsi="宋体"/>
                <w:color w:val="auto"/>
                <w:kern w:val="0"/>
                <w:szCs w:val="21"/>
                <w:highlight w:val="none"/>
              </w:rPr>
            </w:pPr>
          </w:p>
        </w:tc>
        <w:tc>
          <w:tcPr>
            <w:tcW w:w="746" w:type="pct"/>
            <w:vMerge w:val="continue"/>
            <w:vAlign w:val="center"/>
          </w:tcPr>
          <w:p>
            <w:pPr>
              <w:autoSpaceDE w:val="0"/>
              <w:autoSpaceDN w:val="0"/>
              <w:adjustRightInd w:val="0"/>
              <w:spacing w:line="400" w:lineRule="exact"/>
              <w:jc w:val="center"/>
              <w:rPr>
                <w:rFonts w:ascii="宋体" w:hAnsi="宋体"/>
                <w:color w:val="auto"/>
                <w:kern w:val="0"/>
                <w:szCs w:val="21"/>
                <w:highlight w:val="none"/>
              </w:rPr>
            </w:pPr>
          </w:p>
        </w:tc>
        <w:tc>
          <w:tcPr>
            <w:tcW w:w="865" w:type="pct"/>
            <w:gridSpan w:val="2"/>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中级职称人员</w:t>
            </w:r>
          </w:p>
        </w:tc>
        <w:tc>
          <w:tcPr>
            <w:tcW w:w="1230" w:type="pct"/>
            <w:gridSpan w:val="2"/>
            <w:vAlign w:val="center"/>
          </w:tcPr>
          <w:p>
            <w:pPr>
              <w:autoSpaceDE w:val="0"/>
              <w:autoSpaceDN w:val="0"/>
              <w:adjustRightInd w:val="0"/>
              <w:spacing w:line="400" w:lineRule="exact"/>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开户银行</w:t>
            </w:r>
          </w:p>
        </w:tc>
        <w:tc>
          <w:tcPr>
            <w:tcW w:w="1276" w:type="pct"/>
            <w:gridSpan w:val="2"/>
            <w:vAlign w:val="center"/>
          </w:tcPr>
          <w:p>
            <w:pPr>
              <w:autoSpaceDE w:val="0"/>
              <w:autoSpaceDN w:val="0"/>
              <w:adjustRightInd w:val="0"/>
              <w:spacing w:line="400" w:lineRule="exact"/>
              <w:jc w:val="center"/>
              <w:rPr>
                <w:rFonts w:ascii="宋体" w:hAnsi="宋体"/>
                <w:color w:val="auto"/>
                <w:kern w:val="0"/>
                <w:szCs w:val="21"/>
                <w:highlight w:val="none"/>
              </w:rPr>
            </w:pPr>
          </w:p>
        </w:tc>
        <w:tc>
          <w:tcPr>
            <w:tcW w:w="746" w:type="pct"/>
            <w:vMerge w:val="continue"/>
            <w:vAlign w:val="center"/>
          </w:tcPr>
          <w:p>
            <w:pPr>
              <w:autoSpaceDE w:val="0"/>
              <w:autoSpaceDN w:val="0"/>
              <w:adjustRightInd w:val="0"/>
              <w:spacing w:line="400" w:lineRule="exact"/>
              <w:jc w:val="center"/>
              <w:rPr>
                <w:rFonts w:ascii="宋体" w:hAnsi="宋体"/>
                <w:color w:val="auto"/>
                <w:kern w:val="0"/>
                <w:szCs w:val="21"/>
                <w:highlight w:val="none"/>
              </w:rPr>
            </w:pPr>
          </w:p>
        </w:tc>
        <w:tc>
          <w:tcPr>
            <w:tcW w:w="865" w:type="pct"/>
            <w:gridSpan w:val="2"/>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初级职称人员</w:t>
            </w:r>
          </w:p>
        </w:tc>
        <w:tc>
          <w:tcPr>
            <w:tcW w:w="1230" w:type="pct"/>
            <w:gridSpan w:val="2"/>
            <w:vAlign w:val="center"/>
          </w:tcPr>
          <w:p>
            <w:pPr>
              <w:autoSpaceDE w:val="0"/>
              <w:autoSpaceDN w:val="0"/>
              <w:adjustRightInd w:val="0"/>
              <w:spacing w:line="400" w:lineRule="exact"/>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账号</w:t>
            </w:r>
          </w:p>
        </w:tc>
        <w:tc>
          <w:tcPr>
            <w:tcW w:w="1276" w:type="pct"/>
            <w:gridSpan w:val="2"/>
            <w:vAlign w:val="center"/>
          </w:tcPr>
          <w:p>
            <w:pPr>
              <w:autoSpaceDE w:val="0"/>
              <w:autoSpaceDN w:val="0"/>
              <w:adjustRightInd w:val="0"/>
              <w:spacing w:line="400" w:lineRule="exact"/>
              <w:jc w:val="center"/>
              <w:rPr>
                <w:rFonts w:ascii="宋体" w:hAnsi="宋体"/>
                <w:color w:val="auto"/>
                <w:kern w:val="0"/>
                <w:szCs w:val="21"/>
                <w:highlight w:val="none"/>
              </w:rPr>
            </w:pPr>
          </w:p>
        </w:tc>
        <w:tc>
          <w:tcPr>
            <w:tcW w:w="746" w:type="pct"/>
            <w:vMerge w:val="continue"/>
            <w:vAlign w:val="center"/>
          </w:tcPr>
          <w:p>
            <w:pPr>
              <w:autoSpaceDE w:val="0"/>
              <w:autoSpaceDN w:val="0"/>
              <w:adjustRightInd w:val="0"/>
              <w:spacing w:line="400" w:lineRule="exact"/>
              <w:jc w:val="center"/>
              <w:rPr>
                <w:rFonts w:ascii="宋体" w:hAnsi="宋体"/>
                <w:color w:val="auto"/>
                <w:kern w:val="0"/>
                <w:szCs w:val="21"/>
                <w:highlight w:val="none"/>
              </w:rPr>
            </w:pPr>
          </w:p>
        </w:tc>
        <w:tc>
          <w:tcPr>
            <w:tcW w:w="865" w:type="pct"/>
            <w:gridSpan w:val="2"/>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技工</w:t>
            </w:r>
          </w:p>
        </w:tc>
        <w:tc>
          <w:tcPr>
            <w:tcW w:w="1230" w:type="pct"/>
            <w:gridSpan w:val="2"/>
            <w:vAlign w:val="center"/>
          </w:tcPr>
          <w:p>
            <w:pPr>
              <w:autoSpaceDE w:val="0"/>
              <w:autoSpaceDN w:val="0"/>
              <w:adjustRightInd w:val="0"/>
              <w:spacing w:line="400" w:lineRule="exact"/>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1" w:type="pct"/>
            <w:vAlign w:val="center"/>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经营范围</w:t>
            </w:r>
          </w:p>
        </w:tc>
        <w:tc>
          <w:tcPr>
            <w:tcW w:w="4118" w:type="pct"/>
            <w:gridSpan w:val="7"/>
            <w:vAlign w:val="center"/>
          </w:tcPr>
          <w:p>
            <w:pPr>
              <w:autoSpaceDE w:val="0"/>
              <w:autoSpaceDN w:val="0"/>
              <w:adjustRightInd w:val="0"/>
              <w:spacing w:line="400" w:lineRule="exact"/>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567" w:hRule="atLeast"/>
          <w:jc w:val="center"/>
        </w:trPr>
        <w:tc>
          <w:tcPr>
            <w:tcW w:w="881" w:type="pct"/>
          </w:tcPr>
          <w:p>
            <w:pPr>
              <w:autoSpaceDE w:val="0"/>
              <w:autoSpaceDN w:val="0"/>
              <w:adjustRightIn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备注</w:t>
            </w:r>
          </w:p>
        </w:tc>
        <w:tc>
          <w:tcPr>
            <w:tcW w:w="4118" w:type="pct"/>
            <w:gridSpan w:val="7"/>
          </w:tcPr>
          <w:p>
            <w:pPr>
              <w:autoSpaceDE w:val="0"/>
              <w:autoSpaceDN w:val="0"/>
              <w:adjustRightInd w:val="0"/>
              <w:spacing w:line="400" w:lineRule="exact"/>
              <w:jc w:val="left"/>
              <w:rPr>
                <w:rFonts w:ascii="宋体" w:hAnsi="宋体"/>
                <w:color w:val="auto"/>
                <w:kern w:val="0"/>
                <w:szCs w:val="21"/>
                <w:highlight w:val="none"/>
              </w:rPr>
            </w:pPr>
          </w:p>
        </w:tc>
      </w:tr>
    </w:tbl>
    <w:p>
      <w:pPr>
        <w:adjustRightInd w:val="0"/>
        <w:spacing w:line="480" w:lineRule="auto"/>
        <w:ind w:firstLine="480" w:firstLineChars="200"/>
        <w:jc w:val="left"/>
        <w:rPr>
          <w:rFonts w:ascii="新宋体" w:hAnsi="新宋体" w:eastAsia="新宋体"/>
          <w:color w:val="auto"/>
          <w:sz w:val="24"/>
          <w:highlight w:val="none"/>
        </w:rPr>
      </w:pPr>
      <w:bookmarkStart w:id="142" w:name="_Toc217446089"/>
    </w:p>
    <w:p>
      <w:pPr>
        <w:adjustRightInd w:val="0"/>
        <w:spacing w:line="360" w:lineRule="auto"/>
        <w:ind w:firstLine="480" w:firstLineChars="200"/>
        <w:jc w:val="left"/>
        <w:rPr>
          <w:rFonts w:hint="eastAsia" w:ascii="宋体" w:hAnsi="宋体"/>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rPr>
          <w:color w:val="auto"/>
          <w:highlight w:val="none"/>
        </w:rPr>
      </w:pPr>
      <w:r>
        <w:rPr>
          <w:rFonts w:hint="eastAsia"/>
          <w:color w:val="auto"/>
          <w:highlight w:val="none"/>
        </w:rPr>
        <w:br w:type="page"/>
      </w:r>
    </w:p>
    <w:p>
      <w:pPr>
        <w:pStyle w:val="6"/>
        <w:numPr>
          <w:ilvl w:val="0"/>
          <w:numId w:val="10"/>
        </w:numPr>
        <w:spacing w:before="0" w:after="0" w:line="360" w:lineRule="auto"/>
        <w:jc w:val="center"/>
        <w:rPr>
          <w:rFonts w:hint="eastAsia"/>
          <w:color w:val="auto"/>
          <w:highlight w:val="none"/>
        </w:rPr>
      </w:pPr>
      <w:bookmarkStart w:id="143" w:name="_Toc1968_WPSOffice_Level2"/>
      <w:bookmarkStart w:id="144" w:name="_Toc562_WPSOffice_Level2"/>
      <w:r>
        <w:rPr>
          <w:rFonts w:hint="eastAsia"/>
          <w:color w:val="auto"/>
          <w:highlight w:val="none"/>
        </w:rPr>
        <w:t>供应商类似项目业绩一览表</w:t>
      </w:r>
      <w:bookmarkEnd w:id="142"/>
      <w:bookmarkEnd w:id="143"/>
      <w:bookmarkEnd w:id="144"/>
    </w:p>
    <w:p>
      <w:pPr>
        <w:numPr>
          <w:ilvl w:val="0"/>
          <w:numId w:val="0"/>
        </w:numPr>
        <w:rPr>
          <w:highlight w:val="none"/>
        </w:rPr>
      </w:pPr>
    </w:p>
    <w:tbl>
      <w:tblPr>
        <w:tblStyle w:val="43"/>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54" w:type="dxa"/>
          <w:bottom w:w="0" w:type="dxa"/>
          <w:right w:w="54" w:type="dxa"/>
        </w:tblCellMar>
      </w:tblPr>
      <w:tblGrid>
        <w:gridCol w:w="770"/>
        <w:gridCol w:w="1544"/>
        <w:gridCol w:w="1415"/>
        <w:gridCol w:w="1243"/>
        <w:gridCol w:w="1350"/>
        <w:gridCol w:w="9"/>
        <w:gridCol w:w="1600"/>
        <w:gridCol w:w="1286"/>
        <w:gridCol w:w="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7" w:type="pct"/>
            <w:tcBorders>
              <w:top w:val="single" w:color="auto" w:sz="4" w:space="0"/>
            </w:tcBorders>
            <w:vAlign w:val="center"/>
          </w:tcPr>
          <w:p>
            <w:pPr>
              <w:spacing w:line="400" w:lineRule="exact"/>
              <w:ind w:firstLine="105" w:firstLineChars="50"/>
              <w:jc w:val="center"/>
              <w:rPr>
                <w:rFonts w:ascii="宋体" w:hAnsi="宋体" w:cs="Arial"/>
                <w:b/>
                <w:color w:val="auto"/>
                <w:szCs w:val="21"/>
                <w:highlight w:val="none"/>
              </w:rPr>
            </w:pPr>
            <w:r>
              <w:rPr>
                <w:rFonts w:hint="eastAsia" w:ascii="宋体" w:hAnsi="宋体" w:cs="Arial"/>
                <w:b/>
                <w:color w:val="auto"/>
                <w:szCs w:val="21"/>
                <w:highlight w:val="none"/>
              </w:rPr>
              <w:t>年份</w:t>
            </w:r>
          </w:p>
        </w:tc>
        <w:tc>
          <w:tcPr>
            <w:tcW w:w="836" w:type="pct"/>
            <w:vAlign w:val="center"/>
          </w:tcPr>
          <w:p>
            <w:pPr>
              <w:spacing w:line="400" w:lineRule="exact"/>
              <w:jc w:val="center"/>
              <w:rPr>
                <w:rFonts w:ascii="宋体" w:hAnsi="宋体" w:cs="Arial"/>
                <w:b/>
                <w:color w:val="auto"/>
                <w:szCs w:val="21"/>
                <w:highlight w:val="none"/>
              </w:rPr>
            </w:pPr>
            <w:r>
              <w:rPr>
                <w:rFonts w:hint="eastAsia" w:ascii="宋体" w:hAnsi="宋体" w:cs="Arial"/>
                <w:b/>
                <w:color w:val="auto"/>
                <w:szCs w:val="21"/>
                <w:highlight w:val="none"/>
              </w:rPr>
              <w:t>用户名称</w:t>
            </w:r>
          </w:p>
        </w:tc>
        <w:tc>
          <w:tcPr>
            <w:tcW w:w="766" w:type="pct"/>
            <w:vAlign w:val="center"/>
          </w:tcPr>
          <w:p>
            <w:pPr>
              <w:spacing w:line="400" w:lineRule="exact"/>
              <w:jc w:val="center"/>
              <w:rPr>
                <w:rFonts w:ascii="宋体" w:hAnsi="宋体" w:cs="Arial"/>
                <w:b/>
                <w:color w:val="auto"/>
                <w:szCs w:val="21"/>
                <w:highlight w:val="none"/>
              </w:rPr>
            </w:pPr>
            <w:r>
              <w:rPr>
                <w:rFonts w:ascii="宋体" w:hAnsi="宋体" w:cs="Arial"/>
                <w:b/>
                <w:color w:val="auto"/>
                <w:szCs w:val="21"/>
                <w:highlight w:val="none"/>
              </w:rPr>
              <w:t>项目名称</w:t>
            </w:r>
          </w:p>
        </w:tc>
        <w:tc>
          <w:tcPr>
            <w:tcW w:w="673" w:type="pct"/>
            <w:vAlign w:val="center"/>
          </w:tcPr>
          <w:p>
            <w:pPr>
              <w:spacing w:line="400" w:lineRule="exact"/>
              <w:jc w:val="center"/>
              <w:rPr>
                <w:rFonts w:ascii="宋体" w:hAnsi="宋体" w:cs="Arial"/>
                <w:b/>
                <w:color w:val="auto"/>
                <w:szCs w:val="21"/>
                <w:highlight w:val="none"/>
              </w:rPr>
            </w:pPr>
            <w:r>
              <w:rPr>
                <w:rFonts w:ascii="宋体" w:hAnsi="宋体" w:cs="Arial"/>
                <w:b/>
                <w:color w:val="auto"/>
                <w:szCs w:val="21"/>
                <w:highlight w:val="none"/>
              </w:rPr>
              <w:t>完成时间</w:t>
            </w:r>
          </w:p>
        </w:tc>
        <w:tc>
          <w:tcPr>
            <w:tcW w:w="731" w:type="pct"/>
            <w:vAlign w:val="center"/>
          </w:tcPr>
          <w:p>
            <w:pPr>
              <w:spacing w:line="400" w:lineRule="exact"/>
              <w:ind w:firstLine="105" w:firstLineChars="50"/>
              <w:jc w:val="center"/>
              <w:rPr>
                <w:rFonts w:ascii="宋体" w:hAnsi="宋体" w:cs="Arial"/>
                <w:b/>
                <w:color w:val="auto"/>
                <w:szCs w:val="21"/>
                <w:highlight w:val="none"/>
              </w:rPr>
            </w:pPr>
            <w:r>
              <w:rPr>
                <w:rFonts w:ascii="宋体" w:hAnsi="宋体" w:cs="Arial"/>
                <w:b/>
                <w:color w:val="auto"/>
                <w:szCs w:val="21"/>
                <w:highlight w:val="none"/>
              </w:rPr>
              <w:t>合同金额</w:t>
            </w:r>
          </w:p>
        </w:tc>
        <w:tc>
          <w:tcPr>
            <w:tcW w:w="871" w:type="pct"/>
            <w:gridSpan w:val="2"/>
            <w:tcBorders>
              <w:right w:val="single" w:color="auto" w:sz="4" w:space="0"/>
            </w:tcBorders>
            <w:vAlign w:val="center"/>
          </w:tcPr>
          <w:p>
            <w:pPr>
              <w:spacing w:line="400" w:lineRule="exact"/>
              <w:jc w:val="center"/>
              <w:rPr>
                <w:rFonts w:ascii="宋体" w:hAnsi="宋体" w:cs="Arial"/>
                <w:b/>
                <w:color w:val="auto"/>
                <w:szCs w:val="21"/>
                <w:highlight w:val="none"/>
              </w:rPr>
            </w:pPr>
            <w:r>
              <w:rPr>
                <w:rFonts w:hint="eastAsia" w:ascii="宋体" w:hAnsi="宋体" w:cs="Arial"/>
                <w:b/>
                <w:color w:val="auto"/>
                <w:szCs w:val="21"/>
                <w:highlight w:val="none"/>
              </w:rPr>
              <w:t>是否通过验收</w:t>
            </w:r>
          </w:p>
        </w:tc>
        <w:tc>
          <w:tcPr>
            <w:tcW w:w="703" w:type="pct"/>
            <w:gridSpan w:val="2"/>
            <w:tcBorders>
              <w:right w:val="single" w:color="auto" w:sz="4" w:space="0"/>
            </w:tcBorders>
            <w:vAlign w:val="center"/>
          </w:tcPr>
          <w:p>
            <w:pPr>
              <w:spacing w:line="400" w:lineRule="exact"/>
              <w:jc w:val="center"/>
              <w:rPr>
                <w:rFonts w:ascii="宋体" w:hAnsi="宋体" w:cs="Arial"/>
                <w:b/>
                <w:color w:val="auto"/>
                <w:szCs w:val="21"/>
                <w:highlight w:val="none"/>
              </w:rPr>
            </w:pPr>
            <w:r>
              <w:rPr>
                <w:rFonts w:hint="eastAsia" w:ascii="宋体" w:hAnsi="宋体" w:cs="Arial"/>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7" w:type="pct"/>
            <w:vAlign w:val="center"/>
          </w:tcPr>
          <w:p>
            <w:pPr>
              <w:spacing w:line="400" w:lineRule="exact"/>
              <w:jc w:val="center"/>
              <w:rPr>
                <w:rFonts w:ascii="宋体" w:hAnsi="宋体" w:cs="Arial"/>
                <w:color w:val="auto"/>
                <w:szCs w:val="21"/>
                <w:highlight w:val="none"/>
              </w:rPr>
            </w:pPr>
          </w:p>
        </w:tc>
        <w:tc>
          <w:tcPr>
            <w:tcW w:w="836" w:type="pct"/>
            <w:vAlign w:val="center"/>
          </w:tcPr>
          <w:p>
            <w:pPr>
              <w:spacing w:line="400" w:lineRule="exact"/>
              <w:jc w:val="center"/>
              <w:rPr>
                <w:rFonts w:ascii="宋体" w:hAnsi="宋体" w:cs="Arial"/>
                <w:color w:val="auto"/>
                <w:szCs w:val="21"/>
                <w:highlight w:val="none"/>
              </w:rPr>
            </w:pPr>
          </w:p>
        </w:tc>
        <w:tc>
          <w:tcPr>
            <w:tcW w:w="766" w:type="pct"/>
            <w:vAlign w:val="center"/>
          </w:tcPr>
          <w:p>
            <w:pPr>
              <w:spacing w:line="400" w:lineRule="exact"/>
              <w:jc w:val="center"/>
              <w:rPr>
                <w:rFonts w:ascii="宋体" w:hAnsi="宋体" w:cs="Arial"/>
                <w:color w:val="auto"/>
                <w:szCs w:val="21"/>
                <w:highlight w:val="none"/>
              </w:rPr>
            </w:pPr>
          </w:p>
        </w:tc>
        <w:tc>
          <w:tcPr>
            <w:tcW w:w="673" w:type="pct"/>
            <w:vAlign w:val="center"/>
          </w:tcPr>
          <w:p>
            <w:pPr>
              <w:spacing w:line="400" w:lineRule="exact"/>
              <w:jc w:val="center"/>
              <w:rPr>
                <w:rFonts w:ascii="宋体" w:hAnsi="宋体" w:cs="Arial"/>
                <w:color w:val="auto"/>
                <w:szCs w:val="21"/>
                <w:highlight w:val="none"/>
              </w:rPr>
            </w:pPr>
          </w:p>
        </w:tc>
        <w:tc>
          <w:tcPr>
            <w:tcW w:w="731" w:type="pct"/>
            <w:vAlign w:val="center"/>
          </w:tcPr>
          <w:p>
            <w:pPr>
              <w:spacing w:line="400" w:lineRule="exact"/>
              <w:jc w:val="center"/>
              <w:rPr>
                <w:rFonts w:ascii="宋体" w:hAnsi="宋体" w:cs="Arial"/>
                <w:color w:val="auto"/>
                <w:szCs w:val="21"/>
                <w:highlight w:val="none"/>
              </w:rPr>
            </w:pPr>
          </w:p>
        </w:tc>
        <w:tc>
          <w:tcPr>
            <w:tcW w:w="871" w:type="pct"/>
            <w:gridSpan w:val="2"/>
            <w:tcBorders>
              <w:right w:val="single" w:color="auto" w:sz="4" w:space="0"/>
            </w:tcBorders>
            <w:vAlign w:val="center"/>
          </w:tcPr>
          <w:p>
            <w:pPr>
              <w:spacing w:line="400" w:lineRule="exact"/>
              <w:jc w:val="center"/>
              <w:rPr>
                <w:rFonts w:ascii="宋体" w:hAnsi="宋体" w:cs="Arial"/>
                <w:color w:val="auto"/>
                <w:szCs w:val="21"/>
                <w:highlight w:val="none"/>
              </w:rPr>
            </w:pPr>
          </w:p>
        </w:tc>
        <w:tc>
          <w:tcPr>
            <w:tcW w:w="703" w:type="pct"/>
            <w:gridSpan w:val="2"/>
            <w:tcBorders>
              <w:righ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7" w:type="pct"/>
            <w:vAlign w:val="center"/>
          </w:tcPr>
          <w:p>
            <w:pPr>
              <w:spacing w:line="400" w:lineRule="exact"/>
              <w:jc w:val="center"/>
              <w:rPr>
                <w:rFonts w:ascii="宋体" w:hAnsi="宋体" w:cs="Arial"/>
                <w:color w:val="auto"/>
                <w:szCs w:val="21"/>
                <w:highlight w:val="none"/>
              </w:rPr>
            </w:pPr>
          </w:p>
        </w:tc>
        <w:tc>
          <w:tcPr>
            <w:tcW w:w="836" w:type="pct"/>
            <w:vAlign w:val="center"/>
          </w:tcPr>
          <w:p>
            <w:pPr>
              <w:spacing w:line="400" w:lineRule="exact"/>
              <w:jc w:val="center"/>
              <w:rPr>
                <w:rFonts w:ascii="宋体" w:hAnsi="宋体" w:cs="Arial"/>
                <w:color w:val="auto"/>
                <w:szCs w:val="21"/>
                <w:highlight w:val="none"/>
              </w:rPr>
            </w:pPr>
          </w:p>
        </w:tc>
        <w:tc>
          <w:tcPr>
            <w:tcW w:w="766" w:type="pct"/>
            <w:vAlign w:val="center"/>
          </w:tcPr>
          <w:p>
            <w:pPr>
              <w:spacing w:line="400" w:lineRule="exact"/>
              <w:jc w:val="center"/>
              <w:rPr>
                <w:rFonts w:ascii="宋体" w:hAnsi="宋体" w:cs="Arial"/>
                <w:color w:val="auto"/>
                <w:szCs w:val="21"/>
                <w:highlight w:val="none"/>
              </w:rPr>
            </w:pPr>
          </w:p>
        </w:tc>
        <w:tc>
          <w:tcPr>
            <w:tcW w:w="673" w:type="pct"/>
            <w:vAlign w:val="center"/>
          </w:tcPr>
          <w:p>
            <w:pPr>
              <w:spacing w:line="400" w:lineRule="exact"/>
              <w:jc w:val="center"/>
              <w:rPr>
                <w:rFonts w:ascii="宋体" w:hAnsi="宋体" w:cs="Arial"/>
                <w:color w:val="auto"/>
                <w:szCs w:val="21"/>
                <w:highlight w:val="none"/>
              </w:rPr>
            </w:pPr>
          </w:p>
        </w:tc>
        <w:tc>
          <w:tcPr>
            <w:tcW w:w="731" w:type="pct"/>
            <w:vAlign w:val="center"/>
          </w:tcPr>
          <w:p>
            <w:pPr>
              <w:spacing w:line="400" w:lineRule="exact"/>
              <w:jc w:val="center"/>
              <w:rPr>
                <w:rFonts w:ascii="宋体" w:hAnsi="宋体" w:cs="Arial"/>
                <w:color w:val="auto"/>
                <w:szCs w:val="21"/>
                <w:highlight w:val="none"/>
              </w:rPr>
            </w:pPr>
          </w:p>
        </w:tc>
        <w:tc>
          <w:tcPr>
            <w:tcW w:w="871" w:type="pct"/>
            <w:gridSpan w:val="2"/>
            <w:tcBorders>
              <w:right w:val="single" w:color="auto" w:sz="4" w:space="0"/>
            </w:tcBorders>
            <w:vAlign w:val="center"/>
          </w:tcPr>
          <w:p>
            <w:pPr>
              <w:spacing w:line="400" w:lineRule="exact"/>
              <w:jc w:val="center"/>
              <w:rPr>
                <w:rFonts w:ascii="宋体" w:hAnsi="宋体" w:cs="Arial"/>
                <w:color w:val="auto"/>
                <w:szCs w:val="21"/>
                <w:highlight w:val="none"/>
              </w:rPr>
            </w:pPr>
          </w:p>
        </w:tc>
        <w:tc>
          <w:tcPr>
            <w:tcW w:w="703" w:type="pct"/>
            <w:gridSpan w:val="2"/>
            <w:tcBorders>
              <w:righ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7" w:type="pct"/>
            <w:vAlign w:val="center"/>
          </w:tcPr>
          <w:p>
            <w:pPr>
              <w:spacing w:line="400" w:lineRule="exact"/>
              <w:jc w:val="center"/>
              <w:rPr>
                <w:rFonts w:ascii="宋体" w:hAnsi="宋体" w:cs="Arial"/>
                <w:color w:val="auto"/>
                <w:szCs w:val="21"/>
                <w:highlight w:val="none"/>
              </w:rPr>
            </w:pPr>
          </w:p>
        </w:tc>
        <w:tc>
          <w:tcPr>
            <w:tcW w:w="836" w:type="pct"/>
            <w:vAlign w:val="center"/>
          </w:tcPr>
          <w:p>
            <w:pPr>
              <w:spacing w:line="400" w:lineRule="exact"/>
              <w:jc w:val="center"/>
              <w:rPr>
                <w:rFonts w:ascii="宋体" w:hAnsi="宋体" w:cs="Arial"/>
                <w:color w:val="auto"/>
                <w:szCs w:val="21"/>
                <w:highlight w:val="none"/>
              </w:rPr>
            </w:pPr>
          </w:p>
        </w:tc>
        <w:tc>
          <w:tcPr>
            <w:tcW w:w="766" w:type="pct"/>
            <w:vAlign w:val="center"/>
          </w:tcPr>
          <w:p>
            <w:pPr>
              <w:spacing w:line="400" w:lineRule="exact"/>
              <w:jc w:val="center"/>
              <w:rPr>
                <w:rFonts w:ascii="宋体" w:hAnsi="宋体" w:cs="Arial"/>
                <w:color w:val="auto"/>
                <w:szCs w:val="21"/>
                <w:highlight w:val="none"/>
              </w:rPr>
            </w:pPr>
          </w:p>
        </w:tc>
        <w:tc>
          <w:tcPr>
            <w:tcW w:w="673" w:type="pct"/>
            <w:vAlign w:val="center"/>
          </w:tcPr>
          <w:p>
            <w:pPr>
              <w:spacing w:line="400" w:lineRule="exact"/>
              <w:jc w:val="center"/>
              <w:rPr>
                <w:rFonts w:ascii="宋体" w:hAnsi="宋体" w:cs="Arial"/>
                <w:color w:val="auto"/>
                <w:szCs w:val="21"/>
                <w:highlight w:val="none"/>
              </w:rPr>
            </w:pPr>
          </w:p>
        </w:tc>
        <w:tc>
          <w:tcPr>
            <w:tcW w:w="731" w:type="pct"/>
            <w:vAlign w:val="center"/>
          </w:tcPr>
          <w:p>
            <w:pPr>
              <w:spacing w:line="400" w:lineRule="exact"/>
              <w:jc w:val="center"/>
              <w:rPr>
                <w:rFonts w:ascii="宋体" w:hAnsi="宋体" w:cs="Arial"/>
                <w:color w:val="auto"/>
                <w:szCs w:val="21"/>
                <w:highlight w:val="none"/>
              </w:rPr>
            </w:pPr>
          </w:p>
        </w:tc>
        <w:tc>
          <w:tcPr>
            <w:tcW w:w="871" w:type="pct"/>
            <w:gridSpan w:val="2"/>
            <w:tcBorders>
              <w:right w:val="single" w:color="auto" w:sz="4" w:space="0"/>
            </w:tcBorders>
            <w:vAlign w:val="center"/>
          </w:tcPr>
          <w:p>
            <w:pPr>
              <w:spacing w:line="400" w:lineRule="exact"/>
              <w:jc w:val="center"/>
              <w:rPr>
                <w:rFonts w:ascii="宋体" w:hAnsi="宋体" w:cs="Arial"/>
                <w:color w:val="auto"/>
                <w:szCs w:val="21"/>
                <w:highlight w:val="none"/>
              </w:rPr>
            </w:pPr>
          </w:p>
        </w:tc>
        <w:tc>
          <w:tcPr>
            <w:tcW w:w="703" w:type="pct"/>
            <w:gridSpan w:val="2"/>
            <w:tcBorders>
              <w:righ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7" w:type="pct"/>
            <w:vAlign w:val="center"/>
          </w:tcPr>
          <w:p>
            <w:pPr>
              <w:spacing w:line="400" w:lineRule="exact"/>
              <w:jc w:val="center"/>
              <w:rPr>
                <w:rFonts w:ascii="宋体" w:hAnsi="宋体" w:cs="Arial"/>
                <w:color w:val="auto"/>
                <w:szCs w:val="21"/>
                <w:highlight w:val="none"/>
              </w:rPr>
            </w:pPr>
          </w:p>
        </w:tc>
        <w:tc>
          <w:tcPr>
            <w:tcW w:w="836" w:type="pct"/>
            <w:tcBorders>
              <w:right w:val="single" w:color="auto" w:sz="4" w:space="0"/>
            </w:tcBorders>
            <w:vAlign w:val="center"/>
          </w:tcPr>
          <w:p>
            <w:pPr>
              <w:spacing w:line="400" w:lineRule="exact"/>
              <w:jc w:val="center"/>
              <w:rPr>
                <w:rFonts w:ascii="宋体" w:hAnsi="宋体" w:cs="Arial"/>
                <w:color w:val="auto"/>
                <w:szCs w:val="21"/>
                <w:highlight w:val="none"/>
              </w:rPr>
            </w:pPr>
          </w:p>
        </w:tc>
        <w:tc>
          <w:tcPr>
            <w:tcW w:w="766" w:type="pct"/>
            <w:tcBorders>
              <w:left w:val="single" w:color="auto" w:sz="4" w:space="0"/>
            </w:tcBorders>
            <w:vAlign w:val="center"/>
          </w:tcPr>
          <w:p>
            <w:pPr>
              <w:spacing w:line="400" w:lineRule="exact"/>
              <w:jc w:val="center"/>
              <w:rPr>
                <w:rFonts w:ascii="宋体" w:hAnsi="宋体" w:cs="Arial"/>
                <w:color w:val="auto"/>
                <w:szCs w:val="21"/>
                <w:highlight w:val="none"/>
              </w:rPr>
            </w:pPr>
          </w:p>
        </w:tc>
        <w:tc>
          <w:tcPr>
            <w:tcW w:w="673" w:type="pct"/>
            <w:vAlign w:val="center"/>
          </w:tcPr>
          <w:p>
            <w:pPr>
              <w:spacing w:line="400" w:lineRule="exact"/>
              <w:jc w:val="center"/>
              <w:rPr>
                <w:rFonts w:ascii="宋体" w:hAnsi="宋体" w:cs="Arial"/>
                <w:color w:val="auto"/>
                <w:szCs w:val="21"/>
                <w:highlight w:val="none"/>
              </w:rPr>
            </w:pPr>
          </w:p>
        </w:tc>
        <w:tc>
          <w:tcPr>
            <w:tcW w:w="731" w:type="pct"/>
            <w:vAlign w:val="center"/>
          </w:tcPr>
          <w:p>
            <w:pPr>
              <w:spacing w:line="400" w:lineRule="exact"/>
              <w:jc w:val="center"/>
              <w:rPr>
                <w:rFonts w:ascii="宋体" w:hAnsi="宋体" w:cs="Arial"/>
                <w:color w:val="auto"/>
                <w:szCs w:val="21"/>
                <w:highlight w:val="none"/>
              </w:rPr>
            </w:pPr>
          </w:p>
        </w:tc>
        <w:tc>
          <w:tcPr>
            <w:tcW w:w="871" w:type="pct"/>
            <w:gridSpan w:val="2"/>
            <w:tcBorders>
              <w:right w:val="single" w:color="auto" w:sz="4" w:space="0"/>
            </w:tcBorders>
            <w:vAlign w:val="center"/>
          </w:tcPr>
          <w:p>
            <w:pPr>
              <w:spacing w:line="400" w:lineRule="exact"/>
              <w:jc w:val="center"/>
              <w:rPr>
                <w:rFonts w:ascii="宋体" w:hAnsi="宋体" w:cs="Arial"/>
                <w:color w:val="auto"/>
                <w:szCs w:val="21"/>
                <w:highlight w:val="none"/>
              </w:rPr>
            </w:pPr>
          </w:p>
        </w:tc>
        <w:tc>
          <w:tcPr>
            <w:tcW w:w="703" w:type="pct"/>
            <w:gridSpan w:val="2"/>
            <w:tcBorders>
              <w:righ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7" w:type="pct"/>
            <w:tcBorders>
              <w:right w:val="single" w:color="auto" w:sz="4" w:space="0"/>
            </w:tcBorders>
            <w:vAlign w:val="center"/>
          </w:tcPr>
          <w:p>
            <w:pPr>
              <w:spacing w:line="400" w:lineRule="exact"/>
              <w:jc w:val="center"/>
              <w:rPr>
                <w:rFonts w:ascii="宋体" w:hAnsi="宋体" w:cs="Arial"/>
                <w:color w:val="auto"/>
                <w:szCs w:val="21"/>
                <w:highlight w:val="none"/>
              </w:rPr>
            </w:pPr>
          </w:p>
        </w:tc>
        <w:tc>
          <w:tcPr>
            <w:tcW w:w="836" w:type="pct"/>
            <w:tcBorders>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766" w:type="pct"/>
            <w:tcBorders>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673" w:type="pct"/>
            <w:tcBorders>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736" w:type="pct"/>
            <w:gridSpan w:val="2"/>
            <w:tcBorders>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866" w:type="pct"/>
            <w:tcBorders>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703" w:type="pct"/>
            <w:gridSpan w:val="2"/>
            <w:tcBorders>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7" w:type="pct"/>
          <w:cantSplit/>
          <w:trHeight w:val="600" w:hRule="atLeast"/>
          <w:jc w:val="center"/>
        </w:trPr>
        <w:tc>
          <w:tcPr>
            <w:tcW w:w="417" w:type="pct"/>
            <w:vAlign w:val="center"/>
          </w:tcPr>
          <w:p>
            <w:pPr>
              <w:spacing w:line="400" w:lineRule="exact"/>
              <w:jc w:val="center"/>
              <w:rPr>
                <w:rFonts w:ascii="宋体" w:hAnsi="宋体" w:cs="Arial"/>
                <w:color w:val="auto"/>
                <w:szCs w:val="21"/>
                <w:highlight w:val="none"/>
              </w:rPr>
            </w:pPr>
          </w:p>
        </w:tc>
        <w:tc>
          <w:tcPr>
            <w:tcW w:w="836" w:type="pct"/>
            <w:vAlign w:val="center"/>
          </w:tcPr>
          <w:p>
            <w:pPr>
              <w:spacing w:line="400" w:lineRule="exact"/>
              <w:jc w:val="center"/>
              <w:rPr>
                <w:rFonts w:ascii="宋体" w:hAnsi="宋体" w:cs="Arial"/>
                <w:color w:val="auto"/>
                <w:szCs w:val="21"/>
                <w:highlight w:val="none"/>
              </w:rPr>
            </w:pPr>
          </w:p>
        </w:tc>
        <w:tc>
          <w:tcPr>
            <w:tcW w:w="766" w:type="pct"/>
            <w:vAlign w:val="center"/>
          </w:tcPr>
          <w:p>
            <w:pPr>
              <w:spacing w:line="400" w:lineRule="exact"/>
              <w:jc w:val="center"/>
              <w:rPr>
                <w:rFonts w:ascii="宋体" w:hAnsi="宋体" w:cs="Arial"/>
                <w:color w:val="auto"/>
                <w:szCs w:val="21"/>
                <w:highlight w:val="none"/>
              </w:rPr>
            </w:pPr>
          </w:p>
        </w:tc>
        <w:tc>
          <w:tcPr>
            <w:tcW w:w="673" w:type="pct"/>
            <w:vAlign w:val="center"/>
          </w:tcPr>
          <w:p>
            <w:pPr>
              <w:spacing w:line="400" w:lineRule="exact"/>
              <w:jc w:val="center"/>
              <w:rPr>
                <w:rFonts w:ascii="宋体" w:hAnsi="宋体" w:cs="Arial"/>
                <w:color w:val="auto"/>
                <w:szCs w:val="21"/>
                <w:highlight w:val="none"/>
              </w:rPr>
            </w:pPr>
          </w:p>
        </w:tc>
        <w:tc>
          <w:tcPr>
            <w:tcW w:w="736" w:type="pct"/>
            <w:gridSpan w:val="2"/>
            <w:tcBorders>
              <w:right w:val="single" w:color="auto" w:sz="4" w:space="0"/>
            </w:tcBorders>
            <w:vAlign w:val="center"/>
          </w:tcPr>
          <w:p>
            <w:pPr>
              <w:spacing w:line="400" w:lineRule="exact"/>
              <w:jc w:val="center"/>
              <w:rPr>
                <w:rFonts w:ascii="宋体" w:hAnsi="宋体" w:cs="Arial"/>
                <w:color w:val="auto"/>
                <w:szCs w:val="21"/>
                <w:highlight w:val="none"/>
              </w:rPr>
            </w:pPr>
          </w:p>
        </w:tc>
        <w:tc>
          <w:tcPr>
            <w:tcW w:w="866" w:type="pct"/>
            <w:tcBorders>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696" w:type="pct"/>
            <w:tcBorders>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7" w:type="pct"/>
          <w:cantSplit/>
          <w:trHeight w:val="600" w:hRule="atLeast"/>
          <w:jc w:val="center"/>
        </w:trPr>
        <w:tc>
          <w:tcPr>
            <w:tcW w:w="417" w:type="pct"/>
            <w:vAlign w:val="center"/>
          </w:tcPr>
          <w:p>
            <w:pPr>
              <w:spacing w:line="400" w:lineRule="exact"/>
              <w:jc w:val="center"/>
              <w:rPr>
                <w:rFonts w:ascii="宋体" w:hAnsi="宋体" w:cs="Arial"/>
                <w:color w:val="auto"/>
                <w:szCs w:val="21"/>
                <w:highlight w:val="none"/>
              </w:rPr>
            </w:pPr>
          </w:p>
        </w:tc>
        <w:tc>
          <w:tcPr>
            <w:tcW w:w="836" w:type="pct"/>
            <w:vAlign w:val="center"/>
          </w:tcPr>
          <w:p>
            <w:pPr>
              <w:spacing w:line="400" w:lineRule="exact"/>
              <w:jc w:val="center"/>
              <w:rPr>
                <w:rFonts w:ascii="宋体" w:hAnsi="宋体" w:cs="Arial"/>
                <w:color w:val="auto"/>
                <w:szCs w:val="21"/>
                <w:highlight w:val="none"/>
              </w:rPr>
            </w:pPr>
          </w:p>
        </w:tc>
        <w:tc>
          <w:tcPr>
            <w:tcW w:w="766" w:type="pct"/>
            <w:vAlign w:val="center"/>
          </w:tcPr>
          <w:p>
            <w:pPr>
              <w:spacing w:line="400" w:lineRule="exact"/>
              <w:jc w:val="center"/>
              <w:rPr>
                <w:rFonts w:ascii="宋体" w:hAnsi="宋体" w:cs="Arial"/>
                <w:color w:val="auto"/>
                <w:szCs w:val="21"/>
                <w:highlight w:val="none"/>
              </w:rPr>
            </w:pPr>
          </w:p>
        </w:tc>
        <w:tc>
          <w:tcPr>
            <w:tcW w:w="673" w:type="pct"/>
            <w:vAlign w:val="center"/>
          </w:tcPr>
          <w:p>
            <w:pPr>
              <w:spacing w:line="400" w:lineRule="exact"/>
              <w:jc w:val="center"/>
              <w:rPr>
                <w:rFonts w:ascii="宋体" w:hAnsi="宋体" w:cs="Arial"/>
                <w:color w:val="auto"/>
                <w:szCs w:val="21"/>
                <w:highlight w:val="none"/>
              </w:rPr>
            </w:pPr>
          </w:p>
        </w:tc>
        <w:tc>
          <w:tcPr>
            <w:tcW w:w="736" w:type="pct"/>
            <w:gridSpan w:val="2"/>
            <w:tcBorders>
              <w:right w:val="single" w:color="auto" w:sz="4" w:space="0"/>
            </w:tcBorders>
            <w:vAlign w:val="center"/>
          </w:tcPr>
          <w:p>
            <w:pPr>
              <w:spacing w:line="400" w:lineRule="exact"/>
              <w:jc w:val="center"/>
              <w:rPr>
                <w:rFonts w:ascii="宋体" w:hAnsi="宋体" w:cs="Arial"/>
                <w:color w:val="auto"/>
                <w:szCs w:val="21"/>
                <w:highlight w:val="none"/>
              </w:rPr>
            </w:pPr>
          </w:p>
        </w:tc>
        <w:tc>
          <w:tcPr>
            <w:tcW w:w="866" w:type="pct"/>
            <w:tcBorders>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696" w:type="pct"/>
            <w:tcBorders>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7" w:type="pct"/>
          <w:cantSplit/>
          <w:trHeight w:val="600" w:hRule="atLeast"/>
          <w:jc w:val="center"/>
        </w:trPr>
        <w:tc>
          <w:tcPr>
            <w:tcW w:w="417" w:type="pct"/>
            <w:vAlign w:val="center"/>
          </w:tcPr>
          <w:p>
            <w:pPr>
              <w:spacing w:line="400" w:lineRule="exact"/>
              <w:jc w:val="center"/>
              <w:rPr>
                <w:rFonts w:ascii="宋体" w:hAnsi="宋体" w:cs="Arial"/>
                <w:color w:val="auto"/>
                <w:szCs w:val="21"/>
                <w:highlight w:val="none"/>
              </w:rPr>
            </w:pPr>
          </w:p>
        </w:tc>
        <w:tc>
          <w:tcPr>
            <w:tcW w:w="836" w:type="pct"/>
            <w:vAlign w:val="center"/>
          </w:tcPr>
          <w:p>
            <w:pPr>
              <w:spacing w:line="400" w:lineRule="exact"/>
              <w:jc w:val="center"/>
              <w:rPr>
                <w:rFonts w:ascii="宋体" w:hAnsi="宋体" w:cs="Arial"/>
                <w:color w:val="auto"/>
                <w:szCs w:val="21"/>
                <w:highlight w:val="none"/>
              </w:rPr>
            </w:pPr>
          </w:p>
        </w:tc>
        <w:tc>
          <w:tcPr>
            <w:tcW w:w="766" w:type="pct"/>
            <w:vAlign w:val="center"/>
          </w:tcPr>
          <w:p>
            <w:pPr>
              <w:spacing w:line="400" w:lineRule="exact"/>
              <w:jc w:val="center"/>
              <w:rPr>
                <w:rFonts w:ascii="宋体" w:hAnsi="宋体" w:cs="Arial"/>
                <w:color w:val="auto"/>
                <w:szCs w:val="21"/>
                <w:highlight w:val="none"/>
              </w:rPr>
            </w:pPr>
          </w:p>
        </w:tc>
        <w:tc>
          <w:tcPr>
            <w:tcW w:w="673" w:type="pct"/>
            <w:vAlign w:val="center"/>
          </w:tcPr>
          <w:p>
            <w:pPr>
              <w:spacing w:line="400" w:lineRule="exact"/>
              <w:jc w:val="center"/>
              <w:rPr>
                <w:rFonts w:ascii="宋体" w:hAnsi="宋体" w:cs="Arial"/>
                <w:color w:val="auto"/>
                <w:szCs w:val="21"/>
                <w:highlight w:val="none"/>
              </w:rPr>
            </w:pPr>
          </w:p>
        </w:tc>
        <w:tc>
          <w:tcPr>
            <w:tcW w:w="736" w:type="pct"/>
            <w:gridSpan w:val="2"/>
            <w:tcBorders>
              <w:right w:val="single" w:color="auto" w:sz="4" w:space="0"/>
            </w:tcBorders>
            <w:vAlign w:val="center"/>
          </w:tcPr>
          <w:p>
            <w:pPr>
              <w:spacing w:line="400" w:lineRule="exact"/>
              <w:jc w:val="center"/>
              <w:rPr>
                <w:rFonts w:ascii="宋体" w:hAnsi="宋体" w:cs="Arial"/>
                <w:color w:val="auto"/>
                <w:szCs w:val="21"/>
                <w:highlight w:val="none"/>
              </w:rPr>
            </w:pPr>
          </w:p>
        </w:tc>
        <w:tc>
          <w:tcPr>
            <w:tcW w:w="866" w:type="pct"/>
            <w:tcBorders>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696" w:type="pct"/>
            <w:tcBorders>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7" w:type="pct"/>
          <w:cantSplit/>
          <w:trHeight w:val="510" w:hRule="atLeast"/>
          <w:jc w:val="center"/>
        </w:trPr>
        <w:tc>
          <w:tcPr>
            <w:tcW w:w="417" w:type="pct"/>
            <w:tcBorders>
              <w:bottom w:val="single" w:color="auto" w:sz="4" w:space="0"/>
            </w:tcBorders>
            <w:vAlign w:val="center"/>
          </w:tcPr>
          <w:p>
            <w:pPr>
              <w:spacing w:line="400" w:lineRule="exact"/>
              <w:jc w:val="center"/>
              <w:rPr>
                <w:rFonts w:ascii="宋体" w:hAnsi="宋体" w:cs="Arial"/>
                <w:color w:val="auto"/>
                <w:szCs w:val="21"/>
                <w:highlight w:val="none"/>
              </w:rPr>
            </w:pPr>
          </w:p>
        </w:tc>
        <w:tc>
          <w:tcPr>
            <w:tcW w:w="836" w:type="pct"/>
            <w:tcBorders>
              <w:bottom w:val="single" w:color="auto" w:sz="4" w:space="0"/>
            </w:tcBorders>
            <w:vAlign w:val="center"/>
          </w:tcPr>
          <w:p>
            <w:pPr>
              <w:spacing w:line="400" w:lineRule="exact"/>
              <w:jc w:val="center"/>
              <w:rPr>
                <w:rFonts w:ascii="宋体" w:hAnsi="宋体" w:cs="Arial"/>
                <w:color w:val="auto"/>
                <w:szCs w:val="21"/>
                <w:highlight w:val="none"/>
              </w:rPr>
            </w:pPr>
          </w:p>
        </w:tc>
        <w:tc>
          <w:tcPr>
            <w:tcW w:w="766" w:type="pct"/>
            <w:tcBorders>
              <w:bottom w:val="single" w:color="auto" w:sz="4" w:space="0"/>
            </w:tcBorders>
            <w:vAlign w:val="center"/>
          </w:tcPr>
          <w:p>
            <w:pPr>
              <w:spacing w:line="400" w:lineRule="exact"/>
              <w:jc w:val="center"/>
              <w:rPr>
                <w:rFonts w:ascii="宋体" w:hAnsi="宋体" w:cs="Arial"/>
                <w:color w:val="auto"/>
                <w:szCs w:val="21"/>
                <w:highlight w:val="none"/>
              </w:rPr>
            </w:pPr>
          </w:p>
        </w:tc>
        <w:tc>
          <w:tcPr>
            <w:tcW w:w="673" w:type="pct"/>
            <w:tcBorders>
              <w:bottom w:val="single" w:color="auto" w:sz="4" w:space="0"/>
            </w:tcBorders>
            <w:vAlign w:val="center"/>
          </w:tcPr>
          <w:p>
            <w:pPr>
              <w:spacing w:line="400" w:lineRule="exact"/>
              <w:jc w:val="center"/>
              <w:rPr>
                <w:rFonts w:ascii="宋体" w:hAnsi="宋体" w:cs="Arial"/>
                <w:color w:val="auto"/>
                <w:szCs w:val="21"/>
                <w:highlight w:val="none"/>
              </w:rPr>
            </w:pPr>
          </w:p>
        </w:tc>
        <w:tc>
          <w:tcPr>
            <w:tcW w:w="736" w:type="pct"/>
            <w:gridSpan w:val="2"/>
            <w:tcBorders>
              <w:bottom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866" w:type="pct"/>
            <w:tcBorders>
              <w:left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696" w:type="pct"/>
            <w:tcBorders>
              <w:left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7" w:type="pct"/>
          <w:cantSplit/>
          <w:trHeight w:val="615" w:hRule="atLeast"/>
          <w:jc w:val="center"/>
        </w:trPr>
        <w:tc>
          <w:tcPr>
            <w:tcW w:w="417" w:type="pct"/>
            <w:tcBorders>
              <w:top w:val="single" w:color="auto" w:sz="4" w:space="0"/>
              <w:bottom w:val="single" w:color="auto" w:sz="4" w:space="0"/>
            </w:tcBorders>
            <w:vAlign w:val="center"/>
          </w:tcPr>
          <w:p>
            <w:pPr>
              <w:spacing w:line="400" w:lineRule="exact"/>
              <w:jc w:val="center"/>
              <w:rPr>
                <w:rFonts w:ascii="宋体" w:hAnsi="宋体" w:cs="Arial"/>
                <w:color w:val="auto"/>
                <w:szCs w:val="21"/>
                <w:highlight w:val="none"/>
              </w:rPr>
            </w:pPr>
          </w:p>
        </w:tc>
        <w:tc>
          <w:tcPr>
            <w:tcW w:w="836" w:type="pct"/>
            <w:tcBorders>
              <w:top w:val="single" w:color="auto" w:sz="4" w:space="0"/>
              <w:bottom w:val="single" w:color="auto" w:sz="4" w:space="0"/>
            </w:tcBorders>
            <w:vAlign w:val="center"/>
          </w:tcPr>
          <w:p>
            <w:pPr>
              <w:spacing w:line="400" w:lineRule="exact"/>
              <w:jc w:val="center"/>
              <w:rPr>
                <w:rFonts w:ascii="宋体" w:hAnsi="宋体" w:cs="Arial"/>
                <w:color w:val="auto"/>
                <w:szCs w:val="21"/>
                <w:highlight w:val="none"/>
              </w:rPr>
            </w:pPr>
          </w:p>
        </w:tc>
        <w:tc>
          <w:tcPr>
            <w:tcW w:w="766" w:type="pct"/>
            <w:tcBorders>
              <w:top w:val="single" w:color="auto" w:sz="4" w:space="0"/>
              <w:bottom w:val="single" w:color="auto" w:sz="4" w:space="0"/>
            </w:tcBorders>
            <w:vAlign w:val="center"/>
          </w:tcPr>
          <w:p>
            <w:pPr>
              <w:spacing w:line="400" w:lineRule="exact"/>
              <w:jc w:val="center"/>
              <w:rPr>
                <w:rFonts w:ascii="宋体" w:hAnsi="宋体" w:cs="Arial"/>
                <w:color w:val="auto"/>
                <w:szCs w:val="21"/>
                <w:highlight w:val="none"/>
              </w:rPr>
            </w:pPr>
          </w:p>
        </w:tc>
        <w:tc>
          <w:tcPr>
            <w:tcW w:w="673" w:type="pct"/>
            <w:tcBorders>
              <w:top w:val="single" w:color="auto" w:sz="4" w:space="0"/>
              <w:bottom w:val="single" w:color="auto" w:sz="4" w:space="0"/>
            </w:tcBorders>
            <w:vAlign w:val="center"/>
          </w:tcPr>
          <w:p>
            <w:pPr>
              <w:spacing w:line="400" w:lineRule="exact"/>
              <w:jc w:val="center"/>
              <w:rPr>
                <w:rFonts w:ascii="宋体" w:hAnsi="宋体" w:cs="Arial"/>
                <w:color w:val="auto"/>
                <w:szCs w:val="21"/>
                <w:highlight w:val="none"/>
              </w:rPr>
            </w:pPr>
          </w:p>
        </w:tc>
        <w:tc>
          <w:tcPr>
            <w:tcW w:w="736" w:type="pct"/>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86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7" w:type="pct"/>
          <w:cantSplit/>
          <w:trHeight w:val="615" w:hRule="atLeast"/>
          <w:jc w:val="center"/>
        </w:trPr>
        <w:tc>
          <w:tcPr>
            <w:tcW w:w="417" w:type="pct"/>
            <w:tcBorders>
              <w:top w:val="single" w:color="auto" w:sz="4" w:space="0"/>
              <w:bottom w:val="single" w:color="auto" w:sz="4" w:space="0"/>
            </w:tcBorders>
            <w:vAlign w:val="center"/>
          </w:tcPr>
          <w:p>
            <w:pPr>
              <w:spacing w:line="400" w:lineRule="exact"/>
              <w:jc w:val="center"/>
              <w:rPr>
                <w:rFonts w:ascii="宋体" w:hAnsi="宋体" w:cs="Arial"/>
                <w:color w:val="auto"/>
                <w:szCs w:val="21"/>
                <w:highlight w:val="none"/>
              </w:rPr>
            </w:pPr>
          </w:p>
        </w:tc>
        <w:tc>
          <w:tcPr>
            <w:tcW w:w="836" w:type="pct"/>
            <w:tcBorders>
              <w:top w:val="single" w:color="auto" w:sz="4" w:space="0"/>
              <w:bottom w:val="single" w:color="auto" w:sz="4" w:space="0"/>
            </w:tcBorders>
            <w:vAlign w:val="center"/>
          </w:tcPr>
          <w:p>
            <w:pPr>
              <w:spacing w:line="400" w:lineRule="exact"/>
              <w:jc w:val="center"/>
              <w:rPr>
                <w:rFonts w:ascii="宋体" w:hAnsi="宋体" w:cs="Arial"/>
                <w:color w:val="auto"/>
                <w:szCs w:val="21"/>
                <w:highlight w:val="none"/>
              </w:rPr>
            </w:pPr>
          </w:p>
        </w:tc>
        <w:tc>
          <w:tcPr>
            <w:tcW w:w="766" w:type="pct"/>
            <w:tcBorders>
              <w:top w:val="single" w:color="auto" w:sz="4" w:space="0"/>
              <w:bottom w:val="single" w:color="auto" w:sz="4" w:space="0"/>
            </w:tcBorders>
            <w:vAlign w:val="center"/>
          </w:tcPr>
          <w:p>
            <w:pPr>
              <w:spacing w:line="400" w:lineRule="exact"/>
              <w:jc w:val="center"/>
              <w:rPr>
                <w:rFonts w:ascii="宋体" w:hAnsi="宋体" w:cs="Arial"/>
                <w:color w:val="auto"/>
                <w:szCs w:val="21"/>
                <w:highlight w:val="none"/>
              </w:rPr>
            </w:pPr>
          </w:p>
        </w:tc>
        <w:tc>
          <w:tcPr>
            <w:tcW w:w="673" w:type="pct"/>
            <w:tcBorders>
              <w:top w:val="single" w:color="auto" w:sz="4" w:space="0"/>
              <w:bottom w:val="single" w:color="auto" w:sz="4" w:space="0"/>
            </w:tcBorders>
            <w:vAlign w:val="center"/>
          </w:tcPr>
          <w:p>
            <w:pPr>
              <w:spacing w:line="400" w:lineRule="exact"/>
              <w:jc w:val="center"/>
              <w:rPr>
                <w:rFonts w:ascii="宋体" w:hAnsi="宋体" w:cs="Arial"/>
                <w:color w:val="auto"/>
                <w:szCs w:val="21"/>
                <w:highlight w:val="none"/>
              </w:rPr>
            </w:pPr>
          </w:p>
        </w:tc>
        <w:tc>
          <w:tcPr>
            <w:tcW w:w="736" w:type="pct"/>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86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7" w:type="pct"/>
          <w:cantSplit/>
          <w:trHeight w:val="450" w:hRule="atLeast"/>
          <w:jc w:val="center"/>
        </w:trPr>
        <w:tc>
          <w:tcPr>
            <w:tcW w:w="417" w:type="pct"/>
            <w:tcBorders>
              <w:top w:val="single" w:color="auto" w:sz="4" w:space="0"/>
              <w:bottom w:val="single" w:color="auto" w:sz="4" w:space="0"/>
            </w:tcBorders>
            <w:vAlign w:val="center"/>
          </w:tcPr>
          <w:p>
            <w:pPr>
              <w:spacing w:line="400" w:lineRule="exact"/>
              <w:jc w:val="center"/>
              <w:rPr>
                <w:rFonts w:ascii="宋体" w:hAnsi="宋体" w:cs="Arial"/>
                <w:color w:val="auto"/>
                <w:szCs w:val="21"/>
                <w:highlight w:val="none"/>
              </w:rPr>
            </w:pPr>
          </w:p>
        </w:tc>
        <w:tc>
          <w:tcPr>
            <w:tcW w:w="836" w:type="pct"/>
            <w:tcBorders>
              <w:top w:val="single" w:color="auto" w:sz="4" w:space="0"/>
              <w:bottom w:val="single" w:color="auto" w:sz="4" w:space="0"/>
            </w:tcBorders>
            <w:vAlign w:val="center"/>
          </w:tcPr>
          <w:p>
            <w:pPr>
              <w:spacing w:line="400" w:lineRule="exact"/>
              <w:jc w:val="center"/>
              <w:rPr>
                <w:rFonts w:ascii="宋体" w:hAnsi="宋体" w:cs="Arial"/>
                <w:color w:val="auto"/>
                <w:szCs w:val="21"/>
                <w:highlight w:val="none"/>
              </w:rPr>
            </w:pPr>
          </w:p>
        </w:tc>
        <w:tc>
          <w:tcPr>
            <w:tcW w:w="766" w:type="pct"/>
            <w:tcBorders>
              <w:top w:val="single" w:color="auto" w:sz="4" w:space="0"/>
              <w:bottom w:val="single" w:color="auto" w:sz="4" w:space="0"/>
            </w:tcBorders>
            <w:vAlign w:val="center"/>
          </w:tcPr>
          <w:p>
            <w:pPr>
              <w:spacing w:line="400" w:lineRule="exact"/>
              <w:jc w:val="center"/>
              <w:rPr>
                <w:rFonts w:ascii="宋体" w:hAnsi="宋体" w:cs="Arial"/>
                <w:color w:val="auto"/>
                <w:szCs w:val="21"/>
                <w:highlight w:val="none"/>
              </w:rPr>
            </w:pPr>
          </w:p>
        </w:tc>
        <w:tc>
          <w:tcPr>
            <w:tcW w:w="673" w:type="pct"/>
            <w:tcBorders>
              <w:top w:val="single" w:color="auto" w:sz="4" w:space="0"/>
              <w:bottom w:val="single" w:color="auto" w:sz="4" w:space="0"/>
            </w:tcBorders>
            <w:vAlign w:val="center"/>
          </w:tcPr>
          <w:p>
            <w:pPr>
              <w:spacing w:line="400" w:lineRule="exact"/>
              <w:jc w:val="center"/>
              <w:rPr>
                <w:rFonts w:ascii="宋体" w:hAnsi="宋体" w:cs="Arial"/>
                <w:color w:val="auto"/>
                <w:szCs w:val="21"/>
                <w:highlight w:val="none"/>
              </w:rPr>
            </w:pPr>
          </w:p>
        </w:tc>
        <w:tc>
          <w:tcPr>
            <w:tcW w:w="736" w:type="pct"/>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86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7" w:type="pct"/>
          <w:cantSplit/>
          <w:trHeight w:val="435" w:hRule="atLeast"/>
          <w:jc w:val="center"/>
        </w:trPr>
        <w:tc>
          <w:tcPr>
            <w:tcW w:w="417" w:type="pct"/>
            <w:tcBorders>
              <w:top w:val="single" w:color="auto" w:sz="4" w:space="0"/>
            </w:tcBorders>
            <w:vAlign w:val="center"/>
          </w:tcPr>
          <w:p>
            <w:pPr>
              <w:spacing w:line="400" w:lineRule="exact"/>
              <w:jc w:val="center"/>
              <w:rPr>
                <w:rFonts w:ascii="宋体" w:hAnsi="宋体" w:cs="Arial"/>
                <w:color w:val="auto"/>
                <w:szCs w:val="21"/>
                <w:highlight w:val="none"/>
              </w:rPr>
            </w:pPr>
          </w:p>
        </w:tc>
        <w:tc>
          <w:tcPr>
            <w:tcW w:w="836" w:type="pct"/>
            <w:tcBorders>
              <w:top w:val="single" w:color="auto" w:sz="4" w:space="0"/>
            </w:tcBorders>
            <w:vAlign w:val="center"/>
          </w:tcPr>
          <w:p>
            <w:pPr>
              <w:spacing w:line="400" w:lineRule="exact"/>
              <w:jc w:val="center"/>
              <w:rPr>
                <w:rFonts w:ascii="宋体" w:hAnsi="宋体" w:cs="Arial"/>
                <w:color w:val="auto"/>
                <w:szCs w:val="21"/>
                <w:highlight w:val="none"/>
              </w:rPr>
            </w:pPr>
          </w:p>
        </w:tc>
        <w:tc>
          <w:tcPr>
            <w:tcW w:w="766" w:type="pct"/>
            <w:tcBorders>
              <w:top w:val="single" w:color="auto" w:sz="4" w:space="0"/>
            </w:tcBorders>
            <w:vAlign w:val="center"/>
          </w:tcPr>
          <w:p>
            <w:pPr>
              <w:spacing w:line="400" w:lineRule="exact"/>
              <w:jc w:val="center"/>
              <w:rPr>
                <w:rFonts w:ascii="宋体" w:hAnsi="宋体" w:cs="Arial"/>
                <w:color w:val="auto"/>
                <w:szCs w:val="21"/>
                <w:highlight w:val="none"/>
              </w:rPr>
            </w:pPr>
          </w:p>
        </w:tc>
        <w:tc>
          <w:tcPr>
            <w:tcW w:w="673" w:type="pct"/>
            <w:tcBorders>
              <w:top w:val="single" w:color="auto" w:sz="4" w:space="0"/>
            </w:tcBorders>
            <w:vAlign w:val="center"/>
          </w:tcPr>
          <w:p>
            <w:pPr>
              <w:spacing w:line="400" w:lineRule="exact"/>
              <w:jc w:val="center"/>
              <w:rPr>
                <w:rFonts w:ascii="宋体" w:hAnsi="宋体" w:cs="Arial"/>
                <w:color w:val="auto"/>
                <w:szCs w:val="21"/>
                <w:highlight w:val="none"/>
              </w:rPr>
            </w:pPr>
          </w:p>
        </w:tc>
        <w:tc>
          <w:tcPr>
            <w:tcW w:w="736" w:type="pct"/>
            <w:gridSpan w:val="2"/>
            <w:tcBorders>
              <w:top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866" w:type="pct"/>
            <w:tcBorders>
              <w:top w:val="single" w:color="auto" w:sz="4" w:space="0"/>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c>
          <w:tcPr>
            <w:tcW w:w="696" w:type="pct"/>
            <w:tcBorders>
              <w:top w:val="single" w:color="auto" w:sz="4" w:space="0"/>
              <w:left w:val="single" w:color="auto" w:sz="4" w:space="0"/>
              <w:right w:val="single" w:color="auto" w:sz="4" w:space="0"/>
            </w:tcBorders>
            <w:vAlign w:val="center"/>
          </w:tcPr>
          <w:p>
            <w:pPr>
              <w:spacing w:line="400" w:lineRule="exact"/>
              <w:jc w:val="center"/>
              <w:rPr>
                <w:rFonts w:ascii="宋体" w:hAnsi="宋体" w:cs="Arial"/>
                <w:color w:val="auto"/>
                <w:szCs w:val="21"/>
                <w:highlight w:val="none"/>
              </w:rPr>
            </w:pPr>
          </w:p>
        </w:tc>
      </w:tr>
    </w:tbl>
    <w:p>
      <w:pPr>
        <w:adjustRightInd w:val="0"/>
        <w:spacing w:line="480" w:lineRule="auto"/>
        <w:ind w:firstLine="480" w:firstLineChars="200"/>
        <w:jc w:val="left"/>
        <w:rPr>
          <w:rFonts w:ascii="新宋体" w:hAnsi="新宋体" w:eastAsia="新宋体"/>
          <w:color w:val="auto"/>
          <w:sz w:val="24"/>
          <w:highlight w:val="none"/>
        </w:rPr>
      </w:pPr>
      <w:bookmarkStart w:id="145" w:name="_Toc217446091"/>
    </w:p>
    <w:p>
      <w:pPr>
        <w:adjustRightInd w:val="0"/>
        <w:spacing w:line="480" w:lineRule="auto"/>
        <w:ind w:firstLine="480" w:firstLineChars="200"/>
        <w:jc w:val="left"/>
        <w:rPr>
          <w:rFonts w:ascii="新宋体" w:hAnsi="新宋体" w:eastAsia="新宋体"/>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rPr>
          <w:color w:val="auto"/>
          <w:highlight w:val="none"/>
        </w:rPr>
      </w:pPr>
    </w:p>
    <w:p>
      <w:pPr>
        <w:pStyle w:val="6"/>
        <w:spacing w:before="0" w:after="0" w:line="360" w:lineRule="auto"/>
        <w:jc w:val="center"/>
        <w:rPr>
          <w:color w:val="auto"/>
          <w:highlight w:val="none"/>
        </w:rPr>
      </w:pPr>
      <w:r>
        <w:rPr>
          <w:rFonts w:hint="eastAsia"/>
          <w:color w:val="auto"/>
          <w:kern w:val="0"/>
          <w:highlight w:val="none"/>
        </w:rPr>
        <w:br w:type="page"/>
      </w:r>
      <w:bookmarkStart w:id="146" w:name="_Toc19674_WPSOffice_Level2"/>
      <w:bookmarkStart w:id="147" w:name="_Toc13243_WPSOffice_Level2"/>
      <w:r>
        <w:rPr>
          <w:rFonts w:hint="eastAsia"/>
          <w:color w:val="auto"/>
          <w:kern w:val="0"/>
          <w:highlight w:val="none"/>
        </w:rPr>
        <w:t>八</w:t>
      </w:r>
      <w:r>
        <w:rPr>
          <w:rFonts w:hint="eastAsia"/>
          <w:color w:val="auto"/>
          <w:highlight w:val="none"/>
        </w:rPr>
        <w:t>、供应商本项目管理、技术、服务人员情况表</w:t>
      </w:r>
      <w:bookmarkEnd w:id="145"/>
      <w:bookmarkEnd w:id="146"/>
      <w:bookmarkEnd w:id="147"/>
    </w:p>
    <w:p>
      <w:pPr>
        <w:snapToGrid w:val="0"/>
        <w:spacing w:line="360" w:lineRule="auto"/>
        <w:rPr>
          <w:rFonts w:hint="eastAsia" w:ascii="宋体" w:hAnsi="宋体" w:cs="仿宋_GB2312"/>
          <w:bCs/>
          <w:color w:val="auto"/>
          <w:szCs w:val="21"/>
          <w:highlight w:val="none"/>
        </w:rPr>
      </w:pPr>
    </w:p>
    <w:p>
      <w:pPr>
        <w:snapToGrid w:val="0"/>
        <w:spacing w:line="360" w:lineRule="auto"/>
        <w:rPr>
          <w:rFonts w:ascii="宋体" w:hAnsi="宋体" w:cs="仿宋_GB2312"/>
          <w:bCs/>
          <w:color w:val="auto"/>
          <w:szCs w:val="21"/>
          <w:highlight w:val="none"/>
          <w:u w:val="single"/>
        </w:rPr>
      </w:pPr>
      <w:r>
        <w:rPr>
          <w:rFonts w:hint="eastAsia" w:ascii="宋体" w:hAnsi="宋体" w:cs="仿宋_GB2312"/>
          <w:bCs/>
          <w:color w:val="auto"/>
          <w:szCs w:val="21"/>
          <w:highlight w:val="none"/>
        </w:rPr>
        <w:t>项目名称：</w:t>
      </w:r>
      <w:r>
        <w:rPr>
          <w:rFonts w:hint="eastAsia" w:ascii="宋体" w:hAnsi="宋体"/>
          <w:bCs/>
          <w:color w:val="auto"/>
          <w:sz w:val="24"/>
          <w:highlight w:val="none"/>
          <w:u w:val="single"/>
        </w:rPr>
        <w:t xml:space="preserve">            </w:t>
      </w:r>
    </w:p>
    <w:p>
      <w:pPr>
        <w:snapToGrid w:val="0"/>
        <w:spacing w:line="360" w:lineRule="auto"/>
        <w:rPr>
          <w:rFonts w:ascii="宋体" w:hAnsi="宋体" w:cs="仿宋_GB2312"/>
          <w:bCs/>
          <w:color w:val="auto"/>
          <w:szCs w:val="21"/>
          <w:highlight w:val="none"/>
        </w:rPr>
      </w:pPr>
      <w:r>
        <w:rPr>
          <w:rFonts w:hint="eastAsia" w:ascii="宋体" w:hAnsi="宋体" w:cs="仿宋_GB2312"/>
          <w:bCs/>
          <w:color w:val="auto"/>
          <w:szCs w:val="21"/>
          <w:highlight w:val="none"/>
        </w:rPr>
        <w:t>项目编号：</w:t>
      </w:r>
      <w:r>
        <w:rPr>
          <w:rFonts w:hint="eastAsia" w:ascii="宋体" w:hAnsi="宋体"/>
          <w:bCs/>
          <w:color w:val="auto"/>
          <w:sz w:val="24"/>
          <w:highlight w:val="none"/>
          <w:u w:val="single"/>
        </w:rPr>
        <w:t xml:space="preserve">            </w:t>
      </w:r>
    </w:p>
    <w:tbl>
      <w:tblPr>
        <w:tblStyle w:val="43"/>
        <w:tblW w:w="5004" w:type="pct"/>
        <w:jc w:val="center"/>
        <w:tblLayout w:type="autofit"/>
        <w:tblCellMar>
          <w:top w:w="0" w:type="dxa"/>
          <w:left w:w="0" w:type="dxa"/>
          <w:bottom w:w="0" w:type="dxa"/>
          <w:right w:w="0" w:type="dxa"/>
        </w:tblCellMar>
      </w:tblPr>
      <w:tblGrid>
        <w:gridCol w:w="833"/>
        <w:gridCol w:w="1945"/>
        <w:gridCol w:w="1100"/>
        <w:gridCol w:w="1246"/>
        <w:gridCol w:w="1270"/>
        <w:gridCol w:w="1107"/>
        <w:gridCol w:w="1645"/>
      </w:tblGrid>
      <w:tr>
        <w:tblPrEx>
          <w:tblCellMar>
            <w:top w:w="0" w:type="dxa"/>
            <w:left w:w="0" w:type="dxa"/>
            <w:bottom w:w="0" w:type="dxa"/>
            <w:right w:w="0" w:type="dxa"/>
          </w:tblCellMar>
        </w:tblPrEx>
        <w:trPr>
          <w:trHeight w:val="614" w:hRule="atLeast"/>
          <w:jc w:val="center"/>
        </w:trPr>
        <w:tc>
          <w:tcPr>
            <w:tcW w:w="455" w:type="pct"/>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063" w:type="pct"/>
            <w:vMerge w:val="restart"/>
            <w:tcBorders>
              <w:top w:val="single" w:color="auto" w:sz="4" w:space="0"/>
              <w:left w:val="nil"/>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601" w:type="pct"/>
            <w:vMerge w:val="restart"/>
            <w:tcBorders>
              <w:top w:val="single" w:color="auto" w:sz="4" w:space="0"/>
              <w:left w:val="nil"/>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1375" w:type="pct"/>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执业或职业资格</w:t>
            </w:r>
          </w:p>
        </w:tc>
        <w:tc>
          <w:tcPr>
            <w:tcW w:w="1504" w:type="pct"/>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职称</w:t>
            </w:r>
          </w:p>
        </w:tc>
      </w:tr>
      <w:tr>
        <w:tblPrEx>
          <w:tblCellMar>
            <w:top w:w="0" w:type="dxa"/>
            <w:left w:w="0" w:type="dxa"/>
            <w:bottom w:w="0" w:type="dxa"/>
            <w:right w:w="0" w:type="dxa"/>
          </w:tblCellMar>
        </w:tblPrEx>
        <w:trPr>
          <w:trHeight w:val="614" w:hRule="atLeast"/>
          <w:jc w:val="center"/>
        </w:trPr>
        <w:tc>
          <w:tcPr>
            <w:tcW w:w="455" w:type="pct"/>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1063" w:type="pct"/>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1" w:type="pct"/>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81"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证书名称</w:t>
            </w:r>
          </w:p>
        </w:tc>
        <w:tc>
          <w:tcPr>
            <w:tcW w:w="693"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证书编号</w:t>
            </w:r>
          </w:p>
        </w:tc>
        <w:tc>
          <w:tcPr>
            <w:tcW w:w="605"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职称专业</w:t>
            </w:r>
          </w:p>
        </w:tc>
        <w:tc>
          <w:tcPr>
            <w:tcW w:w="898"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级别</w:t>
            </w:r>
          </w:p>
        </w:tc>
      </w:tr>
      <w:tr>
        <w:tblPrEx>
          <w:tblCellMar>
            <w:top w:w="0" w:type="dxa"/>
            <w:left w:w="0" w:type="dxa"/>
            <w:bottom w:w="0" w:type="dxa"/>
            <w:right w:w="0" w:type="dxa"/>
          </w:tblCellMar>
        </w:tblPrEx>
        <w:trPr>
          <w:trHeight w:val="589"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1063"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项目负责人</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（项目经理）</w:t>
            </w:r>
          </w:p>
        </w:tc>
        <w:tc>
          <w:tcPr>
            <w:tcW w:w="601"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81"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93"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5"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898" w:type="pct"/>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auto"/>
                <w:szCs w:val="21"/>
                <w:highlight w:val="none"/>
              </w:rPr>
            </w:pPr>
          </w:p>
        </w:tc>
      </w:tr>
      <w:tr>
        <w:trPr>
          <w:trHeight w:val="589"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w:t>
            </w:r>
          </w:p>
        </w:tc>
        <w:tc>
          <w:tcPr>
            <w:tcW w:w="1063"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项目技术负责人</w:t>
            </w:r>
          </w:p>
        </w:tc>
        <w:tc>
          <w:tcPr>
            <w:tcW w:w="601"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81"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93"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5"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898" w:type="pct"/>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auto"/>
                <w:szCs w:val="21"/>
                <w:highlight w:val="none"/>
              </w:rPr>
            </w:pPr>
          </w:p>
        </w:tc>
      </w:tr>
      <w:tr>
        <w:trPr>
          <w:trHeight w:val="589"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1063"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w:t>
            </w:r>
          </w:p>
        </w:tc>
        <w:tc>
          <w:tcPr>
            <w:tcW w:w="601"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81"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93"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5"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898" w:type="pct"/>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auto"/>
                <w:szCs w:val="21"/>
                <w:highlight w:val="none"/>
              </w:rPr>
            </w:pPr>
          </w:p>
        </w:tc>
      </w:tr>
    </w:tbl>
    <w:p>
      <w:pPr>
        <w:adjustRightInd w:val="0"/>
        <w:spacing w:line="480" w:lineRule="auto"/>
        <w:ind w:firstLine="482" w:firstLineChars="200"/>
        <w:jc w:val="left"/>
        <w:rPr>
          <w:rFonts w:ascii="新宋体" w:hAnsi="新宋体" w:eastAsia="新宋体"/>
          <w:b/>
          <w:color w:val="auto"/>
          <w:sz w:val="24"/>
          <w:highlight w:val="none"/>
        </w:rPr>
      </w:pPr>
    </w:p>
    <w:p>
      <w:pPr>
        <w:adjustRightInd w:val="0"/>
        <w:spacing w:line="480" w:lineRule="auto"/>
        <w:ind w:firstLine="482" w:firstLineChars="200"/>
        <w:jc w:val="left"/>
        <w:rPr>
          <w:rFonts w:ascii="新宋体" w:hAnsi="新宋体" w:eastAsia="新宋体"/>
          <w:b/>
          <w:color w:val="auto"/>
          <w:sz w:val="24"/>
          <w:highlight w:val="none"/>
        </w:rPr>
      </w:pPr>
    </w:p>
    <w:p>
      <w:pPr>
        <w:adjustRightInd w:val="0"/>
        <w:spacing w:line="360" w:lineRule="auto"/>
        <w:ind w:firstLine="480" w:firstLineChars="200"/>
        <w:jc w:val="left"/>
        <w:rPr>
          <w:rFonts w:ascii="宋体" w:hAnsi="宋体" w:cs="宋体"/>
          <w:color w:val="auto"/>
          <w:sz w:val="24"/>
          <w:highlight w:val="none"/>
        </w:rPr>
      </w:pPr>
      <w:r>
        <w:rPr>
          <w:rFonts w:hint="eastAsia" w:ascii="宋体" w:hAnsi="宋体" w:cs="宋体"/>
          <w:bCs/>
          <w:color w:val="auto"/>
          <w:sz w:val="24"/>
          <w:highlight w:val="none"/>
        </w:rPr>
        <w:t>注：1、本格式为参考格式，供应商可根据实际情况进行调整</w:t>
      </w:r>
      <w:r>
        <w:rPr>
          <w:rFonts w:hint="eastAsia" w:ascii="宋体" w:hAnsi="宋体" w:cs="宋体"/>
          <w:color w:val="auto"/>
          <w:sz w:val="24"/>
          <w:highlight w:val="none"/>
        </w:rPr>
        <w:t>。</w:t>
      </w:r>
    </w:p>
    <w:p>
      <w:pPr>
        <w:adjustRightInd w:val="0"/>
        <w:spacing w:line="480" w:lineRule="auto"/>
        <w:ind w:firstLine="960" w:firstLineChars="400"/>
        <w:jc w:val="left"/>
        <w:rPr>
          <w:rFonts w:ascii="新宋体" w:hAnsi="新宋体" w:eastAsia="新宋体"/>
          <w:color w:val="auto"/>
          <w:sz w:val="24"/>
          <w:highlight w:val="none"/>
        </w:rPr>
      </w:pPr>
      <w:r>
        <w:rPr>
          <w:rFonts w:hint="eastAsia" w:ascii="新宋体" w:hAnsi="新宋体" w:eastAsia="新宋体"/>
          <w:color w:val="auto"/>
          <w:sz w:val="24"/>
          <w:highlight w:val="none"/>
        </w:rPr>
        <w:t>2、本项目管理成员为项目负责人（项目经理）及项目技术负责人。</w:t>
      </w:r>
    </w:p>
    <w:p>
      <w:pPr>
        <w:adjustRightInd w:val="0"/>
        <w:spacing w:line="480" w:lineRule="auto"/>
        <w:ind w:firstLine="480" w:firstLineChars="200"/>
        <w:jc w:val="left"/>
        <w:rPr>
          <w:rFonts w:ascii="新宋体" w:hAnsi="新宋体" w:eastAsia="新宋体"/>
          <w:color w:val="auto"/>
          <w:sz w:val="24"/>
          <w:highlight w:val="none"/>
        </w:rPr>
      </w:pPr>
    </w:p>
    <w:p>
      <w:pPr>
        <w:pStyle w:val="2"/>
        <w:rPr>
          <w:color w:val="auto"/>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spacing w:line="400" w:lineRule="exact"/>
        <w:rPr>
          <w:rFonts w:ascii="宋体" w:hAnsi="宋体"/>
          <w:bCs/>
          <w:color w:val="auto"/>
          <w:sz w:val="24"/>
          <w:highlight w:val="none"/>
        </w:rPr>
      </w:pPr>
    </w:p>
    <w:p>
      <w:pPr>
        <w:adjustRightInd w:val="0"/>
        <w:spacing w:line="400" w:lineRule="exact"/>
        <w:ind w:firstLine="560" w:firstLineChars="200"/>
        <w:jc w:val="left"/>
        <w:rPr>
          <w:rFonts w:ascii="宋体" w:hAnsi="宋体"/>
          <w:color w:val="auto"/>
          <w:sz w:val="28"/>
          <w:highlight w:val="none"/>
        </w:rPr>
        <w:sectPr>
          <w:pgSz w:w="11850" w:h="16783"/>
          <w:pgMar w:top="1440" w:right="1304" w:bottom="1440" w:left="1417" w:header="851" w:footer="992" w:gutter="0"/>
          <w:pgNumType w:fmt="numberInDash"/>
          <w:cols w:space="0" w:num="1"/>
          <w:docGrid w:type="lines" w:linePitch="312" w:charSpace="0"/>
        </w:sectPr>
      </w:pPr>
    </w:p>
    <w:p>
      <w:pPr>
        <w:pStyle w:val="6"/>
        <w:spacing w:before="0" w:after="0" w:line="360" w:lineRule="auto"/>
        <w:jc w:val="center"/>
        <w:rPr>
          <w:color w:val="auto"/>
          <w:highlight w:val="none"/>
        </w:rPr>
      </w:pPr>
      <w:bookmarkStart w:id="148" w:name="_Toc4498_WPSOffice_Level2"/>
      <w:bookmarkStart w:id="149" w:name="_Toc29279_WPSOffice_Level2"/>
      <w:r>
        <w:rPr>
          <w:rFonts w:hint="eastAsia"/>
          <w:color w:val="auto"/>
          <w:highlight w:val="none"/>
        </w:rPr>
        <w:t>九、关于知识产权的承诺函</w:t>
      </w:r>
    </w:p>
    <w:p>
      <w:pPr>
        <w:pStyle w:val="28"/>
        <w:spacing w:after="0" w:line="360" w:lineRule="auto"/>
        <w:ind w:left="0" w:leftChars="0"/>
        <w:jc w:val="left"/>
        <w:rPr>
          <w:rFonts w:hint="eastAsia" w:ascii="宋体" w:hAnsi="宋体"/>
          <w:bCs/>
          <w:color w:val="auto"/>
          <w:sz w:val="24"/>
          <w:highlight w:val="none"/>
        </w:rPr>
      </w:pPr>
    </w:p>
    <w:p>
      <w:pPr>
        <w:pStyle w:val="28"/>
        <w:spacing w:after="0" w:line="360" w:lineRule="auto"/>
        <w:ind w:left="0" w:leftChars="0"/>
        <w:jc w:val="left"/>
        <w:rPr>
          <w:rFonts w:ascii="宋体" w:hAnsi="宋体"/>
          <w:bCs/>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bCs/>
          <w:color w:val="auto"/>
          <w:sz w:val="24"/>
          <w:highlight w:val="none"/>
        </w:rPr>
        <w:t>（采购代理机构名称）：</w:t>
      </w:r>
    </w:p>
    <w:p>
      <w:pPr>
        <w:pStyle w:val="28"/>
        <w:spacing w:after="0" w:line="360" w:lineRule="auto"/>
        <w:ind w:left="0" w:leftChars="0" w:firstLine="480" w:firstLineChars="200"/>
        <w:jc w:val="left"/>
        <w:rPr>
          <w:rFonts w:ascii="宋体" w:hAnsi="宋体"/>
          <w:bCs/>
          <w:color w:val="auto"/>
          <w:sz w:val="24"/>
          <w:highlight w:val="none"/>
        </w:rPr>
      </w:pPr>
      <w:r>
        <w:rPr>
          <w:rFonts w:hint="eastAsia" w:ascii="宋体" w:hAnsi="宋体"/>
          <w:bCs/>
          <w:color w:val="auto"/>
          <w:sz w:val="24"/>
          <w:highlight w:val="none"/>
        </w:rPr>
        <w:t>我方作为本次采购项目的供应商，根据</w:t>
      </w:r>
      <w:r>
        <w:rPr>
          <w:rFonts w:hint="eastAsia" w:ascii="宋体" w:hAnsi="宋体"/>
          <w:bCs/>
          <w:color w:val="auto"/>
          <w:sz w:val="24"/>
          <w:highlight w:val="none"/>
          <w:lang w:eastAsia="zh-CN"/>
        </w:rPr>
        <w:t>谈判</w:t>
      </w:r>
      <w:r>
        <w:rPr>
          <w:rFonts w:hint="eastAsia" w:ascii="宋体" w:hAnsi="宋体"/>
          <w:bCs/>
          <w:color w:val="auto"/>
          <w:sz w:val="24"/>
          <w:highlight w:val="none"/>
        </w:rPr>
        <w:t>文件要求，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w:t>
      </w:r>
      <w:r>
        <w:rPr>
          <w:rFonts w:hint="eastAsia" w:ascii="宋体" w:hAnsi="宋体"/>
          <w:bCs/>
          <w:color w:val="auto"/>
          <w:sz w:val="24"/>
          <w:highlight w:val="none"/>
          <w:lang w:eastAsia="zh-CN"/>
        </w:rPr>
        <w:t>谈判</w:t>
      </w:r>
      <w:r>
        <w:rPr>
          <w:rFonts w:hint="eastAsia" w:ascii="宋体" w:hAnsi="宋体"/>
          <w:bCs/>
          <w:color w:val="auto"/>
          <w:sz w:val="24"/>
          <w:highlight w:val="none"/>
        </w:rPr>
        <w:t>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28"/>
        <w:spacing w:after="0" w:line="360" w:lineRule="auto"/>
        <w:ind w:left="0" w:leftChars="0" w:firstLine="480" w:firstLineChars="200"/>
        <w:jc w:val="left"/>
        <w:rPr>
          <w:rFonts w:ascii="宋体" w:hAnsi="宋体"/>
          <w:bCs/>
          <w:color w:val="auto"/>
          <w:sz w:val="24"/>
          <w:highlight w:val="none"/>
        </w:rPr>
      </w:pPr>
    </w:p>
    <w:p>
      <w:pPr>
        <w:pStyle w:val="28"/>
        <w:spacing w:line="340" w:lineRule="exact"/>
        <w:rPr>
          <w:bCs/>
          <w:color w:val="auto"/>
          <w:sz w:val="24"/>
          <w:highlight w:val="none"/>
        </w:rPr>
      </w:pPr>
    </w:p>
    <w:p>
      <w:pPr>
        <w:adjustRightInd w:val="0"/>
        <w:spacing w:line="480" w:lineRule="auto"/>
        <w:ind w:firstLine="480" w:firstLineChars="200"/>
        <w:jc w:val="left"/>
        <w:rPr>
          <w:rFonts w:ascii="新宋体" w:hAnsi="新宋体" w:eastAsia="新宋体"/>
          <w:color w:val="auto"/>
          <w:sz w:val="24"/>
          <w:highlight w:val="none"/>
        </w:rPr>
      </w:pPr>
      <w:r>
        <w:rPr>
          <w:rFonts w:hint="eastAsia" w:ascii="宋体" w:hAnsi="宋体" w:cs="宋体"/>
          <w:color w:val="auto"/>
          <w:sz w:val="24"/>
          <w:highlight w:val="none"/>
        </w:rPr>
        <w:t>注：本承诺函为参考格式，供应商可根据</w:t>
      </w:r>
      <w:r>
        <w:rPr>
          <w:rFonts w:hint="eastAsia" w:ascii="宋体" w:hAnsi="宋体" w:cs="宋体"/>
          <w:color w:val="auto"/>
          <w:sz w:val="24"/>
          <w:highlight w:val="none"/>
          <w:lang w:eastAsia="zh-CN"/>
        </w:rPr>
        <w:t>谈判</w:t>
      </w:r>
      <w:r>
        <w:rPr>
          <w:rFonts w:hint="eastAsia" w:ascii="宋体" w:hAnsi="宋体" w:cs="宋体"/>
          <w:color w:val="auto"/>
          <w:sz w:val="24"/>
          <w:highlight w:val="none"/>
        </w:rPr>
        <w:t>文件第二章总则中第 9 条及第五章相关要求进行承诺。</w:t>
      </w:r>
    </w:p>
    <w:p>
      <w:pPr>
        <w:adjustRightInd w:val="0"/>
        <w:spacing w:line="480" w:lineRule="auto"/>
        <w:ind w:firstLine="480" w:firstLineChars="200"/>
        <w:jc w:val="left"/>
        <w:rPr>
          <w:rFonts w:ascii="新宋体" w:hAnsi="新宋体" w:eastAsia="新宋体"/>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rPr>
          <w:color w:val="auto"/>
          <w:highlight w:val="none"/>
        </w:rPr>
      </w:pPr>
    </w:p>
    <w:p>
      <w:pPr>
        <w:widowControl/>
        <w:spacing w:line="360" w:lineRule="auto"/>
        <w:jc w:val="center"/>
        <w:outlineLvl w:val="1"/>
        <w:rPr>
          <w:rStyle w:val="62"/>
          <w:color w:val="auto"/>
          <w:highlight w:val="none"/>
        </w:rPr>
      </w:pPr>
      <w:r>
        <w:rPr>
          <w:rFonts w:hint="eastAsia"/>
          <w:color w:val="auto"/>
          <w:highlight w:val="none"/>
        </w:rPr>
        <w:br w:type="page"/>
      </w:r>
      <w:r>
        <w:rPr>
          <w:rStyle w:val="62"/>
          <w:rFonts w:hint="eastAsia"/>
          <w:color w:val="auto"/>
          <w:highlight w:val="none"/>
        </w:rPr>
        <w:t>十、供应商诚信情况承诺函</w:t>
      </w:r>
    </w:p>
    <w:p>
      <w:pPr>
        <w:pStyle w:val="28"/>
        <w:spacing w:after="0" w:line="360" w:lineRule="auto"/>
        <w:ind w:left="0" w:leftChars="0"/>
        <w:jc w:val="left"/>
        <w:rPr>
          <w:rFonts w:hint="eastAsia" w:ascii="宋体" w:hAnsi="宋体"/>
          <w:bCs/>
          <w:color w:val="auto"/>
          <w:sz w:val="24"/>
          <w:highlight w:val="none"/>
        </w:rPr>
      </w:pPr>
    </w:p>
    <w:p>
      <w:pPr>
        <w:pStyle w:val="28"/>
        <w:spacing w:after="0" w:line="360" w:lineRule="auto"/>
        <w:ind w:left="0" w:leftChars="0"/>
        <w:jc w:val="left"/>
        <w:rPr>
          <w:rFonts w:ascii="宋体" w:hAnsi="宋体"/>
          <w:bCs/>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bCs/>
          <w:color w:val="auto"/>
          <w:sz w:val="24"/>
          <w:highlight w:val="none"/>
        </w:rPr>
        <w:t>（采购代理机构名称）：</w:t>
      </w:r>
    </w:p>
    <w:p>
      <w:pPr>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本单位</w:t>
      </w:r>
      <w:r>
        <w:rPr>
          <w:rFonts w:hint="eastAsia" w:ascii="宋体" w:hAnsi="宋体" w:cs="宋体"/>
          <w:color w:val="auto"/>
          <w:sz w:val="24"/>
          <w:highlight w:val="none"/>
          <w:u w:val="single"/>
        </w:rPr>
        <w:t xml:space="preserve">              </w:t>
      </w:r>
      <w:r>
        <w:rPr>
          <w:rFonts w:hint="eastAsia" w:ascii="宋体" w:hAnsi="宋体" w:cs="宋体"/>
          <w:bCs/>
          <w:color w:val="auto"/>
          <w:sz w:val="24"/>
          <w:highlight w:val="none"/>
        </w:rPr>
        <w:t>（供应商名称）参加</w:t>
      </w:r>
      <w:r>
        <w:rPr>
          <w:rFonts w:hint="eastAsia" w:ascii="宋体" w:hAnsi="宋体" w:cs="宋体"/>
          <w:color w:val="auto"/>
          <w:sz w:val="24"/>
          <w:highlight w:val="none"/>
          <w:u w:val="single"/>
        </w:rPr>
        <w:t xml:space="preserve">               </w:t>
      </w:r>
      <w:r>
        <w:rPr>
          <w:rFonts w:hint="eastAsia" w:ascii="宋体" w:hAnsi="宋体" w:cs="宋体"/>
          <w:bCs/>
          <w:color w:val="auto"/>
          <w:sz w:val="24"/>
          <w:highlight w:val="none"/>
        </w:rPr>
        <w:t>（项目名称）（项目编号：</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）的政府采购活动，</w:t>
      </w:r>
      <w:r>
        <w:rPr>
          <w:rFonts w:hint="eastAsia" w:ascii="宋体" w:hAnsi="宋体" w:cs="宋体"/>
          <w:color w:val="auto"/>
          <w:sz w:val="24"/>
          <w:highlight w:val="none"/>
        </w:rPr>
        <w:t>现根据《四川省政府采购当事人诚信管理办法》川财采〔2015〕33号的相关规定，针</w:t>
      </w:r>
      <w:r>
        <w:rPr>
          <w:rFonts w:hint="eastAsia" w:ascii="宋体" w:hAnsi="宋体" w:cs="宋体"/>
          <w:bCs/>
          <w:color w:val="auto"/>
          <w:sz w:val="24"/>
          <w:highlight w:val="none"/>
        </w:rPr>
        <w:t>对本单位的诚信情况作出以下承诺：</w:t>
      </w:r>
    </w:p>
    <w:p>
      <w:pPr>
        <w:spacing w:line="360" w:lineRule="auto"/>
        <w:ind w:firstLine="480" w:firstLineChars="200"/>
        <w:rPr>
          <w:rFonts w:ascii="宋体" w:hAnsi="宋体" w:cs="宋体"/>
          <w:bCs/>
          <w:color w:val="auto"/>
          <w:sz w:val="24"/>
          <w:highlight w:val="none"/>
        </w:rPr>
      </w:pP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我单位具有</w:t>
      </w:r>
      <w:r>
        <w:rPr>
          <w:rFonts w:hint="eastAsia" w:ascii="宋体" w:hAnsi="宋体" w:cs="宋体"/>
          <w:color w:val="auto"/>
          <w:sz w:val="24"/>
          <w:highlight w:val="none"/>
        </w:rPr>
        <w:t>《四川省政府采购当事人诚信管理办法》（川财采[2015]33号）所规定的失信行为</w:t>
      </w:r>
      <w:r>
        <w:rPr>
          <w:rFonts w:hint="eastAsia" w:ascii="宋体" w:hAnsi="宋体" w:cs="宋体"/>
          <w:color w:val="auto"/>
          <w:sz w:val="24"/>
          <w:highlight w:val="none"/>
          <w:u w:val="single"/>
        </w:rPr>
        <w:t xml:space="preserve">  XXX  </w:t>
      </w:r>
      <w:r>
        <w:rPr>
          <w:rFonts w:hint="eastAsia" w:ascii="宋体" w:hAnsi="宋体" w:cs="宋体"/>
          <w:color w:val="auto"/>
          <w:sz w:val="24"/>
          <w:highlight w:val="none"/>
        </w:rPr>
        <w:t>次（填写失信行为的次数时，建议使用大写数字，如零、壹、贰、叁、肆等。）；</w:t>
      </w:r>
      <w:r>
        <w:rPr>
          <w:rFonts w:hint="eastAsia" w:ascii="宋体" w:hAnsi="宋体" w:cs="宋体"/>
          <w:bCs/>
          <w:color w:val="auto"/>
          <w:sz w:val="24"/>
          <w:highlight w:val="none"/>
        </w:rPr>
        <w:t>（仅限递交响应文件截止当日仍在有效期的次数）</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bCs/>
          <w:color w:val="auto"/>
          <w:sz w:val="24"/>
          <w:highlight w:val="none"/>
        </w:rPr>
        <w:t>单位</w:t>
      </w:r>
      <w:r>
        <w:rPr>
          <w:rFonts w:hint="eastAsia" w:ascii="宋体" w:hAnsi="宋体" w:cs="宋体"/>
          <w:color w:val="auto"/>
          <w:sz w:val="24"/>
          <w:highlight w:val="none"/>
        </w:rPr>
        <w:t>对以上填写信息的真实性负责。如有不实，本</w:t>
      </w:r>
      <w:r>
        <w:rPr>
          <w:rFonts w:hint="eastAsia" w:ascii="宋体" w:hAnsi="宋体" w:cs="宋体"/>
          <w:bCs/>
          <w:color w:val="auto"/>
          <w:sz w:val="24"/>
          <w:highlight w:val="none"/>
        </w:rPr>
        <w:t>单位</w:t>
      </w:r>
      <w:r>
        <w:rPr>
          <w:rFonts w:hint="eastAsia" w:ascii="宋体" w:hAnsi="宋体" w:cs="宋体"/>
          <w:color w:val="auto"/>
          <w:sz w:val="24"/>
          <w:highlight w:val="none"/>
        </w:rPr>
        <w:t>愿承担由此产生的一切法律责任和后果。</w:t>
      </w:r>
    </w:p>
    <w:p>
      <w:pPr>
        <w:spacing w:line="360" w:lineRule="auto"/>
        <w:rPr>
          <w:rFonts w:ascii="宋体" w:hAnsi="宋体" w:cs="宋体"/>
          <w:bCs/>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spacing w:line="360" w:lineRule="auto"/>
        <w:rPr>
          <w:rFonts w:ascii="宋体" w:hAnsi="宋体" w:cs="宋体"/>
          <w:bCs/>
          <w:color w:val="auto"/>
          <w:sz w:val="24"/>
          <w:highlight w:val="none"/>
        </w:rPr>
      </w:pP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注：</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olor w:val="auto"/>
          <w:sz w:val="24"/>
          <w:highlight w:val="none"/>
        </w:rPr>
        <w:t>.</w:t>
      </w:r>
      <w:r>
        <w:rPr>
          <w:rFonts w:hint="eastAsia" w:ascii="宋体" w:hAnsi="宋体" w:cs="宋体"/>
          <w:bCs/>
          <w:color w:val="auto"/>
          <w:sz w:val="24"/>
          <w:highlight w:val="none"/>
        </w:rPr>
        <w:t>本表格式及内容仅供参考，供应商也可提供自己的格式；</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olor w:val="auto"/>
          <w:sz w:val="24"/>
          <w:highlight w:val="none"/>
        </w:rPr>
        <w:t>.</w:t>
      </w:r>
      <w:r>
        <w:rPr>
          <w:rFonts w:hint="eastAsia" w:ascii="宋体" w:hAnsi="宋体" w:cs="宋体"/>
          <w:bCs/>
          <w:color w:val="auto"/>
          <w:sz w:val="24"/>
          <w:highlight w:val="none"/>
        </w:rPr>
        <w:t>供应商存在以上所述失信行为的，将按照</w:t>
      </w:r>
      <w:r>
        <w:rPr>
          <w:rFonts w:hint="eastAsia" w:ascii="宋体" w:hAnsi="宋体" w:cs="宋体"/>
          <w:color w:val="auto"/>
          <w:sz w:val="24"/>
          <w:highlight w:val="none"/>
        </w:rPr>
        <w:t>第二章须知附表的要求进行处理；</w:t>
      </w:r>
    </w:p>
    <w:p>
      <w:pPr>
        <w:spacing w:line="360" w:lineRule="auto"/>
        <w:rPr>
          <w:rFonts w:ascii="宋体" w:hAnsi="宋体" w:cs="宋体"/>
          <w:color w:val="auto"/>
          <w:kern w:val="0"/>
          <w:sz w:val="24"/>
          <w:highlight w:val="none"/>
        </w:rPr>
      </w:pPr>
      <w:r>
        <w:rPr>
          <w:rFonts w:hint="eastAsia" w:ascii="宋体" w:hAnsi="宋体" w:cs="宋体"/>
          <w:bCs/>
          <w:color w:val="auto"/>
          <w:sz w:val="24"/>
          <w:highlight w:val="none"/>
        </w:rPr>
        <w:t>3</w:t>
      </w:r>
      <w:r>
        <w:rPr>
          <w:rFonts w:hint="eastAsia" w:ascii="宋体" w:hAnsi="宋体"/>
          <w:color w:val="auto"/>
          <w:sz w:val="24"/>
          <w:highlight w:val="none"/>
        </w:rPr>
        <w:t>.</w:t>
      </w:r>
      <w:r>
        <w:rPr>
          <w:rFonts w:hint="eastAsia" w:ascii="宋体" w:hAnsi="宋体" w:cs="宋体"/>
          <w:bCs/>
          <w:color w:val="auto"/>
          <w:sz w:val="24"/>
          <w:highlight w:val="none"/>
        </w:rPr>
        <w:t>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cs="宋体"/>
          <w:color w:val="auto"/>
          <w:kern w:val="0"/>
          <w:sz w:val="24"/>
          <w:highlight w:val="none"/>
        </w:rPr>
        <w:t>确了有效期的，不再重复计算。</w:t>
      </w:r>
    </w:p>
    <w:p>
      <w:pPr>
        <w:widowControl/>
        <w:spacing w:line="360" w:lineRule="auto"/>
        <w:jc w:val="left"/>
        <w:rPr>
          <w:rFonts w:ascii="宋体" w:hAnsi="宋体" w:cs="宋体"/>
          <w:color w:val="auto"/>
          <w:sz w:val="24"/>
          <w:highlight w:val="none"/>
        </w:rPr>
      </w:pPr>
      <w:r>
        <w:rPr>
          <w:rFonts w:hint="eastAsia" w:ascii="宋体" w:hAnsi="宋体" w:cs="宋体"/>
          <w:color w:val="auto"/>
          <w:kern w:val="0"/>
          <w:sz w:val="24"/>
          <w:highlight w:val="none"/>
        </w:rPr>
        <w:t>4</w:t>
      </w:r>
      <w:r>
        <w:rPr>
          <w:rFonts w:hint="eastAsia" w:ascii="宋体" w:hAnsi="宋体"/>
          <w:color w:val="auto"/>
          <w:sz w:val="24"/>
          <w:highlight w:val="none"/>
        </w:rPr>
        <w:t>.</w:t>
      </w:r>
      <w:r>
        <w:rPr>
          <w:rFonts w:hint="eastAsia" w:ascii="宋体" w:hAnsi="宋体" w:cs="宋体"/>
          <w:bCs/>
          <w:color w:val="auto"/>
          <w:sz w:val="24"/>
          <w:highlight w:val="none"/>
        </w:rPr>
        <w:t>供应商的失信行为受到行政处罚或司法惩处的，评审时不再对其以价格加成进行惩戒。</w:t>
      </w:r>
    </w:p>
    <w:p>
      <w:pPr>
        <w:rPr>
          <w:color w:val="auto"/>
          <w:highlight w:val="none"/>
        </w:rPr>
      </w:pPr>
      <w:r>
        <w:rPr>
          <w:rFonts w:hint="eastAsia"/>
          <w:color w:val="auto"/>
          <w:highlight w:val="none"/>
        </w:rPr>
        <w:br w:type="page"/>
      </w:r>
    </w:p>
    <w:p>
      <w:pPr>
        <w:pStyle w:val="6"/>
        <w:spacing w:before="0" w:after="0" w:line="360" w:lineRule="auto"/>
        <w:jc w:val="center"/>
        <w:rPr>
          <w:color w:val="auto"/>
          <w:highlight w:val="none"/>
        </w:rPr>
      </w:pPr>
      <w:r>
        <w:rPr>
          <w:rFonts w:hint="eastAsia"/>
          <w:color w:val="auto"/>
          <w:highlight w:val="none"/>
        </w:rPr>
        <w:t>十一、</w:t>
      </w:r>
      <w:r>
        <w:rPr>
          <w:rFonts w:hint="eastAsia"/>
          <w:color w:val="auto"/>
          <w:highlight w:val="none"/>
          <w:lang w:val="en-US" w:eastAsia="zh-CN"/>
        </w:rPr>
        <w:t>实施</w:t>
      </w:r>
      <w:r>
        <w:rPr>
          <w:rFonts w:hint="eastAsia"/>
          <w:color w:val="auto"/>
          <w:highlight w:val="none"/>
        </w:rPr>
        <w:t>方案</w:t>
      </w:r>
    </w:p>
    <w:p>
      <w:pPr>
        <w:jc w:val="center"/>
        <w:rPr>
          <w:color w:val="auto"/>
          <w:sz w:val="24"/>
          <w:szCs w:val="32"/>
          <w:highlight w:val="none"/>
        </w:rPr>
      </w:pPr>
      <w:r>
        <w:rPr>
          <w:rFonts w:hint="eastAsia"/>
          <w:color w:val="auto"/>
          <w:sz w:val="24"/>
          <w:szCs w:val="32"/>
          <w:highlight w:val="none"/>
        </w:rPr>
        <w:t>（格式自拟）</w:t>
      </w:r>
    </w:p>
    <w:p>
      <w:pPr>
        <w:rPr>
          <w:color w:val="auto"/>
          <w:sz w:val="24"/>
          <w:szCs w:val="32"/>
          <w:highlight w:val="none"/>
        </w:rPr>
      </w:pPr>
      <w:r>
        <w:rPr>
          <w:rFonts w:hint="eastAsia"/>
          <w:color w:val="auto"/>
          <w:sz w:val="24"/>
          <w:szCs w:val="32"/>
          <w:highlight w:val="none"/>
        </w:rPr>
        <w:br w:type="page"/>
      </w:r>
    </w:p>
    <w:p>
      <w:pPr>
        <w:pStyle w:val="6"/>
        <w:spacing w:before="0" w:after="0" w:line="360" w:lineRule="auto"/>
        <w:jc w:val="center"/>
        <w:rPr>
          <w:color w:val="auto"/>
          <w:highlight w:val="none"/>
        </w:rPr>
      </w:pPr>
      <w:r>
        <w:rPr>
          <w:rFonts w:hint="eastAsia"/>
          <w:color w:val="auto"/>
          <w:highlight w:val="none"/>
        </w:rPr>
        <w:t>十</w:t>
      </w:r>
      <w:r>
        <w:rPr>
          <w:rFonts w:hint="eastAsia"/>
          <w:color w:val="auto"/>
          <w:highlight w:val="none"/>
          <w:lang w:val="en-US" w:eastAsia="zh-CN"/>
        </w:rPr>
        <w:t>二</w:t>
      </w:r>
      <w:r>
        <w:rPr>
          <w:rFonts w:hint="eastAsia"/>
          <w:color w:val="auto"/>
          <w:highlight w:val="none"/>
        </w:rPr>
        <w:t>、</w:t>
      </w:r>
      <w:r>
        <w:rPr>
          <w:rFonts w:hint="eastAsia"/>
          <w:color w:val="auto"/>
          <w:highlight w:val="none"/>
          <w:lang w:val="en-US" w:eastAsia="zh-CN"/>
        </w:rPr>
        <w:t>售后服务</w:t>
      </w:r>
      <w:r>
        <w:rPr>
          <w:rFonts w:hint="eastAsia"/>
          <w:color w:val="auto"/>
          <w:highlight w:val="none"/>
        </w:rPr>
        <w:t>方案</w:t>
      </w:r>
    </w:p>
    <w:p>
      <w:pPr>
        <w:jc w:val="center"/>
        <w:rPr>
          <w:color w:val="auto"/>
          <w:sz w:val="24"/>
          <w:szCs w:val="32"/>
          <w:highlight w:val="none"/>
        </w:rPr>
      </w:pPr>
      <w:r>
        <w:rPr>
          <w:rFonts w:hint="eastAsia"/>
          <w:color w:val="auto"/>
          <w:sz w:val="24"/>
          <w:szCs w:val="32"/>
          <w:highlight w:val="none"/>
        </w:rPr>
        <w:t>（格式自拟）</w:t>
      </w:r>
    </w:p>
    <w:p>
      <w:pPr>
        <w:jc w:val="center"/>
        <w:rPr>
          <w:color w:val="auto"/>
          <w:highlight w:val="none"/>
        </w:rPr>
      </w:pPr>
      <w:r>
        <w:rPr>
          <w:rFonts w:hint="eastAsia"/>
          <w:color w:val="auto"/>
          <w:highlight w:val="none"/>
        </w:rPr>
        <w:br w:type="page"/>
      </w:r>
    </w:p>
    <w:p>
      <w:pPr>
        <w:pStyle w:val="6"/>
        <w:spacing w:before="0" w:after="0" w:line="360" w:lineRule="auto"/>
        <w:jc w:val="center"/>
        <w:rPr>
          <w:rFonts w:cs="仿宋_GB2312"/>
          <w:color w:val="auto"/>
          <w:sz w:val="28"/>
          <w:highlight w:val="none"/>
        </w:rPr>
      </w:pPr>
      <w:r>
        <w:rPr>
          <w:rFonts w:hint="eastAsia"/>
          <w:color w:val="auto"/>
          <w:highlight w:val="none"/>
        </w:rPr>
        <w:t>十</w:t>
      </w:r>
      <w:r>
        <w:rPr>
          <w:rFonts w:hint="eastAsia"/>
          <w:color w:val="auto"/>
          <w:highlight w:val="none"/>
          <w:lang w:val="en-US" w:eastAsia="zh-CN"/>
        </w:rPr>
        <w:t>三</w:t>
      </w:r>
      <w:r>
        <w:rPr>
          <w:rFonts w:hint="eastAsia"/>
          <w:color w:val="auto"/>
          <w:highlight w:val="none"/>
        </w:rPr>
        <w:t>、其他资料及相关说明等</w:t>
      </w:r>
      <w:bookmarkEnd w:id="148"/>
      <w:bookmarkEnd w:id="149"/>
    </w:p>
    <w:p>
      <w:pPr>
        <w:adjustRightInd w:val="0"/>
        <w:snapToGrid w:val="0"/>
        <w:spacing w:line="360" w:lineRule="auto"/>
        <w:ind w:firstLine="480" w:firstLineChars="200"/>
        <w:rPr>
          <w:rFonts w:ascii="宋体" w:hAnsi="宋体"/>
          <w:color w:val="auto"/>
          <w:sz w:val="24"/>
          <w:highlight w:val="none"/>
        </w:rPr>
      </w:pPr>
      <w:r>
        <w:rPr>
          <w:rFonts w:hint="eastAsia" w:ascii="宋体" w:hAnsi="宋体" w:cs="仿宋_GB2312"/>
          <w:color w:val="auto"/>
          <w:sz w:val="24"/>
          <w:highlight w:val="none"/>
        </w:rPr>
        <w:t>对照</w:t>
      </w:r>
      <w:r>
        <w:rPr>
          <w:rFonts w:hint="eastAsia" w:hAnsi="宋体" w:cs="仿宋_GB2312"/>
          <w:color w:val="auto"/>
          <w:sz w:val="24"/>
          <w:highlight w:val="none"/>
        </w:rPr>
        <w:t>采购文件</w:t>
      </w:r>
      <w:r>
        <w:rPr>
          <w:rFonts w:hint="eastAsia" w:ascii="宋体" w:hAnsi="宋体" w:cs="仿宋_GB2312"/>
          <w:color w:val="auto"/>
          <w:sz w:val="24"/>
          <w:highlight w:val="none"/>
        </w:rPr>
        <w:t>关于采购需求与评分规则等具体要求应当提供的其他资料、相关说明等，以及</w:t>
      </w:r>
      <w:r>
        <w:rPr>
          <w:rFonts w:hint="eastAsia" w:hAnsi="宋体" w:cs="仿宋_GB2312"/>
          <w:color w:val="auto"/>
          <w:sz w:val="24"/>
          <w:highlight w:val="none"/>
        </w:rPr>
        <w:t>供应商</w:t>
      </w:r>
      <w:r>
        <w:rPr>
          <w:rFonts w:hint="eastAsia" w:ascii="宋体" w:hAnsi="宋体" w:cs="仿宋_GB2312"/>
          <w:color w:val="auto"/>
          <w:sz w:val="24"/>
          <w:highlight w:val="none"/>
        </w:rPr>
        <w:t>认为可以提供的其他证明资料、相关说明等，格式自拟。</w:t>
      </w:r>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24"/>
          <w:highlight w:val="none"/>
        </w:rPr>
        <w:sectPr>
          <w:headerReference r:id="rId11" w:type="default"/>
          <w:footerReference r:id="rId12" w:type="default"/>
          <w:footerReference r:id="rId13" w:type="even"/>
          <w:pgSz w:w="11850" w:h="16783"/>
          <w:pgMar w:top="1440" w:right="1304" w:bottom="1440" w:left="1417" w:header="851" w:footer="992" w:gutter="0"/>
          <w:pgNumType w:fmt="numberInDash"/>
          <w:cols w:space="0" w:num="1"/>
          <w:docGrid w:type="lines" w:linePitch="312" w:charSpace="0"/>
        </w:sectPr>
      </w:pPr>
    </w:p>
    <w:p>
      <w:pPr>
        <w:adjustRightInd w:val="0"/>
        <w:spacing w:line="400" w:lineRule="exact"/>
        <w:rPr>
          <w:rFonts w:ascii="宋体" w:hAnsi="宋体" w:eastAsia="黑体" w:cs="Arial"/>
          <w:b/>
          <w:color w:val="auto"/>
          <w:sz w:val="32"/>
          <w:szCs w:val="28"/>
          <w:highlight w:val="none"/>
        </w:rPr>
      </w:pPr>
    </w:p>
    <w:p>
      <w:pPr>
        <w:pStyle w:val="6"/>
        <w:jc w:val="center"/>
        <w:rPr>
          <w:color w:val="auto"/>
          <w:highlight w:val="none"/>
        </w:rPr>
      </w:pPr>
      <w:r>
        <w:rPr>
          <w:rFonts w:hint="eastAsia"/>
          <w:color w:val="auto"/>
          <w:highlight w:val="none"/>
        </w:rPr>
        <w:t>最终报价及承诺书</w:t>
      </w:r>
    </w:p>
    <w:p>
      <w:pPr>
        <w:pStyle w:val="16"/>
        <w:spacing w:before="100" w:beforeAutospacing="1"/>
        <w:ind w:firstLine="480"/>
        <w:rPr>
          <w:rFonts w:hAnsi="宋体" w:cs="宋体"/>
          <w:color w:val="auto"/>
          <w:sz w:val="24"/>
          <w:highlight w:val="none"/>
        </w:rPr>
      </w:pPr>
      <w:r>
        <w:rPr>
          <w:rFonts w:hint="eastAsia" w:hAnsi="宋体" w:cs="宋体"/>
          <w:color w:val="auto"/>
          <w:sz w:val="24"/>
          <w:highlight w:val="none"/>
        </w:rPr>
        <w:t>项目名称：</w:t>
      </w:r>
    </w:p>
    <w:p>
      <w:pPr>
        <w:pStyle w:val="16"/>
        <w:spacing w:before="100" w:beforeAutospacing="1"/>
        <w:ind w:firstLine="480"/>
        <w:rPr>
          <w:rFonts w:hAnsi="宋体" w:cs="宋体"/>
          <w:color w:val="auto"/>
          <w:sz w:val="24"/>
          <w:highlight w:val="none"/>
        </w:rPr>
      </w:pPr>
      <w:r>
        <w:rPr>
          <w:rFonts w:hint="eastAsia" w:hAnsi="宋体" w:cs="宋体"/>
          <w:color w:val="auto"/>
          <w:sz w:val="24"/>
          <w:highlight w:val="none"/>
        </w:rPr>
        <w:t>项目编号：</w:t>
      </w:r>
    </w:p>
    <w:p>
      <w:pPr>
        <w:spacing w:line="400" w:lineRule="exact"/>
        <w:jc w:val="left"/>
        <w:rPr>
          <w:rFonts w:hAnsi="宋体" w:cs="宋体"/>
          <w:color w:val="auto"/>
          <w:sz w:val="24"/>
          <w:highlight w:val="none"/>
        </w:rPr>
      </w:pPr>
    </w:p>
    <w:p>
      <w:pPr>
        <w:pStyle w:val="2"/>
        <w:rPr>
          <w:rFonts w:hAnsi="宋体" w:cs="宋体"/>
          <w:color w:val="auto"/>
          <w:sz w:val="24"/>
          <w:highlight w:val="none"/>
        </w:rPr>
      </w:pPr>
    </w:p>
    <w:p>
      <w:pPr>
        <w:pStyle w:val="16"/>
        <w:spacing w:before="100" w:beforeAutospacing="1"/>
        <w:ind w:firstLine="480"/>
        <w:rPr>
          <w:rFonts w:hAnsi="宋体" w:cs="宋体"/>
          <w:color w:val="auto"/>
          <w:sz w:val="24"/>
          <w:highlight w:val="none"/>
        </w:rPr>
      </w:pPr>
      <w:r>
        <w:rPr>
          <w:rFonts w:hint="eastAsia" w:hAnsi="宋体" w:cs="宋体"/>
          <w:color w:val="auto"/>
          <w:sz w:val="24"/>
          <w:highlight w:val="none"/>
        </w:rPr>
        <w:t>最终报价</w:t>
      </w:r>
    </w:p>
    <w:p>
      <w:pPr>
        <w:pStyle w:val="16"/>
        <w:spacing w:before="100" w:beforeAutospacing="1"/>
        <w:ind w:firstLine="480"/>
        <w:rPr>
          <w:rFonts w:hAnsi="宋体" w:cs="宋体"/>
          <w:color w:val="auto"/>
          <w:sz w:val="24"/>
          <w:highlight w:val="none"/>
          <w:u w:val="single"/>
        </w:rPr>
      </w:pPr>
      <w:r>
        <w:rPr>
          <w:rFonts w:hint="eastAsia" w:hAnsi="宋体" w:cs="宋体"/>
          <w:color w:val="auto"/>
          <w:sz w:val="24"/>
          <w:highlight w:val="none"/>
        </w:rPr>
        <w:t>小写：</w:t>
      </w:r>
      <w:r>
        <w:rPr>
          <w:rFonts w:hint="eastAsia" w:hAnsi="宋体" w:cs="宋体"/>
          <w:color w:val="auto"/>
          <w:sz w:val="24"/>
          <w:highlight w:val="none"/>
          <w:u w:val="single"/>
        </w:rPr>
        <w:t xml:space="preserve">               </w:t>
      </w:r>
    </w:p>
    <w:p>
      <w:pPr>
        <w:pStyle w:val="16"/>
        <w:spacing w:before="100" w:beforeAutospacing="1"/>
        <w:ind w:firstLine="480"/>
        <w:rPr>
          <w:rFonts w:hAnsi="宋体" w:cs="宋体"/>
          <w:color w:val="auto"/>
          <w:sz w:val="24"/>
          <w:highlight w:val="none"/>
          <w:u w:val="single"/>
        </w:rPr>
      </w:pPr>
      <w:r>
        <w:rPr>
          <w:rFonts w:hint="eastAsia" w:hAnsi="宋体" w:cs="宋体"/>
          <w:color w:val="auto"/>
          <w:sz w:val="24"/>
          <w:highlight w:val="none"/>
        </w:rPr>
        <w:t>大写：</w:t>
      </w:r>
      <w:r>
        <w:rPr>
          <w:rFonts w:hint="eastAsia" w:hAnsi="宋体" w:cs="宋体"/>
          <w:color w:val="auto"/>
          <w:sz w:val="24"/>
          <w:highlight w:val="none"/>
          <w:u w:val="single"/>
        </w:rPr>
        <w:t xml:space="preserve">               </w:t>
      </w:r>
    </w:p>
    <w:p>
      <w:pPr>
        <w:spacing w:line="400" w:lineRule="exact"/>
        <w:ind w:firstLine="480" w:firstLineChars="200"/>
        <w:jc w:val="left"/>
        <w:rPr>
          <w:rFonts w:ascii="宋体" w:hAnsi="宋体" w:cs="宋体"/>
          <w:color w:val="auto"/>
          <w:sz w:val="24"/>
          <w:highlight w:val="none"/>
        </w:rPr>
      </w:pP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其他承诺：</w:t>
      </w:r>
    </w:p>
    <w:p>
      <w:pPr>
        <w:spacing w:line="400" w:lineRule="exact"/>
        <w:ind w:firstLine="482" w:firstLineChars="200"/>
        <w:jc w:val="left"/>
        <w:rPr>
          <w:rFonts w:ascii="宋体" w:hAnsi="宋体" w:cs="宋体"/>
          <w:b/>
          <w:bCs/>
          <w:color w:val="auto"/>
          <w:sz w:val="24"/>
          <w:highlight w:val="none"/>
        </w:rPr>
      </w:pPr>
    </w:p>
    <w:p>
      <w:pPr>
        <w:spacing w:line="400" w:lineRule="exact"/>
        <w:ind w:firstLine="482" w:firstLineChars="200"/>
        <w:jc w:val="left"/>
        <w:rPr>
          <w:rFonts w:ascii="宋体" w:hAnsi="宋体" w:cs="宋体"/>
          <w:b/>
          <w:bCs/>
          <w:color w:val="auto"/>
          <w:sz w:val="24"/>
          <w:highlight w:val="none"/>
        </w:rPr>
      </w:pPr>
    </w:p>
    <w:p>
      <w:pPr>
        <w:spacing w:line="400" w:lineRule="exact"/>
        <w:ind w:firstLine="482" w:firstLineChars="200"/>
        <w:jc w:val="left"/>
        <w:rPr>
          <w:rFonts w:ascii="宋体" w:hAnsi="宋体" w:cs="宋体"/>
          <w:color w:val="auto"/>
          <w:sz w:val="24"/>
          <w:highlight w:val="none"/>
        </w:rPr>
      </w:pPr>
      <w:r>
        <w:rPr>
          <w:rFonts w:hint="eastAsia" w:ascii="宋体" w:hAnsi="宋体" w:cs="宋体"/>
          <w:b/>
          <w:bCs/>
          <w:color w:val="auto"/>
          <w:sz w:val="24"/>
          <w:highlight w:val="none"/>
        </w:rPr>
        <w:t>注：此页不作为响应文件的组成部分，但需加盖供应商公章，持空白页至</w:t>
      </w:r>
      <w:r>
        <w:rPr>
          <w:rFonts w:hint="eastAsia" w:ascii="宋体" w:hAnsi="宋体" w:cs="宋体"/>
          <w:b/>
          <w:bCs/>
          <w:color w:val="auto"/>
          <w:sz w:val="24"/>
          <w:highlight w:val="none"/>
          <w:lang w:eastAsia="zh-CN"/>
        </w:rPr>
        <w:t>谈判</w:t>
      </w:r>
      <w:r>
        <w:rPr>
          <w:rFonts w:hint="eastAsia" w:ascii="宋体" w:hAnsi="宋体" w:cs="宋体"/>
          <w:b/>
          <w:bCs/>
          <w:color w:val="auto"/>
          <w:sz w:val="24"/>
          <w:highlight w:val="none"/>
        </w:rPr>
        <w:t>现场根据实际需要填写</w:t>
      </w:r>
      <w:r>
        <w:rPr>
          <w:rFonts w:hint="eastAsia" w:ascii="宋体" w:hAnsi="宋体" w:cs="宋体"/>
          <w:color w:val="auto"/>
          <w:sz w:val="24"/>
          <w:highlight w:val="none"/>
        </w:rPr>
        <w:t>。</w:t>
      </w:r>
      <w:r>
        <w:rPr>
          <w:rFonts w:hint="eastAsia" w:ascii="宋体" w:hAnsi="宋体" w:cs="宋体"/>
          <w:b/>
          <w:bCs/>
          <w:color w:val="auto"/>
          <w:sz w:val="24"/>
          <w:highlight w:val="none"/>
        </w:rPr>
        <w:t>供应商成交后需向采购人提供完整并有效的</w:t>
      </w:r>
      <w:r>
        <w:rPr>
          <w:rFonts w:hint="eastAsia" w:ascii="宋体" w:hAnsi="宋体" w:cs="宋体"/>
          <w:b/>
          <w:bCs/>
          <w:color w:val="auto"/>
          <w:sz w:val="24"/>
          <w:highlight w:val="none"/>
          <w:lang w:val="en-US" w:eastAsia="zh-CN"/>
        </w:rPr>
        <w:t>分项报价明细表</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分项报价明细表</w:t>
      </w:r>
      <w:r>
        <w:rPr>
          <w:rFonts w:hint="eastAsia" w:ascii="宋体" w:hAnsi="宋体" w:cs="宋体"/>
          <w:b/>
          <w:bCs/>
          <w:color w:val="auto"/>
          <w:sz w:val="24"/>
          <w:highlight w:val="none"/>
        </w:rPr>
        <w:t>中若有不符合竞争性</w:t>
      </w:r>
      <w:r>
        <w:rPr>
          <w:rFonts w:hint="eastAsia" w:ascii="宋体" w:hAnsi="宋体" w:cs="宋体"/>
          <w:b/>
          <w:bCs/>
          <w:color w:val="auto"/>
          <w:sz w:val="24"/>
          <w:highlight w:val="none"/>
          <w:lang w:eastAsia="zh-CN"/>
        </w:rPr>
        <w:t>谈判</w:t>
      </w:r>
      <w:r>
        <w:rPr>
          <w:rFonts w:hint="eastAsia" w:ascii="宋体" w:hAnsi="宋体" w:cs="宋体"/>
          <w:b/>
          <w:bCs/>
          <w:color w:val="auto"/>
          <w:sz w:val="24"/>
          <w:highlight w:val="none"/>
        </w:rPr>
        <w:t>文件、响应文件及承诺的，采购人有权要求供应商进行更改。</w:t>
      </w:r>
    </w:p>
    <w:p>
      <w:pPr>
        <w:spacing w:line="400" w:lineRule="exact"/>
        <w:ind w:firstLine="480" w:firstLineChars="200"/>
        <w:rPr>
          <w:rFonts w:hAnsi="宋体" w:cs="宋体"/>
          <w:color w:val="auto"/>
          <w:sz w:val="24"/>
          <w:highlight w:val="none"/>
        </w:rPr>
      </w:pPr>
    </w:p>
    <w:p>
      <w:pPr>
        <w:spacing w:line="400" w:lineRule="exact"/>
        <w:ind w:firstLine="480" w:firstLineChars="200"/>
        <w:rPr>
          <w:rFonts w:hAnsi="宋体" w:cs="宋体"/>
          <w:color w:val="auto"/>
          <w:sz w:val="24"/>
          <w:highlight w:val="none"/>
        </w:rPr>
      </w:pPr>
    </w:p>
    <w:p>
      <w:pPr>
        <w:spacing w:line="400" w:lineRule="exact"/>
        <w:ind w:firstLine="480" w:firstLineChars="200"/>
        <w:rPr>
          <w:rFonts w:hAnsi="宋体" w:cs="宋体"/>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numPr>
          <w:ilvl w:val="0"/>
          <w:numId w:val="5"/>
        </w:numPr>
        <w:spacing w:line="440" w:lineRule="exact"/>
        <w:jc w:val="left"/>
        <w:rPr>
          <w:rFonts w:hint="eastAsia" w:ascii="宋体" w:hAnsi="宋体" w:eastAsia="宋体" w:cs="宋体"/>
          <w:b/>
          <w:color w:val="auto"/>
          <w:sz w:val="32"/>
          <w:szCs w:val="32"/>
          <w:highlight w:val="none"/>
        </w:rPr>
      </w:pPr>
      <w:r>
        <w:rPr>
          <w:rFonts w:hint="eastAsia"/>
          <w:color w:val="auto"/>
          <w:highlight w:val="none"/>
        </w:rPr>
        <w:br w:type="page"/>
      </w:r>
    </w:p>
    <w:p>
      <w:pPr>
        <w:pStyle w:val="40"/>
        <w:rPr>
          <w:rFonts w:hint="eastAsia" w:ascii="Times New Roman" w:hAnsi="Times New Roman" w:eastAsia="宋体" w:cs="Times New Roman"/>
          <w:b/>
          <w:bCs/>
          <w:color w:val="auto"/>
          <w:kern w:val="44"/>
          <w:sz w:val="44"/>
          <w:szCs w:val="44"/>
          <w:highlight w:val="none"/>
          <w:lang w:val="en-US" w:eastAsia="zh-CN" w:bidi="ar-SA"/>
        </w:rPr>
      </w:pPr>
      <w:bookmarkStart w:id="150" w:name="_Toc531596538"/>
      <w:bookmarkStart w:id="151" w:name="_Toc8013"/>
      <w:r>
        <w:rPr>
          <w:rFonts w:hint="eastAsia" w:ascii="Times New Roman" w:hAnsi="Times New Roman" w:eastAsia="宋体" w:cs="Times New Roman"/>
          <w:b/>
          <w:bCs/>
          <w:color w:val="auto"/>
          <w:kern w:val="44"/>
          <w:sz w:val="44"/>
          <w:szCs w:val="44"/>
          <w:highlight w:val="none"/>
          <w:lang w:val="en-US" w:eastAsia="zh-CN" w:bidi="ar-SA"/>
        </w:rPr>
        <w:t>第八章  评审方法</w:t>
      </w:r>
      <w:bookmarkEnd w:id="150"/>
      <w:bookmarkEnd w:id="151"/>
    </w:p>
    <w:p>
      <w:pPr>
        <w:keepNext w:val="0"/>
        <w:keepLines w:val="0"/>
        <w:spacing w:before="0" w:after="0" w:line="360" w:lineRule="auto"/>
        <w:ind w:firstLine="470" w:firstLineChars="196"/>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1.总则</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1.1 根据《中华人民共和国政府采购法》、《中华人民共和国政府采购法实施条例》、《政府采购非招标采购方式管理办法》等法律制度，结合本采购项目特点制定本谈判办法。</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1.2 谈判工作由采购代理机构负责组织，具体谈判由采购代理机构依法组建的谈判小组负责。谈判小组由采购人代表和有关技术、经济、法律等方面的专家组成。</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1.3 谈判工作应遵循公平、公正、科学及择优的原则，并以相同的谈判程序和标准对待所有的供应商。</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1.4 谈判小组按照谈判文件规定的谈判方法和标准进行谈判，并独立履行下列职责：</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（一）熟悉和理解谈判文件，确定谈判文件内容是否违反国家有关强制性规定或者谈判文件存在歧义、重大缺陷；</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（二）审查供应商响应文件是否满足谈判文件要求，并作出公正评价；</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（三）根据需要要求供应商对谈判文件有关事项作出澄清、说明或者纠正；</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（四）推荐成交供应商，或者受采购人委托确定成交供应商；</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（五）起草评审报告并进行签署；</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（六）向采购人、财政部门或者其他监督部门报告非法干预评审工作的行为；</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（七）法律、法规和规章规定的其他职责。</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1.5谈判过程独立、保密。供应商非法干预谈判过程的，其响应文件作为无效处理。</w:t>
      </w:r>
    </w:p>
    <w:p>
      <w:pPr>
        <w:keepNext w:val="0"/>
        <w:keepLines w:val="0"/>
        <w:spacing w:before="0" w:after="0" w:line="360" w:lineRule="auto"/>
        <w:ind w:firstLine="470" w:firstLineChars="196"/>
        <w:outlineLvl w:val="9"/>
        <w:rPr>
          <w:rFonts w:hint="eastAsia"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1.6 谈判小组评价响应文件，除谈判小组要求其澄清、说明或者纠正而提供的资料外，仅依据响应文件本身的内容，不寻求供应商提供其他外部证据。</w:t>
      </w:r>
    </w:p>
    <w:p>
      <w:pPr>
        <w:keepNext w:val="0"/>
        <w:keepLines w:val="0"/>
        <w:spacing w:before="0" w:after="0" w:line="360" w:lineRule="auto"/>
        <w:ind w:firstLine="470" w:firstLineChars="196"/>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2.谈判程序</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2.1熟悉和理解谈判文件和停止评审。</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2.1.1 谈判小组正式评审前，应当对谈判文件进行熟悉和理解，内容主要包括谈判文件中供应商资格条件要求、采购项目技术、服务和商务要求、评审方法和标准、政府采购政策要求以及政府采购合同主要条款等。</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2.1.2 本谈判文件有下列情形之一的，谈判小组应当停止评审：</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（1）谈判文件的规定存在歧义、重大缺陷的；</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（2）谈判文件明显以不合理条件对供应商实行差别待遇或者歧视待遇的；</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（3）采购项目属于国家规定的优先、强制采购范围，但是谈判文件未依法体现优先、强制采购相关规定的；</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（4）采购项目属于政府采购促进中小企业发展的范围，但是谈判文件未依法体现促进中小企业发展相关规定的；</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（5）谈判文件载明的成交原则不合法的；</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（6）谈判文件有违反国家其他有关强制性规定的情形。</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2.1.3 出现本条2.1.2规定应当停止评审情形的，谈判小组应当向采购人书面说明情况。除本条规定的情形外，谈判小组不得以任何方式和理由停止评审。</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2.2 资格性审查。</w:t>
      </w:r>
    </w:p>
    <w:p>
      <w:pPr>
        <w:adjustRightInd w:val="0"/>
        <w:snapToGrid w:val="0"/>
        <w:spacing w:line="360" w:lineRule="auto"/>
        <w:ind w:firstLine="480" w:firstLineChars="200"/>
        <w:outlineLvl w:val="9"/>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本项目需要谈判小组进行资格性检查。</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2.2.1谈判小组应依据法律法规和谈判文件的规定，对响应文件是否按照规定要求提供资格性证明材料、是否属于禁止参加谈判的供应商等进行审查，以确定供应商是否具备谈判资格。</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2.2.2资格性审查结束后，谈判小组应当出具资格性审查报告，没有通过资格审查的供应商，谈判小组应当在资格审查报告中说明原因。</w:t>
      </w:r>
    </w:p>
    <w:p>
      <w:pPr>
        <w:keepNext w:val="0"/>
        <w:keepLines w:val="0"/>
        <w:spacing w:before="0" w:after="0" w:line="400" w:lineRule="exact"/>
        <w:ind w:firstLine="470" w:firstLineChars="196"/>
        <w:outlineLvl w:val="9"/>
        <w:rPr>
          <w:rFonts w:hint="eastAsia" w:ascii="宋体" w:hAnsi="宋体" w:eastAsia="宋体"/>
          <w:b w:val="0"/>
          <w:color w:val="auto"/>
          <w:sz w:val="24"/>
          <w:szCs w:val="24"/>
          <w:highlight w:val="none"/>
        </w:rPr>
      </w:pPr>
      <w:r>
        <w:rPr>
          <w:rFonts w:hint="eastAsia" w:ascii="宋体" w:hAnsi="宋体" w:eastAsia="宋体"/>
          <w:b w:val="0"/>
          <w:color w:val="auto"/>
          <w:sz w:val="24"/>
          <w:szCs w:val="24"/>
          <w:highlight w:val="none"/>
        </w:rPr>
        <w:t>2.2.3</w:t>
      </w:r>
      <w:r>
        <w:rPr>
          <w:rFonts w:hint="eastAsia" w:ascii="宋体" w:hAnsi="宋体" w:eastAsia="宋体" w:cs="宋体"/>
          <w:b w:val="0"/>
          <w:color w:val="auto"/>
          <w:sz w:val="24"/>
          <w:szCs w:val="24"/>
          <w:highlight w:val="none"/>
        </w:rPr>
        <w:t>谈判小组</w:t>
      </w:r>
      <w:r>
        <w:rPr>
          <w:rFonts w:hint="eastAsia" w:ascii="宋体" w:hAnsi="宋体" w:eastAsia="宋体"/>
          <w:b w:val="0"/>
          <w:color w:val="auto"/>
          <w:sz w:val="24"/>
          <w:szCs w:val="24"/>
          <w:highlight w:val="none"/>
        </w:rPr>
        <w:t>应依据</w:t>
      </w:r>
      <w:r>
        <w:rPr>
          <w:rFonts w:hint="eastAsia" w:ascii="宋体" w:hAnsi="宋体" w:eastAsia="宋体" w:cs="宋体"/>
          <w:b w:val="0"/>
          <w:color w:val="auto"/>
          <w:sz w:val="24"/>
          <w:szCs w:val="24"/>
          <w:highlight w:val="none"/>
        </w:rPr>
        <w:t>谈判</w:t>
      </w:r>
      <w:r>
        <w:rPr>
          <w:rFonts w:hint="eastAsia" w:ascii="宋体" w:hAnsi="宋体" w:eastAsia="宋体"/>
          <w:b w:val="0"/>
          <w:color w:val="auto"/>
          <w:sz w:val="24"/>
          <w:szCs w:val="24"/>
          <w:highlight w:val="none"/>
        </w:rPr>
        <w:t>文件规定的实质性要求，对符合资格的响应文件进行有效性、完整性和响应程度审查，以确定参加</w:t>
      </w:r>
      <w:r>
        <w:rPr>
          <w:rFonts w:hint="eastAsia" w:ascii="宋体" w:hAnsi="宋体" w:eastAsia="宋体" w:cs="宋体"/>
          <w:b w:val="0"/>
          <w:color w:val="auto"/>
          <w:sz w:val="24"/>
          <w:szCs w:val="24"/>
          <w:highlight w:val="none"/>
        </w:rPr>
        <w:t>谈判</w:t>
      </w:r>
      <w:r>
        <w:rPr>
          <w:rFonts w:hint="eastAsia" w:ascii="宋体" w:hAnsi="宋体" w:eastAsia="宋体"/>
          <w:b w:val="0"/>
          <w:color w:val="auto"/>
          <w:sz w:val="24"/>
          <w:szCs w:val="24"/>
          <w:highlight w:val="none"/>
        </w:rPr>
        <w:t>的供应商名单。</w:t>
      </w:r>
    </w:p>
    <w:p>
      <w:pPr>
        <w:outlineLvl w:val="9"/>
        <w:rPr>
          <w:rFonts w:hint="eastAsia"/>
          <w:highlight w:val="none"/>
        </w:rPr>
      </w:pP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2.2.</w:t>
      </w:r>
      <w:r>
        <w:rPr>
          <w:rFonts w:hint="eastAsia" w:ascii="宋体" w:hAnsi="宋体" w:eastAsia="宋体" w:cs="宋体"/>
          <w:b w:val="0"/>
          <w:color w:val="auto"/>
          <w:sz w:val="24"/>
          <w:szCs w:val="24"/>
          <w:highlight w:val="none"/>
          <w:lang w:val="en-US" w:eastAsia="zh-CN"/>
        </w:rPr>
        <w:t>4</w:t>
      </w:r>
      <w:r>
        <w:rPr>
          <w:rFonts w:hint="eastAsia" w:ascii="宋体" w:hAnsi="宋体" w:eastAsia="宋体" w:cs="宋体"/>
          <w:b w:val="0"/>
          <w:color w:val="auto"/>
          <w:sz w:val="24"/>
          <w:szCs w:val="24"/>
          <w:highlight w:val="none"/>
        </w:rPr>
        <w:t>采购代理机构宣布未通过资格性审查的供应商名单时，应当告知供应商未通过审查的原因。</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2.3通过资格性审查的供应商不足</w:t>
      </w:r>
      <w:r>
        <w:rPr>
          <w:rFonts w:hint="eastAsia" w:ascii="宋体" w:hAnsi="宋体" w:eastAsia="宋体" w:cs="宋体"/>
          <w:b w:val="0"/>
          <w:color w:val="auto"/>
          <w:sz w:val="24"/>
          <w:highlight w:val="none"/>
        </w:rPr>
        <w:t>3</w:t>
      </w:r>
      <w:r>
        <w:rPr>
          <w:rFonts w:hint="eastAsia" w:ascii="宋体" w:hAnsi="宋体" w:eastAsia="宋体" w:cs="宋体"/>
          <w:b w:val="0"/>
          <w:color w:val="auto"/>
          <w:sz w:val="24"/>
          <w:szCs w:val="24"/>
          <w:highlight w:val="none"/>
        </w:rPr>
        <w:t>家的（本章2.3.1的情况除外），终止本次采购活动，并发布终止采购活动公告。</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2.3.1根据《政府采购非招标采购方式管理办法》（财政部令第74号）的相关规定，公开招标的货物、服务采购项目，招标过程中提交投标文件或者经评审实质性响应招标文件要求的供应商只有两家时，采购人、采购代理机构按照</w:t>
      </w:r>
      <w:bookmarkStart w:id="152" w:name="_Toc15727"/>
      <w:r>
        <w:rPr>
          <w:rFonts w:hint="eastAsia" w:ascii="宋体" w:hAnsi="宋体" w:eastAsia="宋体" w:cs="宋体"/>
          <w:b w:val="0"/>
          <w:color w:val="auto"/>
          <w:sz w:val="24"/>
          <w:szCs w:val="24"/>
          <w:highlight w:val="none"/>
        </w:rPr>
        <w:t>本办法</w:t>
      </w:r>
      <w:bookmarkEnd w:id="152"/>
      <w:r>
        <w:rPr>
          <w:rFonts w:hint="eastAsia" w:ascii="宋体" w:hAnsi="宋体" w:eastAsia="宋体" w:cs="宋体"/>
          <w:b w:val="0"/>
          <w:color w:val="auto"/>
          <w:sz w:val="24"/>
          <w:szCs w:val="24"/>
          <w:highlight w:val="none"/>
        </w:rPr>
        <w:t>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2.4 谈判</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2.4.1谈判小组所有成员集中与单一供应商分别进行一轮或多轮谈判，并给予所有参加谈判的供应商平等的谈判机会。谈判顺序以现场抽签的方式确定。谈判过程中，谈判小组可以根据谈判情况调整谈判轮次。</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2.4.2每轮谈判开始前，谈判小组应根据谈判文件的规定，并结合各供应商的响应文件拟定谈判内容。</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2.4.3在谈判过程中，谈判小组可以根据谈判文件和谈判情况实质性变动谈判文件的技术、服务要求以及合同草案条款，但不得变动谈判文件中的其他内容。实质性变动的内容，须经采购人代表书面确认。</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2.4.4对谈判文件作出的实质性变动是谈判文件的有效组成部分，谈判小组应当及时以书面形式同时通知所有参加谈判的供应商。</w:t>
      </w:r>
    </w:p>
    <w:p>
      <w:pPr>
        <w:keepNext w:val="0"/>
        <w:keepLines w:val="0"/>
        <w:spacing w:before="0" w:after="0" w:line="360" w:lineRule="auto"/>
        <w:ind w:firstLine="470" w:firstLineChars="196"/>
        <w:outlineLvl w:val="9"/>
        <w:rPr>
          <w:rFonts w:hint="eastAsia"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2.4.5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autoSpaceDE w:val="0"/>
        <w:autoSpaceDN w:val="0"/>
        <w:adjustRightInd w:val="0"/>
        <w:snapToGrid w:val="0"/>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2.4.6</w:t>
      </w:r>
      <w:r>
        <w:rPr>
          <w:rFonts w:hint="eastAsia" w:ascii="宋体" w:hAnsi="宋体" w:eastAsia="宋体" w:cs="宋体"/>
          <w:color w:val="auto"/>
          <w:sz w:val="24"/>
          <w:highlight w:val="none"/>
          <w:lang w:val="zh-CN"/>
        </w:rPr>
        <w:t>有效性、完整性和响应程度审查</w:t>
      </w:r>
    </w:p>
    <w:p>
      <w:pPr>
        <w:pStyle w:val="25"/>
        <w:snapToGrid w:val="0"/>
        <w:spacing w:line="360" w:lineRule="auto"/>
        <w:ind w:firstLine="480" w:firstLineChars="200"/>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2.4.6.1谈判过程中，</w:t>
      </w:r>
      <w:r>
        <w:rPr>
          <w:rFonts w:hint="eastAsia" w:ascii="宋体" w:hAnsi="宋体" w:eastAsia="宋体" w:cs="宋体"/>
          <w:color w:val="auto"/>
          <w:sz w:val="24"/>
          <w:szCs w:val="24"/>
          <w:highlight w:val="none"/>
          <w:lang w:val="zh-CN"/>
        </w:rPr>
        <w:t>谈判小组对供应商递交的首次响应文件进行审查，审查中发现供应商首次响应文件属于下列情况之一的，应按照无效响应文件处理：</w:t>
      </w:r>
    </w:p>
    <w:p>
      <w:pPr>
        <w:pStyle w:val="25"/>
        <w:snapToGrid w:val="0"/>
        <w:spacing w:line="360" w:lineRule="auto"/>
        <w:ind w:firstLine="480" w:firstLineChars="200"/>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（1）响应文件正副本数量不足的；</w:t>
      </w:r>
    </w:p>
    <w:p>
      <w:pPr>
        <w:autoSpaceDE w:val="0"/>
        <w:autoSpaceDN w:val="0"/>
        <w:adjustRightInd w:val="0"/>
        <w:snapToGrid w:val="0"/>
        <w:spacing w:line="360" w:lineRule="auto"/>
        <w:ind w:firstLine="480" w:firstLineChars="200"/>
        <w:outlineLvl w:val="9"/>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）响应文件的语言、报价货币、知识产权、响应文件有效期不符合采购文件的规定，影响谈判小组评判的；</w:t>
      </w:r>
    </w:p>
    <w:p>
      <w:pPr>
        <w:autoSpaceDE w:val="0"/>
        <w:autoSpaceDN w:val="0"/>
        <w:adjustRightInd w:val="0"/>
        <w:snapToGrid w:val="0"/>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2.4.6.</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经最终谈判后，响应文件仍有下列情况之一的，应按照无效响应文件处理：</w:t>
      </w:r>
    </w:p>
    <w:p>
      <w:pPr>
        <w:autoSpaceDE w:val="0"/>
        <w:autoSpaceDN w:val="0"/>
        <w:adjustRightInd w:val="0"/>
        <w:snapToGrid w:val="0"/>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zh-CN"/>
        </w:rPr>
        <w:t>响应文件仍不能完全响应采购文件的实质性要求的；</w:t>
      </w:r>
    </w:p>
    <w:p>
      <w:pPr>
        <w:autoSpaceDE w:val="0"/>
        <w:autoSpaceDN w:val="0"/>
        <w:adjustRightInd w:val="0"/>
        <w:snapToGrid w:val="0"/>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（2）响应文件仍中有规定的其他无效响应情形的。</w:t>
      </w:r>
    </w:p>
    <w:p>
      <w:pPr>
        <w:pStyle w:val="25"/>
        <w:snapToGrid w:val="0"/>
        <w:spacing w:line="360" w:lineRule="auto"/>
        <w:ind w:firstLine="480" w:firstLineChars="200"/>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但谈判小组对响应文件签署、盖章等进行审查过程中，有下列情形的，谈判小组应当评定为不影响整个响应文件有效性和采购活动公平竞争，并通过响应文件的有效性审查：</w:t>
      </w:r>
    </w:p>
    <w:p>
      <w:pPr>
        <w:pStyle w:val="25"/>
        <w:snapToGrid w:val="0"/>
        <w:spacing w:line="360" w:lineRule="auto"/>
        <w:ind w:firstLine="600" w:firstLineChars="250"/>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）响应文件存在个别地方（总数不能超过2个）没有法定代表人/单位负责人签字，但有法定代表人/单位负责人的私人印章或者有效授权代理人签字的；</w:t>
      </w:r>
    </w:p>
    <w:p>
      <w:pPr>
        <w:pStyle w:val="25"/>
        <w:snapToGrid w:val="0"/>
        <w:spacing w:line="360" w:lineRule="auto"/>
        <w:ind w:firstLine="480" w:firstLineChars="200"/>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）响应文件除采购文件明确要求加盖单位(法人)公章的以外，其他地方以相关专用章加盖的；</w:t>
      </w:r>
    </w:p>
    <w:p>
      <w:pPr>
        <w:pStyle w:val="25"/>
        <w:snapToGrid w:val="0"/>
        <w:spacing w:line="360" w:lineRule="auto"/>
        <w:ind w:firstLine="480" w:firstLineChars="200"/>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CN"/>
        </w:rPr>
        <w:t>）以骑缝章的形式代替响应文件内容逐页盖章的（但是骑缝章模糊不清，印章名称无法辨认的除外）。</w:t>
      </w:r>
    </w:p>
    <w:p>
      <w:pPr>
        <w:pStyle w:val="25"/>
        <w:snapToGrid w:val="0"/>
        <w:spacing w:line="360" w:lineRule="auto"/>
        <w:ind w:firstLine="480" w:firstLineChars="200"/>
        <w:outlineLvl w:val="9"/>
        <w:rPr>
          <w:rFonts w:hint="eastAsia" w:ascii="宋体" w:hAnsi="宋体" w:eastAsia="宋体" w:cs="宋体"/>
          <w:color w:val="auto"/>
          <w:highlight w:val="none"/>
        </w:rPr>
      </w:pPr>
      <w:r>
        <w:rPr>
          <w:rFonts w:hint="eastAsia" w:ascii="宋体" w:hAnsi="宋体" w:eastAsia="宋体" w:cs="宋体"/>
          <w:color w:val="auto"/>
          <w:sz w:val="24"/>
          <w:szCs w:val="24"/>
          <w:highlight w:val="none"/>
        </w:rPr>
        <w:t>谈判小组</w:t>
      </w:r>
      <w:r>
        <w:rPr>
          <w:rFonts w:hint="eastAsia" w:ascii="宋体" w:hAnsi="宋体" w:eastAsia="宋体" w:cs="宋体"/>
          <w:color w:val="auto"/>
          <w:sz w:val="24"/>
          <w:szCs w:val="24"/>
          <w:highlight w:val="none"/>
          <w:lang w:val="zh-CN"/>
        </w:rPr>
        <w:t>对所有响应文件的有效性、完整性和响应程度进行审查</w:t>
      </w:r>
      <w:r>
        <w:rPr>
          <w:rFonts w:hint="eastAsia" w:ascii="宋体" w:hAnsi="宋体" w:eastAsia="宋体" w:cs="宋体"/>
          <w:color w:val="auto"/>
          <w:sz w:val="24"/>
          <w:szCs w:val="24"/>
          <w:highlight w:val="none"/>
        </w:rPr>
        <w:t>后，向采购</w:t>
      </w:r>
      <w:r>
        <w:rPr>
          <w:rFonts w:hint="eastAsia" w:ascii="宋体" w:hAnsi="宋体" w:eastAsia="宋体" w:cs="宋体"/>
          <w:color w:val="auto"/>
          <w:sz w:val="24"/>
          <w:szCs w:val="24"/>
          <w:highlight w:val="none"/>
          <w:lang w:val="zh-CN"/>
        </w:rPr>
        <w:t>代理机构</w:t>
      </w:r>
      <w:r>
        <w:rPr>
          <w:rFonts w:hint="eastAsia" w:ascii="宋体" w:hAnsi="宋体" w:eastAsia="宋体" w:cs="宋体"/>
          <w:color w:val="auto"/>
          <w:sz w:val="24"/>
          <w:szCs w:val="24"/>
          <w:highlight w:val="none"/>
        </w:rPr>
        <w:t>出具</w:t>
      </w:r>
      <w:r>
        <w:rPr>
          <w:rFonts w:hint="eastAsia" w:ascii="宋体" w:hAnsi="宋体" w:eastAsia="宋体" w:cs="宋体"/>
          <w:color w:val="auto"/>
          <w:sz w:val="24"/>
          <w:szCs w:val="24"/>
          <w:highlight w:val="none"/>
          <w:lang w:val="zh-CN"/>
        </w:rPr>
        <w:t>有效性、完整性和响应程度</w:t>
      </w:r>
      <w:r>
        <w:rPr>
          <w:rFonts w:hint="eastAsia" w:ascii="宋体" w:hAnsi="宋体" w:eastAsia="宋体" w:cs="宋体"/>
          <w:color w:val="auto"/>
          <w:sz w:val="24"/>
          <w:szCs w:val="24"/>
          <w:highlight w:val="none"/>
        </w:rPr>
        <w:t>审查报告，确定继续谈判的供应商名单。没有通过</w:t>
      </w:r>
      <w:r>
        <w:rPr>
          <w:rFonts w:hint="eastAsia" w:ascii="宋体" w:hAnsi="宋体" w:eastAsia="宋体" w:cs="宋体"/>
          <w:color w:val="auto"/>
          <w:sz w:val="24"/>
          <w:szCs w:val="24"/>
          <w:highlight w:val="none"/>
          <w:lang w:val="zh-CN"/>
        </w:rPr>
        <w:t>有效性、完整性和响应程度</w:t>
      </w:r>
      <w:r>
        <w:rPr>
          <w:rFonts w:hint="eastAsia" w:ascii="宋体" w:hAnsi="宋体" w:eastAsia="宋体" w:cs="宋体"/>
          <w:color w:val="auto"/>
          <w:sz w:val="24"/>
          <w:szCs w:val="24"/>
          <w:highlight w:val="none"/>
        </w:rPr>
        <w:t>审查的供应商，谈判小组应在</w:t>
      </w:r>
      <w:r>
        <w:rPr>
          <w:rFonts w:hint="eastAsia" w:ascii="宋体" w:hAnsi="宋体" w:eastAsia="宋体" w:cs="宋体"/>
          <w:color w:val="auto"/>
          <w:sz w:val="24"/>
          <w:szCs w:val="24"/>
          <w:highlight w:val="none"/>
          <w:lang w:val="zh-CN"/>
        </w:rPr>
        <w:t>有效性、完整性和响应程度</w:t>
      </w:r>
      <w:r>
        <w:rPr>
          <w:rFonts w:hint="eastAsia" w:ascii="宋体" w:hAnsi="宋体" w:eastAsia="宋体" w:cs="宋体"/>
          <w:color w:val="auto"/>
          <w:sz w:val="24"/>
          <w:szCs w:val="24"/>
          <w:highlight w:val="none"/>
        </w:rPr>
        <w:t>审查报告中说明原因。</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2.4.7谈判过程中，谈判的任何一方不得透露与谈判有关的其他供应商的技术资料、价格和其他信息。</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2.4.8谈判过程中，谈判小组发现或者知晓供应商存在违法、违纪行为的，谈判小组应当将该供应商淘汰，不允许其提交最后报价。</w:t>
      </w:r>
    </w:p>
    <w:p>
      <w:pPr>
        <w:keepNext w:val="0"/>
        <w:keepLines w:val="0"/>
        <w:spacing w:before="0" w:after="0" w:line="360" w:lineRule="auto"/>
        <w:ind w:firstLine="470" w:firstLineChars="196"/>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 xml:space="preserve">2.4.9谈判完成后，谈判小组应出具谈判情况记录表，谈判情况记录表需包含谈判内容、谈判意见、实质性变动内容等。   </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2.5报价</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2.5.1除首次响应文件中的报价以外，供应商报价采用现场报价，参与报价的供应商按谈判小组要求进行报价。报价超过竞争性谈判文件规定的政府采购预算（或最高限价）或者相关报价不符合采购文件其他的报价规定的，应按照无效响应文件处理。</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2.5.2供应商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2.5.3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2.5.4谈判文件能够详细列明采购标的的技术、服务要求的，谈判结束后，谈判小组应当要求所有实质性响应的供应商在规定时间内提交最后报价，提交最后报价的供应商不得少于3家（本章2.3.1的情况除外）。或谈判文件不能详细列明采购标的的技术、服务要求，需经谈判由供应商提供最终设计方案或解决方案的，谈判结束后，谈判小组应当按照少数服从多数的原则投票推荐3家以上（本章2.3.1的情况除外）供应商的设计方案或者解决方案，并要求其在规定时间内提交最后报价。</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2.5.5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r>
        <w:rPr>
          <w:rFonts w:hint="eastAsia" w:ascii="宋体" w:hAnsi="宋体" w:eastAsia="宋体" w:cs="宋体"/>
          <w:color w:val="auto"/>
          <w:sz w:val="24"/>
          <w:highlight w:val="none"/>
          <w:lang w:val="zh-CN"/>
        </w:rPr>
        <w:t>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2.6 谈判小组复核。供应商最后报价结束后，谈判小组应当进行评审复核，对拟推荐为成交候选供应商的、报价最低的、供应商资格审查未通过的、供应商响应文件作无效处理的重点复核。</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2.7推荐成交候选供应商。谈判小组复核后，应当按照供应商的报价由低到高顺序推荐3家以上（本章2.3.1的情况除外）成交候选供应商，并编写谈判报告。供应商报价结束后，谈判小组应当进行评审符合，对拟推荐成交候选供应商的、报价最低的、供应商资格审查未通过的、供应商被无效处理的重点复核。谈判小组应遵循公平、公正、科学、择优的原则，根据符合采购需求、质量和服务相等且报价最低的原则，确定成交候选供应商顺序。供应商报价相同的，由评审委员会组织供应商抽签确定推荐的成交候选供应商顺序。同等条件下，优先选择不发达地区和少数民族地区的供应商和优先采购节能环保或无线局域网产品。（不发达地区或少数民族地区的供应商需提供属于不发达地区或少数民族地区企业的相关证明材料，或供应商注册地为少数民族地区。）</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2.8采购代理机构现场复核评审结果。</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2.8.1推荐成交候选供应商后，谈判小组拟出具谈判报告前，采购代理机构应当组织2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纳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接照规定程序要求继续组织实施采购活动，不得擅自中止采购活动。采购代理机构认为谈判小组评审结果不合法的，应当书面报告采购项目同级财政部门。</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采购代理机构复核过程中，谈判小组成员不得离开评审现场。</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2.8.2有下列情形之一的，不得现场修改评审结果：</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（1）谈判小组已经出具谈判报告并且离开评审现场的；</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（2）采购代理机构现场复核时，复核工作人员数量不足的；</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（3）采购代理机构现场复核时，没有采购监督人员现场监督的；</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（4）采购代理机构现场复核内容超出规定范围的；</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（5）采购代理机构未提供书面建议的。</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2.9编写谈判报告。谈判小组推荐成交候选供应商后，应向采购代理机构出具谈判报告。谈判报告应当包括以下主要内容：</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（1）邀请供应商参加采购活动的具体方式和相关情况，以及参加采购活动的供应商名单；</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（2）评审日期和地点，谈判小组成员名单；</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（3）评审情况记录和说明，包括对供应商的资格审查情况、供应商响应文件审查情况、谈判情况、报价情况等；</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（4）推荐的成交候选人的名单及理由。</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2.10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2.11供应商澄清、说明</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2.11.1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2.11.2谈判小组要求供应商澄清、说明或者更正响应文件应当以书面形式作出。供应商的澄清、说明或者更正应当由法定代表人/主要负责人/本人或其授权代表签字（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color w:val="auto"/>
          <w:sz w:val="24"/>
          <w:highlight w:val="none"/>
        </w:rPr>
        <w:t>注：</w:t>
      </w:r>
      <w:r>
        <w:rPr>
          <w:rFonts w:hint="eastAsia" w:ascii="宋体" w:hAnsi="宋体" w:eastAsia="宋体" w:cs="宋体"/>
          <w:color w:val="auto"/>
          <w:sz w:val="24"/>
          <w:highlight w:val="none"/>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2.12终止谈判采购活动。</w:t>
      </w:r>
    </w:p>
    <w:p>
      <w:pPr>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出现下列情形之一的，采购人或者采购代理机构应当终止竞争性谈判采购活动，发布项目终止公告并说明原因，重新开展采购活动：</w:t>
      </w:r>
    </w:p>
    <w:p>
      <w:pPr>
        <w:spacing w:line="360" w:lineRule="auto"/>
        <w:ind w:firstLine="360" w:firstLineChars="15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（1）因情况变化，不再符合规定的竞争性谈判采购方式适用情形的；</w:t>
      </w:r>
    </w:p>
    <w:p>
      <w:pPr>
        <w:spacing w:line="360" w:lineRule="auto"/>
        <w:ind w:firstLine="360" w:firstLineChars="15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（2）出现影响采购公正的违法、违规行为的；</w:t>
      </w:r>
    </w:p>
    <w:p>
      <w:pPr>
        <w:keepNext w:val="0"/>
        <w:keepLines w:val="0"/>
        <w:spacing w:before="0" w:after="0" w:line="360" w:lineRule="auto"/>
        <w:ind w:firstLine="360" w:firstLineChars="150"/>
        <w:outlineLvl w:val="9"/>
        <w:rPr>
          <w:rFonts w:hint="eastAsia" w:ascii="宋体" w:hAnsi="宋体" w:eastAsia="宋体" w:cs="宋体"/>
          <w:b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color w:val="auto"/>
          <w:sz w:val="24"/>
          <w:szCs w:val="24"/>
          <w:highlight w:val="none"/>
        </w:rPr>
        <w:t>除本章2.3.1的情况外，</w:t>
      </w:r>
      <w:r>
        <w:rPr>
          <w:rFonts w:hint="eastAsia" w:ascii="宋体" w:hAnsi="宋体" w:eastAsia="宋体" w:cs="宋体"/>
          <w:b w:val="0"/>
          <w:bCs w:val="0"/>
          <w:color w:val="auto"/>
          <w:sz w:val="24"/>
          <w:szCs w:val="24"/>
          <w:highlight w:val="none"/>
        </w:rPr>
        <w:t>在采购过程中符合要求的供应商或者报价未超过采购预算的供应商不足3家的。</w:t>
      </w:r>
    </w:p>
    <w:p>
      <w:pPr>
        <w:tabs>
          <w:tab w:val="left" w:pos="851"/>
        </w:tabs>
        <w:spacing w:line="360" w:lineRule="auto"/>
        <w:ind w:firstLine="482" w:firstLineChars="2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3．谈判纪律及注意事项</w:t>
      </w:r>
    </w:p>
    <w:p>
      <w:pPr>
        <w:tabs>
          <w:tab w:val="left" w:pos="851"/>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3.1谈判小组内部讨论的情况和意见必须保密，任何人不得以任何形式透露给供应商或与供应商有关的单位或个人。</w:t>
      </w:r>
    </w:p>
    <w:p>
      <w:pPr>
        <w:tabs>
          <w:tab w:val="left" w:pos="851"/>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3.3对各供应商的商业秘密，谈判小组成员应予以保密，不得泄露给其他供应商。</w:t>
      </w:r>
    </w:p>
    <w:p>
      <w:pPr>
        <w:tabs>
          <w:tab w:val="left" w:pos="851"/>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3.4谈判小组独立评判，推荐成交候选人，并写出书面报告。</w:t>
      </w:r>
    </w:p>
    <w:p>
      <w:pPr>
        <w:tabs>
          <w:tab w:val="left" w:pos="851"/>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3.5谈判小组可根据需要对供应商进行实地考察。</w:t>
      </w:r>
    </w:p>
    <w:p>
      <w:pPr>
        <w:keepNext w:val="0"/>
        <w:keepLines w:val="0"/>
        <w:spacing w:before="0" w:after="0" w:line="360" w:lineRule="auto"/>
        <w:ind w:firstLine="470" w:firstLineChars="196"/>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4.确定成交供应商</w:t>
      </w:r>
    </w:p>
    <w:p>
      <w:pPr>
        <w:keepNext w:val="0"/>
        <w:keepLines w:val="0"/>
        <w:spacing w:before="0" w:after="0" w:line="360" w:lineRule="auto"/>
        <w:ind w:firstLine="470" w:firstLineChars="196"/>
        <w:outlineLvl w:val="9"/>
        <w:rPr>
          <w:rFonts w:hint="eastAsia"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采购人将按谈判小组推荐的成交候选供应商顺序确定成交供应商。</w:t>
      </w:r>
    </w:p>
    <w:p>
      <w:pPr>
        <w:keepNext w:val="0"/>
        <w:keepLines w:val="0"/>
        <w:spacing w:before="0" w:after="0" w:line="360" w:lineRule="auto"/>
        <w:ind w:firstLine="470" w:firstLineChars="196"/>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5.成交通知书</w:t>
      </w:r>
    </w:p>
    <w:p>
      <w:pPr>
        <w:adjustRightInd w:val="0"/>
        <w:snapToGrid w:val="0"/>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5.1 成交通知书为签订政府采购合同的依据之一，是合同的有效组成部分。</w:t>
      </w:r>
    </w:p>
    <w:p>
      <w:pPr>
        <w:adjustRightInd w:val="0"/>
        <w:snapToGrid w:val="0"/>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5.2 采购人按符合采购需求的合格供应商确定成交供应商，确定成交供应商后2个工作日内，采购代理机构在“四川政府采购网”上公示成交结果，由采购代理机构按照相关法律法规向成交供应商发出成交通知书。</w:t>
      </w:r>
    </w:p>
    <w:p>
      <w:pPr>
        <w:adjustRightInd w:val="0"/>
        <w:snapToGrid w:val="0"/>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5.3 成交通知书将作为签订合同的依据。成交通知书对采购人和成交供应商均具有法律效力。成交通知书发出后，采购人改变成交结果或成交供应商无正当理由放弃成交项目的，应当依法承担相关责任。</w:t>
      </w:r>
    </w:p>
    <w:p>
      <w:pPr>
        <w:adjustRightInd w:val="0"/>
        <w:snapToGrid w:val="0"/>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5.4 采购人和采购代理机构不对成交或未成交原因作出解释，也不退还响应文件。</w:t>
      </w:r>
    </w:p>
    <w:p>
      <w:pPr>
        <w:tabs>
          <w:tab w:val="left" w:pos="7665"/>
        </w:tabs>
        <w:spacing w:line="360" w:lineRule="auto"/>
        <w:ind w:firstLine="482" w:firstLineChars="2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6.谈判小组在政府采购活动中承担以下义务：</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（一）遵守评审工作纪律；</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（二）按照客观、公正、审慎的原则，根据谈判文件规定的评审程序、评审方法和评审标准进行独立评审；</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（三）不得泄露评审文件、评审情况和在评审过程中获悉的商业秘密；</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（五）发现谈判文件内容违反国家有关强制性规定或者谈判文件存在歧义、重大缺陷导致评审工作无法进行时，停止评审并向采购人或者采购代理机构书面说明情况；</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（六）及时向财政、监察等部门举报在评审过程中受到非法干预的情况；</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（七）配合答复处理供应商的询问、质疑和投诉等事项；</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（八）法律、法规和规章规定的其他义务。</w:t>
      </w:r>
    </w:p>
    <w:p>
      <w:pPr>
        <w:tabs>
          <w:tab w:val="left" w:pos="7665"/>
        </w:tabs>
        <w:spacing w:line="360" w:lineRule="auto"/>
        <w:ind w:firstLine="482" w:firstLineChars="2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7.评审专家在政府采购活动中应当遵守以下工作纪律：</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（二）评审前，应当将通讯工具或者相关电子设备交由采购代理机构统一保管；</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（三）评审过程中，不得与外界联系，因发生不可预见情况，确实需要与外界联系的，应当在监督人员监督之下办理；</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（五）在评审过程中和评审结束后，不得记录、复制或带走任何评审资料，不得向外界透露评审内容；</w:t>
      </w:r>
    </w:p>
    <w:p>
      <w:pPr>
        <w:tabs>
          <w:tab w:val="left" w:pos="7665"/>
        </w:tabs>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（六）评审现场服从采购代理机构工作人员的管理，接受现场监督人员的合法监督；</w:t>
      </w:r>
    </w:p>
    <w:p>
      <w:pPr>
        <w:tabs>
          <w:tab w:val="left" w:pos="7665"/>
        </w:tabs>
        <w:spacing w:line="360" w:lineRule="auto"/>
        <w:ind w:firstLine="480" w:firstLineChars="200"/>
        <w:outlineLvl w:val="9"/>
        <w:rPr>
          <w:rFonts w:hint="eastAsia" w:ascii="宋体" w:hAnsi="宋体" w:eastAsia="宋体" w:cs="宋体"/>
          <w:color w:val="auto"/>
          <w:sz w:val="36"/>
          <w:szCs w:val="36"/>
          <w:highlight w:val="none"/>
        </w:rPr>
      </w:pPr>
      <w:r>
        <w:rPr>
          <w:rFonts w:hint="eastAsia" w:ascii="宋体" w:hAnsi="宋体" w:eastAsia="宋体" w:cs="宋体"/>
          <w:color w:val="auto"/>
          <w:sz w:val="24"/>
          <w:highlight w:val="none"/>
        </w:rPr>
        <w:t>（七）遵守有关廉洁自律规定，不得私下接触供应商，不得收受供应商及有关业务单位和个人的财物或好处，不得接受采购代理机构的请托。</w:t>
      </w:r>
    </w:p>
    <w:p>
      <w:pPr>
        <w:widowControl/>
        <w:spacing w:line="360" w:lineRule="auto"/>
        <w:jc w:val="left"/>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p>
    <w:p>
      <w:pPr>
        <w:pStyle w:val="40"/>
        <w:rPr>
          <w:rFonts w:hint="eastAsia" w:ascii="Times New Roman" w:hAnsi="Times New Roman" w:eastAsia="宋体" w:cs="Times New Roman"/>
          <w:b/>
          <w:bCs/>
          <w:color w:val="auto"/>
          <w:kern w:val="44"/>
          <w:sz w:val="44"/>
          <w:szCs w:val="44"/>
          <w:highlight w:val="none"/>
          <w:lang w:val="en-US" w:eastAsia="zh-CN" w:bidi="ar-SA"/>
        </w:rPr>
      </w:pPr>
      <w:bookmarkStart w:id="153" w:name="_Toc13716"/>
      <w:bookmarkStart w:id="154" w:name="_Toc531596539"/>
      <w:r>
        <w:rPr>
          <w:rFonts w:hint="eastAsia" w:ascii="Times New Roman" w:hAnsi="Times New Roman" w:eastAsia="宋体" w:cs="Times New Roman"/>
          <w:b/>
          <w:bCs/>
          <w:color w:val="auto"/>
          <w:kern w:val="44"/>
          <w:sz w:val="44"/>
          <w:szCs w:val="44"/>
          <w:highlight w:val="none"/>
          <w:lang w:val="en-US" w:eastAsia="zh-CN" w:bidi="ar-SA"/>
        </w:rPr>
        <w:t>第九章  政府采购合同（草案）</w:t>
      </w:r>
      <w:bookmarkEnd w:id="153"/>
      <w:bookmarkEnd w:id="154"/>
    </w:p>
    <w:p>
      <w:pPr>
        <w:spacing w:line="360" w:lineRule="auto"/>
        <w:ind w:firstLine="482" w:firstLineChars="200"/>
        <w:rPr>
          <w:rFonts w:hint="eastAsia" w:ascii="宋体" w:hAnsi="宋体" w:eastAsia="宋体" w:cs="宋体"/>
          <w:b/>
          <w:bCs/>
          <w:color w:val="auto"/>
          <w:sz w:val="24"/>
          <w:highlight w:val="none"/>
        </w:rPr>
      </w:pPr>
    </w:p>
    <w:bookmarkEnd w:id="38"/>
    <w:bookmarkEnd w:id="112"/>
    <w:bookmarkEnd w:id="113"/>
    <w:bookmarkEnd w:id="114"/>
    <w:p>
      <w:pPr>
        <w:pStyle w:val="2"/>
        <w:spacing w:line="360" w:lineRule="auto"/>
        <w:ind w:firstLine="480" w:firstLineChars="200"/>
        <w:rPr>
          <w:rFonts w:ascii="宋体" w:hAnsi="宋体" w:eastAsia="宋体" w:cs="宋体"/>
          <w:color w:val="auto"/>
          <w:sz w:val="24"/>
          <w:szCs w:val="24"/>
          <w:highlight w:val="none"/>
        </w:rPr>
      </w:pPr>
      <w:bookmarkStart w:id="155" w:name="_Hlt101846155"/>
      <w:bookmarkEnd w:id="155"/>
      <w:r>
        <w:rPr>
          <w:rFonts w:hint="eastAsia" w:ascii="宋体" w:hAnsi="宋体" w:eastAsia="宋体" w:cs="宋体"/>
          <w:color w:val="auto"/>
          <w:sz w:val="24"/>
          <w:szCs w:val="24"/>
          <w:highlight w:val="none"/>
        </w:rPr>
        <w:t>合同编号：</w:t>
      </w:r>
    </w:p>
    <w:p>
      <w:pPr>
        <w:pStyle w:val="2"/>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签订地点：                                                    </w:t>
      </w:r>
      <w:r>
        <w:rPr>
          <w:rFonts w:hint="eastAsia" w:ascii="宋体" w:hAnsi="宋体" w:eastAsia="宋体" w:cs="宋体"/>
          <w:color w:val="auto"/>
          <w:sz w:val="24"/>
          <w:szCs w:val="24"/>
          <w:highlight w:val="none"/>
        </w:rPr>
        <w:tab/>
      </w:r>
    </w:p>
    <w:p>
      <w:pPr>
        <w:pStyle w:val="2"/>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签订时间：                                                      </w:t>
      </w:r>
    </w:p>
    <w:p>
      <w:pPr>
        <w:pStyle w:val="2"/>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采购人名称(甲方)：</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p>
    <w:p>
      <w:pPr>
        <w:pStyle w:val="2"/>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成交供应商名称(乙方)：                                           </w:t>
      </w:r>
    </w:p>
    <w:p>
      <w:pPr>
        <w:pStyle w:val="2"/>
        <w:spacing w:line="360" w:lineRule="auto"/>
        <w:ind w:firstLine="480" w:firstLineChars="200"/>
        <w:rPr>
          <w:rFonts w:ascii="宋体" w:hAnsi="宋体" w:eastAsia="宋体" w:cs="宋体"/>
          <w:color w:val="auto"/>
          <w:sz w:val="24"/>
          <w:szCs w:val="24"/>
          <w:highlight w:val="none"/>
        </w:rPr>
      </w:pPr>
    </w:p>
    <w:p>
      <w:pPr>
        <w:pStyle w:val="2"/>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cs="宋体"/>
          <w:sz w:val="24"/>
          <w:szCs w:val="24"/>
          <w:highlight w:val="none"/>
          <w:lang w:eastAsia="zh-CN"/>
        </w:rPr>
        <w:t>中华人民共和国民法典</w:t>
      </w:r>
      <w:r>
        <w:rPr>
          <w:rFonts w:hint="eastAsia" w:ascii="宋体" w:hAnsi="宋体" w:eastAsia="宋体" w:cs="宋体"/>
          <w:color w:val="auto"/>
          <w:sz w:val="24"/>
          <w:szCs w:val="24"/>
          <w:highlight w:val="none"/>
        </w:rPr>
        <w:t>》、《中华人民共和国政府采购法》、《中华人民共和国政府采购法实施条例》、《政府采购货物和服务招标投标管理办法》(财政部令第 87 号)及</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(项目编号：XX)的《</w:t>
      </w: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rPr>
        <w:t>文件》、乙方的《响应文件》及《成交通知书》，甲、乙双方同意签订本合同。详细技术说明及其他有关合同项目的特定信息由合同附件予以说明，合同附件及本项目的</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响应文件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、《成交通知书》等均为本合同不可分割的部分。双方同意共同遵守如下条款：</w:t>
      </w:r>
    </w:p>
    <w:p>
      <w:pPr>
        <w:spacing w:line="360" w:lineRule="auto"/>
        <w:rPr>
          <w:rFonts w:ascii="宋体" w:hAnsi="宋体" w:cs="宋体"/>
          <w:b/>
          <w:color w:val="auto"/>
          <w:sz w:val="24"/>
          <w:highlight w:val="none"/>
        </w:rPr>
      </w:pPr>
      <w:bookmarkStart w:id="156" w:name="_Toc8446"/>
      <w:bookmarkStart w:id="157" w:name="_Toc30391_WPSOffice_Level2"/>
    </w:p>
    <w:p>
      <w:pPr>
        <w:spacing w:line="360" w:lineRule="auto"/>
        <w:rPr>
          <w:rFonts w:ascii="宋体" w:hAnsi="宋体" w:cs="宋体"/>
          <w:b/>
          <w:color w:val="auto"/>
          <w:sz w:val="24"/>
          <w:highlight w:val="none"/>
        </w:rPr>
      </w:pPr>
      <w:r>
        <w:rPr>
          <w:rFonts w:hint="eastAsia" w:ascii="宋体" w:hAnsi="宋体" w:cs="宋体"/>
          <w:b/>
          <w:color w:val="auto"/>
          <w:sz w:val="24"/>
          <w:highlight w:val="none"/>
        </w:rPr>
        <w:t>一、合同标的</w:t>
      </w:r>
      <w:bookmarkEnd w:id="156"/>
    </w:p>
    <w:tbl>
      <w:tblPr>
        <w:tblStyle w:val="43"/>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737"/>
        <w:gridCol w:w="938"/>
        <w:gridCol w:w="1350"/>
        <w:gridCol w:w="1325"/>
        <w:gridCol w:w="987"/>
        <w:gridCol w:w="1625"/>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货物品名</w:t>
            </w:r>
          </w:p>
        </w:tc>
        <w:tc>
          <w:tcPr>
            <w:tcW w:w="737"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单位</w:t>
            </w:r>
          </w:p>
        </w:tc>
        <w:tc>
          <w:tcPr>
            <w:tcW w:w="93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数量</w:t>
            </w:r>
          </w:p>
        </w:tc>
        <w:tc>
          <w:tcPr>
            <w:tcW w:w="135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单价（元）</w:t>
            </w:r>
          </w:p>
        </w:tc>
        <w:tc>
          <w:tcPr>
            <w:tcW w:w="132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规格型号</w:t>
            </w:r>
          </w:p>
        </w:tc>
        <w:tc>
          <w:tcPr>
            <w:tcW w:w="987"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品牌</w:t>
            </w:r>
          </w:p>
        </w:tc>
        <w:tc>
          <w:tcPr>
            <w:tcW w:w="162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总价（元）</w:t>
            </w:r>
          </w:p>
        </w:tc>
        <w:tc>
          <w:tcPr>
            <w:tcW w:w="126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spacing w:line="360" w:lineRule="auto"/>
              <w:rPr>
                <w:rFonts w:ascii="宋体" w:hAnsi="宋体" w:cs="宋体"/>
                <w:color w:val="auto"/>
                <w:sz w:val="24"/>
                <w:highlight w:val="none"/>
              </w:rPr>
            </w:pPr>
          </w:p>
        </w:tc>
        <w:tc>
          <w:tcPr>
            <w:tcW w:w="737" w:type="dxa"/>
          </w:tcPr>
          <w:p>
            <w:pPr>
              <w:spacing w:line="360" w:lineRule="auto"/>
              <w:rPr>
                <w:rFonts w:ascii="宋体" w:hAnsi="宋体" w:cs="宋体"/>
                <w:color w:val="auto"/>
                <w:sz w:val="24"/>
                <w:highlight w:val="none"/>
              </w:rPr>
            </w:pPr>
          </w:p>
        </w:tc>
        <w:tc>
          <w:tcPr>
            <w:tcW w:w="938" w:type="dxa"/>
          </w:tcPr>
          <w:p>
            <w:pPr>
              <w:spacing w:line="360" w:lineRule="auto"/>
              <w:rPr>
                <w:rFonts w:ascii="宋体" w:hAnsi="宋体" w:cs="宋体"/>
                <w:color w:val="auto"/>
                <w:sz w:val="24"/>
                <w:highlight w:val="none"/>
              </w:rPr>
            </w:pPr>
          </w:p>
        </w:tc>
        <w:tc>
          <w:tcPr>
            <w:tcW w:w="1350" w:type="dxa"/>
          </w:tcPr>
          <w:p>
            <w:pPr>
              <w:spacing w:line="360" w:lineRule="auto"/>
              <w:rPr>
                <w:rFonts w:ascii="宋体" w:hAnsi="宋体" w:cs="宋体"/>
                <w:color w:val="auto"/>
                <w:sz w:val="24"/>
                <w:highlight w:val="none"/>
              </w:rPr>
            </w:pPr>
          </w:p>
        </w:tc>
        <w:tc>
          <w:tcPr>
            <w:tcW w:w="1325" w:type="dxa"/>
          </w:tcPr>
          <w:p>
            <w:pPr>
              <w:spacing w:line="360" w:lineRule="auto"/>
              <w:rPr>
                <w:rFonts w:ascii="宋体" w:hAnsi="宋体" w:cs="宋体"/>
                <w:color w:val="auto"/>
                <w:sz w:val="24"/>
                <w:highlight w:val="none"/>
              </w:rPr>
            </w:pPr>
          </w:p>
        </w:tc>
        <w:tc>
          <w:tcPr>
            <w:tcW w:w="987" w:type="dxa"/>
          </w:tcPr>
          <w:p>
            <w:pPr>
              <w:spacing w:line="360" w:lineRule="auto"/>
              <w:rPr>
                <w:rFonts w:ascii="宋体" w:hAnsi="宋体" w:cs="宋体"/>
                <w:color w:val="auto"/>
                <w:sz w:val="24"/>
                <w:highlight w:val="none"/>
              </w:rPr>
            </w:pPr>
          </w:p>
        </w:tc>
        <w:tc>
          <w:tcPr>
            <w:tcW w:w="1625" w:type="dxa"/>
          </w:tcPr>
          <w:p>
            <w:pPr>
              <w:spacing w:line="360" w:lineRule="auto"/>
              <w:rPr>
                <w:rFonts w:ascii="宋体" w:hAnsi="宋体" w:cs="宋体"/>
                <w:color w:val="auto"/>
                <w:sz w:val="24"/>
                <w:highlight w:val="none"/>
              </w:rPr>
            </w:pPr>
          </w:p>
        </w:tc>
        <w:tc>
          <w:tcPr>
            <w:tcW w:w="1263"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spacing w:line="360" w:lineRule="auto"/>
              <w:rPr>
                <w:rFonts w:ascii="宋体" w:hAnsi="宋体" w:cs="宋体"/>
                <w:color w:val="auto"/>
                <w:sz w:val="24"/>
                <w:highlight w:val="none"/>
              </w:rPr>
            </w:pPr>
          </w:p>
        </w:tc>
        <w:tc>
          <w:tcPr>
            <w:tcW w:w="737" w:type="dxa"/>
          </w:tcPr>
          <w:p>
            <w:pPr>
              <w:spacing w:line="360" w:lineRule="auto"/>
              <w:rPr>
                <w:rFonts w:ascii="宋体" w:hAnsi="宋体" w:cs="宋体"/>
                <w:color w:val="auto"/>
                <w:sz w:val="24"/>
                <w:highlight w:val="none"/>
              </w:rPr>
            </w:pPr>
          </w:p>
        </w:tc>
        <w:tc>
          <w:tcPr>
            <w:tcW w:w="938" w:type="dxa"/>
          </w:tcPr>
          <w:p>
            <w:pPr>
              <w:spacing w:line="360" w:lineRule="auto"/>
              <w:rPr>
                <w:rFonts w:ascii="宋体" w:hAnsi="宋体" w:cs="宋体"/>
                <w:color w:val="auto"/>
                <w:sz w:val="24"/>
                <w:highlight w:val="none"/>
              </w:rPr>
            </w:pPr>
          </w:p>
        </w:tc>
        <w:tc>
          <w:tcPr>
            <w:tcW w:w="1350" w:type="dxa"/>
          </w:tcPr>
          <w:p>
            <w:pPr>
              <w:spacing w:line="360" w:lineRule="auto"/>
              <w:rPr>
                <w:rFonts w:ascii="宋体" w:hAnsi="宋体" w:cs="宋体"/>
                <w:color w:val="auto"/>
                <w:sz w:val="24"/>
                <w:highlight w:val="none"/>
              </w:rPr>
            </w:pPr>
          </w:p>
        </w:tc>
        <w:tc>
          <w:tcPr>
            <w:tcW w:w="1325" w:type="dxa"/>
          </w:tcPr>
          <w:p>
            <w:pPr>
              <w:spacing w:line="360" w:lineRule="auto"/>
              <w:rPr>
                <w:rFonts w:ascii="宋体" w:hAnsi="宋体" w:cs="宋体"/>
                <w:color w:val="auto"/>
                <w:sz w:val="24"/>
                <w:highlight w:val="none"/>
              </w:rPr>
            </w:pPr>
          </w:p>
        </w:tc>
        <w:tc>
          <w:tcPr>
            <w:tcW w:w="987" w:type="dxa"/>
          </w:tcPr>
          <w:p>
            <w:pPr>
              <w:spacing w:line="360" w:lineRule="auto"/>
              <w:rPr>
                <w:rFonts w:ascii="宋体" w:hAnsi="宋体" w:cs="宋体"/>
                <w:color w:val="auto"/>
                <w:sz w:val="24"/>
                <w:highlight w:val="none"/>
              </w:rPr>
            </w:pPr>
          </w:p>
        </w:tc>
        <w:tc>
          <w:tcPr>
            <w:tcW w:w="1625" w:type="dxa"/>
          </w:tcPr>
          <w:p>
            <w:pPr>
              <w:spacing w:line="360" w:lineRule="auto"/>
              <w:rPr>
                <w:rFonts w:ascii="宋体" w:hAnsi="宋体" w:cs="宋体"/>
                <w:color w:val="auto"/>
                <w:sz w:val="24"/>
                <w:highlight w:val="none"/>
              </w:rPr>
            </w:pPr>
          </w:p>
        </w:tc>
        <w:tc>
          <w:tcPr>
            <w:tcW w:w="1263"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spacing w:line="360" w:lineRule="auto"/>
              <w:rPr>
                <w:rFonts w:ascii="宋体" w:hAnsi="宋体" w:cs="宋体"/>
                <w:color w:val="auto"/>
                <w:sz w:val="24"/>
                <w:highlight w:val="none"/>
              </w:rPr>
            </w:pPr>
          </w:p>
        </w:tc>
        <w:tc>
          <w:tcPr>
            <w:tcW w:w="737" w:type="dxa"/>
          </w:tcPr>
          <w:p>
            <w:pPr>
              <w:spacing w:line="360" w:lineRule="auto"/>
              <w:rPr>
                <w:rFonts w:ascii="宋体" w:hAnsi="宋体" w:cs="宋体"/>
                <w:color w:val="auto"/>
                <w:sz w:val="24"/>
                <w:highlight w:val="none"/>
              </w:rPr>
            </w:pPr>
          </w:p>
        </w:tc>
        <w:tc>
          <w:tcPr>
            <w:tcW w:w="938" w:type="dxa"/>
          </w:tcPr>
          <w:p>
            <w:pPr>
              <w:spacing w:line="360" w:lineRule="auto"/>
              <w:rPr>
                <w:rFonts w:ascii="宋体" w:hAnsi="宋体" w:cs="宋体"/>
                <w:color w:val="auto"/>
                <w:sz w:val="24"/>
                <w:highlight w:val="none"/>
              </w:rPr>
            </w:pPr>
          </w:p>
        </w:tc>
        <w:tc>
          <w:tcPr>
            <w:tcW w:w="1350" w:type="dxa"/>
          </w:tcPr>
          <w:p>
            <w:pPr>
              <w:spacing w:line="360" w:lineRule="auto"/>
              <w:rPr>
                <w:rFonts w:ascii="宋体" w:hAnsi="宋体" w:cs="宋体"/>
                <w:color w:val="auto"/>
                <w:sz w:val="24"/>
                <w:highlight w:val="none"/>
              </w:rPr>
            </w:pPr>
          </w:p>
        </w:tc>
        <w:tc>
          <w:tcPr>
            <w:tcW w:w="1325" w:type="dxa"/>
          </w:tcPr>
          <w:p>
            <w:pPr>
              <w:spacing w:line="360" w:lineRule="auto"/>
              <w:rPr>
                <w:rFonts w:ascii="宋体" w:hAnsi="宋体" w:cs="宋体"/>
                <w:color w:val="auto"/>
                <w:sz w:val="24"/>
                <w:highlight w:val="none"/>
              </w:rPr>
            </w:pPr>
          </w:p>
        </w:tc>
        <w:tc>
          <w:tcPr>
            <w:tcW w:w="987" w:type="dxa"/>
          </w:tcPr>
          <w:p>
            <w:pPr>
              <w:spacing w:line="360" w:lineRule="auto"/>
              <w:rPr>
                <w:rFonts w:ascii="宋体" w:hAnsi="宋体" w:cs="宋体"/>
                <w:color w:val="auto"/>
                <w:sz w:val="24"/>
                <w:highlight w:val="none"/>
              </w:rPr>
            </w:pPr>
          </w:p>
        </w:tc>
        <w:tc>
          <w:tcPr>
            <w:tcW w:w="1625" w:type="dxa"/>
          </w:tcPr>
          <w:p>
            <w:pPr>
              <w:spacing w:line="360" w:lineRule="auto"/>
              <w:rPr>
                <w:rFonts w:ascii="宋体" w:hAnsi="宋体" w:cs="宋体"/>
                <w:color w:val="auto"/>
                <w:sz w:val="24"/>
                <w:highlight w:val="none"/>
              </w:rPr>
            </w:pPr>
          </w:p>
        </w:tc>
        <w:tc>
          <w:tcPr>
            <w:tcW w:w="1263" w:type="dxa"/>
          </w:tcPr>
          <w:p>
            <w:pPr>
              <w:spacing w:line="360" w:lineRule="auto"/>
              <w:rPr>
                <w:rFonts w:ascii="宋体" w:hAnsi="宋体" w:cs="宋体"/>
                <w:color w:val="auto"/>
                <w:sz w:val="24"/>
                <w:highlight w:val="none"/>
              </w:rPr>
            </w:pPr>
          </w:p>
        </w:tc>
      </w:tr>
    </w:tbl>
    <w:p>
      <w:pPr>
        <w:spacing w:line="360" w:lineRule="auto"/>
        <w:rPr>
          <w:rFonts w:ascii="宋体" w:hAnsi="宋体" w:cs="宋体"/>
          <w:color w:val="auto"/>
          <w:sz w:val="24"/>
          <w:highlight w:val="none"/>
        </w:rPr>
      </w:pPr>
    </w:p>
    <w:bookmarkEnd w:id="157"/>
    <w:p>
      <w:pPr>
        <w:spacing w:line="360" w:lineRule="auto"/>
        <w:rPr>
          <w:rFonts w:ascii="宋体" w:hAnsi="宋体" w:cs="宋体"/>
          <w:b/>
          <w:color w:val="auto"/>
          <w:sz w:val="24"/>
          <w:highlight w:val="none"/>
        </w:rPr>
      </w:pPr>
      <w:bookmarkStart w:id="158" w:name="_Toc28163"/>
      <w:bookmarkStart w:id="159" w:name="_Toc28639_WPSOffice_Level3"/>
      <w:r>
        <w:rPr>
          <w:rFonts w:hint="eastAsia" w:ascii="宋体" w:hAnsi="宋体" w:cs="宋体"/>
          <w:b/>
          <w:color w:val="auto"/>
          <w:sz w:val="24"/>
          <w:highlight w:val="none"/>
        </w:rPr>
        <w:t>二、合同价款</w:t>
      </w:r>
      <w:bookmarkEnd w:id="158"/>
    </w:p>
    <w:p>
      <w:pPr>
        <w:pStyle w:val="2"/>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合同总价为人民币大写：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元，即￥</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元；该合同总价已包括产品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spacing w:line="360" w:lineRule="auto"/>
        <w:rPr>
          <w:rFonts w:ascii="宋体" w:hAnsi="宋体" w:cs="宋体"/>
          <w:color w:val="auto"/>
          <w:sz w:val="24"/>
          <w:highlight w:val="none"/>
        </w:rPr>
      </w:pPr>
    </w:p>
    <w:bookmarkEnd w:id="159"/>
    <w:p>
      <w:pPr>
        <w:spacing w:line="360" w:lineRule="auto"/>
        <w:rPr>
          <w:rFonts w:ascii="宋体" w:hAnsi="宋体" w:cs="宋体"/>
          <w:b/>
          <w:color w:val="auto"/>
          <w:sz w:val="24"/>
          <w:highlight w:val="none"/>
        </w:rPr>
      </w:pPr>
      <w:bookmarkStart w:id="160" w:name="_Toc5531"/>
      <w:r>
        <w:rPr>
          <w:rFonts w:hint="eastAsia" w:ascii="宋体" w:hAnsi="宋体" w:cs="宋体"/>
          <w:b/>
          <w:color w:val="auto"/>
          <w:sz w:val="24"/>
          <w:highlight w:val="none"/>
        </w:rPr>
        <w:t>三、质量要求</w:t>
      </w:r>
      <w:bookmarkEnd w:id="160"/>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1.乙方须提供全新的货物(含零部件、配件等)，表面无划伤、无碰撞痕迹，且权属清楚，不得侵害他人的知识产权。</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2.货物必须符合或优于国家(行业)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标准，以及本项目采购文件的质量要求、技术指标、出厂标准。</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3.乙方须在本合同签订生效之日起 日内送交货物成品给甲方，送交货物成品必须与成交保留样品一致(涉及样品时)；每台货物上均应有产品质量检验合格标志。</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4.货物制造质量出现问题，乙方应负责三包(包修、包换、包退)，费用由乙方负担，甲方有权到产品生产厂家生产场地检查货物质量和生产进度。</w:t>
      </w:r>
    </w:p>
    <w:p>
      <w:pPr>
        <w:spacing w:line="360" w:lineRule="auto"/>
        <w:rPr>
          <w:rFonts w:ascii="宋体" w:hAnsi="宋体" w:cs="宋体"/>
          <w:b/>
          <w:color w:val="auto"/>
          <w:sz w:val="24"/>
          <w:highlight w:val="none"/>
        </w:rPr>
      </w:pPr>
      <w:bookmarkStart w:id="161" w:name="_Toc20175"/>
      <w:r>
        <w:rPr>
          <w:rFonts w:hint="eastAsia" w:ascii="宋体" w:hAnsi="宋体" w:cs="宋体"/>
          <w:b/>
          <w:color w:val="auto"/>
          <w:sz w:val="24"/>
          <w:highlight w:val="none"/>
        </w:rPr>
        <w:t>四、履行期限及地点和方式、验收</w:t>
      </w:r>
      <w:bookmarkEnd w:id="161"/>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1.履行期限和方式</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乙方交货期限为合同签订生效后的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日内，在合同签订生效之日起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天内交货到甲方指定地点，最迟应在 XX 年 XX 月 XX 日前全部完成安装、调试、试运行、最终验收合格交付使用(如由于采购人的原因造成合同延迟签订或验收的，时间顺延)。</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2.履行地点：甲方指定地点</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3.验收要求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验收由甲方组织，乙方配合进行。</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(1)货物在乙方通知安装调试完毕后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日内初步验收。初步验收合格后，进入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试用期；试用期间发生重大质量问题，修复后试用相应顺延；试用期结束后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日内完成最终验收；</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(2)验收标准：按国家有关规定以及甲方采购文件的质量要求和技术指标(满足项目采购清单中备注栏要求)、乙方的</w:t>
      </w:r>
      <w:r>
        <w:rPr>
          <w:rFonts w:hint="eastAsia" w:ascii="宋体" w:hAnsi="宋体" w:cs="宋体"/>
          <w:color w:val="auto"/>
          <w:sz w:val="24"/>
          <w:szCs w:val="24"/>
          <w:highlight w:val="none"/>
          <w:lang w:eastAsia="zh-CN"/>
        </w:rPr>
        <w:t>响应</w:t>
      </w:r>
      <w:r>
        <w:rPr>
          <w:rFonts w:hint="eastAsia" w:ascii="宋体" w:hAnsi="宋体" w:eastAsia="宋体" w:cs="宋体"/>
          <w:color w:val="auto"/>
          <w:sz w:val="24"/>
          <w:szCs w:val="24"/>
          <w:highlight w:val="none"/>
        </w:rPr>
        <w:t>文件及承诺与本合同约定标准进行验收；甲乙双方如对质量要求和技术指标的约定标准有相互抵触或异议的事项，由甲方在</w:t>
      </w:r>
      <w:r>
        <w:rPr>
          <w:rFonts w:hint="eastAsia" w:ascii="宋体" w:hAnsi="宋体" w:cs="宋体"/>
          <w:color w:val="auto"/>
          <w:sz w:val="24"/>
          <w:szCs w:val="24"/>
          <w:highlight w:val="none"/>
          <w:lang w:eastAsia="zh-CN"/>
        </w:rPr>
        <w:t>响应</w:t>
      </w:r>
      <w:r>
        <w:rPr>
          <w:rFonts w:hint="eastAsia" w:ascii="宋体" w:hAnsi="宋体" w:eastAsia="宋体" w:cs="宋体"/>
          <w:color w:val="auto"/>
          <w:sz w:val="24"/>
          <w:szCs w:val="24"/>
          <w:highlight w:val="none"/>
        </w:rPr>
        <w:t>文件中按质量要求和技术指标比较优胜的原则确定该项的约定标准进行验收；</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(4)如质量验收合格，双方签署质量验收报告。</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3.货物安装完成后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日内，甲方无故不进行验收工作并已使用货物的，视同已安装调试完成并验收合格。</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4.乙方应将所提供货物的装箱清单、配件、随机工具、用户使用手册、原厂保修卡等资料交付给甲方；乙方不能完整交付货物及本款规定的单证和工具的，必须负责补齐，否则视为未按合同约定交货。</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5.如货物经乙方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次维修仍不能达到合同约定的质量标准，甲方有权退货，并视作乙方不能交付货物而违约，甲方可依法依约追究乙方的违约责任。</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6.其他未尽事宜应严格按照《财政部关于进一步加强政府采购需求和履约验收管理的指导意见》(财库〔2016〕205 号)的要求进行验收。须符合国家有关规定、招标文件的质量要求和技术指标、供应商的</w:t>
      </w:r>
      <w:r>
        <w:rPr>
          <w:rFonts w:hint="eastAsia" w:ascii="宋体" w:hAnsi="宋体" w:cs="宋体"/>
          <w:color w:val="auto"/>
          <w:sz w:val="24"/>
          <w:szCs w:val="24"/>
          <w:highlight w:val="none"/>
          <w:lang w:eastAsia="zh-CN"/>
        </w:rPr>
        <w:t>响应</w:t>
      </w:r>
      <w:r>
        <w:rPr>
          <w:rFonts w:hint="eastAsia" w:ascii="宋体" w:hAnsi="宋体" w:eastAsia="宋体" w:cs="宋体"/>
          <w:color w:val="auto"/>
          <w:sz w:val="24"/>
          <w:szCs w:val="24"/>
          <w:highlight w:val="none"/>
        </w:rPr>
        <w:t>文件及承诺以及合同条款。</w:t>
      </w:r>
      <w:bookmarkStart w:id="162" w:name="_Toc16235"/>
    </w:p>
    <w:p>
      <w:pPr>
        <w:pStyle w:val="2"/>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五、付款方式</w:t>
      </w:r>
      <w:bookmarkEnd w:id="162"/>
      <w:bookmarkStart w:id="163" w:name="_Toc21599"/>
      <w:r>
        <w:rPr>
          <w:rFonts w:hint="eastAsia" w:ascii="宋体" w:hAnsi="宋体" w:eastAsia="宋体" w:cs="宋体"/>
          <w:b/>
          <w:color w:val="auto"/>
          <w:sz w:val="24"/>
          <w:szCs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六、售后服务</w:t>
      </w:r>
      <w:bookmarkEnd w:id="163"/>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1.质保期为验收合格后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年，质保期内出现质量问题，乙方在接到通知后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小时内响应到场，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小时内完成维修或更换，并承担修理调换的费用；如货物经乙方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次维修仍不能达到本合同约定的质量标准，视作乙方未能按时交货，甲方有权退货并追究乙方的违约责任。</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2.乙方须指派专人负责与甲方联系售后服务事宜。</w:t>
      </w:r>
    </w:p>
    <w:p>
      <w:pPr>
        <w:spacing w:line="360" w:lineRule="auto"/>
        <w:rPr>
          <w:rFonts w:ascii="宋体" w:hAnsi="宋体" w:cs="宋体"/>
          <w:b/>
          <w:color w:val="auto"/>
          <w:sz w:val="24"/>
          <w:highlight w:val="none"/>
        </w:rPr>
      </w:pPr>
      <w:bookmarkStart w:id="164" w:name="_Toc28380"/>
      <w:r>
        <w:rPr>
          <w:rFonts w:hint="eastAsia" w:ascii="宋体" w:hAnsi="宋体" w:cs="宋体"/>
          <w:b/>
          <w:color w:val="auto"/>
          <w:sz w:val="24"/>
          <w:highlight w:val="none"/>
        </w:rPr>
        <w:t>七、违约责任</w:t>
      </w:r>
      <w:bookmarkEnd w:id="164"/>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1.甲方违约责任</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(1)甲方逾期支付货款的，除应及时付足货款外，应向乙方偿付欠款总额万分之</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/天的违约金；逾期付款超过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天的，乙方有权终止合同；</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(2)甲方偿付的违约金不足以弥补乙方损失的，还应按乙方经济损失尚未弥补的部分，支付赔偿金给乙方。</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2.乙方违约责任</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(1)乙方交付的货物质量不符合合同规定的，乙方应向甲方支付合同总价的百分之</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的违约金，并须在合同规定的交货时间内更换合格的货物给甲方，否则，视作乙方不能交付货物而违约，按本条本款下述第“(2)”项规定由乙方偿付违约金给甲方。</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(2)乙方不能交付货物或逾期交付货物而违约的，除应及时交足货物外，应向甲方偿付逾期交货部分货款总额的万分之</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/天的违约金；逾期交货超过 15 天，甲方有权终止合同，乙方则应按合同总价的百分之</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的款额向甲方偿付违约金，并须全额退还甲方已经付给乙方的货款及其利息。</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(3)甲方有权将乙方货物送交送交具有法定资格条件的质量技术监督机构检测，若乙方货物经检测后检测结果认定货物质量不符合本合同规定标准的，则视为乙方没有按时交货而违约，乙方须在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天内无条件更换合格的货物，如逾期不能更换合格的货物，甲方有权终止本合同，乙方应另付合同总价的百分之</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的违约金给甲方。</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乙方保证本合同货物的权利无瑕疵，包括货物所有权及知识产权等权利无瑕疵。如任何第三方经法院(或仲裁机构)裁决有权对上述货物主张权利或国家机关依法对货物进行没收查封的，乙方除应向甲方返还已收款项外，还应另按合同总价的百分之</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向甲方支付违约金并赔偿因此给甲方造成的一切损失。</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(5)乙方偿付的违约金不足以弥补甲方损失的，还应按甲方损失尚未弥补的部分，支付赔偿金给甲方。</w:t>
      </w:r>
    </w:p>
    <w:p>
      <w:pPr>
        <w:spacing w:line="360" w:lineRule="auto"/>
        <w:rPr>
          <w:rFonts w:ascii="宋体" w:hAnsi="宋体" w:cs="宋体"/>
          <w:b/>
          <w:color w:val="auto"/>
          <w:sz w:val="24"/>
          <w:highlight w:val="none"/>
        </w:rPr>
      </w:pPr>
      <w:bookmarkStart w:id="165" w:name="_Toc10827"/>
      <w:r>
        <w:rPr>
          <w:rFonts w:hint="eastAsia" w:ascii="宋体" w:hAnsi="宋体" w:cs="宋体"/>
          <w:b/>
          <w:color w:val="auto"/>
          <w:sz w:val="24"/>
          <w:highlight w:val="none"/>
        </w:rPr>
        <w:t>八、解决争议的方法</w:t>
      </w:r>
      <w:bookmarkEnd w:id="165"/>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1、因货物的质量问题发生争议，由甲方所在地质量技术监督部门或其指定的质量鉴定机构进行质量鉴定。货物符合标准的，鉴定费由甲方承担；货物不符合质量标准的，鉴定费由乙方承担。</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2、合同履行期间,若双方发生争议，可协商或由有关部门调解解决，协商或调解不成的， 按照下列方式解决(任选一项，且只能选择一项，在选定的一项前的方框内打“√”)：</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仲裁委员会申请仲裁；□   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所在地人民法院起诉。</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3、仲裁裁决应为最终决定，并对双方具有约束力。</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4、除另有裁决外，仲裁费应由败诉方负担。</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5、在仲裁期间，除正在进行仲裁部分外，合同其他部分继续执行。</w:t>
      </w:r>
    </w:p>
    <w:p>
      <w:pPr>
        <w:spacing w:line="360" w:lineRule="auto"/>
        <w:rPr>
          <w:rFonts w:ascii="宋体" w:hAnsi="宋体" w:cs="宋体"/>
          <w:b/>
          <w:color w:val="auto"/>
          <w:sz w:val="24"/>
          <w:highlight w:val="none"/>
        </w:rPr>
      </w:pPr>
      <w:bookmarkStart w:id="166" w:name="_Toc21117"/>
      <w:r>
        <w:rPr>
          <w:rFonts w:hint="eastAsia" w:ascii="宋体" w:hAnsi="宋体" w:cs="宋体"/>
          <w:b/>
          <w:color w:val="auto"/>
          <w:sz w:val="24"/>
          <w:highlight w:val="none"/>
        </w:rPr>
        <w:t>九、合同生效及其他</w:t>
      </w:r>
      <w:bookmarkEnd w:id="166"/>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1、合同经双方法定代表人或授权委托代理人签字并加盖单位公章后生效。</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2、合同执行中涉及采购资金和采购内容修改或补充的，须经政府采购监管部门审批，并签书面补充协议报政府采购监督管理部门备案，方可作为主合同不可分割的一部分。</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3、本合同一式 XX 份，自双方签章之日起起效。甲方 XX 份，乙方 XX 份，采购代理机构 XX 份，具有同等法律效力。</w:t>
      </w:r>
    </w:p>
    <w:p>
      <w:pPr>
        <w:spacing w:line="360" w:lineRule="auto"/>
        <w:rPr>
          <w:rFonts w:ascii="宋体" w:hAnsi="宋体" w:cs="宋体"/>
          <w:b/>
          <w:color w:val="auto"/>
          <w:sz w:val="24"/>
          <w:highlight w:val="none"/>
        </w:rPr>
      </w:pPr>
      <w:bookmarkStart w:id="167" w:name="_Toc6356"/>
      <w:r>
        <w:rPr>
          <w:rFonts w:hint="eastAsia" w:ascii="宋体" w:hAnsi="宋体" w:cs="宋体"/>
          <w:b/>
          <w:color w:val="auto"/>
          <w:sz w:val="24"/>
          <w:highlight w:val="none"/>
        </w:rPr>
        <w:t>十、附件</w:t>
      </w:r>
      <w:bookmarkEnd w:id="167"/>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bookmarkStart w:id="168" w:name="_Toc4301_WPSOffice_Level3"/>
      <w:r>
        <w:rPr>
          <w:rFonts w:hint="eastAsia" w:ascii="宋体" w:hAnsi="宋体" w:eastAsia="宋体" w:cs="宋体"/>
          <w:color w:val="auto"/>
          <w:sz w:val="24"/>
          <w:szCs w:val="24"/>
          <w:highlight w:val="none"/>
        </w:rPr>
        <w:t>1、项目</w:t>
      </w:r>
      <w:r>
        <w:rPr>
          <w:rFonts w:hint="eastAsia" w:ascii="宋体" w:hAnsi="宋体" w:cs="宋体"/>
          <w:color w:val="auto"/>
          <w:sz w:val="24"/>
          <w:szCs w:val="24"/>
          <w:highlight w:val="none"/>
          <w:lang w:val="en-US" w:eastAsia="zh-CN"/>
        </w:rPr>
        <w:t>谈判</w:t>
      </w:r>
      <w:r>
        <w:rPr>
          <w:rFonts w:hint="eastAsia" w:ascii="宋体" w:hAnsi="宋体" w:eastAsia="宋体" w:cs="宋体"/>
          <w:color w:val="auto"/>
          <w:sz w:val="24"/>
          <w:szCs w:val="24"/>
          <w:highlight w:val="none"/>
        </w:rPr>
        <w:t>文件</w:t>
      </w:r>
      <w:bookmarkEnd w:id="168"/>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bookmarkStart w:id="169" w:name="_Toc22341_WPSOffice_Level3"/>
      <w:r>
        <w:rPr>
          <w:rFonts w:hint="eastAsia" w:ascii="宋体" w:hAnsi="宋体" w:eastAsia="宋体" w:cs="宋体"/>
          <w:color w:val="auto"/>
          <w:sz w:val="24"/>
          <w:szCs w:val="24"/>
          <w:highlight w:val="none"/>
        </w:rPr>
        <w:t>2、项目修改澄清文件</w:t>
      </w:r>
      <w:bookmarkEnd w:id="169"/>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bookmarkStart w:id="170" w:name="_Toc9205_WPSOffice_Level3"/>
      <w:r>
        <w:rPr>
          <w:rFonts w:hint="eastAsia" w:ascii="宋体" w:hAnsi="宋体" w:eastAsia="宋体" w:cs="宋体"/>
          <w:color w:val="auto"/>
          <w:sz w:val="24"/>
          <w:szCs w:val="24"/>
          <w:highlight w:val="none"/>
        </w:rPr>
        <w:t>3、项目</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w:t>
      </w:r>
      <w:bookmarkEnd w:id="170"/>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bookmarkStart w:id="171" w:name="_Toc10441_WPSOffice_Level3"/>
      <w:r>
        <w:rPr>
          <w:rFonts w:hint="eastAsia" w:ascii="宋体" w:hAnsi="宋体" w:eastAsia="宋体" w:cs="宋体"/>
          <w:color w:val="auto"/>
          <w:sz w:val="24"/>
          <w:szCs w:val="24"/>
          <w:highlight w:val="none"/>
        </w:rPr>
        <w:t>4、成交通知书</w:t>
      </w:r>
      <w:bookmarkEnd w:id="171"/>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color w:val="auto"/>
          <w:sz w:val="24"/>
          <w:szCs w:val="24"/>
          <w:highlight w:val="none"/>
        </w:rPr>
      </w:pPr>
      <w:bookmarkStart w:id="172" w:name="_Toc14351_WPSOffice_Level3"/>
      <w:r>
        <w:rPr>
          <w:rFonts w:hint="eastAsia" w:ascii="宋体" w:hAnsi="宋体" w:eastAsia="宋体" w:cs="宋体"/>
          <w:color w:val="auto"/>
          <w:sz w:val="24"/>
          <w:szCs w:val="24"/>
          <w:highlight w:val="none"/>
        </w:rPr>
        <w:t>5、其他</w:t>
      </w:r>
      <w:bookmarkEnd w:id="172"/>
    </w:p>
    <w:p>
      <w:pPr>
        <w:pStyle w:val="2"/>
        <w:spacing w:line="360" w:lineRule="auto"/>
        <w:ind w:firstLine="480" w:firstLineChars="200"/>
        <w:rPr>
          <w:rFonts w:hint="eastAsia" w:ascii="宋体" w:hAnsi="宋体" w:eastAsia="宋体" w:cs="宋体"/>
          <w:color w:val="auto"/>
          <w:sz w:val="24"/>
          <w:szCs w:val="24"/>
          <w:highlight w:val="none"/>
        </w:rPr>
      </w:pPr>
      <w:bookmarkStart w:id="173" w:name="甲方：___(盖章)"/>
      <w:bookmarkEnd w:id="173"/>
    </w:p>
    <w:p>
      <w:pPr>
        <w:pStyle w:val="2"/>
        <w:spacing w:line="360" w:lineRule="auto"/>
        <w:ind w:firstLine="480" w:firstLineChars="200"/>
        <w:rPr>
          <w:rFonts w:hint="eastAsia" w:ascii="宋体" w:hAnsi="宋体" w:eastAsia="宋体" w:cs="宋体"/>
          <w:color w:val="auto"/>
          <w:sz w:val="24"/>
          <w:szCs w:val="24"/>
          <w:highlight w:val="none"/>
        </w:rPr>
      </w:pPr>
    </w:p>
    <w:p>
      <w:pPr>
        <w:pStyle w:val="2"/>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(盖章)</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乙方：</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(盖章)</w:t>
      </w:r>
    </w:p>
    <w:p>
      <w:pPr>
        <w:pStyle w:val="2"/>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w:t>
      </w:r>
      <w:r>
        <w:rPr>
          <w:rFonts w:hint="eastAsia" w:ascii="宋体" w:hAnsi="宋体" w:eastAsia="宋体" w:cs="宋体"/>
          <w:color w:val="auto"/>
          <w:sz w:val="24"/>
          <w:szCs w:val="24"/>
          <w:highlight w:val="none"/>
        </w:rPr>
        <w:tab/>
      </w:r>
      <w:bookmarkStart w:id="174" w:name="法定代表人(授权代表)："/>
      <w:bookmarkEnd w:id="174"/>
      <w:r>
        <w:rPr>
          <w:rFonts w:hint="eastAsia" w:ascii="宋体" w:hAnsi="宋体" w:eastAsia="宋体" w:cs="宋体"/>
          <w:color w:val="auto"/>
          <w:sz w:val="24"/>
          <w:szCs w:val="24"/>
          <w:highlight w:val="none"/>
        </w:rPr>
        <w:t xml:space="preserve">            法定代表人(授权代表)：</w:t>
      </w:r>
    </w:p>
    <w:p>
      <w:pPr>
        <w:pStyle w:val="2"/>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地址(住所)：</w:t>
      </w:r>
      <w:r>
        <w:rPr>
          <w:rFonts w:hint="eastAsia" w:ascii="宋体" w:hAnsi="宋体" w:eastAsia="宋体" w:cs="宋体"/>
          <w:color w:val="auto"/>
          <w:sz w:val="24"/>
          <w:szCs w:val="24"/>
          <w:highlight w:val="none"/>
        </w:rPr>
        <w:tab/>
      </w:r>
      <w:bookmarkStart w:id="175" w:name="地址(住所)："/>
      <w:bookmarkEnd w:id="175"/>
      <w:r>
        <w:rPr>
          <w:rFonts w:hint="eastAsia" w:ascii="宋体" w:hAnsi="宋体" w:eastAsia="宋体" w:cs="宋体"/>
          <w:color w:val="auto"/>
          <w:sz w:val="24"/>
          <w:szCs w:val="24"/>
          <w:highlight w:val="none"/>
        </w:rPr>
        <w:t xml:space="preserve">                        地址(住所)：</w:t>
      </w:r>
    </w:p>
    <w:p>
      <w:pPr>
        <w:pStyle w:val="2"/>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rPr>
        <w:tab/>
      </w:r>
      <w:bookmarkStart w:id="176" w:name="开户银行："/>
      <w:bookmarkEnd w:id="176"/>
      <w:r>
        <w:rPr>
          <w:rFonts w:hint="eastAsia" w:ascii="宋体" w:hAnsi="宋体" w:eastAsia="宋体" w:cs="宋体"/>
          <w:color w:val="auto"/>
          <w:sz w:val="24"/>
          <w:szCs w:val="24"/>
          <w:highlight w:val="none"/>
        </w:rPr>
        <w:t xml:space="preserve">                        开户银行：</w:t>
      </w:r>
    </w:p>
    <w:p>
      <w:pPr>
        <w:pStyle w:val="2"/>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r>
        <w:rPr>
          <w:rFonts w:hint="eastAsia" w:ascii="宋体" w:hAnsi="宋体" w:eastAsia="宋体" w:cs="宋体"/>
          <w:color w:val="auto"/>
          <w:sz w:val="24"/>
          <w:szCs w:val="24"/>
          <w:highlight w:val="none"/>
        </w:rPr>
        <w:tab/>
      </w:r>
      <w:bookmarkStart w:id="177" w:name="账号："/>
      <w:bookmarkEnd w:id="177"/>
      <w:r>
        <w:rPr>
          <w:rFonts w:hint="eastAsia" w:ascii="宋体" w:hAnsi="宋体" w:eastAsia="宋体" w:cs="宋体"/>
          <w:color w:val="auto"/>
          <w:sz w:val="24"/>
          <w:szCs w:val="24"/>
          <w:highlight w:val="none"/>
        </w:rPr>
        <w:t xml:space="preserve">                              账号：</w:t>
      </w:r>
    </w:p>
    <w:p>
      <w:pPr>
        <w:pStyle w:val="2"/>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rPr>
        <w:tab/>
      </w:r>
      <w:bookmarkStart w:id="178" w:name="电话：_"/>
      <w:bookmarkEnd w:id="178"/>
      <w:r>
        <w:rPr>
          <w:rFonts w:hint="eastAsia" w:ascii="宋体" w:hAnsi="宋体" w:eastAsia="宋体" w:cs="宋体"/>
          <w:color w:val="auto"/>
          <w:sz w:val="24"/>
          <w:szCs w:val="24"/>
          <w:highlight w:val="none"/>
        </w:rPr>
        <w:t xml:space="preserve">                              电话：</w:t>
      </w:r>
    </w:p>
    <w:p>
      <w:pPr>
        <w:pStyle w:val="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签约日期：    年    月    日</w:t>
      </w:r>
      <w:r>
        <w:rPr>
          <w:rFonts w:hint="eastAsia" w:ascii="宋体" w:hAnsi="宋体" w:eastAsia="宋体" w:cs="宋体"/>
          <w:color w:val="auto"/>
          <w:sz w:val="24"/>
          <w:szCs w:val="24"/>
          <w:highlight w:val="none"/>
        </w:rPr>
        <w:tab/>
      </w:r>
      <w:bookmarkStart w:id="179" w:name="签约日期：XX年XX月XX日"/>
      <w:bookmarkEnd w:id="179"/>
      <w:r>
        <w:rPr>
          <w:rFonts w:hint="eastAsia" w:ascii="宋体" w:hAnsi="宋体" w:eastAsia="宋体" w:cs="宋体"/>
          <w:color w:val="auto"/>
          <w:sz w:val="24"/>
          <w:szCs w:val="24"/>
          <w:highlight w:val="none"/>
        </w:rPr>
        <w:t xml:space="preserve">      签约日期：    年    </w:t>
      </w:r>
      <w:bookmarkStart w:id="180" w:name="第九章_附件"/>
      <w:bookmarkEnd w:id="180"/>
      <w:r>
        <w:rPr>
          <w:rFonts w:hint="eastAsia" w:ascii="宋体" w:hAnsi="宋体" w:eastAsia="宋体" w:cs="宋体"/>
          <w:color w:val="auto"/>
          <w:sz w:val="24"/>
          <w:szCs w:val="24"/>
          <w:highlight w:val="none"/>
        </w:rPr>
        <w:t>月    日</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widowControl/>
        <w:spacing w:line="440" w:lineRule="exact"/>
        <w:rPr>
          <w:rFonts w:hint="eastAsia"/>
          <w:b/>
          <w:bCs/>
          <w:color w:val="auto"/>
          <w:highlight w:val="none"/>
        </w:rPr>
      </w:pPr>
      <w:r>
        <w:rPr>
          <w:rFonts w:hint="eastAsia" w:ascii="宋体" w:hAnsi="宋体" w:cs="宋体"/>
          <w:b/>
          <w:bCs/>
          <w:color w:val="auto"/>
          <w:sz w:val="24"/>
          <w:highlight w:val="none"/>
        </w:rPr>
        <w:t>附件一：</w:t>
      </w:r>
      <w:r>
        <w:rPr>
          <w:rFonts w:hint="eastAsia"/>
          <w:b/>
          <w:bCs/>
          <w:color w:val="auto"/>
          <w:highlight w:val="none"/>
        </w:rPr>
        <w:t>《四川省财政厅关于推进四川省政府采购供应商信用融资工作的通知》(川财采〔2018〕123号文)</w:t>
      </w:r>
    </w:p>
    <w:p>
      <w:pPr>
        <w:pStyle w:val="39"/>
        <w:wordWrap w:val="0"/>
        <w:spacing w:before="0" w:beforeAutospacing="0" w:after="0" w:afterAutospacing="0" w:line="440" w:lineRule="exact"/>
        <w:rPr>
          <w:rFonts w:hAnsi="宋体" w:cs="宋体"/>
          <w:b/>
          <w:bCs/>
          <w:color w:val="auto"/>
          <w:sz w:val="24"/>
          <w:szCs w:val="24"/>
          <w:highlight w:val="none"/>
        </w:rPr>
      </w:pPr>
      <w:r>
        <w:rPr>
          <w:rFonts w:hint="eastAsia"/>
          <w:b/>
          <w:bCs/>
          <w:color w:val="auto"/>
          <w:highlight w:val="none"/>
        </w:rPr>
        <w:t>查询链接：</w:t>
      </w:r>
      <w:r>
        <w:rPr>
          <w:rFonts w:hint="eastAsia" w:hAnsi="宋体" w:cs="宋体"/>
          <w:b/>
          <w:bCs/>
          <w:color w:val="auto"/>
          <w:sz w:val="24"/>
          <w:szCs w:val="24"/>
          <w:highlight w:val="none"/>
        </w:rPr>
        <w:t>http://www.ccgp-sichuan.gov.cn/view/staticpags/sjzcfg/40288687657ff75501672fd954532414.html</w:t>
      </w:r>
    </w:p>
    <w:p>
      <w:pPr>
        <w:widowControl/>
        <w:spacing w:line="440" w:lineRule="exact"/>
        <w:rPr>
          <w:color w:val="auto"/>
          <w:highlight w:val="none"/>
        </w:rPr>
      </w:pPr>
    </w:p>
    <w:p>
      <w:pPr>
        <w:widowControl/>
        <w:spacing w:line="240" w:lineRule="auto"/>
        <w:jc w:val="center"/>
        <w:rPr>
          <w:rFonts w:hint="eastAsia" w:ascii="宋体" w:hAnsi="宋体" w:cs="宋体"/>
          <w:color w:val="auto"/>
          <w:sz w:val="24"/>
          <w:highlight w:val="none"/>
        </w:rPr>
      </w:pPr>
      <w:r>
        <w:rPr>
          <w:rFonts w:hint="eastAsia" w:ascii="宋体" w:hAnsi="宋体" w:cs="宋体"/>
          <w:color w:val="auto"/>
          <w:sz w:val="24"/>
          <w:highlight w:val="none"/>
        </w:rPr>
        <w:drawing>
          <wp:inline distT="0" distB="0" distL="114300" distR="114300">
            <wp:extent cx="5302250" cy="1859915"/>
            <wp:effectExtent l="0" t="0" r="12700" b="6985"/>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17"/>
                    <a:stretch>
                      <a:fillRect/>
                    </a:stretch>
                  </pic:blipFill>
                  <pic:spPr>
                    <a:xfrm>
                      <a:off x="0" y="0"/>
                      <a:ext cx="5302250" cy="1859915"/>
                    </a:xfrm>
                    <a:prstGeom prst="rect">
                      <a:avLst/>
                    </a:prstGeom>
                    <a:noFill/>
                    <a:ln>
                      <a:noFill/>
                    </a:ln>
                  </pic:spPr>
                </pic:pic>
              </a:graphicData>
            </a:graphic>
          </wp:inline>
        </w:drawing>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各市（州）、扩权县（市）财政局，各省直机关、事业单位、团体组织，各金融机构，各采购代理机构，各政府采购供应商：</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一、融资概念</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二、基本原则</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（一）财政引导，市场运行</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（二）建立机制，服务银企</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（三）优质优惠，加强扶持</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三、基本条件</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（一）银行暨“政采贷”金融产品</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1、征集。</w:t>
      </w:r>
      <w:r>
        <w:rPr>
          <w:rFonts w:hint="eastAsia" w:hAnsi="宋体" w:cs="宋体"/>
          <w:color w:val="auto"/>
          <w:sz w:val="24"/>
          <w:szCs w:val="24"/>
          <w:highlight w:val="none"/>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银行提供的“政采贷”产品应当满足“无抵押担保、程序简便、利率优惠、放款及时”的基本条件以及本通知其他相关规定。</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银行申请材料中应当载明其自愿提供“政采贷”产品，自担风险，不得要求或者变相要求财政部门和采购人为其提供风险担保、承诺。</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2、公示。</w:t>
      </w:r>
      <w:r>
        <w:rPr>
          <w:rFonts w:hint="eastAsia" w:hAnsi="宋体" w:cs="宋体"/>
          <w:color w:val="auto"/>
          <w:sz w:val="24"/>
          <w:szCs w:val="24"/>
          <w:highlight w:val="none"/>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（二）供应商</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政府采购供应商向银行申请“政采贷”，应当满足下列基本条件：</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1、</w:t>
      </w:r>
      <w:r>
        <w:rPr>
          <w:rFonts w:hint="eastAsia" w:hAnsi="宋体" w:cs="宋体"/>
          <w:color w:val="auto"/>
          <w:sz w:val="24"/>
          <w:szCs w:val="24"/>
          <w:highlight w:val="none"/>
        </w:rPr>
        <w:t>具有依法承担民事责任的能力；</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2、</w:t>
      </w:r>
      <w:r>
        <w:rPr>
          <w:rFonts w:hint="eastAsia" w:hAnsi="宋体" w:cs="宋体"/>
          <w:color w:val="auto"/>
          <w:sz w:val="24"/>
          <w:szCs w:val="24"/>
          <w:highlight w:val="none"/>
        </w:rPr>
        <w:t>具有依法履行政府采购合同的能力；</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3、</w:t>
      </w:r>
      <w:r>
        <w:rPr>
          <w:rFonts w:hint="eastAsia" w:hAnsi="宋体" w:cs="宋体"/>
          <w:color w:val="auto"/>
          <w:sz w:val="24"/>
          <w:szCs w:val="24"/>
          <w:highlight w:val="none"/>
        </w:rPr>
        <w:t>参加的政府采购活动未被财政部门依法暂停、责令重新开展或者认定中标、成交无效；</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4、</w:t>
      </w:r>
      <w:r>
        <w:rPr>
          <w:rFonts w:hint="eastAsia" w:hAnsi="宋体" w:cs="宋体"/>
          <w:color w:val="auto"/>
          <w:sz w:val="24"/>
          <w:szCs w:val="24"/>
          <w:highlight w:val="none"/>
        </w:rPr>
        <w:t>无《政府采购法》第二十二条第一款第（五）项所称的重大违法记录；</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5、</w:t>
      </w:r>
      <w:r>
        <w:rPr>
          <w:rFonts w:hint="eastAsia" w:hAnsi="宋体" w:cs="宋体"/>
          <w:color w:val="auto"/>
          <w:sz w:val="24"/>
          <w:szCs w:val="24"/>
          <w:highlight w:val="none"/>
        </w:rPr>
        <w:t>未被法院、市场监管、税务、银行等部门单位纳入失信名单且在有效期内；</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6、</w:t>
      </w:r>
      <w:r>
        <w:rPr>
          <w:rFonts w:hint="eastAsia" w:hAnsi="宋体" w:cs="宋体"/>
          <w:color w:val="auto"/>
          <w:sz w:val="24"/>
          <w:szCs w:val="24"/>
          <w:highlight w:val="none"/>
        </w:rPr>
        <w:t>在一定期限内的（银行可以具体确定）政府采购合同履约过程中或者其他经营活动履约过程中，无不依法履约被有关行政部门行政处罚的或者产生法律纠纷被法院、仲裁机构判决、裁决败诉的；</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7、</w:t>
      </w:r>
      <w:r>
        <w:rPr>
          <w:rFonts w:hint="eastAsia" w:hAnsi="宋体" w:cs="宋体"/>
          <w:color w:val="auto"/>
          <w:sz w:val="24"/>
          <w:szCs w:val="24"/>
          <w:highlight w:val="none"/>
        </w:rPr>
        <w:t>其他银行要求的不属于提供财产抵押或第三方担保的条件。</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四、构建平台</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四川省财政厅将在四川政府采购网统一构建四川省“政采贷”信息化服务平台，推进四川省“政采贷”工作信息化建设。</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五、财金互动</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六、基本流程</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（一）意向申请</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39"/>
        <w:spacing w:before="0" w:beforeAutospacing="0" w:after="0" w:afterAutospacing="0" w:line="360" w:lineRule="auto"/>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（二）正式申请</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（三）贷款审查</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（四）信息报送</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（五）资金支付</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政府采购资金支付过程中，银行需要查询采购资金支付进程有关信息的，财政部门和采购人应当支持。</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七、职责要求</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（一）</w:t>
      </w:r>
      <w:r>
        <w:rPr>
          <w:rFonts w:hint="eastAsia" w:hAnsi="宋体" w:cs="宋体"/>
          <w:color w:val="auto"/>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（二）</w:t>
      </w:r>
      <w:r>
        <w:rPr>
          <w:rFonts w:hint="eastAsia" w:hAnsi="宋体" w:cs="宋体"/>
          <w:color w:val="auto"/>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（三）</w:t>
      </w:r>
      <w:r>
        <w:rPr>
          <w:rFonts w:hint="eastAsia" w:hAnsi="宋体" w:cs="宋体"/>
          <w:color w:val="auto"/>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（四）</w:t>
      </w:r>
      <w:r>
        <w:rPr>
          <w:rFonts w:hint="eastAsia" w:hAnsi="宋体" w:cs="宋体"/>
          <w:color w:val="auto"/>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（五）</w:t>
      </w:r>
      <w:r>
        <w:rPr>
          <w:rFonts w:hint="eastAsia" w:hAnsi="宋体" w:cs="宋体"/>
          <w:color w:val="auto"/>
          <w:sz w:val="24"/>
          <w:szCs w:val="24"/>
          <w:highlight w:val="none"/>
        </w:rPr>
        <w:t>供应商应当依法参加政府采购活动，公平竞争，诚实守信，严格按照政府采购合同履约，严格按照借款合同偿还债务。</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（六）</w:t>
      </w:r>
      <w:r>
        <w:rPr>
          <w:rFonts w:hint="eastAsia" w:hAnsi="宋体" w:cs="宋体"/>
          <w:color w:val="auto"/>
          <w:sz w:val="24"/>
          <w:szCs w:val="24"/>
          <w:highlight w:val="none"/>
        </w:rPr>
        <w:t>财政部门、采购人、采购代理机构及其他有关单位和个人不得违规干预供应商选择“政采贷”银行及其产品，也不得违规干预银行向供应商进行贷款。</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（七）</w:t>
      </w:r>
      <w:r>
        <w:rPr>
          <w:rFonts w:hint="eastAsia" w:hAnsi="宋体" w:cs="宋体"/>
          <w:color w:val="auto"/>
          <w:sz w:val="24"/>
          <w:szCs w:val="24"/>
          <w:highlight w:val="none"/>
        </w:rPr>
        <w:t>相关单位和个人在开展“政采贷”工作过程中，发现新问题、新情况或者有意见建议的，请及时向四川省财政厅反馈。</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八、违规处理</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（一）银行违规处理</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（二）供应商违规处理</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39"/>
        <w:spacing w:before="0" w:beforeAutospacing="0" w:after="0" w:afterAutospacing="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（三）其他违规处理</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39"/>
        <w:spacing w:before="0" w:beforeAutospacing="0" w:after="0" w:afterAutospacing="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 附件：四川省“政采贷”信息统计表</w:t>
      </w:r>
    </w:p>
    <w:p>
      <w:pPr>
        <w:widowControl/>
        <w:spacing w:line="440" w:lineRule="exact"/>
        <w:rPr>
          <w:rFonts w:ascii="宋体" w:hAnsi="宋体" w:cs="宋体"/>
          <w:b/>
          <w:bCs/>
          <w:color w:val="auto"/>
          <w:sz w:val="24"/>
          <w:highlight w:val="none"/>
        </w:rPr>
      </w:pPr>
      <w:r>
        <w:rPr>
          <w:rFonts w:hint="eastAsia" w:ascii="宋体" w:hAnsi="宋体" w:cs="宋体"/>
          <w:color w:val="auto"/>
          <w:kern w:val="0"/>
          <w:sz w:val="24"/>
          <w:highlight w:val="none"/>
          <w:lang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446405</wp:posOffset>
            </wp:positionV>
            <wp:extent cx="1771650" cy="1781175"/>
            <wp:effectExtent l="0" t="0" r="0" b="9525"/>
            <wp:wrapSquare wrapText="bothSides"/>
            <wp:docPr id="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6"/>
                    <pic:cNvPicPr>
                      <a:picLocks noChangeAspect="1"/>
                    </pic:cNvPicPr>
                  </pic:nvPicPr>
                  <pic:blipFill>
                    <a:blip r:embed="rId18"/>
                    <a:stretch>
                      <a:fillRect/>
                    </a:stretch>
                  </pic:blipFill>
                  <pic:spPr>
                    <a:xfrm>
                      <a:off x="0" y="0"/>
                      <a:ext cx="1771650" cy="1781175"/>
                    </a:xfrm>
                    <a:prstGeom prst="rect">
                      <a:avLst/>
                    </a:prstGeom>
                    <a:noFill/>
                    <a:ln>
                      <a:noFill/>
                    </a:ln>
                  </pic:spPr>
                </pic:pic>
              </a:graphicData>
            </a:graphic>
          </wp:anchor>
        </w:drawing>
      </w:r>
      <w:r>
        <w:rPr>
          <w:rFonts w:hint="eastAsia" w:ascii="宋体" w:hAnsi="宋体" w:cs="宋体"/>
          <w:color w:val="auto"/>
          <w:sz w:val="24"/>
          <w:highlight w:val="none"/>
        </w:rPr>
        <w:br w:type="page"/>
      </w:r>
      <w:r>
        <w:rPr>
          <w:rFonts w:hint="eastAsia" w:ascii="宋体" w:hAnsi="宋体" w:cs="宋体"/>
          <w:b/>
          <w:bCs/>
          <w:color w:val="auto"/>
          <w:sz w:val="24"/>
          <w:highlight w:val="none"/>
        </w:rPr>
        <w:t>附件二：成都市财政局  中国人民银行成都分行营业管理部关于印发《成都市中小企业政府采购信用融资暂行办法》和《成都市级支持中小企业政府采购信用融资实施方案》的通知（成财采〔2019〕17号）</w:t>
      </w:r>
    </w:p>
    <w:p>
      <w:pPr>
        <w:widowControl/>
        <w:wordWrap w:val="0"/>
        <w:spacing w:line="440" w:lineRule="exact"/>
        <w:rPr>
          <w:rFonts w:ascii="宋体" w:hAnsi="宋体" w:cs="宋体"/>
          <w:b/>
          <w:bCs/>
          <w:color w:val="auto"/>
          <w:sz w:val="24"/>
          <w:highlight w:val="none"/>
        </w:rPr>
      </w:pPr>
      <w:r>
        <w:rPr>
          <w:rFonts w:hint="eastAsia" w:ascii="宋体" w:hAnsi="宋体" w:cs="宋体"/>
          <w:b/>
          <w:bCs/>
          <w:color w:val="auto"/>
          <w:sz w:val="24"/>
          <w:highlight w:val="none"/>
        </w:rPr>
        <w:t>查询链接：</w:t>
      </w:r>
      <w:r>
        <w:rPr>
          <w:color w:val="auto"/>
          <w:highlight w:val="none"/>
        </w:rPr>
        <w:fldChar w:fldCharType="begin"/>
      </w:r>
      <w:r>
        <w:rPr>
          <w:color w:val="auto"/>
          <w:highlight w:val="none"/>
        </w:rPr>
        <w:instrText xml:space="preserve"> HYPERLINK "http://cdcz.chengdu.gov.cn/cdsczj/c116726/2019-03/13/content_7d81ae9c2a1e48968c7839a9c5b88ccd.shtml" </w:instrText>
      </w:r>
      <w:r>
        <w:rPr>
          <w:color w:val="auto"/>
          <w:highlight w:val="none"/>
        </w:rPr>
        <w:fldChar w:fldCharType="separate"/>
      </w:r>
      <w:r>
        <w:rPr>
          <w:rStyle w:val="52"/>
          <w:rFonts w:hint="eastAsia" w:ascii="宋体" w:hAnsi="宋体" w:cs="宋体"/>
          <w:b/>
          <w:bCs/>
          <w:color w:val="auto"/>
          <w:sz w:val="24"/>
          <w:highlight w:val="none"/>
        </w:rPr>
        <w:t>http://cdcz.chengdu.gov.cn/cdsczj/c116726/2019-03/13/content_7d81ae9c2a1e48968c7839a9c5b88ccd.shtml</w:t>
      </w:r>
      <w:r>
        <w:rPr>
          <w:rFonts w:hint="eastAsia" w:ascii="宋体" w:hAnsi="宋体" w:cs="宋体"/>
          <w:b/>
          <w:bCs/>
          <w:color w:val="auto"/>
          <w:sz w:val="24"/>
          <w:highlight w:val="none"/>
        </w:rPr>
        <w:fldChar w:fldCharType="end"/>
      </w:r>
    </w:p>
    <w:p>
      <w:pPr>
        <w:widowControl/>
        <w:wordWrap w:val="0"/>
        <w:spacing w:line="440" w:lineRule="exact"/>
        <w:rPr>
          <w:rFonts w:ascii="宋体" w:hAnsi="宋体" w:cs="宋体"/>
          <w:b/>
          <w:bCs/>
          <w:color w:val="auto"/>
          <w:sz w:val="24"/>
          <w:highlight w:val="none"/>
        </w:rPr>
      </w:pPr>
    </w:p>
    <w:tbl>
      <w:tblPr>
        <w:tblStyle w:val="43"/>
        <w:tblW w:w="0" w:type="auto"/>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snapToGrid w:val="0"/>
              <w:jc w:val="distribute"/>
              <w:rPr>
                <w:rFonts w:eastAsia="方正小标宋简体"/>
                <w:color w:val="auto"/>
                <w:sz w:val="66"/>
                <w:szCs w:val="66"/>
                <w:highlight w:val="none"/>
              </w:rPr>
            </w:pPr>
            <w:r>
              <w:rPr>
                <w:rFonts w:hint="eastAsia" w:eastAsia="方正小标宋简体"/>
                <w:color w:val="auto"/>
                <w:sz w:val="66"/>
                <w:szCs w:val="66"/>
                <w:highlight w:val="none"/>
              </w:rPr>
              <w:t>成都市财政局</w:t>
            </w:r>
          </w:p>
        </w:tc>
        <w:tc>
          <w:tcPr>
            <w:tcW w:w="1580" w:type="dxa"/>
            <w:vMerge w:val="restart"/>
            <w:noWrap w:val="0"/>
            <w:vAlign w:val="center"/>
          </w:tcPr>
          <w:p>
            <w:pPr>
              <w:snapToGrid w:val="0"/>
              <w:jc w:val="center"/>
              <w:rPr>
                <w:rFonts w:eastAsia="方正小标宋简体"/>
                <w:color w:val="auto"/>
                <w:sz w:val="66"/>
                <w:szCs w:val="66"/>
                <w:highlight w:val="none"/>
              </w:rPr>
            </w:pPr>
            <w:r>
              <w:rPr>
                <w:rFonts w:hint="eastAsia" w:eastAsia="方正小标宋简体"/>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snapToGrid w:val="0"/>
              <w:jc w:val="distribute"/>
              <w:rPr>
                <w:rFonts w:eastAsia="方正小标宋简体"/>
                <w:color w:val="auto"/>
                <w:spacing w:val="-20"/>
                <w:w w:val="82"/>
                <w:sz w:val="62"/>
                <w:szCs w:val="62"/>
                <w:highlight w:val="none"/>
              </w:rPr>
            </w:pPr>
            <w:r>
              <w:rPr>
                <w:rFonts w:hint="eastAsia" w:eastAsia="方正小标宋简体"/>
                <w:color w:val="auto"/>
                <w:spacing w:val="-20"/>
                <w:w w:val="82"/>
                <w:sz w:val="62"/>
                <w:szCs w:val="62"/>
                <w:highlight w:val="none"/>
              </w:rPr>
              <w:t>中国人民银行成都分行营业管理部</w:t>
            </w:r>
          </w:p>
        </w:tc>
        <w:tc>
          <w:tcPr>
            <w:tcW w:w="1580" w:type="dxa"/>
            <w:vMerge w:val="continue"/>
            <w:noWrap w:val="0"/>
            <w:vAlign w:val="center"/>
          </w:tcPr>
          <w:p>
            <w:pPr>
              <w:snapToGrid w:val="0"/>
              <w:jc w:val="center"/>
              <w:rPr>
                <w:rFonts w:eastAsia="方正小标宋简体"/>
                <w:color w:val="auto"/>
                <w:sz w:val="66"/>
                <w:szCs w:val="66"/>
                <w:highlight w:val="none"/>
              </w:rPr>
            </w:pPr>
          </w:p>
        </w:tc>
      </w:tr>
    </w:tbl>
    <w:p>
      <w:pPr>
        <w:snapToGrid w:val="0"/>
        <w:jc w:val="center"/>
        <w:rPr>
          <w:rFonts w:eastAsia="方正仿宋_GBK"/>
          <w:color w:val="auto"/>
          <w:highlight w:val="none"/>
        </w:rPr>
      </w:pPr>
    </w:p>
    <w:p>
      <w:pPr>
        <w:jc w:val="center"/>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1270" b="9525"/>
                <wp:wrapNone/>
                <wp:docPr id="39" name="直接连接符 3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O/uPvWAAAABgEAAA8AAAAAAAAAAQAgAAAAIgAAAGRycy9kb3ducmV2LnhtbFBLAQIU&#10;ABQAAAAIAIdO4kDGCiK59QEAAOkDAAAOAAAAAAAAAAEAIAAAACUBAABkcnMvZTJvRG9jLnhtbFBL&#10;BQYAAAAABgAGAFkBAACMBQAAAAA=&#10;">
                <v:fill on="f" focussize="0,0"/>
                <v:stroke weight="1.5pt" color="#FF0000" joinstyle="round"/>
                <v:imagedata o:title=""/>
                <o:lock v:ext="edit" aspectratio="f"/>
              </v:line>
            </w:pict>
          </mc:Fallback>
        </mc:AlternateContent>
      </w:r>
      <w:r>
        <w:rPr>
          <w:rFonts w:eastAsia="方正仿宋_GBK"/>
          <w:color w:val="auto"/>
          <w:highlight w:val="none"/>
        </w:rPr>
        <w:t>成财</w:t>
      </w:r>
      <w:r>
        <w:rPr>
          <w:rFonts w:hint="eastAsia" w:eastAsia="方正仿宋_GBK"/>
          <w:color w:val="auto"/>
          <w:highlight w:val="none"/>
        </w:rPr>
        <w:t>采</w:t>
      </w:r>
      <w:r>
        <w:rPr>
          <w:rFonts w:eastAsia="方正仿宋_GBK"/>
          <w:color w:val="auto"/>
          <w:highlight w:val="none"/>
        </w:rPr>
        <w:t>〔201</w:t>
      </w:r>
      <w:r>
        <w:rPr>
          <w:rFonts w:hint="eastAsia" w:eastAsia="方正仿宋_GBK"/>
          <w:color w:val="auto"/>
          <w:highlight w:val="none"/>
        </w:rPr>
        <w:t>9</w:t>
      </w:r>
      <w:r>
        <w:rPr>
          <w:rFonts w:eastAsia="方正仿宋_GBK"/>
          <w:color w:val="auto"/>
          <w:highlight w:val="none"/>
        </w:rPr>
        <w:t>〕</w:t>
      </w:r>
      <w:r>
        <w:rPr>
          <w:rFonts w:hint="eastAsia" w:eastAsia="方正仿宋_GBK"/>
          <w:color w:val="auto"/>
          <w:highlight w:val="none"/>
        </w:rPr>
        <w:t>17</w:t>
      </w:r>
      <w:r>
        <w:rPr>
          <w:rFonts w:eastAsia="方正仿宋_GBK"/>
          <w:color w:val="auto"/>
          <w:highlight w:val="none"/>
        </w:rPr>
        <w:t>号</w:t>
      </w:r>
    </w:p>
    <w:p>
      <w:pPr>
        <w:topLinePunct/>
        <w:jc w:val="center"/>
        <w:rPr>
          <w:rFonts w:ascii="方正小标宋_GBK" w:hAnsi="方正小标宋_GBK" w:eastAsia="方正小标宋_GBK"/>
          <w:color w:val="auto"/>
          <w:highlight w:val="none"/>
        </w:rPr>
      </w:pPr>
    </w:p>
    <w:p>
      <w:pPr>
        <w:topLinePunct/>
        <w:snapToGrid w:val="0"/>
        <w:jc w:val="center"/>
        <w:rPr>
          <w:rFonts w:ascii="方正小标宋_GBK" w:hAnsi="方正小标宋_GBK" w:eastAsia="方正小标宋_GBK"/>
          <w:color w:val="auto"/>
          <w:spacing w:val="-18"/>
          <w:sz w:val="44"/>
          <w:szCs w:val="44"/>
          <w:highlight w:val="none"/>
        </w:rPr>
      </w:pPr>
      <w:r>
        <w:rPr>
          <w:rFonts w:hint="eastAsia" w:ascii="方正小标宋_GBK" w:hAnsi="方正小标宋_GBK" w:eastAsia="方正小标宋_GBK"/>
          <w:color w:val="auto"/>
          <w:spacing w:val="-18"/>
          <w:sz w:val="44"/>
          <w:szCs w:val="44"/>
          <w:highlight w:val="none"/>
        </w:rPr>
        <w:t>成都市财政局  中国人民银行成都分行营业管理部</w:t>
      </w:r>
    </w:p>
    <w:p>
      <w:pPr>
        <w:topLinePunct/>
        <w:snapToGrid w:val="0"/>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关于印发《成都市中小企业政府采购信用融资</w:t>
      </w:r>
    </w:p>
    <w:p>
      <w:pPr>
        <w:topLinePunct/>
        <w:snapToGrid w:val="0"/>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暂行办法》和《成都市级支持中小企业</w:t>
      </w:r>
    </w:p>
    <w:p>
      <w:pPr>
        <w:topLinePunct/>
        <w:snapToGrid w:val="0"/>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政府采购信用融资实施方案》的通知</w:t>
      </w:r>
    </w:p>
    <w:p>
      <w:pPr>
        <w:jc w:val="center"/>
        <w:rPr>
          <w:rFonts w:eastAsia="方正仿宋_GBK"/>
          <w:color w:val="auto"/>
          <w:highlight w:val="none"/>
        </w:rPr>
      </w:pPr>
    </w:p>
    <w:p>
      <w:pPr>
        <w:widowControl/>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成都天府新区、高新区财政金融局，各区（市）县财政局，市级各部门、单位，各银行业金融机构：</w:t>
      </w:r>
    </w:p>
    <w:p>
      <w:pPr>
        <w:widowControl/>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一、高度重视、迅速行动</w:t>
      </w:r>
    </w:p>
    <w:p>
      <w:pPr>
        <w:widowControl/>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二、明确责任、压茬推进</w:t>
      </w:r>
    </w:p>
    <w:p>
      <w:pPr>
        <w:widowControl/>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三、优化服务、营造氛围</w:t>
      </w:r>
    </w:p>
    <w:p>
      <w:pPr>
        <w:widowControl/>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spacing w:line="440" w:lineRule="exact"/>
        <w:ind w:firstLine="480" w:firstLineChars="200"/>
        <w:rPr>
          <w:rFonts w:ascii="宋体" w:hAnsi="宋体" w:cs="宋体"/>
          <w:color w:val="auto"/>
          <w:sz w:val="24"/>
          <w:highlight w:val="none"/>
        </w:rPr>
      </w:pPr>
    </w:p>
    <w:p>
      <w:pPr>
        <w:widowControl/>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附件：1．成都市中小企业政府采购信用融资暂行办法 </w:t>
      </w:r>
    </w:p>
    <w:p>
      <w:pPr>
        <w:widowControl/>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2．成都市级支持中小企业政府采购信用融资实施方案</w:t>
      </w:r>
    </w:p>
    <w:p>
      <w:pPr>
        <w:pStyle w:val="21"/>
        <w:widowControl/>
        <w:topLinePunct/>
        <w:spacing w:line="440" w:lineRule="exact"/>
        <w:ind w:firstLine="0"/>
        <w:rPr>
          <w:rFonts w:ascii="宋体" w:hAnsi="宋体" w:cs="宋体"/>
          <w:color w:val="auto"/>
          <w:sz w:val="24"/>
          <w:szCs w:val="24"/>
          <w:highlight w:val="none"/>
        </w:rPr>
      </w:pPr>
    </w:p>
    <w:p>
      <w:pPr>
        <w:pStyle w:val="21"/>
        <w:widowControl/>
        <w:topLinePunct/>
        <w:spacing w:line="440" w:lineRule="exact"/>
        <w:ind w:firstLine="480" w:firstLineChars="200"/>
        <w:rPr>
          <w:rFonts w:ascii="宋体" w:hAnsi="宋体" w:cs="宋体"/>
          <w:color w:val="auto"/>
          <w:sz w:val="24"/>
          <w:szCs w:val="24"/>
          <w:highlight w:val="none"/>
        </w:rPr>
      </w:pPr>
    </w:p>
    <w:p>
      <w:pPr>
        <w:widowControl/>
        <w:tabs>
          <w:tab w:val="left" w:pos="7584"/>
        </w:tabs>
        <w:topLinePunct/>
        <w:spacing w:line="440" w:lineRule="exact"/>
        <w:ind w:firstLine="480" w:firstLineChars="200"/>
        <w:jc w:val="right"/>
        <w:rPr>
          <w:rFonts w:ascii="宋体" w:hAnsi="宋体" w:cs="宋体"/>
          <w:color w:val="auto"/>
          <w:sz w:val="24"/>
          <w:highlight w:val="none"/>
        </w:rPr>
      </w:pPr>
      <w:r>
        <w:rPr>
          <w:rFonts w:hint="eastAsia" w:ascii="宋体" w:hAnsi="宋体" w:cs="宋体"/>
          <w:color w:val="auto"/>
          <w:sz w:val="24"/>
          <w:highlight w:val="none"/>
        </w:rPr>
        <w:t>成都市财政局         中国人民银行成都分行营业管理部</w:t>
      </w:r>
    </w:p>
    <w:p>
      <w:pPr>
        <w:widowControl/>
        <w:tabs>
          <w:tab w:val="left" w:pos="7584"/>
        </w:tabs>
        <w:topLinePunct/>
        <w:spacing w:line="440" w:lineRule="exact"/>
        <w:ind w:firstLine="480" w:firstLineChars="200"/>
        <w:jc w:val="right"/>
        <w:rPr>
          <w:rFonts w:ascii="宋体" w:hAnsi="宋体" w:cs="宋体"/>
          <w:color w:val="auto"/>
          <w:sz w:val="24"/>
          <w:highlight w:val="none"/>
        </w:rPr>
      </w:pPr>
      <w:r>
        <w:rPr>
          <w:rFonts w:hint="eastAsia" w:ascii="宋体" w:hAnsi="宋体" w:cs="宋体"/>
          <w:color w:val="auto"/>
          <w:sz w:val="24"/>
          <w:highlight w:val="none"/>
        </w:rPr>
        <w:t>2019年2月26日</w:t>
      </w:r>
    </w:p>
    <w:p>
      <w:pPr>
        <w:rPr>
          <w:rFonts w:ascii="宋体" w:hAnsi="宋体" w:cs="宋体"/>
          <w:color w:val="auto"/>
          <w:sz w:val="24"/>
          <w:highlight w:val="none"/>
        </w:rPr>
      </w:pPr>
      <w:r>
        <w:rPr>
          <w:rFonts w:hint="eastAsia" w:ascii="宋体" w:hAnsi="宋体" w:cs="宋体"/>
          <w:color w:val="auto"/>
          <w:sz w:val="24"/>
          <w:highlight w:val="none"/>
        </w:rPr>
        <w:br w:type="page"/>
      </w:r>
    </w:p>
    <w:p>
      <w:pPr>
        <w:topLinePunct/>
        <w:spacing w:line="440" w:lineRule="exact"/>
        <w:rPr>
          <w:rFonts w:ascii="宋体" w:hAnsi="宋体" w:cs="宋体"/>
          <w:color w:val="auto"/>
          <w:sz w:val="24"/>
          <w:highlight w:val="none"/>
        </w:rPr>
      </w:pPr>
      <w:r>
        <w:rPr>
          <w:rFonts w:hint="eastAsia" w:ascii="宋体" w:hAnsi="宋体" w:cs="宋体"/>
          <w:color w:val="auto"/>
          <w:sz w:val="24"/>
          <w:highlight w:val="none"/>
        </w:rPr>
        <w:t>附件1</w:t>
      </w:r>
    </w:p>
    <w:p>
      <w:pPr>
        <w:topLinePunct/>
        <w:spacing w:line="440" w:lineRule="exact"/>
        <w:rPr>
          <w:rFonts w:ascii="宋体" w:hAnsi="宋体" w:cs="宋体"/>
          <w:color w:val="auto"/>
          <w:sz w:val="24"/>
          <w:highlight w:val="none"/>
        </w:rPr>
      </w:pPr>
    </w:p>
    <w:p>
      <w:pPr>
        <w:topLinePunct/>
        <w:snapToGrid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成都市中小企业政府采购信用融资暂行办法</w:t>
      </w:r>
    </w:p>
    <w:p>
      <w:pPr>
        <w:topLinePunct/>
        <w:spacing w:line="440" w:lineRule="exact"/>
        <w:jc w:val="center"/>
        <w:rPr>
          <w:rFonts w:ascii="宋体" w:hAnsi="宋体" w:cs="宋体"/>
          <w:color w:val="auto"/>
          <w:sz w:val="24"/>
          <w:highlight w:val="none"/>
        </w:rPr>
      </w:pPr>
      <w:r>
        <w:rPr>
          <w:rFonts w:hint="eastAsia" w:ascii="宋体" w:hAnsi="宋体" w:cs="宋体"/>
          <w:color w:val="auto"/>
          <w:sz w:val="24"/>
          <w:highlight w:val="none"/>
        </w:rPr>
        <w:t>第一章  总  则</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第一条（政策依据）</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第二条（适用范围）</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成都市行政区域内政府采购信用融资适用本办法。</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第三条（术语定义）</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本办法所称政府采购信用融资，是指融资机构以信用审查为基础，依据政府采购合同，按相应的优惠政策向申请融资的中小企业（以下简称供应商）提供资金支持的融资模式。</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本办法所称融资机构，是指在成都市属地注册或设立分支机构，有意向按照本办法开展政府采购信用融资业务，经同级财政部门确定的银行机构。</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本办法所称中小企业，包括中型、小型及微型企业，其划型标准按照国家相关规定执行。</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第四条（基本原则）</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政府采购信用融资工作坚持政府引导、市场主导，自愿选择、自担风险，诚实信用、互惠共赢的原则，切实发挥市场在资源配置中的决定性作用。</w:t>
      </w:r>
    </w:p>
    <w:p>
      <w:pPr>
        <w:topLinePunct/>
        <w:spacing w:line="440" w:lineRule="exact"/>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第二章  融资优惠</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第五条（融资方式）</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供应商无需提供财产抵押或第三方担保，凭借政府采购合同向融资机构申请融资，融资机构根据其授信政策为供应商提供信用贷款。</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第六条（融资额度）</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融资额度原则上不超过政府采购合同金额。</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第七条（融资利率）</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融资机构向供应商提供融资的利率应低于同期一般中小企业的贷款利率。融资利率上浮比例原则上不超过中国人民银行公布的同期贷款基准利率的30%。</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第八条（融资期限）</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融资期限原则上与政府采购合同履行期限一致。</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第九条（融资效率）</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第十条（融资业务升级）</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对履约记录良好、诚信资质高的供应商，融资机构应当在授信额度、融资审查、融资利率等方面给予更大支持，促进供应商依法诚信经营。</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第十一条（贷款风险补贴）</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spacing w:line="440" w:lineRule="exact"/>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第三章  融资流程</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第十二条（融资流程）</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（一）信息发布。采购人应当在发布的采购公告和采购文件中载明采购项目可提供信用融资的信息。</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（二）融资申请。有融资需求的供应商自主选择提供政府采购信用融资服务的融资机构及产品，并按要求提供申请资料。</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（三）融资审查。融资机构对供应商的融资申请进行审查，并向供应商反馈审查及融资额度等情况。</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（四）账户确认。供应商须在合作融资机构开立结算账户，并与采购人在政府采购合同中或通过签订补充协议的方式约定唯一收款账户，融资机构对唯一收款账户进行确认和锁定。</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（五）放款。融资机构对政府采购合同及融资相关信息进行确认，并向供应商提供相应的融资产品。</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（六）贷款归还。采购人按相关规定和合同约定将合同资金支付至约定的唯一收款账户。</w:t>
      </w:r>
    </w:p>
    <w:p>
      <w:pPr>
        <w:topLinePunct/>
        <w:spacing w:line="440" w:lineRule="exact"/>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第四章  职责分工</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第十三条（财政部门职责）</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第十四条（融资机构主管部门职责）</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第十五条（采购人职责）</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第十六条（融资机构职责）</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第十七条（供应商职责）</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spacing w:line="440" w:lineRule="exact"/>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第五章 监督管理</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第十八条（采购人监管）</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采购人不执行政府采购信用融资政策，或不正当干预供应商选择合作融资机构，或无故拖延和拒付采购资金的，财政部门视情节进行约谈、通报直至暂停拨付财政资金。</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第十九条（融资机构监管）</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融资机构违反规定开展政府采购信用融资业务，对政府采购造成负面影响的，财政部门视情节取消其参与政府采购信用融资的业务权限。</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第二十条（供应商监管）</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第二十一条</w:t>
      </w:r>
      <w:bookmarkStart w:id="181" w:name="BM24558847_25425864_3"/>
      <w:bookmarkEnd w:id="181"/>
      <w:r>
        <w:rPr>
          <w:rFonts w:hint="eastAsia" w:ascii="宋体" w:hAnsi="宋体" w:cs="宋体"/>
          <w:color w:val="auto"/>
          <w:sz w:val="24"/>
          <w:highlight w:val="none"/>
        </w:rPr>
        <w:t>（相关单位及工作人员监管）</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各相关单位及其工作人员在履行职责中存在滥用职权、玩忽职守、徇私舞弊等违法违纪行为的，依照有关规定处理，涉嫌犯罪的，移送司法机关处理。</w:t>
      </w:r>
    </w:p>
    <w:p>
      <w:pPr>
        <w:topLinePunct/>
        <w:spacing w:line="440" w:lineRule="exact"/>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第六章  附  则</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第二十二条（解释相关）</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本办法由市财政局会同中国人民银行成都分行营业管理部负责解释。</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第二十三条（施行相关）</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本办法自印发之日起施行。市财政局、市金融办2013年12月9日印发的《关于开展中小企业政府采购信用担保及融资试点工作的通知》（成财采〔2013〕200号）同时废止。</w:t>
      </w:r>
    </w:p>
    <w:p>
      <w:pPr>
        <w:rPr>
          <w:rFonts w:ascii="宋体" w:hAnsi="宋体" w:cs="宋体"/>
          <w:color w:val="auto"/>
          <w:sz w:val="24"/>
          <w:highlight w:val="none"/>
        </w:rPr>
      </w:pPr>
      <w:r>
        <w:rPr>
          <w:rFonts w:hint="eastAsia" w:ascii="宋体" w:hAnsi="宋体" w:cs="宋体"/>
          <w:color w:val="auto"/>
          <w:sz w:val="24"/>
          <w:highlight w:val="none"/>
        </w:rPr>
        <w:br w:type="page"/>
      </w:r>
    </w:p>
    <w:p>
      <w:pPr>
        <w:topLinePunct/>
        <w:spacing w:line="440" w:lineRule="exact"/>
        <w:rPr>
          <w:rFonts w:ascii="宋体" w:hAnsi="宋体" w:cs="宋体"/>
          <w:color w:val="auto"/>
          <w:sz w:val="24"/>
          <w:highlight w:val="none"/>
        </w:rPr>
      </w:pPr>
      <w:r>
        <w:rPr>
          <w:rFonts w:hint="eastAsia" w:ascii="宋体" w:hAnsi="宋体" w:cs="宋体"/>
          <w:color w:val="auto"/>
          <w:sz w:val="24"/>
          <w:highlight w:val="none"/>
        </w:rPr>
        <w:t>附件2</w:t>
      </w:r>
    </w:p>
    <w:p>
      <w:pPr>
        <w:topLinePunct/>
        <w:spacing w:line="440" w:lineRule="exact"/>
        <w:ind w:firstLine="480" w:firstLineChars="200"/>
        <w:rPr>
          <w:rFonts w:ascii="宋体" w:hAnsi="宋体" w:cs="宋体"/>
          <w:color w:val="auto"/>
          <w:sz w:val="24"/>
          <w:highlight w:val="none"/>
        </w:rPr>
      </w:pPr>
    </w:p>
    <w:p>
      <w:pPr>
        <w:topLinePunct/>
        <w:snapToGrid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成都市级支持中小企业政府采购</w:t>
      </w:r>
    </w:p>
    <w:p>
      <w:pPr>
        <w:topLinePunct/>
        <w:snapToGrid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信用融资实施方案</w:t>
      </w:r>
    </w:p>
    <w:p>
      <w:pPr>
        <w:topLinePunct/>
        <w:spacing w:line="440" w:lineRule="exact"/>
        <w:ind w:firstLine="480" w:firstLineChars="200"/>
        <w:rPr>
          <w:rFonts w:ascii="宋体" w:hAnsi="宋体" w:cs="宋体"/>
          <w:color w:val="auto"/>
          <w:sz w:val="24"/>
          <w:highlight w:val="none"/>
        </w:rPr>
      </w:pP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一、目标任务</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二、适用范围</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本《实施方案》适用于成都市本级政府采购信用融资工作。</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三、基本原则 </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四、组织实施</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（一）宣传动员</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（二）融资机构选择</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（1）融资机构基本情况；</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（2）政府采购信用融资实施方案（包括授信政策、融资产品、贷款利率及其它优惠措施、业务流程及各环节办结时间、联系方式等）；</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（3）关于遵照《暂行办法》和《实施方案》开展政府采购信用融资业务的承诺；</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（4）关于政府采购信用融资业务风险及系统对接研发费用自行承担的承诺。</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2．系统对接。融资机构成功报名后，须按要求完成政府采购信用融资业务与成都市政府采购监督管理系统的技术对接。</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3．确定融资机构。市财政局将完成系统对接的融资机构确定为我市开展政府采购信用融资业务的融资机构，并在成都市政府采购监督管理系统集中展示，为供应商开展融资提供指引。</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（三）其他事项</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五、相关要求</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（一）加强组织领导。</w:t>
      </w:r>
      <w:r>
        <w:rPr>
          <w:rFonts w:hint="eastAsia" w:ascii="宋体" w:hAnsi="宋体" w:cs="宋体"/>
          <w:color w:val="auto"/>
          <w:kern w:val="0"/>
          <w:sz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cs="宋体"/>
          <w:color w:val="auto"/>
          <w:sz w:val="24"/>
          <w:highlight w:val="none"/>
        </w:rPr>
        <w:t>全面、有序、科学推进政府采购信用融资工作。</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（二）注重协调配合。</w:t>
      </w:r>
      <w:r>
        <w:rPr>
          <w:rFonts w:hint="eastAsia" w:ascii="宋体" w:hAnsi="宋体" w:cs="宋体"/>
          <w:color w:val="auto"/>
          <w:kern w:val="0"/>
          <w:sz w:val="24"/>
          <w:highlight w:val="none"/>
        </w:rPr>
        <w:t>市财政局、中国人民银行成都分行营业管理部及采购人</w:t>
      </w:r>
      <w:r>
        <w:rPr>
          <w:rFonts w:hint="eastAsia" w:ascii="宋体" w:hAnsi="宋体" w:cs="宋体"/>
          <w:color w:val="auto"/>
          <w:sz w:val="24"/>
          <w:highlight w:val="none"/>
        </w:rPr>
        <w:t>等有关单位要根据职责任务，及时协调解决工作中遇到的困难和问题，积极</w:t>
      </w:r>
      <w:r>
        <w:rPr>
          <w:rFonts w:hint="eastAsia" w:ascii="宋体" w:hAnsi="宋体" w:cs="宋体"/>
          <w:color w:val="auto"/>
          <w:kern w:val="0"/>
          <w:sz w:val="24"/>
          <w:highlight w:val="none"/>
        </w:rPr>
        <w:t>创造条件主动服务，帮助有融资需求、符合条件的供应商实现政府采购信用融资，促进中小企业又好又快发展</w:t>
      </w:r>
      <w:r>
        <w:rPr>
          <w:rFonts w:hint="eastAsia" w:ascii="宋体" w:hAnsi="宋体" w:cs="宋体"/>
          <w:color w:val="auto"/>
          <w:sz w:val="24"/>
          <w:highlight w:val="none"/>
        </w:rPr>
        <w:t>。</w:t>
      </w:r>
    </w:p>
    <w:p>
      <w:pPr>
        <w:topLinePunct/>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topLinePunct/>
        <w:spacing w:line="440" w:lineRule="exact"/>
        <w:ind w:firstLine="480" w:firstLineChars="200"/>
        <w:jc w:val="left"/>
        <w:rPr>
          <w:rFonts w:hint="eastAsia" w:ascii="宋体" w:hAnsi="宋体" w:eastAsia="宋体" w:cs="宋体"/>
          <w:b/>
          <w:bCs/>
          <w:sz w:val="28"/>
          <w:szCs w:val="36"/>
          <w:highlight w:val="none"/>
          <w:lang w:val="en-US" w:eastAsia="zh-CN"/>
        </w:rPr>
      </w:pPr>
      <w:r>
        <w:rPr>
          <w:rFonts w:hint="eastAsia" w:ascii="宋体" w:hAnsi="宋体" w:cs="宋体"/>
          <w:color w:val="auto"/>
          <w:sz w:val="24"/>
          <w:highlight w:val="none"/>
        </w:rPr>
        <w:br w:type="page"/>
      </w:r>
      <w:r>
        <w:rPr>
          <w:rFonts w:hint="eastAsia" w:ascii="宋体" w:hAnsi="宋体" w:cs="宋体"/>
          <w:b/>
          <w:bCs/>
          <w:color w:val="auto"/>
          <w:sz w:val="24"/>
          <w:highlight w:val="none"/>
        </w:rPr>
        <w:t>附件三：</w:t>
      </w:r>
      <w:r>
        <w:rPr>
          <w:rFonts w:hint="eastAsia" w:ascii="宋体" w:hAnsi="宋体" w:eastAsia="宋体" w:cs="宋体"/>
          <w:b/>
          <w:bCs/>
          <w:sz w:val="28"/>
          <w:szCs w:val="36"/>
          <w:highlight w:val="none"/>
          <w:lang w:val="en-US" w:eastAsia="zh-CN"/>
        </w:rPr>
        <w:t xml:space="preserve">     </w:t>
      </w:r>
    </w:p>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信用评价服务效果调查表(供应商)</w:t>
      </w:r>
    </w:p>
    <w:p>
      <w:pPr>
        <w:pStyle w:val="174"/>
        <w:bidi w:val="0"/>
        <w:spacing w:line="360" w:lineRule="auto"/>
        <w:rPr>
          <w:rFonts w:hint="eastAsia"/>
          <w:sz w:val="24"/>
          <w:szCs w:val="24"/>
          <w:lang w:val="en-US" w:eastAsia="zh-CN"/>
        </w:rPr>
      </w:pPr>
      <w:r>
        <w:rPr>
          <w:rFonts w:hint="eastAsia"/>
          <w:sz w:val="24"/>
          <w:szCs w:val="24"/>
          <w:lang w:val="en-US" w:eastAsia="zh-CN"/>
        </w:rPr>
        <w:t>被评价代理机构名称：</w:t>
      </w:r>
    </w:p>
    <w:p>
      <w:pPr>
        <w:pStyle w:val="174"/>
        <w:bidi w:val="0"/>
        <w:spacing w:line="360" w:lineRule="auto"/>
        <w:rPr>
          <w:rFonts w:hint="eastAsia"/>
          <w:sz w:val="24"/>
          <w:szCs w:val="24"/>
          <w:u w:val="single"/>
          <w:lang w:val="en-US" w:eastAsia="zh-CN"/>
        </w:rPr>
      </w:pPr>
      <w:r>
        <w:rPr>
          <w:rFonts w:hint="eastAsia"/>
          <w:sz w:val="24"/>
          <w:szCs w:val="24"/>
          <w:lang w:val="en-US" w:eastAsia="zh-CN"/>
        </w:rPr>
        <w:t>项目名称：</w:t>
      </w:r>
    </w:p>
    <w:p>
      <w:pPr>
        <w:pStyle w:val="174"/>
        <w:bidi w:val="0"/>
        <w:spacing w:line="360" w:lineRule="auto"/>
        <w:rPr>
          <w:rFonts w:hint="eastAsia"/>
          <w:sz w:val="24"/>
          <w:szCs w:val="24"/>
          <w:u w:val="single"/>
          <w:lang w:val="en-US" w:eastAsia="zh-CN"/>
        </w:rPr>
      </w:pPr>
      <w:r>
        <w:rPr>
          <w:rFonts w:hint="eastAsia"/>
          <w:sz w:val="24"/>
          <w:szCs w:val="24"/>
          <w:lang w:val="en-US" w:eastAsia="zh-CN"/>
        </w:rPr>
        <w:t>项目编号：</w:t>
      </w:r>
    </w:p>
    <w:tbl>
      <w:tblPr>
        <w:tblStyle w:val="4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12"/>
        <w:gridCol w:w="2219"/>
        <w:gridCol w:w="1396"/>
        <w:gridCol w:w="1396"/>
        <w:gridCol w:w="1396"/>
        <w:gridCol w:w="1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112"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r>
              <w:rPr>
                <w:rFonts w:hint="eastAsia"/>
                <w:b/>
                <w:bCs/>
                <w:sz w:val="24"/>
                <w:szCs w:val="24"/>
                <w:lang w:val="en-US" w:eastAsia="zh-CN"/>
              </w:rPr>
              <w:t>序号</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r>
              <w:rPr>
                <w:rFonts w:hint="eastAsia"/>
                <w:b/>
                <w:bCs/>
                <w:sz w:val="24"/>
                <w:szCs w:val="24"/>
                <w:lang w:val="en-US" w:eastAsia="zh-CN"/>
              </w:rPr>
              <w:t>测评内容</w:t>
            </w: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lang w:val="en-US" w:eastAsia="zh-CN"/>
              </w:rPr>
            </w:pPr>
            <w:r>
              <w:rPr>
                <w:rFonts w:hint="eastAsia"/>
                <w:b/>
                <w:bCs/>
                <w:sz w:val="24"/>
                <w:szCs w:val="24"/>
                <w:lang w:val="en-US" w:eastAsia="zh-CN"/>
              </w:rPr>
              <w:t>满意</w:t>
            </w:r>
          </w:p>
          <w:p>
            <w:pPr>
              <w:pStyle w:val="175"/>
              <w:bidi w:val="0"/>
              <w:jc w:val="center"/>
              <w:rPr>
                <w:rFonts w:hint="eastAsia"/>
                <w:b/>
                <w:bCs/>
                <w:sz w:val="24"/>
                <w:szCs w:val="24"/>
              </w:rPr>
            </w:pPr>
            <w:r>
              <w:rPr>
                <w:rFonts w:hint="eastAsia"/>
                <w:b/>
                <w:bCs/>
                <w:sz w:val="24"/>
                <w:szCs w:val="24"/>
                <w:lang w:val="en-US" w:eastAsia="zh-CN"/>
              </w:rPr>
              <w:t>(3分)</w:t>
            </w: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lang w:val="en-US" w:eastAsia="zh-CN"/>
              </w:rPr>
            </w:pPr>
            <w:r>
              <w:rPr>
                <w:rFonts w:hint="eastAsia"/>
                <w:b/>
                <w:bCs/>
                <w:sz w:val="24"/>
                <w:szCs w:val="24"/>
                <w:lang w:val="en-US" w:eastAsia="zh-CN"/>
              </w:rPr>
              <w:t>基本满意</w:t>
            </w:r>
          </w:p>
          <w:p>
            <w:pPr>
              <w:pStyle w:val="175"/>
              <w:bidi w:val="0"/>
              <w:jc w:val="center"/>
              <w:rPr>
                <w:rFonts w:hint="eastAsia"/>
                <w:b/>
                <w:bCs/>
                <w:sz w:val="24"/>
                <w:szCs w:val="24"/>
              </w:rPr>
            </w:pPr>
            <w:r>
              <w:rPr>
                <w:rFonts w:hint="eastAsia"/>
                <w:b/>
                <w:bCs/>
                <w:sz w:val="24"/>
                <w:szCs w:val="24"/>
                <w:lang w:val="en-US" w:eastAsia="zh-CN"/>
              </w:rPr>
              <w:t>(2分)</w:t>
            </w: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lang w:val="en-US" w:eastAsia="zh-CN"/>
              </w:rPr>
            </w:pPr>
            <w:r>
              <w:rPr>
                <w:rFonts w:hint="eastAsia"/>
                <w:b/>
                <w:bCs/>
                <w:sz w:val="24"/>
                <w:szCs w:val="24"/>
                <w:lang w:val="en-US" w:eastAsia="zh-CN"/>
              </w:rPr>
              <w:t>一般</w:t>
            </w:r>
          </w:p>
          <w:p>
            <w:pPr>
              <w:pStyle w:val="175"/>
              <w:bidi w:val="0"/>
              <w:jc w:val="center"/>
              <w:rPr>
                <w:rFonts w:hint="eastAsia"/>
                <w:b/>
                <w:bCs/>
                <w:sz w:val="24"/>
                <w:szCs w:val="24"/>
              </w:rPr>
            </w:pPr>
            <w:r>
              <w:rPr>
                <w:rFonts w:hint="eastAsia"/>
                <w:b/>
                <w:bCs/>
                <w:sz w:val="24"/>
                <w:szCs w:val="24"/>
                <w:lang w:val="en-US" w:eastAsia="zh-CN"/>
              </w:rPr>
              <w:t>(1分)</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lang w:val="en-US" w:eastAsia="zh-CN"/>
              </w:rPr>
            </w:pPr>
            <w:r>
              <w:rPr>
                <w:rFonts w:hint="eastAsia"/>
                <w:b/>
                <w:bCs/>
                <w:sz w:val="24"/>
                <w:szCs w:val="24"/>
                <w:lang w:val="en-US" w:eastAsia="zh-CN"/>
              </w:rPr>
              <w:t>不满意</w:t>
            </w:r>
          </w:p>
          <w:p>
            <w:pPr>
              <w:pStyle w:val="175"/>
              <w:bidi w:val="0"/>
              <w:jc w:val="center"/>
              <w:rPr>
                <w:rFonts w:hint="eastAsia"/>
                <w:b/>
                <w:bCs/>
                <w:sz w:val="24"/>
                <w:szCs w:val="24"/>
              </w:rPr>
            </w:pPr>
            <w:r>
              <w:rPr>
                <w:rFonts w:hint="eastAsia"/>
                <w:b/>
                <w:bCs/>
                <w:sz w:val="24"/>
                <w:szCs w:val="24"/>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112"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r>
              <w:rPr>
                <w:rFonts w:hint="eastAsia"/>
                <w:b/>
                <w:bCs/>
                <w:sz w:val="24"/>
                <w:szCs w:val="24"/>
                <w:lang w:val="en-US" w:eastAsia="zh-CN"/>
              </w:rPr>
              <w:t>1</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r>
              <w:rPr>
                <w:rFonts w:hint="eastAsia"/>
                <w:b/>
                <w:bCs/>
                <w:sz w:val="24"/>
                <w:szCs w:val="24"/>
                <w:lang w:val="en-US" w:eastAsia="zh-CN"/>
              </w:rPr>
              <w:t>政府采购信息公告</w:t>
            </w: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112"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r>
              <w:rPr>
                <w:rFonts w:hint="eastAsia"/>
                <w:b/>
                <w:bCs/>
                <w:sz w:val="24"/>
                <w:szCs w:val="24"/>
                <w:lang w:val="en-US" w:eastAsia="zh-CN"/>
              </w:rPr>
              <w:t>2</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r>
              <w:rPr>
                <w:rFonts w:hint="eastAsia"/>
                <w:b/>
                <w:bCs/>
                <w:sz w:val="24"/>
                <w:szCs w:val="24"/>
                <w:lang w:val="en-US" w:eastAsia="zh-CN"/>
              </w:rPr>
              <w:t>询问答复</w:t>
            </w: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112"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r>
              <w:rPr>
                <w:rFonts w:hint="eastAsia"/>
                <w:b/>
                <w:bCs/>
                <w:sz w:val="24"/>
                <w:szCs w:val="24"/>
                <w:lang w:val="en-US" w:eastAsia="zh-CN"/>
              </w:rPr>
              <w:t>3</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r>
              <w:rPr>
                <w:rFonts w:hint="eastAsia"/>
                <w:b/>
                <w:bCs/>
                <w:sz w:val="24"/>
                <w:szCs w:val="24"/>
                <w:lang w:val="en-US" w:eastAsia="zh-CN"/>
              </w:rPr>
              <w:t>质疑答复</w:t>
            </w: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112"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r>
              <w:rPr>
                <w:rFonts w:hint="eastAsia"/>
                <w:b/>
                <w:bCs/>
                <w:sz w:val="24"/>
                <w:szCs w:val="24"/>
                <w:lang w:val="en-US" w:eastAsia="zh-CN"/>
              </w:rPr>
              <w:t>4</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r>
              <w:rPr>
                <w:rFonts w:hint="eastAsia"/>
                <w:b/>
                <w:bCs/>
                <w:sz w:val="24"/>
                <w:szCs w:val="24"/>
                <w:lang w:val="en-US" w:eastAsia="zh-CN"/>
              </w:rPr>
              <w:t>服务态度</w:t>
            </w: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75"/>
              <w:bidi w:val="0"/>
              <w:jc w:val="cente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8927"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76"/>
              <w:bidi w:val="0"/>
              <w:jc w:val="left"/>
              <w:rPr>
                <w:rFonts w:hint="eastAsia"/>
                <w:b/>
                <w:bCs/>
                <w:sz w:val="24"/>
                <w:szCs w:val="24"/>
              </w:rPr>
            </w:pPr>
            <w:r>
              <w:rPr>
                <w:rFonts w:hint="eastAsia"/>
                <w:b/>
                <w:bCs/>
                <w:sz w:val="24"/>
                <w:szCs w:val="24"/>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1" w:hRule="atLeast"/>
          <w:jc w:val="center"/>
        </w:trPr>
        <w:tc>
          <w:tcPr>
            <w:tcW w:w="8927"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76"/>
              <w:bidi w:val="0"/>
              <w:jc w:val="cente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jc w:val="center"/>
        </w:trPr>
        <w:tc>
          <w:tcPr>
            <w:tcW w:w="8927"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76"/>
              <w:bidi w:val="0"/>
              <w:rPr>
                <w:rFonts w:hint="eastAsia"/>
                <w:b/>
                <w:bCs/>
                <w:sz w:val="24"/>
                <w:szCs w:val="24"/>
                <w:lang w:val="en-US" w:eastAsia="zh-CN"/>
              </w:rPr>
            </w:pPr>
            <w:r>
              <w:rPr>
                <w:rFonts w:hint="eastAsia"/>
                <w:b/>
                <w:bCs/>
                <w:sz w:val="24"/>
                <w:szCs w:val="24"/>
                <w:lang w:val="en-US" w:eastAsia="zh-CN"/>
              </w:rPr>
              <w:t>供应商名称：</w:t>
            </w:r>
            <w:r>
              <w:rPr>
                <w:rFonts w:hint="eastAsia"/>
                <w:b/>
                <w:bCs/>
                <w:sz w:val="24"/>
                <w:szCs w:val="24"/>
                <w:u w:val="single"/>
                <w:lang w:val="en-US" w:eastAsia="zh-CN"/>
              </w:rPr>
              <w:t xml:space="preserve">                     </w:t>
            </w:r>
            <w:r>
              <w:rPr>
                <w:rFonts w:hint="eastAsia"/>
                <w:b/>
                <w:bCs/>
                <w:sz w:val="24"/>
                <w:szCs w:val="24"/>
                <w:lang w:val="en-US" w:eastAsia="zh-CN"/>
              </w:rPr>
              <w:t>(加盖鲜章)</w:t>
            </w:r>
          </w:p>
        </w:tc>
      </w:tr>
    </w:tbl>
    <w:p>
      <w:pPr>
        <w:pStyle w:val="2"/>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说明：1.请贵公司根据本采购项目的实际情况，在“满意”、“基本满意”、“一般”、“不满意”四个评价档次栏中选取一栏打“√”，并加盖鲜章。</w:t>
      </w:r>
    </w:p>
    <w:p>
      <w:pPr>
        <w:pStyle w:val="2"/>
        <w:ind w:firstLine="480" w:firstLineChars="200"/>
        <w:rPr>
          <w:rFonts w:ascii="仿宋" w:hAnsi="仿宋" w:eastAsia="仿宋"/>
          <w:color w:val="auto"/>
          <w:sz w:val="24"/>
          <w:highlight w:val="none"/>
        </w:rPr>
      </w:pPr>
      <w:r>
        <w:rPr>
          <w:rFonts w:hint="eastAsia" w:ascii="宋体" w:hAnsi="宋体" w:eastAsia="宋体" w:cs="宋体"/>
          <w:b w:val="0"/>
          <w:bCs w:val="0"/>
          <w:sz w:val="24"/>
          <w:szCs w:val="24"/>
          <w:lang w:val="en-US" w:eastAsia="zh-CN"/>
        </w:rPr>
        <w:t>2.请贵公司于开标当日将此表原件交至代理机构工作人员。（不作为实质性要求，不作为评审依据）。</w:t>
      </w:r>
    </w:p>
    <w:p>
      <w:pPr>
        <w:spacing w:line="360" w:lineRule="auto"/>
        <w:ind w:firstLine="3840" w:firstLineChars="1600"/>
        <w:rPr>
          <w:rFonts w:hint="eastAsia" w:ascii="宋体" w:hAnsi="宋体" w:eastAsia="宋体" w:cs="宋体"/>
          <w:color w:val="auto"/>
          <w:sz w:val="24"/>
          <w:highlight w:val="none"/>
        </w:rPr>
      </w:pPr>
    </w:p>
    <w:sectPr>
      <w:headerReference r:id="rId14" w:type="default"/>
      <w:footerReference r:id="rId15" w:type="default"/>
      <w:type w:val="continuous"/>
      <w:pgSz w:w="11906" w:h="16838"/>
      <w:pgMar w:top="1134" w:right="1418" w:bottom="1134" w:left="1418" w:header="851" w:footer="992" w:gutter="0"/>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Times New Roman"/>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à.ā">
    <w:altName w:val="黑体"/>
    <w:panose1 w:val="00000000000000000000"/>
    <w:charset w:val="86"/>
    <w:family w:val="roma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P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7"/>
      </w:rPr>
    </w:pPr>
    <w:r>
      <w:fldChar w:fldCharType="begin"/>
    </w:r>
    <w:r>
      <w:rPr>
        <w:rStyle w:val="47"/>
      </w:rPr>
      <w:instrText xml:space="preserve">PAGE  </w:instrText>
    </w:r>
    <w:r>
      <w:fldChar w:fldCharType="separate"/>
    </w:r>
    <w:r>
      <w:rPr>
        <w:rStyle w:val="47"/>
      </w:rPr>
      <w:t>4</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43</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outside" w:y="1"/>
      <w:rPr>
        <w:rStyle w:val="47"/>
      </w:rPr>
    </w:pPr>
    <w:r>
      <w:fldChar w:fldCharType="begin"/>
    </w:r>
    <w:r>
      <w:rPr>
        <w:rStyle w:val="47"/>
      </w:rPr>
      <w:instrText xml:space="preserve">PAGE  </w:instrText>
    </w:r>
    <w:r>
      <w:fldChar w:fldCharType="end"/>
    </w:r>
  </w:p>
  <w:p>
    <w:pPr>
      <w:pStyle w:val="30"/>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ind w:firstLine="685" w:firstLineChars="381"/>
      <w:jc w:val="both"/>
      <w:rPr>
        <w:rFonts w:ascii="宋体" w:hAnsi="宋体" w:cs="宋体"/>
        <w:b/>
        <w:bCs/>
        <w:sz w:val="21"/>
        <w:szCs w:val="21"/>
      </w:rPr>
    </w:pPr>
    <w:r>
      <w:rPr>
        <w:rFonts w:hint="eastAsia" w:eastAsia="宋体"/>
      </w:rPr>
      <w:drawing>
        <wp:anchor distT="0" distB="0" distL="114300" distR="114300" simplePos="0" relativeHeight="251659264"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4097" name="图片 9" descr="logo"/>
          <wp:cNvGraphicFramePr/>
          <a:graphic xmlns:a="http://schemas.openxmlformats.org/drawingml/2006/main">
            <a:graphicData uri="http://schemas.openxmlformats.org/drawingml/2006/picture">
              <pic:pic xmlns:pic="http://schemas.openxmlformats.org/drawingml/2006/picture">
                <pic:nvPicPr>
                  <pic:cNvPr id="4097" name="图片 9" descr="logo"/>
                  <pic:cNvPicPr/>
                </pic:nvPicPr>
                <pic:blipFill>
                  <a:blip r:embed="rId1" cstate="print"/>
                  <a:srcRect/>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31"/>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w:t>
    </w:r>
    <w:r>
      <w:rPr>
        <w:rFonts w:hint="eastAsia" w:ascii="宋体" w:hAnsi="宋体" w:cs="宋体"/>
        <w:b/>
        <w:bCs/>
        <w:szCs w:val="18"/>
        <w:lang w:val="en-US" w:eastAsia="zh-CN"/>
      </w:rPr>
      <w:t>诚信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rPr>
        <w:b/>
        <w:sz w:val="28"/>
        <w:szCs w:val="18"/>
      </w:rPr>
    </w:pPr>
    <w:r>
      <w:drawing>
        <wp:inline distT="0" distB="0" distL="0" distR="0">
          <wp:extent cx="1618615" cy="381000"/>
          <wp:effectExtent l="0" t="0" r="635" b="0"/>
          <wp:docPr id="4098" name="图片 1" descr="说明: C:\Users\Administrator\Desktop\肖郑洁.png"/>
          <wp:cNvGraphicFramePr/>
          <a:graphic xmlns:a="http://schemas.openxmlformats.org/drawingml/2006/main">
            <a:graphicData uri="http://schemas.openxmlformats.org/drawingml/2006/picture">
              <pic:pic xmlns:pic="http://schemas.openxmlformats.org/drawingml/2006/picture">
                <pic:nvPicPr>
                  <pic:cNvPr id="4098" name="图片 1" descr="说明: C:\Users\Administrator\Desktop\肖郑洁.png"/>
                  <pic:cNvPicPr/>
                </pic:nvPicPr>
                <pic:blipFill>
                  <a:blip r:embed="rId1" cstate="print"/>
                  <a:srcRect/>
                  <a:stretch>
                    <a:fillRect/>
                  </a:stretch>
                </pic:blipFill>
                <pic:spPr>
                  <a:xfrm>
                    <a:off x="0" y="0"/>
                    <a:ext cx="1618615" cy="381000"/>
                  </a:xfrm>
                  <a:prstGeom prst="rect">
                    <a:avLst/>
                  </a:prstGeom>
                  <a:ln>
                    <a:noFill/>
                  </a:ln>
                </pic:spPr>
              </pic:pic>
            </a:graphicData>
          </a:graphic>
        </wp:inline>
      </w:drawing>
    </w:r>
    <w:r>
      <w:rPr>
        <w:rFonts w:hint="eastAsia"/>
      </w:rPr>
      <w:t xml:space="preserve">                      </w:t>
    </w:r>
    <w:r>
      <w:rPr>
        <w:b/>
        <w:sz w:val="28"/>
        <w:szCs w:val="18"/>
      </w:rPr>
      <w:t>效率成就品牌</w:t>
    </w:r>
    <w:r>
      <w:rPr>
        <w:rFonts w:hint="eastAsia"/>
        <w:b/>
        <w:sz w:val="28"/>
      </w:rPr>
      <w:t xml:space="preserve">   </w:t>
    </w:r>
    <w:r>
      <w:rPr>
        <w:b/>
        <w:sz w:val="28"/>
        <w:szCs w:val="18"/>
      </w:rPr>
      <w:t>诚信铸就未来</w:t>
    </w:r>
  </w:p>
  <w:p>
    <w:pPr>
      <w:pStyle w:val="3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ind w:firstLine="567"/>
      <w:jc w:val="both"/>
      <w:rPr>
        <w:rFonts w:ascii="宋体" w:hAnsi="宋体" w:cs="宋体"/>
        <w:b/>
        <w:bCs/>
        <w:sz w:val="21"/>
        <w:szCs w:val="21"/>
      </w:rPr>
    </w:pPr>
    <w:r>
      <w:rPr>
        <w:rFonts w:hint="eastAsia" w:eastAsiaTheme="minorEastAsia"/>
        <w:sz w:val="21"/>
        <w:szCs w:val="21"/>
      </w:rPr>
      <w:drawing>
        <wp:anchor distT="0" distB="0" distL="114300" distR="114300" simplePos="0" relativeHeight="251660288"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11" name="图片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ogo"/>
                  <pic:cNvPicPr>
                    <a:picLocks noChangeAspect="1"/>
                  </pic:cNvPicPr>
                </pic:nvPicPr>
                <pic:blipFill>
                  <a:blip r:embed="rId1"/>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31"/>
      <w:pBdr>
        <w:bottom w:val="double" w:color="auto" w:sz="8" w:space="1"/>
      </w:pBdr>
      <w:ind w:firstLine="567"/>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w:t>
    </w:r>
    <w:r>
      <w:rPr>
        <w:rFonts w:hint="eastAsia" w:ascii="宋体" w:hAnsi="宋体" w:cs="宋体"/>
        <w:b/>
        <w:bCs/>
        <w:szCs w:val="18"/>
        <w:lang w:val="en-US" w:eastAsia="zh-CN"/>
      </w:rPr>
      <w:t>诚信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ind w:firstLine="685" w:firstLineChars="381"/>
      <w:jc w:val="both"/>
      <w:rPr>
        <w:rFonts w:ascii="宋体" w:hAnsi="宋体" w:cs="宋体"/>
        <w:b/>
        <w:bCs/>
        <w:sz w:val="21"/>
        <w:szCs w:val="21"/>
      </w:rPr>
    </w:pPr>
    <w:r>
      <w:rPr>
        <w:rFonts w:hint="eastAsia" w:eastAsia="宋体"/>
      </w:rPr>
      <w:drawing>
        <wp:anchor distT="0" distB="0" distL="114300" distR="114300" simplePos="0" relativeHeight="251659264"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1" name="图片 9" descr="logo"/>
          <wp:cNvGraphicFramePr/>
          <a:graphic xmlns:a="http://schemas.openxmlformats.org/drawingml/2006/main">
            <a:graphicData uri="http://schemas.openxmlformats.org/drawingml/2006/picture">
              <pic:pic xmlns:pic="http://schemas.openxmlformats.org/drawingml/2006/picture">
                <pic:nvPicPr>
                  <pic:cNvPr id="1" name="图片 9" descr="logo"/>
                  <pic:cNvPicPr/>
                </pic:nvPicPr>
                <pic:blipFill>
                  <a:blip r:embed="rId1" cstate="print"/>
                  <a:srcRect/>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31"/>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w:t>
    </w:r>
    <w:r>
      <w:rPr>
        <w:rFonts w:hint="eastAsia" w:ascii="宋体" w:hAnsi="宋体" w:cs="宋体"/>
        <w:b/>
        <w:bCs/>
        <w:szCs w:val="18"/>
        <w:lang w:val="en-US" w:eastAsia="zh-CN"/>
      </w:rPr>
      <w:t>诚信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1F1112"/>
    <w:multiLevelType w:val="singleLevel"/>
    <w:tmpl w:val="8B1F1112"/>
    <w:lvl w:ilvl="0" w:tentative="0">
      <w:start w:val="6"/>
      <w:numFmt w:val="chineseCounting"/>
      <w:suff w:val="nothing"/>
      <w:lvlText w:val="%1、"/>
      <w:lvlJc w:val="left"/>
      <w:rPr>
        <w:rFonts w:hint="eastAsia"/>
      </w:rPr>
    </w:lvl>
  </w:abstractNum>
  <w:abstractNum w:abstractNumId="1">
    <w:nsid w:val="8D279F54"/>
    <w:multiLevelType w:val="singleLevel"/>
    <w:tmpl w:val="8D279F54"/>
    <w:lvl w:ilvl="0" w:tentative="0">
      <w:start w:val="3"/>
      <w:numFmt w:val="chineseCounting"/>
      <w:suff w:val="nothing"/>
      <w:lvlText w:val="（%1）"/>
      <w:lvlJc w:val="left"/>
      <w:rPr>
        <w:rFonts w:hint="eastAsia"/>
      </w:rPr>
    </w:lvl>
  </w:abstractNum>
  <w:abstractNum w:abstractNumId="2">
    <w:nsid w:val="928CF0EE"/>
    <w:multiLevelType w:val="singleLevel"/>
    <w:tmpl w:val="928CF0EE"/>
    <w:lvl w:ilvl="0" w:tentative="0">
      <w:start w:val="2"/>
      <w:numFmt w:val="decimal"/>
      <w:suff w:val="nothing"/>
      <w:lvlText w:val="%1、"/>
      <w:lvlJc w:val="left"/>
    </w:lvl>
  </w:abstractNum>
  <w:abstractNum w:abstractNumId="3">
    <w:nsid w:val="93858637"/>
    <w:multiLevelType w:val="singleLevel"/>
    <w:tmpl w:val="93858637"/>
    <w:lvl w:ilvl="0" w:tentative="0">
      <w:start w:val="1"/>
      <w:numFmt w:val="decimal"/>
      <w:suff w:val="space"/>
      <w:lvlText w:val="%1."/>
      <w:lvlJc w:val="left"/>
    </w:lvl>
  </w:abstractNum>
  <w:abstractNum w:abstractNumId="4">
    <w:nsid w:val="D802ED85"/>
    <w:multiLevelType w:val="singleLevel"/>
    <w:tmpl w:val="D802ED85"/>
    <w:lvl w:ilvl="0" w:tentative="0">
      <w:start w:val="7"/>
      <w:numFmt w:val="chineseCounting"/>
      <w:suff w:val="nothing"/>
      <w:lvlText w:val="%1、"/>
      <w:lvlJc w:val="left"/>
      <w:rPr>
        <w:rFonts w:hint="eastAsia"/>
      </w:rPr>
    </w:lvl>
  </w:abstractNum>
  <w:abstractNum w:abstractNumId="5">
    <w:nsid w:val="F10A0FB2"/>
    <w:multiLevelType w:val="singleLevel"/>
    <w:tmpl w:val="F10A0FB2"/>
    <w:lvl w:ilvl="0" w:tentative="0">
      <w:start w:val="1"/>
      <w:numFmt w:val="chineseCounting"/>
      <w:suff w:val="nothing"/>
      <w:lvlText w:val="%1、"/>
      <w:lvlJc w:val="left"/>
      <w:rPr>
        <w:rFonts w:hint="eastAsia"/>
      </w:rPr>
    </w:lvl>
  </w:abstractNum>
  <w:abstractNum w:abstractNumId="6">
    <w:nsid w:val="1F34D364"/>
    <w:multiLevelType w:val="singleLevel"/>
    <w:tmpl w:val="1F34D364"/>
    <w:lvl w:ilvl="0" w:tentative="0">
      <w:start w:val="2"/>
      <w:numFmt w:val="chineseCounting"/>
      <w:suff w:val="nothing"/>
      <w:lvlText w:val="%1、"/>
      <w:lvlJc w:val="left"/>
      <w:rPr>
        <w:rFonts w:hint="eastAsia"/>
      </w:rPr>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6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59421ED2"/>
    <w:multiLevelType w:val="singleLevel"/>
    <w:tmpl w:val="59421ED2"/>
    <w:lvl w:ilvl="0" w:tentative="0">
      <w:start w:val="1"/>
      <w:numFmt w:val="decimal"/>
      <w:suff w:val="nothing"/>
      <w:lvlText w:val="%1、"/>
      <w:lvlJc w:val="left"/>
    </w:lvl>
  </w:abstractNum>
  <w:abstractNum w:abstractNumId="9">
    <w:nsid w:val="5FADA716"/>
    <w:multiLevelType w:val="singleLevel"/>
    <w:tmpl w:val="5FADA716"/>
    <w:lvl w:ilvl="0" w:tentative="0">
      <w:start w:val="1"/>
      <w:numFmt w:val="chineseCounting"/>
      <w:suff w:val="nothing"/>
      <w:lvlText w:val="%1、"/>
      <w:lvlJc w:val="left"/>
      <w:rPr>
        <w:rFonts w:hint="eastAsia"/>
      </w:rPr>
    </w:lvl>
  </w:abstractNum>
  <w:num w:numId="1">
    <w:abstractNumId w:val="7"/>
  </w:num>
  <w:num w:numId="2">
    <w:abstractNumId w:val="1"/>
  </w:num>
  <w:num w:numId="3">
    <w:abstractNumId w:val="5"/>
  </w:num>
  <w:num w:numId="4">
    <w:abstractNumId w:val="3"/>
  </w:num>
  <w:num w:numId="5">
    <w:abstractNumId w:val="8"/>
  </w:num>
  <w:num w:numId="6">
    <w:abstractNumId w:val="9"/>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21"/>
    <w:rsid w:val="00004F75"/>
    <w:rsid w:val="00012571"/>
    <w:rsid w:val="000171BD"/>
    <w:rsid w:val="000201F3"/>
    <w:rsid w:val="00023908"/>
    <w:rsid w:val="00023CAB"/>
    <w:rsid w:val="0003697D"/>
    <w:rsid w:val="000461AD"/>
    <w:rsid w:val="00051F5F"/>
    <w:rsid w:val="000549B6"/>
    <w:rsid w:val="000577F9"/>
    <w:rsid w:val="0005792B"/>
    <w:rsid w:val="00066D8C"/>
    <w:rsid w:val="00074444"/>
    <w:rsid w:val="00074900"/>
    <w:rsid w:val="00075586"/>
    <w:rsid w:val="00077521"/>
    <w:rsid w:val="00084777"/>
    <w:rsid w:val="00085A77"/>
    <w:rsid w:val="00094845"/>
    <w:rsid w:val="000A02E0"/>
    <w:rsid w:val="000A0850"/>
    <w:rsid w:val="000B0DEA"/>
    <w:rsid w:val="000B54D6"/>
    <w:rsid w:val="000E4B80"/>
    <w:rsid w:val="000E4ED7"/>
    <w:rsid w:val="000E50AE"/>
    <w:rsid w:val="000E760C"/>
    <w:rsid w:val="000F1F20"/>
    <w:rsid w:val="000F4490"/>
    <w:rsid w:val="0010478B"/>
    <w:rsid w:val="00113768"/>
    <w:rsid w:val="00121C6F"/>
    <w:rsid w:val="0015013B"/>
    <w:rsid w:val="00151CB4"/>
    <w:rsid w:val="00173349"/>
    <w:rsid w:val="0017412B"/>
    <w:rsid w:val="0017740F"/>
    <w:rsid w:val="00183BFF"/>
    <w:rsid w:val="00184782"/>
    <w:rsid w:val="00186AE8"/>
    <w:rsid w:val="001904F1"/>
    <w:rsid w:val="001A5930"/>
    <w:rsid w:val="001B4223"/>
    <w:rsid w:val="001B4623"/>
    <w:rsid w:val="001B4E96"/>
    <w:rsid w:val="001B7497"/>
    <w:rsid w:val="001E5383"/>
    <w:rsid w:val="001E7E38"/>
    <w:rsid w:val="001F017E"/>
    <w:rsid w:val="001F5744"/>
    <w:rsid w:val="001F630E"/>
    <w:rsid w:val="00200B05"/>
    <w:rsid w:val="002027E0"/>
    <w:rsid w:val="002029BC"/>
    <w:rsid w:val="0020322D"/>
    <w:rsid w:val="0020549F"/>
    <w:rsid w:val="00211D88"/>
    <w:rsid w:val="002130B8"/>
    <w:rsid w:val="00231039"/>
    <w:rsid w:val="00231A7B"/>
    <w:rsid w:val="00234CC6"/>
    <w:rsid w:val="002523AB"/>
    <w:rsid w:val="002539B4"/>
    <w:rsid w:val="00254DCF"/>
    <w:rsid w:val="00265318"/>
    <w:rsid w:val="002658FB"/>
    <w:rsid w:val="00266528"/>
    <w:rsid w:val="00274F1E"/>
    <w:rsid w:val="00276D2B"/>
    <w:rsid w:val="00280552"/>
    <w:rsid w:val="00281804"/>
    <w:rsid w:val="0028349F"/>
    <w:rsid w:val="00295935"/>
    <w:rsid w:val="002A1D5D"/>
    <w:rsid w:val="002A2D21"/>
    <w:rsid w:val="002B43CA"/>
    <w:rsid w:val="002C063F"/>
    <w:rsid w:val="002F27A0"/>
    <w:rsid w:val="002F456C"/>
    <w:rsid w:val="003036BB"/>
    <w:rsid w:val="003214AC"/>
    <w:rsid w:val="00326ECE"/>
    <w:rsid w:val="003307DA"/>
    <w:rsid w:val="00335B76"/>
    <w:rsid w:val="00340461"/>
    <w:rsid w:val="0034497C"/>
    <w:rsid w:val="003514E8"/>
    <w:rsid w:val="00352C6F"/>
    <w:rsid w:val="00354F4C"/>
    <w:rsid w:val="0035683B"/>
    <w:rsid w:val="00361068"/>
    <w:rsid w:val="003633AC"/>
    <w:rsid w:val="0036542B"/>
    <w:rsid w:val="003734EB"/>
    <w:rsid w:val="003846D2"/>
    <w:rsid w:val="0039042A"/>
    <w:rsid w:val="0039480D"/>
    <w:rsid w:val="0039487F"/>
    <w:rsid w:val="00396AF0"/>
    <w:rsid w:val="003B01A0"/>
    <w:rsid w:val="003D1655"/>
    <w:rsid w:val="003D5A31"/>
    <w:rsid w:val="003E1402"/>
    <w:rsid w:val="003F6A75"/>
    <w:rsid w:val="00420425"/>
    <w:rsid w:val="00424C97"/>
    <w:rsid w:val="004314F9"/>
    <w:rsid w:val="00435C96"/>
    <w:rsid w:val="004362EA"/>
    <w:rsid w:val="004400B1"/>
    <w:rsid w:val="00444724"/>
    <w:rsid w:val="00450BFF"/>
    <w:rsid w:val="00455356"/>
    <w:rsid w:val="004570A3"/>
    <w:rsid w:val="00460D08"/>
    <w:rsid w:val="00474315"/>
    <w:rsid w:val="00484271"/>
    <w:rsid w:val="00486B90"/>
    <w:rsid w:val="00494F87"/>
    <w:rsid w:val="004A4FA2"/>
    <w:rsid w:val="004B270E"/>
    <w:rsid w:val="004B5A56"/>
    <w:rsid w:val="004C2FBE"/>
    <w:rsid w:val="004C7333"/>
    <w:rsid w:val="004D2452"/>
    <w:rsid w:val="004D6F58"/>
    <w:rsid w:val="004E2E80"/>
    <w:rsid w:val="004E35B9"/>
    <w:rsid w:val="00500207"/>
    <w:rsid w:val="005141E8"/>
    <w:rsid w:val="00525762"/>
    <w:rsid w:val="0053215C"/>
    <w:rsid w:val="00541812"/>
    <w:rsid w:val="00543E7F"/>
    <w:rsid w:val="00545667"/>
    <w:rsid w:val="005476AC"/>
    <w:rsid w:val="00551DA7"/>
    <w:rsid w:val="00554EED"/>
    <w:rsid w:val="00564D99"/>
    <w:rsid w:val="0056585A"/>
    <w:rsid w:val="00571FEE"/>
    <w:rsid w:val="00594542"/>
    <w:rsid w:val="005967AC"/>
    <w:rsid w:val="005A6613"/>
    <w:rsid w:val="005A722A"/>
    <w:rsid w:val="005B3057"/>
    <w:rsid w:val="005C152E"/>
    <w:rsid w:val="005C793F"/>
    <w:rsid w:val="005D0662"/>
    <w:rsid w:val="005D2808"/>
    <w:rsid w:val="005D2D24"/>
    <w:rsid w:val="005E08B2"/>
    <w:rsid w:val="005F56F6"/>
    <w:rsid w:val="005F7961"/>
    <w:rsid w:val="00605DF6"/>
    <w:rsid w:val="00606725"/>
    <w:rsid w:val="00612DF5"/>
    <w:rsid w:val="00617EB5"/>
    <w:rsid w:val="00634393"/>
    <w:rsid w:val="00636E19"/>
    <w:rsid w:val="00641498"/>
    <w:rsid w:val="00643E04"/>
    <w:rsid w:val="00661386"/>
    <w:rsid w:val="00661F50"/>
    <w:rsid w:val="0066553E"/>
    <w:rsid w:val="00673F53"/>
    <w:rsid w:val="00682630"/>
    <w:rsid w:val="00683BA5"/>
    <w:rsid w:val="00690822"/>
    <w:rsid w:val="00691FC7"/>
    <w:rsid w:val="006965F3"/>
    <w:rsid w:val="006A5E6A"/>
    <w:rsid w:val="006B1403"/>
    <w:rsid w:val="006B7787"/>
    <w:rsid w:val="006B7A3C"/>
    <w:rsid w:val="006C1A0A"/>
    <w:rsid w:val="006C4F43"/>
    <w:rsid w:val="006C56C8"/>
    <w:rsid w:val="006D3360"/>
    <w:rsid w:val="006D413C"/>
    <w:rsid w:val="006D7532"/>
    <w:rsid w:val="006F2D80"/>
    <w:rsid w:val="006F3D28"/>
    <w:rsid w:val="00702CED"/>
    <w:rsid w:val="00705DDA"/>
    <w:rsid w:val="007074DE"/>
    <w:rsid w:val="007077B2"/>
    <w:rsid w:val="007166C8"/>
    <w:rsid w:val="007217F2"/>
    <w:rsid w:val="00734FF5"/>
    <w:rsid w:val="0074292A"/>
    <w:rsid w:val="00753080"/>
    <w:rsid w:val="00756F92"/>
    <w:rsid w:val="00764879"/>
    <w:rsid w:val="00777999"/>
    <w:rsid w:val="00793075"/>
    <w:rsid w:val="007B74CD"/>
    <w:rsid w:val="007B7B60"/>
    <w:rsid w:val="007C5E4D"/>
    <w:rsid w:val="007C7765"/>
    <w:rsid w:val="007E7374"/>
    <w:rsid w:val="007F299B"/>
    <w:rsid w:val="008446F3"/>
    <w:rsid w:val="00844D16"/>
    <w:rsid w:val="008459B8"/>
    <w:rsid w:val="00846508"/>
    <w:rsid w:val="00850130"/>
    <w:rsid w:val="008536F8"/>
    <w:rsid w:val="00853DD4"/>
    <w:rsid w:val="00856C16"/>
    <w:rsid w:val="0086342D"/>
    <w:rsid w:val="008638DC"/>
    <w:rsid w:val="008669DC"/>
    <w:rsid w:val="00871092"/>
    <w:rsid w:val="00877B46"/>
    <w:rsid w:val="00892E15"/>
    <w:rsid w:val="00893D51"/>
    <w:rsid w:val="00895F44"/>
    <w:rsid w:val="008962FB"/>
    <w:rsid w:val="00897375"/>
    <w:rsid w:val="008A2D5E"/>
    <w:rsid w:val="008A3CF6"/>
    <w:rsid w:val="008A71E2"/>
    <w:rsid w:val="008C0EF6"/>
    <w:rsid w:val="008E45E2"/>
    <w:rsid w:val="008E6413"/>
    <w:rsid w:val="008F1EE5"/>
    <w:rsid w:val="00904DD8"/>
    <w:rsid w:val="00917665"/>
    <w:rsid w:val="0092735A"/>
    <w:rsid w:val="00930197"/>
    <w:rsid w:val="00933FB8"/>
    <w:rsid w:val="0094729D"/>
    <w:rsid w:val="00947C89"/>
    <w:rsid w:val="00947FA7"/>
    <w:rsid w:val="009519CB"/>
    <w:rsid w:val="00952A53"/>
    <w:rsid w:val="009551A8"/>
    <w:rsid w:val="00964500"/>
    <w:rsid w:val="00966C28"/>
    <w:rsid w:val="009A4049"/>
    <w:rsid w:val="009C2F86"/>
    <w:rsid w:val="009E3968"/>
    <w:rsid w:val="009E3E93"/>
    <w:rsid w:val="00A03158"/>
    <w:rsid w:val="00A1133D"/>
    <w:rsid w:val="00A159D2"/>
    <w:rsid w:val="00A16AA2"/>
    <w:rsid w:val="00A254D7"/>
    <w:rsid w:val="00A26217"/>
    <w:rsid w:val="00A45E09"/>
    <w:rsid w:val="00A47943"/>
    <w:rsid w:val="00A53000"/>
    <w:rsid w:val="00A53CCE"/>
    <w:rsid w:val="00A617FE"/>
    <w:rsid w:val="00A62273"/>
    <w:rsid w:val="00A640B8"/>
    <w:rsid w:val="00A66F85"/>
    <w:rsid w:val="00A81CC1"/>
    <w:rsid w:val="00A82DCD"/>
    <w:rsid w:val="00A95A01"/>
    <w:rsid w:val="00AA2F94"/>
    <w:rsid w:val="00AB2BB9"/>
    <w:rsid w:val="00AB7231"/>
    <w:rsid w:val="00AC62BA"/>
    <w:rsid w:val="00AD7C38"/>
    <w:rsid w:val="00AF659B"/>
    <w:rsid w:val="00B01DE8"/>
    <w:rsid w:val="00B17EBC"/>
    <w:rsid w:val="00B22491"/>
    <w:rsid w:val="00B23169"/>
    <w:rsid w:val="00B24EFF"/>
    <w:rsid w:val="00B3071F"/>
    <w:rsid w:val="00B34067"/>
    <w:rsid w:val="00B44780"/>
    <w:rsid w:val="00B47ACD"/>
    <w:rsid w:val="00B72627"/>
    <w:rsid w:val="00B72B22"/>
    <w:rsid w:val="00B7307B"/>
    <w:rsid w:val="00B741E9"/>
    <w:rsid w:val="00B841F3"/>
    <w:rsid w:val="00B851BF"/>
    <w:rsid w:val="00B93E48"/>
    <w:rsid w:val="00B96520"/>
    <w:rsid w:val="00BA36FD"/>
    <w:rsid w:val="00BA7905"/>
    <w:rsid w:val="00BB0560"/>
    <w:rsid w:val="00BB160D"/>
    <w:rsid w:val="00BB7701"/>
    <w:rsid w:val="00BC34E1"/>
    <w:rsid w:val="00BD4173"/>
    <w:rsid w:val="00BE5201"/>
    <w:rsid w:val="00BE60EA"/>
    <w:rsid w:val="00BE61A8"/>
    <w:rsid w:val="00C064EF"/>
    <w:rsid w:val="00C06F45"/>
    <w:rsid w:val="00C11746"/>
    <w:rsid w:val="00C135E4"/>
    <w:rsid w:val="00C20320"/>
    <w:rsid w:val="00C300C5"/>
    <w:rsid w:val="00C37F25"/>
    <w:rsid w:val="00C434A7"/>
    <w:rsid w:val="00C502A1"/>
    <w:rsid w:val="00C539B0"/>
    <w:rsid w:val="00C62A1A"/>
    <w:rsid w:val="00C73957"/>
    <w:rsid w:val="00C73E65"/>
    <w:rsid w:val="00C8348B"/>
    <w:rsid w:val="00C8789F"/>
    <w:rsid w:val="00CA2164"/>
    <w:rsid w:val="00CB0EF1"/>
    <w:rsid w:val="00CC515E"/>
    <w:rsid w:val="00CC5371"/>
    <w:rsid w:val="00CD3EDF"/>
    <w:rsid w:val="00CD723E"/>
    <w:rsid w:val="00CF418C"/>
    <w:rsid w:val="00D03553"/>
    <w:rsid w:val="00D102C7"/>
    <w:rsid w:val="00D136AD"/>
    <w:rsid w:val="00D20662"/>
    <w:rsid w:val="00D33696"/>
    <w:rsid w:val="00D36F49"/>
    <w:rsid w:val="00D51CF0"/>
    <w:rsid w:val="00D54A0A"/>
    <w:rsid w:val="00D55841"/>
    <w:rsid w:val="00D61520"/>
    <w:rsid w:val="00D6259F"/>
    <w:rsid w:val="00D67CBB"/>
    <w:rsid w:val="00D83270"/>
    <w:rsid w:val="00D86BDF"/>
    <w:rsid w:val="00D909FC"/>
    <w:rsid w:val="00DC47B7"/>
    <w:rsid w:val="00DD0EE0"/>
    <w:rsid w:val="00DD571C"/>
    <w:rsid w:val="00E00FB8"/>
    <w:rsid w:val="00E06555"/>
    <w:rsid w:val="00E10994"/>
    <w:rsid w:val="00E1298C"/>
    <w:rsid w:val="00E27E05"/>
    <w:rsid w:val="00E27FE7"/>
    <w:rsid w:val="00E30C08"/>
    <w:rsid w:val="00E311D8"/>
    <w:rsid w:val="00E4367D"/>
    <w:rsid w:val="00E5352D"/>
    <w:rsid w:val="00E6018E"/>
    <w:rsid w:val="00E7135F"/>
    <w:rsid w:val="00E72723"/>
    <w:rsid w:val="00E72825"/>
    <w:rsid w:val="00E93E34"/>
    <w:rsid w:val="00EB6C11"/>
    <w:rsid w:val="00EB7721"/>
    <w:rsid w:val="00EC4CDA"/>
    <w:rsid w:val="00EC51CE"/>
    <w:rsid w:val="00EF0A89"/>
    <w:rsid w:val="00EF60DB"/>
    <w:rsid w:val="00EF7A19"/>
    <w:rsid w:val="00F00AD5"/>
    <w:rsid w:val="00F019D8"/>
    <w:rsid w:val="00F02D68"/>
    <w:rsid w:val="00F10F74"/>
    <w:rsid w:val="00F27619"/>
    <w:rsid w:val="00F33115"/>
    <w:rsid w:val="00F36AB2"/>
    <w:rsid w:val="00F37D2C"/>
    <w:rsid w:val="00F536B9"/>
    <w:rsid w:val="00F57D75"/>
    <w:rsid w:val="00F60866"/>
    <w:rsid w:val="00F71A5A"/>
    <w:rsid w:val="00F73B13"/>
    <w:rsid w:val="00F812B3"/>
    <w:rsid w:val="00F9109E"/>
    <w:rsid w:val="00F9307E"/>
    <w:rsid w:val="00FA2383"/>
    <w:rsid w:val="00FA3061"/>
    <w:rsid w:val="00FA32D3"/>
    <w:rsid w:val="00FB3796"/>
    <w:rsid w:val="00FB7683"/>
    <w:rsid w:val="00FC3FE2"/>
    <w:rsid w:val="00FC4A8D"/>
    <w:rsid w:val="00FD1BD4"/>
    <w:rsid w:val="00FE3C69"/>
    <w:rsid w:val="00FE5315"/>
    <w:rsid w:val="00FE6E0A"/>
    <w:rsid w:val="016D0514"/>
    <w:rsid w:val="018A05A6"/>
    <w:rsid w:val="02545F89"/>
    <w:rsid w:val="02A828EF"/>
    <w:rsid w:val="02E402D0"/>
    <w:rsid w:val="054A3925"/>
    <w:rsid w:val="057054C1"/>
    <w:rsid w:val="073A5CD0"/>
    <w:rsid w:val="0768700D"/>
    <w:rsid w:val="08521497"/>
    <w:rsid w:val="08985108"/>
    <w:rsid w:val="091A169D"/>
    <w:rsid w:val="0B2868E6"/>
    <w:rsid w:val="0BDF67DB"/>
    <w:rsid w:val="0D255ED1"/>
    <w:rsid w:val="0D313D37"/>
    <w:rsid w:val="0EAC58B6"/>
    <w:rsid w:val="11240E29"/>
    <w:rsid w:val="1222666A"/>
    <w:rsid w:val="141F1988"/>
    <w:rsid w:val="14235045"/>
    <w:rsid w:val="14755B4B"/>
    <w:rsid w:val="15971C74"/>
    <w:rsid w:val="15A57579"/>
    <w:rsid w:val="15B57952"/>
    <w:rsid w:val="16724B03"/>
    <w:rsid w:val="1688177E"/>
    <w:rsid w:val="16D641AB"/>
    <w:rsid w:val="17696263"/>
    <w:rsid w:val="178C38F5"/>
    <w:rsid w:val="17F10494"/>
    <w:rsid w:val="18A51576"/>
    <w:rsid w:val="1A433DFB"/>
    <w:rsid w:val="1AB04CCB"/>
    <w:rsid w:val="1B3200AA"/>
    <w:rsid w:val="1C0E6667"/>
    <w:rsid w:val="1C4D624F"/>
    <w:rsid w:val="1DD005B4"/>
    <w:rsid w:val="1E23010E"/>
    <w:rsid w:val="20570766"/>
    <w:rsid w:val="20D44D16"/>
    <w:rsid w:val="219919AA"/>
    <w:rsid w:val="21C235E3"/>
    <w:rsid w:val="229F4F4A"/>
    <w:rsid w:val="2411082B"/>
    <w:rsid w:val="2512602B"/>
    <w:rsid w:val="26DD7924"/>
    <w:rsid w:val="26E039D4"/>
    <w:rsid w:val="27182994"/>
    <w:rsid w:val="27A2697D"/>
    <w:rsid w:val="2AC101B6"/>
    <w:rsid w:val="2B026305"/>
    <w:rsid w:val="2B494FCF"/>
    <w:rsid w:val="2C24735A"/>
    <w:rsid w:val="2C75402E"/>
    <w:rsid w:val="2DA41126"/>
    <w:rsid w:val="2DD131ED"/>
    <w:rsid w:val="2DFC15B3"/>
    <w:rsid w:val="30EA28A9"/>
    <w:rsid w:val="31C548C6"/>
    <w:rsid w:val="31C769E0"/>
    <w:rsid w:val="33721A25"/>
    <w:rsid w:val="339B56F2"/>
    <w:rsid w:val="35E43746"/>
    <w:rsid w:val="37190C6D"/>
    <w:rsid w:val="38C30AA0"/>
    <w:rsid w:val="3B927094"/>
    <w:rsid w:val="3BEF6E6F"/>
    <w:rsid w:val="3D00756B"/>
    <w:rsid w:val="3D9871D5"/>
    <w:rsid w:val="3E1E1110"/>
    <w:rsid w:val="3E40586D"/>
    <w:rsid w:val="3E434D72"/>
    <w:rsid w:val="3ED65782"/>
    <w:rsid w:val="3F281FAA"/>
    <w:rsid w:val="3F8D1607"/>
    <w:rsid w:val="4000120C"/>
    <w:rsid w:val="424A21C8"/>
    <w:rsid w:val="426D30CA"/>
    <w:rsid w:val="4348516E"/>
    <w:rsid w:val="435B1636"/>
    <w:rsid w:val="43A565AF"/>
    <w:rsid w:val="44315B6E"/>
    <w:rsid w:val="44A45237"/>
    <w:rsid w:val="45570132"/>
    <w:rsid w:val="45911CC9"/>
    <w:rsid w:val="476B6A76"/>
    <w:rsid w:val="47C16A05"/>
    <w:rsid w:val="48F92B57"/>
    <w:rsid w:val="498874B3"/>
    <w:rsid w:val="49D5742F"/>
    <w:rsid w:val="4B2A6B80"/>
    <w:rsid w:val="4D097024"/>
    <w:rsid w:val="4EE2581F"/>
    <w:rsid w:val="4FA773F0"/>
    <w:rsid w:val="4FB710A5"/>
    <w:rsid w:val="5047640E"/>
    <w:rsid w:val="513C2FEF"/>
    <w:rsid w:val="535416B0"/>
    <w:rsid w:val="53DE1E56"/>
    <w:rsid w:val="54075B24"/>
    <w:rsid w:val="54726CC7"/>
    <w:rsid w:val="549C79AE"/>
    <w:rsid w:val="55370B7E"/>
    <w:rsid w:val="561F6A33"/>
    <w:rsid w:val="568D3C1A"/>
    <w:rsid w:val="5749481C"/>
    <w:rsid w:val="577F0A1C"/>
    <w:rsid w:val="57C743D5"/>
    <w:rsid w:val="587E6E72"/>
    <w:rsid w:val="58917381"/>
    <w:rsid w:val="58B71467"/>
    <w:rsid w:val="595D2780"/>
    <w:rsid w:val="59C52EBB"/>
    <w:rsid w:val="59FE6D15"/>
    <w:rsid w:val="5AD2558F"/>
    <w:rsid w:val="5AE17E91"/>
    <w:rsid w:val="5AE45C23"/>
    <w:rsid w:val="5B640283"/>
    <w:rsid w:val="5C103A0B"/>
    <w:rsid w:val="5C7C7903"/>
    <w:rsid w:val="5CDE0847"/>
    <w:rsid w:val="5DC513CE"/>
    <w:rsid w:val="5E155921"/>
    <w:rsid w:val="5E3343B1"/>
    <w:rsid w:val="5F5E526A"/>
    <w:rsid w:val="60181633"/>
    <w:rsid w:val="61225D94"/>
    <w:rsid w:val="61B07D54"/>
    <w:rsid w:val="62432758"/>
    <w:rsid w:val="641E3F20"/>
    <w:rsid w:val="644C4128"/>
    <w:rsid w:val="64D150BA"/>
    <w:rsid w:val="65DE5A29"/>
    <w:rsid w:val="665E09E7"/>
    <w:rsid w:val="66B172CC"/>
    <w:rsid w:val="66FB5365"/>
    <w:rsid w:val="692708AD"/>
    <w:rsid w:val="6D581E74"/>
    <w:rsid w:val="6DEB7ED4"/>
    <w:rsid w:val="6E140614"/>
    <w:rsid w:val="6E606CA1"/>
    <w:rsid w:val="71025E6A"/>
    <w:rsid w:val="73583051"/>
    <w:rsid w:val="745F4183"/>
    <w:rsid w:val="74D8127C"/>
    <w:rsid w:val="758624A1"/>
    <w:rsid w:val="78686C15"/>
    <w:rsid w:val="789F16EE"/>
    <w:rsid w:val="7ABD758C"/>
    <w:rsid w:val="7AE20445"/>
    <w:rsid w:val="7B966152"/>
    <w:rsid w:val="7DEB646C"/>
    <w:rsid w:val="7EE0482B"/>
    <w:rsid w:val="7EE31167"/>
    <w:rsid w:val="7F402DB6"/>
    <w:rsid w:val="7F8157C6"/>
    <w:rsid w:val="7FBE3A61"/>
    <w:rsid w:val="7FCB76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name="index 7"/>
    <w:lsdException w:qFormat="1" w:unhideWhenUsed="0" w:uiPriority="0" w:semiHidden="0"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61"/>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62"/>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63"/>
    <w:qFormat/>
    <w:uiPriority w:val="0"/>
    <w:pPr>
      <w:keepNext/>
      <w:keepLines/>
      <w:spacing w:before="260" w:after="260" w:line="416" w:lineRule="auto"/>
      <w:outlineLvl w:val="2"/>
    </w:pPr>
    <w:rPr>
      <w:b/>
      <w:bCs/>
      <w:sz w:val="32"/>
      <w:szCs w:val="32"/>
    </w:rPr>
  </w:style>
  <w:style w:type="paragraph" w:styleId="8">
    <w:name w:val="heading 4"/>
    <w:basedOn w:val="1"/>
    <w:next w:val="1"/>
    <w:link w:val="64"/>
    <w:qFormat/>
    <w:uiPriority w:val="0"/>
    <w:pPr>
      <w:keepNext/>
      <w:keepLines/>
      <w:spacing w:before="280" w:after="290" w:line="376" w:lineRule="auto"/>
      <w:outlineLvl w:val="3"/>
    </w:pPr>
    <w:rPr>
      <w:rFonts w:ascii="Cambria" w:hAnsi="Cambria"/>
      <w:b/>
      <w:bCs/>
      <w:sz w:val="28"/>
      <w:szCs w:val="28"/>
    </w:rPr>
  </w:style>
  <w:style w:type="paragraph" w:styleId="9">
    <w:name w:val="heading 5"/>
    <w:basedOn w:val="1"/>
    <w:next w:val="1"/>
    <w:link w:val="104"/>
    <w:qFormat/>
    <w:uiPriority w:val="0"/>
    <w:pPr>
      <w:keepNext/>
      <w:keepLines/>
      <w:spacing w:before="280" w:after="290" w:line="372" w:lineRule="auto"/>
      <w:outlineLvl w:val="4"/>
    </w:pPr>
    <w:rPr>
      <w:b/>
      <w:sz w:val="28"/>
      <w:szCs w:val="20"/>
    </w:rPr>
  </w:style>
  <w:style w:type="paragraph" w:styleId="10">
    <w:name w:val="heading 6"/>
    <w:basedOn w:val="1"/>
    <w:next w:val="1"/>
    <w:link w:val="105"/>
    <w:qFormat/>
    <w:uiPriority w:val="0"/>
    <w:pPr>
      <w:keepNext/>
      <w:keepLines/>
      <w:spacing w:before="240" w:after="64" w:line="317" w:lineRule="auto"/>
      <w:outlineLvl w:val="5"/>
    </w:pPr>
    <w:rPr>
      <w:rFonts w:ascii="Cambria" w:hAnsi="Cambria"/>
      <w:b/>
      <w:bCs/>
      <w:sz w:val="24"/>
    </w:rPr>
  </w:style>
  <w:style w:type="paragraph" w:styleId="11">
    <w:name w:val="heading 7"/>
    <w:basedOn w:val="1"/>
    <w:next w:val="1"/>
    <w:link w:val="106"/>
    <w:qFormat/>
    <w:uiPriority w:val="0"/>
    <w:pPr>
      <w:keepNext/>
      <w:keepLines/>
      <w:spacing w:before="240" w:after="64" w:line="317" w:lineRule="auto"/>
      <w:outlineLvl w:val="6"/>
    </w:pPr>
    <w:rPr>
      <w:rFonts w:ascii="Calibri" w:hAnsi="Calibri"/>
      <w:b/>
      <w:bCs/>
      <w:sz w:val="24"/>
    </w:rPr>
  </w:style>
  <w:style w:type="paragraph" w:styleId="12">
    <w:name w:val="heading 8"/>
    <w:basedOn w:val="1"/>
    <w:next w:val="1"/>
    <w:link w:val="107"/>
    <w:qFormat/>
    <w:uiPriority w:val="0"/>
    <w:pPr>
      <w:keepNext/>
      <w:keepLines/>
      <w:spacing w:before="240" w:after="64" w:line="317" w:lineRule="auto"/>
      <w:outlineLvl w:val="7"/>
    </w:pPr>
    <w:rPr>
      <w:rFonts w:ascii="Cambria" w:hAnsi="Cambria"/>
      <w:sz w:val="24"/>
    </w:rPr>
  </w:style>
  <w:style w:type="paragraph" w:styleId="13">
    <w:name w:val="heading 9"/>
    <w:basedOn w:val="1"/>
    <w:next w:val="1"/>
    <w:link w:val="108"/>
    <w:qFormat/>
    <w:uiPriority w:val="0"/>
    <w:pPr>
      <w:keepNext/>
      <w:keepLines/>
      <w:spacing w:before="240" w:after="64" w:line="317" w:lineRule="auto"/>
      <w:outlineLvl w:val="8"/>
    </w:pPr>
    <w:rPr>
      <w:rFonts w:ascii="Cambria" w:hAnsi="Cambria"/>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8"/>
    <w:qFormat/>
    <w:uiPriority w:val="0"/>
    <w:pPr>
      <w:spacing w:after="120"/>
    </w:pPr>
  </w:style>
  <w:style w:type="paragraph" w:styleId="3">
    <w:name w:val="Subtitle"/>
    <w:basedOn w:val="1"/>
    <w:next w:val="1"/>
    <w:link w:val="153"/>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5">
    <w:name w:val="No Spacing"/>
    <w:next w:val="1"/>
    <w:qFormat/>
    <w:uiPriority w:val="0"/>
    <w:pPr>
      <w:widowControl w:val="0"/>
      <w:jc w:val="both"/>
    </w:pPr>
    <w:rPr>
      <w:rFonts w:ascii="Calibri" w:hAnsi="Calibri" w:eastAsia="宋体" w:cs="Times New Roman"/>
      <w:kern w:val="2"/>
      <w:sz w:val="21"/>
      <w:szCs w:val="22"/>
      <w:lang w:val="en-US" w:eastAsia="zh-CN" w:bidi="ar-SA"/>
    </w:rPr>
  </w:style>
  <w:style w:type="paragraph" w:styleId="14">
    <w:name w:val="toc 7"/>
    <w:basedOn w:val="1"/>
    <w:next w:val="1"/>
    <w:qFormat/>
    <w:uiPriority w:val="39"/>
    <w:pPr>
      <w:ind w:left="2520" w:leftChars="1200"/>
    </w:pPr>
    <w:rPr>
      <w:rFonts w:ascii="Calibri" w:hAnsi="Calibri"/>
      <w:szCs w:val="22"/>
    </w:rPr>
  </w:style>
  <w:style w:type="paragraph" w:styleId="15">
    <w:name w:val="index 8"/>
    <w:basedOn w:val="1"/>
    <w:next w:val="1"/>
    <w:qFormat/>
    <w:uiPriority w:val="0"/>
    <w:pPr>
      <w:spacing w:line="276" w:lineRule="auto"/>
      <w:jc w:val="left"/>
    </w:pPr>
    <w:rPr>
      <w:rFonts w:ascii="宋体" w:hAnsi="宋体"/>
      <w:color w:val="FF0000"/>
      <w:szCs w:val="21"/>
    </w:rPr>
  </w:style>
  <w:style w:type="paragraph" w:styleId="16">
    <w:name w:val="Normal Indent"/>
    <w:basedOn w:val="1"/>
    <w:link w:val="67"/>
    <w:qFormat/>
    <w:uiPriority w:val="0"/>
    <w:pPr>
      <w:ind w:firstLine="420" w:firstLineChars="200"/>
    </w:pPr>
  </w:style>
  <w:style w:type="paragraph" w:styleId="17">
    <w:name w:val="caption"/>
    <w:basedOn w:val="1"/>
    <w:next w:val="1"/>
    <w:qFormat/>
    <w:uiPriority w:val="0"/>
    <w:pPr>
      <w:ind w:firstLine="6290" w:firstLineChars="2282"/>
    </w:pPr>
    <w:rPr>
      <w:b/>
      <w:color w:val="000080"/>
      <w:sz w:val="28"/>
      <w:szCs w:val="20"/>
    </w:rPr>
  </w:style>
  <w:style w:type="paragraph" w:styleId="18">
    <w:name w:val="Document Map"/>
    <w:basedOn w:val="1"/>
    <w:link w:val="93"/>
    <w:qFormat/>
    <w:uiPriority w:val="0"/>
    <w:pPr>
      <w:shd w:val="clear" w:color="auto" w:fill="000080"/>
    </w:pPr>
  </w:style>
  <w:style w:type="paragraph" w:styleId="19">
    <w:name w:val="annotation text"/>
    <w:basedOn w:val="1"/>
    <w:link w:val="79"/>
    <w:qFormat/>
    <w:uiPriority w:val="0"/>
    <w:pPr>
      <w:jc w:val="left"/>
    </w:pPr>
    <w:rPr>
      <w:rFonts w:asciiTheme="minorHAnsi" w:hAnsiTheme="minorHAnsi" w:eastAsiaTheme="minorEastAsia" w:cstheme="minorBidi"/>
      <w:sz w:val="18"/>
      <w:szCs w:val="22"/>
    </w:rPr>
  </w:style>
  <w:style w:type="paragraph" w:styleId="20">
    <w:name w:val="Body Text 3"/>
    <w:basedOn w:val="1"/>
    <w:semiHidden/>
    <w:unhideWhenUsed/>
    <w:qFormat/>
    <w:uiPriority w:val="99"/>
    <w:pPr>
      <w:spacing w:after="120"/>
    </w:pPr>
    <w:rPr>
      <w:sz w:val="16"/>
      <w:szCs w:val="16"/>
    </w:rPr>
  </w:style>
  <w:style w:type="paragraph" w:styleId="21">
    <w:name w:val="Body Text Indent"/>
    <w:basedOn w:val="1"/>
    <w:link w:val="68"/>
    <w:qFormat/>
    <w:uiPriority w:val="0"/>
    <w:pPr>
      <w:ind w:firstLine="630"/>
    </w:pPr>
    <w:rPr>
      <w:sz w:val="32"/>
      <w:szCs w:val="20"/>
    </w:rPr>
  </w:style>
  <w:style w:type="paragraph" w:styleId="22">
    <w:name w:val="index 4"/>
    <w:basedOn w:val="1"/>
    <w:next w:val="1"/>
    <w:qFormat/>
    <w:uiPriority w:val="0"/>
    <w:pPr>
      <w:ind w:left="600" w:leftChars="600"/>
    </w:pPr>
  </w:style>
  <w:style w:type="paragraph" w:styleId="23">
    <w:name w:val="toc 5"/>
    <w:basedOn w:val="1"/>
    <w:next w:val="1"/>
    <w:qFormat/>
    <w:uiPriority w:val="39"/>
    <w:pPr>
      <w:tabs>
        <w:tab w:val="right" w:leader="dot" w:pos="8296"/>
      </w:tabs>
      <w:ind w:left="1050" w:leftChars="500"/>
    </w:pPr>
    <w:rPr>
      <w:rFonts w:ascii="Calibri" w:hAnsi="Calibri"/>
      <w:szCs w:val="22"/>
    </w:rPr>
  </w:style>
  <w:style w:type="paragraph" w:styleId="24">
    <w:name w:val="toc 3"/>
    <w:basedOn w:val="1"/>
    <w:next w:val="1"/>
    <w:unhideWhenUsed/>
    <w:qFormat/>
    <w:uiPriority w:val="39"/>
    <w:pPr>
      <w:ind w:left="840" w:leftChars="400"/>
    </w:pPr>
  </w:style>
  <w:style w:type="paragraph" w:styleId="25">
    <w:name w:val="Plain Text"/>
    <w:basedOn w:val="1"/>
    <w:link w:val="81"/>
    <w:qFormat/>
    <w:uiPriority w:val="0"/>
    <w:pPr>
      <w:autoSpaceDE w:val="0"/>
      <w:autoSpaceDN w:val="0"/>
      <w:adjustRightInd w:val="0"/>
    </w:pPr>
    <w:rPr>
      <w:rFonts w:ascii="宋体" w:hAnsi="Tms Rmn" w:cstheme="minorBidi"/>
      <w:szCs w:val="22"/>
    </w:rPr>
  </w:style>
  <w:style w:type="paragraph" w:styleId="26">
    <w:name w:val="toc 8"/>
    <w:basedOn w:val="1"/>
    <w:next w:val="1"/>
    <w:qFormat/>
    <w:uiPriority w:val="39"/>
    <w:pPr>
      <w:ind w:left="2940" w:leftChars="1400"/>
    </w:pPr>
    <w:rPr>
      <w:rFonts w:ascii="Calibri" w:hAnsi="Calibri"/>
      <w:szCs w:val="22"/>
    </w:rPr>
  </w:style>
  <w:style w:type="paragraph" w:styleId="27">
    <w:name w:val="Date"/>
    <w:basedOn w:val="1"/>
    <w:next w:val="1"/>
    <w:link w:val="120"/>
    <w:qFormat/>
    <w:uiPriority w:val="0"/>
    <w:rPr>
      <w:szCs w:val="20"/>
    </w:rPr>
  </w:style>
  <w:style w:type="paragraph" w:styleId="28">
    <w:name w:val="Body Text Indent 2"/>
    <w:basedOn w:val="1"/>
    <w:link w:val="71"/>
    <w:qFormat/>
    <w:uiPriority w:val="0"/>
    <w:pPr>
      <w:spacing w:after="120" w:line="480" w:lineRule="auto"/>
      <w:ind w:left="420" w:leftChars="200"/>
    </w:pPr>
  </w:style>
  <w:style w:type="paragraph" w:styleId="29">
    <w:name w:val="Balloon Text"/>
    <w:basedOn w:val="1"/>
    <w:link w:val="77"/>
    <w:qFormat/>
    <w:uiPriority w:val="0"/>
    <w:rPr>
      <w:sz w:val="18"/>
      <w:szCs w:val="18"/>
    </w:rPr>
  </w:style>
  <w:style w:type="paragraph" w:styleId="30">
    <w:name w:val="footer"/>
    <w:basedOn w:val="1"/>
    <w:link w:val="60"/>
    <w:unhideWhenUsed/>
    <w:qFormat/>
    <w:uiPriority w:val="99"/>
    <w:pPr>
      <w:tabs>
        <w:tab w:val="center" w:pos="4153"/>
        <w:tab w:val="right" w:pos="8306"/>
      </w:tabs>
      <w:snapToGrid w:val="0"/>
      <w:jc w:val="left"/>
    </w:pPr>
    <w:rPr>
      <w:sz w:val="18"/>
      <w:szCs w:val="18"/>
    </w:rPr>
  </w:style>
  <w:style w:type="paragraph" w:styleId="31">
    <w:name w:val="header"/>
    <w:basedOn w:val="1"/>
    <w:link w:val="59"/>
    <w:unhideWhenUsed/>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unhideWhenUsed/>
    <w:qFormat/>
    <w:uiPriority w:val="39"/>
    <w:pPr>
      <w:tabs>
        <w:tab w:val="right" w:leader="dot" w:pos="9345"/>
      </w:tabs>
      <w:spacing w:line="480" w:lineRule="auto"/>
      <w:ind w:right="-50" w:rightChars="-50"/>
      <w:jc w:val="left"/>
    </w:pPr>
    <w:rPr>
      <w:bCs/>
      <w:caps/>
      <w:sz w:val="24"/>
      <w:szCs w:val="20"/>
    </w:rPr>
  </w:style>
  <w:style w:type="paragraph" w:styleId="33">
    <w:name w:val="toc 4"/>
    <w:basedOn w:val="1"/>
    <w:next w:val="1"/>
    <w:qFormat/>
    <w:uiPriority w:val="39"/>
    <w:pPr>
      <w:tabs>
        <w:tab w:val="left" w:pos="1890"/>
        <w:tab w:val="right" w:leader="dot" w:pos="8296"/>
      </w:tabs>
      <w:ind w:left="630" w:leftChars="300"/>
    </w:pPr>
    <w:rPr>
      <w:rFonts w:ascii="Calibri" w:hAnsi="Calibri"/>
      <w:szCs w:val="22"/>
    </w:rPr>
  </w:style>
  <w:style w:type="paragraph" w:styleId="34">
    <w:name w:val="toc 6"/>
    <w:basedOn w:val="1"/>
    <w:next w:val="1"/>
    <w:qFormat/>
    <w:uiPriority w:val="39"/>
    <w:pPr>
      <w:ind w:left="2100" w:leftChars="1000"/>
    </w:pPr>
    <w:rPr>
      <w:rFonts w:ascii="Calibri" w:hAnsi="Calibri"/>
      <w:szCs w:val="22"/>
    </w:rPr>
  </w:style>
  <w:style w:type="paragraph" w:styleId="35">
    <w:name w:val="Body Text Indent 3"/>
    <w:basedOn w:val="1"/>
    <w:link w:val="72"/>
    <w:qFormat/>
    <w:uiPriority w:val="0"/>
    <w:pPr>
      <w:spacing w:after="120"/>
      <w:ind w:left="420" w:leftChars="200"/>
    </w:pPr>
    <w:rPr>
      <w:sz w:val="16"/>
      <w:szCs w:val="16"/>
    </w:rPr>
  </w:style>
  <w:style w:type="paragraph" w:styleId="36">
    <w:name w:val="index 7"/>
    <w:basedOn w:val="1"/>
    <w:next w:val="1"/>
    <w:semiHidden/>
    <w:unhideWhenUsed/>
    <w:qFormat/>
    <w:uiPriority w:val="99"/>
    <w:pPr>
      <w:ind w:left="1200" w:leftChars="1200"/>
    </w:pPr>
    <w:rPr>
      <w:szCs w:val="20"/>
    </w:rPr>
  </w:style>
  <w:style w:type="paragraph" w:styleId="37">
    <w:name w:val="toc 2"/>
    <w:basedOn w:val="1"/>
    <w:next w:val="1"/>
    <w:unhideWhenUsed/>
    <w:qFormat/>
    <w:uiPriority w:val="39"/>
    <w:pPr>
      <w:spacing w:line="400" w:lineRule="exact"/>
      <w:ind w:left="210" w:leftChars="100" w:firstLine="480" w:firstLineChars="200"/>
      <w:jc w:val="left"/>
    </w:pPr>
    <w:rPr>
      <w:smallCaps/>
      <w:color w:val="000000"/>
      <w:sz w:val="24"/>
    </w:rPr>
  </w:style>
  <w:style w:type="paragraph" w:styleId="38">
    <w:name w:val="toc 9"/>
    <w:basedOn w:val="1"/>
    <w:next w:val="1"/>
    <w:qFormat/>
    <w:uiPriority w:val="39"/>
    <w:pPr>
      <w:ind w:left="3360" w:leftChars="1600"/>
    </w:pPr>
    <w:rPr>
      <w:rFonts w:ascii="Calibri" w:hAnsi="Calibri"/>
      <w:szCs w:val="22"/>
    </w:rPr>
  </w:style>
  <w:style w:type="paragraph" w:styleId="39">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40">
    <w:name w:val="Title"/>
    <w:basedOn w:val="1"/>
    <w:next w:val="1"/>
    <w:link w:val="103"/>
    <w:qFormat/>
    <w:uiPriority w:val="0"/>
    <w:pPr>
      <w:spacing w:before="240" w:after="60"/>
      <w:jc w:val="center"/>
      <w:outlineLvl w:val="0"/>
    </w:pPr>
    <w:rPr>
      <w:rFonts w:ascii="Cambria" w:hAnsi="Cambria" w:eastAsiaTheme="minorEastAsia" w:cstheme="minorBidi"/>
      <w:b/>
      <w:bCs/>
      <w:sz w:val="32"/>
      <w:szCs w:val="32"/>
    </w:rPr>
  </w:style>
  <w:style w:type="paragraph" w:styleId="41">
    <w:name w:val="annotation subject"/>
    <w:basedOn w:val="19"/>
    <w:next w:val="19"/>
    <w:link w:val="99"/>
    <w:qFormat/>
    <w:uiPriority w:val="0"/>
    <w:rPr>
      <w:b/>
      <w:bCs/>
      <w:sz w:val="21"/>
      <w:szCs w:val="24"/>
    </w:rPr>
  </w:style>
  <w:style w:type="paragraph" w:styleId="42">
    <w:name w:val="Body Text First Indent"/>
    <w:basedOn w:val="2"/>
    <w:qFormat/>
    <w:uiPriority w:val="0"/>
    <w:pPr>
      <w:snapToGrid w:val="0"/>
      <w:spacing w:before="40" w:after="40" w:line="288" w:lineRule="auto"/>
      <w:ind w:firstLine="482"/>
    </w:pPr>
    <w:rPr>
      <w:rFonts w:ascii="仿宋_GB2312" w:eastAsia="仿宋_GB2312"/>
      <w:sz w:val="28"/>
      <w:szCs w:val="20"/>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basedOn w:val="45"/>
    <w:unhideWhenUsed/>
    <w:qFormat/>
    <w:uiPriority w:val="0"/>
    <w:rPr>
      <w:color w:val="800080"/>
      <w:u w:val="single"/>
    </w:rPr>
  </w:style>
  <w:style w:type="character" w:styleId="49">
    <w:name w:val="Emphasis"/>
    <w:qFormat/>
    <w:uiPriority w:val="0"/>
    <w:rPr>
      <w:i/>
      <w:iCs/>
    </w:rPr>
  </w:style>
  <w:style w:type="character" w:styleId="50">
    <w:name w:val="HTML Definition"/>
    <w:basedOn w:val="45"/>
    <w:semiHidden/>
    <w:unhideWhenUsed/>
    <w:qFormat/>
    <w:uiPriority w:val="99"/>
  </w:style>
  <w:style w:type="character" w:styleId="51">
    <w:name w:val="HTML Variable"/>
    <w:basedOn w:val="45"/>
    <w:semiHidden/>
    <w:unhideWhenUsed/>
    <w:qFormat/>
    <w:uiPriority w:val="99"/>
  </w:style>
  <w:style w:type="character" w:styleId="52">
    <w:name w:val="Hyperlink"/>
    <w:basedOn w:val="45"/>
    <w:qFormat/>
    <w:uiPriority w:val="99"/>
    <w:rPr>
      <w:color w:val="0000FF"/>
      <w:u w:val="single"/>
    </w:rPr>
  </w:style>
  <w:style w:type="character" w:styleId="53">
    <w:name w:val="HTML Code"/>
    <w:basedOn w:val="45"/>
    <w:semiHidden/>
    <w:unhideWhenUsed/>
    <w:qFormat/>
    <w:uiPriority w:val="99"/>
    <w:rPr>
      <w:rFonts w:ascii="Courier New" w:hAnsi="Courier New"/>
      <w:sz w:val="20"/>
    </w:rPr>
  </w:style>
  <w:style w:type="character" w:styleId="54">
    <w:name w:val="annotation reference"/>
    <w:basedOn w:val="45"/>
    <w:qFormat/>
    <w:uiPriority w:val="0"/>
    <w:rPr>
      <w:sz w:val="21"/>
      <w:szCs w:val="21"/>
    </w:rPr>
  </w:style>
  <w:style w:type="character" w:styleId="55">
    <w:name w:val="HTML Cite"/>
    <w:basedOn w:val="45"/>
    <w:semiHidden/>
    <w:unhideWhenUsed/>
    <w:qFormat/>
    <w:uiPriority w:val="99"/>
  </w:style>
  <w:style w:type="character" w:styleId="56">
    <w:name w:val="HTML Sample"/>
    <w:basedOn w:val="45"/>
    <w:semiHidden/>
    <w:unhideWhenUsed/>
    <w:uiPriority w:val="99"/>
    <w:rPr>
      <w:rFonts w:ascii="Courier New" w:hAnsi="Courier New"/>
    </w:rPr>
  </w:style>
  <w:style w:type="paragraph" w:customStyle="1" w:styleId="57">
    <w:name w:val="样式3"/>
    <w:basedOn w:val="4"/>
    <w:next w:val="1"/>
    <w:qFormat/>
    <w:uiPriority w:val="0"/>
    <w:pPr>
      <w:spacing w:line="576" w:lineRule="auto"/>
    </w:pPr>
    <w:rPr>
      <w:bCs w:val="0"/>
      <w:szCs w:val="20"/>
    </w:rPr>
  </w:style>
  <w:style w:type="paragraph" w:customStyle="1" w:styleId="58">
    <w:name w:val="Default"/>
    <w:next w:val="1"/>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character" w:customStyle="1" w:styleId="59">
    <w:name w:val="页眉 Char"/>
    <w:basedOn w:val="45"/>
    <w:link w:val="31"/>
    <w:qFormat/>
    <w:uiPriority w:val="0"/>
    <w:rPr>
      <w:sz w:val="18"/>
      <w:szCs w:val="18"/>
    </w:rPr>
  </w:style>
  <w:style w:type="character" w:customStyle="1" w:styleId="60">
    <w:name w:val="页脚 Char"/>
    <w:basedOn w:val="45"/>
    <w:link w:val="30"/>
    <w:qFormat/>
    <w:uiPriority w:val="99"/>
    <w:rPr>
      <w:sz w:val="18"/>
      <w:szCs w:val="18"/>
    </w:rPr>
  </w:style>
  <w:style w:type="character" w:customStyle="1" w:styleId="61">
    <w:name w:val="标题 1 Char"/>
    <w:basedOn w:val="45"/>
    <w:link w:val="4"/>
    <w:qFormat/>
    <w:uiPriority w:val="0"/>
    <w:rPr>
      <w:rFonts w:ascii="Times New Roman" w:hAnsi="Times New Roman" w:eastAsia="宋体" w:cs="Times New Roman"/>
      <w:b/>
      <w:bCs/>
      <w:kern w:val="44"/>
      <w:sz w:val="44"/>
      <w:szCs w:val="44"/>
    </w:rPr>
  </w:style>
  <w:style w:type="character" w:customStyle="1" w:styleId="62">
    <w:name w:val="标题 2 Char"/>
    <w:basedOn w:val="45"/>
    <w:link w:val="6"/>
    <w:qFormat/>
    <w:uiPriority w:val="0"/>
    <w:rPr>
      <w:rFonts w:ascii="Arial" w:hAnsi="Arial" w:eastAsia="黑体" w:cs="Times New Roman"/>
      <w:b/>
      <w:bCs/>
      <w:sz w:val="32"/>
      <w:szCs w:val="32"/>
    </w:rPr>
  </w:style>
  <w:style w:type="character" w:customStyle="1" w:styleId="63">
    <w:name w:val="标题 3 Char"/>
    <w:basedOn w:val="45"/>
    <w:link w:val="7"/>
    <w:qFormat/>
    <w:uiPriority w:val="0"/>
    <w:rPr>
      <w:rFonts w:ascii="Times New Roman" w:hAnsi="Times New Roman" w:eastAsia="宋体" w:cs="Times New Roman"/>
      <w:b/>
      <w:bCs/>
      <w:sz w:val="32"/>
      <w:szCs w:val="32"/>
    </w:rPr>
  </w:style>
  <w:style w:type="character" w:customStyle="1" w:styleId="64">
    <w:name w:val="标题 4 Char"/>
    <w:basedOn w:val="45"/>
    <w:link w:val="8"/>
    <w:qFormat/>
    <w:uiPriority w:val="0"/>
    <w:rPr>
      <w:rFonts w:ascii="Cambria" w:hAnsi="Cambria" w:eastAsia="宋体" w:cs="Times New Roman"/>
      <w:b/>
      <w:bCs/>
      <w:sz w:val="28"/>
      <w:szCs w:val="28"/>
    </w:rPr>
  </w:style>
  <w:style w:type="character" w:customStyle="1" w:styleId="65">
    <w:name w:val="页脚 Char1"/>
    <w:qFormat/>
    <w:uiPriority w:val="99"/>
    <w:rPr>
      <w:rFonts w:eastAsia="宋体"/>
      <w:kern w:val="2"/>
      <w:sz w:val="18"/>
      <w:lang w:val="en-US" w:eastAsia="zh-CN" w:bidi="ar-SA"/>
    </w:rPr>
  </w:style>
  <w:style w:type="character" w:customStyle="1" w:styleId="66">
    <w:name w:val="页眉 Char1"/>
    <w:qFormat/>
    <w:uiPriority w:val="99"/>
    <w:rPr>
      <w:rFonts w:eastAsia="宋体"/>
      <w:kern w:val="2"/>
      <w:sz w:val="18"/>
      <w:lang w:val="en-US" w:eastAsia="zh-CN" w:bidi="ar-SA"/>
    </w:rPr>
  </w:style>
  <w:style w:type="character" w:customStyle="1" w:styleId="67">
    <w:name w:val="正文缩进 Char"/>
    <w:link w:val="16"/>
    <w:qFormat/>
    <w:uiPriority w:val="0"/>
    <w:rPr>
      <w:rFonts w:ascii="Times New Roman" w:hAnsi="Times New Roman" w:eastAsia="宋体" w:cs="Times New Roman"/>
      <w:szCs w:val="24"/>
    </w:rPr>
  </w:style>
  <w:style w:type="character" w:customStyle="1" w:styleId="68">
    <w:name w:val="正文文本缩进 Char"/>
    <w:basedOn w:val="45"/>
    <w:link w:val="21"/>
    <w:qFormat/>
    <w:uiPriority w:val="0"/>
    <w:rPr>
      <w:rFonts w:ascii="Times New Roman" w:hAnsi="Times New Roman" w:eastAsia="宋体" w:cs="Times New Roman"/>
      <w:sz w:val="32"/>
      <w:szCs w:val="20"/>
    </w:rPr>
  </w:style>
  <w:style w:type="paragraph" w:customStyle="1" w:styleId="69">
    <w:name w:val="正文首行缩进两字符"/>
    <w:basedOn w:val="1"/>
    <w:qFormat/>
    <w:uiPriority w:val="0"/>
    <w:pPr>
      <w:spacing w:line="360" w:lineRule="auto"/>
      <w:ind w:firstLine="200" w:firstLineChars="200"/>
    </w:pPr>
  </w:style>
  <w:style w:type="paragraph" w:customStyle="1" w:styleId="7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71">
    <w:name w:val="正文文本缩进 2 Char"/>
    <w:basedOn w:val="45"/>
    <w:link w:val="28"/>
    <w:qFormat/>
    <w:uiPriority w:val="0"/>
    <w:rPr>
      <w:rFonts w:ascii="Times New Roman" w:hAnsi="Times New Roman" w:eastAsia="宋体" w:cs="Times New Roman"/>
      <w:szCs w:val="24"/>
    </w:rPr>
  </w:style>
  <w:style w:type="character" w:customStyle="1" w:styleId="72">
    <w:name w:val="正文文本缩进 3 Char"/>
    <w:basedOn w:val="45"/>
    <w:link w:val="35"/>
    <w:qFormat/>
    <w:uiPriority w:val="0"/>
    <w:rPr>
      <w:rFonts w:ascii="Times New Roman" w:hAnsi="Times New Roman" w:eastAsia="宋体" w:cs="Times New Roman"/>
      <w:sz w:val="16"/>
      <w:szCs w:val="16"/>
    </w:rPr>
  </w:style>
  <w:style w:type="paragraph" w:customStyle="1" w:styleId="7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4">
    <w:name w:val="表格"/>
    <w:basedOn w:val="1"/>
    <w:qFormat/>
    <w:uiPriority w:val="0"/>
    <w:pPr>
      <w:spacing w:line="400" w:lineRule="exact"/>
    </w:pPr>
    <w:rPr>
      <w:sz w:val="24"/>
    </w:rPr>
  </w:style>
  <w:style w:type="paragraph" w:customStyle="1" w:styleId="75">
    <w:name w:val="样式 首行缩进:  2 字符"/>
    <w:basedOn w:val="1"/>
    <w:qFormat/>
    <w:uiPriority w:val="0"/>
    <w:pPr>
      <w:spacing w:line="400" w:lineRule="exact"/>
      <w:ind w:firstLine="200" w:firstLineChars="200"/>
    </w:pPr>
    <w:rPr>
      <w:rFonts w:cs="宋体"/>
      <w:sz w:val="24"/>
    </w:rPr>
  </w:style>
  <w:style w:type="character" w:customStyle="1" w:styleId="76">
    <w:name w:val="（符号）邀请函中一、"/>
    <w:basedOn w:val="45"/>
    <w:qFormat/>
    <w:uiPriority w:val="0"/>
    <w:rPr>
      <w:rFonts w:ascii="黑体" w:hAnsi="黑体" w:eastAsia="黑体"/>
      <w:b/>
      <w:bCs/>
      <w:sz w:val="24"/>
    </w:rPr>
  </w:style>
  <w:style w:type="character" w:customStyle="1" w:styleId="77">
    <w:name w:val="批注框文本 Char"/>
    <w:basedOn w:val="45"/>
    <w:link w:val="29"/>
    <w:qFormat/>
    <w:uiPriority w:val="0"/>
    <w:rPr>
      <w:rFonts w:ascii="Times New Roman" w:hAnsi="Times New Roman" w:eastAsia="宋体" w:cs="Times New Roman"/>
      <w:sz w:val="18"/>
      <w:szCs w:val="18"/>
    </w:rPr>
  </w:style>
  <w:style w:type="character" w:customStyle="1" w:styleId="78">
    <w:name w:val="Char Char9"/>
    <w:qFormat/>
    <w:uiPriority w:val="0"/>
    <w:rPr>
      <w:kern w:val="2"/>
      <w:sz w:val="21"/>
    </w:rPr>
  </w:style>
  <w:style w:type="character" w:customStyle="1" w:styleId="79">
    <w:name w:val="批注文字 Char1"/>
    <w:link w:val="19"/>
    <w:qFormat/>
    <w:uiPriority w:val="0"/>
    <w:rPr>
      <w:sz w:val="18"/>
    </w:rPr>
  </w:style>
  <w:style w:type="character" w:customStyle="1" w:styleId="80">
    <w:name w:val="批注文字 Char"/>
    <w:basedOn w:val="45"/>
    <w:qFormat/>
    <w:uiPriority w:val="99"/>
    <w:rPr>
      <w:rFonts w:ascii="Times New Roman" w:hAnsi="Times New Roman" w:eastAsia="宋体" w:cs="Times New Roman"/>
      <w:szCs w:val="24"/>
    </w:rPr>
  </w:style>
  <w:style w:type="character" w:customStyle="1" w:styleId="81">
    <w:name w:val="纯文本 Char"/>
    <w:link w:val="25"/>
    <w:unhideWhenUsed/>
    <w:qFormat/>
    <w:uiPriority w:val="0"/>
    <w:rPr>
      <w:rFonts w:ascii="宋体" w:hAnsi="Tms Rmn" w:eastAsia="宋体"/>
    </w:rPr>
  </w:style>
  <w:style w:type="character" w:customStyle="1" w:styleId="82">
    <w:name w:val="纯文本 Char1"/>
    <w:basedOn w:val="45"/>
    <w:qFormat/>
    <w:uiPriority w:val="99"/>
    <w:rPr>
      <w:rFonts w:ascii="宋体" w:hAnsi="Courier New" w:eastAsia="宋体" w:cs="Courier New"/>
      <w:szCs w:val="21"/>
    </w:rPr>
  </w:style>
  <w:style w:type="paragraph" w:customStyle="1" w:styleId="83">
    <w:name w:val="GW-正文"/>
    <w:basedOn w:val="1"/>
    <w:link w:val="84"/>
    <w:qFormat/>
    <w:uiPriority w:val="0"/>
    <w:pPr>
      <w:spacing w:line="360" w:lineRule="auto"/>
      <w:ind w:firstLine="200" w:firstLineChars="200"/>
    </w:pPr>
    <w:rPr>
      <w:rFonts w:eastAsia="仿宋_GB2312"/>
      <w:sz w:val="24"/>
    </w:rPr>
  </w:style>
  <w:style w:type="character" w:customStyle="1" w:styleId="84">
    <w:name w:val="GW-正文 Char"/>
    <w:link w:val="83"/>
    <w:qFormat/>
    <w:uiPriority w:val="0"/>
    <w:rPr>
      <w:rFonts w:ascii="Times New Roman" w:hAnsi="Times New Roman" w:eastAsia="仿宋_GB2312" w:cs="Times New Roman"/>
      <w:sz w:val="24"/>
      <w:szCs w:val="24"/>
    </w:rPr>
  </w:style>
  <w:style w:type="paragraph" w:styleId="85">
    <w:name w:val="List Paragraph"/>
    <w:basedOn w:val="1"/>
    <w:link w:val="86"/>
    <w:qFormat/>
    <w:uiPriority w:val="0"/>
    <w:pPr>
      <w:ind w:firstLine="420" w:firstLineChars="200"/>
    </w:pPr>
  </w:style>
  <w:style w:type="character" w:customStyle="1" w:styleId="86">
    <w:name w:val="列出段落 Char"/>
    <w:link w:val="85"/>
    <w:qFormat/>
    <w:uiPriority w:val="0"/>
    <w:rPr>
      <w:rFonts w:ascii="Times New Roman" w:hAnsi="Times New Roman" w:eastAsia="宋体" w:cs="Times New Roman"/>
      <w:szCs w:val="24"/>
    </w:rPr>
  </w:style>
  <w:style w:type="paragraph" w:customStyle="1" w:styleId="87">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character" w:customStyle="1" w:styleId="88">
    <w:name w:val="正文文本 Char"/>
    <w:basedOn w:val="45"/>
    <w:link w:val="2"/>
    <w:qFormat/>
    <w:uiPriority w:val="0"/>
    <w:rPr>
      <w:rFonts w:ascii="Times New Roman" w:hAnsi="Times New Roman" w:eastAsia="宋体" w:cs="Times New Roman"/>
      <w:szCs w:val="24"/>
    </w:rPr>
  </w:style>
  <w:style w:type="character" w:customStyle="1" w:styleId="89">
    <w:name w:val="标题 2 Char Char"/>
    <w:qFormat/>
    <w:uiPriority w:val="0"/>
    <w:rPr>
      <w:rFonts w:ascii="Arial" w:hAnsi="Arial" w:eastAsia="黑体"/>
      <w:b/>
      <w:kern w:val="2"/>
      <w:sz w:val="28"/>
      <w:lang w:val="en-US" w:eastAsia="zh-CN" w:bidi="ar-SA"/>
    </w:rPr>
  </w:style>
  <w:style w:type="character" w:customStyle="1" w:styleId="90">
    <w:name w:val="标题 1 Char1"/>
    <w:basedOn w:val="45"/>
    <w:qFormat/>
    <w:uiPriority w:val="0"/>
    <w:rPr>
      <w:b/>
      <w:bCs/>
      <w:kern w:val="44"/>
      <w:sz w:val="44"/>
      <w:szCs w:val="44"/>
    </w:rPr>
  </w:style>
  <w:style w:type="character" w:customStyle="1" w:styleId="91">
    <w:name w:val="（符号）三标题1.1 Char"/>
    <w:basedOn w:val="45"/>
    <w:link w:val="92"/>
    <w:qFormat/>
    <w:locked/>
    <w:uiPriority w:val="0"/>
    <w:rPr>
      <w:rFonts w:ascii="宋体" w:hAnsi="宋体" w:eastAsia="宋体"/>
      <w:sz w:val="24"/>
      <w:szCs w:val="24"/>
    </w:rPr>
  </w:style>
  <w:style w:type="paragraph" w:customStyle="1" w:styleId="92">
    <w:name w:val="（符号）三标题1.1"/>
    <w:basedOn w:val="1"/>
    <w:link w:val="91"/>
    <w:qFormat/>
    <w:uiPriority w:val="0"/>
    <w:pPr>
      <w:tabs>
        <w:tab w:val="left" w:pos="700"/>
        <w:tab w:val="left" w:pos="840"/>
      </w:tabs>
      <w:spacing w:line="500" w:lineRule="exact"/>
      <w:ind w:left="840" w:hanging="420"/>
    </w:pPr>
    <w:rPr>
      <w:rFonts w:ascii="宋体" w:hAnsi="宋体" w:cstheme="minorBidi"/>
      <w:sz w:val="24"/>
    </w:rPr>
  </w:style>
  <w:style w:type="character" w:customStyle="1" w:styleId="93">
    <w:name w:val="文档结构图 Char"/>
    <w:basedOn w:val="45"/>
    <w:link w:val="18"/>
    <w:qFormat/>
    <w:uiPriority w:val="0"/>
    <w:rPr>
      <w:rFonts w:ascii="Times New Roman" w:hAnsi="Times New Roman" w:eastAsia="宋体" w:cs="Times New Roman"/>
      <w:szCs w:val="24"/>
      <w:shd w:val="clear" w:color="auto" w:fill="000080"/>
    </w:rPr>
  </w:style>
  <w:style w:type="paragraph" w:customStyle="1" w:styleId="94">
    <w:name w:val="Char2 Char Char"/>
    <w:basedOn w:val="18"/>
    <w:qFormat/>
    <w:uiPriority w:val="0"/>
    <w:rPr>
      <w:rFonts w:ascii="Tahoma" w:hAnsi="Tahoma"/>
      <w:sz w:val="24"/>
    </w:rPr>
  </w:style>
  <w:style w:type="paragraph" w:customStyle="1" w:styleId="95">
    <w:name w:val="正文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96">
    <w:name w:val="Char1"/>
    <w:basedOn w:val="1"/>
    <w:qFormat/>
    <w:uiPriority w:val="0"/>
    <w:rPr>
      <w:szCs w:val="21"/>
    </w:rPr>
  </w:style>
  <w:style w:type="paragraph" w:customStyle="1" w:styleId="97">
    <w:name w:val="正文1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8">
    <w:name w:val="Char2"/>
    <w:basedOn w:val="1"/>
    <w:qFormat/>
    <w:uiPriority w:val="0"/>
    <w:pPr>
      <w:adjustRightInd w:val="0"/>
      <w:spacing w:line="400" w:lineRule="exact"/>
      <w:ind w:firstLine="514" w:firstLineChars="200"/>
    </w:pPr>
    <w:rPr>
      <w:rFonts w:ascii="宋体" w:hAnsi="宋体"/>
      <w:b/>
      <w:spacing w:val="8"/>
      <w:kern w:val="0"/>
      <w:sz w:val="24"/>
      <w:szCs w:val="20"/>
    </w:rPr>
  </w:style>
  <w:style w:type="character" w:customStyle="1" w:styleId="99">
    <w:name w:val="批注主题 Char"/>
    <w:basedOn w:val="80"/>
    <w:link w:val="41"/>
    <w:qFormat/>
    <w:uiPriority w:val="0"/>
    <w:rPr>
      <w:rFonts w:ascii="Times New Roman" w:hAnsi="Times New Roman" w:eastAsia="宋体" w:cs="Times New Roman"/>
      <w:b/>
      <w:bCs/>
      <w:szCs w:val="24"/>
    </w:rPr>
  </w:style>
  <w:style w:type="paragraph" w:customStyle="1" w:styleId="100">
    <w:name w:val="Char Char Char Char Char Char Char Char Char Char Char Char Char Char1 Char Char Char Char"/>
    <w:basedOn w:val="1"/>
    <w:qFormat/>
    <w:uiPriority w:val="0"/>
    <w:rPr>
      <w:szCs w:val="21"/>
    </w:rPr>
  </w:style>
  <w:style w:type="paragraph" w:customStyle="1" w:styleId="101">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02">
    <w:name w:val="font31"/>
    <w:basedOn w:val="45"/>
    <w:qFormat/>
    <w:uiPriority w:val="0"/>
    <w:rPr>
      <w:rFonts w:hint="eastAsia" w:ascii="宋体" w:hAnsi="宋体" w:eastAsia="宋体" w:cs="宋体"/>
      <w:color w:val="000000"/>
      <w:sz w:val="21"/>
      <w:szCs w:val="21"/>
      <w:u w:val="none"/>
    </w:rPr>
  </w:style>
  <w:style w:type="character" w:customStyle="1" w:styleId="103">
    <w:name w:val="标题 Char"/>
    <w:basedOn w:val="45"/>
    <w:link w:val="40"/>
    <w:qFormat/>
    <w:uiPriority w:val="0"/>
    <w:rPr>
      <w:rFonts w:ascii="Cambria" w:hAnsi="Cambria"/>
      <w:b/>
      <w:bCs/>
      <w:sz w:val="32"/>
      <w:szCs w:val="32"/>
    </w:rPr>
  </w:style>
  <w:style w:type="character" w:customStyle="1" w:styleId="104">
    <w:name w:val="标题 5 Char"/>
    <w:basedOn w:val="45"/>
    <w:link w:val="9"/>
    <w:qFormat/>
    <w:uiPriority w:val="0"/>
    <w:rPr>
      <w:rFonts w:ascii="Times New Roman" w:hAnsi="Times New Roman" w:eastAsia="宋体" w:cs="Times New Roman"/>
      <w:b/>
      <w:sz w:val="28"/>
      <w:szCs w:val="20"/>
    </w:rPr>
  </w:style>
  <w:style w:type="character" w:customStyle="1" w:styleId="105">
    <w:name w:val="标题 6 Char"/>
    <w:basedOn w:val="45"/>
    <w:link w:val="10"/>
    <w:qFormat/>
    <w:uiPriority w:val="0"/>
    <w:rPr>
      <w:rFonts w:ascii="Cambria" w:hAnsi="Cambria" w:eastAsia="宋体" w:cs="Times New Roman"/>
      <w:b/>
      <w:bCs/>
      <w:sz w:val="24"/>
      <w:szCs w:val="24"/>
    </w:rPr>
  </w:style>
  <w:style w:type="character" w:customStyle="1" w:styleId="106">
    <w:name w:val="标题 7 Char"/>
    <w:basedOn w:val="45"/>
    <w:link w:val="11"/>
    <w:qFormat/>
    <w:uiPriority w:val="0"/>
    <w:rPr>
      <w:rFonts w:ascii="Calibri" w:hAnsi="Calibri" w:eastAsia="宋体" w:cs="Times New Roman"/>
      <w:b/>
      <w:bCs/>
      <w:sz w:val="24"/>
      <w:szCs w:val="24"/>
    </w:rPr>
  </w:style>
  <w:style w:type="character" w:customStyle="1" w:styleId="107">
    <w:name w:val="标题 8 Char"/>
    <w:basedOn w:val="45"/>
    <w:link w:val="12"/>
    <w:qFormat/>
    <w:uiPriority w:val="0"/>
    <w:rPr>
      <w:rFonts w:ascii="Cambria" w:hAnsi="Cambria" w:eastAsia="宋体" w:cs="Times New Roman"/>
      <w:sz w:val="24"/>
      <w:szCs w:val="24"/>
    </w:rPr>
  </w:style>
  <w:style w:type="character" w:customStyle="1" w:styleId="108">
    <w:name w:val="标题 9 Char"/>
    <w:basedOn w:val="45"/>
    <w:link w:val="13"/>
    <w:qFormat/>
    <w:uiPriority w:val="0"/>
    <w:rPr>
      <w:rFonts w:ascii="Cambria" w:hAnsi="Cambria" w:eastAsia="宋体" w:cs="Times New Roman"/>
      <w:szCs w:val="21"/>
    </w:rPr>
  </w:style>
  <w:style w:type="table" w:customStyle="1" w:styleId="109">
    <w:name w:val="网格型1"/>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0">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11">
    <w:name w:val="Plain Text1"/>
    <w:basedOn w:val="1"/>
    <w:qFormat/>
    <w:uiPriority w:val="0"/>
    <w:pPr>
      <w:adjustRightInd w:val="0"/>
      <w:jc w:val="left"/>
      <w:textAlignment w:val="baseline"/>
    </w:pPr>
    <w:rPr>
      <w:rFonts w:ascii="宋体" w:hAnsi="Courier New"/>
      <w:sz w:val="24"/>
      <w:szCs w:val="20"/>
    </w:rPr>
  </w:style>
  <w:style w:type="character" w:customStyle="1" w:styleId="112">
    <w:name w:val="Char Char3"/>
    <w:qFormat/>
    <w:uiPriority w:val="0"/>
    <w:rPr>
      <w:rFonts w:ascii="Arial" w:hAnsi="Arial" w:eastAsia="黑体"/>
      <w:b/>
      <w:kern w:val="2"/>
      <w:sz w:val="32"/>
      <w:lang w:val="en-US" w:eastAsia="zh-CN"/>
    </w:rPr>
  </w:style>
  <w:style w:type="character" w:customStyle="1" w:styleId="113">
    <w:name w:val="Char Char Char"/>
    <w:link w:val="114"/>
    <w:qFormat/>
    <w:uiPriority w:val="0"/>
    <w:rPr>
      <w:rFonts w:ascii="Arial" w:hAnsi="Arial" w:eastAsia="黑体"/>
      <w:b/>
      <w:sz w:val="32"/>
    </w:rPr>
  </w:style>
  <w:style w:type="paragraph" w:customStyle="1" w:styleId="114">
    <w:name w:val="Char"/>
    <w:basedOn w:val="1"/>
    <w:link w:val="113"/>
    <w:qFormat/>
    <w:uiPriority w:val="0"/>
    <w:rPr>
      <w:rFonts w:ascii="Arial" w:hAnsi="Arial" w:eastAsia="黑体" w:cstheme="minorBidi"/>
      <w:b/>
      <w:sz w:val="32"/>
      <w:szCs w:val="22"/>
    </w:rPr>
  </w:style>
  <w:style w:type="character" w:customStyle="1" w:styleId="115">
    <w:name w:val="无间距字符"/>
    <w:link w:val="116"/>
    <w:qFormat/>
    <w:uiPriority w:val="0"/>
    <w:rPr>
      <w:rFonts w:ascii="Calibri" w:hAnsi="Calibri"/>
      <w:sz w:val="22"/>
    </w:rPr>
  </w:style>
  <w:style w:type="paragraph" w:customStyle="1" w:styleId="116">
    <w:name w:val="无间距"/>
    <w:link w:val="115"/>
    <w:qFormat/>
    <w:uiPriority w:val="0"/>
    <w:rPr>
      <w:rFonts w:ascii="Calibri" w:hAnsi="Calibri" w:eastAsiaTheme="minorEastAsia" w:cstheme="minorBidi"/>
      <w:kern w:val="2"/>
      <w:sz w:val="22"/>
      <w:szCs w:val="22"/>
      <w:lang w:val="en-US" w:eastAsia="zh-CN" w:bidi="ar-SA"/>
    </w:rPr>
  </w:style>
  <w:style w:type="character" w:customStyle="1" w:styleId="117">
    <w:name w:val="tdrownotice1"/>
    <w:qFormat/>
    <w:uiPriority w:val="0"/>
    <w:rPr>
      <w:sz w:val="22"/>
    </w:rPr>
  </w:style>
  <w:style w:type="character" w:customStyle="1" w:styleId="118">
    <w:name w:val="正文文本缩进 Char1"/>
    <w:basedOn w:val="45"/>
    <w:semiHidden/>
    <w:qFormat/>
    <w:uiPriority w:val="99"/>
    <w:rPr>
      <w:kern w:val="2"/>
      <w:sz w:val="21"/>
    </w:rPr>
  </w:style>
  <w:style w:type="character" w:customStyle="1" w:styleId="119">
    <w:name w:val="批注主题 Char1"/>
    <w:basedOn w:val="79"/>
    <w:qFormat/>
    <w:uiPriority w:val="0"/>
    <w:rPr>
      <w:rFonts w:ascii="Times New Roman" w:hAnsi="Times New Roman" w:eastAsia="宋体" w:cs="Times New Roman"/>
      <w:b/>
      <w:bCs/>
      <w:kern w:val="2"/>
      <w:sz w:val="21"/>
      <w:szCs w:val="24"/>
    </w:rPr>
  </w:style>
  <w:style w:type="character" w:customStyle="1" w:styleId="120">
    <w:name w:val="日期 Char"/>
    <w:basedOn w:val="45"/>
    <w:link w:val="27"/>
    <w:qFormat/>
    <w:uiPriority w:val="0"/>
    <w:rPr>
      <w:rFonts w:ascii="Times New Roman" w:hAnsi="Times New Roman" w:eastAsia="宋体" w:cs="Times New Roman"/>
      <w:szCs w:val="20"/>
    </w:rPr>
  </w:style>
  <w:style w:type="character" w:customStyle="1" w:styleId="121">
    <w:name w:val="标题 Char1"/>
    <w:basedOn w:val="45"/>
    <w:qFormat/>
    <w:uiPriority w:val="10"/>
    <w:rPr>
      <w:rFonts w:eastAsia="宋体" w:asciiTheme="majorHAnsi" w:hAnsiTheme="majorHAnsi" w:cstheme="majorBidi"/>
      <w:b/>
      <w:bCs/>
      <w:kern w:val="2"/>
      <w:sz w:val="32"/>
      <w:szCs w:val="32"/>
    </w:rPr>
  </w:style>
  <w:style w:type="paragraph" w:customStyle="1" w:styleId="122">
    <w:name w:val="样式 标题 2 + Times New Roman 四号 非加粗 段前: 5 磅 段后: 0 磅 行距: 固定值 20..."/>
    <w:basedOn w:val="6"/>
    <w:qFormat/>
    <w:uiPriority w:val="0"/>
    <w:pPr>
      <w:spacing w:before="100" w:after="0" w:line="400" w:lineRule="exact"/>
    </w:pPr>
    <w:rPr>
      <w:rFonts w:ascii="Times New Roman" w:hAnsi="Times New Roman"/>
      <w:b w:val="0"/>
      <w:bCs w:val="0"/>
      <w:sz w:val="28"/>
      <w:szCs w:val="20"/>
    </w:rPr>
  </w:style>
  <w:style w:type="paragraph" w:customStyle="1" w:styleId="123">
    <w:name w:val="样式 首行缩进:  2 字符1"/>
    <w:basedOn w:val="1"/>
    <w:qFormat/>
    <w:uiPriority w:val="0"/>
    <w:pPr>
      <w:spacing w:line="400" w:lineRule="exact"/>
      <w:ind w:firstLine="200" w:firstLineChars="200"/>
    </w:pPr>
    <w:rPr>
      <w:sz w:val="24"/>
      <w:szCs w:val="20"/>
    </w:rPr>
  </w:style>
  <w:style w:type="paragraph" w:customStyle="1" w:styleId="124">
    <w:name w:val="Char Char Char Char Char Char Char"/>
    <w:basedOn w:val="1"/>
    <w:qFormat/>
    <w:uiPriority w:val="0"/>
    <w:rPr>
      <w:szCs w:val="20"/>
    </w:rPr>
  </w:style>
  <w:style w:type="paragraph" w:customStyle="1" w:styleId="125">
    <w:name w:val="bf.1"/>
    <w:basedOn w:val="16"/>
    <w:qFormat/>
    <w:uiPriority w:val="0"/>
    <w:pPr>
      <w:autoSpaceDE w:val="0"/>
      <w:autoSpaceDN w:val="0"/>
      <w:adjustRightInd w:val="0"/>
      <w:spacing w:before="50" w:after="100" w:line="500" w:lineRule="exact"/>
      <w:ind w:firstLine="0" w:firstLineChars="0"/>
    </w:pPr>
    <w:rPr>
      <w:rFonts w:ascii="仿宋_GB2312" w:hAnsi="宋体" w:eastAsia="仿宋_GB2312"/>
      <w:color w:val="000000"/>
      <w:sz w:val="24"/>
      <w:szCs w:val="20"/>
    </w:rPr>
  </w:style>
  <w:style w:type="paragraph" w:customStyle="1" w:styleId="126">
    <w:name w:val="第一章"/>
    <w:basedOn w:val="1"/>
    <w:next w:val="1"/>
    <w:qFormat/>
    <w:uiPriority w:val="0"/>
    <w:pPr>
      <w:tabs>
        <w:tab w:val="left" w:pos="0"/>
      </w:tabs>
      <w:spacing w:line="360" w:lineRule="auto"/>
      <w:ind w:hanging="500" w:hangingChars="500"/>
    </w:pPr>
    <w:rPr>
      <w:rFonts w:eastAsia="黑体"/>
      <w:sz w:val="44"/>
      <w:szCs w:val="20"/>
    </w:rPr>
  </w:style>
  <w:style w:type="paragraph" w:customStyle="1" w:styleId="127">
    <w:name w:val="blockquote"/>
    <w:basedOn w:val="1"/>
    <w:qFormat/>
    <w:uiPriority w:val="0"/>
    <w:pPr>
      <w:widowControl/>
      <w:spacing w:before="100" w:beforeAutospacing="1" w:after="100" w:afterAutospacing="1"/>
    </w:pPr>
    <w:rPr>
      <w:rFonts w:ascii="宋体" w:hAnsi="宋体"/>
      <w:kern w:val="0"/>
      <w:sz w:val="24"/>
      <w:szCs w:val="20"/>
    </w:rPr>
  </w:style>
  <w:style w:type="paragraph" w:customStyle="1" w:styleId="128">
    <w:name w:val="样式1"/>
    <w:basedOn w:val="4"/>
    <w:qFormat/>
    <w:uiPriority w:val="0"/>
    <w:pPr>
      <w:spacing w:line="576" w:lineRule="auto"/>
    </w:pPr>
    <w:rPr>
      <w:bCs w:val="0"/>
      <w:szCs w:val="20"/>
    </w:rPr>
  </w:style>
  <w:style w:type="paragraph" w:customStyle="1" w:styleId="129">
    <w:name w:val="Char Char1 Char"/>
    <w:basedOn w:val="1"/>
    <w:qFormat/>
    <w:uiPriority w:val="0"/>
    <w:rPr>
      <w:szCs w:val="20"/>
    </w:rPr>
  </w:style>
  <w:style w:type="paragraph" w:customStyle="1" w:styleId="130">
    <w:name w:val="Char Char Char Char"/>
    <w:basedOn w:val="1"/>
    <w:qFormat/>
    <w:uiPriority w:val="0"/>
    <w:rPr>
      <w:szCs w:val="20"/>
    </w:rPr>
  </w:style>
  <w:style w:type="paragraph" w:customStyle="1" w:styleId="131">
    <w:name w:val="p0"/>
    <w:basedOn w:val="1"/>
    <w:qFormat/>
    <w:uiPriority w:val="0"/>
    <w:pPr>
      <w:widowControl/>
    </w:pPr>
    <w:rPr>
      <w:kern w:val="0"/>
      <w:szCs w:val="21"/>
    </w:rPr>
  </w:style>
  <w:style w:type="paragraph" w:customStyle="1" w:styleId="132">
    <w:name w:val="Char Char Char Char Char Char Char Char Char Char Char Char Char"/>
    <w:basedOn w:val="1"/>
    <w:qFormat/>
    <w:uiPriority w:val="0"/>
    <w:pPr>
      <w:widowControl/>
      <w:spacing w:after="160" w:line="240" w:lineRule="exact"/>
      <w:jc w:val="left"/>
    </w:pPr>
  </w:style>
  <w:style w:type="paragraph" w:customStyle="1" w:styleId="133">
    <w:name w:val="样式2"/>
    <w:basedOn w:val="1"/>
    <w:qFormat/>
    <w:uiPriority w:val="0"/>
    <w:pPr>
      <w:ind w:firstLine="420" w:firstLineChars="150"/>
    </w:pPr>
    <w:rPr>
      <w:sz w:val="24"/>
      <w:szCs w:val="20"/>
      <w:lang w:val="en-GB"/>
    </w:rPr>
  </w:style>
  <w:style w:type="paragraph" w:customStyle="1" w:styleId="134">
    <w:name w:val="Blockquote"/>
    <w:basedOn w:val="1"/>
    <w:qFormat/>
    <w:uiPriority w:val="0"/>
    <w:pPr>
      <w:autoSpaceDE w:val="0"/>
      <w:autoSpaceDN w:val="0"/>
      <w:adjustRightInd w:val="0"/>
      <w:spacing w:before="100" w:after="100"/>
      <w:ind w:left="360"/>
    </w:pPr>
    <w:rPr>
      <w:kern w:val="0"/>
      <w:sz w:val="24"/>
      <w:szCs w:val="20"/>
    </w:rPr>
  </w:style>
  <w:style w:type="paragraph" w:customStyle="1" w:styleId="135">
    <w:name w:val="Char1 Char Char Char"/>
    <w:basedOn w:val="1"/>
    <w:qFormat/>
    <w:uiPriority w:val="0"/>
    <w:rPr>
      <w:szCs w:val="20"/>
    </w:rPr>
  </w:style>
  <w:style w:type="character" w:customStyle="1" w:styleId="136">
    <w:name w:val="正文文本 Char1"/>
    <w:qFormat/>
    <w:uiPriority w:val="0"/>
    <w:rPr>
      <w:kern w:val="2"/>
      <w:sz w:val="21"/>
      <w:szCs w:val="22"/>
    </w:rPr>
  </w:style>
  <w:style w:type="character" w:customStyle="1" w:styleId="137">
    <w:name w:val="明显引用 Char"/>
    <w:link w:val="138"/>
    <w:qFormat/>
    <w:uiPriority w:val="0"/>
    <w:rPr>
      <w:b/>
      <w:bCs/>
      <w:i/>
      <w:iCs/>
      <w:color w:val="4F81BD"/>
    </w:rPr>
  </w:style>
  <w:style w:type="paragraph" w:styleId="138">
    <w:name w:val="Intense Quote"/>
    <w:basedOn w:val="1"/>
    <w:next w:val="1"/>
    <w:link w:val="137"/>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139">
    <w:name w:val="不明显强调1"/>
    <w:qFormat/>
    <w:uiPriority w:val="0"/>
    <w:rPr>
      <w:i/>
      <w:iCs/>
      <w:color w:val="808080"/>
    </w:rPr>
  </w:style>
  <w:style w:type="character" w:customStyle="1" w:styleId="140">
    <w:name w:val="标题4 Char Char"/>
    <w:qFormat/>
    <w:uiPriority w:val="0"/>
    <w:rPr>
      <w:rFonts w:ascii="Arial" w:hAnsi="Arial"/>
      <w:b/>
      <w:bCs/>
      <w:sz w:val="24"/>
      <w:szCs w:val="32"/>
    </w:rPr>
  </w:style>
  <w:style w:type="character" w:customStyle="1" w:styleId="141">
    <w:name w:val="标题5 Char Char"/>
    <w:link w:val="142"/>
    <w:qFormat/>
    <w:uiPriority w:val="0"/>
    <w:rPr>
      <w:rFonts w:ascii="Arial" w:hAnsi="Arial"/>
      <w:b/>
      <w:bCs/>
      <w:sz w:val="24"/>
      <w:szCs w:val="32"/>
    </w:rPr>
  </w:style>
  <w:style w:type="paragraph" w:customStyle="1" w:styleId="142">
    <w:name w:val="标题5"/>
    <w:basedOn w:val="7"/>
    <w:link w:val="141"/>
    <w:qFormat/>
    <w:uiPriority w:val="0"/>
    <w:pPr>
      <w:spacing w:line="413" w:lineRule="auto"/>
    </w:pPr>
    <w:rPr>
      <w:rFonts w:ascii="Arial" w:hAnsi="Arial" w:eastAsiaTheme="minorEastAsia" w:cstheme="minorBidi"/>
      <w:sz w:val="24"/>
    </w:rPr>
  </w:style>
  <w:style w:type="character" w:customStyle="1" w:styleId="143">
    <w:name w:val="明显参考1"/>
    <w:qFormat/>
    <w:uiPriority w:val="0"/>
    <w:rPr>
      <w:b/>
      <w:bCs/>
      <w:smallCaps/>
      <w:color w:val="C0504D"/>
      <w:spacing w:val="5"/>
      <w:u w:val="single"/>
    </w:rPr>
  </w:style>
  <w:style w:type="character" w:customStyle="1" w:styleId="144">
    <w:name w:val="书籍标题1"/>
    <w:qFormat/>
    <w:uiPriority w:val="0"/>
    <w:rPr>
      <w:b/>
      <w:bCs/>
      <w:smallCaps/>
      <w:spacing w:val="5"/>
    </w:rPr>
  </w:style>
  <w:style w:type="character" w:customStyle="1" w:styleId="145">
    <w:name w:val="批注框文本 Char1"/>
    <w:qFormat/>
    <w:uiPriority w:val="0"/>
    <w:rPr>
      <w:kern w:val="2"/>
      <w:sz w:val="18"/>
      <w:szCs w:val="18"/>
    </w:rPr>
  </w:style>
  <w:style w:type="character" w:customStyle="1" w:styleId="146">
    <w:name w:val="引用 Char"/>
    <w:link w:val="147"/>
    <w:qFormat/>
    <w:uiPriority w:val="0"/>
    <w:rPr>
      <w:i/>
      <w:iCs/>
      <w:color w:val="000000"/>
    </w:rPr>
  </w:style>
  <w:style w:type="paragraph" w:styleId="147">
    <w:name w:val="Quote"/>
    <w:basedOn w:val="1"/>
    <w:next w:val="1"/>
    <w:link w:val="146"/>
    <w:qFormat/>
    <w:uiPriority w:val="0"/>
    <w:rPr>
      <w:rFonts w:asciiTheme="minorHAnsi" w:hAnsiTheme="minorHAnsi" w:eastAsiaTheme="minorEastAsia" w:cstheme="minorBidi"/>
      <w:i/>
      <w:iCs/>
      <w:color w:val="000000"/>
      <w:szCs w:val="22"/>
    </w:rPr>
  </w:style>
  <w:style w:type="character" w:customStyle="1" w:styleId="148">
    <w:name w:val="日期 Char1"/>
    <w:qFormat/>
    <w:uiPriority w:val="0"/>
    <w:rPr>
      <w:kern w:val="2"/>
      <w:sz w:val="21"/>
      <w:szCs w:val="22"/>
    </w:rPr>
  </w:style>
  <w:style w:type="character" w:customStyle="1" w:styleId="149">
    <w:name w:val="明显强调1"/>
    <w:qFormat/>
    <w:uiPriority w:val="0"/>
    <w:rPr>
      <w:b/>
      <w:bCs/>
      <w:i/>
      <w:iCs/>
      <w:color w:val="4F81BD"/>
    </w:rPr>
  </w:style>
  <w:style w:type="character" w:customStyle="1" w:styleId="150">
    <w:name w:val="textcontents"/>
    <w:qFormat/>
    <w:uiPriority w:val="0"/>
    <w:rPr>
      <w:rFonts w:cs="Times New Roman"/>
    </w:rPr>
  </w:style>
  <w:style w:type="character" w:customStyle="1" w:styleId="151">
    <w:name w:val="不明显参考1"/>
    <w:qFormat/>
    <w:uiPriority w:val="0"/>
    <w:rPr>
      <w:smallCaps/>
      <w:color w:val="C0504D"/>
      <w:u w:val="single"/>
    </w:rPr>
  </w:style>
  <w:style w:type="character" w:customStyle="1" w:styleId="152">
    <w:name w:val="批注文字 Char Char"/>
    <w:qFormat/>
    <w:uiPriority w:val="0"/>
    <w:rPr>
      <w:rFonts w:ascii="宋体" w:hAnsi="Times New Roman" w:eastAsia="宋体" w:cs="Times New Roman"/>
      <w:sz w:val="28"/>
      <w:szCs w:val="20"/>
    </w:rPr>
  </w:style>
  <w:style w:type="character" w:customStyle="1" w:styleId="153">
    <w:name w:val="副标题 Char"/>
    <w:link w:val="3"/>
    <w:qFormat/>
    <w:uiPriority w:val="0"/>
    <w:rPr>
      <w:rFonts w:ascii="Cambria" w:hAnsi="Cambria"/>
      <w:b/>
      <w:bCs/>
      <w:kern w:val="28"/>
      <w:sz w:val="32"/>
      <w:szCs w:val="32"/>
    </w:rPr>
  </w:style>
  <w:style w:type="character" w:customStyle="1" w:styleId="154">
    <w:name w:val="文档结构图 Char1"/>
    <w:qFormat/>
    <w:uiPriority w:val="0"/>
    <w:rPr>
      <w:rFonts w:ascii="宋体"/>
      <w:kern w:val="2"/>
      <w:sz w:val="18"/>
      <w:szCs w:val="18"/>
    </w:rPr>
  </w:style>
  <w:style w:type="paragraph" w:customStyle="1" w:styleId="155">
    <w:name w:val="修订2"/>
    <w:qFormat/>
    <w:uiPriority w:val="0"/>
    <w:rPr>
      <w:rFonts w:ascii="Times New Roman" w:hAnsi="Times New Roman" w:eastAsia="宋体" w:cs="Times New Roman"/>
      <w:kern w:val="2"/>
      <w:sz w:val="21"/>
      <w:szCs w:val="24"/>
      <w:lang w:val="en-US" w:eastAsia="zh-CN" w:bidi="ar-SA"/>
    </w:rPr>
  </w:style>
  <w:style w:type="character" w:customStyle="1" w:styleId="156">
    <w:name w:val="批注框文本 Char2"/>
    <w:semiHidden/>
    <w:qFormat/>
    <w:uiPriority w:val="99"/>
    <w:rPr>
      <w:kern w:val="2"/>
      <w:sz w:val="18"/>
      <w:szCs w:val="18"/>
    </w:rPr>
  </w:style>
  <w:style w:type="character" w:customStyle="1" w:styleId="157">
    <w:name w:val="批注主题 Char2"/>
    <w:semiHidden/>
    <w:qFormat/>
    <w:uiPriority w:val="99"/>
    <w:rPr>
      <w:b/>
      <w:bCs/>
      <w:kern w:val="2"/>
      <w:sz w:val="21"/>
      <w:szCs w:val="22"/>
    </w:rPr>
  </w:style>
  <w:style w:type="character" w:customStyle="1" w:styleId="158">
    <w:name w:val="文档结构图 Char2"/>
    <w:semiHidden/>
    <w:qFormat/>
    <w:uiPriority w:val="99"/>
    <w:rPr>
      <w:rFonts w:ascii="宋体"/>
      <w:kern w:val="2"/>
      <w:sz w:val="18"/>
      <w:szCs w:val="18"/>
    </w:rPr>
  </w:style>
  <w:style w:type="character" w:customStyle="1" w:styleId="159">
    <w:name w:val="日期 Char2"/>
    <w:semiHidden/>
    <w:qFormat/>
    <w:uiPriority w:val="99"/>
    <w:rPr>
      <w:kern w:val="2"/>
      <w:sz w:val="21"/>
      <w:szCs w:val="22"/>
    </w:rPr>
  </w:style>
  <w:style w:type="character" w:customStyle="1" w:styleId="160">
    <w:name w:val="正文文本 Char2"/>
    <w:basedOn w:val="45"/>
    <w:semiHidden/>
    <w:qFormat/>
    <w:uiPriority w:val="99"/>
    <w:rPr>
      <w:kern w:val="2"/>
      <w:sz w:val="21"/>
    </w:rPr>
  </w:style>
  <w:style w:type="paragraph" w:customStyle="1" w:styleId="161">
    <w:name w:val="TOC 标题1"/>
    <w:basedOn w:val="4"/>
    <w:next w:val="1"/>
    <w:qFormat/>
    <w:uiPriority w:val="0"/>
    <w:pPr>
      <w:spacing w:line="576" w:lineRule="auto"/>
      <w:outlineLvl w:val="9"/>
    </w:pPr>
    <w:rPr>
      <w:rFonts w:ascii="Calibri" w:hAnsi="Calibri"/>
    </w:rPr>
  </w:style>
  <w:style w:type="character" w:customStyle="1" w:styleId="162">
    <w:name w:val="副标题 Char1"/>
    <w:basedOn w:val="45"/>
    <w:qFormat/>
    <w:uiPriority w:val="11"/>
    <w:rPr>
      <w:rFonts w:eastAsia="宋体" w:asciiTheme="majorHAnsi" w:hAnsiTheme="majorHAnsi" w:cstheme="majorBidi"/>
      <w:b/>
      <w:bCs/>
      <w:kern w:val="28"/>
      <w:sz w:val="32"/>
      <w:szCs w:val="32"/>
    </w:rPr>
  </w:style>
  <w:style w:type="character" w:customStyle="1" w:styleId="163">
    <w:name w:val="明显引用 Char1"/>
    <w:basedOn w:val="45"/>
    <w:qFormat/>
    <w:uiPriority w:val="30"/>
    <w:rPr>
      <w:rFonts w:ascii="Times New Roman" w:hAnsi="Times New Roman" w:eastAsia="宋体" w:cs="Times New Roman"/>
      <w:i/>
      <w:iCs/>
      <w:color w:val="4F81BD" w:themeColor="accent1"/>
      <w:szCs w:val="24"/>
      <w14:textFill>
        <w14:solidFill>
          <w14:schemeClr w14:val="accent1"/>
        </w14:solidFill>
      </w14:textFill>
    </w:rPr>
  </w:style>
  <w:style w:type="paragraph" w:customStyle="1" w:styleId="164">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paragraph" w:customStyle="1" w:styleId="165">
    <w:name w:val="空半行"/>
    <w:basedOn w:val="1"/>
    <w:qFormat/>
    <w:uiPriority w:val="0"/>
    <w:pPr>
      <w:adjustRightInd w:val="0"/>
      <w:spacing w:line="120" w:lineRule="exact"/>
      <w:textAlignment w:val="baseline"/>
    </w:pPr>
    <w:rPr>
      <w:rFonts w:eastAsia="仿宋_GB2312"/>
      <w:color w:val="FFFFFF"/>
      <w:kern w:val="0"/>
      <w:sz w:val="30"/>
      <w:szCs w:val="20"/>
    </w:rPr>
  </w:style>
  <w:style w:type="character" w:customStyle="1" w:styleId="166">
    <w:name w:val="引用 Char1"/>
    <w:basedOn w:val="45"/>
    <w:qFormat/>
    <w:uiPriority w:val="29"/>
    <w:rPr>
      <w:rFonts w:ascii="Times New Roman" w:hAnsi="Times New Roman" w:eastAsia="宋体" w:cs="Times New Roman"/>
      <w:i/>
      <w:iCs/>
      <w:color w:val="404040" w:themeColor="text1" w:themeTint="BF"/>
      <w:szCs w:val="24"/>
      <w14:textFill>
        <w14:solidFill>
          <w14:schemeClr w14:val="tx1">
            <w14:lumMod w14:val="75000"/>
            <w14:lumOff w14:val="25000"/>
          </w14:schemeClr>
        </w14:solidFill>
      </w14:textFill>
    </w:rPr>
  </w:style>
  <w:style w:type="paragraph" w:customStyle="1" w:styleId="16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68">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169">
    <w:name w:val="标题 5（有编号）（绿盟科技）"/>
    <w:basedOn w:val="1"/>
    <w:next w:val="170"/>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70">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71">
    <w:name w:val="Body text|21"/>
    <w:basedOn w:val="1"/>
    <w:qFormat/>
    <w:uiPriority w:val="99"/>
    <w:pPr>
      <w:shd w:val="clear" w:color="auto" w:fill="FFFFFF"/>
      <w:spacing w:line="490" w:lineRule="exact"/>
      <w:ind w:firstLine="460"/>
      <w:jc w:val="distribute"/>
    </w:pPr>
    <w:rPr>
      <w:rFonts w:ascii="PMingLiUfalt" w:hAnsi="PMingLiUfalt" w:eastAsia="PMingLiUfalt" w:cs="PMingLiUfalt"/>
      <w:sz w:val="20"/>
      <w:szCs w:val="20"/>
    </w:rPr>
  </w:style>
  <w:style w:type="paragraph" w:customStyle="1" w:styleId="172">
    <w:name w:val="Table Paragraph"/>
    <w:basedOn w:val="1"/>
    <w:qFormat/>
    <w:uiPriority w:val="0"/>
    <w:rPr>
      <w:rFonts w:ascii="宋体" w:hAnsi="宋体" w:cs="宋体"/>
      <w:lang w:val="zh-CN" w:bidi="zh-CN"/>
    </w:rPr>
  </w:style>
  <w:style w:type="paragraph" w:customStyle="1" w:styleId="173">
    <w:name w:val="WPSOffice手动目录 1"/>
    <w:qFormat/>
    <w:uiPriority w:val="0"/>
    <w:pPr>
      <w:ind w:leftChars="0"/>
    </w:pPr>
    <w:rPr>
      <w:rFonts w:ascii="Times New Roman" w:hAnsi="Times New Roman" w:eastAsia="宋体" w:cs="Times New Roman"/>
      <w:sz w:val="20"/>
      <w:szCs w:val="20"/>
    </w:rPr>
  </w:style>
  <w:style w:type="paragraph" w:customStyle="1" w:styleId="174">
    <w:name w:val="01、普通正文"/>
    <w:basedOn w:val="1"/>
    <w:qFormat/>
    <w:uiPriority w:val="0"/>
    <w:pPr>
      <w:tabs>
        <w:tab w:val="left" w:pos="0"/>
      </w:tabs>
      <w:wordWrap w:val="0"/>
      <w:topLinePunct/>
    </w:pPr>
    <w:rPr>
      <w:snapToGrid w:val="0"/>
    </w:rPr>
  </w:style>
  <w:style w:type="paragraph" w:customStyle="1" w:styleId="175">
    <w:name w:val="13、表格内居中正文"/>
    <w:basedOn w:val="1"/>
    <w:qFormat/>
    <w:uiPriority w:val="0"/>
    <w:pPr>
      <w:tabs>
        <w:tab w:val="left" w:pos="0"/>
      </w:tabs>
      <w:wordWrap w:val="0"/>
      <w:topLinePunct/>
      <w:spacing w:line="360" w:lineRule="exact"/>
      <w:jc w:val="center"/>
    </w:pPr>
  </w:style>
  <w:style w:type="paragraph" w:customStyle="1" w:styleId="176">
    <w:name w:val="12、表格内左对齐正文"/>
    <w:basedOn w:val="1"/>
    <w:qFormat/>
    <w:uiPriority w:val="0"/>
    <w:pPr>
      <w:tabs>
        <w:tab w:val="left" w:pos="0"/>
      </w:tabs>
      <w:wordWrap w:val="0"/>
      <w:topLinePunct/>
      <w:spacing w:line="360" w:lineRule="exact"/>
      <w:ind w:left="48" w:leftChars="20"/>
    </w:pPr>
    <w:rPr>
      <w:snapToGrid w:val="0"/>
    </w:rPr>
  </w:style>
  <w:style w:type="character" w:customStyle="1" w:styleId="177">
    <w:name w:val="img"/>
    <w:basedOn w:val="45"/>
    <w:qFormat/>
    <w:uiPriority w:val="0"/>
  </w:style>
  <w:style w:type="character" w:customStyle="1" w:styleId="178">
    <w:name w:val="img1"/>
    <w:basedOn w:val="4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GIF"/><Relationship Id="rId17" Type="http://schemas.openxmlformats.org/officeDocument/2006/relationships/image" Target="media/image3.GIF"/><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07E44-9D53-4B2F-8A74-22639A78E34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82</Pages>
  <Words>41160</Words>
  <Characters>42624</Characters>
  <Lines>343</Lines>
  <Paragraphs>96</Paragraphs>
  <TotalTime>10</TotalTime>
  <ScaleCrop>false</ScaleCrop>
  <LinksUpToDate>false</LinksUpToDate>
  <CharactersWithSpaces>44747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2018-03-28T01:23:00Z</dcterms:created>
  <dc:creator>匿名</dc:creator>
  <cp:lastModifiedBy>宁缺毋滥</cp:lastModifiedBy>
  <cp:lastPrinted>2019-07-02T07:05:00Z</cp:lastPrinted>
  <dcterms:modified xsi:type="dcterms:W3CDTF">2021-06-21T02:06:09Z</dcterms:modified>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9F2EA6E763364140BC707FA58EDC3446</vt:lpwstr>
  </property>
</Properties>
</file>