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ind w:firstLine="0" w:firstLineChars="0"/>
        <w:jc w:val="center"/>
        <w:rPr>
          <w:rFonts w:hint="eastAsia" w:ascii="黑体" w:hAnsi="黑体" w:eastAsia="黑体" w:cs="黑体"/>
          <w:b w:val="0"/>
          <w:color w:val="auto"/>
          <w:kern w:val="2"/>
          <w:sz w:val="30"/>
          <w:szCs w:val="30"/>
          <w:lang w:val="en-US"/>
        </w:rPr>
      </w:pPr>
    </w:p>
    <w:p>
      <w:pPr>
        <w:snapToGrid/>
        <w:ind w:firstLine="0" w:firstLineChars="0"/>
        <w:jc w:val="center"/>
        <w:rPr>
          <w:rFonts w:hint="eastAsia" w:ascii="黑体" w:hAnsi="黑体" w:eastAsia="黑体" w:cs="黑体"/>
          <w:b w:val="0"/>
          <w:color w:val="auto"/>
          <w:kern w:val="2"/>
          <w:sz w:val="30"/>
          <w:szCs w:val="30"/>
          <w:lang w:val="en-US"/>
        </w:rPr>
      </w:pPr>
      <w:r>
        <w:rPr>
          <w:rFonts w:ascii="黑体" w:hAnsi="黑体" w:eastAsia="黑体" w:cs="黑体"/>
          <w:b w:val="0"/>
          <w:color w:val="auto"/>
          <w:kern w:val="2"/>
          <w:sz w:val="30"/>
          <w:szCs w:val="30"/>
          <w:lang w:val="en-US"/>
        </w:rPr>
        <w:t>采购项目编号：</w:t>
      </w:r>
      <w:r>
        <w:rPr>
          <w:rFonts w:hint="eastAsia" w:ascii="黑体" w:hAnsi="黑体" w:eastAsia="黑体" w:cs="黑体"/>
          <w:b w:val="0"/>
          <w:color w:val="auto"/>
          <w:kern w:val="2"/>
          <w:sz w:val="30"/>
          <w:szCs w:val="30"/>
          <w:lang w:val="en-US"/>
        </w:rPr>
        <w:t>510101202100963</w:t>
      </w:r>
    </w:p>
    <w:p>
      <w:pPr>
        <w:adjustRightInd w:val="0"/>
        <w:spacing w:beforeLines="50" w:line="240" w:lineRule="auto"/>
        <w:ind w:firstLine="0" w:firstLineChars="0"/>
        <w:jc w:val="center"/>
        <w:rPr>
          <w:rFonts w:hint="eastAsia" w:ascii="黑体" w:hAnsi="黑体" w:eastAsia="黑体" w:cs="黑体"/>
          <w:b w:val="0"/>
          <w:color w:val="auto"/>
          <w:kern w:val="2"/>
          <w:sz w:val="52"/>
          <w:szCs w:val="52"/>
          <w:lang w:val="en-US"/>
        </w:rPr>
      </w:pPr>
      <w:r>
        <w:rPr>
          <w:rFonts w:hint="eastAsia" w:ascii="黑体" w:hAnsi="黑体" w:eastAsia="黑体" w:cs="黑体"/>
          <w:b w:val="0"/>
          <w:color w:val="auto"/>
          <w:kern w:val="2"/>
          <w:sz w:val="52"/>
          <w:szCs w:val="52"/>
          <w:lang w:val="en-US"/>
        </w:rPr>
        <w:t>成都市交通运输综合行政执法总队劳务外包服务采购</w:t>
      </w:r>
      <w:r>
        <w:rPr>
          <w:rFonts w:ascii="黑体" w:hAnsi="黑体" w:eastAsia="黑体" w:cs="黑体"/>
          <w:b w:val="0"/>
          <w:color w:val="auto"/>
          <w:kern w:val="2"/>
          <w:sz w:val="52"/>
          <w:szCs w:val="52"/>
          <w:lang w:val="en-US"/>
        </w:rPr>
        <w:t>项目</w:t>
      </w:r>
    </w:p>
    <w:p>
      <w:pPr>
        <w:snapToGrid/>
        <w:ind w:firstLine="0" w:firstLineChars="0"/>
        <w:jc w:val="center"/>
        <w:rPr>
          <w:rFonts w:hint="eastAsia" w:ascii="黑体" w:hAnsi="黑体" w:eastAsia="黑体"/>
          <w:b w:val="0"/>
          <w:color w:val="auto"/>
          <w:kern w:val="2"/>
          <w:lang w:val="en-US"/>
        </w:rPr>
      </w:pPr>
    </w:p>
    <w:p>
      <w:pPr>
        <w:snapToGrid/>
        <w:ind w:firstLine="0" w:firstLineChars="0"/>
        <w:jc w:val="center"/>
        <w:rPr>
          <w:rFonts w:ascii="黑体" w:hAnsi="黑体" w:eastAsia="黑体"/>
          <w:b w:val="0"/>
          <w:color w:val="auto"/>
          <w:kern w:val="2"/>
          <w:lang w:val="en-US"/>
        </w:rPr>
      </w:pPr>
    </w:p>
    <w:p>
      <w:pPr>
        <w:snapToGrid/>
        <w:spacing w:line="240" w:lineRule="auto"/>
        <w:ind w:firstLine="0" w:firstLineChars="0"/>
        <w:jc w:val="center"/>
        <w:rPr>
          <w:rFonts w:hint="eastAsia" w:ascii="黑体" w:hAnsi="黑体" w:eastAsia="黑体" w:cs="黑体"/>
          <w:b w:val="0"/>
          <w:color w:val="auto"/>
          <w:kern w:val="2"/>
          <w:sz w:val="72"/>
          <w:szCs w:val="72"/>
          <w:lang w:val="en-US"/>
        </w:rPr>
      </w:pPr>
      <w:r>
        <w:rPr>
          <w:rFonts w:ascii="黑体" w:hAnsi="黑体" w:eastAsia="黑体" w:cs="黑体"/>
          <w:b w:val="0"/>
          <w:color w:val="auto"/>
          <w:kern w:val="2"/>
          <w:sz w:val="72"/>
          <w:szCs w:val="72"/>
          <w:lang w:val="en-US"/>
        </w:rPr>
        <w:t>招</w:t>
      </w:r>
    </w:p>
    <w:p>
      <w:pPr>
        <w:snapToGrid/>
        <w:spacing w:line="240" w:lineRule="auto"/>
        <w:ind w:firstLine="0" w:firstLineChars="0"/>
        <w:jc w:val="center"/>
        <w:rPr>
          <w:rFonts w:hint="eastAsia" w:ascii="黑体" w:hAnsi="黑体" w:eastAsia="黑体" w:cs="黑体"/>
          <w:b w:val="0"/>
          <w:color w:val="auto"/>
          <w:kern w:val="2"/>
          <w:sz w:val="72"/>
          <w:szCs w:val="72"/>
          <w:lang w:val="en-US"/>
        </w:rPr>
      </w:pPr>
    </w:p>
    <w:p>
      <w:pPr>
        <w:snapToGrid/>
        <w:spacing w:line="240" w:lineRule="auto"/>
        <w:ind w:firstLine="0" w:firstLineChars="0"/>
        <w:jc w:val="center"/>
        <w:rPr>
          <w:rFonts w:hint="eastAsia" w:ascii="黑体" w:hAnsi="黑体" w:eastAsia="黑体" w:cs="黑体"/>
          <w:b w:val="0"/>
          <w:color w:val="auto"/>
          <w:kern w:val="2"/>
          <w:sz w:val="72"/>
          <w:szCs w:val="72"/>
          <w:lang w:val="en-US"/>
        </w:rPr>
      </w:pPr>
      <w:r>
        <w:rPr>
          <w:rFonts w:ascii="黑体" w:hAnsi="黑体" w:eastAsia="黑体" w:cs="黑体"/>
          <w:b w:val="0"/>
          <w:color w:val="auto"/>
          <w:kern w:val="2"/>
          <w:sz w:val="72"/>
          <w:szCs w:val="72"/>
          <w:lang w:val="en-US"/>
        </w:rPr>
        <w:t>标</w:t>
      </w:r>
    </w:p>
    <w:p>
      <w:pPr>
        <w:snapToGrid/>
        <w:spacing w:line="240" w:lineRule="auto"/>
        <w:ind w:firstLine="0" w:firstLineChars="0"/>
        <w:jc w:val="center"/>
        <w:rPr>
          <w:rFonts w:hint="eastAsia" w:ascii="黑体" w:hAnsi="黑体" w:eastAsia="黑体" w:cs="黑体"/>
          <w:b w:val="0"/>
          <w:color w:val="auto"/>
          <w:kern w:val="2"/>
          <w:sz w:val="72"/>
          <w:szCs w:val="72"/>
          <w:lang w:val="en-US"/>
        </w:rPr>
      </w:pPr>
    </w:p>
    <w:p>
      <w:pPr>
        <w:snapToGrid/>
        <w:spacing w:line="240" w:lineRule="auto"/>
        <w:ind w:firstLine="0" w:firstLineChars="0"/>
        <w:jc w:val="center"/>
        <w:rPr>
          <w:rFonts w:hint="eastAsia" w:ascii="黑体" w:hAnsi="黑体" w:eastAsia="黑体" w:cs="黑体"/>
          <w:b w:val="0"/>
          <w:color w:val="auto"/>
          <w:kern w:val="2"/>
          <w:sz w:val="72"/>
          <w:szCs w:val="72"/>
          <w:lang w:val="en-US"/>
        </w:rPr>
      </w:pPr>
      <w:r>
        <w:rPr>
          <w:rFonts w:ascii="黑体" w:hAnsi="黑体" w:eastAsia="黑体" w:cs="黑体"/>
          <w:b w:val="0"/>
          <w:color w:val="auto"/>
          <w:kern w:val="2"/>
          <w:sz w:val="72"/>
          <w:szCs w:val="72"/>
          <w:lang w:val="en-US"/>
        </w:rPr>
        <w:t>文</w:t>
      </w:r>
    </w:p>
    <w:p>
      <w:pPr>
        <w:snapToGrid/>
        <w:spacing w:line="240" w:lineRule="auto"/>
        <w:ind w:firstLine="0" w:firstLineChars="0"/>
        <w:jc w:val="center"/>
        <w:rPr>
          <w:rFonts w:hint="eastAsia" w:ascii="黑体" w:hAnsi="黑体" w:eastAsia="黑体" w:cs="黑体"/>
          <w:b w:val="0"/>
          <w:color w:val="auto"/>
          <w:kern w:val="2"/>
          <w:sz w:val="72"/>
          <w:szCs w:val="72"/>
          <w:lang w:val="en-US"/>
        </w:rPr>
      </w:pPr>
    </w:p>
    <w:p>
      <w:pPr>
        <w:snapToGrid/>
        <w:spacing w:line="240" w:lineRule="auto"/>
        <w:ind w:firstLine="0" w:firstLineChars="0"/>
        <w:jc w:val="center"/>
        <w:rPr>
          <w:rFonts w:ascii="黑体" w:hAnsi="黑体" w:eastAsia="黑体" w:cs="黑体"/>
          <w:b w:val="0"/>
          <w:color w:val="auto"/>
          <w:kern w:val="2"/>
          <w:sz w:val="72"/>
          <w:szCs w:val="72"/>
          <w:lang w:val="en-US"/>
        </w:rPr>
      </w:pPr>
      <w:r>
        <w:rPr>
          <w:rFonts w:ascii="黑体" w:hAnsi="黑体" w:eastAsia="黑体" w:cs="黑体"/>
          <w:b w:val="0"/>
          <w:color w:val="auto"/>
          <w:kern w:val="2"/>
          <w:sz w:val="72"/>
          <w:szCs w:val="72"/>
          <w:lang w:val="en-US"/>
        </w:rPr>
        <w:t>件</w:t>
      </w:r>
    </w:p>
    <w:p>
      <w:pPr>
        <w:ind w:firstLine="0" w:firstLineChars="0"/>
        <w:jc w:val="center"/>
        <w:rPr>
          <w:rFonts w:ascii="Times New Roman" w:hAnsi="Times New Roman"/>
        </w:rPr>
      </w:pPr>
    </w:p>
    <w:p>
      <w:pPr>
        <w:ind w:firstLine="0" w:firstLineChars="0"/>
        <w:jc w:val="center"/>
        <w:rPr>
          <w:rFonts w:ascii="Times New Roman" w:hAnsi="Times New Roman"/>
        </w:rPr>
      </w:pPr>
    </w:p>
    <w:p>
      <w:pPr>
        <w:adjustRightInd w:val="0"/>
        <w:spacing w:line="288" w:lineRule="auto"/>
        <w:ind w:firstLine="0" w:firstLineChars="0"/>
        <w:jc w:val="center"/>
        <w:rPr>
          <w:rFonts w:hint="eastAsia" w:ascii="黑体" w:hAnsi="黑体" w:eastAsia="黑体"/>
          <w:b w:val="0"/>
          <w:color w:val="auto"/>
          <w:kern w:val="2"/>
          <w:lang w:val="en-US"/>
        </w:rPr>
      </w:pPr>
      <w:bookmarkStart w:id="0" w:name="PO_采购人_1"/>
      <w:r>
        <w:rPr>
          <w:rFonts w:hint="eastAsia" w:ascii="黑体" w:hAnsi="黑体" w:eastAsia="黑体" w:cs="黑体"/>
          <w:b w:val="0"/>
          <w:color w:val="auto"/>
          <w:kern w:val="2"/>
          <w:lang w:val="en-US"/>
        </w:rPr>
        <w:t>采购人</w:t>
      </w:r>
      <w:bookmarkEnd w:id="0"/>
      <w:r>
        <w:rPr>
          <w:rFonts w:hint="eastAsia" w:ascii="黑体" w:hAnsi="黑体" w:eastAsia="黑体" w:cs="黑体"/>
          <w:b w:val="0"/>
          <w:color w:val="auto"/>
          <w:kern w:val="2"/>
          <w:lang w:val="en-US"/>
        </w:rPr>
        <w:t>：成都市交通运输综合行政执法总队</w:t>
      </w:r>
    </w:p>
    <w:p>
      <w:pPr>
        <w:adjustRightInd w:val="0"/>
        <w:spacing w:line="288" w:lineRule="auto"/>
        <w:ind w:firstLine="0" w:firstLineChars="0"/>
        <w:jc w:val="center"/>
        <w:rPr>
          <w:rFonts w:ascii="黑体" w:hAnsi="黑体" w:eastAsia="黑体"/>
          <w:b w:val="0"/>
          <w:color w:val="auto"/>
          <w:kern w:val="2"/>
          <w:lang w:val="en-US"/>
        </w:rPr>
      </w:pPr>
      <w:r>
        <w:rPr>
          <w:rFonts w:hint="eastAsia" w:ascii="黑体" w:hAnsi="黑体" w:eastAsia="黑体" w:cs="黑体"/>
          <w:b w:val="0"/>
          <w:color w:val="auto"/>
          <w:kern w:val="2"/>
          <w:lang w:val="en-US"/>
        </w:rPr>
        <w:t>采购代理机构：四川中志招标代理有限公司</w:t>
      </w:r>
    </w:p>
    <w:p>
      <w:pPr>
        <w:spacing w:line="288" w:lineRule="auto"/>
        <w:ind w:firstLine="0" w:firstLineChars="0"/>
        <w:jc w:val="center"/>
        <w:rPr>
          <w:rFonts w:ascii="Times New Roman" w:hAnsi="Times New Roman"/>
          <w:color w:val="auto"/>
          <w:sz w:val="28"/>
          <w:szCs w:val="28"/>
        </w:rPr>
      </w:pPr>
      <w:r>
        <w:rPr>
          <w:rFonts w:hint="eastAsia" w:ascii="黑体" w:hAnsi="黑体" w:eastAsia="黑体" w:cs="黑体"/>
          <w:b w:val="0"/>
          <w:color w:val="auto"/>
          <w:kern w:val="2"/>
          <w:lang w:val="en-US"/>
        </w:rPr>
        <w:t>共同编制</w:t>
      </w:r>
    </w:p>
    <w:p>
      <w:pPr>
        <w:snapToGrid/>
        <w:ind w:firstLine="0" w:firstLineChars="0"/>
        <w:jc w:val="center"/>
        <w:rPr>
          <w:rFonts w:ascii="Times New Roman" w:hAnsi="Times New Roman"/>
          <w:color w:val="auto"/>
          <w:sz w:val="28"/>
          <w:szCs w:val="28"/>
        </w:rPr>
      </w:pPr>
      <w:r>
        <w:rPr>
          <w:rFonts w:ascii="Times New Roman" w:hAnsi="Times New Roman"/>
          <w:color w:val="auto"/>
          <w:sz w:val="28"/>
          <w:szCs w:val="28"/>
        </w:rPr>
        <w:t>二〇二</w:t>
      </w:r>
      <w:r>
        <w:rPr>
          <w:rFonts w:hint="eastAsia" w:ascii="Times New Roman" w:hAnsi="Times New Roman"/>
          <w:color w:val="auto"/>
          <w:sz w:val="28"/>
          <w:szCs w:val="28"/>
        </w:rPr>
        <w:t>一</w:t>
      </w:r>
      <w:r>
        <w:rPr>
          <w:rFonts w:ascii="Times New Roman" w:hAnsi="Times New Roman"/>
          <w:color w:val="auto"/>
          <w:sz w:val="28"/>
          <w:szCs w:val="28"/>
        </w:rPr>
        <w:t>年</w:t>
      </w:r>
      <w:r>
        <w:rPr>
          <w:rFonts w:hint="eastAsia" w:ascii="Times New Roman" w:hAnsi="Times New Roman"/>
          <w:color w:val="auto"/>
          <w:sz w:val="28"/>
          <w:szCs w:val="28"/>
          <w:lang w:val="en-US" w:eastAsia="zh-CN"/>
        </w:rPr>
        <w:t>八</w:t>
      </w:r>
      <w:r>
        <w:rPr>
          <w:rFonts w:ascii="Times New Roman" w:hAnsi="Times New Roman"/>
          <w:color w:val="auto"/>
          <w:sz w:val="28"/>
          <w:szCs w:val="28"/>
        </w:rPr>
        <w:t>月</w:t>
      </w:r>
    </w:p>
    <w:p>
      <w:pPr>
        <w:jc w:val="center"/>
        <w:rPr>
          <w:rFonts w:ascii="Times New Roman" w:hAnsi="Times New Roman"/>
          <w:color w:val="auto"/>
        </w:rPr>
        <w:sectPr>
          <w:headerReference r:id="rId5" w:type="first"/>
          <w:footerReference r:id="rId8" w:type="first"/>
          <w:headerReference r:id="rId3" w:type="default"/>
          <w:footerReference r:id="rId6" w:type="default"/>
          <w:headerReference r:id="rId4" w:type="even"/>
          <w:footerReference r:id="rId7" w:type="even"/>
          <w:pgSz w:w="11907" w:h="16840"/>
          <w:pgMar w:top="1418" w:right="1134" w:bottom="1418" w:left="1701" w:header="907" w:footer="850" w:gutter="0"/>
          <w:pgNumType w:start="0"/>
          <w:cols w:space="720" w:num="1"/>
          <w:titlePg/>
          <w:docGrid w:type="lines" w:linePitch="312" w:charSpace="0"/>
        </w:sectPr>
      </w:pPr>
    </w:p>
    <w:p>
      <w:pPr>
        <w:pStyle w:val="512"/>
        <w:tabs>
          <w:tab w:val="left" w:pos="426"/>
        </w:tabs>
        <w:adjustRightInd w:val="0"/>
        <w:snapToGrid w:val="0"/>
        <w:spacing w:before="100" w:beforeAutospacing="1" w:after="100" w:afterAutospacing="1" w:line="240" w:lineRule="auto"/>
        <w:jc w:val="center"/>
        <w:rPr>
          <w:rFonts w:ascii="仿宋" w:hAnsi="仿宋" w:eastAsia="仿宋"/>
          <w:color w:val="auto"/>
          <w:sz w:val="36"/>
          <w:szCs w:val="36"/>
          <w:lang w:val="zh-CN"/>
        </w:rPr>
      </w:pPr>
      <w:bookmarkStart w:id="1" w:name="_Hlt101843627"/>
      <w:bookmarkEnd w:id="1"/>
      <w:bookmarkStart w:id="2" w:name="_Hlt101233737"/>
      <w:bookmarkEnd w:id="2"/>
      <w:bookmarkStart w:id="3" w:name="_Toc494198585"/>
      <w:r>
        <w:rPr>
          <w:rFonts w:ascii="仿宋" w:hAnsi="仿宋" w:eastAsia="仿宋"/>
          <w:color w:val="auto"/>
          <w:sz w:val="36"/>
          <w:szCs w:val="36"/>
          <w:lang w:val="zh-CN"/>
        </w:rPr>
        <w:t>目  录</w:t>
      </w:r>
    </w:p>
    <w:p>
      <w:pPr>
        <w:pStyle w:val="51"/>
        <w:tabs>
          <w:tab w:val="left" w:pos="1280"/>
          <w:tab w:val="right" w:leader="dot" w:pos="9061"/>
        </w:tabs>
        <w:adjustRightInd w:val="0"/>
        <w:spacing w:before="0" w:after="0" w:line="400" w:lineRule="exact"/>
        <w:ind w:firstLine="0" w:firstLineChars="0"/>
        <w:rPr>
          <w:rStyle w:val="88"/>
          <w:rFonts w:ascii="仿宋" w:hAnsi="仿宋" w:eastAsia="仿宋"/>
          <w:color w:val="auto"/>
          <w:sz w:val="22"/>
          <w:szCs w:val="22"/>
          <w:lang w:val="en-US" w:eastAsia="zh-CN"/>
        </w:rPr>
      </w:pPr>
      <w:r>
        <w:rPr>
          <w:rFonts w:ascii="仿宋" w:hAnsi="仿宋" w:eastAsia="仿宋"/>
          <w:b w:val="0"/>
          <w:color w:val="auto"/>
          <w:kern w:val="2"/>
          <w:sz w:val="22"/>
          <w:szCs w:val="22"/>
          <w:lang w:val="en-US"/>
        </w:rPr>
        <w:fldChar w:fldCharType="begin"/>
      </w:r>
      <w:r>
        <w:rPr>
          <w:rFonts w:ascii="仿宋" w:hAnsi="仿宋" w:eastAsia="仿宋"/>
          <w:b w:val="0"/>
          <w:color w:val="auto"/>
          <w:kern w:val="2"/>
          <w:sz w:val="22"/>
          <w:szCs w:val="22"/>
          <w:lang w:val="en-US"/>
        </w:rPr>
        <w:instrText xml:space="preserve"> TOC \o "1-2" \h \z \u </w:instrText>
      </w:r>
      <w:r>
        <w:rPr>
          <w:rFonts w:ascii="仿宋" w:hAnsi="仿宋" w:eastAsia="仿宋"/>
          <w:b w:val="0"/>
          <w:color w:val="auto"/>
          <w:kern w:val="2"/>
          <w:sz w:val="22"/>
          <w:szCs w:val="22"/>
          <w:lang w:val="en-US"/>
        </w:rPr>
        <w:fldChar w:fldCharType="separate"/>
      </w:r>
      <w:r>
        <w:fldChar w:fldCharType="begin"/>
      </w:r>
      <w:r>
        <w:instrText xml:space="preserve"> HYPERLINK \l "_Toc40703435" </w:instrText>
      </w:r>
      <w:r>
        <w:fldChar w:fldCharType="separate"/>
      </w:r>
      <w:r>
        <w:rPr>
          <w:rStyle w:val="88"/>
          <w:rFonts w:ascii="仿宋" w:hAnsi="仿宋" w:eastAsia="仿宋"/>
          <w:color w:val="auto"/>
          <w:sz w:val="22"/>
          <w:szCs w:val="22"/>
          <w:lang w:val="en-US" w:eastAsia="zh-CN"/>
        </w:rPr>
        <w:t>第1章</w:t>
      </w:r>
      <w:r>
        <w:rPr>
          <w:rStyle w:val="88"/>
          <w:rFonts w:hint="eastAsia" w:ascii="仿宋" w:hAnsi="仿宋" w:eastAsia="仿宋"/>
          <w:color w:val="auto"/>
          <w:sz w:val="22"/>
          <w:szCs w:val="22"/>
          <w:lang w:val="en-US" w:eastAsia="zh-CN"/>
        </w:rPr>
        <w:t xml:space="preserve">  </w:t>
      </w:r>
      <w:r>
        <w:rPr>
          <w:rStyle w:val="88"/>
          <w:rFonts w:ascii="仿宋" w:hAnsi="仿宋" w:eastAsia="仿宋"/>
          <w:color w:val="auto"/>
          <w:sz w:val="22"/>
          <w:szCs w:val="22"/>
          <w:lang w:val="en-US" w:eastAsia="zh-CN"/>
        </w:rPr>
        <w:t>投标邀请</w:t>
      </w:r>
      <w:r>
        <w:rPr>
          <w:rStyle w:val="88"/>
          <w:rFonts w:ascii="仿宋" w:hAnsi="仿宋" w:eastAsia="仿宋"/>
          <w:color w:val="auto"/>
          <w:sz w:val="22"/>
          <w:szCs w:val="22"/>
          <w:lang w:val="en-US" w:eastAsia="zh-CN"/>
        </w:rPr>
        <w:tab/>
      </w:r>
      <w:r>
        <w:rPr>
          <w:rFonts w:ascii="仿宋" w:hAnsi="仿宋" w:eastAsia="仿宋"/>
          <w:color w:val="auto"/>
          <w:sz w:val="22"/>
          <w:szCs w:val="22"/>
          <w:lang w:val="en-US" w:eastAsia="zh-CN"/>
        </w:rPr>
        <w:fldChar w:fldCharType="begin"/>
      </w:r>
      <w:r>
        <w:rPr>
          <w:rStyle w:val="88"/>
          <w:rFonts w:ascii="仿宋" w:hAnsi="仿宋" w:eastAsia="仿宋"/>
          <w:color w:val="auto"/>
          <w:sz w:val="22"/>
          <w:szCs w:val="22"/>
          <w:lang w:val="en-US" w:eastAsia="zh-CN"/>
        </w:rPr>
        <w:instrText xml:space="preserve"> PAGEREF _Toc40703435 \h </w:instrText>
      </w:r>
      <w:r>
        <w:rPr>
          <w:rFonts w:ascii="仿宋" w:hAnsi="仿宋" w:eastAsia="仿宋"/>
          <w:color w:val="auto"/>
          <w:sz w:val="22"/>
          <w:szCs w:val="22"/>
          <w:lang w:val="en-US" w:eastAsia="zh-CN"/>
        </w:rPr>
        <w:fldChar w:fldCharType="separate"/>
      </w:r>
      <w:r>
        <w:rPr>
          <w:rStyle w:val="88"/>
          <w:rFonts w:ascii="仿宋" w:hAnsi="仿宋" w:eastAsia="仿宋"/>
          <w:color w:val="auto"/>
          <w:sz w:val="22"/>
          <w:szCs w:val="22"/>
          <w:lang w:val="en-US" w:eastAsia="zh-CN"/>
        </w:rPr>
        <w:t>1</w:t>
      </w:r>
      <w:r>
        <w:rPr>
          <w:rFonts w:ascii="仿宋" w:hAnsi="仿宋" w:eastAsia="仿宋"/>
          <w:color w:val="auto"/>
          <w:sz w:val="22"/>
          <w:szCs w:val="22"/>
          <w:lang w:val="en-US" w:eastAsia="zh-CN"/>
        </w:rPr>
        <w:fldChar w:fldCharType="end"/>
      </w:r>
      <w:r>
        <w:rPr>
          <w:rFonts w:ascii="仿宋" w:hAnsi="仿宋" w:eastAsia="仿宋"/>
          <w:color w:val="auto"/>
          <w:sz w:val="22"/>
          <w:szCs w:val="22"/>
          <w:lang w:val="en-US" w:eastAsia="zh-CN"/>
        </w:rPr>
        <w:fldChar w:fldCharType="end"/>
      </w:r>
    </w:p>
    <w:p>
      <w:pPr>
        <w:pStyle w:val="51"/>
        <w:tabs>
          <w:tab w:val="left" w:pos="1280"/>
          <w:tab w:val="right" w:leader="dot" w:pos="9061"/>
        </w:tabs>
        <w:adjustRightInd w:val="0"/>
        <w:spacing w:before="0" w:after="0" w:line="400" w:lineRule="exact"/>
        <w:ind w:firstLine="0" w:firstLineChars="0"/>
        <w:rPr>
          <w:rStyle w:val="88"/>
          <w:rFonts w:ascii="仿宋" w:hAnsi="仿宋" w:eastAsia="仿宋"/>
          <w:color w:val="auto"/>
          <w:sz w:val="22"/>
          <w:szCs w:val="22"/>
          <w:lang w:val="en-US" w:eastAsia="zh-CN"/>
        </w:rPr>
      </w:pPr>
      <w:r>
        <w:fldChar w:fldCharType="begin"/>
      </w:r>
      <w:r>
        <w:instrText xml:space="preserve"> HYPERLINK \l "_Toc40703436" </w:instrText>
      </w:r>
      <w:r>
        <w:fldChar w:fldCharType="separate"/>
      </w:r>
      <w:r>
        <w:rPr>
          <w:rStyle w:val="88"/>
          <w:rFonts w:ascii="仿宋" w:hAnsi="仿宋" w:eastAsia="仿宋"/>
          <w:color w:val="auto"/>
          <w:sz w:val="22"/>
          <w:szCs w:val="22"/>
          <w:lang w:val="en-US" w:eastAsia="zh-CN"/>
        </w:rPr>
        <w:t>第2章</w:t>
      </w:r>
      <w:r>
        <w:rPr>
          <w:rStyle w:val="88"/>
          <w:rFonts w:hint="eastAsia" w:ascii="仿宋" w:hAnsi="仿宋" w:eastAsia="仿宋"/>
          <w:color w:val="auto"/>
          <w:sz w:val="22"/>
          <w:szCs w:val="22"/>
          <w:lang w:val="en-US" w:eastAsia="zh-CN"/>
        </w:rPr>
        <w:t xml:space="preserve">  </w:t>
      </w:r>
      <w:r>
        <w:rPr>
          <w:rStyle w:val="88"/>
          <w:rFonts w:ascii="仿宋" w:hAnsi="仿宋" w:eastAsia="仿宋"/>
          <w:color w:val="auto"/>
          <w:sz w:val="22"/>
          <w:szCs w:val="22"/>
          <w:lang w:val="en-US" w:eastAsia="zh-CN"/>
        </w:rPr>
        <w:t>投标人须知</w:t>
      </w:r>
      <w:r>
        <w:rPr>
          <w:rStyle w:val="88"/>
          <w:rFonts w:ascii="仿宋" w:hAnsi="仿宋" w:eastAsia="仿宋"/>
          <w:color w:val="auto"/>
          <w:sz w:val="22"/>
          <w:szCs w:val="22"/>
          <w:lang w:val="en-US" w:eastAsia="zh-CN"/>
        </w:rPr>
        <w:tab/>
      </w:r>
      <w:r>
        <w:rPr>
          <w:rFonts w:ascii="仿宋" w:hAnsi="仿宋" w:eastAsia="仿宋"/>
          <w:color w:val="auto"/>
          <w:sz w:val="22"/>
          <w:szCs w:val="22"/>
          <w:lang w:val="en-US" w:eastAsia="zh-CN"/>
        </w:rPr>
        <w:fldChar w:fldCharType="begin"/>
      </w:r>
      <w:r>
        <w:rPr>
          <w:rStyle w:val="88"/>
          <w:rFonts w:ascii="仿宋" w:hAnsi="仿宋" w:eastAsia="仿宋"/>
          <w:color w:val="auto"/>
          <w:sz w:val="22"/>
          <w:szCs w:val="22"/>
          <w:lang w:val="en-US" w:eastAsia="zh-CN"/>
        </w:rPr>
        <w:instrText xml:space="preserve"> PAGEREF _Toc40703436 \h </w:instrText>
      </w:r>
      <w:r>
        <w:rPr>
          <w:rFonts w:ascii="仿宋" w:hAnsi="仿宋" w:eastAsia="仿宋"/>
          <w:color w:val="auto"/>
          <w:sz w:val="22"/>
          <w:szCs w:val="22"/>
          <w:lang w:val="en-US" w:eastAsia="zh-CN"/>
        </w:rPr>
        <w:fldChar w:fldCharType="separate"/>
      </w:r>
      <w:r>
        <w:rPr>
          <w:rStyle w:val="88"/>
          <w:rFonts w:ascii="仿宋" w:hAnsi="仿宋" w:eastAsia="仿宋"/>
          <w:color w:val="auto"/>
          <w:sz w:val="22"/>
          <w:szCs w:val="22"/>
          <w:lang w:val="en-US" w:eastAsia="zh-CN"/>
        </w:rPr>
        <w:t>4</w:t>
      </w:r>
      <w:r>
        <w:rPr>
          <w:rFonts w:ascii="仿宋" w:hAnsi="仿宋" w:eastAsia="仿宋"/>
          <w:color w:val="auto"/>
          <w:sz w:val="22"/>
          <w:szCs w:val="22"/>
          <w:lang w:val="en-US" w:eastAsia="zh-CN"/>
        </w:rPr>
        <w:fldChar w:fldCharType="end"/>
      </w:r>
      <w:r>
        <w:rPr>
          <w:rFonts w:ascii="仿宋" w:hAnsi="仿宋" w:eastAsia="仿宋"/>
          <w:color w:val="auto"/>
          <w:sz w:val="22"/>
          <w:szCs w:val="22"/>
          <w:lang w:val="en-US" w:eastAsia="zh-CN"/>
        </w:rPr>
        <w:fldChar w:fldCharType="end"/>
      </w:r>
    </w:p>
    <w:p>
      <w:pPr>
        <w:pStyle w:val="62"/>
        <w:tabs>
          <w:tab w:val="right" w:leader="dot" w:pos="9061"/>
        </w:tabs>
        <w:adjustRightInd w:val="0"/>
        <w:spacing w:line="400" w:lineRule="exact"/>
        <w:ind w:left="0" w:firstLine="300" w:firstLineChars="150"/>
        <w:rPr>
          <w:rStyle w:val="88"/>
          <w:rFonts w:ascii="仿宋" w:hAnsi="仿宋" w:eastAsia="仿宋"/>
          <w:bCs/>
          <w:color w:val="auto"/>
          <w:sz w:val="22"/>
          <w:szCs w:val="22"/>
          <w:lang w:val="en-US" w:eastAsia="zh-CN"/>
        </w:rPr>
      </w:pPr>
      <w:r>
        <w:fldChar w:fldCharType="begin"/>
      </w:r>
      <w:r>
        <w:instrText xml:space="preserve"> HYPERLINK \l "_Toc40703437" </w:instrText>
      </w:r>
      <w:r>
        <w:fldChar w:fldCharType="separate"/>
      </w:r>
      <w:r>
        <w:rPr>
          <w:rStyle w:val="88"/>
          <w:rFonts w:ascii="仿宋" w:hAnsi="仿宋" w:eastAsia="仿宋"/>
          <w:bCs/>
          <w:color w:val="auto"/>
          <w:sz w:val="22"/>
          <w:szCs w:val="22"/>
          <w:lang w:val="en-US" w:eastAsia="zh-CN"/>
        </w:rPr>
        <w:t>2.1 投标人须知前附表</w:t>
      </w:r>
      <w:r>
        <w:rPr>
          <w:rStyle w:val="88"/>
          <w:rFonts w:ascii="仿宋" w:hAnsi="仿宋" w:eastAsia="仿宋"/>
          <w:bCs/>
          <w:color w:val="auto"/>
          <w:sz w:val="22"/>
          <w:szCs w:val="22"/>
          <w:lang w:val="en-US" w:eastAsia="zh-CN"/>
        </w:rPr>
        <w:tab/>
      </w:r>
      <w:r>
        <w:rPr>
          <w:rFonts w:ascii="仿宋" w:hAnsi="仿宋" w:eastAsia="仿宋"/>
          <w:bCs/>
          <w:color w:val="auto"/>
          <w:sz w:val="22"/>
          <w:szCs w:val="22"/>
          <w:lang w:val="en-US" w:eastAsia="zh-CN"/>
        </w:rPr>
        <w:fldChar w:fldCharType="begin"/>
      </w:r>
      <w:r>
        <w:rPr>
          <w:rStyle w:val="88"/>
          <w:rFonts w:ascii="仿宋" w:hAnsi="仿宋" w:eastAsia="仿宋"/>
          <w:bCs/>
          <w:color w:val="auto"/>
          <w:sz w:val="22"/>
          <w:szCs w:val="22"/>
          <w:lang w:val="en-US" w:eastAsia="zh-CN"/>
        </w:rPr>
        <w:instrText xml:space="preserve"> PAGEREF _Toc40703437 \h </w:instrText>
      </w:r>
      <w:r>
        <w:rPr>
          <w:rFonts w:ascii="仿宋" w:hAnsi="仿宋" w:eastAsia="仿宋"/>
          <w:bCs/>
          <w:color w:val="auto"/>
          <w:sz w:val="22"/>
          <w:szCs w:val="22"/>
          <w:lang w:val="en-US" w:eastAsia="zh-CN"/>
        </w:rPr>
        <w:fldChar w:fldCharType="separate"/>
      </w:r>
      <w:r>
        <w:rPr>
          <w:rStyle w:val="88"/>
          <w:rFonts w:ascii="仿宋" w:hAnsi="仿宋" w:eastAsia="仿宋"/>
          <w:bCs/>
          <w:color w:val="auto"/>
          <w:sz w:val="22"/>
          <w:szCs w:val="22"/>
          <w:lang w:val="en-US" w:eastAsia="zh-CN"/>
        </w:rPr>
        <w:t>4</w:t>
      </w:r>
      <w:r>
        <w:rPr>
          <w:rFonts w:ascii="仿宋" w:hAnsi="仿宋" w:eastAsia="仿宋"/>
          <w:bCs/>
          <w:color w:val="auto"/>
          <w:sz w:val="22"/>
          <w:szCs w:val="22"/>
          <w:lang w:val="en-US" w:eastAsia="zh-CN"/>
        </w:rPr>
        <w:fldChar w:fldCharType="end"/>
      </w:r>
      <w:r>
        <w:rPr>
          <w:rFonts w:ascii="仿宋" w:hAnsi="仿宋" w:eastAsia="仿宋"/>
          <w:bCs/>
          <w:color w:val="auto"/>
          <w:sz w:val="22"/>
          <w:szCs w:val="22"/>
          <w:lang w:val="en-US" w:eastAsia="zh-CN"/>
        </w:rPr>
        <w:fldChar w:fldCharType="end"/>
      </w:r>
    </w:p>
    <w:p>
      <w:pPr>
        <w:pStyle w:val="62"/>
        <w:tabs>
          <w:tab w:val="right" w:leader="dot" w:pos="9061"/>
        </w:tabs>
        <w:adjustRightInd w:val="0"/>
        <w:spacing w:line="400" w:lineRule="exact"/>
        <w:ind w:left="0" w:firstLine="300" w:firstLineChars="150"/>
        <w:rPr>
          <w:rStyle w:val="88"/>
          <w:rFonts w:ascii="仿宋" w:hAnsi="仿宋" w:eastAsia="仿宋"/>
          <w:bCs/>
          <w:color w:val="auto"/>
          <w:sz w:val="22"/>
          <w:szCs w:val="22"/>
          <w:lang w:val="en-US" w:eastAsia="zh-CN"/>
        </w:rPr>
      </w:pPr>
      <w:r>
        <w:fldChar w:fldCharType="begin"/>
      </w:r>
      <w:r>
        <w:instrText xml:space="preserve"> HYPERLINK \l "_Toc40703438" </w:instrText>
      </w:r>
      <w:r>
        <w:fldChar w:fldCharType="separate"/>
      </w:r>
      <w:r>
        <w:rPr>
          <w:rStyle w:val="88"/>
          <w:rFonts w:ascii="仿宋" w:hAnsi="仿宋" w:eastAsia="仿宋"/>
          <w:bCs/>
          <w:color w:val="auto"/>
          <w:sz w:val="22"/>
          <w:szCs w:val="22"/>
          <w:lang w:val="en-US" w:eastAsia="zh-CN"/>
        </w:rPr>
        <w:t>2.2 总  则</w:t>
      </w:r>
      <w:r>
        <w:rPr>
          <w:rStyle w:val="88"/>
          <w:rFonts w:ascii="仿宋" w:hAnsi="仿宋" w:eastAsia="仿宋"/>
          <w:bCs/>
          <w:color w:val="auto"/>
          <w:sz w:val="22"/>
          <w:szCs w:val="22"/>
          <w:lang w:val="en-US" w:eastAsia="zh-CN"/>
        </w:rPr>
        <w:tab/>
      </w:r>
      <w:r>
        <w:rPr>
          <w:rFonts w:ascii="仿宋" w:hAnsi="仿宋" w:eastAsia="仿宋"/>
          <w:bCs/>
          <w:color w:val="auto"/>
          <w:sz w:val="22"/>
          <w:szCs w:val="22"/>
          <w:lang w:val="en-US" w:eastAsia="zh-CN"/>
        </w:rPr>
        <w:fldChar w:fldCharType="begin"/>
      </w:r>
      <w:r>
        <w:rPr>
          <w:rStyle w:val="88"/>
          <w:rFonts w:ascii="仿宋" w:hAnsi="仿宋" w:eastAsia="仿宋"/>
          <w:bCs/>
          <w:color w:val="auto"/>
          <w:sz w:val="22"/>
          <w:szCs w:val="22"/>
          <w:lang w:val="en-US" w:eastAsia="zh-CN"/>
        </w:rPr>
        <w:instrText xml:space="preserve"> PAGEREF _Toc40703438 \h </w:instrText>
      </w:r>
      <w:r>
        <w:rPr>
          <w:rFonts w:ascii="仿宋" w:hAnsi="仿宋" w:eastAsia="仿宋"/>
          <w:bCs/>
          <w:color w:val="auto"/>
          <w:sz w:val="22"/>
          <w:szCs w:val="22"/>
          <w:lang w:val="en-US" w:eastAsia="zh-CN"/>
        </w:rPr>
        <w:fldChar w:fldCharType="separate"/>
      </w:r>
      <w:r>
        <w:rPr>
          <w:rStyle w:val="88"/>
          <w:rFonts w:ascii="仿宋" w:hAnsi="仿宋" w:eastAsia="仿宋"/>
          <w:bCs/>
          <w:color w:val="auto"/>
          <w:sz w:val="22"/>
          <w:szCs w:val="22"/>
          <w:lang w:val="en-US" w:eastAsia="zh-CN"/>
        </w:rPr>
        <w:t>8</w:t>
      </w:r>
      <w:r>
        <w:rPr>
          <w:rFonts w:ascii="仿宋" w:hAnsi="仿宋" w:eastAsia="仿宋"/>
          <w:bCs/>
          <w:color w:val="auto"/>
          <w:sz w:val="22"/>
          <w:szCs w:val="22"/>
          <w:lang w:val="en-US" w:eastAsia="zh-CN"/>
        </w:rPr>
        <w:fldChar w:fldCharType="end"/>
      </w:r>
      <w:r>
        <w:rPr>
          <w:rFonts w:ascii="仿宋" w:hAnsi="仿宋" w:eastAsia="仿宋"/>
          <w:bCs/>
          <w:color w:val="auto"/>
          <w:sz w:val="22"/>
          <w:szCs w:val="22"/>
          <w:lang w:val="en-US" w:eastAsia="zh-CN"/>
        </w:rPr>
        <w:fldChar w:fldCharType="end"/>
      </w:r>
    </w:p>
    <w:p>
      <w:pPr>
        <w:pStyle w:val="62"/>
        <w:tabs>
          <w:tab w:val="right" w:leader="dot" w:pos="9061"/>
        </w:tabs>
        <w:adjustRightInd w:val="0"/>
        <w:spacing w:line="400" w:lineRule="exact"/>
        <w:ind w:left="0" w:firstLine="300" w:firstLineChars="150"/>
        <w:rPr>
          <w:rStyle w:val="88"/>
          <w:rFonts w:ascii="仿宋" w:hAnsi="仿宋" w:eastAsia="仿宋"/>
          <w:bCs/>
          <w:color w:val="auto"/>
          <w:sz w:val="22"/>
          <w:szCs w:val="22"/>
          <w:lang w:val="en-US" w:eastAsia="zh-CN"/>
        </w:rPr>
      </w:pPr>
      <w:r>
        <w:fldChar w:fldCharType="begin"/>
      </w:r>
      <w:r>
        <w:instrText xml:space="preserve"> HYPERLINK \l "_Toc40703439" </w:instrText>
      </w:r>
      <w:r>
        <w:fldChar w:fldCharType="separate"/>
      </w:r>
      <w:r>
        <w:rPr>
          <w:rStyle w:val="88"/>
          <w:rFonts w:ascii="仿宋" w:hAnsi="仿宋" w:eastAsia="仿宋"/>
          <w:bCs/>
          <w:color w:val="auto"/>
          <w:sz w:val="22"/>
          <w:szCs w:val="22"/>
          <w:lang w:val="en-US" w:eastAsia="zh-CN"/>
        </w:rPr>
        <w:t>2.3 招标文件</w:t>
      </w:r>
      <w:r>
        <w:rPr>
          <w:rStyle w:val="88"/>
          <w:rFonts w:ascii="仿宋" w:hAnsi="仿宋" w:eastAsia="仿宋"/>
          <w:bCs/>
          <w:color w:val="auto"/>
          <w:sz w:val="22"/>
          <w:szCs w:val="22"/>
          <w:lang w:val="en-US" w:eastAsia="zh-CN"/>
        </w:rPr>
        <w:tab/>
      </w:r>
      <w:r>
        <w:rPr>
          <w:rFonts w:ascii="仿宋" w:hAnsi="仿宋" w:eastAsia="仿宋"/>
          <w:bCs/>
          <w:color w:val="auto"/>
          <w:sz w:val="22"/>
          <w:szCs w:val="22"/>
          <w:lang w:val="en-US" w:eastAsia="zh-CN"/>
        </w:rPr>
        <w:fldChar w:fldCharType="begin"/>
      </w:r>
      <w:r>
        <w:rPr>
          <w:rStyle w:val="88"/>
          <w:rFonts w:ascii="仿宋" w:hAnsi="仿宋" w:eastAsia="仿宋"/>
          <w:bCs/>
          <w:color w:val="auto"/>
          <w:sz w:val="22"/>
          <w:szCs w:val="22"/>
          <w:lang w:val="en-US" w:eastAsia="zh-CN"/>
        </w:rPr>
        <w:instrText xml:space="preserve"> PAGEREF _Toc40703439 \h </w:instrText>
      </w:r>
      <w:r>
        <w:rPr>
          <w:rFonts w:ascii="仿宋" w:hAnsi="仿宋" w:eastAsia="仿宋"/>
          <w:bCs/>
          <w:color w:val="auto"/>
          <w:sz w:val="22"/>
          <w:szCs w:val="22"/>
          <w:lang w:val="en-US" w:eastAsia="zh-CN"/>
        </w:rPr>
        <w:fldChar w:fldCharType="separate"/>
      </w:r>
      <w:r>
        <w:rPr>
          <w:rStyle w:val="88"/>
          <w:rFonts w:ascii="仿宋" w:hAnsi="仿宋" w:eastAsia="仿宋"/>
          <w:bCs/>
          <w:color w:val="auto"/>
          <w:sz w:val="22"/>
          <w:szCs w:val="22"/>
          <w:lang w:val="en-US" w:eastAsia="zh-CN"/>
        </w:rPr>
        <w:t>10</w:t>
      </w:r>
      <w:r>
        <w:rPr>
          <w:rFonts w:ascii="仿宋" w:hAnsi="仿宋" w:eastAsia="仿宋"/>
          <w:bCs/>
          <w:color w:val="auto"/>
          <w:sz w:val="22"/>
          <w:szCs w:val="22"/>
          <w:lang w:val="en-US" w:eastAsia="zh-CN"/>
        </w:rPr>
        <w:fldChar w:fldCharType="end"/>
      </w:r>
      <w:r>
        <w:rPr>
          <w:rFonts w:ascii="仿宋" w:hAnsi="仿宋" w:eastAsia="仿宋"/>
          <w:bCs/>
          <w:color w:val="auto"/>
          <w:sz w:val="22"/>
          <w:szCs w:val="22"/>
          <w:lang w:val="en-US" w:eastAsia="zh-CN"/>
        </w:rPr>
        <w:fldChar w:fldCharType="end"/>
      </w:r>
    </w:p>
    <w:p>
      <w:pPr>
        <w:pStyle w:val="62"/>
        <w:tabs>
          <w:tab w:val="right" w:leader="dot" w:pos="9061"/>
        </w:tabs>
        <w:adjustRightInd w:val="0"/>
        <w:spacing w:line="400" w:lineRule="exact"/>
        <w:ind w:left="0" w:firstLine="300" w:firstLineChars="150"/>
        <w:rPr>
          <w:rStyle w:val="88"/>
          <w:rFonts w:ascii="仿宋" w:hAnsi="仿宋" w:eastAsia="仿宋"/>
          <w:bCs/>
          <w:color w:val="auto"/>
          <w:sz w:val="22"/>
          <w:szCs w:val="22"/>
          <w:lang w:val="en-US" w:eastAsia="zh-CN"/>
        </w:rPr>
      </w:pPr>
      <w:r>
        <w:fldChar w:fldCharType="begin"/>
      </w:r>
      <w:r>
        <w:instrText xml:space="preserve"> HYPERLINK \l "_Toc40703440" </w:instrText>
      </w:r>
      <w:r>
        <w:fldChar w:fldCharType="separate"/>
      </w:r>
      <w:r>
        <w:rPr>
          <w:rStyle w:val="88"/>
          <w:rFonts w:ascii="仿宋" w:hAnsi="仿宋" w:eastAsia="仿宋"/>
          <w:bCs/>
          <w:color w:val="auto"/>
          <w:sz w:val="22"/>
          <w:szCs w:val="22"/>
          <w:lang w:val="en-US" w:eastAsia="zh-CN"/>
        </w:rPr>
        <w:t>2.4 投标文件</w:t>
      </w:r>
      <w:r>
        <w:rPr>
          <w:rStyle w:val="88"/>
          <w:rFonts w:ascii="仿宋" w:hAnsi="仿宋" w:eastAsia="仿宋"/>
          <w:bCs/>
          <w:color w:val="auto"/>
          <w:sz w:val="22"/>
          <w:szCs w:val="22"/>
          <w:lang w:val="en-US" w:eastAsia="zh-CN"/>
        </w:rPr>
        <w:tab/>
      </w:r>
      <w:r>
        <w:rPr>
          <w:rFonts w:ascii="仿宋" w:hAnsi="仿宋" w:eastAsia="仿宋"/>
          <w:bCs/>
          <w:color w:val="auto"/>
          <w:sz w:val="22"/>
          <w:szCs w:val="22"/>
          <w:lang w:val="en-US" w:eastAsia="zh-CN"/>
        </w:rPr>
        <w:fldChar w:fldCharType="begin"/>
      </w:r>
      <w:r>
        <w:rPr>
          <w:rStyle w:val="88"/>
          <w:rFonts w:ascii="仿宋" w:hAnsi="仿宋" w:eastAsia="仿宋"/>
          <w:bCs/>
          <w:color w:val="auto"/>
          <w:sz w:val="22"/>
          <w:szCs w:val="22"/>
          <w:lang w:val="en-US" w:eastAsia="zh-CN"/>
        </w:rPr>
        <w:instrText xml:space="preserve"> PAGEREF _Toc40703440 \h </w:instrText>
      </w:r>
      <w:r>
        <w:rPr>
          <w:rFonts w:ascii="仿宋" w:hAnsi="仿宋" w:eastAsia="仿宋"/>
          <w:bCs/>
          <w:color w:val="auto"/>
          <w:sz w:val="22"/>
          <w:szCs w:val="22"/>
          <w:lang w:val="en-US" w:eastAsia="zh-CN"/>
        </w:rPr>
        <w:fldChar w:fldCharType="separate"/>
      </w:r>
      <w:r>
        <w:rPr>
          <w:rStyle w:val="88"/>
          <w:rFonts w:ascii="仿宋" w:hAnsi="仿宋" w:eastAsia="仿宋"/>
          <w:bCs/>
          <w:color w:val="auto"/>
          <w:sz w:val="22"/>
          <w:szCs w:val="22"/>
          <w:lang w:val="en-US" w:eastAsia="zh-CN"/>
        </w:rPr>
        <w:t>11</w:t>
      </w:r>
      <w:r>
        <w:rPr>
          <w:rFonts w:ascii="仿宋" w:hAnsi="仿宋" w:eastAsia="仿宋"/>
          <w:bCs/>
          <w:color w:val="auto"/>
          <w:sz w:val="22"/>
          <w:szCs w:val="22"/>
          <w:lang w:val="en-US" w:eastAsia="zh-CN"/>
        </w:rPr>
        <w:fldChar w:fldCharType="end"/>
      </w:r>
      <w:r>
        <w:rPr>
          <w:rFonts w:ascii="仿宋" w:hAnsi="仿宋" w:eastAsia="仿宋"/>
          <w:bCs/>
          <w:color w:val="auto"/>
          <w:sz w:val="22"/>
          <w:szCs w:val="22"/>
          <w:lang w:val="en-US" w:eastAsia="zh-CN"/>
        </w:rPr>
        <w:fldChar w:fldCharType="end"/>
      </w:r>
    </w:p>
    <w:p>
      <w:pPr>
        <w:pStyle w:val="62"/>
        <w:tabs>
          <w:tab w:val="right" w:leader="dot" w:pos="9061"/>
        </w:tabs>
        <w:adjustRightInd w:val="0"/>
        <w:spacing w:line="400" w:lineRule="exact"/>
        <w:ind w:left="0" w:firstLine="300" w:firstLineChars="150"/>
        <w:rPr>
          <w:rStyle w:val="88"/>
          <w:rFonts w:ascii="仿宋" w:hAnsi="仿宋" w:eastAsia="仿宋"/>
          <w:bCs/>
          <w:color w:val="auto"/>
          <w:sz w:val="22"/>
          <w:szCs w:val="22"/>
          <w:lang w:val="en-US" w:eastAsia="zh-CN"/>
        </w:rPr>
      </w:pPr>
      <w:r>
        <w:fldChar w:fldCharType="begin"/>
      </w:r>
      <w:r>
        <w:instrText xml:space="preserve"> HYPERLINK \l "_Toc40703441" </w:instrText>
      </w:r>
      <w:r>
        <w:fldChar w:fldCharType="separate"/>
      </w:r>
      <w:r>
        <w:rPr>
          <w:rStyle w:val="88"/>
          <w:rFonts w:ascii="仿宋" w:hAnsi="仿宋" w:eastAsia="仿宋"/>
          <w:bCs/>
          <w:color w:val="auto"/>
          <w:sz w:val="22"/>
          <w:szCs w:val="22"/>
          <w:lang w:val="en-US" w:eastAsia="zh-CN"/>
        </w:rPr>
        <w:t>2.5 开标、评标和中标</w:t>
      </w:r>
      <w:r>
        <w:rPr>
          <w:rStyle w:val="88"/>
          <w:rFonts w:ascii="仿宋" w:hAnsi="仿宋" w:eastAsia="仿宋"/>
          <w:bCs/>
          <w:color w:val="auto"/>
          <w:sz w:val="22"/>
          <w:szCs w:val="22"/>
          <w:lang w:val="en-US" w:eastAsia="zh-CN"/>
        </w:rPr>
        <w:tab/>
      </w:r>
      <w:r>
        <w:rPr>
          <w:rFonts w:ascii="仿宋" w:hAnsi="仿宋" w:eastAsia="仿宋"/>
          <w:bCs/>
          <w:color w:val="auto"/>
          <w:sz w:val="22"/>
          <w:szCs w:val="22"/>
          <w:lang w:val="en-US" w:eastAsia="zh-CN"/>
        </w:rPr>
        <w:fldChar w:fldCharType="begin"/>
      </w:r>
      <w:r>
        <w:rPr>
          <w:rStyle w:val="88"/>
          <w:rFonts w:ascii="仿宋" w:hAnsi="仿宋" w:eastAsia="仿宋"/>
          <w:bCs/>
          <w:color w:val="auto"/>
          <w:sz w:val="22"/>
          <w:szCs w:val="22"/>
          <w:lang w:val="en-US" w:eastAsia="zh-CN"/>
        </w:rPr>
        <w:instrText xml:space="preserve"> PAGEREF _Toc40703441 \h </w:instrText>
      </w:r>
      <w:r>
        <w:rPr>
          <w:rFonts w:ascii="仿宋" w:hAnsi="仿宋" w:eastAsia="仿宋"/>
          <w:bCs/>
          <w:color w:val="auto"/>
          <w:sz w:val="22"/>
          <w:szCs w:val="22"/>
          <w:lang w:val="en-US" w:eastAsia="zh-CN"/>
        </w:rPr>
        <w:fldChar w:fldCharType="separate"/>
      </w:r>
      <w:r>
        <w:rPr>
          <w:rStyle w:val="88"/>
          <w:rFonts w:ascii="仿宋" w:hAnsi="仿宋" w:eastAsia="仿宋"/>
          <w:bCs/>
          <w:color w:val="auto"/>
          <w:sz w:val="22"/>
          <w:szCs w:val="22"/>
          <w:lang w:val="en-US" w:eastAsia="zh-CN"/>
        </w:rPr>
        <w:t>17</w:t>
      </w:r>
      <w:r>
        <w:rPr>
          <w:rFonts w:ascii="仿宋" w:hAnsi="仿宋" w:eastAsia="仿宋"/>
          <w:bCs/>
          <w:color w:val="auto"/>
          <w:sz w:val="22"/>
          <w:szCs w:val="22"/>
          <w:lang w:val="en-US" w:eastAsia="zh-CN"/>
        </w:rPr>
        <w:fldChar w:fldCharType="end"/>
      </w:r>
      <w:r>
        <w:rPr>
          <w:rFonts w:ascii="仿宋" w:hAnsi="仿宋" w:eastAsia="仿宋"/>
          <w:bCs/>
          <w:color w:val="auto"/>
          <w:sz w:val="22"/>
          <w:szCs w:val="22"/>
          <w:lang w:val="en-US" w:eastAsia="zh-CN"/>
        </w:rPr>
        <w:fldChar w:fldCharType="end"/>
      </w:r>
    </w:p>
    <w:p>
      <w:pPr>
        <w:pStyle w:val="62"/>
        <w:tabs>
          <w:tab w:val="right" w:leader="dot" w:pos="9061"/>
        </w:tabs>
        <w:adjustRightInd w:val="0"/>
        <w:spacing w:line="400" w:lineRule="exact"/>
        <w:ind w:left="0" w:firstLine="300" w:firstLineChars="150"/>
        <w:rPr>
          <w:rStyle w:val="88"/>
          <w:rFonts w:ascii="仿宋" w:hAnsi="仿宋" w:eastAsia="仿宋"/>
          <w:bCs/>
          <w:color w:val="auto"/>
          <w:sz w:val="22"/>
          <w:szCs w:val="22"/>
          <w:lang w:val="en-US" w:eastAsia="zh-CN"/>
        </w:rPr>
      </w:pPr>
      <w:r>
        <w:fldChar w:fldCharType="begin"/>
      </w:r>
      <w:r>
        <w:instrText xml:space="preserve"> HYPERLINK \l "_Toc40703442" </w:instrText>
      </w:r>
      <w:r>
        <w:fldChar w:fldCharType="separate"/>
      </w:r>
      <w:r>
        <w:rPr>
          <w:rStyle w:val="88"/>
          <w:rFonts w:ascii="仿宋" w:hAnsi="仿宋" w:eastAsia="仿宋"/>
          <w:bCs/>
          <w:color w:val="auto"/>
          <w:sz w:val="22"/>
          <w:szCs w:val="22"/>
          <w:lang w:val="en-US" w:eastAsia="zh-CN"/>
        </w:rPr>
        <w:t>2.6 签订及履行合同</w:t>
      </w:r>
      <w:r>
        <w:rPr>
          <w:rStyle w:val="88"/>
          <w:rFonts w:ascii="仿宋" w:hAnsi="仿宋" w:eastAsia="仿宋"/>
          <w:bCs/>
          <w:color w:val="auto"/>
          <w:sz w:val="22"/>
          <w:szCs w:val="22"/>
          <w:lang w:val="en-US" w:eastAsia="zh-CN"/>
        </w:rPr>
        <w:tab/>
      </w:r>
      <w:r>
        <w:rPr>
          <w:rFonts w:ascii="仿宋" w:hAnsi="仿宋" w:eastAsia="仿宋"/>
          <w:bCs/>
          <w:color w:val="auto"/>
          <w:sz w:val="22"/>
          <w:szCs w:val="22"/>
          <w:lang w:val="en-US" w:eastAsia="zh-CN"/>
        </w:rPr>
        <w:fldChar w:fldCharType="begin"/>
      </w:r>
      <w:r>
        <w:rPr>
          <w:rStyle w:val="88"/>
          <w:rFonts w:ascii="仿宋" w:hAnsi="仿宋" w:eastAsia="仿宋"/>
          <w:bCs/>
          <w:color w:val="auto"/>
          <w:sz w:val="22"/>
          <w:szCs w:val="22"/>
          <w:lang w:val="en-US" w:eastAsia="zh-CN"/>
        </w:rPr>
        <w:instrText xml:space="preserve"> PAGEREF _Toc40703442 \h </w:instrText>
      </w:r>
      <w:r>
        <w:rPr>
          <w:rFonts w:ascii="仿宋" w:hAnsi="仿宋" w:eastAsia="仿宋"/>
          <w:bCs/>
          <w:color w:val="auto"/>
          <w:sz w:val="22"/>
          <w:szCs w:val="22"/>
          <w:lang w:val="en-US" w:eastAsia="zh-CN"/>
        </w:rPr>
        <w:fldChar w:fldCharType="separate"/>
      </w:r>
      <w:r>
        <w:rPr>
          <w:rStyle w:val="88"/>
          <w:rFonts w:ascii="仿宋" w:hAnsi="仿宋" w:eastAsia="仿宋"/>
          <w:bCs/>
          <w:color w:val="auto"/>
          <w:sz w:val="22"/>
          <w:szCs w:val="22"/>
          <w:lang w:val="en-US" w:eastAsia="zh-CN"/>
        </w:rPr>
        <w:t>20</w:t>
      </w:r>
      <w:r>
        <w:rPr>
          <w:rFonts w:ascii="仿宋" w:hAnsi="仿宋" w:eastAsia="仿宋"/>
          <w:bCs/>
          <w:color w:val="auto"/>
          <w:sz w:val="22"/>
          <w:szCs w:val="22"/>
          <w:lang w:val="en-US" w:eastAsia="zh-CN"/>
        </w:rPr>
        <w:fldChar w:fldCharType="end"/>
      </w:r>
      <w:r>
        <w:rPr>
          <w:rFonts w:ascii="仿宋" w:hAnsi="仿宋" w:eastAsia="仿宋"/>
          <w:bCs/>
          <w:color w:val="auto"/>
          <w:sz w:val="22"/>
          <w:szCs w:val="22"/>
          <w:lang w:val="en-US" w:eastAsia="zh-CN"/>
        </w:rPr>
        <w:fldChar w:fldCharType="end"/>
      </w:r>
    </w:p>
    <w:p>
      <w:pPr>
        <w:pStyle w:val="62"/>
        <w:tabs>
          <w:tab w:val="right" w:leader="dot" w:pos="9061"/>
        </w:tabs>
        <w:adjustRightInd w:val="0"/>
        <w:spacing w:line="400" w:lineRule="exact"/>
        <w:ind w:left="0" w:firstLine="300" w:firstLineChars="150"/>
        <w:rPr>
          <w:rStyle w:val="88"/>
          <w:rFonts w:ascii="仿宋" w:hAnsi="仿宋" w:eastAsia="仿宋"/>
          <w:bCs/>
          <w:color w:val="auto"/>
          <w:sz w:val="22"/>
          <w:szCs w:val="22"/>
          <w:lang w:val="en-US" w:eastAsia="zh-CN"/>
        </w:rPr>
      </w:pPr>
      <w:r>
        <w:fldChar w:fldCharType="begin"/>
      </w:r>
      <w:r>
        <w:instrText xml:space="preserve"> HYPERLINK \l "_Toc40703443" </w:instrText>
      </w:r>
      <w:r>
        <w:fldChar w:fldCharType="separate"/>
      </w:r>
      <w:r>
        <w:rPr>
          <w:rStyle w:val="88"/>
          <w:rFonts w:ascii="仿宋" w:hAnsi="仿宋" w:eastAsia="仿宋"/>
          <w:bCs/>
          <w:color w:val="auto"/>
          <w:sz w:val="22"/>
          <w:szCs w:val="22"/>
          <w:lang w:val="en-US" w:eastAsia="zh-CN"/>
        </w:rPr>
        <w:t>2.7 投标纪律要求</w:t>
      </w:r>
      <w:r>
        <w:rPr>
          <w:rStyle w:val="88"/>
          <w:rFonts w:ascii="仿宋" w:hAnsi="仿宋" w:eastAsia="仿宋"/>
          <w:bCs/>
          <w:color w:val="auto"/>
          <w:sz w:val="22"/>
          <w:szCs w:val="22"/>
          <w:lang w:val="en-US" w:eastAsia="zh-CN"/>
        </w:rPr>
        <w:tab/>
      </w:r>
      <w:r>
        <w:rPr>
          <w:rFonts w:ascii="仿宋" w:hAnsi="仿宋" w:eastAsia="仿宋"/>
          <w:bCs/>
          <w:color w:val="auto"/>
          <w:sz w:val="22"/>
          <w:szCs w:val="22"/>
          <w:lang w:val="en-US" w:eastAsia="zh-CN"/>
        </w:rPr>
        <w:fldChar w:fldCharType="begin"/>
      </w:r>
      <w:r>
        <w:rPr>
          <w:rStyle w:val="88"/>
          <w:rFonts w:ascii="仿宋" w:hAnsi="仿宋" w:eastAsia="仿宋"/>
          <w:bCs/>
          <w:color w:val="auto"/>
          <w:sz w:val="22"/>
          <w:szCs w:val="22"/>
          <w:lang w:val="en-US" w:eastAsia="zh-CN"/>
        </w:rPr>
        <w:instrText xml:space="preserve"> PAGEREF _Toc40703443 \h </w:instrText>
      </w:r>
      <w:r>
        <w:rPr>
          <w:rFonts w:ascii="仿宋" w:hAnsi="仿宋" w:eastAsia="仿宋"/>
          <w:bCs/>
          <w:color w:val="auto"/>
          <w:sz w:val="22"/>
          <w:szCs w:val="22"/>
          <w:lang w:val="en-US" w:eastAsia="zh-CN"/>
        </w:rPr>
        <w:fldChar w:fldCharType="separate"/>
      </w:r>
      <w:r>
        <w:rPr>
          <w:rStyle w:val="88"/>
          <w:rFonts w:ascii="仿宋" w:hAnsi="仿宋" w:eastAsia="仿宋"/>
          <w:bCs/>
          <w:color w:val="auto"/>
          <w:sz w:val="22"/>
          <w:szCs w:val="22"/>
          <w:lang w:val="en-US" w:eastAsia="zh-CN"/>
        </w:rPr>
        <w:t>22</w:t>
      </w:r>
      <w:r>
        <w:rPr>
          <w:rFonts w:ascii="仿宋" w:hAnsi="仿宋" w:eastAsia="仿宋"/>
          <w:bCs/>
          <w:color w:val="auto"/>
          <w:sz w:val="22"/>
          <w:szCs w:val="22"/>
          <w:lang w:val="en-US" w:eastAsia="zh-CN"/>
        </w:rPr>
        <w:fldChar w:fldCharType="end"/>
      </w:r>
      <w:r>
        <w:rPr>
          <w:rFonts w:ascii="仿宋" w:hAnsi="仿宋" w:eastAsia="仿宋"/>
          <w:bCs/>
          <w:color w:val="auto"/>
          <w:sz w:val="22"/>
          <w:szCs w:val="22"/>
          <w:lang w:val="en-US" w:eastAsia="zh-CN"/>
        </w:rPr>
        <w:fldChar w:fldCharType="end"/>
      </w:r>
    </w:p>
    <w:p>
      <w:pPr>
        <w:pStyle w:val="62"/>
        <w:tabs>
          <w:tab w:val="right" w:leader="dot" w:pos="9061"/>
        </w:tabs>
        <w:adjustRightInd w:val="0"/>
        <w:spacing w:line="400" w:lineRule="exact"/>
        <w:ind w:left="0" w:firstLine="300" w:firstLineChars="150"/>
        <w:rPr>
          <w:rStyle w:val="88"/>
          <w:rFonts w:ascii="仿宋" w:hAnsi="仿宋" w:eastAsia="仿宋"/>
          <w:bCs/>
          <w:color w:val="auto"/>
          <w:sz w:val="22"/>
          <w:szCs w:val="22"/>
          <w:lang w:val="en-US" w:eastAsia="zh-CN"/>
        </w:rPr>
      </w:pPr>
      <w:r>
        <w:fldChar w:fldCharType="begin"/>
      </w:r>
      <w:r>
        <w:instrText xml:space="preserve"> HYPERLINK \l "_Toc40703444" </w:instrText>
      </w:r>
      <w:r>
        <w:fldChar w:fldCharType="separate"/>
      </w:r>
      <w:r>
        <w:rPr>
          <w:rStyle w:val="88"/>
          <w:rFonts w:ascii="仿宋" w:hAnsi="仿宋" w:eastAsia="仿宋"/>
          <w:bCs/>
          <w:color w:val="auto"/>
          <w:sz w:val="22"/>
          <w:szCs w:val="22"/>
          <w:lang w:val="en-US" w:eastAsia="zh-CN"/>
        </w:rPr>
        <w:t>2.8 资金支付</w:t>
      </w:r>
      <w:r>
        <w:rPr>
          <w:rStyle w:val="88"/>
          <w:rFonts w:ascii="仿宋" w:hAnsi="仿宋" w:eastAsia="仿宋"/>
          <w:bCs/>
          <w:color w:val="auto"/>
          <w:sz w:val="22"/>
          <w:szCs w:val="22"/>
          <w:lang w:val="en-US" w:eastAsia="zh-CN"/>
        </w:rPr>
        <w:tab/>
      </w:r>
      <w:r>
        <w:rPr>
          <w:rFonts w:ascii="仿宋" w:hAnsi="仿宋" w:eastAsia="仿宋"/>
          <w:bCs/>
          <w:color w:val="auto"/>
          <w:sz w:val="22"/>
          <w:szCs w:val="22"/>
          <w:lang w:val="en-US" w:eastAsia="zh-CN"/>
        </w:rPr>
        <w:fldChar w:fldCharType="begin"/>
      </w:r>
      <w:r>
        <w:rPr>
          <w:rStyle w:val="88"/>
          <w:rFonts w:ascii="仿宋" w:hAnsi="仿宋" w:eastAsia="仿宋"/>
          <w:bCs/>
          <w:color w:val="auto"/>
          <w:sz w:val="22"/>
          <w:szCs w:val="22"/>
          <w:lang w:val="en-US" w:eastAsia="zh-CN"/>
        </w:rPr>
        <w:instrText xml:space="preserve"> PAGEREF _Toc40703444 \h </w:instrText>
      </w:r>
      <w:r>
        <w:rPr>
          <w:rFonts w:ascii="仿宋" w:hAnsi="仿宋" w:eastAsia="仿宋"/>
          <w:bCs/>
          <w:color w:val="auto"/>
          <w:sz w:val="22"/>
          <w:szCs w:val="22"/>
          <w:lang w:val="en-US" w:eastAsia="zh-CN"/>
        </w:rPr>
        <w:fldChar w:fldCharType="separate"/>
      </w:r>
      <w:r>
        <w:rPr>
          <w:rStyle w:val="88"/>
          <w:rFonts w:ascii="仿宋" w:hAnsi="仿宋" w:eastAsia="仿宋"/>
          <w:bCs/>
          <w:color w:val="auto"/>
          <w:sz w:val="22"/>
          <w:szCs w:val="22"/>
          <w:lang w:val="en-US" w:eastAsia="zh-CN"/>
        </w:rPr>
        <w:t>22</w:t>
      </w:r>
      <w:r>
        <w:rPr>
          <w:rFonts w:ascii="仿宋" w:hAnsi="仿宋" w:eastAsia="仿宋"/>
          <w:bCs/>
          <w:color w:val="auto"/>
          <w:sz w:val="22"/>
          <w:szCs w:val="22"/>
          <w:lang w:val="en-US" w:eastAsia="zh-CN"/>
        </w:rPr>
        <w:fldChar w:fldCharType="end"/>
      </w:r>
      <w:r>
        <w:rPr>
          <w:rFonts w:ascii="仿宋" w:hAnsi="仿宋" w:eastAsia="仿宋"/>
          <w:bCs/>
          <w:color w:val="auto"/>
          <w:sz w:val="22"/>
          <w:szCs w:val="22"/>
          <w:lang w:val="en-US" w:eastAsia="zh-CN"/>
        </w:rPr>
        <w:fldChar w:fldCharType="end"/>
      </w:r>
    </w:p>
    <w:p>
      <w:pPr>
        <w:pStyle w:val="62"/>
        <w:tabs>
          <w:tab w:val="right" w:leader="dot" w:pos="9061"/>
        </w:tabs>
        <w:adjustRightInd w:val="0"/>
        <w:spacing w:line="400" w:lineRule="exact"/>
        <w:ind w:left="0" w:firstLine="300" w:firstLineChars="150"/>
        <w:rPr>
          <w:rStyle w:val="88"/>
          <w:rFonts w:ascii="仿宋" w:hAnsi="仿宋" w:eastAsia="仿宋"/>
          <w:bCs/>
          <w:color w:val="auto"/>
          <w:sz w:val="22"/>
          <w:szCs w:val="22"/>
          <w:lang w:val="en-US" w:eastAsia="zh-CN"/>
        </w:rPr>
      </w:pPr>
      <w:r>
        <w:fldChar w:fldCharType="begin"/>
      </w:r>
      <w:r>
        <w:instrText xml:space="preserve"> HYPERLINK \l "_Toc40703445" </w:instrText>
      </w:r>
      <w:r>
        <w:fldChar w:fldCharType="separate"/>
      </w:r>
      <w:r>
        <w:rPr>
          <w:rStyle w:val="88"/>
          <w:rFonts w:ascii="仿宋" w:hAnsi="仿宋" w:eastAsia="仿宋"/>
          <w:bCs/>
          <w:color w:val="auto"/>
          <w:sz w:val="22"/>
          <w:szCs w:val="22"/>
          <w:lang w:val="en-US" w:eastAsia="zh-CN"/>
        </w:rPr>
        <w:t>2.9 询问、质疑和投诉</w:t>
      </w:r>
      <w:r>
        <w:rPr>
          <w:rStyle w:val="88"/>
          <w:rFonts w:ascii="仿宋" w:hAnsi="仿宋" w:eastAsia="仿宋"/>
          <w:bCs/>
          <w:color w:val="auto"/>
          <w:sz w:val="22"/>
          <w:szCs w:val="22"/>
          <w:lang w:val="en-US" w:eastAsia="zh-CN"/>
        </w:rPr>
        <w:tab/>
      </w:r>
      <w:r>
        <w:rPr>
          <w:rFonts w:ascii="仿宋" w:hAnsi="仿宋" w:eastAsia="仿宋"/>
          <w:bCs/>
          <w:color w:val="auto"/>
          <w:sz w:val="22"/>
          <w:szCs w:val="22"/>
          <w:lang w:val="en-US" w:eastAsia="zh-CN"/>
        </w:rPr>
        <w:fldChar w:fldCharType="begin"/>
      </w:r>
      <w:r>
        <w:rPr>
          <w:rStyle w:val="88"/>
          <w:rFonts w:ascii="仿宋" w:hAnsi="仿宋" w:eastAsia="仿宋"/>
          <w:bCs/>
          <w:color w:val="auto"/>
          <w:sz w:val="22"/>
          <w:szCs w:val="22"/>
          <w:lang w:val="en-US" w:eastAsia="zh-CN"/>
        </w:rPr>
        <w:instrText xml:space="preserve"> PAGEREF _Toc40703445 \h </w:instrText>
      </w:r>
      <w:r>
        <w:rPr>
          <w:rFonts w:ascii="仿宋" w:hAnsi="仿宋" w:eastAsia="仿宋"/>
          <w:bCs/>
          <w:color w:val="auto"/>
          <w:sz w:val="22"/>
          <w:szCs w:val="22"/>
          <w:lang w:val="en-US" w:eastAsia="zh-CN"/>
        </w:rPr>
        <w:fldChar w:fldCharType="separate"/>
      </w:r>
      <w:r>
        <w:rPr>
          <w:rStyle w:val="88"/>
          <w:rFonts w:ascii="仿宋" w:hAnsi="仿宋" w:eastAsia="仿宋"/>
          <w:bCs/>
          <w:color w:val="auto"/>
          <w:sz w:val="22"/>
          <w:szCs w:val="22"/>
          <w:lang w:val="en-US" w:eastAsia="zh-CN"/>
        </w:rPr>
        <w:t>22</w:t>
      </w:r>
      <w:r>
        <w:rPr>
          <w:rFonts w:ascii="仿宋" w:hAnsi="仿宋" w:eastAsia="仿宋"/>
          <w:bCs/>
          <w:color w:val="auto"/>
          <w:sz w:val="22"/>
          <w:szCs w:val="22"/>
          <w:lang w:val="en-US" w:eastAsia="zh-CN"/>
        </w:rPr>
        <w:fldChar w:fldCharType="end"/>
      </w:r>
      <w:r>
        <w:rPr>
          <w:rFonts w:ascii="仿宋" w:hAnsi="仿宋" w:eastAsia="仿宋"/>
          <w:bCs/>
          <w:color w:val="auto"/>
          <w:sz w:val="22"/>
          <w:szCs w:val="22"/>
          <w:lang w:val="en-US" w:eastAsia="zh-CN"/>
        </w:rPr>
        <w:fldChar w:fldCharType="end"/>
      </w:r>
    </w:p>
    <w:p>
      <w:pPr>
        <w:pStyle w:val="62"/>
        <w:tabs>
          <w:tab w:val="right" w:leader="dot" w:pos="9061"/>
        </w:tabs>
        <w:adjustRightInd w:val="0"/>
        <w:spacing w:line="400" w:lineRule="exact"/>
        <w:ind w:left="0" w:firstLine="300" w:firstLineChars="150"/>
        <w:rPr>
          <w:rStyle w:val="88"/>
          <w:rFonts w:ascii="仿宋" w:hAnsi="仿宋" w:eastAsia="仿宋"/>
          <w:bCs/>
          <w:color w:val="auto"/>
          <w:sz w:val="22"/>
          <w:szCs w:val="22"/>
          <w:lang w:val="en-US" w:eastAsia="zh-CN"/>
        </w:rPr>
      </w:pPr>
      <w:r>
        <w:fldChar w:fldCharType="begin"/>
      </w:r>
      <w:r>
        <w:instrText xml:space="preserve"> HYPERLINK \l "_Toc40703446" </w:instrText>
      </w:r>
      <w:r>
        <w:fldChar w:fldCharType="separate"/>
      </w:r>
      <w:r>
        <w:rPr>
          <w:rStyle w:val="88"/>
          <w:rFonts w:ascii="仿宋" w:hAnsi="仿宋" w:eastAsia="仿宋"/>
          <w:bCs/>
          <w:color w:val="auto"/>
          <w:sz w:val="22"/>
          <w:szCs w:val="22"/>
          <w:lang w:val="en-US" w:eastAsia="zh-CN"/>
        </w:rPr>
        <w:t>2.10 其他</w:t>
      </w:r>
      <w:r>
        <w:rPr>
          <w:rStyle w:val="88"/>
          <w:rFonts w:ascii="仿宋" w:hAnsi="仿宋" w:eastAsia="仿宋"/>
          <w:bCs/>
          <w:color w:val="auto"/>
          <w:sz w:val="22"/>
          <w:szCs w:val="22"/>
          <w:lang w:val="en-US" w:eastAsia="zh-CN"/>
        </w:rPr>
        <w:tab/>
      </w:r>
      <w:r>
        <w:rPr>
          <w:rFonts w:ascii="仿宋" w:hAnsi="仿宋" w:eastAsia="仿宋"/>
          <w:bCs/>
          <w:color w:val="auto"/>
          <w:sz w:val="22"/>
          <w:szCs w:val="22"/>
          <w:lang w:val="en-US" w:eastAsia="zh-CN"/>
        </w:rPr>
        <w:fldChar w:fldCharType="begin"/>
      </w:r>
      <w:r>
        <w:rPr>
          <w:rStyle w:val="88"/>
          <w:rFonts w:ascii="仿宋" w:hAnsi="仿宋" w:eastAsia="仿宋"/>
          <w:bCs/>
          <w:color w:val="auto"/>
          <w:sz w:val="22"/>
          <w:szCs w:val="22"/>
          <w:lang w:val="en-US" w:eastAsia="zh-CN"/>
        </w:rPr>
        <w:instrText xml:space="preserve"> PAGEREF _Toc40703446 \h </w:instrText>
      </w:r>
      <w:r>
        <w:rPr>
          <w:rFonts w:ascii="仿宋" w:hAnsi="仿宋" w:eastAsia="仿宋"/>
          <w:bCs/>
          <w:color w:val="auto"/>
          <w:sz w:val="22"/>
          <w:szCs w:val="22"/>
          <w:lang w:val="en-US" w:eastAsia="zh-CN"/>
        </w:rPr>
        <w:fldChar w:fldCharType="separate"/>
      </w:r>
      <w:r>
        <w:rPr>
          <w:rStyle w:val="88"/>
          <w:rFonts w:ascii="仿宋" w:hAnsi="仿宋" w:eastAsia="仿宋"/>
          <w:bCs/>
          <w:color w:val="auto"/>
          <w:sz w:val="22"/>
          <w:szCs w:val="22"/>
          <w:lang w:val="en-US" w:eastAsia="zh-CN"/>
        </w:rPr>
        <w:t>23</w:t>
      </w:r>
      <w:r>
        <w:rPr>
          <w:rFonts w:ascii="仿宋" w:hAnsi="仿宋" w:eastAsia="仿宋"/>
          <w:bCs/>
          <w:color w:val="auto"/>
          <w:sz w:val="22"/>
          <w:szCs w:val="22"/>
          <w:lang w:val="en-US" w:eastAsia="zh-CN"/>
        </w:rPr>
        <w:fldChar w:fldCharType="end"/>
      </w:r>
      <w:r>
        <w:rPr>
          <w:rFonts w:ascii="仿宋" w:hAnsi="仿宋" w:eastAsia="仿宋"/>
          <w:bCs/>
          <w:color w:val="auto"/>
          <w:sz w:val="22"/>
          <w:szCs w:val="22"/>
          <w:lang w:val="en-US" w:eastAsia="zh-CN"/>
        </w:rPr>
        <w:fldChar w:fldCharType="end"/>
      </w:r>
    </w:p>
    <w:p>
      <w:pPr>
        <w:pStyle w:val="51"/>
        <w:tabs>
          <w:tab w:val="left" w:pos="1280"/>
          <w:tab w:val="right" w:leader="dot" w:pos="9061"/>
        </w:tabs>
        <w:adjustRightInd w:val="0"/>
        <w:spacing w:before="0" w:after="0" w:line="400" w:lineRule="exact"/>
        <w:ind w:firstLine="0" w:firstLineChars="0"/>
        <w:rPr>
          <w:rStyle w:val="88"/>
          <w:rFonts w:ascii="仿宋" w:hAnsi="仿宋" w:eastAsia="仿宋"/>
          <w:color w:val="auto"/>
          <w:sz w:val="22"/>
          <w:szCs w:val="22"/>
          <w:lang w:val="en-US" w:eastAsia="zh-CN"/>
        </w:rPr>
      </w:pPr>
      <w:r>
        <w:fldChar w:fldCharType="begin"/>
      </w:r>
      <w:r>
        <w:instrText xml:space="preserve"> HYPERLINK \l "_Toc40703447" </w:instrText>
      </w:r>
      <w:r>
        <w:fldChar w:fldCharType="separate"/>
      </w:r>
      <w:r>
        <w:rPr>
          <w:rStyle w:val="88"/>
          <w:rFonts w:ascii="仿宋" w:hAnsi="仿宋" w:eastAsia="仿宋"/>
          <w:color w:val="auto"/>
          <w:sz w:val="22"/>
          <w:szCs w:val="22"/>
          <w:lang w:val="en-US" w:eastAsia="zh-CN"/>
        </w:rPr>
        <w:t>第3章</w:t>
      </w:r>
      <w:r>
        <w:rPr>
          <w:rStyle w:val="88"/>
          <w:rFonts w:hint="eastAsia" w:ascii="仿宋" w:hAnsi="仿宋" w:eastAsia="仿宋"/>
          <w:color w:val="auto"/>
          <w:sz w:val="22"/>
          <w:szCs w:val="22"/>
          <w:lang w:val="en-US" w:eastAsia="zh-CN"/>
        </w:rPr>
        <w:t xml:space="preserve">  </w:t>
      </w:r>
      <w:r>
        <w:rPr>
          <w:rStyle w:val="88"/>
          <w:rFonts w:ascii="仿宋" w:hAnsi="仿宋" w:eastAsia="仿宋"/>
          <w:color w:val="auto"/>
          <w:sz w:val="22"/>
          <w:szCs w:val="22"/>
          <w:lang w:val="en-US" w:eastAsia="zh-CN"/>
        </w:rPr>
        <w:t>投标文件格式</w:t>
      </w:r>
      <w:r>
        <w:rPr>
          <w:rStyle w:val="88"/>
          <w:rFonts w:ascii="仿宋" w:hAnsi="仿宋" w:eastAsia="仿宋"/>
          <w:color w:val="auto"/>
          <w:sz w:val="22"/>
          <w:szCs w:val="22"/>
          <w:lang w:val="en-US" w:eastAsia="zh-CN"/>
        </w:rPr>
        <w:tab/>
      </w:r>
      <w:r>
        <w:rPr>
          <w:rFonts w:ascii="仿宋" w:hAnsi="仿宋" w:eastAsia="仿宋"/>
          <w:color w:val="auto"/>
          <w:sz w:val="22"/>
          <w:szCs w:val="22"/>
          <w:lang w:val="en-US" w:eastAsia="zh-CN"/>
        </w:rPr>
        <w:fldChar w:fldCharType="begin"/>
      </w:r>
      <w:r>
        <w:rPr>
          <w:rStyle w:val="88"/>
          <w:rFonts w:ascii="仿宋" w:hAnsi="仿宋" w:eastAsia="仿宋"/>
          <w:color w:val="auto"/>
          <w:sz w:val="22"/>
          <w:szCs w:val="22"/>
          <w:lang w:val="en-US" w:eastAsia="zh-CN"/>
        </w:rPr>
        <w:instrText xml:space="preserve"> PAGEREF _Toc40703447 \h </w:instrText>
      </w:r>
      <w:r>
        <w:rPr>
          <w:rFonts w:ascii="仿宋" w:hAnsi="仿宋" w:eastAsia="仿宋"/>
          <w:color w:val="auto"/>
          <w:sz w:val="22"/>
          <w:szCs w:val="22"/>
          <w:lang w:val="en-US" w:eastAsia="zh-CN"/>
        </w:rPr>
        <w:fldChar w:fldCharType="separate"/>
      </w:r>
      <w:r>
        <w:rPr>
          <w:rStyle w:val="88"/>
          <w:rFonts w:ascii="仿宋" w:hAnsi="仿宋" w:eastAsia="仿宋"/>
          <w:color w:val="auto"/>
          <w:sz w:val="22"/>
          <w:szCs w:val="22"/>
          <w:lang w:val="en-US" w:eastAsia="zh-CN"/>
        </w:rPr>
        <w:t>24</w:t>
      </w:r>
      <w:r>
        <w:rPr>
          <w:rFonts w:ascii="仿宋" w:hAnsi="仿宋" w:eastAsia="仿宋"/>
          <w:color w:val="auto"/>
          <w:sz w:val="22"/>
          <w:szCs w:val="22"/>
          <w:lang w:val="en-US" w:eastAsia="zh-CN"/>
        </w:rPr>
        <w:fldChar w:fldCharType="end"/>
      </w:r>
      <w:r>
        <w:rPr>
          <w:rFonts w:ascii="仿宋" w:hAnsi="仿宋" w:eastAsia="仿宋"/>
          <w:color w:val="auto"/>
          <w:sz w:val="22"/>
          <w:szCs w:val="22"/>
          <w:lang w:val="en-US" w:eastAsia="zh-CN"/>
        </w:rPr>
        <w:fldChar w:fldCharType="end"/>
      </w:r>
    </w:p>
    <w:p>
      <w:pPr>
        <w:pStyle w:val="62"/>
        <w:tabs>
          <w:tab w:val="right" w:leader="dot" w:pos="9061"/>
        </w:tabs>
        <w:adjustRightInd w:val="0"/>
        <w:spacing w:line="400" w:lineRule="exact"/>
        <w:ind w:left="0" w:firstLine="300" w:firstLineChars="150"/>
        <w:rPr>
          <w:rStyle w:val="88"/>
          <w:rFonts w:ascii="仿宋" w:hAnsi="仿宋" w:eastAsia="仿宋"/>
          <w:bCs/>
          <w:color w:val="auto"/>
          <w:sz w:val="22"/>
          <w:szCs w:val="22"/>
          <w:lang w:val="en-US" w:eastAsia="zh-CN"/>
        </w:rPr>
      </w:pPr>
      <w:r>
        <w:fldChar w:fldCharType="begin"/>
      </w:r>
      <w:r>
        <w:instrText xml:space="preserve"> HYPERLINK \l "_Toc40703448" </w:instrText>
      </w:r>
      <w:r>
        <w:fldChar w:fldCharType="separate"/>
      </w:r>
      <w:r>
        <w:rPr>
          <w:rStyle w:val="88"/>
          <w:rFonts w:ascii="仿宋" w:hAnsi="仿宋" w:eastAsia="仿宋"/>
          <w:bCs/>
          <w:color w:val="auto"/>
          <w:sz w:val="22"/>
          <w:szCs w:val="22"/>
          <w:lang w:val="en-US" w:eastAsia="zh-CN"/>
        </w:rPr>
        <w:t>3.1 开标一览表格式</w:t>
      </w:r>
      <w:r>
        <w:rPr>
          <w:rStyle w:val="88"/>
          <w:rFonts w:ascii="仿宋" w:hAnsi="仿宋" w:eastAsia="仿宋"/>
          <w:bCs/>
          <w:color w:val="auto"/>
          <w:sz w:val="22"/>
          <w:szCs w:val="22"/>
          <w:lang w:val="en-US" w:eastAsia="zh-CN"/>
        </w:rPr>
        <w:tab/>
      </w:r>
      <w:r>
        <w:rPr>
          <w:rFonts w:ascii="仿宋" w:hAnsi="仿宋" w:eastAsia="仿宋"/>
          <w:bCs/>
          <w:color w:val="auto"/>
          <w:sz w:val="22"/>
          <w:szCs w:val="22"/>
          <w:lang w:val="en-US" w:eastAsia="zh-CN"/>
        </w:rPr>
        <w:fldChar w:fldCharType="begin"/>
      </w:r>
      <w:r>
        <w:rPr>
          <w:rStyle w:val="88"/>
          <w:rFonts w:ascii="仿宋" w:hAnsi="仿宋" w:eastAsia="仿宋"/>
          <w:bCs/>
          <w:color w:val="auto"/>
          <w:sz w:val="22"/>
          <w:szCs w:val="22"/>
          <w:lang w:val="en-US" w:eastAsia="zh-CN"/>
        </w:rPr>
        <w:instrText xml:space="preserve"> PAGEREF _Toc40703448 \h </w:instrText>
      </w:r>
      <w:r>
        <w:rPr>
          <w:rFonts w:ascii="仿宋" w:hAnsi="仿宋" w:eastAsia="仿宋"/>
          <w:bCs/>
          <w:color w:val="auto"/>
          <w:sz w:val="22"/>
          <w:szCs w:val="22"/>
          <w:lang w:val="en-US" w:eastAsia="zh-CN"/>
        </w:rPr>
        <w:fldChar w:fldCharType="separate"/>
      </w:r>
      <w:r>
        <w:rPr>
          <w:rStyle w:val="88"/>
          <w:rFonts w:ascii="仿宋" w:hAnsi="仿宋" w:eastAsia="仿宋"/>
          <w:bCs/>
          <w:color w:val="auto"/>
          <w:sz w:val="22"/>
          <w:szCs w:val="22"/>
          <w:lang w:val="en-US" w:eastAsia="zh-CN"/>
        </w:rPr>
        <w:t>25</w:t>
      </w:r>
      <w:r>
        <w:rPr>
          <w:rFonts w:ascii="仿宋" w:hAnsi="仿宋" w:eastAsia="仿宋"/>
          <w:bCs/>
          <w:color w:val="auto"/>
          <w:sz w:val="22"/>
          <w:szCs w:val="22"/>
          <w:lang w:val="en-US" w:eastAsia="zh-CN"/>
        </w:rPr>
        <w:fldChar w:fldCharType="end"/>
      </w:r>
      <w:r>
        <w:rPr>
          <w:rFonts w:ascii="仿宋" w:hAnsi="仿宋" w:eastAsia="仿宋"/>
          <w:bCs/>
          <w:color w:val="auto"/>
          <w:sz w:val="22"/>
          <w:szCs w:val="22"/>
          <w:lang w:val="en-US" w:eastAsia="zh-CN"/>
        </w:rPr>
        <w:fldChar w:fldCharType="end"/>
      </w:r>
    </w:p>
    <w:p>
      <w:pPr>
        <w:pStyle w:val="62"/>
        <w:tabs>
          <w:tab w:val="right" w:leader="dot" w:pos="9061"/>
        </w:tabs>
        <w:adjustRightInd w:val="0"/>
        <w:spacing w:line="400" w:lineRule="exact"/>
        <w:ind w:left="0" w:firstLine="300" w:firstLineChars="150"/>
        <w:rPr>
          <w:rStyle w:val="88"/>
          <w:rFonts w:ascii="仿宋" w:hAnsi="仿宋" w:eastAsia="仿宋"/>
          <w:bCs/>
          <w:color w:val="auto"/>
          <w:sz w:val="22"/>
          <w:szCs w:val="22"/>
          <w:lang w:val="en-US" w:eastAsia="zh-CN"/>
        </w:rPr>
      </w:pPr>
      <w:r>
        <w:fldChar w:fldCharType="begin"/>
      </w:r>
      <w:r>
        <w:instrText xml:space="preserve"> HYPERLINK \l "_Toc40703449" </w:instrText>
      </w:r>
      <w:r>
        <w:fldChar w:fldCharType="separate"/>
      </w:r>
      <w:r>
        <w:rPr>
          <w:rStyle w:val="88"/>
          <w:rFonts w:ascii="仿宋" w:hAnsi="仿宋" w:eastAsia="仿宋"/>
          <w:bCs/>
          <w:color w:val="auto"/>
          <w:sz w:val="22"/>
          <w:szCs w:val="22"/>
          <w:lang w:val="en-US" w:eastAsia="zh-CN"/>
        </w:rPr>
        <w:t>3.2 资格性投标文件格式</w:t>
      </w:r>
      <w:r>
        <w:rPr>
          <w:rStyle w:val="88"/>
          <w:rFonts w:ascii="仿宋" w:hAnsi="仿宋" w:eastAsia="仿宋"/>
          <w:bCs/>
          <w:color w:val="auto"/>
          <w:sz w:val="22"/>
          <w:szCs w:val="22"/>
          <w:lang w:val="en-US" w:eastAsia="zh-CN"/>
        </w:rPr>
        <w:tab/>
      </w:r>
      <w:r>
        <w:rPr>
          <w:rFonts w:ascii="仿宋" w:hAnsi="仿宋" w:eastAsia="仿宋"/>
          <w:bCs/>
          <w:color w:val="auto"/>
          <w:sz w:val="22"/>
          <w:szCs w:val="22"/>
          <w:lang w:val="en-US" w:eastAsia="zh-CN"/>
        </w:rPr>
        <w:fldChar w:fldCharType="begin"/>
      </w:r>
      <w:r>
        <w:rPr>
          <w:rStyle w:val="88"/>
          <w:rFonts w:ascii="仿宋" w:hAnsi="仿宋" w:eastAsia="仿宋"/>
          <w:bCs/>
          <w:color w:val="auto"/>
          <w:sz w:val="22"/>
          <w:szCs w:val="22"/>
          <w:lang w:val="en-US" w:eastAsia="zh-CN"/>
        </w:rPr>
        <w:instrText xml:space="preserve"> PAGEREF _Toc40703449 \h </w:instrText>
      </w:r>
      <w:r>
        <w:rPr>
          <w:rFonts w:ascii="仿宋" w:hAnsi="仿宋" w:eastAsia="仿宋"/>
          <w:bCs/>
          <w:color w:val="auto"/>
          <w:sz w:val="22"/>
          <w:szCs w:val="22"/>
          <w:lang w:val="en-US" w:eastAsia="zh-CN"/>
        </w:rPr>
        <w:fldChar w:fldCharType="separate"/>
      </w:r>
      <w:r>
        <w:rPr>
          <w:rStyle w:val="88"/>
          <w:rFonts w:ascii="仿宋" w:hAnsi="仿宋" w:eastAsia="仿宋"/>
          <w:bCs/>
          <w:color w:val="auto"/>
          <w:sz w:val="22"/>
          <w:szCs w:val="22"/>
          <w:lang w:val="en-US" w:eastAsia="zh-CN"/>
        </w:rPr>
        <w:t>27</w:t>
      </w:r>
      <w:r>
        <w:rPr>
          <w:rFonts w:ascii="仿宋" w:hAnsi="仿宋" w:eastAsia="仿宋"/>
          <w:bCs/>
          <w:color w:val="auto"/>
          <w:sz w:val="22"/>
          <w:szCs w:val="22"/>
          <w:lang w:val="en-US" w:eastAsia="zh-CN"/>
        </w:rPr>
        <w:fldChar w:fldCharType="end"/>
      </w:r>
      <w:r>
        <w:rPr>
          <w:rFonts w:ascii="仿宋" w:hAnsi="仿宋" w:eastAsia="仿宋"/>
          <w:bCs/>
          <w:color w:val="auto"/>
          <w:sz w:val="22"/>
          <w:szCs w:val="22"/>
          <w:lang w:val="en-US" w:eastAsia="zh-CN"/>
        </w:rPr>
        <w:fldChar w:fldCharType="end"/>
      </w:r>
    </w:p>
    <w:p>
      <w:pPr>
        <w:pStyle w:val="62"/>
        <w:tabs>
          <w:tab w:val="right" w:leader="dot" w:pos="9061"/>
        </w:tabs>
        <w:adjustRightInd w:val="0"/>
        <w:spacing w:line="400" w:lineRule="exact"/>
        <w:ind w:left="0" w:firstLine="300" w:firstLineChars="150"/>
        <w:rPr>
          <w:rStyle w:val="88"/>
          <w:rFonts w:ascii="仿宋" w:hAnsi="仿宋" w:eastAsia="仿宋"/>
          <w:bCs/>
          <w:color w:val="auto"/>
          <w:sz w:val="22"/>
          <w:szCs w:val="22"/>
          <w:lang w:val="en-US" w:eastAsia="zh-CN"/>
        </w:rPr>
      </w:pPr>
      <w:r>
        <w:fldChar w:fldCharType="begin"/>
      </w:r>
      <w:r>
        <w:instrText xml:space="preserve"> HYPERLINK \l "_Toc40703450" </w:instrText>
      </w:r>
      <w:r>
        <w:fldChar w:fldCharType="separate"/>
      </w:r>
      <w:r>
        <w:rPr>
          <w:rStyle w:val="88"/>
          <w:rFonts w:ascii="仿宋" w:hAnsi="仿宋" w:eastAsia="仿宋"/>
          <w:bCs/>
          <w:color w:val="auto"/>
          <w:sz w:val="22"/>
          <w:szCs w:val="22"/>
          <w:lang w:val="en-US" w:eastAsia="zh-CN"/>
        </w:rPr>
        <w:t>3.3 其他投标文件格式</w:t>
      </w:r>
      <w:r>
        <w:rPr>
          <w:rStyle w:val="88"/>
          <w:rFonts w:ascii="仿宋" w:hAnsi="仿宋" w:eastAsia="仿宋"/>
          <w:bCs/>
          <w:color w:val="auto"/>
          <w:sz w:val="22"/>
          <w:szCs w:val="22"/>
          <w:lang w:val="en-US" w:eastAsia="zh-CN"/>
        </w:rPr>
        <w:tab/>
      </w:r>
      <w:r>
        <w:rPr>
          <w:rFonts w:ascii="仿宋" w:hAnsi="仿宋" w:eastAsia="仿宋"/>
          <w:bCs/>
          <w:color w:val="auto"/>
          <w:sz w:val="22"/>
          <w:szCs w:val="22"/>
          <w:lang w:val="en-US" w:eastAsia="zh-CN"/>
        </w:rPr>
        <w:fldChar w:fldCharType="begin"/>
      </w:r>
      <w:r>
        <w:rPr>
          <w:rStyle w:val="88"/>
          <w:rFonts w:ascii="仿宋" w:hAnsi="仿宋" w:eastAsia="仿宋"/>
          <w:bCs/>
          <w:color w:val="auto"/>
          <w:sz w:val="22"/>
          <w:szCs w:val="22"/>
          <w:lang w:val="en-US" w:eastAsia="zh-CN"/>
        </w:rPr>
        <w:instrText xml:space="preserve"> PAGEREF _Toc40703450 \h </w:instrText>
      </w:r>
      <w:r>
        <w:rPr>
          <w:rFonts w:ascii="仿宋" w:hAnsi="仿宋" w:eastAsia="仿宋"/>
          <w:bCs/>
          <w:color w:val="auto"/>
          <w:sz w:val="22"/>
          <w:szCs w:val="22"/>
          <w:lang w:val="en-US" w:eastAsia="zh-CN"/>
        </w:rPr>
        <w:fldChar w:fldCharType="separate"/>
      </w:r>
      <w:r>
        <w:rPr>
          <w:rStyle w:val="88"/>
          <w:rFonts w:ascii="仿宋" w:hAnsi="仿宋" w:eastAsia="仿宋"/>
          <w:bCs/>
          <w:color w:val="auto"/>
          <w:sz w:val="22"/>
          <w:szCs w:val="22"/>
          <w:lang w:val="en-US" w:eastAsia="zh-CN"/>
        </w:rPr>
        <w:t>32</w:t>
      </w:r>
      <w:r>
        <w:rPr>
          <w:rFonts w:ascii="仿宋" w:hAnsi="仿宋" w:eastAsia="仿宋"/>
          <w:bCs/>
          <w:color w:val="auto"/>
          <w:sz w:val="22"/>
          <w:szCs w:val="22"/>
          <w:lang w:val="en-US" w:eastAsia="zh-CN"/>
        </w:rPr>
        <w:fldChar w:fldCharType="end"/>
      </w:r>
      <w:r>
        <w:rPr>
          <w:rFonts w:ascii="仿宋" w:hAnsi="仿宋" w:eastAsia="仿宋"/>
          <w:bCs/>
          <w:color w:val="auto"/>
          <w:sz w:val="22"/>
          <w:szCs w:val="22"/>
          <w:lang w:val="en-US" w:eastAsia="zh-CN"/>
        </w:rPr>
        <w:fldChar w:fldCharType="end"/>
      </w:r>
    </w:p>
    <w:p>
      <w:pPr>
        <w:pStyle w:val="51"/>
        <w:tabs>
          <w:tab w:val="left" w:pos="1280"/>
          <w:tab w:val="right" w:leader="dot" w:pos="9061"/>
        </w:tabs>
        <w:adjustRightInd w:val="0"/>
        <w:spacing w:before="0" w:after="0" w:line="400" w:lineRule="exact"/>
        <w:ind w:firstLine="0" w:firstLineChars="0"/>
        <w:rPr>
          <w:rStyle w:val="88"/>
          <w:rFonts w:ascii="仿宋" w:hAnsi="仿宋" w:eastAsia="仿宋"/>
          <w:color w:val="auto"/>
          <w:sz w:val="22"/>
          <w:szCs w:val="22"/>
          <w:lang w:val="en-US" w:eastAsia="zh-CN"/>
        </w:rPr>
      </w:pPr>
      <w:r>
        <w:fldChar w:fldCharType="begin"/>
      </w:r>
      <w:r>
        <w:instrText xml:space="preserve"> HYPERLINK \l "_Toc40703451" </w:instrText>
      </w:r>
      <w:r>
        <w:fldChar w:fldCharType="separate"/>
      </w:r>
      <w:r>
        <w:rPr>
          <w:rStyle w:val="88"/>
          <w:rFonts w:ascii="仿宋" w:hAnsi="仿宋" w:eastAsia="仿宋"/>
          <w:color w:val="auto"/>
          <w:sz w:val="22"/>
          <w:szCs w:val="22"/>
          <w:lang w:val="en-US" w:eastAsia="zh-CN"/>
        </w:rPr>
        <w:t>第4章</w:t>
      </w:r>
      <w:r>
        <w:rPr>
          <w:rStyle w:val="88"/>
          <w:rFonts w:hint="eastAsia" w:ascii="仿宋" w:hAnsi="仿宋" w:eastAsia="仿宋"/>
          <w:color w:val="auto"/>
          <w:sz w:val="22"/>
          <w:szCs w:val="22"/>
          <w:lang w:val="en-US" w:eastAsia="zh-CN"/>
        </w:rPr>
        <w:t xml:space="preserve">  </w:t>
      </w:r>
      <w:r>
        <w:rPr>
          <w:rStyle w:val="88"/>
          <w:rFonts w:ascii="仿宋" w:hAnsi="仿宋" w:eastAsia="仿宋"/>
          <w:color w:val="auto"/>
          <w:sz w:val="22"/>
          <w:szCs w:val="22"/>
          <w:lang w:val="en-US" w:eastAsia="zh-CN"/>
        </w:rPr>
        <w:t>投标人和投标产品的资格、资质性及其他具有类似效力的 要求</w:t>
      </w:r>
      <w:r>
        <w:rPr>
          <w:rStyle w:val="88"/>
          <w:rFonts w:ascii="仿宋" w:hAnsi="仿宋" w:eastAsia="仿宋"/>
          <w:color w:val="auto"/>
          <w:sz w:val="22"/>
          <w:szCs w:val="22"/>
          <w:lang w:val="en-US" w:eastAsia="zh-CN"/>
        </w:rPr>
        <w:tab/>
      </w:r>
      <w:r>
        <w:rPr>
          <w:rFonts w:ascii="仿宋" w:hAnsi="仿宋" w:eastAsia="仿宋"/>
          <w:color w:val="auto"/>
          <w:sz w:val="22"/>
          <w:szCs w:val="22"/>
          <w:lang w:val="en-US" w:eastAsia="zh-CN"/>
        </w:rPr>
        <w:fldChar w:fldCharType="begin"/>
      </w:r>
      <w:r>
        <w:rPr>
          <w:rStyle w:val="88"/>
          <w:rFonts w:ascii="仿宋" w:hAnsi="仿宋" w:eastAsia="仿宋"/>
          <w:color w:val="auto"/>
          <w:sz w:val="22"/>
          <w:szCs w:val="22"/>
          <w:lang w:val="en-US" w:eastAsia="zh-CN"/>
        </w:rPr>
        <w:instrText xml:space="preserve"> PAGEREF _Toc40703451 \h </w:instrText>
      </w:r>
      <w:r>
        <w:rPr>
          <w:rFonts w:ascii="仿宋" w:hAnsi="仿宋" w:eastAsia="仿宋"/>
          <w:color w:val="auto"/>
          <w:sz w:val="22"/>
          <w:szCs w:val="22"/>
          <w:lang w:val="en-US" w:eastAsia="zh-CN"/>
        </w:rPr>
        <w:fldChar w:fldCharType="separate"/>
      </w:r>
      <w:r>
        <w:rPr>
          <w:rStyle w:val="88"/>
          <w:rFonts w:ascii="仿宋" w:hAnsi="仿宋" w:eastAsia="仿宋"/>
          <w:color w:val="auto"/>
          <w:sz w:val="22"/>
          <w:szCs w:val="22"/>
          <w:lang w:val="en-US" w:eastAsia="zh-CN"/>
        </w:rPr>
        <w:t>45</w:t>
      </w:r>
      <w:r>
        <w:rPr>
          <w:rFonts w:ascii="仿宋" w:hAnsi="仿宋" w:eastAsia="仿宋"/>
          <w:color w:val="auto"/>
          <w:sz w:val="22"/>
          <w:szCs w:val="22"/>
          <w:lang w:val="en-US" w:eastAsia="zh-CN"/>
        </w:rPr>
        <w:fldChar w:fldCharType="end"/>
      </w:r>
      <w:r>
        <w:rPr>
          <w:rFonts w:ascii="仿宋" w:hAnsi="仿宋" w:eastAsia="仿宋"/>
          <w:color w:val="auto"/>
          <w:sz w:val="22"/>
          <w:szCs w:val="22"/>
          <w:lang w:val="en-US" w:eastAsia="zh-CN"/>
        </w:rPr>
        <w:fldChar w:fldCharType="end"/>
      </w:r>
    </w:p>
    <w:p>
      <w:pPr>
        <w:pStyle w:val="51"/>
        <w:tabs>
          <w:tab w:val="left" w:pos="1280"/>
          <w:tab w:val="right" w:leader="dot" w:pos="9061"/>
        </w:tabs>
        <w:adjustRightInd w:val="0"/>
        <w:spacing w:before="0" w:after="0" w:line="400" w:lineRule="exact"/>
        <w:ind w:firstLine="0" w:firstLineChars="0"/>
        <w:rPr>
          <w:rStyle w:val="88"/>
          <w:rFonts w:ascii="仿宋" w:hAnsi="仿宋" w:eastAsia="仿宋"/>
          <w:color w:val="auto"/>
          <w:sz w:val="22"/>
          <w:szCs w:val="22"/>
          <w:lang w:val="en-US" w:eastAsia="zh-CN"/>
        </w:rPr>
      </w:pPr>
      <w:r>
        <w:fldChar w:fldCharType="begin"/>
      </w:r>
      <w:r>
        <w:instrText xml:space="preserve"> HYPERLINK \l "_Toc40703452" </w:instrText>
      </w:r>
      <w:r>
        <w:fldChar w:fldCharType="separate"/>
      </w:r>
      <w:r>
        <w:rPr>
          <w:rStyle w:val="88"/>
          <w:rFonts w:ascii="仿宋" w:hAnsi="仿宋" w:eastAsia="仿宋"/>
          <w:color w:val="auto"/>
          <w:sz w:val="22"/>
          <w:szCs w:val="22"/>
          <w:lang w:val="en-US" w:eastAsia="zh-CN"/>
        </w:rPr>
        <w:t>第5章</w:t>
      </w:r>
      <w:r>
        <w:rPr>
          <w:rStyle w:val="88"/>
          <w:rFonts w:hint="eastAsia" w:ascii="仿宋" w:hAnsi="仿宋" w:eastAsia="仿宋"/>
          <w:color w:val="auto"/>
          <w:sz w:val="22"/>
          <w:szCs w:val="22"/>
          <w:lang w:val="en-US" w:eastAsia="zh-CN"/>
        </w:rPr>
        <w:t xml:space="preserve">  </w:t>
      </w:r>
      <w:r>
        <w:rPr>
          <w:rStyle w:val="88"/>
          <w:rFonts w:ascii="仿宋" w:hAnsi="仿宋" w:eastAsia="仿宋"/>
          <w:color w:val="auto"/>
          <w:sz w:val="22"/>
          <w:szCs w:val="22"/>
          <w:lang w:val="en-US" w:eastAsia="zh-CN"/>
        </w:rPr>
        <w:t>投标人应当提供的资格、资质性及其他具有类似效力要求的相关证明材料</w:t>
      </w:r>
      <w:r>
        <w:rPr>
          <w:rStyle w:val="88"/>
          <w:rFonts w:ascii="仿宋" w:hAnsi="仿宋" w:eastAsia="仿宋"/>
          <w:color w:val="auto"/>
          <w:sz w:val="22"/>
          <w:szCs w:val="22"/>
          <w:lang w:val="en-US" w:eastAsia="zh-CN"/>
        </w:rPr>
        <w:tab/>
      </w:r>
      <w:r>
        <w:rPr>
          <w:rFonts w:ascii="仿宋" w:hAnsi="仿宋" w:eastAsia="仿宋"/>
          <w:color w:val="auto"/>
          <w:sz w:val="22"/>
          <w:szCs w:val="22"/>
          <w:lang w:val="en-US" w:eastAsia="zh-CN"/>
        </w:rPr>
        <w:fldChar w:fldCharType="begin"/>
      </w:r>
      <w:r>
        <w:rPr>
          <w:rStyle w:val="88"/>
          <w:rFonts w:ascii="仿宋" w:hAnsi="仿宋" w:eastAsia="仿宋"/>
          <w:color w:val="auto"/>
          <w:sz w:val="22"/>
          <w:szCs w:val="22"/>
          <w:lang w:val="en-US" w:eastAsia="zh-CN"/>
        </w:rPr>
        <w:instrText xml:space="preserve"> PAGEREF _Toc40703452 \h </w:instrText>
      </w:r>
      <w:r>
        <w:rPr>
          <w:rFonts w:ascii="仿宋" w:hAnsi="仿宋" w:eastAsia="仿宋"/>
          <w:color w:val="auto"/>
          <w:sz w:val="22"/>
          <w:szCs w:val="22"/>
          <w:lang w:val="en-US" w:eastAsia="zh-CN"/>
        </w:rPr>
        <w:fldChar w:fldCharType="separate"/>
      </w:r>
      <w:r>
        <w:rPr>
          <w:rStyle w:val="88"/>
          <w:rFonts w:ascii="仿宋" w:hAnsi="仿宋" w:eastAsia="仿宋"/>
          <w:color w:val="auto"/>
          <w:sz w:val="22"/>
          <w:szCs w:val="22"/>
          <w:lang w:val="en-US" w:eastAsia="zh-CN"/>
        </w:rPr>
        <w:t>47</w:t>
      </w:r>
      <w:r>
        <w:rPr>
          <w:rFonts w:ascii="仿宋" w:hAnsi="仿宋" w:eastAsia="仿宋"/>
          <w:color w:val="auto"/>
          <w:sz w:val="22"/>
          <w:szCs w:val="22"/>
          <w:lang w:val="en-US" w:eastAsia="zh-CN"/>
        </w:rPr>
        <w:fldChar w:fldCharType="end"/>
      </w:r>
      <w:r>
        <w:rPr>
          <w:rFonts w:ascii="仿宋" w:hAnsi="仿宋" w:eastAsia="仿宋"/>
          <w:color w:val="auto"/>
          <w:sz w:val="22"/>
          <w:szCs w:val="22"/>
          <w:lang w:val="en-US" w:eastAsia="zh-CN"/>
        </w:rPr>
        <w:fldChar w:fldCharType="end"/>
      </w:r>
    </w:p>
    <w:p>
      <w:pPr>
        <w:pStyle w:val="51"/>
        <w:tabs>
          <w:tab w:val="left" w:pos="1280"/>
          <w:tab w:val="right" w:leader="dot" w:pos="9061"/>
        </w:tabs>
        <w:adjustRightInd w:val="0"/>
        <w:spacing w:before="0" w:after="0" w:line="400" w:lineRule="exact"/>
        <w:ind w:firstLine="0" w:firstLineChars="0"/>
        <w:rPr>
          <w:rStyle w:val="88"/>
          <w:rFonts w:ascii="仿宋" w:hAnsi="仿宋" w:eastAsia="仿宋"/>
          <w:color w:val="auto"/>
          <w:sz w:val="22"/>
          <w:szCs w:val="22"/>
          <w:lang w:val="en-US" w:eastAsia="zh-CN"/>
        </w:rPr>
      </w:pPr>
      <w:r>
        <w:fldChar w:fldCharType="begin"/>
      </w:r>
      <w:r>
        <w:instrText xml:space="preserve"> HYPERLINK \l "_Toc40703453" </w:instrText>
      </w:r>
      <w:r>
        <w:fldChar w:fldCharType="separate"/>
      </w:r>
      <w:r>
        <w:rPr>
          <w:rStyle w:val="88"/>
          <w:rFonts w:ascii="仿宋" w:hAnsi="仿宋" w:eastAsia="仿宋"/>
          <w:color w:val="auto"/>
          <w:sz w:val="22"/>
          <w:szCs w:val="22"/>
          <w:lang w:val="en-US" w:eastAsia="zh-CN"/>
        </w:rPr>
        <w:t>第6章</w:t>
      </w:r>
      <w:r>
        <w:rPr>
          <w:rStyle w:val="88"/>
          <w:rFonts w:hint="eastAsia" w:ascii="仿宋" w:hAnsi="仿宋" w:eastAsia="仿宋"/>
          <w:color w:val="auto"/>
          <w:sz w:val="22"/>
          <w:szCs w:val="22"/>
          <w:lang w:val="en-US" w:eastAsia="zh-CN"/>
        </w:rPr>
        <w:t xml:space="preserve">  </w:t>
      </w:r>
      <w:r>
        <w:rPr>
          <w:rStyle w:val="88"/>
          <w:rFonts w:ascii="仿宋" w:hAnsi="仿宋" w:eastAsia="仿宋"/>
          <w:color w:val="auto"/>
          <w:sz w:val="22"/>
          <w:szCs w:val="22"/>
          <w:lang w:val="en-US" w:eastAsia="zh-CN"/>
        </w:rPr>
        <w:t>技术、商务及其他要求</w:t>
      </w:r>
      <w:r>
        <w:rPr>
          <w:rStyle w:val="88"/>
          <w:rFonts w:ascii="仿宋" w:hAnsi="仿宋" w:eastAsia="仿宋"/>
          <w:color w:val="auto"/>
          <w:sz w:val="22"/>
          <w:szCs w:val="22"/>
          <w:lang w:val="en-US" w:eastAsia="zh-CN"/>
        </w:rPr>
        <w:tab/>
      </w:r>
      <w:r>
        <w:rPr>
          <w:rFonts w:ascii="仿宋" w:hAnsi="仿宋" w:eastAsia="仿宋"/>
          <w:color w:val="auto"/>
          <w:sz w:val="22"/>
          <w:szCs w:val="22"/>
          <w:lang w:val="en-US" w:eastAsia="zh-CN"/>
        </w:rPr>
        <w:fldChar w:fldCharType="begin"/>
      </w:r>
      <w:r>
        <w:rPr>
          <w:rStyle w:val="88"/>
          <w:rFonts w:ascii="仿宋" w:hAnsi="仿宋" w:eastAsia="仿宋"/>
          <w:color w:val="auto"/>
          <w:sz w:val="22"/>
          <w:szCs w:val="22"/>
          <w:lang w:val="en-US" w:eastAsia="zh-CN"/>
        </w:rPr>
        <w:instrText xml:space="preserve"> PAGEREF _Toc40703453 \h </w:instrText>
      </w:r>
      <w:r>
        <w:rPr>
          <w:rFonts w:ascii="仿宋" w:hAnsi="仿宋" w:eastAsia="仿宋"/>
          <w:color w:val="auto"/>
          <w:sz w:val="22"/>
          <w:szCs w:val="22"/>
          <w:lang w:val="en-US" w:eastAsia="zh-CN"/>
        </w:rPr>
        <w:fldChar w:fldCharType="separate"/>
      </w:r>
      <w:r>
        <w:rPr>
          <w:rStyle w:val="88"/>
          <w:rFonts w:ascii="仿宋" w:hAnsi="仿宋" w:eastAsia="仿宋"/>
          <w:color w:val="auto"/>
          <w:sz w:val="22"/>
          <w:szCs w:val="22"/>
          <w:lang w:val="en-US" w:eastAsia="zh-CN"/>
        </w:rPr>
        <w:t>50</w:t>
      </w:r>
      <w:r>
        <w:rPr>
          <w:rFonts w:ascii="仿宋" w:hAnsi="仿宋" w:eastAsia="仿宋"/>
          <w:color w:val="auto"/>
          <w:sz w:val="22"/>
          <w:szCs w:val="22"/>
          <w:lang w:val="en-US" w:eastAsia="zh-CN"/>
        </w:rPr>
        <w:fldChar w:fldCharType="end"/>
      </w:r>
      <w:r>
        <w:rPr>
          <w:rFonts w:ascii="仿宋" w:hAnsi="仿宋" w:eastAsia="仿宋"/>
          <w:color w:val="auto"/>
          <w:sz w:val="22"/>
          <w:szCs w:val="22"/>
          <w:lang w:val="en-US" w:eastAsia="zh-CN"/>
        </w:rPr>
        <w:fldChar w:fldCharType="end"/>
      </w:r>
    </w:p>
    <w:p>
      <w:pPr>
        <w:pStyle w:val="51"/>
        <w:tabs>
          <w:tab w:val="left" w:pos="1280"/>
          <w:tab w:val="right" w:leader="dot" w:pos="9061"/>
        </w:tabs>
        <w:adjustRightInd w:val="0"/>
        <w:spacing w:before="0" w:after="0" w:line="400" w:lineRule="exact"/>
        <w:ind w:firstLine="0" w:firstLineChars="0"/>
        <w:rPr>
          <w:rStyle w:val="88"/>
          <w:rFonts w:ascii="仿宋" w:hAnsi="仿宋" w:eastAsia="仿宋"/>
          <w:color w:val="auto"/>
          <w:sz w:val="22"/>
          <w:szCs w:val="22"/>
          <w:lang w:val="en-US" w:eastAsia="zh-CN"/>
        </w:rPr>
      </w:pPr>
      <w:r>
        <w:fldChar w:fldCharType="begin"/>
      </w:r>
      <w:r>
        <w:instrText xml:space="preserve"> HYPERLINK \l "_Toc40703454" </w:instrText>
      </w:r>
      <w:r>
        <w:fldChar w:fldCharType="separate"/>
      </w:r>
      <w:r>
        <w:rPr>
          <w:rStyle w:val="88"/>
          <w:rFonts w:ascii="仿宋" w:hAnsi="仿宋" w:eastAsia="仿宋"/>
          <w:color w:val="auto"/>
          <w:sz w:val="22"/>
          <w:szCs w:val="22"/>
          <w:lang w:val="en-US" w:eastAsia="zh-CN"/>
        </w:rPr>
        <w:t>第7章</w:t>
      </w:r>
      <w:r>
        <w:rPr>
          <w:rStyle w:val="88"/>
          <w:rFonts w:hint="eastAsia" w:ascii="仿宋" w:hAnsi="仿宋" w:eastAsia="仿宋"/>
          <w:color w:val="auto"/>
          <w:sz w:val="22"/>
          <w:szCs w:val="22"/>
          <w:lang w:val="en-US" w:eastAsia="zh-CN"/>
        </w:rPr>
        <w:t xml:space="preserve">  </w:t>
      </w:r>
      <w:r>
        <w:rPr>
          <w:rStyle w:val="88"/>
          <w:rFonts w:ascii="仿宋" w:hAnsi="仿宋" w:eastAsia="仿宋"/>
          <w:color w:val="auto"/>
          <w:sz w:val="22"/>
          <w:szCs w:val="22"/>
          <w:lang w:val="en-US" w:eastAsia="zh-CN"/>
        </w:rPr>
        <w:t>评标办法</w:t>
      </w:r>
      <w:r>
        <w:rPr>
          <w:rStyle w:val="88"/>
          <w:rFonts w:ascii="仿宋" w:hAnsi="仿宋" w:eastAsia="仿宋"/>
          <w:color w:val="auto"/>
          <w:sz w:val="22"/>
          <w:szCs w:val="22"/>
          <w:lang w:val="en-US" w:eastAsia="zh-CN"/>
        </w:rPr>
        <w:tab/>
      </w:r>
      <w:r>
        <w:rPr>
          <w:rFonts w:ascii="仿宋" w:hAnsi="仿宋" w:eastAsia="仿宋"/>
          <w:color w:val="auto"/>
          <w:sz w:val="22"/>
          <w:szCs w:val="22"/>
          <w:lang w:val="en-US" w:eastAsia="zh-CN"/>
        </w:rPr>
        <w:fldChar w:fldCharType="begin"/>
      </w:r>
      <w:r>
        <w:rPr>
          <w:rStyle w:val="88"/>
          <w:rFonts w:ascii="仿宋" w:hAnsi="仿宋" w:eastAsia="仿宋"/>
          <w:color w:val="auto"/>
          <w:sz w:val="22"/>
          <w:szCs w:val="22"/>
          <w:lang w:val="en-US" w:eastAsia="zh-CN"/>
        </w:rPr>
        <w:instrText xml:space="preserve"> PAGEREF _Toc40703454 \h </w:instrText>
      </w:r>
      <w:r>
        <w:rPr>
          <w:rFonts w:ascii="仿宋" w:hAnsi="仿宋" w:eastAsia="仿宋"/>
          <w:color w:val="auto"/>
          <w:sz w:val="22"/>
          <w:szCs w:val="22"/>
          <w:lang w:val="en-US" w:eastAsia="zh-CN"/>
        </w:rPr>
        <w:fldChar w:fldCharType="separate"/>
      </w:r>
      <w:r>
        <w:rPr>
          <w:rStyle w:val="88"/>
          <w:rFonts w:ascii="仿宋" w:hAnsi="仿宋" w:eastAsia="仿宋"/>
          <w:color w:val="auto"/>
          <w:sz w:val="22"/>
          <w:szCs w:val="22"/>
          <w:lang w:val="en-US" w:eastAsia="zh-CN"/>
        </w:rPr>
        <w:t>55</w:t>
      </w:r>
      <w:r>
        <w:rPr>
          <w:rFonts w:ascii="仿宋" w:hAnsi="仿宋" w:eastAsia="仿宋"/>
          <w:color w:val="auto"/>
          <w:sz w:val="22"/>
          <w:szCs w:val="22"/>
          <w:lang w:val="en-US" w:eastAsia="zh-CN"/>
        </w:rPr>
        <w:fldChar w:fldCharType="end"/>
      </w:r>
      <w:r>
        <w:rPr>
          <w:rFonts w:ascii="仿宋" w:hAnsi="仿宋" w:eastAsia="仿宋"/>
          <w:color w:val="auto"/>
          <w:sz w:val="22"/>
          <w:szCs w:val="22"/>
          <w:lang w:val="en-US" w:eastAsia="zh-CN"/>
        </w:rPr>
        <w:fldChar w:fldCharType="end"/>
      </w:r>
    </w:p>
    <w:p>
      <w:pPr>
        <w:pStyle w:val="62"/>
        <w:tabs>
          <w:tab w:val="right" w:leader="dot" w:pos="9061"/>
        </w:tabs>
        <w:adjustRightInd w:val="0"/>
        <w:spacing w:line="400" w:lineRule="exact"/>
        <w:ind w:left="0" w:firstLine="300" w:firstLineChars="150"/>
        <w:rPr>
          <w:rStyle w:val="88"/>
          <w:rFonts w:ascii="仿宋" w:hAnsi="仿宋" w:eastAsia="仿宋"/>
          <w:bCs/>
          <w:color w:val="auto"/>
          <w:sz w:val="22"/>
          <w:szCs w:val="22"/>
          <w:lang w:val="en-US" w:eastAsia="zh-CN"/>
        </w:rPr>
      </w:pPr>
      <w:r>
        <w:fldChar w:fldCharType="begin"/>
      </w:r>
      <w:r>
        <w:instrText xml:space="preserve"> HYPERLINK \l "_Toc40703455" </w:instrText>
      </w:r>
      <w:r>
        <w:fldChar w:fldCharType="separate"/>
      </w:r>
      <w:r>
        <w:rPr>
          <w:rStyle w:val="88"/>
          <w:rFonts w:ascii="仿宋" w:hAnsi="仿宋" w:eastAsia="仿宋"/>
          <w:bCs/>
          <w:color w:val="auto"/>
          <w:sz w:val="22"/>
          <w:szCs w:val="22"/>
          <w:lang w:val="en-US" w:eastAsia="zh-CN"/>
        </w:rPr>
        <w:t>7.1 总则</w:t>
      </w:r>
      <w:r>
        <w:rPr>
          <w:rStyle w:val="88"/>
          <w:rFonts w:ascii="仿宋" w:hAnsi="仿宋" w:eastAsia="仿宋"/>
          <w:bCs/>
          <w:color w:val="auto"/>
          <w:sz w:val="22"/>
          <w:szCs w:val="22"/>
          <w:lang w:val="en-US" w:eastAsia="zh-CN"/>
        </w:rPr>
        <w:tab/>
      </w:r>
      <w:r>
        <w:rPr>
          <w:rFonts w:ascii="仿宋" w:hAnsi="仿宋" w:eastAsia="仿宋"/>
          <w:bCs/>
          <w:color w:val="auto"/>
          <w:sz w:val="22"/>
          <w:szCs w:val="22"/>
          <w:lang w:val="en-US" w:eastAsia="zh-CN"/>
        </w:rPr>
        <w:fldChar w:fldCharType="begin"/>
      </w:r>
      <w:r>
        <w:rPr>
          <w:rStyle w:val="88"/>
          <w:rFonts w:ascii="仿宋" w:hAnsi="仿宋" w:eastAsia="仿宋"/>
          <w:bCs/>
          <w:color w:val="auto"/>
          <w:sz w:val="22"/>
          <w:szCs w:val="22"/>
          <w:lang w:val="en-US" w:eastAsia="zh-CN"/>
        </w:rPr>
        <w:instrText xml:space="preserve"> PAGEREF _Toc40703455 \h </w:instrText>
      </w:r>
      <w:r>
        <w:rPr>
          <w:rFonts w:ascii="仿宋" w:hAnsi="仿宋" w:eastAsia="仿宋"/>
          <w:bCs/>
          <w:color w:val="auto"/>
          <w:sz w:val="22"/>
          <w:szCs w:val="22"/>
          <w:lang w:val="en-US" w:eastAsia="zh-CN"/>
        </w:rPr>
        <w:fldChar w:fldCharType="separate"/>
      </w:r>
      <w:r>
        <w:rPr>
          <w:rStyle w:val="88"/>
          <w:rFonts w:ascii="仿宋" w:hAnsi="仿宋" w:eastAsia="仿宋"/>
          <w:bCs/>
          <w:color w:val="auto"/>
          <w:sz w:val="22"/>
          <w:szCs w:val="22"/>
          <w:lang w:val="en-US" w:eastAsia="zh-CN"/>
        </w:rPr>
        <w:t>55</w:t>
      </w:r>
      <w:r>
        <w:rPr>
          <w:rFonts w:ascii="仿宋" w:hAnsi="仿宋" w:eastAsia="仿宋"/>
          <w:bCs/>
          <w:color w:val="auto"/>
          <w:sz w:val="22"/>
          <w:szCs w:val="22"/>
          <w:lang w:val="en-US" w:eastAsia="zh-CN"/>
        </w:rPr>
        <w:fldChar w:fldCharType="end"/>
      </w:r>
      <w:r>
        <w:rPr>
          <w:rFonts w:ascii="仿宋" w:hAnsi="仿宋" w:eastAsia="仿宋"/>
          <w:bCs/>
          <w:color w:val="auto"/>
          <w:sz w:val="22"/>
          <w:szCs w:val="22"/>
          <w:lang w:val="en-US" w:eastAsia="zh-CN"/>
        </w:rPr>
        <w:fldChar w:fldCharType="end"/>
      </w:r>
    </w:p>
    <w:p>
      <w:pPr>
        <w:pStyle w:val="62"/>
        <w:tabs>
          <w:tab w:val="right" w:leader="dot" w:pos="9061"/>
        </w:tabs>
        <w:adjustRightInd w:val="0"/>
        <w:spacing w:line="400" w:lineRule="exact"/>
        <w:ind w:left="0" w:firstLine="300" w:firstLineChars="150"/>
        <w:rPr>
          <w:rStyle w:val="88"/>
          <w:rFonts w:ascii="仿宋" w:hAnsi="仿宋" w:eastAsia="仿宋"/>
          <w:bCs/>
          <w:color w:val="auto"/>
          <w:sz w:val="22"/>
          <w:szCs w:val="22"/>
          <w:lang w:val="en-US" w:eastAsia="zh-CN"/>
        </w:rPr>
      </w:pPr>
      <w:r>
        <w:fldChar w:fldCharType="begin"/>
      </w:r>
      <w:r>
        <w:instrText xml:space="preserve"> HYPERLINK \l "_Toc40703456" </w:instrText>
      </w:r>
      <w:r>
        <w:fldChar w:fldCharType="separate"/>
      </w:r>
      <w:r>
        <w:rPr>
          <w:rStyle w:val="88"/>
          <w:rFonts w:ascii="仿宋" w:hAnsi="仿宋" w:eastAsia="仿宋"/>
          <w:bCs/>
          <w:color w:val="auto"/>
          <w:sz w:val="22"/>
          <w:szCs w:val="22"/>
          <w:lang w:val="en-US" w:eastAsia="zh-CN"/>
        </w:rPr>
        <w:t>7.2 评标方法</w:t>
      </w:r>
      <w:r>
        <w:rPr>
          <w:rStyle w:val="88"/>
          <w:rFonts w:ascii="仿宋" w:hAnsi="仿宋" w:eastAsia="仿宋"/>
          <w:bCs/>
          <w:color w:val="auto"/>
          <w:sz w:val="22"/>
          <w:szCs w:val="22"/>
          <w:lang w:val="en-US" w:eastAsia="zh-CN"/>
        </w:rPr>
        <w:tab/>
      </w:r>
      <w:r>
        <w:rPr>
          <w:rFonts w:ascii="仿宋" w:hAnsi="仿宋" w:eastAsia="仿宋"/>
          <w:bCs/>
          <w:color w:val="auto"/>
          <w:sz w:val="22"/>
          <w:szCs w:val="22"/>
          <w:lang w:val="en-US" w:eastAsia="zh-CN"/>
        </w:rPr>
        <w:fldChar w:fldCharType="begin"/>
      </w:r>
      <w:r>
        <w:rPr>
          <w:rStyle w:val="88"/>
          <w:rFonts w:ascii="仿宋" w:hAnsi="仿宋" w:eastAsia="仿宋"/>
          <w:bCs/>
          <w:color w:val="auto"/>
          <w:sz w:val="22"/>
          <w:szCs w:val="22"/>
          <w:lang w:val="en-US" w:eastAsia="zh-CN"/>
        </w:rPr>
        <w:instrText xml:space="preserve"> PAGEREF _Toc40703456 \h </w:instrText>
      </w:r>
      <w:r>
        <w:rPr>
          <w:rFonts w:ascii="仿宋" w:hAnsi="仿宋" w:eastAsia="仿宋"/>
          <w:bCs/>
          <w:color w:val="auto"/>
          <w:sz w:val="22"/>
          <w:szCs w:val="22"/>
          <w:lang w:val="en-US" w:eastAsia="zh-CN"/>
        </w:rPr>
        <w:fldChar w:fldCharType="separate"/>
      </w:r>
      <w:r>
        <w:rPr>
          <w:rStyle w:val="88"/>
          <w:rFonts w:ascii="仿宋" w:hAnsi="仿宋" w:eastAsia="仿宋"/>
          <w:bCs/>
          <w:color w:val="auto"/>
          <w:sz w:val="22"/>
          <w:szCs w:val="22"/>
          <w:lang w:val="en-US" w:eastAsia="zh-CN"/>
        </w:rPr>
        <w:t>56</w:t>
      </w:r>
      <w:r>
        <w:rPr>
          <w:rFonts w:ascii="仿宋" w:hAnsi="仿宋" w:eastAsia="仿宋"/>
          <w:bCs/>
          <w:color w:val="auto"/>
          <w:sz w:val="22"/>
          <w:szCs w:val="22"/>
          <w:lang w:val="en-US" w:eastAsia="zh-CN"/>
        </w:rPr>
        <w:fldChar w:fldCharType="end"/>
      </w:r>
      <w:r>
        <w:rPr>
          <w:rFonts w:ascii="仿宋" w:hAnsi="仿宋" w:eastAsia="仿宋"/>
          <w:bCs/>
          <w:color w:val="auto"/>
          <w:sz w:val="22"/>
          <w:szCs w:val="22"/>
          <w:lang w:val="en-US" w:eastAsia="zh-CN"/>
        </w:rPr>
        <w:fldChar w:fldCharType="end"/>
      </w:r>
    </w:p>
    <w:p>
      <w:pPr>
        <w:pStyle w:val="62"/>
        <w:tabs>
          <w:tab w:val="right" w:leader="dot" w:pos="9061"/>
        </w:tabs>
        <w:adjustRightInd w:val="0"/>
        <w:spacing w:line="400" w:lineRule="exact"/>
        <w:ind w:left="0" w:firstLine="300" w:firstLineChars="150"/>
        <w:rPr>
          <w:rStyle w:val="88"/>
          <w:rFonts w:ascii="仿宋" w:hAnsi="仿宋" w:eastAsia="仿宋"/>
          <w:bCs/>
          <w:color w:val="auto"/>
          <w:sz w:val="22"/>
          <w:szCs w:val="22"/>
          <w:lang w:val="en-US" w:eastAsia="zh-CN"/>
        </w:rPr>
      </w:pPr>
      <w:r>
        <w:fldChar w:fldCharType="begin"/>
      </w:r>
      <w:r>
        <w:instrText xml:space="preserve"> HYPERLINK \l "_Toc40703457" </w:instrText>
      </w:r>
      <w:r>
        <w:fldChar w:fldCharType="separate"/>
      </w:r>
      <w:r>
        <w:rPr>
          <w:rStyle w:val="88"/>
          <w:rFonts w:ascii="仿宋" w:hAnsi="仿宋" w:eastAsia="仿宋"/>
          <w:bCs/>
          <w:color w:val="auto"/>
          <w:sz w:val="22"/>
          <w:szCs w:val="22"/>
          <w:lang w:val="en-US" w:eastAsia="zh-CN"/>
        </w:rPr>
        <w:t>7.3 评标程序</w:t>
      </w:r>
      <w:r>
        <w:rPr>
          <w:rStyle w:val="88"/>
          <w:rFonts w:ascii="仿宋" w:hAnsi="仿宋" w:eastAsia="仿宋"/>
          <w:bCs/>
          <w:color w:val="auto"/>
          <w:sz w:val="22"/>
          <w:szCs w:val="22"/>
          <w:lang w:val="en-US" w:eastAsia="zh-CN"/>
        </w:rPr>
        <w:tab/>
      </w:r>
      <w:r>
        <w:rPr>
          <w:rFonts w:ascii="仿宋" w:hAnsi="仿宋" w:eastAsia="仿宋"/>
          <w:bCs/>
          <w:color w:val="auto"/>
          <w:sz w:val="22"/>
          <w:szCs w:val="22"/>
          <w:lang w:val="en-US" w:eastAsia="zh-CN"/>
        </w:rPr>
        <w:fldChar w:fldCharType="begin"/>
      </w:r>
      <w:r>
        <w:rPr>
          <w:rStyle w:val="88"/>
          <w:rFonts w:ascii="仿宋" w:hAnsi="仿宋" w:eastAsia="仿宋"/>
          <w:bCs/>
          <w:color w:val="auto"/>
          <w:sz w:val="22"/>
          <w:szCs w:val="22"/>
          <w:lang w:val="en-US" w:eastAsia="zh-CN"/>
        </w:rPr>
        <w:instrText xml:space="preserve"> PAGEREF _Toc40703457 \h </w:instrText>
      </w:r>
      <w:r>
        <w:rPr>
          <w:rFonts w:ascii="仿宋" w:hAnsi="仿宋" w:eastAsia="仿宋"/>
          <w:bCs/>
          <w:color w:val="auto"/>
          <w:sz w:val="22"/>
          <w:szCs w:val="22"/>
          <w:lang w:val="en-US" w:eastAsia="zh-CN"/>
        </w:rPr>
        <w:fldChar w:fldCharType="separate"/>
      </w:r>
      <w:r>
        <w:rPr>
          <w:rStyle w:val="88"/>
          <w:rFonts w:ascii="仿宋" w:hAnsi="仿宋" w:eastAsia="仿宋"/>
          <w:bCs/>
          <w:color w:val="auto"/>
          <w:sz w:val="22"/>
          <w:szCs w:val="22"/>
          <w:lang w:val="en-US" w:eastAsia="zh-CN"/>
        </w:rPr>
        <w:t>56</w:t>
      </w:r>
      <w:r>
        <w:rPr>
          <w:rFonts w:ascii="仿宋" w:hAnsi="仿宋" w:eastAsia="仿宋"/>
          <w:bCs/>
          <w:color w:val="auto"/>
          <w:sz w:val="22"/>
          <w:szCs w:val="22"/>
          <w:lang w:val="en-US" w:eastAsia="zh-CN"/>
        </w:rPr>
        <w:fldChar w:fldCharType="end"/>
      </w:r>
      <w:r>
        <w:rPr>
          <w:rFonts w:ascii="仿宋" w:hAnsi="仿宋" w:eastAsia="仿宋"/>
          <w:bCs/>
          <w:color w:val="auto"/>
          <w:sz w:val="22"/>
          <w:szCs w:val="22"/>
          <w:lang w:val="en-US" w:eastAsia="zh-CN"/>
        </w:rPr>
        <w:fldChar w:fldCharType="end"/>
      </w:r>
    </w:p>
    <w:p>
      <w:pPr>
        <w:pStyle w:val="62"/>
        <w:tabs>
          <w:tab w:val="right" w:leader="dot" w:pos="9061"/>
        </w:tabs>
        <w:adjustRightInd w:val="0"/>
        <w:spacing w:line="400" w:lineRule="exact"/>
        <w:ind w:left="0" w:firstLine="300" w:firstLineChars="150"/>
        <w:rPr>
          <w:rStyle w:val="88"/>
          <w:rFonts w:ascii="仿宋" w:hAnsi="仿宋" w:eastAsia="仿宋"/>
          <w:bCs/>
          <w:color w:val="auto"/>
          <w:sz w:val="22"/>
          <w:szCs w:val="22"/>
          <w:lang w:val="en-US" w:eastAsia="zh-CN"/>
        </w:rPr>
      </w:pPr>
      <w:r>
        <w:fldChar w:fldCharType="begin"/>
      </w:r>
      <w:r>
        <w:instrText xml:space="preserve"> HYPERLINK \l "_Toc40703458" </w:instrText>
      </w:r>
      <w:r>
        <w:fldChar w:fldCharType="separate"/>
      </w:r>
      <w:r>
        <w:rPr>
          <w:rStyle w:val="88"/>
          <w:rFonts w:ascii="仿宋" w:hAnsi="仿宋" w:eastAsia="仿宋"/>
          <w:bCs/>
          <w:color w:val="auto"/>
          <w:sz w:val="22"/>
          <w:szCs w:val="22"/>
          <w:lang w:val="en-US" w:eastAsia="zh-CN"/>
        </w:rPr>
        <w:t>7.4 评标细则及标准</w:t>
      </w:r>
      <w:r>
        <w:rPr>
          <w:rStyle w:val="88"/>
          <w:rFonts w:ascii="仿宋" w:hAnsi="仿宋" w:eastAsia="仿宋"/>
          <w:bCs/>
          <w:color w:val="auto"/>
          <w:sz w:val="22"/>
          <w:szCs w:val="22"/>
          <w:lang w:val="en-US" w:eastAsia="zh-CN"/>
        </w:rPr>
        <w:tab/>
      </w:r>
      <w:r>
        <w:rPr>
          <w:rFonts w:ascii="仿宋" w:hAnsi="仿宋" w:eastAsia="仿宋"/>
          <w:bCs/>
          <w:color w:val="auto"/>
          <w:sz w:val="22"/>
          <w:szCs w:val="22"/>
          <w:lang w:val="en-US" w:eastAsia="zh-CN"/>
        </w:rPr>
        <w:fldChar w:fldCharType="begin"/>
      </w:r>
      <w:r>
        <w:rPr>
          <w:rStyle w:val="88"/>
          <w:rFonts w:ascii="仿宋" w:hAnsi="仿宋" w:eastAsia="仿宋"/>
          <w:bCs/>
          <w:color w:val="auto"/>
          <w:sz w:val="22"/>
          <w:szCs w:val="22"/>
          <w:lang w:val="en-US" w:eastAsia="zh-CN"/>
        </w:rPr>
        <w:instrText xml:space="preserve"> PAGEREF _Toc40703458 \h </w:instrText>
      </w:r>
      <w:r>
        <w:rPr>
          <w:rFonts w:ascii="仿宋" w:hAnsi="仿宋" w:eastAsia="仿宋"/>
          <w:bCs/>
          <w:color w:val="auto"/>
          <w:sz w:val="22"/>
          <w:szCs w:val="22"/>
          <w:lang w:val="en-US" w:eastAsia="zh-CN"/>
        </w:rPr>
        <w:fldChar w:fldCharType="separate"/>
      </w:r>
      <w:r>
        <w:rPr>
          <w:rStyle w:val="88"/>
          <w:rFonts w:ascii="仿宋" w:hAnsi="仿宋" w:eastAsia="仿宋"/>
          <w:bCs/>
          <w:color w:val="auto"/>
          <w:sz w:val="22"/>
          <w:szCs w:val="22"/>
          <w:lang w:val="en-US" w:eastAsia="zh-CN"/>
        </w:rPr>
        <w:t>62</w:t>
      </w:r>
      <w:r>
        <w:rPr>
          <w:rFonts w:ascii="仿宋" w:hAnsi="仿宋" w:eastAsia="仿宋"/>
          <w:bCs/>
          <w:color w:val="auto"/>
          <w:sz w:val="22"/>
          <w:szCs w:val="22"/>
          <w:lang w:val="en-US" w:eastAsia="zh-CN"/>
        </w:rPr>
        <w:fldChar w:fldCharType="end"/>
      </w:r>
      <w:r>
        <w:rPr>
          <w:rFonts w:ascii="仿宋" w:hAnsi="仿宋" w:eastAsia="仿宋"/>
          <w:bCs/>
          <w:color w:val="auto"/>
          <w:sz w:val="22"/>
          <w:szCs w:val="22"/>
          <w:lang w:val="en-US" w:eastAsia="zh-CN"/>
        </w:rPr>
        <w:fldChar w:fldCharType="end"/>
      </w:r>
    </w:p>
    <w:p>
      <w:pPr>
        <w:pStyle w:val="62"/>
        <w:tabs>
          <w:tab w:val="right" w:leader="dot" w:pos="9061"/>
        </w:tabs>
        <w:adjustRightInd w:val="0"/>
        <w:spacing w:line="400" w:lineRule="exact"/>
        <w:ind w:left="0" w:firstLine="300" w:firstLineChars="150"/>
        <w:rPr>
          <w:rStyle w:val="88"/>
          <w:rFonts w:ascii="仿宋" w:hAnsi="仿宋" w:eastAsia="仿宋"/>
          <w:bCs/>
          <w:color w:val="auto"/>
          <w:sz w:val="22"/>
          <w:szCs w:val="22"/>
          <w:lang w:val="en-US" w:eastAsia="zh-CN"/>
        </w:rPr>
      </w:pPr>
      <w:r>
        <w:fldChar w:fldCharType="begin"/>
      </w:r>
      <w:r>
        <w:instrText xml:space="preserve"> HYPERLINK \l "_Toc40703459" </w:instrText>
      </w:r>
      <w:r>
        <w:fldChar w:fldCharType="separate"/>
      </w:r>
      <w:r>
        <w:rPr>
          <w:rStyle w:val="88"/>
          <w:rFonts w:ascii="仿宋" w:hAnsi="仿宋" w:eastAsia="仿宋"/>
          <w:bCs/>
          <w:color w:val="auto"/>
          <w:sz w:val="22"/>
          <w:szCs w:val="22"/>
          <w:lang w:val="en-US" w:eastAsia="zh-CN"/>
        </w:rPr>
        <w:t>7.5 废 标</w:t>
      </w:r>
      <w:r>
        <w:rPr>
          <w:rStyle w:val="88"/>
          <w:rFonts w:ascii="仿宋" w:hAnsi="仿宋" w:eastAsia="仿宋"/>
          <w:bCs/>
          <w:color w:val="auto"/>
          <w:sz w:val="22"/>
          <w:szCs w:val="22"/>
          <w:lang w:val="en-US" w:eastAsia="zh-CN"/>
        </w:rPr>
        <w:tab/>
      </w:r>
      <w:r>
        <w:rPr>
          <w:rFonts w:ascii="仿宋" w:hAnsi="仿宋" w:eastAsia="仿宋"/>
          <w:bCs/>
          <w:color w:val="auto"/>
          <w:sz w:val="22"/>
          <w:szCs w:val="22"/>
          <w:lang w:val="en-US" w:eastAsia="zh-CN"/>
        </w:rPr>
        <w:fldChar w:fldCharType="begin"/>
      </w:r>
      <w:r>
        <w:rPr>
          <w:rStyle w:val="88"/>
          <w:rFonts w:ascii="仿宋" w:hAnsi="仿宋" w:eastAsia="仿宋"/>
          <w:bCs/>
          <w:color w:val="auto"/>
          <w:sz w:val="22"/>
          <w:szCs w:val="22"/>
          <w:lang w:val="en-US" w:eastAsia="zh-CN"/>
        </w:rPr>
        <w:instrText xml:space="preserve"> PAGEREF _Toc40703459 \h </w:instrText>
      </w:r>
      <w:r>
        <w:rPr>
          <w:rFonts w:ascii="仿宋" w:hAnsi="仿宋" w:eastAsia="仿宋"/>
          <w:bCs/>
          <w:color w:val="auto"/>
          <w:sz w:val="22"/>
          <w:szCs w:val="22"/>
          <w:lang w:val="en-US" w:eastAsia="zh-CN"/>
        </w:rPr>
        <w:fldChar w:fldCharType="separate"/>
      </w:r>
      <w:r>
        <w:rPr>
          <w:rStyle w:val="88"/>
          <w:rFonts w:ascii="仿宋" w:hAnsi="仿宋" w:eastAsia="仿宋"/>
          <w:bCs/>
          <w:color w:val="auto"/>
          <w:sz w:val="22"/>
          <w:szCs w:val="22"/>
          <w:lang w:val="en-US" w:eastAsia="zh-CN"/>
        </w:rPr>
        <w:t>64</w:t>
      </w:r>
      <w:r>
        <w:rPr>
          <w:rFonts w:ascii="仿宋" w:hAnsi="仿宋" w:eastAsia="仿宋"/>
          <w:bCs/>
          <w:color w:val="auto"/>
          <w:sz w:val="22"/>
          <w:szCs w:val="22"/>
          <w:lang w:val="en-US" w:eastAsia="zh-CN"/>
        </w:rPr>
        <w:fldChar w:fldCharType="end"/>
      </w:r>
      <w:r>
        <w:rPr>
          <w:rFonts w:ascii="仿宋" w:hAnsi="仿宋" w:eastAsia="仿宋"/>
          <w:bCs/>
          <w:color w:val="auto"/>
          <w:sz w:val="22"/>
          <w:szCs w:val="22"/>
          <w:lang w:val="en-US" w:eastAsia="zh-CN"/>
        </w:rPr>
        <w:fldChar w:fldCharType="end"/>
      </w:r>
    </w:p>
    <w:p>
      <w:pPr>
        <w:pStyle w:val="62"/>
        <w:tabs>
          <w:tab w:val="right" w:leader="dot" w:pos="9061"/>
        </w:tabs>
        <w:adjustRightInd w:val="0"/>
        <w:spacing w:line="400" w:lineRule="exact"/>
        <w:ind w:left="0" w:firstLine="300" w:firstLineChars="150"/>
        <w:rPr>
          <w:rStyle w:val="88"/>
          <w:rFonts w:ascii="仿宋" w:hAnsi="仿宋" w:eastAsia="仿宋"/>
          <w:bCs/>
          <w:color w:val="auto"/>
          <w:sz w:val="22"/>
          <w:szCs w:val="22"/>
          <w:lang w:val="en-US" w:eastAsia="zh-CN"/>
        </w:rPr>
      </w:pPr>
      <w:r>
        <w:fldChar w:fldCharType="begin"/>
      </w:r>
      <w:r>
        <w:instrText xml:space="preserve"> HYPERLINK \l "_Toc40703460" </w:instrText>
      </w:r>
      <w:r>
        <w:fldChar w:fldCharType="separate"/>
      </w:r>
      <w:r>
        <w:rPr>
          <w:rStyle w:val="88"/>
          <w:rFonts w:ascii="仿宋" w:hAnsi="仿宋" w:eastAsia="仿宋"/>
          <w:bCs/>
          <w:color w:val="auto"/>
          <w:sz w:val="22"/>
          <w:szCs w:val="22"/>
          <w:lang w:val="en-US" w:eastAsia="zh-CN"/>
        </w:rPr>
        <w:t>7.6 定标</w:t>
      </w:r>
      <w:r>
        <w:rPr>
          <w:rStyle w:val="88"/>
          <w:rFonts w:ascii="仿宋" w:hAnsi="仿宋" w:eastAsia="仿宋"/>
          <w:bCs/>
          <w:color w:val="auto"/>
          <w:sz w:val="22"/>
          <w:szCs w:val="22"/>
          <w:lang w:val="en-US" w:eastAsia="zh-CN"/>
        </w:rPr>
        <w:tab/>
      </w:r>
      <w:r>
        <w:rPr>
          <w:rFonts w:ascii="仿宋" w:hAnsi="仿宋" w:eastAsia="仿宋"/>
          <w:bCs/>
          <w:color w:val="auto"/>
          <w:sz w:val="22"/>
          <w:szCs w:val="22"/>
          <w:lang w:val="en-US" w:eastAsia="zh-CN"/>
        </w:rPr>
        <w:fldChar w:fldCharType="begin"/>
      </w:r>
      <w:r>
        <w:rPr>
          <w:rStyle w:val="88"/>
          <w:rFonts w:ascii="仿宋" w:hAnsi="仿宋" w:eastAsia="仿宋"/>
          <w:bCs/>
          <w:color w:val="auto"/>
          <w:sz w:val="22"/>
          <w:szCs w:val="22"/>
          <w:lang w:val="en-US" w:eastAsia="zh-CN"/>
        </w:rPr>
        <w:instrText xml:space="preserve"> PAGEREF _Toc40703460 \h </w:instrText>
      </w:r>
      <w:r>
        <w:rPr>
          <w:rFonts w:ascii="仿宋" w:hAnsi="仿宋" w:eastAsia="仿宋"/>
          <w:bCs/>
          <w:color w:val="auto"/>
          <w:sz w:val="22"/>
          <w:szCs w:val="22"/>
          <w:lang w:val="en-US" w:eastAsia="zh-CN"/>
        </w:rPr>
        <w:fldChar w:fldCharType="separate"/>
      </w:r>
      <w:r>
        <w:rPr>
          <w:rStyle w:val="88"/>
          <w:rFonts w:ascii="仿宋" w:hAnsi="仿宋" w:eastAsia="仿宋"/>
          <w:bCs/>
          <w:color w:val="auto"/>
          <w:sz w:val="22"/>
          <w:szCs w:val="22"/>
          <w:lang w:val="en-US" w:eastAsia="zh-CN"/>
        </w:rPr>
        <w:t>65</w:t>
      </w:r>
      <w:r>
        <w:rPr>
          <w:rFonts w:ascii="仿宋" w:hAnsi="仿宋" w:eastAsia="仿宋"/>
          <w:bCs/>
          <w:color w:val="auto"/>
          <w:sz w:val="22"/>
          <w:szCs w:val="22"/>
          <w:lang w:val="en-US" w:eastAsia="zh-CN"/>
        </w:rPr>
        <w:fldChar w:fldCharType="end"/>
      </w:r>
      <w:r>
        <w:rPr>
          <w:rFonts w:ascii="仿宋" w:hAnsi="仿宋" w:eastAsia="仿宋"/>
          <w:bCs/>
          <w:color w:val="auto"/>
          <w:sz w:val="22"/>
          <w:szCs w:val="22"/>
          <w:lang w:val="en-US" w:eastAsia="zh-CN"/>
        </w:rPr>
        <w:fldChar w:fldCharType="end"/>
      </w:r>
    </w:p>
    <w:p>
      <w:pPr>
        <w:pStyle w:val="62"/>
        <w:tabs>
          <w:tab w:val="right" w:leader="dot" w:pos="9061"/>
        </w:tabs>
        <w:adjustRightInd w:val="0"/>
        <w:spacing w:line="400" w:lineRule="exact"/>
        <w:ind w:left="0" w:firstLine="300" w:firstLineChars="150"/>
        <w:rPr>
          <w:rStyle w:val="88"/>
          <w:rFonts w:ascii="仿宋" w:hAnsi="仿宋" w:eastAsia="仿宋"/>
          <w:bCs/>
          <w:color w:val="auto"/>
          <w:sz w:val="22"/>
          <w:szCs w:val="22"/>
          <w:lang w:val="en-US" w:eastAsia="zh-CN"/>
        </w:rPr>
      </w:pPr>
      <w:r>
        <w:fldChar w:fldCharType="begin"/>
      </w:r>
      <w:r>
        <w:instrText xml:space="preserve"> HYPERLINK \l "_Toc40703461" </w:instrText>
      </w:r>
      <w:r>
        <w:fldChar w:fldCharType="separate"/>
      </w:r>
      <w:r>
        <w:rPr>
          <w:rStyle w:val="88"/>
          <w:rFonts w:ascii="仿宋" w:hAnsi="仿宋" w:eastAsia="仿宋"/>
          <w:bCs/>
          <w:color w:val="auto"/>
          <w:sz w:val="22"/>
          <w:szCs w:val="22"/>
          <w:lang w:val="en-US" w:eastAsia="zh-CN"/>
        </w:rPr>
        <w:t>7.7 评标专家在政府采购活动中承担以下义务</w:t>
      </w:r>
      <w:r>
        <w:rPr>
          <w:rStyle w:val="88"/>
          <w:rFonts w:ascii="仿宋" w:hAnsi="仿宋" w:eastAsia="仿宋"/>
          <w:bCs/>
          <w:color w:val="auto"/>
          <w:sz w:val="22"/>
          <w:szCs w:val="22"/>
          <w:lang w:val="en-US" w:eastAsia="zh-CN"/>
        </w:rPr>
        <w:tab/>
      </w:r>
      <w:r>
        <w:rPr>
          <w:rFonts w:ascii="仿宋" w:hAnsi="仿宋" w:eastAsia="仿宋"/>
          <w:bCs/>
          <w:color w:val="auto"/>
          <w:sz w:val="22"/>
          <w:szCs w:val="22"/>
          <w:lang w:val="en-US" w:eastAsia="zh-CN"/>
        </w:rPr>
        <w:fldChar w:fldCharType="begin"/>
      </w:r>
      <w:r>
        <w:rPr>
          <w:rStyle w:val="88"/>
          <w:rFonts w:ascii="仿宋" w:hAnsi="仿宋" w:eastAsia="仿宋"/>
          <w:bCs/>
          <w:color w:val="auto"/>
          <w:sz w:val="22"/>
          <w:szCs w:val="22"/>
          <w:lang w:val="en-US" w:eastAsia="zh-CN"/>
        </w:rPr>
        <w:instrText xml:space="preserve"> PAGEREF _Toc40703461 \h </w:instrText>
      </w:r>
      <w:r>
        <w:rPr>
          <w:rFonts w:ascii="仿宋" w:hAnsi="仿宋" w:eastAsia="仿宋"/>
          <w:bCs/>
          <w:color w:val="auto"/>
          <w:sz w:val="22"/>
          <w:szCs w:val="22"/>
          <w:lang w:val="en-US" w:eastAsia="zh-CN"/>
        </w:rPr>
        <w:fldChar w:fldCharType="separate"/>
      </w:r>
      <w:r>
        <w:rPr>
          <w:rStyle w:val="88"/>
          <w:rFonts w:ascii="仿宋" w:hAnsi="仿宋" w:eastAsia="仿宋"/>
          <w:bCs/>
          <w:color w:val="auto"/>
          <w:sz w:val="22"/>
          <w:szCs w:val="22"/>
          <w:lang w:val="en-US" w:eastAsia="zh-CN"/>
        </w:rPr>
        <w:t>65</w:t>
      </w:r>
      <w:r>
        <w:rPr>
          <w:rFonts w:ascii="仿宋" w:hAnsi="仿宋" w:eastAsia="仿宋"/>
          <w:bCs/>
          <w:color w:val="auto"/>
          <w:sz w:val="22"/>
          <w:szCs w:val="22"/>
          <w:lang w:val="en-US" w:eastAsia="zh-CN"/>
        </w:rPr>
        <w:fldChar w:fldCharType="end"/>
      </w:r>
      <w:r>
        <w:rPr>
          <w:rFonts w:ascii="仿宋" w:hAnsi="仿宋" w:eastAsia="仿宋"/>
          <w:bCs/>
          <w:color w:val="auto"/>
          <w:sz w:val="22"/>
          <w:szCs w:val="22"/>
          <w:lang w:val="en-US" w:eastAsia="zh-CN"/>
        </w:rPr>
        <w:fldChar w:fldCharType="end"/>
      </w:r>
    </w:p>
    <w:p>
      <w:pPr>
        <w:pStyle w:val="62"/>
        <w:tabs>
          <w:tab w:val="right" w:leader="dot" w:pos="9061"/>
        </w:tabs>
        <w:adjustRightInd w:val="0"/>
        <w:spacing w:line="400" w:lineRule="exact"/>
        <w:ind w:left="0" w:firstLine="300" w:firstLineChars="150"/>
        <w:rPr>
          <w:rStyle w:val="88"/>
          <w:rFonts w:ascii="仿宋" w:hAnsi="仿宋" w:eastAsia="仿宋"/>
          <w:bCs/>
          <w:color w:val="auto"/>
          <w:sz w:val="22"/>
          <w:szCs w:val="22"/>
          <w:lang w:val="en-US" w:eastAsia="zh-CN"/>
        </w:rPr>
      </w:pPr>
      <w:r>
        <w:fldChar w:fldCharType="begin"/>
      </w:r>
      <w:r>
        <w:instrText xml:space="preserve"> HYPERLINK \l "_Toc40703462" </w:instrText>
      </w:r>
      <w:r>
        <w:fldChar w:fldCharType="separate"/>
      </w:r>
      <w:r>
        <w:rPr>
          <w:rStyle w:val="88"/>
          <w:rFonts w:ascii="仿宋" w:hAnsi="仿宋" w:eastAsia="仿宋"/>
          <w:bCs/>
          <w:color w:val="auto"/>
          <w:sz w:val="22"/>
          <w:szCs w:val="22"/>
          <w:lang w:val="en-US" w:eastAsia="zh-CN"/>
        </w:rPr>
        <w:t>7.8 评审专家在政府采购活动中应当遵守以下工作纪律</w:t>
      </w:r>
      <w:r>
        <w:rPr>
          <w:rStyle w:val="88"/>
          <w:rFonts w:ascii="仿宋" w:hAnsi="仿宋" w:eastAsia="仿宋"/>
          <w:bCs/>
          <w:color w:val="auto"/>
          <w:sz w:val="22"/>
          <w:szCs w:val="22"/>
          <w:lang w:val="en-US" w:eastAsia="zh-CN"/>
        </w:rPr>
        <w:tab/>
      </w:r>
      <w:r>
        <w:rPr>
          <w:rFonts w:ascii="仿宋" w:hAnsi="仿宋" w:eastAsia="仿宋"/>
          <w:bCs/>
          <w:color w:val="auto"/>
          <w:sz w:val="22"/>
          <w:szCs w:val="22"/>
          <w:lang w:val="en-US" w:eastAsia="zh-CN"/>
        </w:rPr>
        <w:fldChar w:fldCharType="begin"/>
      </w:r>
      <w:r>
        <w:rPr>
          <w:rStyle w:val="88"/>
          <w:rFonts w:ascii="仿宋" w:hAnsi="仿宋" w:eastAsia="仿宋"/>
          <w:bCs/>
          <w:color w:val="auto"/>
          <w:sz w:val="22"/>
          <w:szCs w:val="22"/>
          <w:lang w:val="en-US" w:eastAsia="zh-CN"/>
        </w:rPr>
        <w:instrText xml:space="preserve"> PAGEREF _Toc40703462 \h </w:instrText>
      </w:r>
      <w:r>
        <w:rPr>
          <w:rFonts w:ascii="仿宋" w:hAnsi="仿宋" w:eastAsia="仿宋"/>
          <w:bCs/>
          <w:color w:val="auto"/>
          <w:sz w:val="22"/>
          <w:szCs w:val="22"/>
          <w:lang w:val="en-US" w:eastAsia="zh-CN"/>
        </w:rPr>
        <w:fldChar w:fldCharType="separate"/>
      </w:r>
      <w:r>
        <w:rPr>
          <w:rStyle w:val="88"/>
          <w:rFonts w:ascii="仿宋" w:hAnsi="仿宋" w:eastAsia="仿宋"/>
          <w:bCs/>
          <w:color w:val="auto"/>
          <w:sz w:val="22"/>
          <w:szCs w:val="22"/>
          <w:lang w:val="en-US" w:eastAsia="zh-CN"/>
        </w:rPr>
        <w:t>66</w:t>
      </w:r>
      <w:r>
        <w:rPr>
          <w:rFonts w:ascii="仿宋" w:hAnsi="仿宋" w:eastAsia="仿宋"/>
          <w:bCs/>
          <w:color w:val="auto"/>
          <w:sz w:val="22"/>
          <w:szCs w:val="22"/>
          <w:lang w:val="en-US" w:eastAsia="zh-CN"/>
        </w:rPr>
        <w:fldChar w:fldCharType="end"/>
      </w:r>
      <w:r>
        <w:rPr>
          <w:rFonts w:ascii="仿宋" w:hAnsi="仿宋" w:eastAsia="仿宋"/>
          <w:bCs/>
          <w:color w:val="auto"/>
          <w:sz w:val="22"/>
          <w:szCs w:val="22"/>
          <w:lang w:val="en-US" w:eastAsia="zh-CN"/>
        </w:rPr>
        <w:fldChar w:fldCharType="end"/>
      </w:r>
    </w:p>
    <w:p>
      <w:pPr>
        <w:pStyle w:val="51"/>
        <w:tabs>
          <w:tab w:val="left" w:pos="1280"/>
          <w:tab w:val="right" w:leader="dot" w:pos="9061"/>
        </w:tabs>
        <w:adjustRightInd w:val="0"/>
        <w:spacing w:before="0" w:after="0" w:line="400" w:lineRule="exact"/>
        <w:ind w:firstLine="0" w:firstLineChars="0"/>
        <w:rPr>
          <w:rStyle w:val="88"/>
          <w:rFonts w:ascii="仿宋" w:hAnsi="仿宋" w:eastAsia="仿宋"/>
          <w:color w:val="auto"/>
          <w:sz w:val="22"/>
          <w:szCs w:val="22"/>
          <w:lang w:val="en-US" w:eastAsia="zh-CN"/>
        </w:rPr>
      </w:pPr>
      <w:r>
        <w:fldChar w:fldCharType="begin"/>
      </w:r>
      <w:r>
        <w:instrText xml:space="preserve"> HYPERLINK \l "_Toc40703463" </w:instrText>
      </w:r>
      <w:r>
        <w:fldChar w:fldCharType="separate"/>
      </w:r>
      <w:r>
        <w:rPr>
          <w:rStyle w:val="88"/>
          <w:rFonts w:ascii="仿宋" w:hAnsi="仿宋" w:eastAsia="仿宋"/>
          <w:color w:val="auto"/>
          <w:sz w:val="22"/>
          <w:szCs w:val="22"/>
          <w:lang w:val="en-US" w:eastAsia="zh-CN"/>
        </w:rPr>
        <w:t>第8章</w:t>
      </w:r>
      <w:r>
        <w:rPr>
          <w:rStyle w:val="88"/>
          <w:rFonts w:hint="eastAsia" w:ascii="仿宋" w:hAnsi="仿宋" w:eastAsia="仿宋"/>
          <w:color w:val="auto"/>
          <w:sz w:val="22"/>
          <w:szCs w:val="22"/>
          <w:lang w:val="en-US" w:eastAsia="zh-CN"/>
        </w:rPr>
        <w:t xml:space="preserve">  </w:t>
      </w:r>
      <w:r>
        <w:rPr>
          <w:rStyle w:val="88"/>
          <w:rFonts w:ascii="仿宋" w:hAnsi="仿宋" w:eastAsia="仿宋"/>
          <w:color w:val="auto"/>
          <w:sz w:val="22"/>
          <w:szCs w:val="22"/>
          <w:lang w:val="en-US" w:eastAsia="zh-CN"/>
        </w:rPr>
        <w:t>拟签订的合同文本</w:t>
      </w:r>
      <w:r>
        <w:rPr>
          <w:rStyle w:val="88"/>
          <w:rFonts w:ascii="仿宋" w:hAnsi="仿宋" w:eastAsia="仿宋"/>
          <w:color w:val="auto"/>
          <w:sz w:val="22"/>
          <w:szCs w:val="22"/>
          <w:lang w:val="en-US" w:eastAsia="zh-CN"/>
        </w:rPr>
        <w:tab/>
      </w:r>
      <w:r>
        <w:rPr>
          <w:rFonts w:ascii="仿宋" w:hAnsi="仿宋" w:eastAsia="仿宋"/>
          <w:color w:val="auto"/>
          <w:sz w:val="22"/>
          <w:szCs w:val="22"/>
          <w:lang w:val="en-US" w:eastAsia="zh-CN"/>
        </w:rPr>
        <w:fldChar w:fldCharType="begin"/>
      </w:r>
      <w:r>
        <w:rPr>
          <w:rStyle w:val="88"/>
          <w:rFonts w:ascii="仿宋" w:hAnsi="仿宋" w:eastAsia="仿宋"/>
          <w:color w:val="auto"/>
          <w:sz w:val="22"/>
          <w:szCs w:val="22"/>
          <w:lang w:val="en-US" w:eastAsia="zh-CN"/>
        </w:rPr>
        <w:instrText xml:space="preserve"> PAGEREF _Toc40703463 \h </w:instrText>
      </w:r>
      <w:r>
        <w:rPr>
          <w:rFonts w:ascii="仿宋" w:hAnsi="仿宋" w:eastAsia="仿宋"/>
          <w:color w:val="auto"/>
          <w:sz w:val="22"/>
          <w:szCs w:val="22"/>
          <w:lang w:val="en-US" w:eastAsia="zh-CN"/>
        </w:rPr>
        <w:fldChar w:fldCharType="separate"/>
      </w:r>
      <w:r>
        <w:rPr>
          <w:rStyle w:val="88"/>
          <w:rFonts w:ascii="仿宋" w:hAnsi="仿宋" w:eastAsia="仿宋"/>
          <w:color w:val="auto"/>
          <w:sz w:val="22"/>
          <w:szCs w:val="22"/>
          <w:lang w:val="en-US" w:eastAsia="zh-CN"/>
        </w:rPr>
        <w:t>67</w:t>
      </w:r>
      <w:r>
        <w:rPr>
          <w:rFonts w:ascii="仿宋" w:hAnsi="仿宋" w:eastAsia="仿宋"/>
          <w:color w:val="auto"/>
          <w:sz w:val="22"/>
          <w:szCs w:val="22"/>
          <w:lang w:val="en-US" w:eastAsia="zh-CN"/>
        </w:rPr>
        <w:fldChar w:fldCharType="end"/>
      </w:r>
      <w:r>
        <w:rPr>
          <w:rFonts w:ascii="仿宋" w:hAnsi="仿宋" w:eastAsia="仿宋"/>
          <w:color w:val="auto"/>
          <w:sz w:val="22"/>
          <w:szCs w:val="22"/>
          <w:lang w:val="en-US" w:eastAsia="zh-CN"/>
        </w:rPr>
        <w:fldChar w:fldCharType="end"/>
      </w:r>
    </w:p>
    <w:p>
      <w:pPr>
        <w:pStyle w:val="51"/>
        <w:tabs>
          <w:tab w:val="left" w:pos="1280"/>
          <w:tab w:val="right" w:leader="dot" w:pos="9061"/>
        </w:tabs>
        <w:adjustRightInd w:val="0"/>
        <w:spacing w:before="0" w:after="0" w:line="400" w:lineRule="exact"/>
        <w:ind w:firstLine="0" w:firstLineChars="0"/>
        <w:rPr>
          <w:rStyle w:val="88"/>
          <w:rFonts w:ascii="仿宋" w:hAnsi="仿宋" w:eastAsia="仿宋"/>
          <w:color w:val="auto"/>
          <w:sz w:val="22"/>
          <w:szCs w:val="22"/>
          <w:lang w:val="en-US" w:eastAsia="zh-CN"/>
        </w:rPr>
      </w:pPr>
      <w:r>
        <w:fldChar w:fldCharType="begin"/>
      </w:r>
      <w:r>
        <w:instrText xml:space="preserve"> HYPERLINK \l "_Toc40703464" </w:instrText>
      </w:r>
      <w:r>
        <w:fldChar w:fldCharType="separate"/>
      </w:r>
      <w:r>
        <w:rPr>
          <w:rStyle w:val="88"/>
          <w:rFonts w:ascii="仿宋" w:hAnsi="仿宋" w:eastAsia="仿宋"/>
          <w:color w:val="auto"/>
          <w:sz w:val="22"/>
          <w:szCs w:val="22"/>
          <w:lang w:val="en-US" w:eastAsia="zh-CN"/>
        </w:rPr>
        <w:t>附件一  各行政监管领域“较大数额罚款"标准一览表</w:t>
      </w:r>
      <w:r>
        <w:rPr>
          <w:rStyle w:val="88"/>
          <w:rFonts w:ascii="仿宋" w:hAnsi="仿宋" w:eastAsia="仿宋"/>
          <w:color w:val="auto"/>
          <w:sz w:val="22"/>
          <w:szCs w:val="22"/>
          <w:lang w:val="en-US" w:eastAsia="zh-CN"/>
        </w:rPr>
        <w:tab/>
      </w:r>
      <w:r>
        <w:rPr>
          <w:rFonts w:ascii="仿宋" w:hAnsi="仿宋" w:eastAsia="仿宋"/>
          <w:color w:val="auto"/>
          <w:sz w:val="22"/>
          <w:szCs w:val="22"/>
          <w:lang w:val="en-US" w:eastAsia="zh-CN"/>
        </w:rPr>
        <w:fldChar w:fldCharType="begin"/>
      </w:r>
      <w:r>
        <w:rPr>
          <w:rStyle w:val="88"/>
          <w:rFonts w:ascii="仿宋" w:hAnsi="仿宋" w:eastAsia="仿宋"/>
          <w:color w:val="auto"/>
          <w:sz w:val="22"/>
          <w:szCs w:val="22"/>
          <w:lang w:val="en-US" w:eastAsia="zh-CN"/>
        </w:rPr>
        <w:instrText xml:space="preserve"> PAGEREF _Toc40703464 \h </w:instrText>
      </w:r>
      <w:r>
        <w:rPr>
          <w:rFonts w:ascii="仿宋" w:hAnsi="仿宋" w:eastAsia="仿宋"/>
          <w:color w:val="auto"/>
          <w:sz w:val="22"/>
          <w:szCs w:val="22"/>
          <w:lang w:val="en-US" w:eastAsia="zh-CN"/>
        </w:rPr>
        <w:fldChar w:fldCharType="separate"/>
      </w:r>
      <w:r>
        <w:rPr>
          <w:rStyle w:val="88"/>
          <w:rFonts w:ascii="仿宋" w:hAnsi="仿宋" w:eastAsia="仿宋"/>
          <w:color w:val="auto"/>
          <w:sz w:val="22"/>
          <w:szCs w:val="22"/>
          <w:lang w:val="en-US" w:eastAsia="zh-CN"/>
        </w:rPr>
        <w:t>78</w:t>
      </w:r>
      <w:r>
        <w:rPr>
          <w:rFonts w:ascii="仿宋" w:hAnsi="仿宋" w:eastAsia="仿宋"/>
          <w:color w:val="auto"/>
          <w:sz w:val="22"/>
          <w:szCs w:val="22"/>
          <w:lang w:val="en-US" w:eastAsia="zh-CN"/>
        </w:rPr>
        <w:fldChar w:fldCharType="end"/>
      </w:r>
      <w:r>
        <w:rPr>
          <w:rFonts w:ascii="仿宋" w:hAnsi="仿宋" w:eastAsia="仿宋"/>
          <w:color w:val="auto"/>
          <w:sz w:val="22"/>
          <w:szCs w:val="22"/>
          <w:lang w:val="en-US" w:eastAsia="zh-CN"/>
        </w:rPr>
        <w:fldChar w:fldCharType="end"/>
      </w:r>
    </w:p>
    <w:p>
      <w:pPr>
        <w:adjustRightInd w:val="0"/>
        <w:spacing w:line="400" w:lineRule="exact"/>
        <w:ind w:firstLine="0" w:firstLineChars="0"/>
        <w:jc w:val="left"/>
        <w:rPr>
          <w:rFonts w:ascii="Times New Roman" w:hAnsi="Times New Roman"/>
          <w:b w:val="0"/>
          <w:color w:val="auto"/>
          <w:kern w:val="2"/>
          <w:sz w:val="24"/>
          <w:szCs w:val="24"/>
          <w:lang w:val="en-US"/>
        </w:rPr>
        <w:sectPr>
          <w:footerReference r:id="rId11" w:type="first"/>
          <w:footerReference r:id="rId9" w:type="default"/>
          <w:footerReference r:id="rId10" w:type="even"/>
          <w:pgSz w:w="11906" w:h="16838"/>
          <w:pgMar w:top="1418" w:right="1134" w:bottom="1418" w:left="1701" w:header="907" w:footer="850" w:gutter="0"/>
          <w:pgNumType w:start="0"/>
          <w:cols w:space="720" w:num="1"/>
          <w:titlePg/>
          <w:docGrid w:type="lines" w:linePitch="437" w:charSpace="0"/>
        </w:sectPr>
      </w:pPr>
      <w:r>
        <w:rPr>
          <w:rFonts w:ascii="仿宋" w:hAnsi="仿宋" w:eastAsia="仿宋"/>
          <w:b w:val="0"/>
          <w:color w:val="auto"/>
          <w:kern w:val="2"/>
          <w:sz w:val="22"/>
          <w:szCs w:val="22"/>
          <w:lang w:val="en-US"/>
        </w:rPr>
        <w:fldChar w:fldCharType="end"/>
      </w:r>
    </w:p>
    <w:p>
      <w:pPr>
        <w:pStyle w:val="3"/>
        <w:numPr>
          <w:ilvl w:val="0"/>
          <w:numId w:val="17"/>
        </w:numPr>
        <w:adjustRightInd w:val="0"/>
        <w:spacing w:beforeLines="50" w:after="0" w:line="360" w:lineRule="auto"/>
        <w:ind w:left="0" w:firstLine="0"/>
        <w:rPr>
          <w:rFonts w:ascii="仿宋" w:hAnsi="仿宋" w:eastAsia="仿宋"/>
          <w:b/>
          <w:color w:val="auto"/>
        </w:rPr>
      </w:pPr>
      <w:bookmarkStart w:id="4" w:name="_Toc36029466"/>
      <w:r>
        <w:rPr>
          <w:rStyle w:val="88"/>
          <w:rFonts w:ascii="仿宋" w:hAnsi="仿宋" w:eastAsia="仿宋"/>
          <w:bCs/>
          <w:caps/>
          <w:color w:val="auto"/>
          <w:sz w:val="22"/>
          <w:u w:val="none"/>
          <w:lang w:val="en-US" w:eastAsia="zh-CN"/>
        </w:rPr>
        <w:t xml:space="preserve"> </w:t>
      </w:r>
      <w:bookmarkStart w:id="5" w:name="_Toc40703435"/>
      <w:r>
        <w:rPr>
          <w:rFonts w:ascii="仿宋" w:hAnsi="仿宋" w:eastAsia="仿宋"/>
          <w:b/>
          <w:color w:val="auto"/>
        </w:rPr>
        <w:t>投标邀请</w:t>
      </w:r>
      <w:bookmarkEnd w:id="3"/>
      <w:bookmarkEnd w:id="4"/>
      <w:bookmarkEnd w:id="5"/>
    </w:p>
    <w:p>
      <w:pPr>
        <w:snapToGrid/>
        <w:spacing w:line="470" w:lineRule="exact"/>
        <w:ind w:firstLine="480"/>
        <w:jc w:val="left"/>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四川中志招标代理有限公司受</w:t>
      </w:r>
      <w:r>
        <w:rPr>
          <w:rFonts w:hint="eastAsia" w:ascii="仿宋" w:hAnsi="仿宋" w:eastAsia="仿宋"/>
          <w:b w:val="0"/>
          <w:color w:val="auto"/>
          <w:kern w:val="2"/>
          <w:sz w:val="24"/>
          <w:szCs w:val="24"/>
          <w:lang w:val="en-US"/>
        </w:rPr>
        <w:t>成都市交通运输综合行政执法总队</w:t>
      </w:r>
      <w:r>
        <w:rPr>
          <w:rFonts w:ascii="仿宋" w:hAnsi="仿宋" w:eastAsia="仿宋"/>
          <w:b w:val="0"/>
          <w:color w:val="auto"/>
          <w:kern w:val="2"/>
          <w:sz w:val="24"/>
          <w:szCs w:val="24"/>
          <w:lang w:val="en-US"/>
        </w:rPr>
        <w:t>的委托，就</w:t>
      </w:r>
      <w:r>
        <w:rPr>
          <w:rFonts w:hint="eastAsia" w:ascii="仿宋" w:hAnsi="仿宋" w:eastAsia="仿宋"/>
          <w:b w:val="0"/>
          <w:color w:val="auto"/>
          <w:kern w:val="2"/>
          <w:sz w:val="24"/>
          <w:szCs w:val="24"/>
          <w:lang w:val="en-US"/>
        </w:rPr>
        <w:t>成都市交通运输综合行政执法总队劳务外包服务采购项目</w:t>
      </w:r>
      <w:r>
        <w:rPr>
          <w:rFonts w:ascii="仿宋" w:hAnsi="仿宋" w:eastAsia="仿宋"/>
          <w:b w:val="0"/>
          <w:color w:val="auto"/>
          <w:kern w:val="2"/>
          <w:sz w:val="24"/>
          <w:szCs w:val="24"/>
          <w:lang w:val="en-US"/>
        </w:rPr>
        <w:t>进行国内公开招标，兹邀请符合招标要求的供应商参加投标。</w:t>
      </w:r>
    </w:p>
    <w:p>
      <w:pPr>
        <w:numPr>
          <w:ilvl w:val="0"/>
          <w:numId w:val="22"/>
        </w:numPr>
        <w:snapToGrid/>
        <w:spacing w:line="470" w:lineRule="exact"/>
        <w:ind w:left="0" w:firstLine="482"/>
        <w:rPr>
          <w:rFonts w:ascii="仿宋" w:hAnsi="仿宋" w:eastAsia="仿宋"/>
          <w:b w:val="0"/>
          <w:color w:val="auto"/>
          <w:kern w:val="2"/>
          <w:sz w:val="24"/>
          <w:szCs w:val="24"/>
          <w:lang w:val="en-US"/>
        </w:rPr>
      </w:pPr>
      <w:r>
        <w:rPr>
          <w:rFonts w:ascii="仿宋" w:hAnsi="仿宋" w:eastAsia="仿宋"/>
          <w:color w:val="auto"/>
          <w:kern w:val="2"/>
          <w:sz w:val="24"/>
          <w:szCs w:val="24"/>
          <w:lang w:val="en-US"/>
        </w:rPr>
        <w:t>采购项目编号：</w:t>
      </w:r>
      <w:r>
        <w:rPr>
          <w:rFonts w:hint="eastAsia" w:ascii="仿宋" w:hAnsi="仿宋" w:eastAsia="仿宋"/>
          <w:b w:val="0"/>
          <w:color w:val="auto"/>
          <w:kern w:val="2"/>
          <w:sz w:val="24"/>
          <w:szCs w:val="24"/>
          <w:lang w:val="en-US"/>
        </w:rPr>
        <w:t>510101202100963</w:t>
      </w:r>
    </w:p>
    <w:p>
      <w:pPr>
        <w:numPr>
          <w:ilvl w:val="0"/>
          <w:numId w:val="22"/>
        </w:numPr>
        <w:snapToGrid/>
        <w:spacing w:line="470" w:lineRule="exact"/>
        <w:ind w:left="0" w:firstLine="482"/>
        <w:rPr>
          <w:rFonts w:ascii="仿宋" w:hAnsi="仿宋" w:eastAsia="仿宋"/>
          <w:b w:val="0"/>
          <w:color w:val="auto"/>
          <w:kern w:val="2"/>
          <w:sz w:val="24"/>
          <w:szCs w:val="24"/>
          <w:lang w:val="en-US"/>
        </w:rPr>
      </w:pPr>
      <w:r>
        <w:rPr>
          <w:rFonts w:ascii="仿宋" w:hAnsi="仿宋" w:eastAsia="仿宋"/>
          <w:color w:val="auto"/>
          <w:kern w:val="2"/>
          <w:sz w:val="24"/>
          <w:szCs w:val="24"/>
          <w:lang w:val="en-US"/>
        </w:rPr>
        <w:t>采购项目名称：</w:t>
      </w:r>
      <w:r>
        <w:rPr>
          <w:rFonts w:hint="eastAsia" w:ascii="仿宋" w:hAnsi="仿宋" w:eastAsia="仿宋"/>
          <w:b w:val="0"/>
          <w:color w:val="auto"/>
          <w:kern w:val="2"/>
          <w:sz w:val="24"/>
          <w:szCs w:val="24"/>
          <w:lang w:val="en-US"/>
        </w:rPr>
        <w:t>成都市交通运输综合行政执法总队劳务外包服务采购项目</w:t>
      </w:r>
    </w:p>
    <w:p>
      <w:pPr>
        <w:numPr>
          <w:ilvl w:val="0"/>
          <w:numId w:val="22"/>
        </w:numPr>
        <w:snapToGrid/>
        <w:spacing w:line="470" w:lineRule="exact"/>
        <w:ind w:left="0" w:firstLine="482"/>
        <w:rPr>
          <w:rFonts w:hint="eastAsia" w:ascii="仿宋" w:hAnsi="仿宋" w:eastAsia="仿宋"/>
          <w:b w:val="0"/>
          <w:color w:val="auto"/>
          <w:kern w:val="2"/>
          <w:sz w:val="24"/>
          <w:szCs w:val="24"/>
          <w:lang w:val="en-US"/>
        </w:rPr>
      </w:pPr>
      <w:r>
        <w:rPr>
          <w:rFonts w:ascii="仿宋" w:hAnsi="仿宋" w:eastAsia="仿宋"/>
          <w:color w:val="auto"/>
          <w:kern w:val="2"/>
          <w:sz w:val="24"/>
          <w:szCs w:val="24"/>
          <w:lang w:val="en-US"/>
        </w:rPr>
        <w:t>资金来源：</w:t>
      </w:r>
      <w:r>
        <w:rPr>
          <w:rFonts w:ascii="仿宋" w:hAnsi="仿宋" w:eastAsia="仿宋"/>
          <w:b w:val="0"/>
          <w:color w:val="auto"/>
          <w:kern w:val="2"/>
          <w:sz w:val="24"/>
          <w:szCs w:val="24"/>
          <w:lang w:val="en-US"/>
        </w:rPr>
        <w:t>财政性资金，已落实。</w:t>
      </w:r>
    </w:p>
    <w:p>
      <w:pPr>
        <w:numPr>
          <w:ilvl w:val="0"/>
          <w:numId w:val="22"/>
        </w:numPr>
        <w:snapToGrid/>
        <w:spacing w:line="470" w:lineRule="exact"/>
        <w:ind w:left="0" w:firstLine="482"/>
        <w:rPr>
          <w:rFonts w:ascii="仿宋" w:hAnsi="仿宋" w:eastAsia="仿宋"/>
          <w:color w:val="auto"/>
          <w:kern w:val="2"/>
          <w:sz w:val="24"/>
          <w:szCs w:val="24"/>
          <w:lang w:val="en-US"/>
        </w:rPr>
      </w:pPr>
      <w:r>
        <w:rPr>
          <w:rFonts w:hint="eastAsia" w:ascii="仿宋" w:hAnsi="仿宋" w:eastAsia="仿宋"/>
          <w:color w:val="auto"/>
          <w:kern w:val="2"/>
          <w:sz w:val="24"/>
          <w:szCs w:val="24"/>
          <w:lang w:val="en-US"/>
        </w:rPr>
        <w:t>采购项目简介</w:t>
      </w:r>
      <w:r>
        <w:rPr>
          <w:rFonts w:ascii="仿宋" w:hAnsi="仿宋" w:eastAsia="仿宋"/>
          <w:color w:val="auto"/>
          <w:kern w:val="2"/>
          <w:sz w:val="24"/>
          <w:szCs w:val="24"/>
          <w:lang w:val="en-US"/>
        </w:rPr>
        <w:t>：</w:t>
      </w:r>
    </w:p>
    <w:p>
      <w:pPr>
        <w:tabs>
          <w:tab w:val="left" w:pos="1134"/>
        </w:tabs>
        <w:snapToGrid/>
        <w:spacing w:line="470" w:lineRule="exact"/>
        <w:ind w:firstLine="480"/>
        <w:jc w:val="left"/>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本项目采购内容为</w:t>
      </w:r>
      <w:r>
        <w:rPr>
          <w:rFonts w:hint="eastAsia" w:ascii="仿宋" w:hAnsi="仿宋" w:eastAsia="仿宋"/>
          <w:b w:val="0"/>
          <w:color w:val="auto"/>
          <w:kern w:val="2"/>
          <w:sz w:val="24"/>
          <w:szCs w:val="24"/>
          <w:u w:val="single"/>
          <w:lang w:val="en-US"/>
        </w:rPr>
        <w:t>成都市交通运输综合行政执法总队劳务外包服务采购</w:t>
      </w:r>
      <w:r>
        <w:rPr>
          <w:rFonts w:ascii="仿宋" w:hAnsi="仿宋" w:eastAsia="仿宋"/>
          <w:b w:val="0"/>
          <w:color w:val="auto"/>
          <w:kern w:val="2"/>
          <w:sz w:val="24"/>
          <w:szCs w:val="24"/>
          <w:lang w:val="en-US"/>
        </w:rPr>
        <w:t>，详细的技术、商务要求见第6章。</w:t>
      </w:r>
    </w:p>
    <w:p>
      <w:pPr>
        <w:tabs>
          <w:tab w:val="left" w:pos="1134"/>
        </w:tabs>
        <w:snapToGrid/>
        <w:spacing w:line="470" w:lineRule="exact"/>
        <w:ind w:firstLine="480"/>
        <w:jc w:val="left"/>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凡购买招标文件的供应商，对招标内容进行投标的，必须制作投标文件和开标一览表，并响应招标文件的要求。</w:t>
      </w:r>
    </w:p>
    <w:p>
      <w:pPr>
        <w:numPr>
          <w:ilvl w:val="0"/>
          <w:numId w:val="22"/>
        </w:numPr>
        <w:snapToGrid/>
        <w:spacing w:line="470" w:lineRule="exact"/>
        <w:ind w:left="0" w:firstLine="482"/>
        <w:rPr>
          <w:rFonts w:hint="eastAsia" w:ascii="仿宋" w:hAnsi="仿宋" w:eastAsia="仿宋"/>
          <w:color w:val="auto"/>
          <w:kern w:val="2"/>
          <w:sz w:val="24"/>
          <w:szCs w:val="24"/>
          <w:lang w:val="en-US"/>
        </w:rPr>
      </w:pPr>
      <w:r>
        <w:rPr>
          <w:rFonts w:hint="eastAsia" w:ascii="仿宋" w:hAnsi="仿宋" w:eastAsia="仿宋"/>
          <w:color w:val="auto"/>
          <w:kern w:val="2"/>
          <w:sz w:val="24"/>
          <w:szCs w:val="24"/>
          <w:lang w:val="en-US"/>
        </w:rPr>
        <w:t>定向采购情况</w:t>
      </w:r>
      <w:r>
        <w:rPr>
          <w:rFonts w:ascii="仿宋" w:hAnsi="仿宋" w:eastAsia="仿宋"/>
          <w:color w:val="auto"/>
          <w:kern w:val="2"/>
          <w:sz w:val="24"/>
          <w:szCs w:val="24"/>
          <w:lang w:val="en-US"/>
        </w:rPr>
        <w:t>：</w:t>
      </w:r>
    </w:p>
    <w:p>
      <w:pPr>
        <w:snapToGrid/>
        <w:spacing w:line="470" w:lineRule="exact"/>
        <w:ind w:left="482" w:firstLine="0" w:firstLineChars="0"/>
        <w:rPr>
          <w:rFonts w:ascii="仿宋" w:hAnsi="仿宋" w:eastAsia="仿宋"/>
          <w:b w:val="0"/>
          <w:color w:val="auto"/>
          <w:kern w:val="2"/>
          <w:sz w:val="24"/>
          <w:szCs w:val="24"/>
          <w:lang w:val="en-US"/>
        </w:rPr>
      </w:pPr>
      <w:r>
        <w:rPr>
          <w:rFonts w:hint="eastAsia" w:ascii="仿宋" w:hAnsi="仿宋" w:eastAsia="仿宋"/>
          <w:b w:val="0"/>
          <w:color w:val="auto"/>
          <w:kern w:val="2"/>
          <w:sz w:val="24"/>
          <w:szCs w:val="24"/>
          <w:lang w:val="en-US"/>
        </w:rPr>
        <w:t>本项目不专门</w:t>
      </w:r>
      <w:r>
        <w:rPr>
          <w:rFonts w:ascii="仿宋" w:hAnsi="仿宋" w:eastAsia="仿宋"/>
          <w:b w:val="0"/>
          <w:color w:val="auto"/>
          <w:kern w:val="2"/>
          <w:sz w:val="24"/>
          <w:szCs w:val="24"/>
          <w:lang w:val="en-US"/>
        </w:rPr>
        <w:t>面向中小企业采购。</w:t>
      </w:r>
    </w:p>
    <w:p>
      <w:pPr>
        <w:numPr>
          <w:ilvl w:val="0"/>
          <w:numId w:val="22"/>
        </w:numPr>
        <w:snapToGrid/>
        <w:spacing w:line="470" w:lineRule="exact"/>
        <w:ind w:left="0" w:firstLine="482"/>
        <w:rPr>
          <w:rFonts w:ascii="仿宋" w:hAnsi="仿宋" w:eastAsia="仿宋"/>
          <w:color w:val="auto"/>
          <w:kern w:val="2"/>
          <w:sz w:val="24"/>
          <w:szCs w:val="24"/>
          <w:lang w:val="en-US"/>
        </w:rPr>
      </w:pPr>
      <w:r>
        <w:rPr>
          <w:rFonts w:ascii="仿宋" w:hAnsi="仿宋" w:eastAsia="仿宋"/>
          <w:color w:val="auto"/>
          <w:kern w:val="2"/>
          <w:sz w:val="24"/>
          <w:szCs w:val="24"/>
          <w:lang w:val="en-US"/>
        </w:rPr>
        <w:t>供应商应具备的资格条件：</w:t>
      </w:r>
    </w:p>
    <w:p>
      <w:pPr>
        <w:tabs>
          <w:tab w:val="left" w:pos="1134"/>
        </w:tabs>
        <w:snapToGrid/>
        <w:spacing w:line="470" w:lineRule="exact"/>
        <w:ind w:firstLine="360" w:firstLineChars="150"/>
        <w:jc w:val="left"/>
        <w:rPr>
          <w:rFonts w:ascii="仿宋" w:hAnsi="仿宋" w:eastAsia="仿宋"/>
          <w:b w:val="0"/>
          <w:color w:val="auto"/>
          <w:kern w:val="2"/>
          <w:sz w:val="24"/>
          <w:szCs w:val="24"/>
          <w:lang w:val="en-US"/>
        </w:rPr>
      </w:pPr>
      <w:r>
        <w:rPr>
          <w:rFonts w:hint="eastAsia" w:ascii="仿宋" w:hAnsi="仿宋" w:eastAsia="仿宋"/>
          <w:b w:val="0"/>
          <w:color w:val="auto"/>
          <w:kern w:val="2"/>
          <w:sz w:val="24"/>
          <w:szCs w:val="24"/>
          <w:lang w:val="en-US"/>
        </w:rPr>
        <w:t>（一）满足《中华人民共和国政府采购法》第二十二条规定：</w:t>
      </w:r>
    </w:p>
    <w:p>
      <w:pPr>
        <w:tabs>
          <w:tab w:val="left" w:pos="1134"/>
        </w:tabs>
        <w:snapToGrid/>
        <w:spacing w:line="470" w:lineRule="exact"/>
        <w:ind w:firstLine="480"/>
        <w:jc w:val="left"/>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1．具有独立承担民事责任的能力；</w:t>
      </w:r>
    </w:p>
    <w:p>
      <w:pPr>
        <w:tabs>
          <w:tab w:val="left" w:pos="1134"/>
        </w:tabs>
        <w:snapToGrid/>
        <w:spacing w:line="470" w:lineRule="exact"/>
        <w:ind w:firstLine="480"/>
        <w:jc w:val="left"/>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2．具有良好的商业信誉和健全的财务会计制度；</w:t>
      </w:r>
    </w:p>
    <w:p>
      <w:pPr>
        <w:tabs>
          <w:tab w:val="left" w:pos="1134"/>
        </w:tabs>
        <w:snapToGrid/>
        <w:spacing w:line="470" w:lineRule="exact"/>
        <w:ind w:firstLine="480"/>
        <w:jc w:val="left"/>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3．具有履行合同所必需的设备和专业技术能力；</w:t>
      </w:r>
    </w:p>
    <w:p>
      <w:pPr>
        <w:tabs>
          <w:tab w:val="left" w:pos="1134"/>
        </w:tabs>
        <w:snapToGrid/>
        <w:spacing w:line="470" w:lineRule="exact"/>
        <w:ind w:firstLine="480"/>
        <w:jc w:val="left"/>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4．具有依法缴纳税收和社会保障资金的良好记录；</w:t>
      </w:r>
    </w:p>
    <w:p>
      <w:pPr>
        <w:tabs>
          <w:tab w:val="left" w:pos="1134"/>
        </w:tabs>
        <w:snapToGrid/>
        <w:spacing w:line="470" w:lineRule="exact"/>
        <w:ind w:firstLine="480"/>
        <w:jc w:val="left"/>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5．参加本次政府采购活动前三年内，在经营活动中没有重大违法记录；</w:t>
      </w:r>
    </w:p>
    <w:p>
      <w:pPr>
        <w:tabs>
          <w:tab w:val="left" w:pos="1134"/>
        </w:tabs>
        <w:snapToGrid/>
        <w:spacing w:line="470" w:lineRule="exact"/>
        <w:ind w:firstLine="480"/>
        <w:jc w:val="left"/>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6．法律、行政法规规定的其他条件；</w:t>
      </w:r>
    </w:p>
    <w:p>
      <w:pPr>
        <w:tabs>
          <w:tab w:val="left" w:pos="1134"/>
        </w:tabs>
        <w:snapToGrid/>
        <w:spacing w:line="470" w:lineRule="exact"/>
        <w:ind w:firstLine="480"/>
        <w:jc w:val="left"/>
        <w:rPr>
          <w:rFonts w:hint="eastAsia" w:ascii="仿宋" w:hAnsi="仿宋" w:eastAsia="仿宋"/>
          <w:b w:val="0"/>
          <w:color w:val="auto"/>
          <w:kern w:val="2"/>
          <w:sz w:val="24"/>
          <w:szCs w:val="24"/>
          <w:lang w:val="en-US"/>
        </w:rPr>
      </w:pPr>
      <w:r>
        <w:rPr>
          <w:rFonts w:ascii="仿宋" w:hAnsi="仿宋" w:eastAsia="仿宋"/>
          <w:b w:val="0"/>
          <w:color w:val="auto"/>
          <w:kern w:val="2"/>
          <w:sz w:val="24"/>
          <w:szCs w:val="24"/>
          <w:lang w:val="en-US"/>
        </w:rPr>
        <w:t>7．采购人根据采购项目提出的特殊条件：</w:t>
      </w:r>
      <w:r>
        <w:rPr>
          <w:rFonts w:hint="eastAsia" w:ascii="仿宋" w:hAnsi="仿宋" w:eastAsia="仿宋"/>
          <w:b w:val="0"/>
          <w:color w:val="auto"/>
          <w:kern w:val="2"/>
          <w:sz w:val="24"/>
          <w:szCs w:val="24"/>
          <w:lang w:val="en-US"/>
        </w:rPr>
        <w:t>投标人须具备有效的《劳务派遣经营许可证》。</w:t>
      </w:r>
    </w:p>
    <w:p>
      <w:pPr>
        <w:tabs>
          <w:tab w:val="left" w:pos="1134"/>
        </w:tabs>
        <w:snapToGrid/>
        <w:spacing w:line="470" w:lineRule="exact"/>
        <w:ind w:firstLine="480"/>
        <w:jc w:val="left"/>
        <w:rPr>
          <w:rFonts w:hint="eastAsia" w:ascii="仿宋" w:hAnsi="仿宋" w:eastAsia="仿宋"/>
          <w:b w:val="0"/>
          <w:color w:val="auto"/>
          <w:kern w:val="2"/>
          <w:sz w:val="24"/>
          <w:szCs w:val="24"/>
          <w:lang w:val="en-US"/>
        </w:rPr>
      </w:pPr>
      <w:r>
        <w:rPr>
          <w:rFonts w:hint="eastAsia" w:ascii="仿宋" w:hAnsi="仿宋" w:eastAsia="仿宋"/>
          <w:b w:val="0"/>
          <w:color w:val="auto"/>
          <w:kern w:val="2"/>
          <w:sz w:val="24"/>
          <w:szCs w:val="24"/>
          <w:lang w:val="en-US"/>
        </w:rPr>
        <w:t>8</w:t>
      </w:r>
      <w:r>
        <w:rPr>
          <w:rFonts w:ascii="仿宋" w:hAnsi="仿宋" w:eastAsia="仿宋"/>
          <w:b w:val="0"/>
          <w:color w:val="auto"/>
          <w:kern w:val="2"/>
          <w:sz w:val="24"/>
          <w:szCs w:val="24"/>
          <w:lang w:val="en-US"/>
        </w:rPr>
        <w:t>．</w:t>
      </w:r>
      <w:r>
        <w:rPr>
          <w:rFonts w:hint="eastAsia" w:ascii="仿宋" w:hAnsi="仿宋" w:eastAsia="仿宋"/>
          <w:b w:val="0"/>
          <w:color w:val="auto"/>
          <w:kern w:val="2"/>
          <w:sz w:val="24"/>
          <w:szCs w:val="24"/>
          <w:lang w:val="en-US"/>
        </w:rPr>
        <w:t>按照规定获取了招标文件。</w:t>
      </w:r>
    </w:p>
    <w:p>
      <w:pPr>
        <w:tabs>
          <w:tab w:val="left" w:pos="1134"/>
        </w:tabs>
        <w:snapToGrid/>
        <w:spacing w:line="470" w:lineRule="exact"/>
        <w:ind w:firstLine="480"/>
        <w:jc w:val="left"/>
        <w:rPr>
          <w:rFonts w:ascii="仿宋" w:hAnsi="仿宋" w:eastAsia="仿宋"/>
          <w:b w:val="0"/>
          <w:color w:val="auto"/>
          <w:kern w:val="2"/>
          <w:sz w:val="24"/>
          <w:szCs w:val="24"/>
          <w:lang w:val="en-US"/>
        </w:rPr>
      </w:pPr>
      <w:r>
        <w:rPr>
          <w:rFonts w:hint="eastAsia" w:ascii="仿宋" w:hAnsi="仿宋" w:eastAsia="仿宋"/>
          <w:b w:val="0"/>
          <w:color w:val="auto"/>
          <w:kern w:val="2"/>
          <w:sz w:val="24"/>
          <w:szCs w:val="24"/>
          <w:lang w:val="en-US"/>
        </w:rPr>
        <w:t>9</w:t>
      </w:r>
      <w:r>
        <w:rPr>
          <w:rFonts w:ascii="仿宋" w:hAnsi="仿宋" w:eastAsia="仿宋"/>
          <w:b w:val="0"/>
          <w:color w:val="auto"/>
          <w:kern w:val="2"/>
          <w:sz w:val="24"/>
          <w:szCs w:val="24"/>
          <w:lang w:val="en-US"/>
        </w:rPr>
        <w:t>．</w:t>
      </w:r>
      <w:r>
        <w:rPr>
          <w:rFonts w:hint="eastAsia" w:ascii="仿宋" w:hAnsi="仿宋" w:eastAsia="仿宋"/>
          <w:b w:val="0"/>
          <w:color w:val="auto"/>
          <w:kern w:val="2"/>
          <w:sz w:val="24"/>
          <w:szCs w:val="24"/>
          <w:lang w:val="en-US"/>
        </w:rPr>
        <w:t>本项目不允许联合体参加。</w:t>
      </w:r>
    </w:p>
    <w:p>
      <w:pPr>
        <w:tabs>
          <w:tab w:val="left" w:pos="1134"/>
        </w:tabs>
        <w:snapToGrid/>
        <w:spacing w:line="470" w:lineRule="exact"/>
        <w:ind w:firstLine="360" w:firstLineChars="150"/>
        <w:jc w:val="left"/>
        <w:rPr>
          <w:rFonts w:hint="eastAsia" w:ascii="仿宋" w:hAnsi="仿宋" w:eastAsia="仿宋"/>
          <w:b w:val="0"/>
          <w:bCs/>
          <w:color w:val="auto"/>
          <w:kern w:val="2"/>
          <w:sz w:val="24"/>
          <w:szCs w:val="24"/>
          <w:lang w:val="en-US"/>
        </w:rPr>
      </w:pPr>
      <w:r>
        <w:rPr>
          <w:rFonts w:hint="eastAsia" w:ascii="仿宋" w:hAnsi="仿宋" w:eastAsia="仿宋"/>
          <w:b w:val="0"/>
          <w:color w:val="auto"/>
          <w:kern w:val="2"/>
          <w:sz w:val="24"/>
          <w:szCs w:val="24"/>
          <w:lang w:val="en-US"/>
        </w:rPr>
        <w:t>（二）落实政府采购政策需满足的资格要求：本项目不属于专门面向中小企业采购的项目。</w:t>
      </w:r>
    </w:p>
    <w:p>
      <w:pPr>
        <w:snapToGrid/>
        <w:spacing w:line="470" w:lineRule="exact"/>
        <w:ind w:firstLine="482"/>
        <w:rPr>
          <w:rFonts w:ascii="仿宋" w:hAnsi="仿宋" w:eastAsia="仿宋"/>
          <w:color w:val="auto"/>
          <w:kern w:val="2"/>
          <w:sz w:val="24"/>
          <w:szCs w:val="24"/>
          <w:lang w:val="en-US"/>
        </w:rPr>
      </w:pPr>
      <w:r>
        <w:rPr>
          <w:rFonts w:ascii="仿宋" w:hAnsi="仿宋" w:eastAsia="仿宋"/>
          <w:color w:val="auto"/>
          <w:kern w:val="2"/>
          <w:sz w:val="24"/>
          <w:szCs w:val="24"/>
          <w:lang w:val="en-US"/>
        </w:rPr>
        <w:t>资格条件要求详见本文件第4章，资格条件证明材料详见本文件第5章。</w:t>
      </w:r>
    </w:p>
    <w:p>
      <w:pPr>
        <w:numPr>
          <w:ilvl w:val="0"/>
          <w:numId w:val="22"/>
        </w:numPr>
        <w:snapToGrid/>
        <w:spacing w:line="470" w:lineRule="exact"/>
        <w:ind w:firstLineChars="0"/>
        <w:rPr>
          <w:rFonts w:hint="eastAsia" w:ascii="仿宋" w:hAnsi="仿宋" w:eastAsia="仿宋"/>
          <w:color w:val="auto"/>
          <w:kern w:val="2"/>
          <w:sz w:val="24"/>
          <w:szCs w:val="24"/>
          <w:lang w:val="en-US"/>
        </w:rPr>
      </w:pPr>
      <w:r>
        <w:rPr>
          <w:rFonts w:ascii="仿宋" w:hAnsi="仿宋" w:eastAsia="仿宋"/>
          <w:color w:val="auto"/>
          <w:kern w:val="2"/>
          <w:sz w:val="24"/>
          <w:szCs w:val="24"/>
          <w:lang w:val="en-US"/>
        </w:rPr>
        <w:t>禁止参加本次采购活动的供应商</w:t>
      </w:r>
    </w:p>
    <w:p>
      <w:pPr>
        <w:tabs>
          <w:tab w:val="left" w:pos="1134"/>
        </w:tabs>
        <w:snapToGrid/>
        <w:spacing w:line="470" w:lineRule="exact"/>
        <w:ind w:firstLine="480"/>
        <w:jc w:val="left"/>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根据《关于在政府采购活动中查询及使用信用记录有关问题的通知》（财库〔2016〕125号）的要求，采购代理机构将通过“信用中国”网站（www.creditchina.gov.cn）、“中国政府采购网”网站（www.ccgp.gov.cn）等渠道查询供应商在开标当日之前的信用信息记录并保存信用记录结果网页截图，拒绝列入失信被执行人、重大税收违法案件当事人名单、政府采购严重违法失信行为记录名单及其他不符合《中华人民共和国政府采购法》第二十二条规定条件的供应商参加本项目的采购活动。</w:t>
      </w:r>
    </w:p>
    <w:p>
      <w:pPr>
        <w:numPr>
          <w:ilvl w:val="0"/>
          <w:numId w:val="22"/>
        </w:numPr>
        <w:snapToGrid/>
        <w:spacing w:line="470" w:lineRule="exact"/>
        <w:ind w:left="0" w:firstLine="482"/>
        <w:rPr>
          <w:rFonts w:ascii="仿宋" w:hAnsi="仿宋" w:eastAsia="仿宋"/>
          <w:color w:val="auto"/>
          <w:kern w:val="2"/>
          <w:sz w:val="24"/>
          <w:szCs w:val="24"/>
          <w:lang w:val="en-US"/>
        </w:rPr>
      </w:pPr>
      <w:r>
        <w:rPr>
          <w:rFonts w:ascii="仿宋" w:hAnsi="仿宋" w:eastAsia="仿宋"/>
          <w:color w:val="auto"/>
          <w:kern w:val="2"/>
          <w:sz w:val="24"/>
          <w:szCs w:val="24"/>
          <w:lang w:val="en-US"/>
        </w:rPr>
        <w:t>招标文件</w:t>
      </w:r>
      <w:r>
        <w:rPr>
          <w:rFonts w:hint="eastAsia" w:ascii="仿宋" w:hAnsi="仿宋" w:eastAsia="仿宋"/>
          <w:color w:val="auto"/>
          <w:kern w:val="2"/>
          <w:sz w:val="24"/>
          <w:szCs w:val="24"/>
          <w:lang w:val="en-US"/>
        </w:rPr>
        <w:t>获取</w:t>
      </w:r>
      <w:r>
        <w:rPr>
          <w:rFonts w:ascii="仿宋" w:hAnsi="仿宋" w:eastAsia="仿宋"/>
          <w:color w:val="auto"/>
          <w:kern w:val="2"/>
          <w:sz w:val="24"/>
          <w:szCs w:val="24"/>
          <w:lang w:val="en-US"/>
        </w:rPr>
        <w:t>时间</w:t>
      </w:r>
      <w:r>
        <w:rPr>
          <w:rFonts w:hint="eastAsia" w:ascii="仿宋" w:hAnsi="仿宋" w:eastAsia="仿宋"/>
          <w:color w:val="auto"/>
          <w:kern w:val="2"/>
          <w:sz w:val="24"/>
          <w:szCs w:val="24"/>
          <w:lang w:val="en-US"/>
        </w:rPr>
        <w:t>、</w:t>
      </w:r>
      <w:r>
        <w:rPr>
          <w:rFonts w:ascii="仿宋" w:hAnsi="仿宋" w:eastAsia="仿宋"/>
          <w:color w:val="auto"/>
          <w:kern w:val="2"/>
          <w:sz w:val="24"/>
          <w:szCs w:val="24"/>
          <w:lang w:val="en-US"/>
        </w:rPr>
        <w:t>地点</w:t>
      </w:r>
      <w:r>
        <w:rPr>
          <w:rFonts w:hint="eastAsia" w:ascii="仿宋" w:hAnsi="仿宋" w:eastAsia="仿宋"/>
          <w:color w:val="auto"/>
          <w:kern w:val="2"/>
          <w:sz w:val="24"/>
          <w:szCs w:val="24"/>
          <w:lang w:val="en-US"/>
        </w:rPr>
        <w:t>、方式</w:t>
      </w:r>
    </w:p>
    <w:p>
      <w:pPr>
        <w:tabs>
          <w:tab w:val="left" w:pos="1080"/>
        </w:tabs>
        <w:snapToGrid/>
        <w:spacing w:line="470" w:lineRule="exact"/>
        <w:ind w:firstLine="480"/>
        <w:rPr>
          <w:rFonts w:hint="eastAsia" w:ascii="仿宋" w:hAnsi="仿宋" w:eastAsia="仿宋"/>
          <w:b w:val="0"/>
          <w:color w:val="auto"/>
          <w:kern w:val="2"/>
          <w:sz w:val="24"/>
          <w:szCs w:val="24"/>
          <w:lang w:val="en-US"/>
        </w:rPr>
      </w:pPr>
      <w:r>
        <w:rPr>
          <w:rFonts w:ascii="仿宋" w:hAnsi="仿宋" w:eastAsia="仿宋"/>
          <w:b w:val="0"/>
          <w:color w:val="auto"/>
          <w:kern w:val="2"/>
          <w:sz w:val="24"/>
          <w:szCs w:val="24"/>
          <w:lang w:val="en-US"/>
        </w:rPr>
        <w:t>招标文件</w:t>
      </w:r>
      <w:r>
        <w:rPr>
          <w:rFonts w:hint="eastAsia" w:ascii="仿宋" w:hAnsi="仿宋" w:eastAsia="仿宋"/>
          <w:b w:val="0"/>
          <w:color w:val="auto"/>
          <w:kern w:val="2"/>
          <w:sz w:val="24"/>
          <w:szCs w:val="24"/>
          <w:lang w:val="en-US"/>
        </w:rPr>
        <w:t>获取</w:t>
      </w:r>
      <w:r>
        <w:rPr>
          <w:rFonts w:ascii="仿宋" w:hAnsi="仿宋" w:eastAsia="仿宋"/>
          <w:b w:val="0"/>
          <w:color w:val="auto"/>
          <w:kern w:val="2"/>
          <w:sz w:val="24"/>
          <w:szCs w:val="24"/>
          <w:lang w:val="en-US"/>
        </w:rPr>
        <w:t>时间：自202</w:t>
      </w:r>
      <w:r>
        <w:rPr>
          <w:rFonts w:hint="eastAsia" w:ascii="仿宋" w:hAnsi="仿宋" w:eastAsia="仿宋"/>
          <w:b w:val="0"/>
          <w:color w:val="auto"/>
          <w:kern w:val="2"/>
          <w:sz w:val="24"/>
          <w:szCs w:val="24"/>
          <w:u w:val="single"/>
          <w:lang w:val="en-US"/>
        </w:rPr>
        <w:t>1</w:t>
      </w:r>
      <w:r>
        <w:rPr>
          <w:rFonts w:ascii="仿宋" w:hAnsi="仿宋" w:eastAsia="仿宋"/>
          <w:b w:val="0"/>
          <w:color w:val="auto"/>
          <w:kern w:val="2"/>
          <w:sz w:val="24"/>
          <w:szCs w:val="24"/>
          <w:lang w:val="en-US"/>
        </w:rPr>
        <w:t>年</w:t>
      </w:r>
      <w:r>
        <w:rPr>
          <w:rFonts w:hint="eastAsia" w:ascii="仿宋" w:hAnsi="仿宋" w:eastAsia="仿宋"/>
          <w:b w:val="0"/>
          <w:color w:val="auto"/>
          <w:kern w:val="2"/>
          <w:sz w:val="24"/>
          <w:szCs w:val="24"/>
          <w:u w:val="single"/>
          <w:lang w:val="en-US" w:eastAsia="zh-CN"/>
        </w:rPr>
        <w:t>8</w:t>
      </w:r>
      <w:r>
        <w:rPr>
          <w:rFonts w:ascii="仿宋" w:hAnsi="仿宋" w:eastAsia="仿宋"/>
          <w:b w:val="0"/>
          <w:color w:val="auto"/>
          <w:kern w:val="2"/>
          <w:sz w:val="24"/>
          <w:szCs w:val="24"/>
          <w:lang w:val="en-US"/>
        </w:rPr>
        <w:t>月</w:t>
      </w:r>
      <w:r>
        <w:rPr>
          <w:rFonts w:hint="eastAsia" w:ascii="仿宋" w:hAnsi="仿宋" w:eastAsia="仿宋"/>
          <w:b w:val="0"/>
          <w:color w:val="auto"/>
          <w:kern w:val="2"/>
          <w:sz w:val="24"/>
          <w:szCs w:val="24"/>
          <w:u w:val="single"/>
          <w:lang w:val="en-US" w:eastAsia="zh-CN"/>
        </w:rPr>
        <w:t>4</w:t>
      </w:r>
      <w:r>
        <w:rPr>
          <w:rFonts w:ascii="仿宋" w:hAnsi="仿宋" w:eastAsia="仿宋"/>
          <w:b w:val="0"/>
          <w:color w:val="auto"/>
          <w:kern w:val="2"/>
          <w:sz w:val="24"/>
          <w:szCs w:val="24"/>
          <w:lang w:val="en-US"/>
        </w:rPr>
        <w:t>日至202</w:t>
      </w:r>
      <w:r>
        <w:rPr>
          <w:rFonts w:hint="eastAsia" w:ascii="仿宋" w:hAnsi="仿宋" w:eastAsia="仿宋"/>
          <w:b w:val="0"/>
          <w:color w:val="auto"/>
          <w:kern w:val="2"/>
          <w:sz w:val="24"/>
          <w:szCs w:val="24"/>
          <w:u w:val="single"/>
          <w:lang w:val="en-US"/>
        </w:rPr>
        <w:t>1</w:t>
      </w:r>
      <w:r>
        <w:rPr>
          <w:rFonts w:ascii="仿宋" w:hAnsi="仿宋" w:eastAsia="仿宋"/>
          <w:b w:val="0"/>
          <w:color w:val="auto"/>
          <w:kern w:val="2"/>
          <w:sz w:val="24"/>
          <w:szCs w:val="24"/>
          <w:lang w:val="en-US"/>
        </w:rPr>
        <w:t>年</w:t>
      </w:r>
      <w:r>
        <w:rPr>
          <w:rFonts w:hint="eastAsia" w:ascii="仿宋" w:hAnsi="仿宋" w:eastAsia="仿宋"/>
          <w:b w:val="0"/>
          <w:color w:val="auto"/>
          <w:kern w:val="2"/>
          <w:sz w:val="24"/>
          <w:szCs w:val="24"/>
          <w:u w:val="single"/>
          <w:lang w:val="en-US" w:eastAsia="zh-CN"/>
        </w:rPr>
        <w:t>8</w:t>
      </w:r>
      <w:r>
        <w:rPr>
          <w:rFonts w:ascii="仿宋" w:hAnsi="仿宋" w:eastAsia="仿宋"/>
          <w:b w:val="0"/>
          <w:color w:val="auto"/>
          <w:kern w:val="2"/>
          <w:sz w:val="24"/>
          <w:szCs w:val="24"/>
          <w:lang w:val="en-US"/>
        </w:rPr>
        <w:t>月</w:t>
      </w:r>
      <w:r>
        <w:rPr>
          <w:rFonts w:hint="eastAsia" w:ascii="仿宋" w:hAnsi="仿宋" w:eastAsia="仿宋"/>
          <w:b w:val="0"/>
          <w:color w:val="auto"/>
          <w:kern w:val="2"/>
          <w:sz w:val="24"/>
          <w:szCs w:val="24"/>
          <w:u w:val="single"/>
          <w:lang w:val="en-US" w:eastAsia="zh-CN"/>
        </w:rPr>
        <w:t>10</w:t>
      </w:r>
      <w:r>
        <w:rPr>
          <w:rFonts w:ascii="仿宋" w:hAnsi="仿宋" w:eastAsia="仿宋"/>
          <w:b w:val="0"/>
          <w:color w:val="auto"/>
          <w:kern w:val="2"/>
          <w:sz w:val="24"/>
          <w:szCs w:val="24"/>
          <w:lang w:val="en-US"/>
        </w:rPr>
        <w:t>日</w:t>
      </w:r>
      <w:r>
        <w:rPr>
          <w:rFonts w:hint="eastAsia" w:ascii="仿宋" w:hAnsi="仿宋" w:eastAsia="仿宋"/>
          <w:b w:val="0"/>
          <w:color w:val="auto"/>
          <w:kern w:val="2"/>
          <w:sz w:val="24"/>
          <w:szCs w:val="24"/>
          <w:lang w:val="en-US"/>
        </w:rPr>
        <w:t>，每天上午9:00至12:00，下午14:00至17:00（北京时间，法定节假日除外）在成都市高新区吉泰五路</w:t>
      </w:r>
      <w:r>
        <w:rPr>
          <w:rFonts w:ascii="仿宋" w:hAnsi="仿宋" w:eastAsia="仿宋"/>
          <w:b w:val="0"/>
          <w:color w:val="auto"/>
          <w:kern w:val="2"/>
          <w:sz w:val="24"/>
          <w:szCs w:val="24"/>
          <w:lang w:val="en-US"/>
        </w:rPr>
        <w:t>88号3栋7层1号（花样年</w:t>
      </w:r>
      <w:r>
        <w:rPr>
          <w:rFonts w:hint="eastAsia" w:cs="宋体"/>
          <w:b w:val="0"/>
          <w:color w:val="auto"/>
          <w:kern w:val="2"/>
          <w:sz w:val="24"/>
          <w:szCs w:val="24"/>
          <w:lang w:val="en-US"/>
        </w:rPr>
        <w:t>•</w:t>
      </w:r>
      <w:r>
        <w:rPr>
          <w:rFonts w:ascii="仿宋" w:hAnsi="仿宋" w:eastAsia="仿宋"/>
          <w:b w:val="0"/>
          <w:color w:val="auto"/>
          <w:kern w:val="2"/>
          <w:sz w:val="24"/>
          <w:szCs w:val="24"/>
          <w:lang w:val="en-US"/>
        </w:rPr>
        <w:t>香年广场）获取。</w:t>
      </w:r>
    </w:p>
    <w:p>
      <w:pPr>
        <w:tabs>
          <w:tab w:val="left" w:pos="1080"/>
        </w:tabs>
        <w:snapToGrid/>
        <w:spacing w:line="470" w:lineRule="exact"/>
        <w:ind w:firstLine="480"/>
        <w:rPr>
          <w:rFonts w:ascii="仿宋" w:hAnsi="仿宋" w:eastAsia="仿宋"/>
          <w:b w:val="0"/>
          <w:color w:val="auto"/>
          <w:kern w:val="2"/>
          <w:sz w:val="24"/>
          <w:szCs w:val="24"/>
          <w:lang w:val="en-US"/>
        </w:rPr>
      </w:pPr>
      <w:r>
        <w:rPr>
          <w:rFonts w:hint="eastAsia" w:ascii="仿宋" w:hAnsi="仿宋" w:eastAsia="仿宋"/>
          <w:b w:val="0"/>
          <w:color w:val="auto"/>
          <w:kern w:val="2"/>
          <w:sz w:val="24"/>
          <w:szCs w:val="24"/>
          <w:lang w:val="en-US"/>
        </w:rPr>
        <w:t>报名方式：现场报名或通过邮件方式报名。</w:t>
      </w:r>
    </w:p>
    <w:p>
      <w:pPr>
        <w:tabs>
          <w:tab w:val="left" w:pos="1080"/>
        </w:tabs>
        <w:snapToGrid/>
        <w:spacing w:line="470" w:lineRule="exact"/>
        <w:ind w:firstLine="480"/>
        <w:rPr>
          <w:rFonts w:hint="eastAsia" w:ascii="仿宋" w:hAnsi="仿宋" w:eastAsia="仿宋"/>
          <w:b w:val="0"/>
          <w:color w:val="auto"/>
          <w:kern w:val="2"/>
          <w:sz w:val="24"/>
          <w:szCs w:val="24"/>
          <w:lang w:val="en-US"/>
        </w:rPr>
      </w:pPr>
      <w:r>
        <w:rPr>
          <w:rFonts w:hint="eastAsia" w:ascii="仿宋" w:hAnsi="仿宋" w:eastAsia="仿宋"/>
          <w:b w:val="0"/>
          <w:color w:val="auto"/>
          <w:kern w:val="2"/>
          <w:sz w:val="24"/>
          <w:szCs w:val="24"/>
          <w:lang w:val="en-US"/>
        </w:rPr>
        <w:t>本项目提供电子版招标文件，无偿获取</w:t>
      </w:r>
      <w:r>
        <w:rPr>
          <w:rFonts w:ascii="仿宋" w:hAnsi="仿宋" w:eastAsia="仿宋"/>
          <w:b w:val="0"/>
          <w:color w:val="auto"/>
          <w:kern w:val="2"/>
          <w:sz w:val="24"/>
          <w:szCs w:val="24"/>
          <w:lang w:val="en-US"/>
        </w:rPr>
        <w:t>（</w:t>
      </w:r>
      <w:r>
        <w:rPr>
          <w:rFonts w:hint="eastAsia" w:ascii="仿宋" w:hAnsi="仿宋" w:eastAsia="仿宋"/>
          <w:b w:val="0"/>
          <w:color w:val="auto"/>
          <w:kern w:val="2"/>
          <w:sz w:val="24"/>
          <w:szCs w:val="24"/>
          <w:lang w:val="en-US"/>
        </w:rPr>
        <w:t>通过四川省政府采购网自行下载）</w:t>
      </w:r>
      <w:r>
        <w:rPr>
          <w:rFonts w:ascii="仿宋" w:hAnsi="仿宋" w:eastAsia="仿宋"/>
          <w:b w:val="0"/>
          <w:color w:val="auto"/>
          <w:kern w:val="2"/>
          <w:sz w:val="24"/>
          <w:szCs w:val="24"/>
          <w:lang w:val="en-US"/>
        </w:rPr>
        <w:t>，投标资格不能转让。</w:t>
      </w:r>
      <w:r>
        <w:rPr>
          <w:rFonts w:hint="eastAsia" w:ascii="仿宋" w:hAnsi="仿宋" w:eastAsia="仿宋"/>
          <w:b w:val="0"/>
          <w:color w:val="auto"/>
          <w:kern w:val="2"/>
          <w:sz w:val="24"/>
          <w:szCs w:val="24"/>
          <w:lang w:val="en-US"/>
        </w:rPr>
        <w:t>现场报名时，经办人员当场提交以下资料</w:t>
      </w:r>
      <w:r>
        <w:rPr>
          <w:rFonts w:ascii="仿宋" w:hAnsi="仿宋" w:eastAsia="仿宋"/>
          <w:b w:val="0"/>
          <w:color w:val="auto"/>
          <w:kern w:val="2"/>
          <w:sz w:val="24"/>
          <w:szCs w:val="24"/>
          <w:lang w:val="en-US"/>
        </w:rPr>
        <w:t>：供应商为法人或者其他组织的，提供单位介绍信或委托书原件、经办人身份证复印件；供应商为自然人的，只需提供本人身份证复印件。</w:t>
      </w:r>
      <w:r>
        <w:rPr>
          <w:rFonts w:hint="eastAsia" w:ascii="仿宋" w:hAnsi="仿宋" w:eastAsia="仿宋"/>
          <w:b w:val="0"/>
          <w:color w:val="auto"/>
          <w:kern w:val="2"/>
          <w:sz w:val="24"/>
          <w:szCs w:val="24"/>
          <w:lang w:val="en-US"/>
        </w:rPr>
        <w:t>通过邮件方式报名时，请将获取招标文件须提供的资料、单位名称、联系人、联系方式、邮箱地址、所购采购采购项目名称及采购项目编号等信息传至采购代理机构。</w:t>
      </w:r>
    </w:p>
    <w:p>
      <w:pPr>
        <w:tabs>
          <w:tab w:val="left" w:pos="1080"/>
        </w:tabs>
        <w:snapToGrid/>
        <w:spacing w:line="470" w:lineRule="exact"/>
        <w:ind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供应商</w:t>
      </w:r>
      <w:r>
        <w:rPr>
          <w:rFonts w:hint="eastAsia" w:ascii="仿宋" w:hAnsi="仿宋" w:eastAsia="仿宋"/>
          <w:b w:val="0"/>
          <w:color w:val="auto"/>
          <w:kern w:val="2"/>
          <w:sz w:val="24"/>
          <w:szCs w:val="24"/>
          <w:lang w:val="en-US"/>
        </w:rPr>
        <w:t>获取</w:t>
      </w:r>
      <w:r>
        <w:rPr>
          <w:rFonts w:ascii="仿宋" w:hAnsi="仿宋" w:eastAsia="仿宋"/>
          <w:b w:val="0"/>
          <w:color w:val="auto"/>
          <w:kern w:val="2"/>
          <w:sz w:val="24"/>
          <w:szCs w:val="24"/>
          <w:lang w:val="en-US"/>
        </w:rPr>
        <w:t>招标文件时必须如实认真填写项目信息及供应商信息；若因供应商提供的错误信息，对自身投标事宜造成影响的，由供应商自行承担责任（供应商欲修改报名信息，请于投标截止日前到采购代理机构重新填写报名登记表）。</w:t>
      </w:r>
    </w:p>
    <w:p>
      <w:pPr>
        <w:numPr>
          <w:ilvl w:val="0"/>
          <w:numId w:val="22"/>
        </w:numPr>
        <w:snapToGrid/>
        <w:spacing w:line="470" w:lineRule="exact"/>
        <w:ind w:left="0" w:firstLine="482"/>
        <w:rPr>
          <w:rFonts w:ascii="仿宋" w:hAnsi="仿宋" w:eastAsia="仿宋"/>
          <w:b w:val="0"/>
          <w:color w:val="auto"/>
          <w:kern w:val="2"/>
          <w:sz w:val="24"/>
          <w:szCs w:val="24"/>
          <w:lang w:val="en-US"/>
        </w:rPr>
      </w:pPr>
      <w:r>
        <w:rPr>
          <w:rFonts w:ascii="仿宋" w:hAnsi="仿宋" w:eastAsia="仿宋"/>
          <w:color w:val="auto"/>
          <w:kern w:val="2"/>
          <w:sz w:val="24"/>
          <w:szCs w:val="24"/>
          <w:lang w:val="en-US"/>
        </w:rPr>
        <w:t>投标截止时间和开标时间：</w:t>
      </w:r>
      <w:r>
        <w:rPr>
          <w:rFonts w:ascii="仿宋" w:hAnsi="仿宋" w:eastAsia="仿宋"/>
          <w:b w:val="0"/>
          <w:color w:val="auto"/>
          <w:kern w:val="2"/>
          <w:sz w:val="24"/>
          <w:szCs w:val="24"/>
          <w:lang w:val="en-US"/>
        </w:rPr>
        <w:t>202</w:t>
      </w:r>
      <w:r>
        <w:rPr>
          <w:rFonts w:hint="eastAsia" w:ascii="仿宋" w:hAnsi="仿宋" w:eastAsia="仿宋"/>
          <w:b w:val="0"/>
          <w:color w:val="auto"/>
          <w:kern w:val="2"/>
          <w:sz w:val="24"/>
          <w:szCs w:val="24"/>
          <w:u w:val="single"/>
          <w:lang w:val="en-US"/>
        </w:rPr>
        <w:t>1</w:t>
      </w:r>
      <w:r>
        <w:rPr>
          <w:rFonts w:ascii="仿宋" w:hAnsi="仿宋" w:eastAsia="仿宋"/>
          <w:b w:val="0"/>
          <w:color w:val="auto"/>
          <w:kern w:val="2"/>
          <w:sz w:val="24"/>
          <w:szCs w:val="24"/>
          <w:lang w:val="en-US"/>
        </w:rPr>
        <w:t>年</w:t>
      </w:r>
      <w:r>
        <w:rPr>
          <w:rFonts w:hint="eastAsia" w:ascii="仿宋" w:hAnsi="仿宋" w:eastAsia="仿宋"/>
          <w:b w:val="0"/>
          <w:color w:val="auto"/>
          <w:kern w:val="2"/>
          <w:sz w:val="24"/>
          <w:szCs w:val="24"/>
          <w:u w:val="single"/>
          <w:lang w:val="en-US"/>
        </w:rPr>
        <w:t>8</w:t>
      </w:r>
      <w:r>
        <w:rPr>
          <w:rFonts w:ascii="仿宋" w:hAnsi="仿宋" w:eastAsia="仿宋"/>
          <w:b w:val="0"/>
          <w:color w:val="auto"/>
          <w:kern w:val="2"/>
          <w:sz w:val="24"/>
          <w:szCs w:val="24"/>
          <w:lang w:val="en-US"/>
        </w:rPr>
        <w:t>月</w:t>
      </w:r>
      <w:r>
        <w:rPr>
          <w:rFonts w:hint="eastAsia" w:ascii="仿宋" w:hAnsi="仿宋" w:eastAsia="仿宋"/>
          <w:b w:val="0"/>
          <w:color w:val="auto"/>
          <w:kern w:val="2"/>
          <w:sz w:val="24"/>
          <w:szCs w:val="24"/>
          <w:u w:val="single"/>
          <w:lang w:val="en-US" w:eastAsia="zh-CN"/>
        </w:rPr>
        <w:t>25</w:t>
      </w:r>
      <w:r>
        <w:rPr>
          <w:rFonts w:ascii="仿宋" w:hAnsi="仿宋" w:eastAsia="仿宋"/>
          <w:b w:val="0"/>
          <w:color w:val="auto"/>
          <w:kern w:val="2"/>
          <w:sz w:val="24"/>
          <w:szCs w:val="24"/>
          <w:lang w:val="en-US"/>
        </w:rPr>
        <w:t>日11:00（北京时间）。</w:t>
      </w:r>
    </w:p>
    <w:p>
      <w:pPr>
        <w:snapToGrid/>
        <w:spacing w:line="470" w:lineRule="exact"/>
        <w:ind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投标文件应在开标当日投标截止时间前送达开标地点，本次招标不接受邮寄方式递交的投标文件。</w:t>
      </w:r>
    </w:p>
    <w:p>
      <w:pPr>
        <w:snapToGrid/>
        <w:spacing w:line="470" w:lineRule="exact"/>
        <w:ind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请投标人按时参与本项目的开标，投标人未参加开标的，视同认可开标结果。</w:t>
      </w:r>
    </w:p>
    <w:p>
      <w:pPr>
        <w:numPr>
          <w:ilvl w:val="0"/>
          <w:numId w:val="22"/>
        </w:numPr>
        <w:snapToGrid/>
        <w:spacing w:line="470" w:lineRule="exact"/>
        <w:ind w:left="0" w:firstLine="482"/>
        <w:rPr>
          <w:rFonts w:ascii="仿宋" w:hAnsi="仿宋" w:eastAsia="仿宋"/>
          <w:color w:val="auto"/>
          <w:kern w:val="2"/>
          <w:sz w:val="24"/>
          <w:szCs w:val="24"/>
          <w:lang w:val="en-US"/>
        </w:rPr>
      </w:pPr>
      <w:r>
        <w:rPr>
          <w:rFonts w:ascii="仿宋" w:hAnsi="仿宋" w:eastAsia="仿宋"/>
          <w:color w:val="auto"/>
          <w:kern w:val="2"/>
          <w:sz w:val="24"/>
          <w:szCs w:val="24"/>
          <w:lang w:val="en-US"/>
        </w:rPr>
        <w:t>投标文件递交地点及开标地点：</w:t>
      </w:r>
    </w:p>
    <w:p>
      <w:pPr>
        <w:snapToGrid/>
        <w:spacing w:line="470" w:lineRule="exact"/>
        <w:ind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成都市高新区吉泰五路88号</w:t>
      </w:r>
      <w:r>
        <w:rPr>
          <w:rFonts w:hint="eastAsia" w:ascii="仿宋" w:hAnsi="仿宋" w:eastAsia="仿宋"/>
          <w:b w:val="0"/>
          <w:color w:val="auto"/>
          <w:kern w:val="2"/>
          <w:sz w:val="24"/>
          <w:szCs w:val="24"/>
          <w:lang w:val="en-US"/>
        </w:rPr>
        <w:t>（花样年</w:t>
      </w:r>
      <w:r>
        <w:rPr>
          <w:rFonts w:hint="eastAsia" w:cs="宋体"/>
          <w:b w:val="0"/>
          <w:color w:val="auto"/>
          <w:kern w:val="2"/>
          <w:sz w:val="24"/>
          <w:szCs w:val="24"/>
          <w:lang w:val="en-US"/>
        </w:rPr>
        <w:t>•</w:t>
      </w:r>
      <w:r>
        <w:rPr>
          <w:rFonts w:hint="eastAsia" w:ascii="仿宋" w:hAnsi="仿宋" w:eastAsia="仿宋" w:cs="仿宋"/>
          <w:b w:val="0"/>
          <w:color w:val="auto"/>
          <w:kern w:val="2"/>
          <w:sz w:val="24"/>
          <w:szCs w:val="24"/>
          <w:lang w:val="en-US"/>
        </w:rPr>
        <w:t>香年广场</w:t>
      </w:r>
      <w:r>
        <w:rPr>
          <w:rFonts w:hint="eastAsia" w:ascii="仿宋" w:hAnsi="仿宋" w:eastAsia="仿宋"/>
          <w:b w:val="0"/>
          <w:color w:val="auto"/>
          <w:kern w:val="2"/>
          <w:sz w:val="24"/>
          <w:szCs w:val="24"/>
          <w:lang w:val="en-US"/>
        </w:rPr>
        <w:t>）</w:t>
      </w:r>
      <w:r>
        <w:rPr>
          <w:rFonts w:ascii="仿宋" w:hAnsi="仿宋" w:eastAsia="仿宋"/>
          <w:b w:val="0"/>
          <w:color w:val="auto"/>
          <w:kern w:val="2"/>
          <w:sz w:val="24"/>
          <w:szCs w:val="24"/>
          <w:lang w:val="en-US"/>
        </w:rPr>
        <w:t>3栋16层开标厅。</w:t>
      </w:r>
    </w:p>
    <w:p>
      <w:pPr>
        <w:numPr>
          <w:ilvl w:val="0"/>
          <w:numId w:val="22"/>
        </w:numPr>
        <w:snapToGrid/>
        <w:spacing w:line="470" w:lineRule="exact"/>
        <w:ind w:left="0" w:firstLine="482"/>
        <w:rPr>
          <w:rFonts w:ascii="仿宋" w:hAnsi="仿宋" w:eastAsia="仿宋"/>
          <w:color w:val="auto"/>
          <w:kern w:val="2"/>
          <w:sz w:val="24"/>
          <w:szCs w:val="24"/>
          <w:lang w:val="en-US"/>
        </w:rPr>
      </w:pPr>
      <w:r>
        <w:rPr>
          <w:rFonts w:ascii="仿宋" w:hAnsi="仿宋" w:eastAsia="仿宋"/>
          <w:color w:val="auto"/>
          <w:kern w:val="2"/>
          <w:sz w:val="24"/>
          <w:szCs w:val="24"/>
          <w:lang w:val="en-US"/>
        </w:rPr>
        <w:t>本投标邀请在四川政府采购网上以公告形式发布，公告期限为发布之日起5个工作日。</w:t>
      </w:r>
    </w:p>
    <w:p>
      <w:pPr>
        <w:numPr>
          <w:ilvl w:val="0"/>
          <w:numId w:val="22"/>
        </w:numPr>
        <w:snapToGrid/>
        <w:spacing w:line="470" w:lineRule="exact"/>
        <w:ind w:firstLineChars="0"/>
        <w:rPr>
          <w:rFonts w:ascii="仿宋" w:hAnsi="仿宋" w:eastAsia="仿宋"/>
          <w:color w:val="auto"/>
          <w:kern w:val="2"/>
          <w:sz w:val="24"/>
          <w:szCs w:val="24"/>
          <w:lang w:val="en-US"/>
        </w:rPr>
      </w:pPr>
      <w:r>
        <w:rPr>
          <w:rFonts w:ascii="仿宋" w:hAnsi="仿宋" w:eastAsia="仿宋"/>
          <w:color w:val="auto"/>
          <w:kern w:val="2"/>
          <w:sz w:val="24"/>
          <w:szCs w:val="24"/>
          <w:lang w:val="en-US"/>
        </w:rPr>
        <w:t>本项目支持中小企业信用融资</w:t>
      </w:r>
      <w:r>
        <w:rPr>
          <w:rFonts w:hint="eastAsia" w:ascii="仿宋" w:hAnsi="仿宋" w:eastAsia="仿宋"/>
          <w:color w:val="auto"/>
          <w:kern w:val="2"/>
          <w:sz w:val="24"/>
          <w:szCs w:val="24"/>
          <w:lang w:val="en-US"/>
        </w:rPr>
        <w:t>（详见第</w:t>
      </w:r>
      <w:r>
        <w:rPr>
          <w:rFonts w:ascii="仿宋" w:hAnsi="仿宋" w:eastAsia="仿宋"/>
          <w:color w:val="auto"/>
          <w:kern w:val="2"/>
          <w:sz w:val="24"/>
          <w:szCs w:val="24"/>
          <w:lang w:val="en-US"/>
        </w:rPr>
        <w:t>2章投标人须知</w:t>
      </w:r>
      <w:r>
        <w:rPr>
          <w:rFonts w:hint="eastAsia" w:ascii="仿宋" w:hAnsi="仿宋" w:eastAsia="仿宋"/>
          <w:color w:val="auto"/>
          <w:kern w:val="2"/>
          <w:sz w:val="24"/>
          <w:szCs w:val="24"/>
          <w:lang w:val="en-US"/>
        </w:rPr>
        <w:t>）</w:t>
      </w:r>
      <w:r>
        <w:rPr>
          <w:rFonts w:ascii="仿宋" w:hAnsi="仿宋" w:eastAsia="仿宋"/>
          <w:color w:val="auto"/>
          <w:kern w:val="2"/>
          <w:sz w:val="24"/>
          <w:szCs w:val="24"/>
          <w:lang w:val="en-US"/>
        </w:rPr>
        <w:t>。</w:t>
      </w:r>
    </w:p>
    <w:p>
      <w:pPr>
        <w:numPr>
          <w:ilvl w:val="0"/>
          <w:numId w:val="22"/>
        </w:numPr>
        <w:snapToGrid/>
        <w:spacing w:line="470" w:lineRule="exact"/>
        <w:ind w:left="0" w:firstLine="482"/>
        <w:rPr>
          <w:rFonts w:ascii="仿宋" w:hAnsi="仿宋" w:eastAsia="仿宋"/>
          <w:color w:val="auto"/>
          <w:kern w:val="2"/>
          <w:sz w:val="24"/>
          <w:szCs w:val="24"/>
          <w:lang w:val="en-US"/>
        </w:rPr>
      </w:pPr>
      <w:r>
        <w:rPr>
          <w:rFonts w:ascii="仿宋" w:hAnsi="仿宋" w:eastAsia="仿宋"/>
          <w:color w:val="auto"/>
          <w:kern w:val="2"/>
          <w:sz w:val="24"/>
          <w:szCs w:val="24"/>
          <w:lang w:val="en-US"/>
        </w:rPr>
        <w:t>联系方式</w:t>
      </w:r>
    </w:p>
    <w:p>
      <w:pPr>
        <w:snapToGrid/>
        <w:spacing w:line="470" w:lineRule="exact"/>
        <w:ind w:firstLine="569" w:firstLineChars="236"/>
        <w:rPr>
          <w:rFonts w:hint="eastAsia" w:ascii="仿宋" w:hAnsi="仿宋" w:eastAsia="仿宋"/>
          <w:color w:val="auto"/>
          <w:kern w:val="2"/>
          <w:sz w:val="24"/>
          <w:szCs w:val="24"/>
          <w:lang w:val="en-US"/>
        </w:rPr>
      </w:pPr>
      <w:r>
        <w:rPr>
          <w:rFonts w:ascii="仿宋" w:hAnsi="仿宋" w:eastAsia="仿宋"/>
          <w:color w:val="auto"/>
          <w:kern w:val="2"/>
          <w:sz w:val="24"/>
          <w:szCs w:val="24"/>
          <w:lang w:val="en-US"/>
        </w:rPr>
        <w:t>采 购 人：</w:t>
      </w:r>
      <w:r>
        <w:rPr>
          <w:rFonts w:hint="eastAsia" w:ascii="仿宋" w:hAnsi="仿宋" w:eastAsia="仿宋"/>
          <w:color w:val="auto"/>
          <w:kern w:val="2"/>
          <w:sz w:val="24"/>
          <w:szCs w:val="24"/>
          <w:lang w:val="en-US"/>
        </w:rPr>
        <w:t>成都市交通运输综合行政执法总队</w:t>
      </w:r>
    </w:p>
    <w:p>
      <w:pPr>
        <w:snapToGrid/>
        <w:spacing w:line="470" w:lineRule="exact"/>
        <w:ind w:firstLine="566" w:firstLineChars="236"/>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联 系 人：</w:t>
      </w:r>
      <w:r>
        <w:rPr>
          <w:rFonts w:hint="eastAsia" w:ascii="仿宋" w:hAnsi="仿宋" w:eastAsia="仿宋"/>
          <w:b w:val="0"/>
          <w:color w:val="auto"/>
          <w:kern w:val="2"/>
          <w:sz w:val="24"/>
          <w:szCs w:val="24"/>
          <w:lang w:val="en-US"/>
        </w:rPr>
        <w:t>张老师</w:t>
      </w:r>
    </w:p>
    <w:p>
      <w:pPr>
        <w:snapToGrid/>
        <w:spacing w:line="470" w:lineRule="exact"/>
        <w:ind w:firstLine="566" w:firstLineChars="236"/>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电    话：028-</w:t>
      </w:r>
      <w:r>
        <w:rPr>
          <w:rFonts w:hint="eastAsia" w:ascii="仿宋" w:hAnsi="仿宋" w:eastAsia="仿宋"/>
          <w:b w:val="0"/>
          <w:color w:val="auto"/>
          <w:kern w:val="2"/>
          <w:sz w:val="24"/>
          <w:szCs w:val="24"/>
          <w:lang w:val="en-US"/>
        </w:rPr>
        <w:t>61887610</w:t>
      </w:r>
    </w:p>
    <w:p>
      <w:pPr>
        <w:snapToGrid/>
        <w:spacing w:line="470" w:lineRule="exact"/>
        <w:ind w:firstLine="566" w:firstLineChars="236"/>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通讯地址：</w:t>
      </w:r>
      <w:r>
        <w:rPr>
          <w:rFonts w:hint="eastAsia" w:ascii="仿宋" w:hAnsi="仿宋" w:eastAsia="仿宋"/>
          <w:b w:val="0"/>
          <w:color w:val="auto"/>
          <w:kern w:val="2"/>
          <w:sz w:val="24"/>
          <w:szCs w:val="24"/>
          <w:lang w:val="en-US"/>
        </w:rPr>
        <w:t>成都市交子北二路17号</w:t>
      </w:r>
    </w:p>
    <w:p>
      <w:pPr>
        <w:snapToGrid/>
        <w:spacing w:line="470" w:lineRule="exact"/>
        <w:ind w:firstLine="569" w:firstLineChars="236"/>
        <w:rPr>
          <w:rFonts w:ascii="仿宋" w:hAnsi="仿宋" w:eastAsia="仿宋"/>
          <w:color w:val="auto"/>
          <w:kern w:val="2"/>
          <w:sz w:val="24"/>
          <w:szCs w:val="24"/>
          <w:lang w:val="en-US"/>
        </w:rPr>
      </w:pPr>
    </w:p>
    <w:p>
      <w:pPr>
        <w:snapToGrid/>
        <w:spacing w:line="470" w:lineRule="exact"/>
        <w:ind w:firstLine="569" w:firstLineChars="236"/>
        <w:rPr>
          <w:rFonts w:ascii="仿宋" w:hAnsi="仿宋" w:eastAsia="仿宋"/>
          <w:color w:val="auto"/>
          <w:kern w:val="2"/>
          <w:sz w:val="24"/>
          <w:szCs w:val="24"/>
          <w:lang w:val="en-US"/>
        </w:rPr>
      </w:pPr>
      <w:r>
        <w:rPr>
          <w:rFonts w:ascii="仿宋" w:hAnsi="仿宋" w:eastAsia="仿宋"/>
          <w:color w:val="auto"/>
          <w:kern w:val="2"/>
          <w:sz w:val="24"/>
          <w:szCs w:val="24"/>
          <w:lang w:val="en-US"/>
        </w:rPr>
        <w:t>采购代理机构：四川中志招标代理有限公司</w:t>
      </w:r>
    </w:p>
    <w:p>
      <w:pPr>
        <w:snapToGrid/>
        <w:spacing w:line="470" w:lineRule="exact"/>
        <w:ind w:firstLine="566" w:firstLineChars="236"/>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开户银行：中国建设银行成都市高新支行</w:t>
      </w:r>
    </w:p>
    <w:p>
      <w:pPr>
        <w:snapToGrid/>
        <w:spacing w:line="470" w:lineRule="exact"/>
        <w:ind w:firstLine="566" w:firstLineChars="236"/>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帐    号： 5100 1406 1370 5152 6738</w:t>
      </w:r>
    </w:p>
    <w:p>
      <w:pPr>
        <w:snapToGrid/>
        <w:spacing w:line="470" w:lineRule="exact"/>
        <w:ind w:firstLine="566" w:firstLineChars="236"/>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通讯地址：成都市高新区吉泰五路88号3栋7层1号</w:t>
      </w:r>
      <w:r>
        <w:rPr>
          <w:rFonts w:hint="eastAsia" w:ascii="仿宋" w:hAnsi="仿宋" w:eastAsia="仿宋"/>
          <w:b w:val="0"/>
          <w:color w:val="auto"/>
          <w:kern w:val="2"/>
          <w:sz w:val="24"/>
          <w:szCs w:val="24"/>
          <w:lang w:val="en-US"/>
        </w:rPr>
        <w:t>（花样年</w:t>
      </w:r>
      <w:r>
        <w:rPr>
          <w:rFonts w:hint="eastAsia" w:cs="宋体"/>
          <w:b w:val="0"/>
          <w:color w:val="auto"/>
          <w:kern w:val="2"/>
          <w:sz w:val="24"/>
          <w:szCs w:val="24"/>
          <w:lang w:val="en-US"/>
        </w:rPr>
        <w:t>•</w:t>
      </w:r>
      <w:r>
        <w:rPr>
          <w:rFonts w:hint="eastAsia" w:ascii="仿宋" w:hAnsi="仿宋" w:eastAsia="仿宋" w:cs="仿宋"/>
          <w:b w:val="0"/>
          <w:color w:val="auto"/>
          <w:kern w:val="2"/>
          <w:sz w:val="24"/>
          <w:szCs w:val="24"/>
          <w:lang w:val="en-US"/>
        </w:rPr>
        <w:t>香年广场</w:t>
      </w:r>
      <w:r>
        <w:rPr>
          <w:rFonts w:hint="eastAsia" w:ascii="仿宋" w:hAnsi="仿宋" w:eastAsia="仿宋"/>
          <w:b w:val="0"/>
          <w:color w:val="auto"/>
          <w:kern w:val="2"/>
          <w:sz w:val="24"/>
          <w:szCs w:val="24"/>
          <w:lang w:val="en-US"/>
        </w:rPr>
        <w:t>）</w:t>
      </w:r>
    </w:p>
    <w:p>
      <w:pPr>
        <w:snapToGrid/>
        <w:spacing w:line="470" w:lineRule="exact"/>
        <w:ind w:firstLine="566" w:firstLineChars="236"/>
        <w:rPr>
          <w:rFonts w:hint="eastAsia" w:ascii="仿宋" w:hAnsi="仿宋" w:eastAsia="仿宋"/>
          <w:b w:val="0"/>
          <w:color w:val="auto"/>
          <w:kern w:val="2"/>
          <w:sz w:val="24"/>
          <w:szCs w:val="24"/>
          <w:lang w:val="en-US"/>
        </w:rPr>
      </w:pPr>
      <w:r>
        <w:rPr>
          <w:rFonts w:ascii="仿宋" w:hAnsi="仿宋" w:eastAsia="仿宋"/>
          <w:b w:val="0"/>
          <w:color w:val="auto"/>
          <w:kern w:val="2"/>
          <w:sz w:val="24"/>
          <w:szCs w:val="24"/>
          <w:lang w:val="en-US"/>
        </w:rPr>
        <w:t>联 系 人：</w:t>
      </w:r>
      <w:r>
        <w:rPr>
          <w:rFonts w:hint="eastAsia" w:ascii="仿宋" w:hAnsi="仿宋" w:eastAsia="仿宋"/>
          <w:b w:val="0"/>
          <w:color w:val="auto"/>
          <w:kern w:val="2"/>
          <w:sz w:val="24"/>
          <w:szCs w:val="24"/>
          <w:lang w:val="en-US"/>
        </w:rPr>
        <w:t>杨女士</w:t>
      </w:r>
    </w:p>
    <w:p>
      <w:pPr>
        <w:snapToGrid/>
        <w:spacing w:line="470" w:lineRule="exact"/>
        <w:ind w:firstLine="566" w:firstLineChars="236"/>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电    话：028-87333799-0（报名相关事宜咨询）</w:t>
      </w:r>
    </w:p>
    <w:p>
      <w:pPr>
        <w:snapToGrid/>
        <w:spacing w:line="470" w:lineRule="exact"/>
        <w:ind w:firstLine="1764" w:firstLineChars="735"/>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028-84510079-</w:t>
      </w:r>
      <w:r>
        <w:rPr>
          <w:rFonts w:hint="eastAsia" w:ascii="仿宋" w:hAnsi="仿宋" w:eastAsia="仿宋"/>
          <w:b w:val="0"/>
          <w:color w:val="auto"/>
          <w:kern w:val="2"/>
          <w:sz w:val="24"/>
          <w:szCs w:val="24"/>
          <w:lang w:val="en-US"/>
        </w:rPr>
        <w:t>8006</w:t>
      </w:r>
      <w:r>
        <w:rPr>
          <w:rFonts w:ascii="仿宋" w:hAnsi="仿宋" w:eastAsia="仿宋"/>
          <w:b w:val="0"/>
          <w:color w:val="auto"/>
          <w:kern w:val="2"/>
          <w:sz w:val="24"/>
          <w:szCs w:val="24"/>
          <w:lang w:val="en-US"/>
        </w:rPr>
        <w:t>（采购项目相关事宜咨询）</w:t>
      </w:r>
    </w:p>
    <w:p>
      <w:pPr>
        <w:snapToGrid/>
        <w:spacing w:line="470" w:lineRule="exact"/>
        <w:ind w:firstLine="566" w:firstLineChars="236"/>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电子邮件：sczz@sczz84510079.com</w:t>
      </w:r>
    </w:p>
    <w:p>
      <w:pPr>
        <w:snapToGrid/>
        <w:spacing w:line="480" w:lineRule="exact"/>
        <w:ind w:firstLine="480"/>
        <w:jc w:val="right"/>
        <w:rPr>
          <w:rFonts w:hint="eastAsia" w:ascii="仿宋" w:hAnsi="仿宋" w:eastAsia="仿宋"/>
          <w:b w:val="0"/>
          <w:color w:val="auto"/>
          <w:kern w:val="2"/>
          <w:sz w:val="24"/>
          <w:szCs w:val="24"/>
          <w:lang w:val="en-US"/>
        </w:rPr>
      </w:pPr>
    </w:p>
    <w:p>
      <w:pPr>
        <w:snapToGrid/>
        <w:spacing w:line="480" w:lineRule="exact"/>
        <w:ind w:firstLine="480"/>
        <w:jc w:val="right"/>
        <w:rPr>
          <w:rFonts w:ascii="Times New Roman" w:hAnsi="Times New Roman"/>
          <w:b w:val="0"/>
          <w:color w:val="auto"/>
          <w:kern w:val="2"/>
          <w:sz w:val="24"/>
          <w:szCs w:val="24"/>
          <w:lang w:val="en-US"/>
        </w:rPr>
        <w:sectPr>
          <w:footerReference r:id="rId12" w:type="first"/>
          <w:pgSz w:w="11906" w:h="16838"/>
          <w:pgMar w:top="1418" w:right="1134" w:bottom="1418" w:left="1701" w:header="907" w:footer="850" w:gutter="0"/>
          <w:pgNumType w:start="1"/>
          <w:cols w:space="720" w:num="1"/>
          <w:titlePg/>
          <w:docGrid w:type="lines" w:linePitch="437" w:charSpace="0"/>
        </w:sectPr>
      </w:pPr>
      <w:bookmarkStart w:id="904" w:name="_GoBack"/>
      <w:bookmarkEnd w:id="904"/>
      <w:r>
        <w:rPr>
          <w:rFonts w:ascii="仿宋" w:hAnsi="仿宋" w:eastAsia="仿宋"/>
          <w:b w:val="0"/>
          <w:color w:val="auto"/>
          <w:kern w:val="2"/>
          <w:sz w:val="24"/>
          <w:szCs w:val="24"/>
          <w:lang w:val="en-US"/>
        </w:rPr>
        <w:t>202</w:t>
      </w:r>
      <w:r>
        <w:rPr>
          <w:rFonts w:hint="eastAsia" w:ascii="仿宋" w:hAnsi="仿宋" w:eastAsia="仿宋"/>
          <w:b w:val="0"/>
          <w:color w:val="auto"/>
          <w:kern w:val="2"/>
          <w:sz w:val="24"/>
          <w:szCs w:val="24"/>
          <w:lang w:val="en-US"/>
        </w:rPr>
        <w:t>1</w:t>
      </w:r>
      <w:r>
        <w:rPr>
          <w:rFonts w:ascii="仿宋" w:hAnsi="仿宋" w:eastAsia="仿宋"/>
          <w:b w:val="0"/>
          <w:color w:val="auto"/>
          <w:kern w:val="2"/>
          <w:sz w:val="24"/>
          <w:szCs w:val="24"/>
          <w:lang w:val="en-US"/>
        </w:rPr>
        <w:t>年</w:t>
      </w:r>
      <w:r>
        <w:rPr>
          <w:rFonts w:hint="eastAsia" w:ascii="仿宋" w:hAnsi="仿宋" w:eastAsia="仿宋"/>
          <w:b w:val="0"/>
          <w:color w:val="auto"/>
          <w:kern w:val="2"/>
          <w:sz w:val="24"/>
          <w:szCs w:val="24"/>
          <w:lang w:val="en-US" w:eastAsia="zh-CN"/>
        </w:rPr>
        <w:t>8</w:t>
      </w:r>
      <w:r>
        <w:rPr>
          <w:rFonts w:ascii="仿宋" w:hAnsi="仿宋" w:eastAsia="仿宋"/>
          <w:b w:val="0"/>
          <w:color w:val="auto"/>
          <w:kern w:val="2"/>
          <w:sz w:val="24"/>
          <w:szCs w:val="24"/>
          <w:lang w:val="en-US"/>
        </w:rPr>
        <w:t>月</w:t>
      </w:r>
      <w:r>
        <w:rPr>
          <w:rFonts w:hint="eastAsia" w:ascii="仿宋" w:hAnsi="仿宋" w:eastAsia="仿宋"/>
          <w:b w:val="0"/>
          <w:color w:val="auto"/>
          <w:kern w:val="2"/>
          <w:sz w:val="24"/>
          <w:szCs w:val="24"/>
          <w:lang w:val="en-US" w:eastAsia="zh-CN"/>
        </w:rPr>
        <w:t>3</w:t>
      </w:r>
      <w:r>
        <w:rPr>
          <w:rFonts w:ascii="仿宋" w:hAnsi="仿宋" w:eastAsia="仿宋"/>
          <w:b w:val="0"/>
          <w:color w:val="auto"/>
          <w:kern w:val="2"/>
          <w:sz w:val="24"/>
          <w:szCs w:val="24"/>
          <w:lang w:val="en-US"/>
        </w:rPr>
        <w:t>日</w:t>
      </w:r>
    </w:p>
    <w:p>
      <w:pPr>
        <w:pStyle w:val="3"/>
        <w:numPr>
          <w:ilvl w:val="0"/>
          <w:numId w:val="17"/>
        </w:numPr>
        <w:adjustRightInd w:val="0"/>
        <w:spacing w:beforeLines="50" w:after="0" w:line="360" w:lineRule="auto"/>
        <w:ind w:left="0" w:firstLine="0"/>
        <w:rPr>
          <w:rFonts w:ascii="仿宋" w:hAnsi="仿宋" w:eastAsia="仿宋"/>
          <w:b/>
          <w:color w:val="auto"/>
        </w:rPr>
      </w:pPr>
      <w:bookmarkStart w:id="6" w:name="_Toc213496267"/>
      <w:bookmarkStart w:id="7" w:name="_Toc213396945"/>
      <w:bookmarkStart w:id="8" w:name="_Toc36029467"/>
      <w:bookmarkStart w:id="9" w:name="_Toc494198586"/>
      <w:bookmarkStart w:id="10" w:name="_Toc213396759"/>
      <w:bookmarkStart w:id="11" w:name="_Toc213397009"/>
      <w:bookmarkStart w:id="12" w:name="_Toc217446031"/>
      <w:r>
        <w:rPr>
          <w:rFonts w:hint="eastAsia" w:ascii="仿宋" w:hAnsi="仿宋" w:eastAsia="仿宋"/>
          <w:b/>
          <w:color w:val="auto"/>
          <w:lang w:val="en-US"/>
        </w:rPr>
        <w:t xml:space="preserve"> </w:t>
      </w:r>
      <w:bookmarkStart w:id="13" w:name="_Toc40703436"/>
      <w:r>
        <w:rPr>
          <w:rFonts w:ascii="仿宋" w:hAnsi="仿宋" w:eastAsia="仿宋"/>
          <w:b/>
          <w:color w:val="auto"/>
        </w:rPr>
        <w:t>投标人须知</w:t>
      </w:r>
      <w:bookmarkEnd w:id="6"/>
      <w:bookmarkEnd w:id="7"/>
      <w:bookmarkEnd w:id="8"/>
      <w:bookmarkEnd w:id="9"/>
      <w:bookmarkEnd w:id="10"/>
      <w:bookmarkEnd w:id="11"/>
      <w:bookmarkEnd w:id="12"/>
      <w:bookmarkEnd w:id="13"/>
    </w:p>
    <w:p>
      <w:pPr>
        <w:keepNext/>
        <w:numPr>
          <w:ilvl w:val="1"/>
          <w:numId w:val="17"/>
        </w:numPr>
        <w:tabs>
          <w:tab w:val="left" w:pos="567"/>
        </w:tabs>
        <w:adjustRightInd w:val="0"/>
        <w:ind w:left="0" w:firstLine="0" w:firstLineChars="0"/>
        <w:jc w:val="left"/>
        <w:outlineLvl w:val="1"/>
        <w:rPr>
          <w:rFonts w:ascii="仿宋" w:hAnsi="仿宋" w:eastAsia="仿宋"/>
          <w:bCs/>
          <w:color w:val="auto"/>
          <w:kern w:val="2"/>
          <w:sz w:val="24"/>
          <w:szCs w:val="24"/>
          <w:lang w:val="en-US"/>
        </w:rPr>
      </w:pPr>
      <w:bookmarkStart w:id="14" w:name="_Toc217446032"/>
      <w:bookmarkStart w:id="15" w:name="_Toc213396760"/>
      <w:bookmarkStart w:id="16" w:name="_Toc351016476"/>
      <w:bookmarkStart w:id="17" w:name="_Toc213397010"/>
      <w:bookmarkStart w:id="18" w:name="_Toc213496268"/>
      <w:bookmarkStart w:id="19" w:name="_Toc213396946"/>
      <w:bookmarkStart w:id="20" w:name="_Toc189727030"/>
      <w:r>
        <w:rPr>
          <w:rFonts w:ascii="仿宋" w:hAnsi="仿宋" w:eastAsia="仿宋"/>
          <w:bCs/>
          <w:color w:val="auto"/>
          <w:kern w:val="2"/>
          <w:sz w:val="24"/>
          <w:szCs w:val="24"/>
          <w:lang w:val="en-US"/>
        </w:rPr>
        <w:t xml:space="preserve"> </w:t>
      </w:r>
      <w:bookmarkStart w:id="21" w:name="_Toc40703437"/>
      <w:bookmarkStart w:id="22" w:name="_Toc36029468"/>
      <w:bookmarkStart w:id="23" w:name="_Toc494198587"/>
      <w:r>
        <w:rPr>
          <w:rFonts w:ascii="仿宋" w:hAnsi="仿宋" w:eastAsia="仿宋"/>
          <w:bCs/>
          <w:color w:val="auto"/>
          <w:kern w:val="2"/>
          <w:sz w:val="24"/>
          <w:szCs w:val="24"/>
          <w:lang w:val="en-US"/>
        </w:rPr>
        <w:t>投标人须知前附表</w:t>
      </w:r>
      <w:bookmarkEnd w:id="14"/>
      <w:bookmarkEnd w:id="15"/>
      <w:bookmarkEnd w:id="16"/>
      <w:bookmarkEnd w:id="17"/>
      <w:bookmarkEnd w:id="18"/>
      <w:bookmarkEnd w:id="19"/>
      <w:bookmarkEnd w:id="20"/>
      <w:bookmarkEnd w:id="21"/>
      <w:bookmarkEnd w:id="22"/>
      <w:bookmarkEnd w:id="23"/>
    </w:p>
    <w:tbl>
      <w:tblPr>
        <w:tblStyle w:val="76"/>
        <w:tblW w:w="5000" w:type="pct"/>
        <w:jc w:val="center"/>
        <w:tblBorders>
          <w:top w:val="single" w:color="000000" w:sz="12" w:space="0"/>
          <w:left w:val="single" w:color="000000" w:sz="12" w:space="0"/>
          <w:bottom w:val="single" w:color="000000" w:sz="12" w:space="0"/>
          <w:right w:val="single" w:color="000000" w:sz="12" w:space="0"/>
          <w:insideH w:val="single" w:color="auto" w:sz="6" w:space="0"/>
          <w:insideV w:val="single" w:color="auto" w:sz="6" w:space="0"/>
        </w:tblBorders>
        <w:tblLayout w:type="autofit"/>
        <w:tblCellMar>
          <w:top w:w="0" w:type="dxa"/>
          <w:left w:w="108" w:type="dxa"/>
          <w:bottom w:w="0" w:type="dxa"/>
          <w:right w:w="108" w:type="dxa"/>
        </w:tblCellMar>
      </w:tblPr>
      <w:tblGrid>
        <w:gridCol w:w="734"/>
        <w:gridCol w:w="2032"/>
        <w:gridCol w:w="6521"/>
      </w:tblGrid>
      <w:tr>
        <w:tblPrEx>
          <w:tblBorders>
            <w:top w:val="single" w:color="000000" w:sz="12" w:space="0"/>
            <w:left w:val="single" w:color="000000" w:sz="12" w:space="0"/>
            <w:bottom w:val="single" w:color="000000" w:sz="12" w:space="0"/>
            <w:right w:val="single" w:color="000000" w:sz="12" w:space="0"/>
            <w:insideH w:val="single" w:color="auto" w:sz="6" w:space="0"/>
            <w:insideV w:val="single" w:color="auto" w:sz="6" w:space="0"/>
          </w:tblBorders>
          <w:tblCellMar>
            <w:top w:w="0" w:type="dxa"/>
            <w:left w:w="108" w:type="dxa"/>
            <w:bottom w:w="0" w:type="dxa"/>
            <w:right w:w="108" w:type="dxa"/>
          </w:tblCellMar>
        </w:tblPrEx>
        <w:trPr>
          <w:trHeight w:val="558" w:hRule="atLeast"/>
          <w:tblHeader/>
          <w:jc w:val="center"/>
        </w:trPr>
        <w:tc>
          <w:tcPr>
            <w:tcW w:w="395" w:type="pct"/>
            <w:shd w:val="clear" w:color="auto" w:fill="EAEAEA"/>
            <w:vAlign w:val="center"/>
          </w:tcPr>
          <w:p>
            <w:pPr>
              <w:tabs>
                <w:tab w:val="left" w:pos="7665"/>
              </w:tabs>
              <w:snapToGrid/>
              <w:spacing w:line="440" w:lineRule="exact"/>
              <w:ind w:firstLine="0" w:firstLineChars="0"/>
              <w:jc w:val="center"/>
              <w:rPr>
                <w:rFonts w:ascii="仿宋" w:hAnsi="仿宋" w:eastAsia="仿宋"/>
                <w:bCs/>
                <w:color w:val="auto"/>
                <w:kern w:val="2"/>
                <w:sz w:val="24"/>
                <w:szCs w:val="24"/>
                <w:lang w:val="en-US"/>
              </w:rPr>
            </w:pPr>
            <w:r>
              <w:rPr>
                <w:rFonts w:ascii="仿宋" w:hAnsi="仿宋" w:eastAsia="仿宋"/>
                <w:bCs/>
                <w:color w:val="auto"/>
                <w:kern w:val="2"/>
                <w:sz w:val="24"/>
                <w:szCs w:val="24"/>
                <w:lang w:val="en-US"/>
              </w:rPr>
              <w:t>序号</w:t>
            </w:r>
          </w:p>
        </w:tc>
        <w:tc>
          <w:tcPr>
            <w:tcW w:w="1094" w:type="pct"/>
            <w:shd w:val="clear" w:color="auto" w:fill="EAEAEA"/>
            <w:vAlign w:val="center"/>
          </w:tcPr>
          <w:p>
            <w:pPr>
              <w:tabs>
                <w:tab w:val="left" w:pos="7665"/>
              </w:tabs>
              <w:snapToGrid/>
              <w:spacing w:line="440" w:lineRule="exact"/>
              <w:ind w:firstLine="0" w:firstLineChars="0"/>
              <w:jc w:val="center"/>
              <w:rPr>
                <w:rFonts w:ascii="仿宋" w:hAnsi="仿宋" w:eastAsia="仿宋"/>
                <w:bCs/>
                <w:color w:val="auto"/>
                <w:kern w:val="2"/>
                <w:sz w:val="24"/>
                <w:szCs w:val="24"/>
                <w:lang w:val="en-US"/>
              </w:rPr>
            </w:pPr>
            <w:r>
              <w:rPr>
                <w:rFonts w:ascii="仿宋" w:hAnsi="仿宋" w:eastAsia="仿宋"/>
                <w:bCs/>
                <w:color w:val="auto"/>
                <w:kern w:val="2"/>
                <w:sz w:val="24"/>
                <w:szCs w:val="24"/>
                <w:lang w:val="en-US"/>
              </w:rPr>
              <w:t>条款名称</w:t>
            </w:r>
          </w:p>
        </w:tc>
        <w:tc>
          <w:tcPr>
            <w:tcW w:w="3510" w:type="pct"/>
            <w:shd w:val="clear" w:color="auto" w:fill="EAEAEA"/>
            <w:vAlign w:val="center"/>
          </w:tcPr>
          <w:p>
            <w:pPr>
              <w:tabs>
                <w:tab w:val="left" w:pos="7665"/>
              </w:tabs>
              <w:snapToGrid/>
              <w:spacing w:line="440" w:lineRule="exact"/>
              <w:ind w:firstLine="0" w:firstLineChars="0"/>
              <w:jc w:val="center"/>
              <w:rPr>
                <w:rFonts w:ascii="仿宋" w:hAnsi="仿宋" w:eastAsia="仿宋"/>
                <w:bCs/>
                <w:color w:val="auto"/>
                <w:kern w:val="2"/>
                <w:sz w:val="24"/>
                <w:szCs w:val="24"/>
                <w:lang w:val="en-US"/>
              </w:rPr>
            </w:pPr>
            <w:r>
              <w:rPr>
                <w:rFonts w:ascii="仿宋" w:hAnsi="仿宋" w:eastAsia="仿宋"/>
                <w:bCs/>
                <w:color w:val="auto"/>
                <w:kern w:val="2"/>
                <w:sz w:val="24"/>
                <w:szCs w:val="24"/>
                <w:lang w:val="en-US"/>
              </w:rPr>
              <w:t>说明与要求</w:t>
            </w:r>
          </w:p>
        </w:tc>
      </w:tr>
      <w:tr>
        <w:tblPrEx>
          <w:tblBorders>
            <w:top w:val="single" w:color="000000" w:sz="12" w:space="0"/>
            <w:left w:val="single" w:color="000000" w:sz="12" w:space="0"/>
            <w:bottom w:val="single" w:color="000000" w:sz="12" w:space="0"/>
            <w:right w:val="single" w:color="000000" w:sz="12" w:space="0"/>
            <w:insideH w:val="single" w:color="auto" w:sz="6" w:space="0"/>
            <w:insideV w:val="single" w:color="auto" w:sz="6" w:space="0"/>
          </w:tblBorders>
          <w:tblCellMar>
            <w:top w:w="0" w:type="dxa"/>
            <w:left w:w="108" w:type="dxa"/>
            <w:bottom w:w="0" w:type="dxa"/>
            <w:right w:w="108" w:type="dxa"/>
          </w:tblCellMar>
        </w:tblPrEx>
        <w:trPr>
          <w:trHeight w:val="373" w:hRule="atLeast"/>
          <w:jc w:val="center"/>
        </w:trPr>
        <w:tc>
          <w:tcPr>
            <w:tcW w:w="395" w:type="pct"/>
            <w:vMerge w:val="restart"/>
            <w:vAlign w:val="center"/>
          </w:tcPr>
          <w:p>
            <w:pPr>
              <w:pStyle w:val="609"/>
              <w:spacing w:line="440" w:lineRule="exact"/>
              <w:jc w:val="center"/>
              <w:rPr>
                <w:rFonts w:ascii="仿宋" w:hAnsi="仿宋" w:eastAsia="仿宋" w:cs="Times New Roman"/>
                <w:lang w:val="zh-CN"/>
              </w:rPr>
            </w:pPr>
            <w:r>
              <w:rPr>
                <w:rFonts w:ascii="仿宋" w:hAnsi="仿宋" w:eastAsia="仿宋" w:cs="Times New Roman"/>
                <w:lang w:val="zh-CN"/>
              </w:rPr>
              <w:t>1</w:t>
            </w:r>
          </w:p>
        </w:tc>
        <w:tc>
          <w:tcPr>
            <w:tcW w:w="1094" w:type="pct"/>
            <w:vAlign w:val="center"/>
          </w:tcPr>
          <w:p>
            <w:pPr>
              <w:pStyle w:val="609"/>
              <w:spacing w:line="440" w:lineRule="exact"/>
              <w:jc w:val="center"/>
              <w:rPr>
                <w:rFonts w:ascii="仿宋" w:hAnsi="仿宋" w:eastAsia="仿宋" w:cs="Times New Roman"/>
                <w:lang w:val="zh-CN"/>
              </w:rPr>
            </w:pPr>
            <w:r>
              <w:rPr>
                <w:rFonts w:ascii="仿宋" w:hAnsi="仿宋" w:eastAsia="仿宋" w:cs="Times New Roman"/>
                <w:lang w:val="zh-CN"/>
              </w:rPr>
              <w:t>采购预算</w:t>
            </w:r>
          </w:p>
        </w:tc>
        <w:tc>
          <w:tcPr>
            <w:tcW w:w="3510" w:type="pct"/>
            <w:vAlign w:val="center"/>
          </w:tcPr>
          <w:p>
            <w:pPr>
              <w:pStyle w:val="609"/>
              <w:spacing w:line="440" w:lineRule="exact"/>
              <w:ind w:firstLine="240" w:firstLineChars="100"/>
              <w:rPr>
                <w:rFonts w:ascii="仿宋" w:hAnsi="仿宋" w:eastAsia="仿宋" w:cs="Times New Roman"/>
              </w:rPr>
            </w:pPr>
            <w:r>
              <w:rPr>
                <w:rFonts w:ascii="仿宋" w:hAnsi="仿宋" w:eastAsia="仿宋" w:cs="Times New Roman"/>
                <w:lang w:val="zh-CN"/>
              </w:rPr>
              <w:t>本项目</w:t>
            </w:r>
            <w:r>
              <w:rPr>
                <w:rFonts w:ascii="仿宋" w:hAnsi="仿宋" w:eastAsia="仿宋" w:cs="Times New Roman"/>
                <w:color w:val="000000"/>
                <w:szCs w:val="21"/>
                <w:lang w:val="zh-CN"/>
              </w:rPr>
              <w:t>备案</w:t>
            </w:r>
            <w:r>
              <w:rPr>
                <w:rFonts w:ascii="仿宋" w:hAnsi="仿宋" w:eastAsia="仿宋" w:cs="Times New Roman"/>
                <w:szCs w:val="21"/>
                <w:lang w:val="zh-CN"/>
              </w:rPr>
              <w:t>号：</w:t>
            </w:r>
            <w:r>
              <w:rPr>
                <w:rFonts w:hint="eastAsia" w:ascii="仿宋" w:hAnsi="仿宋" w:eastAsia="仿宋" w:cs="Times New Roman"/>
                <w:szCs w:val="21"/>
                <w:u w:val="single"/>
                <w:lang w:val="zh-CN"/>
              </w:rPr>
              <w:t>（</w:t>
            </w:r>
            <w:r>
              <w:rPr>
                <w:rFonts w:hint="eastAsia" w:ascii="仿宋" w:hAnsi="仿宋" w:eastAsia="仿宋" w:cs="Times New Roman"/>
                <w:szCs w:val="21"/>
                <w:u w:val="single"/>
              </w:rPr>
              <w:t>2021</w:t>
            </w:r>
            <w:r>
              <w:rPr>
                <w:rFonts w:hint="eastAsia" w:ascii="仿宋" w:hAnsi="仿宋" w:eastAsia="仿宋" w:cs="Times New Roman"/>
                <w:szCs w:val="21"/>
                <w:u w:val="single"/>
                <w:lang w:val="zh-CN"/>
              </w:rPr>
              <w:t>）</w:t>
            </w:r>
            <w:r>
              <w:rPr>
                <w:rFonts w:hint="eastAsia" w:ascii="仿宋" w:hAnsi="仿宋" w:eastAsia="仿宋" w:cs="Times New Roman"/>
                <w:szCs w:val="21"/>
                <w:u w:val="single"/>
              </w:rPr>
              <w:t>0375</w:t>
            </w:r>
            <w:r>
              <w:rPr>
                <w:rFonts w:ascii="仿宋" w:hAnsi="仿宋" w:eastAsia="仿宋" w:cs="Times New Roman"/>
                <w:szCs w:val="21"/>
                <w:lang w:val="zh-CN"/>
              </w:rPr>
              <w:t>，</w:t>
            </w:r>
            <w:r>
              <w:rPr>
                <w:rFonts w:ascii="仿宋" w:hAnsi="仿宋" w:eastAsia="仿宋" w:cs="Times New Roman"/>
                <w:lang w:val="zh-CN"/>
              </w:rPr>
              <w:t>采购预算品目为</w:t>
            </w:r>
            <w:r>
              <w:rPr>
                <w:rFonts w:hint="eastAsia" w:ascii="仿宋" w:hAnsi="仿宋" w:eastAsia="仿宋" w:cs="Times New Roman"/>
                <w:u w:val="single"/>
                <w:lang w:val="zh-CN"/>
              </w:rPr>
              <w:t>C0809职业中介服务</w:t>
            </w:r>
            <w:r>
              <w:rPr>
                <w:rFonts w:ascii="仿宋" w:hAnsi="仿宋" w:eastAsia="仿宋" w:cs="Times New Roman"/>
                <w:lang w:val="zh-CN"/>
              </w:rPr>
              <w:t>，预算金额为人民币</w:t>
            </w:r>
            <w:r>
              <w:rPr>
                <w:rFonts w:hint="eastAsia" w:ascii="仿宋" w:hAnsi="仿宋" w:eastAsia="仿宋" w:cs="Times New Roman"/>
                <w:u w:val="single"/>
              </w:rPr>
              <w:t>127</w:t>
            </w:r>
            <w:r>
              <w:rPr>
                <w:rFonts w:ascii="仿宋" w:hAnsi="仿宋" w:eastAsia="仿宋" w:cs="Times New Roman"/>
                <w:lang w:val="zh-CN"/>
              </w:rPr>
              <w:t>万元。</w:t>
            </w:r>
          </w:p>
        </w:tc>
      </w:tr>
      <w:tr>
        <w:tblPrEx>
          <w:tblBorders>
            <w:top w:val="single" w:color="000000" w:sz="12" w:space="0"/>
            <w:left w:val="single" w:color="000000" w:sz="12" w:space="0"/>
            <w:bottom w:val="single" w:color="000000" w:sz="12" w:space="0"/>
            <w:right w:val="single" w:color="000000" w:sz="12" w:space="0"/>
            <w:insideH w:val="single" w:color="auto" w:sz="6" w:space="0"/>
            <w:insideV w:val="single" w:color="auto" w:sz="6" w:space="0"/>
          </w:tblBorders>
          <w:tblCellMar>
            <w:top w:w="0" w:type="dxa"/>
            <w:left w:w="108" w:type="dxa"/>
            <w:bottom w:w="0" w:type="dxa"/>
            <w:right w:w="108" w:type="dxa"/>
          </w:tblCellMar>
        </w:tblPrEx>
        <w:trPr>
          <w:trHeight w:val="373" w:hRule="atLeast"/>
          <w:jc w:val="center"/>
        </w:trPr>
        <w:tc>
          <w:tcPr>
            <w:tcW w:w="395" w:type="pct"/>
            <w:vMerge w:val="continue"/>
            <w:vAlign w:val="center"/>
          </w:tcPr>
          <w:p>
            <w:pPr>
              <w:pStyle w:val="609"/>
              <w:spacing w:line="440" w:lineRule="exact"/>
              <w:jc w:val="center"/>
              <w:rPr>
                <w:rFonts w:ascii="仿宋" w:hAnsi="仿宋" w:eastAsia="仿宋" w:cs="Times New Roman"/>
                <w:lang w:val="zh-CN"/>
              </w:rPr>
            </w:pPr>
          </w:p>
        </w:tc>
        <w:tc>
          <w:tcPr>
            <w:tcW w:w="1094" w:type="pct"/>
            <w:vAlign w:val="center"/>
          </w:tcPr>
          <w:p>
            <w:pPr>
              <w:pStyle w:val="609"/>
              <w:spacing w:line="440" w:lineRule="exact"/>
              <w:jc w:val="center"/>
              <w:rPr>
                <w:rFonts w:ascii="仿宋" w:hAnsi="仿宋" w:eastAsia="仿宋" w:cs="Times New Roman"/>
                <w:lang w:val="zh-CN"/>
              </w:rPr>
            </w:pPr>
            <w:r>
              <w:rPr>
                <w:rFonts w:hint="eastAsia" w:ascii="仿宋" w:hAnsi="仿宋" w:eastAsia="仿宋" w:cs="Times New Roman"/>
                <w:lang w:val="zh-CN"/>
              </w:rPr>
              <w:t>定向采购</w:t>
            </w:r>
          </w:p>
        </w:tc>
        <w:tc>
          <w:tcPr>
            <w:tcW w:w="3510" w:type="pct"/>
            <w:vAlign w:val="center"/>
          </w:tcPr>
          <w:p>
            <w:pPr>
              <w:adjustRightInd w:val="0"/>
              <w:snapToGrid/>
              <w:spacing w:line="400" w:lineRule="exact"/>
              <w:ind w:right="48" w:rightChars="15" w:firstLine="240" w:firstLineChars="100"/>
              <w:rPr>
                <w:rFonts w:ascii="仿宋" w:hAnsi="仿宋" w:eastAsia="仿宋"/>
                <w:lang w:val="en-US"/>
              </w:rPr>
            </w:pPr>
            <w:r>
              <w:rPr>
                <w:rFonts w:hint="eastAsia" w:ascii="仿宋" w:hAnsi="仿宋" w:eastAsia="仿宋" w:cs="仿宋"/>
                <w:b w:val="0"/>
                <w:color w:val="auto"/>
                <w:kern w:val="2"/>
                <w:sz w:val="24"/>
                <w:szCs w:val="24"/>
                <w:lang w:val="en-US"/>
              </w:rPr>
              <w:t>本项目不专门面向中小企业采购。</w:t>
            </w:r>
          </w:p>
        </w:tc>
      </w:tr>
      <w:tr>
        <w:tblPrEx>
          <w:tblBorders>
            <w:top w:val="single" w:color="000000" w:sz="12" w:space="0"/>
            <w:left w:val="single" w:color="000000" w:sz="12" w:space="0"/>
            <w:bottom w:val="single" w:color="000000" w:sz="12" w:space="0"/>
            <w:right w:val="single" w:color="000000" w:sz="12" w:space="0"/>
            <w:insideH w:val="single" w:color="auto" w:sz="6" w:space="0"/>
            <w:insideV w:val="single" w:color="auto" w:sz="6" w:space="0"/>
          </w:tblBorders>
          <w:tblCellMar>
            <w:top w:w="0" w:type="dxa"/>
            <w:left w:w="108" w:type="dxa"/>
            <w:bottom w:w="0" w:type="dxa"/>
            <w:right w:w="108" w:type="dxa"/>
          </w:tblCellMar>
        </w:tblPrEx>
        <w:trPr>
          <w:trHeight w:val="373" w:hRule="atLeast"/>
          <w:jc w:val="center"/>
        </w:trPr>
        <w:tc>
          <w:tcPr>
            <w:tcW w:w="395" w:type="pct"/>
            <w:vMerge w:val="continue"/>
            <w:vAlign w:val="center"/>
          </w:tcPr>
          <w:p>
            <w:pPr>
              <w:pStyle w:val="609"/>
              <w:spacing w:line="440" w:lineRule="exact"/>
              <w:jc w:val="center"/>
              <w:rPr>
                <w:rFonts w:ascii="仿宋" w:hAnsi="仿宋" w:eastAsia="仿宋" w:cs="Times New Roman"/>
                <w:lang w:val="zh-CN"/>
              </w:rPr>
            </w:pPr>
          </w:p>
        </w:tc>
        <w:tc>
          <w:tcPr>
            <w:tcW w:w="1094" w:type="pct"/>
            <w:vAlign w:val="center"/>
          </w:tcPr>
          <w:p>
            <w:pPr>
              <w:pStyle w:val="609"/>
              <w:spacing w:line="440" w:lineRule="exact"/>
              <w:jc w:val="center"/>
              <w:rPr>
                <w:rFonts w:hint="eastAsia" w:ascii="仿宋" w:hAnsi="仿宋" w:eastAsia="仿宋" w:cs="Times New Roman"/>
                <w:lang w:val="zh-CN"/>
              </w:rPr>
            </w:pPr>
            <w:r>
              <w:rPr>
                <w:rFonts w:hint="eastAsia" w:ascii="仿宋" w:hAnsi="仿宋" w:eastAsia="仿宋" w:cs="Times New Roman"/>
                <w:lang w:val="zh-CN"/>
              </w:rPr>
              <w:t>采购标的对应的中小企业划分标准所属行业</w:t>
            </w:r>
          </w:p>
        </w:tc>
        <w:tc>
          <w:tcPr>
            <w:tcW w:w="3510" w:type="pct"/>
            <w:vAlign w:val="center"/>
          </w:tcPr>
          <w:p>
            <w:pPr>
              <w:adjustRightInd w:val="0"/>
              <w:snapToGrid/>
              <w:spacing w:line="400" w:lineRule="exact"/>
              <w:ind w:right="48" w:rightChars="15" w:firstLine="240" w:firstLineChars="100"/>
              <w:rPr>
                <w:rFonts w:hint="eastAsia" w:ascii="仿宋" w:hAnsi="仿宋" w:eastAsia="仿宋" w:cs="仿宋"/>
                <w:b w:val="0"/>
                <w:color w:val="auto"/>
                <w:kern w:val="2"/>
                <w:sz w:val="24"/>
                <w:szCs w:val="24"/>
                <w:lang w:val="en-US"/>
              </w:rPr>
            </w:pPr>
            <w:r>
              <w:rPr>
                <w:rFonts w:hint="eastAsia" w:ascii="仿宋" w:hAnsi="仿宋" w:eastAsia="仿宋" w:cs="仿宋"/>
                <w:b w:val="0"/>
                <w:bCs/>
                <w:color w:val="auto"/>
                <w:kern w:val="2"/>
                <w:sz w:val="24"/>
                <w:szCs w:val="24"/>
                <w:lang w:val="en-US"/>
              </w:rPr>
              <w:t>标的物：</w:t>
            </w:r>
            <w:r>
              <w:rPr>
                <w:rFonts w:hint="eastAsia" w:ascii="仿宋" w:hAnsi="仿宋" w:eastAsia="仿宋" w:cs="仿宋"/>
                <w:b w:val="0"/>
                <w:bCs/>
                <w:color w:val="auto"/>
                <w:kern w:val="2"/>
                <w:sz w:val="24"/>
                <w:szCs w:val="24"/>
                <w:u w:val="single"/>
                <w:lang w:val="en-US"/>
              </w:rPr>
              <w:t>劳务外包服务</w:t>
            </w:r>
            <w:r>
              <w:rPr>
                <w:rFonts w:hint="eastAsia" w:ascii="仿宋" w:hAnsi="仿宋" w:eastAsia="仿宋" w:cs="仿宋"/>
                <w:b w:val="0"/>
                <w:bCs/>
                <w:color w:val="auto"/>
                <w:kern w:val="2"/>
                <w:sz w:val="24"/>
                <w:szCs w:val="24"/>
                <w:lang w:val="en-US"/>
              </w:rPr>
              <w:t>，</w:t>
            </w:r>
            <w:r>
              <w:rPr>
                <w:rFonts w:hint="eastAsia" w:ascii="仿宋" w:hAnsi="仿宋" w:eastAsia="仿宋" w:cs="仿宋"/>
                <w:b w:val="0"/>
                <w:color w:val="auto"/>
                <w:kern w:val="2"/>
                <w:sz w:val="24"/>
                <w:szCs w:val="24"/>
                <w:lang w:val="en-US"/>
              </w:rPr>
              <w:t>属于租赁和商务服务业</w:t>
            </w:r>
          </w:p>
        </w:tc>
      </w:tr>
      <w:tr>
        <w:tblPrEx>
          <w:tblBorders>
            <w:top w:val="single" w:color="000000" w:sz="12" w:space="0"/>
            <w:left w:val="single" w:color="000000" w:sz="12" w:space="0"/>
            <w:bottom w:val="single" w:color="000000" w:sz="12" w:space="0"/>
            <w:right w:val="single" w:color="000000" w:sz="12" w:space="0"/>
            <w:insideH w:val="single" w:color="auto" w:sz="6" w:space="0"/>
            <w:insideV w:val="single" w:color="auto" w:sz="6" w:space="0"/>
          </w:tblBorders>
          <w:tblCellMar>
            <w:top w:w="0" w:type="dxa"/>
            <w:left w:w="108" w:type="dxa"/>
            <w:bottom w:w="0" w:type="dxa"/>
            <w:right w:w="108" w:type="dxa"/>
          </w:tblCellMar>
        </w:tblPrEx>
        <w:trPr>
          <w:trHeight w:val="373" w:hRule="atLeast"/>
          <w:jc w:val="center"/>
        </w:trPr>
        <w:tc>
          <w:tcPr>
            <w:tcW w:w="395" w:type="pct"/>
            <w:vMerge w:val="continue"/>
            <w:vAlign w:val="center"/>
          </w:tcPr>
          <w:p>
            <w:pPr>
              <w:pStyle w:val="609"/>
              <w:spacing w:line="440" w:lineRule="exact"/>
              <w:jc w:val="center"/>
              <w:rPr>
                <w:rFonts w:ascii="仿宋" w:hAnsi="仿宋" w:eastAsia="仿宋" w:cs="Times New Roman"/>
                <w:lang w:val="zh-CN"/>
              </w:rPr>
            </w:pPr>
          </w:p>
        </w:tc>
        <w:tc>
          <w:tcPr>
            <w:tcW w:w="1094" w:type="pct"/>
            <w:vAlign w:val="center"/>
          </w:tcPr>
          <w:p>
            <w:pPr>
              <w:pStyle w:val="609"/>
              <w:spacing w:line="440" w:lineRule="exact"/>
              <w:jc w:val="center"/>
              <w:rPr>
                <w:rFonts w:ascii="仿宋" w:hAnsi="仿宋" w:eastAsia="仿宋" w:cs="Times New Roman"/>
                <w:lang w:val="zh-CN"/>
              </w:rPr>
            </w:pPr>
            <w:r>
              <w:rPr>
                <w:rFonts w:ascii="仿宋" w:hAnsi="仿宋" w:eastAsia="仿宋" w:cs="Times New Roman"/>
                <w:lang w:val="zh-CN"/>
              </w:rPr>
              <w:t>最高限价</w:t>
            </w:r>
          </w:p>
        </w:tc>
        <w:tc>
          <w:tcPr>
            <w:tcW w:w="3510" w:type="pct"/>
            <w:vAlign w:val="center"/>
          </w:tcPr>
          <w:p>
            <w:pPr>
              <w:ind w:firstLine="480"/>
              <w:rPr>
                <w:rFonts w:ascii="仿宋" w:hAnsi="仿宋" w:eastAsia="仿宋"/>
                <w:color w:val="auto"/>
              </w:rPr>
            </w:pPr>
            <w:r>
              <w:rPr>
                <w:rFonts w:hint="eastAsia" w:ascii="仿宋" w:hAnsi="仿宋" w:eastAsia="仿宋" w:cs="仿宋"/>
                <w:b w:val="0"/>
                <w:bCs/>
                <w:color w:val="auto"/>
                <w:kern w:val="2"/>
                <w:sz w:val="24"/>
                <w:szCs w:val="24"/>
                <w:lang w:val="en-US"/>
              </w:rPr>
              <w:t>本项目最高限价为不可竞争费用（</w:t>
            </w:r>
            <w:r>
              <w:rPr>
                <w:rFonts w:hint="eastAsia" w:ascii="仿宋" w:hAnsi="仿宋" w:eastAsia="仿宋" w:cs="仿宋"/>
                <w:b w:val="0"/>
                <w:color w:val="auto"/>
                <w:kern w:val="2"/>
                <w:sz w:val="24"/>
                <w:szCs w:val="24"/>
                <w:lang w:val="en-US"/>
              </w:rPr>
              <w:t>不可竞争费用包含的</w:t>
            </w:r>
            <w:r>
              <w:rPr>
                <w:rFonts w:hint="eastAsia" w:ascii="仿宋" w:hAnsi="仿宋" w:eastAsia="仿宋" w:cs="仿宋"/>
                <w:b w:val="0"/>
                <w:bCs/>
                <w:color w:val="auto"/>
                <w:kern w:val="2"/>
                <w:sz w:val="24"/>
                <w:szCs w:val="24"/>
                <w:lang w:val="en-US"/>
              </w:rPr>
              <w:t>具体内容详见招标文件第6章）的8%。</w:t>
            </w:r>
            <w:r>
              <w:rPr>
                <w:rFonts w:hint="eastAsia" w:ascii="仿宋" w:hAnsi="仿宋" w:eastAsia="仿宋" w:cs="仿宋"/>
                <w:b w:val="0"/>
                <w:bCs/>
                <w:color w:val="auto"/>
                <w:kern w:val="2"/>
                <w:sz w:val="24"/>
                <w:szCs w:val="24"/>
              </w:rPr>
              <w:t>投标报价超过本项目最高限价的作无效投标处理。</w:t>
            </w:r>
          </w:p>
        </w:tc>
      </w:tr>
      <w:tr>
        <w:tblPrEx>
          <w:tblBorders>
            <w:top w:val="single" w:color="000000" w:sz="12" w:space="0"/>
            <w:left w:val="single" w:color="000000" w:sz="12" w:space="0"/>
            <w:bottom w:val="single" w:color="000000" w:sz="12" w:space="0"/>
            <w:right w:val="single" w:color="000000" w:sz="12" w:space="0"/>
            <w:insideH w:val="single" w:color="auto" w:sz="6" w:space="0"/>
            <w:insideV w:val="single" w:color="auto" w:sz="6" w:space="0"/>
          </w:tblBorders>
          <w:tblCellMar>
            <w:top w:w="0" w:type="dxa"/>
            <w:left w:w="108" w:type="dxa"/>
            <w:bottom w:w="0" w:type="dxa"/>
            <w:right w:w="108" w:type="dxa"/>
          </w:tblCellMar>
        </w:tblPrEx>
        <w:trPr>
          <w:trHeight w:val="373" w:hRule="atLeast"/>
          <w:jc w:val="center"/>
        </w:trPr>
        <w:tc>
          <w:tcPr>
            <w:tcW w:w="395" w:type="pct"/>
            <w:vAlign w:val="center"/>
          </w:tcPr>
          <w:p>
            <w:pPr>
              <w:pStyle w:val="609"/>
              <w:spacing w:line="440" w:lineRule="exact"/>
              <w:jc w:val="center"/>
              <w:rPr>
                <w:rFonts w:ascii="仿宋" w:hAnsi="仿宋" w:eastAsia="仿宋" w:cs="Times New Roman"/>
                <w:lang w:val="zh-CN"/>
              </w:rPr>
            </w:pPr>
            <w:r>
              <w:rPr>
                <w:rFonts w:ascii="仿宋" w:hAnsi="仿宋" w:eastAsia="仿宋" w:cs="Times New Roman"/>
                <w:lang w:val="zh-CN"/>
              </w:rPr>
              <w:t>2</w:t>
            </w:r>
          </w:p>
        </w:tc>
        <w:tc>
          <w:tcPr>
            <w:tcW w:w="1094" w:type="pct"/>
            <w:vAlign w:val="center"/>
          </w:tcPr>
          <w:p>
            <w:pPr>
              <w:pStyle w:val="609"/>
              <w:spacing w:line="440" w:lineRule="exact"/>
              <w:jc w:val="center"/>
              <w:rPr>
                <w:rFonts w:ascii="仿宋" w:hAnsi="仿宋" w:eastAsia="仿宋" w:cs="Times New Roman"/>
                <w:lang w:val="zh-CN"/>
              </w:rPr>
            </w:pPr>
            <w:r>
              <w:rPr>
                <w:rFonts w:ascii="仿宋" w:hAnsi="仿宋" w:eastAsia="仿宋" w:cs="Times New Roman"/>
                <w:lang w:val="zh-CN"/>
              </w:rPr>
              <w:t>低于成本价</w:t>
            </w:r>
          </w:p>
        </w:tc>
        <w:tc>
          <w:tcPr>
            <w:tcW w:w="3510" w:type="pct"/>
            <w:vAlign w:val="center"/>
          </w:tcPr>
          <w:p>
            <w:pPr>
              <w:pStyle w:val="609"/>
              <w:spacing w:line="440" w:lineRule="exact"/>
              <w:ind w:firstLine="240" w:firstLineChars="100"/>
              <w:rPr>
                <w:rFonts w:ascii="仿宋" w:hAnsi="仿宋" w:eastAsia="仿宋" w:cs="Times New Roman"/>
              </w:rPr>
            </w:pPr>
            <w:r>
              <w:rPr>
                <w:rFonts w:ascii="仿宋" w:hAnsi="仿宋" w:eastAsia="仿宋" w:cs="Times New Roman"/>
              </w:rPr>
              <w:t>评标委员会认为投标人的报价明显低于其他通过符合性审查投标人的报价，有可能影响产品质量或者不能诚信履约的，应当要求其在评标现场合理的时间内提供书面说明，必要时提交相关证明材料。</w:t>
            </w:r>
          </w:p>
          <w:p>
            <w:pPr>
              <w:pStyle w:val="609"/>
              <w:spacing w:line="440" w:lineRule="exact"/>
              <w:ind w:firstLine="240" w:firstLineChars="100"/>
              <w:rPr>
                <w:rFonts w:ascii="仿宋" w:hAnsi="仿宋" w:eastAsia="仿宋" w:cs="Times New Roman"/>
              </w:rPr>
            </w:pPr>
            <w:r>
              <w:rPr>
                <w:rFonts w:ascii="仿宋" w:hAnsi="仿宋" w:eastAsia="仿宋" w:cs="Times New Roman"/>
              </w:rPr>
              <w:t>投标人书面说明应当按照国家财务会计制度的规定要求，逐项就供应商提供的服务的主营业务成本（应根据供应商企业类型予以区别）、税金及附加、销售费用、管理费用、财务费用等成本构成事项详细陈述。</w:t>
            </w:r>
          </w:p>
          <w:p>
            <w:pPr>
              <w:pStyle w:val="609"/>
              <w:spacing w:line="440" w:lineRule="exact"/>
              <w:ind w:firstLine="240" w:firstLineChars="100"/>
              <w:rPr>
                <w:rFonts w:ascii="仿宋" w:hAnsi="仿宋" w:eastAsia="仿宋" w:cs="Times New Roman"/>
              </w:rPr>
            </w:pPr>
            <w:r>
              <w:rPr>
                <w:rFonts w:ascii="仿宋" w:hAnsi="仿宋" w:eastAsia="仿宋" w:cs="Times New Roman"/>
              </w:rPr>
              <w:t>投标人书面说明应当签字确认或者加盖公章，否则无效。书面说明的签字确认，投标人为法人的，由其法定代表人或者代理人签字确认；投标人为其他组织的，由其主要负责人或者代理人签字确认；投标人为自然人的，由其本人</w:t>
            </w:r>
            <w:r>
              <w:rPr>
                <w:rFonts w:hint="eastAsia" w:ascii="仿宋" w:hAnsi="仿宋" w:eastAsia="仿宋" w:cs="Times New Roman"/>
              </w:rPr>
              <w:t>（经营者）</w:t>
            </w:r>
            <w:r>
              <w:rPr>
                <w:rFonts w:ascii="仿宋" w:hAnsi="仿宋" w:eastAsia="仿宋" w:cs="Times New Roman"/>
              </w:rPr>
              <w:t>或者代理人签字确认。</w:t>
            </w:r>
          </w:p>
          <w:p>
            <w:pPr>
              <w:pStyle w:val="609"/>
              <w:spacing w:line="440" w:lineRule="exact"/>
              <w:ind w:firstLine="240" w:firstLineChars="100"/>
              <w:rPr>
                <w:rFonts w:ascii="仿宋" w:hAnsi="仿宋" w:eastAsia="仿宋" w:cs="Times New Roman"/>
              </w:rPr>
            </w:pPr>
            <w:r>
              <w:rPr>
                <w:rFonts w:ascii="仿宋" w:hAnsi="仿宋" w:eastAsia="仿宋" w:cs="Times New Roman"/>
              </w:rPr>
              <w:t>投标人提供书面说明后，评标委员会应当结合采购项目采购需求、专业实际情况、供应商财务状况报告、与其他供应商比较情况等就供应商书面说明进行审查评价。</w:t>
            </w:r>
          </w:p>
          <w:p>
            <w:pPr>
              <w:pStyle w:val="609"/>
              <w:spacing w:line="440" w:lineRule="exact"/>
              <w:rPr>
                <w:rFonts w:ascii="仿宋" w:hAnsi="仿宋" w:eastAsia="仿宋" w:cs="Times New Roman"/>
                <w:color w:val="FF0000"/>
              </w:rPr>
            </w:pPr>
            <w:r>
              <w:rPr>
                <w:rFonts w:ascii="仿宋" w:hAnsi="仿宋" w:eastAsia="仿宋" w:cs="Times New Roman"/>
              </w:rPr>
              <w:t>投标人拒绝或者变相拒绝提供有效书面说明或者书面说明不能证明其报价合理性的，评标委员会应当将其作为无效投标处理。</w:t>
            </w:r>
          </w:p>
        </w:tc>
      </w:tr>
      <w:tr>
        <w:tblPrEx>
          <w:tblBorders>
            <w:top w:val="single" w:color="000000" w:sz="12" w:space="0"/>
            <w:left w:val="single" w:color="000000" w:sz="12" w:space="0"/>
            <w:bottom w:val="single" w:color="000000" w:sz="12" w:space="0"/>
            <w:right w:val="single" w:color="000000" w:sz="12" w:space="0"/>
            <w:insideH w:val="single" w:color="auto" w:sz="6" w:space="0"/>
            <w:insideV w:val="single" w:color="auto" w:sz="6" w:space="0"/>
          </w:tblBorders>
          <w:tblCellMar>
            <w:top w:w="0" w:type="dxa"/>
            <w:left w:w="108" w:type="dxa"/>
            <w:bottom w:w="0" w:type="dxa"/>
            <w:right w:w="108" w:type="dxa"/>
          </w:tblCellMar>
        </w:tblPrEx>
        <w:trPr>
          <w:trHeight w:val="373" w:hRule="atLeast"/>
          <w:jc w:val="center"/>
        </w:trPr>
        <w:tc>
          <w:tcPr>
            <w:tcW w:w="395" w:type="pct"/>
            <w:vAlign w:val="center"/>
          </w:tcPr>
          <w:p>
            <w:pPr>
              <w:pStyle w:val="609"/>
              <w:spacing w:line="440" w:lineRule="exact"/>
              <w:jc w:val="center"/>
              <w:rPr>
                <w:rFonts w:ascii="仿宋" w:hAnsi="仿宋" w:eastAsia="仿宋" w:cs="Times New Roman"/>
                <w:lang w:val="zh-CN"/>
              </w:rPr>
            </w:pPr>
            <w:r>
              <w:rPr>
                <w:rFonts w:ascii="仿宋" w:hAnsi="仿宋" w:eastAsia="仿宋" w:cs="Times New Roman"/>
                <w:lang w:val="zh-CN"/>
              </w:rPr>
              <w:t>3</w:t>
            </w:r>
          </w:p>
        </w:tc>
        <w:tc>
          <w:tcPr>
            <w:tcW w:w="1094" w:type="pct"/>
            <w:vAlign w:val="center"/>
          </w:tcPr>
          <w:p>
            <w:pPr>
              <w:pStyle w:val="609"/>
              <w:spacing w:line="440" w:lineRule="exact"/>
              <w:jc w:val="center"/>
              <w:rPr>
                <w:rFonts w:ascii="仿宋" w:hAnsi="仿宋" w:eastAsia="仿宋" w:cs="Times New Roman"/>
                <w:lang w:val="zh-CN"/>
              </w:rPr>
            </w:pPr>
            <w:r>
              <w:rPr>
                <w:rFonts w:hint="eastAsia" w:ascii="仿宋" w:hAnsi="仿宋" w:eastAsia="仿宋"/>
                <w:color w:val="000000"/>
              </w:rPr>
              <w:t>小微企业（监狱企业、残疾人福利性单位视同小微企业）价格扣除</w:t>
            </w:r>
          </w:p>
        </w:tc>
        <w:tc>
          <w:tcPr>
            <w:tcW w:w="3510" w:type="pct"/>
            <w:vAlign w:val="center"/>
          </w:tcPr>
          <w:p>
            <w:pPr>
              <w:widowControl/>
              <w:adjustRightInd w:val="0"/>
              <w:spacing w:line="400" w:lineRule="exact"/>
              <w:ind w:firstLine="240" w:firstLineChars="100"/>
              <w:rPr>
                <w:rFonts w:hint="eastAsia" w:ascii="仿宋" w:hAnsi="仿宋" w:eastAsia="仿宋" w:cs="宋体"/>
                <w:b w:val="0"/>
                <w:color w:val="000000"/>
                <w:sz w:val="24"/>
                <w:szCs w:val="24"/>
                <w:lang w:val="en-US"/>
              </w:rPr>
            </w:pPr>
            <w:r>
              <w:rPr>
                <w:rFonts w:hint="eastAsia" w:ascii="仿宋" w:hAnsi="仿宋" w:eastAsia="仿宋" w:cs="宋体"/>
                <w:b w:val="0"/>
                <w:color w:val="000000"/>
                <w:sz w:val="24"/>
                <w:szCs w:val="24"/>
                <w:lang w:val="en-US"/>
              </w:rPr>
              <w:t>小微企业（监狱企业、残疾人福利性单位视同小微企业）价格扣除</w:t>
            </w:r>
          </w:p>
          <w:p>
            <w:pPr>
              <w:widowControl/>
              <w:adjustRightInd w:val="0"/>
              <w:spacing w:line="400" w:lineRule="exact"/>
              <w:ind w:firstLine="240" w:firstLineChars="100"/>
              <w:rPr>
                <w:rFonts w:hint="eastAsia" w:ascii="仿宋" w:hAnsi="仿宋" w:eastAsia="仿宋" w:cs="宋体"/>
                <w:b w:val="0"/>
                <w:color w:val="auto"/>
                <w:sz w:val="24"/>
                <w:szCs w:val="24"/>
                <w:lang w:val="en-US"/>
              </w:rPr>
            </w:pPr>
            <w:r>
              <w:rPr>
                <w:rFonts w:hint="eastAsia" w:ascii="仿宋" w:hAnsi="仿宋" w:eastAsia="仿宋" w:cs="宋体"/>
                <w:b w:val="0"/>
                <w:color w:val="000000"/>
                <w:sz w:val="24"/>
                <w:szCs w:val="24"/>
                <w:lang w:val="en-US"/>
              </w:rPr>
              <w:t>1.</w:t>
            </w:r>
            <w:r>
              <w:rPr>
                <w:rFonts w:hint="eastAsia" w:ascii="Times New Roman" w:hAnsi="Times New Roman"/>
                <w:b w:val="0"/>
                <w:color w:val="auto"/>
                <w:kern w:val="2"/>
                <w:sz w:val="21"/>
                <w:szCs w:val="21"/>
                <w:lang w:val="en-US"/>
              </w:rPr>
              <w:t xml:space="preserve"> </w:t>
            </w:r>
            <w:r>
              <w:rPr>
                <w:rFonts w:hint="eastAsia" w:ascii="仿宋" w:hAnsi="仿宋" w:eastAsia="仿宋"/>
                <w:b w:val="0"/>
                <w:bCs/>
                <w:color w:val="auto"/>
                <w:sz w:val="24"/>
                <w:szCs w:val="24"/>
              </w:rPr>
              <w:t>本项目</w:t>
            </w:r>
            <w:r>
              <w:rPr>
                <w:rFonts w:hint="eastAsia" w:ascii="仿宋" w:hAnsi="仿宋" w:eastAsia="仿宋" w:cs="宋体"/>
                <w:b w:val="0"/>
                <w:color w:val="auto"/>
                <w:sz w:val="24"/>
                <w:szCs w:val="24"/>
                <w:lang w:val="en-US"/>
              </w:rPr>
              <w:t>不专门面向中小企业采购，根据《政府采购促进中小企业发展管理办法》（财库﹝2020﹞46 号）规定，对小型和微型企业产品的价格给予10%的价格扣除，用扣除后的价格参与评审。</w:t>
            </w:r>
          </w:p>
          <w:p>
            <w:pPr>
              <w:widowControl/>
              <w:adjustRightInd w:val="0"/>
              <w:spacing w:line="400" w:lineRule="exact"/>
              <w:ind w:firstLine="240" w:firstLineChars="100"/>
              <w:rPr>
                <w:rFonts w:hint="eastAsia" w:ascii="仿宋" w:hAnsi="仿宋" w:eastAsia="仿宋" w:cs="宋体"/>
                <w:b w:val="0"/>
                <w:color w:val="000000"/>
                <w:sz w:val="24"/>
                <w:szCs w:val="24"/>
                <w:lang w:val="en-US"/>
              </w:rPr>
            </w:pPr>
            <w:r>
              <w:rPr>
                <w:rFonts w:hint="eastAsia" w:ascii="仿宋" w:hAnsi="仿宋" w:eastAsia="仿宋" w:cs="宋体"/>
                <w:b w:val="0"/>
                <w:color w:val="auto"/>
                <w:sz w:val="24"/>
                <w:szCs w:val="24"/>
                <w:lang w:val="en-US"/>
              </w:rPr>
              <w:t>2.参加政府采购活动的中小企业应当提供《中小企业声明函》（格式详见第3章 响应文件格式《中小企业声明函》）原件。监狱企业应当提供《监狱企业证明》（格式详见第3章 响应文件格式《监狱企业证明材料》）原件。残疾人福利性单位应当提供《残疾人福</w:t>
            </w:r>
            <w:r>
              <w:rPr>
                <w:rFonts w:hint="eastAsia" w:ascii="仿宋" w:hAnsi="仿宋" w:eastAsia="仿宋" w:cs="宋体"/>
                <w:b w:val="0"/>
                <w:color w:val="000000"/>
                <w:sz w:val="24"/>
                <w:szCs w:val="24"/>
                <w:lang w:val="en-US"/>
              </w:rPr>
              <w:t>利性单位声明函》（格式详见第</w:t>
            </w:r>
            <w:r>
              <w:rPr>
                <w:rFonts w:hint="eastAsia" w:ascii="仿宋" w:hAnsi="仿宋" w:eastAsia="仿宋" w:cs="宋体"/>
                <w:b w:val="0"/>
                <w:sz w:val="24"/>
                <w:szCs w:val="24"/>
                <w:lang w:val="en-US"/>
              </w:rPr>
              <w:t>3</w:t>
            </w:r>
            <w:r>
              <w:rPr>
                <w:rFonts w:hint="eastAsia" w:ascii="仿宋" w:hAnsi="仿宋" w:eastAsia="仿宋" w:cs="宋体"/>
                <w:b w:val="0"/>
                <w:color w:val="000000"/>
                <w:sz w:val="24"/>
                <w:szCs w:val="24"/>
                <w:lang w:val="en-US"/>
              </w:rPr>
              <w:t>章 响应文件格式《残疾人福利性单位声明函》）原件。未提供的，视为放弃享受小微企业价格扣除优惠政策。</w:t>
            </w:r>
          </w:p>
          <w:p>
            <w:pPr>
              <w:widowControl/>
              <w:adjustRightInd w:val="0"/>
              <w:spacing w:line="400" w:lineRule="exact"/>
              <w:ind w:firstLine="240" w:firstLineChars="100"/>
              <w:rPr>
                <w:rFonts w:ascii="仿宋" w:hAnsi="仿宋" w:eastAsia="仿宋"/>
              </w:rPr>
            </w:pPr>
            <w:r>
              <w:rPr>
                <w:rFonts w:hint="eastAsia" w:ascii="仿宋" w:hAnsi="仿宋" w:eastAsia="仿宋" w:cs="宋体"/>
                <w:b w:val="0"/>
                <w:color w:val="auto"/>
                <w:sz w:val="24"/>
                <w:szCs w:val="24"/>
                <w:lang w:val="en-US"/>
              </w:rPr>
              <w:t>注：中小企业划分标准依据《工业和信息化部、国家统计局、国家发展和改革委员会、财政部关于印发中小企业划型标准规定的通知》（工信部联企业〔2011〕300号）规定。</w:t>
            </w:r>
          </w:p>
        </w:tc>
      </w:tr>
      <w:tr>
        <w:tblPrEx>
          <w:tblBorders>
            <w:top w:val="single" w:color="000000" w:sz="12" w:space="0"/>
            <w:left w:val="single" w:color="000000" w:sz="12" w:space="0"/>
            <w:bottom w:val="single" w:color="000000" w:sz="12" w:space="0"/>
            <w:right w:val="single" w:color="000000" w:sz="12" w:space="0"/>
            <w:insideH w:val="single" w:color="auto" w:sz="6" w:space="0"/>
            <w:insideV w:val="single" w:color="auto" w:sz="6" w:space="0"/>
          </w:tblBorders>
          <w:tblCellMar>
            <w:top w:w="0" w:type="dxa"/>
            <w:left w:w="108" w:type="dxa"/>
            <w:bottom w:w="0" w:type="dxa"/>
            <w:right w:w="108" w:type="dxa"/>
          </w:tblCellMar>
        </w:tblPrEx>
        <w:trPr>
          <w:trHeight w:val="373" w:hRule="atLeast"/>
          <w:jc w:val="center"/>
        </w:trPr>
        <w:tc>
          <w:tcPr>
            <w:tcW w:w="395" w:type="pct"/>
            <w:vAlign w:val="center"/>
          </w:tcPr>
          <w:p>
            <w:pPr>
              <w:snapToGrid/>
              <w:spacing w:line="440" w:lineRule="exact"/>
              <w:ind w:firstLine="0" w:firstLineChars="0"/>
              <w:jc w:val="center"/>
              <w:rPr>
                <w:rFonts w:ascii="仿宋" w:hAnsi="仿宋" w:eastAsia="仿宋"/>
                <w:b w:val="0"/>
                <w:color w:val="auto"/>
                <w:sz w:val="24"/>
                <w:szCs w:val="24"/>
              </w:rPr>
            </w:pPr>
            <w:r>
              <w:rPr>
                <w:rFonts w:ascii="仿宋" w:hAnsi="仿宋" w:eastAsia="仿宋"/>
                <w:b w:val="0"/>
                <w:color w:val="auto"/>
                <w:sz w:val="24"/>
                <w:szCs w:val="24"/>
              </w:rPr>
              <w:t>4</w:t>
            </w:r>
          </w:p>
        </w:tc>
        <w:tc>
          <w:tcPr>
            <w:tcW w:w="1094" w:type="pct"/>
            <w:vAlign w:val="center"/>
          </w:tcPr>
          <w:p>
            <w:pPr>
              <w:pStyle w:val="609"/>
              <w:spacing w:line="440" w:lineRule="exact"/>
              <w:jc w:val="center"/>
              <w:rPr>
                <w:rFonts w:ascii="仿宋" w:hAnsi="仿宋" w:eastAsia="仿宋" w:cs="Times New Roman"/>
                <w:lang w:val="zh-CN"/>
              </w:rPr>
            </w:pPr>
            <w:r>
              <w:rPr>
                <w:rFonts w:ascii="仿宋" w:hAnsi="仿宋" w:eastAsia="仿宋" w:cs="Times New Roman"/>
                <w:lang w:val="zh-CN"/>
              </w:rPr>
              <w:t>参数说明</w:t>
            </w:r>
          </w:p>
        </w:tc>
        <w:tc>
          <w:tcPr>
            <w:tcW w:w="3510" w:type="pct"/>
            <w:vAlign w:val="center"/>
          </w:tcPr>
          <w:p>
            <w:pPr>
              <w:pStyle w:val="609"/>
              <w:spacing w:line="440" w:lineRule="exact"/>
              <w:ind w:firstLine="240" w:firstLineChars="100"/>
              <w:rPr>
                <w:rFonts w:ascii="仿宋" w:hAnsi="仿宋" w:eastAsia="仿宋" w:cs="Times New Roman"/>
                <w:lang w:val="zh-CN"/>
              </w:rPr>
            </w:pPr>
            <w:r>
              <w:rPr>
                <w:rFonts w:ascii="仿宋" w:hAnsi="仿宋" w:eastAsia="仿宋" w:cs="Times New Roman"/>
                <w:lang w:val="zh-CN"/>
              </w:rPr>
              <w:t>本项目中对未有注明的参数要求，均以标准配置为准。如在各技术参数中指出某些技术参数仅为某一品牌所特有的，仅起说明作用，并没有任何限制性。投标人在投标中可以选用替代标准，但这些替代要实质性相当于技术规格的要求，并提供相关证明材料；在招标文件中有未提及到的技术细节或招标文件中任何条款的叙述中没有明确的规定的，都视为是指国家（或部颁行业）的标准和规范。</w:t>
            </w:r>
          </w:p>
        </w:tc>
      </w:tr>
      <w:tr>
        <w:tblPrEx>
          <w:tblBorders>
            <w:top w:val="single" w:color="000000" w:sz="12" w:space="0"/>
            <w:left w:val="single" w:color="000000" w:sz="12" w:space="0"/>
            <w:bottom w:val="single" w:color="000000" w:sz="12" w:space="0"/>
            <w:right w:val="single" w:color="000000" w:sz="12"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395" w:type="pct"/>
            <w:vAlign w:val="center"/>
          </w:tcPr>
          <w:p>
            <w:pPr>
              <w:snapToGrid/>
              <w:spacing w:line="440" w:lineRule="exact"/>
              <w:ind w:firstLine="0" w:firstLineChars="0"/>
              <w:jc w:val="center"/>
              <w:rPr>
                <w:rFonts w:ascii="仿宋" w:hAnsi="仿宋" w:eastAsia="仿宋"/>
                <w:b w:val="0"/>
                <w:color w:val="auto"/>
                <w:sz w:val="24"/>
                <w:szCs w:val="24"/>
              </w:rPr>
            </w:pPr>
            <w:r>
              <w:rPr>
                <w:rFonts w:ascii="仿宋" w:hAnsi="仿宋" w:eastAsia="仿宋"/>
                <w:b w:val="0"/>
                <w:color w:val="auto"/>
                <w:sz w:val="24"/>
                <w:szCs w:val="24"/>
              </w:rPr>
              <w:t>5</w:t>
            </w:r>
          </w:p>
        </w:tc>
        <w:tc>
          <w:tcPr>
            <w:tcW w:w="1094" w:type="pct"/>
            <w:vAlign w:val="center"/>
          </w:tcPr>
          <w:p>
            <w:pPr>
              <w:pStyle w:val="609"/>
              <w:spacing w:line="440" w:lineRule="exact"/>
              <w:jc w:val="center"/>
              <w:rPr>
                <w:rFonts w:ascii="仿宋" w:hAnsi="仿宋" w:eastAsia="仿宋" w:cs="Times New Roman"/>
                <w:lang w:val="zh-CN"/>
              </w:rPr>
            </w:pPr>
            <w:r>
              <w:rPr>
                <w:rFonts w:ascii="仿宋" w:hAnsi="仿宋" w:eastAsia="仿宋" w:cs="Times New Roman"/>
                <w:lang w:val="zh-CN"/>
              </w:rPr>
              <w:t>采购方式</w:t>
            </w:r>
          </w:p>
        </w:tc>
        <w:tc>
          <w:tcPr>
            <w:tcW w:w="3510" w:type="pct"/>
            <w:vAlign w:val="center"/>
          </w:tcPr>
          <w:p>
            <w:pPr>
              <w:pStyle w:val="609"/>
              <w:spacing w:line="440" w:lineRule="exact"/>
              <w:ind w:firstLine="240" w:firstLineChars="100"/>
              <w:rPr>
                <w:rFonts w:ascii="仿宋" w:hAnsi="仿宋" w:eastAsia="仿宋" w:cs="Times New Roman"/>
                <w:lang w:val="zh-CN"/>
              </w:rPr>
            </w:pPr>
            <w:r>
              <w:rPr>
                <w:rFonts w:ascii="仿宋" w:hAnsi="仿宋" w:eastAsia="仿宋" w:cs="Times New Roman"/>
                <w:lang w:val="zh-CN"/>
              </w:rPr>
              <w:t>公开招标。</w:t>
            </w:r>
          </w:p>
        </w:tc>
      </w:tr>
      <w:tr>
        <w:tblPrEx>
          <w:tblBorders>
            <w:top w:val="single" w:color="000000" w:sz="12" w:space="0"/>
            <w:left w:val="single" w:color="000000" w:sz="12" w:space="0"/>
            <w:bottom w:val="single" w:color="000000" w:sz="12" w:space="0"/>
            <w:right w:val="single" w:color="000000" w:sz="12" w:space="0"/>
            <w:insideH w:val="single" w:color="auto" w:sz="6" w:space="0"/>
            <w:insideV w:val="single" w:color="auto" w:sz="6" w:space="0"/>
          </w:tblBorders>
          <w:tblCellMar>
            <w:top w:w="0" w:type="dxa"/>
            <w:left w:w="108" w:type="dxa"/>
            <w:bottom w:w="0" w:type="dxa"/>
            <w:right w:w="108" w:type="dxa"/>
          </w:tblCellMar>
        </w:tblPrEx>
        <w:trPr>
          <w:trHeight w:val="267" w:hRule="atLeast"/>
          <w:jc w:val="center"/>
        </w:trPr>
        <w:tc>
          <w:tcPr>
            <w:tcW w:w="395" w:type="pct"/>
            <w:vAlign w:val="center"/>
          </w:tcPr>
          <w:p>
            <w:pPr>
              <w:snapToGrid/>
              <w:spacing w:line="440" w:lineRule="exact"/>
              <w:ind w:firstLine="0" w:firstLineChars="0"/>
              <w:jc w:val="center"/>
              <w:rPr>
                <w:rFonts w:ascii="仿宋" w:hAnsi="仿宋" w:eastAsia="仿宋"/>
                <w:b w:val="0"/>
                <w:color w:val="auto"/>
                <w:sz w:val="24"/>
                <w:szCs w:val="24"/>
              </w:rPr>
            </w:pPr>
            <w:r>
              <w:rPr>
                <w:rFonts w:ascii="仿宋" w:hAnsi="仿宋" w:eastAsia="仿宋"/>
                <w:b w:val="0"/>
                <w:color w:val="auto"/>
                <w:sz w:val="24"/>
                <w:szCs w:val="24"/>
              </w:rPr>
              <w:t>6</w:t>
            </w:r>
          </w:p>
        </w:tc>
        <w:tc>
          <w:tcPr>
            <w:tcW w:w="1094" w:type="pct"/>
            <w:vAlign w:val="center"/>
          </w:tcPr>
          <w:p>
            <w:pPr>
              <w:pStyle w:val="609"/>
              <w:spacing w:line="440" w:lineRule="exact"/>
              <w:jc w:val="center"/>
              <w:rPr>
                <w:rFonts w:ascii="仿宋" w:hAnsi="仿宋" w:eastAsia="仿宋" w:cs="Times New Roman"/>
                <w:lang w:val="zh-CN"/>
              </w:rPr>
            </w:pPr>
            <w:r>
              <w:rPr>
                <w:rFonts w:ascii="仿宋" w:hAnsi="仿宋" w:eastAsia="仿宋" w:cs="Times New Roman"/>
                <w:lang w:val="zh-CN"/>
              </w:rPr>
              <w:t>进口产品</w:t>
            </w:r>
          </w:p>
        </w:tc>
        <w:tc>
          <w:tcPr>
            <w:tcW w:w="3510" w:type="pct"/>
            <w:vAlign w:val="center"/>
          </w:tcPr>
          <w:p>
            <w:pPr>
              <w:pStyle w:val="609"/>
              <w:spacing w:line="440" w:lineRule="exact"/>
              <w:ind w:firstLine="240" w:firstLineChars="100"/>
              <w:rPr>
                <w:rFonts w:ascii="仿宋" w:hAnsi="仿宋" w:eastAsia="仿宋" w:cs="Times New Roman"/>
                <w:lang w:val="zh-CN"/>
              </w:rPr>
            </w:pPr>
            <w:r>
              <w:rPr>
                <w:rFonts w:ascii="仿宋" w:hAnsi="仿宋" w:eastAsia="仿宋" w:cs="Times New Roman"/>
                <w:lang w:val="zh-CN"/>
              </w:rPr>
              <w:t>详见投标人须知2.4.5。</w:t>
            </w:r>
          </w:p>
        </w:tc>
      </w:tr>
      <w:tr>
        <w:tblPrEx>
          <w:tblBorders>
            <w:top w:val="single" w:color="000000" w:sz="12" w:space="0"/>
            <w:left w:val="single" w:color="000000" w:sz="12" w:space="0"/>
            <w:bottom w:val="single" w:color="000000" w:sz="12" w:space="0"/>
            <w:right w:val="single" w:color="000000" w:sz="12" w:space="0"/>
            <w:insideH w:val="single" w:color="auto" w:sz="6" w:space="0"/>
            <w:insideV w:val="single" w:color="auto" w:sz="6" w:space="0"/>
          </w:tblBorders>
          <w:tblCellMar>
            <w:top w:w="0" w:type="dxa"/>
            <w:left w:w="108" w:type="dxa"/>
            <w:bottom w:w="0" w:type="dxa"/>
            <w:right w:w="108" w:type="dxa"/>
          </w:tblCellMar>
        </w:tblPrEx>
        <w:trPr>
          <w:trHeight w:val="660" w:hRule="atLeast"/>
          <w:jc w:val="center"/>
        </w:trPr>
        <w:tc>
          <w:tcPr>
            <w:tcW w:w="395" w:type="pct"/>
            <w:vMerge w:val="restart"/>
            <w:vAlign w:val="center"/>
          </w:tcPr>
          <w:p>
            <w:pPr>
              <w:snapToGrid/>
              <w:spacing w:line="440" w:lineRule="exact"/>
              <w:ind w:firstLine="0" w:firstLineChars="0"/>
              <w:jc w:val="center"/>
              <w:rPr>
                <w:rFonts w:ascii="仿宋" w:hAnsi="仿宋" w:eastAsia="仿宋"/>
                <w:b w:val="0"/>
                <w:color w:val="auto"/>
                <w:sz w:val="24"/>
                <w:szCs w:val="24"/>
              </w:rPr>
            </w:pPr>
            <w:r>
              <w:rPr>
                <w:rFonts w:ascii="仿宋" w:hAnsi="仿宋" w:eastAsia="仿宋"/>
                <w:b w:val="0"/>
                <w:color w:val="auto"/>
                <w:sz w:val="24"/>
                <w:szCs w:val="24"/>
              </w:rPr>
              <w:t>7</w:t>
            </w:r>
          </w:p>
        </w:tc>
        <w:tc>
          <w:tcPr>
            <w:tcW w:w="1094" w:type="pct"/>
            <w:vMerge w:val="restart"/>
            <w:vAlign w:val="center"/>
          </w:tcPr>
          <w:p>
            <w:pPr>
              <w:pStyle w:val="609"/>
              <w:spacing w:line="440" w:lineRule="exact"/>
              <w:jc w:val="center"/>
              <w:rPr>
                <w:rFonts w:ascii="仿宋" w:hAnsi="仿宋" w:eastAsia="仿宋" w:cs="Times New Roman"/>
                <w:lang w:val="zh-CN"/>
              </w:rPr>
            </w:pPr>
            <w:r>
              <w:rPr>
                <w:rFonts w:ascii="仿宋" w:hAnsi="仿宋" w:eastAsia="仿宋" w:cs="Times New Roman"/>
                <w:lang w:val="zh-CN"/>
              </w:rPr>
              <w:t>国家规定的优先、强制采购范围</w:t>
            </w:r>
          </w:p>
          <w:p>
            <w:pPr>
              <w:pStyle w:val="609"/>
              <w:spacing w:line="440" w:lineRule="exact"/>
              <w:jc w:val="center"/>
              <w:rPr>
                <w:rFonts w:ascii="仿宋" w:hAnsi="仿宋" w:eastAsia="仿宋" w:cs="Times New Roman"/>
              </w:rPr>
            </w:pPr>
            <w:r>
              <w:rPr>
                <w:rFonts w:ascii="仿宋" w:hAnsi="仿宋" w:eastAsia="仿宋" w:cs="Times New Roman"/>
                <w:lang w:val="zh-CN"/>
              </w:rPr>
              <w:t>（节能、环保）</w:t>
            </w:r>
          </w:p>
        </w:tc>
        <w:tc>
          <w:tcPr>
            <w:tcW w:w="3510" w:type="pct"/>
            <w:vAlign w:val="center"/>
          </w:tcPr>
          <w:p>
            <w:pPr>
              <w:pStyle w:val="609"/>
              <w:snapToGrid w:val="0"/>
              <w:spacing w:line="440" w:lineRule="exact"/>
              <w:ind w:firstLine="240" w:firstLineChars="100"/>
              <w:rPr>
                <w:rFonts w:ascii="仿宋" w:hAnsi="仿宋" w:eastAsia="仿宋" w:cs="Times New Roman"/>
                <w:color w:val="FF0000"/>
              </w:rPr>
            </w:pPr>
            <w:r>
              <w:rPr>
                <w:rFonts w:ascii="仿宋" w:hAnsi="仿宋" w:eastAsia="仿宋" w:cs="Times New Roman"/>
                <w:lang w:val="zh-CN"/>
              </w:rPr>
              <w:t>本项目为服务类采购项目，不涉及国家规定的强制采购产品范围</w:t>
            </w:r>
            <w:r>
              <w:rPr>
                <w:rFonts w:ascii="仿宋" w:hAnsi="仿宋" w:eastAsia="仿宋" w:cs="Times New Roman"/>
              </w:rPr>
              <w:t>。</w:t>
            </w:r>
          </w:p>
        </w:tc>
      </w:tr>
      <w:tr>
        <w:tblPrEx>
          <w:tblBorders>
            <w:top w:val="single" w:color="000000" w:sz="12" w:space="0"/>
            <w:left w:val="single" w:color="000000" w:sz="12" w:space="0"/>
            <w:bottom w:val="single" w:color="000000" w:sz="12" w:space="0"/>
            <w:right w:val="single" w:color="000000" w:sz="12" w:space="0"/>
            <w:insideH w:val="single" w:color="auto" w:sz="6" w:space="0"/>
            <w:insideV w:val="single" w:color="auto" w:sz="6" w:space="0"/>
          </w:tblBorders>
          <w:tblCellMar>
            <w:top w:w="0" w:type="dxa"/>
            <w:left w:w="108" w:type="dxa"/>
            <w:bottom w:w="0" w:type="dxa"/>
            <w:right w:w="108" w:type="dxa"/>
          </w:tblCellMar>
        </w:tblPrEx>
        <w:trPr>
          <w:trHeight w:val="745" w:hRule="atLeast"/>
          <w:jc w:val="center"/>
        </w:trPr>
        <w:tc>
          <w:tcPr>
            <w:tcW w:w="395" w:type="pct"/>
            <w:vMerge w:val="continue"/>
            <w:vAlign w:val="center"/>
          </w:tcPr>
          <w:p>
            <w:pPr>
              <w:snapToGrid/>
              <w:spacing w:line="440" w:lineRule="exact"/>
              <w:ind w:firstLine="0" w:firstLineChars="0"/>
              <w:jc w:val="center"/>
              <w:rPr>
                <w:rFonts w:ascii="仿宋" w:hAnsi="仿宋" w:eastAsia="仿宋"/>
                <w:b w:val="0"/>
                <w:color w:val="auto"/>
                <w:sz w:val="24"/>
                <w:szCs w:val="24"/>
              </w:rPr>
            </w:pPr>
          </w:p>
        </w:tc>
        <w:tc>
          <w:tcPr>
            <w:tcW w:w="1094" w:type="pct"/>
            <w:vMerge w:val="continue"/>
            <w:vAlign w:val="center"/>
          </w:tcPr>
          <w:p>
            <w:pPr>
              <w:pStyle w:val="609"/>
              <w:spacing w:line="440" w:lineRule="exact"/>
              <w:jc w:val="center"/>
              <w:rPr>
                <w:rFonts w:ascii="仿宋" w:hAnsi="仿宋" w:eastAsia="仿宋" w:cs="Times New Roman"/>
              </w:rPr>
            </w:pPr>
          </w:p>
        </w:tc>
        <w:tc>
          <w:tcPr>
            <w:tcW w:w="3510" w:type="pct"/>
            <w:vAlign w:val="center"/>
          </w:tcPr>
          <w:p>
            <w:pPr>
              <w:pStyle w:val="609"/>
              <w:snapToGrid w:val="0"/>
              <w:spacing w:line="440" w:lineRule="exact"/>
              <w:ind w:firstLine="240" w:firstLineChars="100"/>
              <w:rPr>
                <w:rFonts w:ascii="仿宋" w:hAnsi="仿宋" w:eastAsia="仿宋" w:cs="Times New Roman"/>
                <w:color w:val="FF0000"/>
                <w:lang w:val="zh-CN"/>
              </w:rPr>
            </w:pPr>
            <w:r>
              <w:rPr>
                <w:rFonts w:ascii="仿宋" w:hAnsi="仿宋" w:eastAsia="仿宋" w:cs="Times New Roman"/>
                <w:lang w:val="zh-CN"/>
              </w:rPr>
              <w:t>本项目为服务类采购项目，不涉及国家规定的优先采购产品范围</w:t>
            </w:r>
            <w:r>
              <w:rPr>
                <w:rFonts w:ascii="仿宋" w:hAnsi="仿宋" w:eastAsia="仿宋" w:cs="Times New Roman"/>
              </w:rPr>
              <w:t>。</w:t>
            </w:r>
          </w:p>
        </w:tc>
      </w:tr>
      <w:tr>
        <w:tblPrEx>
          <w:tblBorders>
            <w:top w:val="single" w:color="000000" w:sz="12" w:space="0"/>
            <w:left w:val="single" w:color="000000" w:sz="12" w:space="0"/>
            <w:bottom w:val="single" w:color="000000" w:sz="12" w:space="0"/>
            <w:right w:val="single" w:color="000000" w:sz="12" w:space="0"/>
            <w:insideH w:val="single" w:color="auto" w:sz="6" w:space="0"/>
            <w:insideV w:val="single" w:color="auto" w:sz="6" w:space="0"/>
          </w:tblBorders>
          <w:tblCellMar>
            <w:top w:w="0" w:type="dxa"/>
            <w:left w:w="108" w:type="dxa"/>
            <w:bottom w:w="0" w:type="dxa"/>
            <w:right w:w="108" w:type="dxa"/>
          </w:tblCellMar>
        </w:tblPrEx>
        <w:trPr>
          <w:trHeight w:val="520" w:hRule="atLeast"/>
          <w:jc w:val="center"/>
        </w:trPr>
        <w:tc>
          <w:tcPr>
            <w:tcW w:w="395" w:type="pct"/>
            <w:vAlign w:val="center"/>
          </w:tcPr>
          <w:p>
            <w:pPr>
              <w:snapToGrid/>
              <w:spacing w:line="440" w:lineRule="exact"/>
              <w:ind w:firstLine="0" w:firstLineChars="0"/>
              <w:jc w:val="center"/>
              <w:rPr>
                <w:rFonts w:ascii="仿宋" w:hAnsi="仿宋" w:eastAsia="仿宋"/>
                <w:b w:val="0"/>
                <w:color w:val="auto"/>
                <w:sz w:val="24"/>
                <w:szCs w:val="24"/>
              </w:rPr>
            </w:pPr>
            <w:r>
              <w:rPr>
                <w:rFonts w:ascii="仿宋" w:hAnsi="仿宋" w:eastAsia="仿宋"/>
                <w:b w:val="0"/>
                <w:color w:val="auto"/>
                <w:sz w:val="24"/>
                <w:szCs w:val="24"/>
              </w:rPr>
              <w:t>8</w:t>
            </w:r>
          </w:p>
        </w:tc>
        <w:tc>
          <w:tcPr>
            <w:tcW w:w="1094" w:type="pct"/>
            <w:vAlign w:val="center"/>
          </w:tcPr>
          <w:p>
            <w:pPr>
              <w:pStyle w:val="609"/>
              <w:spacing w:line="440" w:lineRule="exact"/>
              <w:jc w:val="center"/>
              <w:rPr>
                <w:rFonts w:ascii="仿宋" w:hAnsi="仿宋" w:eastAsia="仿宋" w:cs="Times New Roman"/>
                <w:lang w:val="zh-CN"/>
              </w:rPr>
            </w:pPr>
            <w:r>
              <w:rPr>
                <w:rFonts w:ascii="仿宋" w:hAnsi="仿宋" w:eastAsia="仿宋" w:cs="Times New Roman"/>
                <w:lang w:val="zh-CN"/>
              </w:rPr>
              <w:t>构成招标文件的</w:t>
            </w:r>
          </w:p>
          <w:p>
            <w:pPr>
              <w:pStyle w:val="609"/>
              <w:spacing w:line="440" w:lineRule="exact"/>
              <w:jc w:val="center"/>
              <w:rPr>
                <w:rFonts w:ascii="仿宋" w:hAnsi="仿宋" w:eastAsia="仿宋" w:cs="Times New Roman"/>
                <w:lang w:val="zh-CN"/>
              </w:rPr>
            </w:pPr>
            <w:r>
              <w:rPr>
                <w:rFonts w:ascii="仿宋" w:hAnsi="仿宋" w:eastAsia="仿宋" w:cs="Times New Roman"/>
                <w:lang w:val="zh-CN"/>
              </w:rPr>
              <w:t>其他文件</w:t>
            </w:r>
          </w:p>
        </w:tc>
        <w:tc>
          <w:tcPr>
            <w:tcW w:w="3510" w:type="pct"/>
            <w:vAlign w:val="center"/>
          </w:tcPr>
          <w:p>
            <w:pPr>
              <w:pStyle w:val="609"/>
              <w:spacing w:line="440" w:lineRule="exact"/>
              <w:ind w:firstLine="240" w:firstLineChars="100"/>
              <w:rPr>
                <w:rFonts w:ascii="仿宋" w:hAnsi="仿宋" w:eastAsia="仿宋" w:cs="Times New Roman"/>
                <w:lang w:val="zh-CN"/>
              </w:rPr>
            </w:pPr>
            <w:r>
              <w:rPr>
                <w:rFonts w:ascii="仿宋" w:hAnsi="仿宋" w:eastAsia="仿宋" w:cs="Times New Roman"/>
                <w:lang w:val="zh-CN"/>
              </w:rPr>
              <w:t>招标文件的澄清、修改书及有关补充通知为招标文件的有效组成部分。</w:t>
            </w:r>
          </w:p>
        </w:tc>
      </w:tr>
      <w:tr>
        <w:tblPrEx>
          <w:tblBorders>
            <w:top w:val="single" w:color="000000" w:sz="12" w:space="0"/>
            <w:left w:val="single" w:color="000000" w:sz="12" w:space="0"/>
            <w:bottom w:val="single" w:color="000000" w:sz="12" w:space="0"/>
            <w:right w:val="single" w:color="000000" w:sz="12" w:space="0"/>
            <w:insideH w:val="single" w:color="auto" w:sz="6" w:space="0"/>
            <w:insideV w:val="single" w:color="auto" w:sz="6" w:space="0"/>
          </w:tblBorders>
          <w:tblCellMar>
            <w:top w:w="0" w:type="dxa"/>
            <w:left w:w="108" w:type="dxa"/>
            <w:bottom w:w="0" w:type="dxa"/>
            <w:right w:w="108" w:type="dxa"/>
          </w:tblCellMar>
        </w:tblPrEx>
        <w:trPr>
          <w:trHeight w:val="520" w:hRule="atLeast"/>
          <w:jc w:val="center"/>
        </w:trPr>
        <w:tc>
          <w:tcPr>
            <w:tcW w:w="395" w:type="pct"/>
            <w:vAlign w:val="center"/>
          </w:tcPr>
          <w:p>
            <w:pPr>
              <w:snapToGrid/>
              <w:spacing w:line="440" w:lineRule="exact"/>
              <w:ind w:firstLine="0" w:firstLineChars="0"/>
              <w:jc w:val="center"/>
              <w:rPr>
                <w:rFonts w:ascii="仿宋" w:hAnsi="仿宋" w:eastAsia="仿宋"/>
                <w:b w:val="0"/>
                <w:color w:val="auto"/>
                <w:sz w:val="24"/>
                <w:szCs w:val="24"/>
              </w:rPr>
            </w:pPr>
            <w:r>
              <w:rPr>
                <w:rFonts w:ascii="仿宋" w:hAnsi="仿宋" w:eastAsia="仿宋"/>
                <w:b w:val="0"/>
                <w:color w:val="auto"/>
                <w:sz w:val="24"/>
                <w:szCs w:val="24"/>
              </w:rPr>
              <w:t>9</w:t>
            </w:r>
          </w:p>
        </w:tc>
        <w:tc>
          <w:tcPr>
            <w:tcW w:w="1094" w:type="pct"/>
            <w:vAlign w:val="center"/>
          </w:tcPr>
          <w:p>
            <w:pPr>
              <w:pStyle w:val="609"/>
              <w:spacing w:line="440" w:lineRule="exact"/>
              <w:jc w:val="center"/>
              <w:rPr>
                <w:rFonts w:ascii="仿宋" w:hAnsi="仿宋" w:eastAsia="仿宋" w:cs="Times New Roman"/>
                <w:lang w:val="zh-CN"/>
              </w:rPr>
            </w:pPr>
            <w:r>
              <w:rPr>
                <w:rFonts w:ascii="仿宋" w:hAnsi="仿宋" w:eastAsia="仿宋" w:cs="Times New Roman"/>
                <w:lang w:val="zh-CN"/>
              </w:rPr>
              <w:t>考察现场标前</w:t>
            </w:r>
          </w:p>
          <w:p>
            <w:pPr>
              <w:pStyle w:val="609"/>
              <w:spacing w:line="440" w:lineRule="exact"/>
              <w:jc w:val="center"/>
              <w:rPr>
                <w:rFonts w:ascii="仿宋" w:hAnsi="仿宋" w:eastAsia="仿宋" w:cs="Times New Roman"/>
                <w:lang w:val="zh-CN"/>
              </w:rPr>
            </w:pPr>
            <w:r>
              <w:rPr>
                <w:rFonts w:ascii="仿宋" w:hAnsi="仿宋" w:eastAsia="仿宋" w:cs="Times New Roman"/>
                <w:lang w:val="zh-CN"/>
              </w:rPr>
              <w:t>答疑会</w:t>
            </w:r>
          </w:p>
        </w:tc>
        <w:tc>
          <w:tcPr>
            <w:tcW w:w="3510" w:type="pct"/>
            <w:vAlign w:val="center"/>
          </w:tcPr>
          <w:p>
            <w:pPr>
              <w:pStyle w:val="609"/>
              <w:spacing w:line="440" w:lineRule="exact"/>
              <w:ind w:firstLine="240" w:firstLineChars="100"/>
              <w:rPr>
                <w:rFonts w:ascii="仿宋" w:hAnsi="仿宋" w:eastAsia="仿宋" w:cs="Times New Roman"/>
                <w:lang w:val="zh-CN"/>
              </w:rPr>
            </w:pPr>
            <w:r>
              <w:rPr>
                <w:rFonts w:ascii="仿宋" w:hAnsi="仿宋" w:eastAsia="仿宋" w:cs="Times New Roman"/>
              </w:rPr>
              <w:t>详见投标人须知2.3.3。</w:t>
            </w:r>
          </w:p>
        </w:tc>
      </w:tr>
      <w:tr>
        <w:tblPrEx>
          <w:tblBorders>
            <w:top w:val="single" w:color="000000" w:sz="12" w:space="0"/>
            <w:left w:val="single" w:color="000000" w:sz="12" w:space="0"/>
            <w:bottom w:val="single" w:color="000000" w:sz="12" w:space="0"/>
            <w:right w:val="single" w:color="000000" w:sz="12" w:space="0"/>
            <w:insideH w:val="single" w:color="auto" w:sz="6" w:space="0"/>
            <w:insideV w:val="single" w:color="auto" w:sz="6" w:space="0"/>
          </w:tblBorders>
          <w:tblCellMar>
            <w:top w:w="0" w:type="dxa"/>
            <w:left w:w="108" w:type="dxa"/>
            <w:bottom w:w="0" w:type="dxa"/>
            <w:right w:w="108" w:type="dxa"/>
          </w:tblCellMar>
        </w:tblPrEx>
        <w:trPr>
          <w:trHeight w:val="267" w:hRule="atLeast"/>
          <w:jc w:val="center"/>
        </w:trPr>
        <w:tc>
          <w:tcPr>
            <w:tcW w:w="395" w:type="pct"/>
            <w:vAlign w:val="center"/>
          </w:tcPr>
          <w:p>
            <w:pPr>
              <w:snapToGrid/>
              <w:spacing w:line="440" w:lineRule="exact"/>
              <w:ind w:firstLine="0" w:firstLineChars="0"/>
              <w:jc w:val="center"/>
              <w:rPr>
                <w:rFonts w:ascii="仿宋" w:hAnsi="仿宋" w:eastAsia="仿宋"/>
                <w:b w:val="0"/>
                <w:color w:val="auto"/>
                <w:sz w:val="24"/>
                <w:szCs w:val="24"/>
              </w:rPr>
            </w:pPr>
            <w:r>
              <w:rPr>
                <w:rFonts w:ascii="仿宋" w:hAnsi="仿宋" w:eastAsia="仿宋"/>
                <w:b w:val="0"/>
                <w:color w:val="auto"/>
                <w:sz w:val="24"/>
                <w:szCs w:val="24"/>
              </w:rPr>
              <w:t>1</w:t>
            </w:r>
            <w:r>
              <w:rPr>
                <w:rFonts w:hint="eastAsia" w:ascii="仿宋" w:hAnsi="仿宋" w:eastAsia="仿宋"/>
                <w:b w:val="0"/>
                <w:color w:val="auto"/>
                <w:sz w:val="24"/>
                <w:szCs w:val="24"/>
              </w:rPr>
              <w:t>0</w:t>
            </w:r>
          </w:p>
        </w:tc>
        <w:tc>
          <w:tcPr>
            <w:tcW w:w="1094" w:type="pct"/>
            <w:vAlign w:val="center"/>
          </w:tcPr>
          <w:p>
            <w:pPr>
              <w:pStyle w:val="29"/>
              <w:snapToGrid/>
              <w:spacing w:line="440" w:lineRule="exact"/>
              <w:ind w:firstLine="0" w:firstLineChars="0"/>
              <w:jc w:val="center"/>
              <w:rPr>
                <w:rFonts w:ascii="仿宋" w:hAnsi="仿宋" w:eastAsia="仿宋"/>
                <w:kern w:val="2"/>
                <w:sz w:val="24"/>
              </w:rPr>
            </w:pPr>
            <w:r>
              <w:rPr>
                <w:rFonts w:ascii="仿宋" w:hAnsi="仿宋" w:eastAsia="仿宋"/>
                <w:kern w:val="2"/>
                <w:sz w:val="24"/>
              </w:rPr>
              <w:t>投标有效期</w:t>
            </w:r>
          </w:p>
        </w:tc>
        <w:tc>
          <w:tcPr>
            <w:tcW w:w="3510" w:type="pct"/>
            <w:vAlign w:val="center"/>
          </w:tcPr>
          <w:p>
            <w:pPr>
              <w:pStyle w:val="609"/>
              <w:spacing w:line="440" w:lineRule="exact"/>
              <w:ind w:firstLine="240" w:firstLineChars="100"/>
              <w:rPr>
                <w:rFonts w:ascii="仿宋" w:hAnsi="仿宋" w:eastAsia="仿宋" w:cs="Times New Roman"/>
                <w:lang w:val="zh-CN"/>
              </w:rPr>
            </w:pPr>
            <w:r>
              <w:rPr>
                <w:rFonts w:ascii="仿宋" w:hAnsi="仿宋" w:eastAsia="仿宋" w:cs="Times New Roman"/>
              </w:rPr>
              <w:t>从提交投标文件的截止之日起</w:t>
            </w:r>
            <w:r>
              <w:rPr>
                <w:rFonts w:ascii="仿宋" w:hAnsi="仿宋" w:eastAsia="仿宋" w:cs="Times New Roman"/>
                <w:lang w:val="zh-CN"/>
              </w:rPr>
              <w:t>90天。</w:t>
            </w:r>
          </w:p>
        </w:tc>
      </w:tr>
      <w:tr>
        <w:tblPrEx>
          <w:tblBorders>
            <w:top w:val="single" w:color="000000" w:sz="12" w:space="0"/>
            <w:left w:val="single" w:color="000000" w:sz="12" w:space="0"/>
            <w:bottom w:val="single" w:color="000000" w:sz="12" w:space="0"/>
            <w:right w:val="single" w:color="000000" w:sz="12" w:space="0"/>
            <w:insideH w:val="single" w:color="auto" w:sz="6" w:space="0"/>
            <w:insideV w:val="single" w:color="auto" w:sz="6" w:space="0"/>
          </w:tblBorders>
          <w:tblCellMar>
            <w:top w:w="0" w:type="dxa"/>
            <w:left w:w="108" w:type="dxa"/>
            <w:bottom w:w="0" w:type="dxa"/>
            <w:right w:w="108" w:type="dxa"/>
          </w:tblCellMar>
        </w:tblPrEx>
        <w:trPr>
          <w:trHeight w:val="267" w:hRule="atLeast"/>
          <w:jc w:val="center"/>
        </w:trPr>
        <w:tc>
          <w:tcPr>
            <w:tcW w:w="395" w:type="pct"/>
            <w:vAlign w:val="center"/>
          </w:tcPr>
          <w:p>
            <w:pPr>
              <w:snapToGrid/>
              <w:spacing w:line="440" w:lineRule="exact"/>
              <w:ind w:firstLine="0" w:firstLineChars="0"/>
              <w:jc w:val="center"/>
              <w:rPr>
                <w:rFonts w:ascii="仿宋" w:hAnsi="仿宋" w:eastAsia="仿宋"/>
                <w:b w:val="0"/>
                <w:color w:val="auto"/>
                <w:sz w:val="24"/>
                <w:szCs w:val="24"/>
              </w:rPr>
            </w:pPr>
            <w:r>
              <w:rPr>
                <w:rFonts w:ascii="仿宋" w:hAnsi="仿宋" w:eastAsia="仿宋"/>
                <w:b w:val="0"/>
                <w:color w:val="auto"/>
                <w:sz w:val="24"/>
                <w:szCs w:val="24"/>
              </w:rPr>
              <w:t>1</w:t>
            </w:r>
            <w:r>
              <w:rPr>
                <w:rFonts w:hint="eastAsia" w:ascii="仿宋" w:hAnsi="仿宋" w:eastAsia="仿宋"/>
                <w:b w:val="0"/>
                <w:color w:val="auto"/>
                <w:sz w:val="24"/>
                <w:szCs w:val="24"/>
              </w:rPr>
              <w:t>1</w:t>
            </w:r>
          </w:p>
        </w:tc>
        <w:tc>
          <w:tcPr>
            <w:tcW w:w="1094" w:type="pct"/>
            <w:vAlign w:val="center"/>
          </w:tcPr>
          <w:p>
            <w:pPr>
              <w:pStyle w:val="609"/>
              <w:spacing w:line="440" w:lineRule="exact"/>
              <w:jc w:val="center"/>
              <w:rPr>
                <w:rFonts w:ascii="仿宋" w:hAnsi="仿宋" w:eastAsia="仿宋" w:cs="Times New Roman"/>
                <w:lang w:val="zh-CN"/>
              </w:rPr>
            </w:pPr>
            <w:r>
              <w:rPr>
                <w:rFonts w:ascii="仿宋" w:hAnsi="仿宋" w:eastAsia="仿宋" w:cs="Times New Roman"/>
                <w:lang w:val="zh-CN"/>
              </w:rPr>
              <w:t>备选投标方案和报价</w:t>
            </w:r>
          </w:p>
        </w:tc>
        <w:tc>
          <w:tcPr>
            <w:tcW w:w="3510" w:type="pct"/>
            <w:vAlign w:val="center"/>
          </w:tcPr>
          <w:p>
            <w:pPr>
              <w:pStyle w:val="609"/>
              <w:spacing w:line="440" w:lineRule="exact"/>
              <w:ind w:firstLine="240" w:firstLineChars="100"/>
              <w:rPr>
                <w:rFonts w:ascii="仿宋" w:hAnsi="仿宋" w:eastAsia="仿宋" w:cs="Times New Roman"/>
                <w:lang w:val="zh-CN"/>
              </w:rPr>
            </w:pPr>
            <w:r>
              <w:rPr>
                <w:rFonts w:ascii="仿宋" w:hAnsi="仿宋" w:eastAsia="仿宋" w:cs="Times New Roman"/>
                <w:lang w:val="zh-CN"/>
              </w:rPr>
              <w:t>不接受备选投标方案和多个报价。</w:t>
            </w:r>
          </w:p>
        </w:tc>
      </w:tr>
      <w:tr>
        <w:tblPrEx>
          <w:tblBorders>
            <w:top w:val="single" w:color="000000" w:sz="12" w:space="0"/>
            <w:left w:val="single" w:color="000000" w:sz="12" w:space="0"/>
            <w:bottom w:val="single" w:color="000000" w:sz="12" w:space="0"/>
            <w:right w:val="single" w:color="000000" w:sz="12" w:space="0"/>
            <w:insideH w:val="single" w:color="auto" w:sz="6" w:space="0"/>
            <w:insideV w:val="single" w:color="auto" w:sz="6" w:space="0"/>
          </w:tblBorders>
          <w:tblCellMar>
            <w:top w:w="0" w:type="dxa"/>
            <w:left w:w="108" w:type="dxa"/>
            <w:bottom w:w="0" w:type="dxa"/>
            <w:right w:w="108" w:type="dxa"/>
          </w:tblCellMar>
        </w:tblPrEx>
        <w:trPr>
          <w:trHeight w:val="469" w:hRule="atLeast"/>
          <w:jc w:val="center"/>
        </w:trPr>
        <w:tc>
          <w:tcPr>
            <w:tcW w:w="395" w:type="pct"/>
            <w:vAlign w:val="center"/>
          </w:tcPr>
          <w:p>
            <w:pPr>
              <w:snapToGrid/>
              <w:spacing w:line="440" w:lineRule="exact"/>
              <w:ind w:firstLine="0" w:firstLineChars="0"/>
              <w:jc w:val="center"/>
              <w:rPr>
                <w:rFonts w:ascii="仿宋" w:hAnsi="仿宋" w:eastAsia="仿宋"/>
                <w:b w:val="0"/>
                <w:color w:val="auto"/>
                <w:sz w:val="24"/>
                <w:szCs w:val="24"/>
              </w:rPr>
            </w:pPr>
            <w:r>
              <w:rPr>
                <w:rFonts w:ascii="仿宋" w:hAnsi="仿宋" w:eastAsia="仿宋"/>
                <w:b w:val="0"/>
                <w:color w:val="auto"/>
                <w:sz w:val="24"/>
                <w:szCs w:val="24"/>
              </w:rPr>
              <w:t>1</w:t>
            </w:r>
            <w:r>
              <w:rPr>
                <w:rFonts w:hint="eastAsia" w:ascii="仿宋" w:hAnsi="仿宋" w:eastAsia="仿宋"/>
                <w:b w:val="0"/>
                <w:color w:val="auto"/>
                <w:sz w:val="24"/>
                <w:szCs w:val="24"/>
              </w:rPr>
              <w:t>2</w:t>
            </w:r>
          </w:p>
        </w:tc>
        <w:tc>
          <w:tcPr>
            <w:tcW w:w="1094" w:type="pct"/>
            <w:vAlign w:val="center"/>
          </w:tcPr>
          <w:p>
            <w:pPr>
              <w:pStyle w:val="29"/>
              <w:snapToGrid/>
              <w:spacing w:line="440" w:lineRule="exact"/>
              <w:ind w:firstLine="0" w:firstLineChars="0"/>
              <w:jc w:val="center"/>
              <w:rPr>
                <w:rFonts w:ascii="仿宋" w:hAnsi="仿宋" w:eastAsia="仿宋"/>
                <w:kern w:val="2"/>
                <w:sz w:val="24"/>
              </w:rPr>
            </w:pPr>
            <w:r>
              <w:rPr>
                <w:rFonts w:ascii="仿宋" w:hAnsi="仿宋" w:eastAsia="仿宋"/>
                <w:kern w:val="2"/>
                <w:sz w:val="24"/>
              </w:rPr>
              <w:t>投标文件装订</w:t>
            </w:r>
          </w:p>
          <w:p>
            <w:pPr>
              <w:pStyle w:val="29"/>
              <w:snapToGrid/>
              <w:spacing w:line="440" w:lineRule="exact"/>
              <w:ind w:firstLine="0" w:firstLineChars="0"/>
              <w:jc w:val="center"/>
              <w:rPr>
                <w:rFonts w:ascii="仿宋" w:hAnsi="仿宋" w:eastAsia="仿宋"/>
                <w:kern w:val="2"/>
                <w:sz w:val="24"/>
              </w:rPr>
            </w:pPr>
            <w:r>
              <w:rPr>
                <w:rFonts w:ascii="仿宋" w:hAnsi="仿宋" w:eastAsia="仿宋"/>
                <w:kern w:val="2"/>
                <w:sz w:val="24"/>
              </w:rPr>
              <w:t>方式</w:t>
            </w:r>
          </w:p>
        </w:tc>
        <w:tc>
          <w:tcPr>
            <w:tcW w:w="3510" w:type="pct"/>
            <w:vAlign w:val="center"/>
          </w:tcPr>
          <w:p>
            <w:pPr>
              <w:pStyle w:val="609"/>
              <w:spacing w:line="440" w:lineRule="exact"/>
              <w:ind w:firstLine="240" w:firstLineChars="100"/>
              <w:rPr>
                <w:rFonts w:ascii="仿宋" w:hAnsi="仿宋" w:eastAsia="仿宋" w:cs="Times New Roman"/>
                <w:lang w:val="zh-CN"/>
              </w:rPr>
            </w:pPr>
            <w:r>
              <w:rPr>
                <w:rFonts w:ascii="仿宋" w:hAnsi="仿宋" w:eastAsia="仿宋" w:cs="Times New Roman"/>
                <w:lang w:val="zh-CN"/>
              </w:rPr>
              <w:t>胶装方式装订成册</w:t>
            </w:r>
            <w:r>
              <w:rPr>
                <w:rFonts w:hint="eastAsia" w:ascii="仿宋" w:hAnsi="仿宋" w:eastAsia="仿宋" w:cs="Times New Roman"/>
                <w:lang w:val="zh-CN"/>
              </w:rPr>
              <w:t>（单独密封提交的开标一览表除外）</w:t>
            </w:r>
            <w:r>
              <w:rPr>
                <w:rFonts w:ascii="仿宋" w:hAnsi="仿宋" w:eastAsia="仿宋" w:cs="Times New Roman"/>
                <w:lang w:val="zh-CN"/>
              </w:rPr>
              <w:t>。</w:t>
            </w:r>
          </w:p>
        </w:tc>
      </w:tr>
      <w:tr>
        <w:tblPrEx>
          <w:tblBorders>
            <w:top w:val="single" w:color="000000" w:sz="12" w:space="0"/>
            <w:left w:val="single" w:color="000000" w:sz="12" w:space="0"/>
            <w:bottom w:val="single" w:color="000000" w:sz="12" w:space="0"/>
            <w:right w:val="single" w:color="000000" w:sz="12" w:space="0"/>
            <w:insideH w:val="single" w:color="auto" w:sz="6" w:space="0"/>
            <w:insideV w:val="single" w:color="auto" w:sz="6" w:space="0"/>
          </w:tblBorders>
          <w:tblCellMar>
            <w:top w:w="0" w:type="dxa"/>
            <w:left w:w="108" w:type="dxa"/>
            <w:bottom w:w="0" w:type="dxa"/>
            <w:right w:w="108" w:type="dxa"/>
          </w:tblCellMar>
        </w:tblPrEx>
        <w:trPr>
          <w:trHeight w:val="469" w:hRule="atLeast"/>
          <w:jc w:val="center"/>
        </w:trPr>
        <w:tc>
          <w:tcPr>
            <w:tcW w:w="395" w:type="pct"/>
            <w:vAlign w:val="center"/>
          </w:tcPr>
          <w:p>
            <w:pPr>
              <w:snapToGrid/>
              <w:spacing w:line="440" w:lineRule="exact"/>
              <w:ind w:firstLine="0" w:firstLineChars="0"/>
              <w:jc w:val="center"/>
              <w:rPr>
                <w:rFonts w:ascii="仿宋" w:hAnsi="仿宋" w:eastAsia="仿宋"/>
                <w:b w:val="0"/>
                <w:color w:val="auto"/>
                <w:sz w:val="24"/>
                <w:szCs w:val="24"/>
              </w:rPr>
            </w:pPr>
            <w:r>
              <w:rPr>
                <w:rFonts w:ascii="仿宋" w:hAnsi="仿宋" w:eastAsia="仿宋"/>
                <w:b w:val="0"/>
                <w:color w:val="auto"/>
                <w:sz w:val="24"/>
                <w:szCs w:val="24"/>
              </w:rPr>
              <w:t>1</w:t>
            </w:r>
            <w:r>
              <w:rPr>
                <w:rFonts w:hint="eastAsia" w:ascii="仿宋" w:hAnsi="仿宋" w:eastAsia="仿宋"/>
                <w:b w:val="0"/>
                <w:color w:val="auto"/>
                <w:sz w:val="24"/>
                <w:szCs w:val="24"/>
              </w:rPr>
              <w:t>3</w:t>
            </w:r>
          </w:p>
        </w:tc>
        <w:tc>
          <w:tcPr>
            <w:tcW w:w="1094" w:type="pct"/>
            <w:vAlign w:val="center"/>
          </w:tcPr>
          <w:p>
            <w:pPr>
              <w:pStyle w:val="29"/>
              <w:snapToGrid/>
              <w:spacing w:line="440" w:lineRule="exact"/>
              <w:ind w:firstLine="0" w:firstLineChars="0"/>
              <w:jc w:val="center"/>
              <w:rPr>
                <w:rFonts w:ascii="仿宋" w:hAnsi="仿宋" w:eastAsia="仿宋"/>
                <w:sz w:val="24"/>
              </w:rPr>
            </w:pPr>
            <w:r>
              <w:rPr>
                <w:rFonts w:ascii="仿宋" w:hAnsi="仿宋" w:eastAsia="仿宋"/>
                <w:sz w:val="24"/>
              </w:rPr>
              <w:t>电子文档</w:t>
            </w:r>
          </w:p>
        </w:tc>
        <w:tc>
          <w:tcPr>
            <w:tcW w:w="3510" w:type="pct"/>
            <w:vAlign w:val="center"/>
          </w:tcPr>
          <w:p>
            <w:pPr>
              <w:pStyle w:val="609"/>
              <w:spacing w:line="440" w:lineRule="exact"/>
              <w:ind w:firstLine="240" w:firstLineChars="100"/>
              <w:rPr>
                <w:rFonts w:ascii="仿宋" w:hAnsi="仿宋" w:eastAsia="仿宋" w:cs="Times New Roman"/>
                <w:lang w:val="zh-CN"/>
              </w:rPr>
            </w:pPr>
            <w:r>
              <w:rPr>
                <w:rFonts w:ascii="仿宋" w:hAnsi="仿宋" w:eastAsia="仿宋" w:cs="Times New Roman"/>
                <w:lang w:val="zh-CN"/>
              </w:rPr>
              <w:t>投标文件Word或WPS版本一份，PDF版本一份。</w:t>
            </w:r>
          </w:p>
          <w:p>
            <w:pPr>
              <w:pStyle w:val="609"/>
              <w:spacing w:line="440" w:lineRule="exact"/>
              <w:ind w:firstLine="240" w:firstLineChars="100"/>
              <w:rPr>
                <w:rFonts w:ascii="仿宋" w:hAnsi="仿宋" w:eastAsia="仿宋" w:cs="Times New Roman"/>
                <w:lang w:val="zh-CN"/>
              </w:rPr>
            </w:pPr>
            <w:r>
              <w:rPr>
                <w:rFonts w:ascii="仿宋" w:hAnsi="仿宋" w:eastAsia="仿宋" w:cs="Times New Roman"/>
                <w:lang w:val="zh-CN"/>
              </w:rPr>
              <w:t>注：电子文档保存介质使用</w:t>
            </w:r>
            <w:r>
              <w:rPr>
                <w:rFonts w:ascii="仿宋" w:hAnsi="仿宋" w:eastAsia="仿宋" w:cs="Times New Roman"/>
                <w:b/>
                <w:lang w:val="zh-CN"/>
              </w:rPr>
              <w:t>USB闪存盘（U盘）。</w:t>
            </w:r>
          </w:p>
        </w:tc>
      </w:tr>
      <w:tr>
        <w:tblPrEx>
          <w:tblBorders>
            <w:top w:val="single" w:color="000000" w:sz="12" w:space="0"/>
            <w:left w:val="single" w:color="000000" w:sz="12" w:space="0"/>
            <w:bottom w:val="single" w:color="000000" w:sz="12" w:space="0"/>
            <w:right w:val="single" w:color="000000" w:sz="12" w:space="0"/>
            <w:insideH w:val="single" w:color="auto" w:sz="6" w:space="0"/>
            <w:insideV w:val="single" w:color="auto" w:sz="6" w:space="0"/>
          </w:tblBorders>
          <w:tblCellMar>
            <w:top w:w="0" w:type="dxa"/>
            <w:left w:w="108" w:type="dxa"/>
            <w:bottom w:w="0" w:type="dxa"/>
            <w:right w:w="108" w:type="dxa"/>
          </w:tblCellMar>
        </w:tblPrEx>
        <w:trPr>
          <w:trHeight w:val="599" w:hRule="atLeast"/>
          <w:jc w:val="center"/>
        </w:trPr>
        <w:tc>
          <w:tcPr>
            <w:tcW w:w="395" w:type="pct"/>
            <w:vAlign w:val="center"/>
          </w:tcPr>
          <w:p>
            <w:pPr>
              <w:snapToGrid/>
              <w:spacing w:line="440" w:lineRule="exact"/>
              <w:ind w:firstLine="0" w:firstLineChars="0"/>
              <w:jc w:val="center"/>
              <w:rPr>
                <w:rFonts w:ascii="仿宋" w:hAnsi="仿宋" w:eastAsia="仿宋"/>
                <w:b w:val="0"/>
                <w:color w:val="auto"/>
                <w:sz w:val="24"/>
                <w:szCs w:val="24"/>
              </w:rPr>
            </w:pPr>
            <w:r>
              <w:rPr>
                <w:rFonts w:ascii="仿宋" w:hAnsi="仿宋" w:eastAsia="仿宋"/>
                <w:b w:val="0"/>
                <w:color w:val="auto"/>
                <w:sz w:val="24"/>
                <w:szCs w:val="24"/>
              </w:rPr>
              <w:t>1</w:t>
            </w:r>
            <w:r>
              <w:rPr>
                <w:rFonts w:hint="eastAsia" w:ascii="仿宋" w:hAnsi="仿宋" w:eastAsia="仿宋"/>
                <w:b w:val="0"/>
                <w:color w:val="auto"/>
                <w:sz w:val="24"/>
                <w:szCs w:val="24"/>
              </w:rPr>
              <w:t>4</w:t>
            </w:r>
          </w:p>
        </w:tc>
        <w:tc>
          <w:tcPr>
            <w:tcW w:w="1094" w:type="pct"/>
            <w:vAlign w:val="center"/>
          </w:tcPr>
          <w:p>
            <w:pPr>
              <w:pStyle w:val="29"/>
              <w:snapToGrid/>
              <w:spacing w:line="440" w:lineRule="exact"/>
              <w:ind w:firstLine="0" w:firstLineChars="0"/>
              <w:jc w:val="center"/>
              <w:rPr>
                <w:rFonts w:ascii="仿宋" w:hAnsi="仿宋" w:eastAsia="仿宋"/>
                <w:kern w:val="2"/>
                <w:sz w:val="24"/>
              </w:rPr>
            </w:pPr>
            <w:r>
              <w:rPr>
                <w:rFonts w:ascii="仿宋" w:hAnsi="仿宋" w:eastAsia="仿宋"/>
                <w:kern w:val="2"/>
                <w:sz w:val="24"/>
              </w:rPr>
              <w:t>投标文件、开标一览表、</w:t>
            </w:r>
            <w:r>
              <w:rPr>
                <w:rFonts w:ascii="仿宋" w:hAnsi="仿宋" w:eastAsia="仿宋"/>
                <w:sz w:val="24"/>
              </w:rPr>
              <w:t>电子文档</w:t>
            </w:r>
            <w:r>
              <w:rPr>
                <w:rFonts w:ascii="仿宋" w:hAnsi="仿宋" w:eastAsia="仿宋"/>
                <w:kern w:val="2"/>
                <w:sz w:val="24"/>
              </w:rPr>
              <w:t>的包装和密封</w:t>
            </w:r>
          </w:p>
        </w:tc>
        <w:tc>
          <w:tcPr>
            <w:tcW w:w="3510" w:type="pct"/>
            <w:vAlign w:val="center"/>
          </w:tcPr>
          <w:p>
            <w:pPr>
              <w:pStyle w:val="609"/>
              <w:spacing w:line="440" w:lineRule="exact"/>
              <w:ind w:firstLine="240" w:firstLineChars="100"/>
              <w:rPr>
                <w:rFonts w:ascii="仿宋" w:hAnsi="仿宋" w:eastAsia="仿宋" w:cs="Times New Roman"/>
                <w:lang w:val="zh-CN"/>
              </w:rPr>
            </w:pPr>
            <w:r>
              <w:rPr>
                <w:rFonts w:ascii="仿宋" w:hAnsi="仿宋" w:eastAsia="仿宋" w:cs="Times New Roman"/>
                <w:lang w:val="zh-CN"/>
              </w:rPr>
              <w:t>详见投标人须知2.4.13。</w:t>
            </w:r>
          </w:p>
        </w:tc>
      </w:tr>
      <w:tr>
        <w:tblPrEx>
          <w:tblBorders>
            <w:top w:val="single" w:color="000000" w:sz="12" w:space="0"/>
            <w:left w:val="single" w:color="000000" w:sz="12" w:space="0"/>
            <w:bottom w:val="single" w:color="000000" w:sz="12" w:space="0"/>
            <w:right w:val="single" w:color="000000" w:sz="12" w:space="0"/>
            <w:insideH w:val="single" w:color="auto" w:sz="6" w:space="0"/>
            <w:insideV w:val="single" w:color="auto" w:sz="6" w:space="0"/>
          </w:tblBorders>
          <w:tblCellMar>
            <w:top w:w="0" w:type="dxa"/>
            <w:left w:w="108" w:type="dxa"/>
            <w:bottom w:w="0" w:type="dxa"/>
            <w:right w:w="108" w:type="dxa"/>
          </w:tblCellMar>
        </w:tblPrEx>
        <w:trPr>
          <w:trHeight w:val="513" w:hRule="atLeast"/>
          <w:jc w:val="center"/>
        </w:trPr>
        <w:tc>
          <w:tcPr>
            <w:tcW w:w="395" w:type="pct"/>
            <w:vAlign w:val="center"/>
          </w:tcPr>
          <w:p>
            <w:pPr>
              <w:snapToGrid/>
              <w:spacing w:line="440" w:lineRule="exact"/>
              <w:ind w:firstLine="0" w:firstLineChars="0"/>
              <w:jc w:val="center"/>
              <w:rPr>
                <w:rFonts w:ascii="仿宋" w:hAnsi="仿宋" w:eastAsia="仿宋"/>
                <w:b w:val="0"/>
                <w:color w:val="auto"/>
                <w:sz w:val="24"/>
                <w:szCs w:val="24"/>
              </w:rPr>
            </w:pPr>
            <w:r>
              <w:rPr>
                <w:rFonts w:ascii="仿宋" w:hAnsi="仿宋" w:eastAsia="仿宋"/>
                <w:b w:val="0"/>
                <w:color w:val="auto"/>
                <w:sz w:val="24"/>
                <w:szCs w:val="24"/>
              </w:rPr>
              <w:t>1</w:t>
            </w:r>
            <w:r>
              <w:rPr>
                <w:rFonts w:hint="eastAsia" w:ascii="仿宋" w:hAnsi="仿宋" w:eastAsia="仿宋"/>
                <w:b w:val="0"/>
                <w:color w:val="auto"/>
                <w:sz w:val="24"/>
                <w:szCs w:val="24"/>
              </w:rPr>
              <w:t>5</w:t>
            </w:r>
          </w:p>
        </w:tc>
        <w:tc>
          <w:tcPr>
            <w:tcW w:w="1094" w:type="pct"/>
            <w:vAlign w:val="center"/>
          </w:tcPr>
          <w:p>
            <w:pPr>
              <w:snapToGrid/>
              <w:spacing w:line="440" w:lineRule="exact"/>
              <w:ind w:firstLine="0" w:firstLineChars="0"/>
              <w:jc w:val="center"/>
              <w:rPr>
                <w:rFonts w:ascii="仿宋" w:hAnsi="仿宋" w:eastAsia="仿宋"/>
                <w:b w:val="0"/>
                <w:color w:val="auto"/>
                <w:sz w:val="24"/>
                <w:szCs w:val="24"/>
              </w:rPr>
            </w:pPr>
            <w:r>
              <w:rPr>
                <w:rFonts w:ascii="仿宋" w:hAnsi="仿宋" w:eastAsia="仿宋"/>
                <w:b w:val="0"/>
                <w:color w:val="auto"/>
                <w:sz w:val="24"/>
                <w:szCs w:val="24"/>
              </w:rPr>
              <w:t>评标方法</w:t>
            </w:r>
          </w:p>
        </w:tc>
        <w:tc>
          <w:tcPr>
            <w:tcW w:w="3510" w:type="pct"/>
            <w:vAlign w:val="center"/>
          </w:tcPr>
          <w:p>
            <w:pPr>
              <w:pStyle w:val="609"/>
              <w:spacing w:line="440" w:lineRule="exact"/>
              <w:ind w:firstLine="240" w:firstLineChars="100"/>
              <w:rPr>
                <w:rFonts w:ascii="仿宋" w:hAnsi="仿宋" w:eastAsia="仿宋" w:cs="Times New Roman"/>
                <w:lang w:val="zh-CN"/>
              </w:rPr>
            </w:pPr>
            <w:r>
              <w:rPr>
                <w:rFonts w:ascii="仿宋" w:hAnsi="仿宋" w:eastAsia="仿宋" w:cs="Times New Roman"/>
                <w:lang w:val="zh-CN"/>
              </w:rPr>
              <w:t>综合评分法。</w:t>
            </w:r>
          </w:p>
        </w:tc>
      </w:tr>
      <w:tr>
        <w:tblPrEx>
          <w:tblBorders>
            <w:top w:val="single" w:color="000000" w:sz="12" w:space="0"/>
            <w:left w:val="single" w:color="000000" w:sz="12" w:space="0"/>
            <w:bottom w:val="single" w:color="000000" w:sz="12" w:space="0"/>
            <w:right w:val="single" w:color="000000" w:sz="12" w:space="0"/>
            <w:insideH w:val="single" w:color="auto" w:sz="6" w:space="0"/>
            <w:insideV w:val="single" w:color="auto" w:sz="6" w:space="0"/>
          </w:tblBorders>
          <w:tblCellMar>
            <w:top w:w="0" w:type="dxa"/>
            <w:left w:w="108" w:type="dxa"/>
            <w:bottom w:w="0" w:type="dxa"/>
            <w:right w:w="108" w:type="dxa"/>
          </w:tblCellMar>
        </w:tblPrEx>
        <w:trPr>
          <w:trHeight w:val="513" w:hRule="atLeast"/>
          <w:jc w:val="center"/>
        </w:trPr>
        <w:tc>
          <w:tcPr>
            <w:tcW w:w="395" w:type="pct"/>
            <w:vAlign w:val="center"/>
          </w:tcPr>
          <w:p>
            <w:pPr>
              <w:snapToGrid/>
              <w:spacing w:line="440" w:lineRule="exact"/>
              <w:ind w:firstLine="0" w:firstLineChars="0"/>
              <w:jc w:val="center"/>
              <w:rPr>
                <w:rFonts w:ascii="仿宋" w:hAnsi="仿宋" w:eastAsia="仿宋"/>
                <w:b w:val="0"/>
                <w:color w:val="auto"/>
                <w:sz w:val="24"/>
                <w:szCs w:val="24"/>
              </w:rPr>
            </w:pPr>
            <w:r>
              <w:rPr>
                <w:rFonts w:hint="eastAsia" w:ascii="仿宋" w:hAnsi="仿宋" w:eastAsia="仿宋"/>
                <w:b w:val="0"/>
                <w:color w:val="auto"/>
                <w:sz w:val="24"/>
                <w:szCs w:val="24"/>
              </w:rPr>
              <w:t>16</w:t>
            </w:r>
          </w:p>
        </w:tc>
        <w:tc>
          <w:tcPr>
            <w:tcW w:w="1094" w:type="pct"/>
            <w:vAlign w:val="center"/>
          </w:tcPr>
          <w:p>
            <w:pPr>
              <w:snapToGrid/>
              <w:spacing w:line="440" w:lineRule="exact"/>
              <w:ind w:firstLine="0" w:firstLineChars="0"/>
              <w:jc w:val="center"/>
              <w:rPr>
                <w:rFonts w:ascii="仿宋" w:hAnsi="仿宋" w:eastAsia="仿宋"/>
                <w:b w:val="0"/>
                <w:color w:val="auto"/>
                <w:sz w:val="24"/>
                <w:szCs w:val="24"/>
              </w:rPr>
            </w:pPr>
            <w:r>
              <w:rPr>
                <w:rFonts w:hint="eastAsia" w:ascii="仿宋" w:hAnsi="仿宋" w:eastAsia="仿宋"/>
                <w:b w:val="0"/>
                <w:color w:val="auto"/>
                <w:sz w:val="24"/>
                <w:szCs w:val="24"/>
              </w:rPr>
              <w:t>询问</w:t>
            </w:r>
          </w:p>
        </w:tc>
        <w:tc>
          <w:tcPr>
            <w:tcW w:w="3510" w:type="pct"/>
            <w:vAlign w:val="center"/>
          </w:tcPr>
          <w:p>
            <w:pPr>
              <w:autoSpaceDE w:val="0"/>
              <w:autoSpaceDN w:val="0"/>
              <w:adjustRightInd w:val="0"/>
              <w:snapToGrid/>
              <w:spacing w:line="400" w:lineRule="exact"/>
              <w:ind w:firstLine="240" w:firstLineChars="100"/>
              <w:rPr>
                <w:rFonts w:hint="eastAsia" w:ascii="仿宋" w:hAnsi="仿宋" w:eastAsia="仿宋" w:cs="仿宋"/>
                <w:b w:val="0"/>
                <w:color w:val="auto"/>
                <w:sz w:val="24"/>
                <w:szCs w:val="24"/>
              </w:rPr>
            </w:pPr>
            <w:r>
              <w:rPr>
                <w:rFonts w:hint="eastAsia" w:ascii="仿宋" w:hAnsi="仿宋" w:eastAsia="仿宋" w:cs="仿宋"/>
                <w:b w:val="0"/>
                <w:color w:val="auto"/>
                <w:sz w:val="24"/>
                <w:szCs w:val="24"/>
              </w:rPr>
              <w:t>对招标文件、招标过程、招标结果的询问向采购人或采购代理机构提出，并由采购人按相关规定作出答复或采购代理机构在委托授权范围内作出答复。</w:t>
            </w:r>
          </w:p>
          <w:p>
            <w:pPr>
              <w:autoSpaceDE w:val="0"/>
              <w:autoSpaceDN w:val="0"/>
              <w:adjustRightInd w:val="0"/>
              <w:snapToGrid/>
              <w:spacing w:line="400" w:lineRule="exact"/>
              <w:ind w:firstLine="240" w:firstLineChars="100"/>
              <w:rPr>
                <w:rFonts w:hint="eastAsia" w:ascii="仿宋" w:hAnsi="仿宋" w:eastAsia="仿宋" w:cs="仿宋"/>
                <w:b w:val="0"/>
                <w:color w:val="auto"/>
                <w:sz w:val="24"/>
                <w:szCs w:val="24"/>
              </w:rPr>
            </w:pPr>
            <w:r>
              <w:rPr>
                <w:rFonts w:hint="eastAsia" w:ascii="仿宋" w:hAnsi="仿宋" w:eastAsia="仿宋" w:cs="仿宋"/>
                <w:b w:val="0"/>
                <w:color w:val="auto"/>
                <w:sz w:val="24"/>
                <w:szCs w:val="24"/>
              </w:rPr>
              <w:t>询问可以采取书面形式，也可以采取口头方式。</w:t>
            </w:r>
          </w:p>
          <w:p>
            <w:pPr>
              <w:autoSpaceDE w:val="0"/>
              <w:autoSpaceDN w:val="0"/>
              <w:adjustRightInd w:val="0"/>
              <w:snapToGrid/>
              <w:spacing w:line="400" w:lineRule="exact"/>
              <w:ind w:firstLine="240" w:firstLineChars="100"/>
              <w:rPr>
                <w:rFonts w:ascii="仿宋" w:hAnsi="仿宋" w:eastAsia="仿宋"/>
                <w:b w:val="0"/>
                <w:color w:val="auto"/>
                <w:sz w:val="24"/>
                <w:szCs w:val="24"/>
              </w:rPr>
            </w:pPr>
            <w:r>
              <w:rPr>
                <w:rFonts w:hint="eastAsia" w:ascii="仿宋" w:hAnsi="仿宋" w:eastAsia="仿宋" w:cs="仿宋"/>
                <w:b w:val="0"/>
                <w:color w:val="auto"/>
                <w:sz w:val="24"/>
                <w:szCs w:val="24"/>
              </w:rPr>
              <w:t>联系人：杨女士</w:t>
            </w:r>
            <w:r>
              <w:rPr>
                <w:rFonts w:ascii="仿宋" w:hAnsi="仿宋" w:eastAsia="仿宋"/>
                <w:b w:val="0"/>
                <w:color w:val="auto"/>
                <w:sz w:val="24"/>
                <w:szCs w:val="24"/>
              </w:rPr>
              <w:t xml:space="preserve"> </w:t>
            </w:r>
          </w:p>
          <w:p>
            <w:pPr>
              <w:adjustRightInd w:val="0"/>
              <w:snapToGrid/>
              <w:spacing w:line="400" w:lineRule="exact"/>
              <w:ind w:firstLine="240" w:firstLineChars="100"/>
              <w:rPr>
                <w:rFonts w:hint="eastAsia" w:ascii="仿宋" w:hAnsi="仿宋" w:eastAsia="仿宋" w:cs="仿宋"/>
                <w:b w:val="0"/>
                <w:color w:val="auto"/>
                <w:kern w:val="2"/>
                <w:sz w:val="24"/>
                <w:szCs w:val="24"/>
              </w:rPr>
            </w:pPr>
            <w:r>
              <w:rPr>
                <w:rFonts w:hint="eastAsia" w:ascii="仿宋" w:hAnsi="仿宋" w:eastAsia="仿宋" w:cs="仿宋"/>
                <w:b w:val="0"/>
                <w:color w:val="auto"/>
                <w:kern w:val="2"/>
                <w:sz w:val="24"/>
                <w:szCs w:val="24"/>
              </w:rPr>
              <w:t>联系电话：028-84510079-(8006)。</w:t>
            </w:r>
          </w:p>
          <w:p>
            <w:pPr>
              <w:pStyle w:val="609"/>
              <w:spacing w:line="440" w:lineRule="exact"/>
              <w:ind w:firstLine="240" w:firstLineChars="100"/>
              <w:rPr>
                <w:rFonts w:ascii="仿宋" w:hAnsi="仿宋" w:eastAsia="仿宋" w:cs="Times New Roman"/>
                <w:lang w:val="zh-CN"/>
              </w:rPr>
            </w:pPr>
            <w:r>
              <w:rPr>
                <w:rFonts w:hint="eastAsia" w:ascii="仿宋" w:hAnsi="仿宋" w:eastAsia="仿宋" w:cs="仿宋"/>
                <w:kern w:val="2"/>
                <w:lang w:val="zh-CN"/>
              </w:rPr>
              <w:t>注：采购人或采购代理机构只对供应商依法提出的询问作出答复。</w:t>
            </w:r>
          </w:p>
        </w:tc>
      </w:tr>
      <w:tr>
        <w:tblPrEx>
          <w:tblBorders>
            <w:top w:val="single" w:color="000000" w:sz="12" w:space="0"/>
            <w:left w:val="single" w:color="000000" w:sz="12" w:space="0"/>
            <w:bottom w:val="single" w:color="000000" w:sz="12" w:space="0"/>
            <w:right w:val="single" w:color="000000" w:sz="12" w:space="0"/>
            <w:insideH w:val="single" w:color="auto" w:sz="6" w:space="0"/>
            <w:insideV w:val="single" w:color="auto" w:sz="6" w:space="0"/>
          </w:tblBorders>
          <w:tblCellMar>
            <w:top w:w="0" w:type="dxa"/>
            <w:left w:w="108" w:type="dxa"/>
            <w:bottom w:w="0" w:type="dxa"/>
            <w:right w:w="108" w:type="dxa"/>
          </w:tblCellMar>
        </w:tblPrEx>
        <w:trPr>
          <w:trHeight w:val="513" w:hRule="atLeast"/>
          <w:jc w:val="center"/>
        </w:trPr>
        <w:tc>
          <w:tcPr>
            <w:tcW w:w="395" w:type="pct"/>
            <w:vAlign w:val="center"/>
          </w:tcPr>
          <w:p>
            <w:pPr>
              <w:snapToGrid/>
              <w:spacing w:line="440" w:lineRule="exact"/>
              <w:ind w:firstLine="0" w:firstLineChars="0"/>
              <w:jc w:val="center"/>
              <w:rPr>
                <w:rFonts w:ascii="仿宋" w:hAnsi="仿宋" w:eastAsia="仿宋"/>
                <w:b w:val="0"/>
                <w:color w:val="auto"/>
                <w:sz w:val="24"/>
                <w:szCs w:val="24"/>
              </w:rPr>
            </w:pPr>
            <w:r>
              <w:rPr>
                <w:rFonts w:ascii="仿宋" w:hAnsi="仿宋" w:eastAsia="仿宋"/>
                <w:b w:val="0"/>
                <w:color w:val="auto"/>
                <w:sz w:val="24"/>
                <w:szCs w:val="24"/>
              </w:rPr>
              <w:t>1</w:t>
            </w:r>
            <w:r>
              <w:rPr>
                <w:rFonts w:hint="eastAsia" w:ascii="仿宋" w:hAnsi="仿宋" w:eastAsia="仿宋"/>
                <w:b w:val="0"/>
                <w:color w:val="auto"/>
                <w:sz w:val="24"/>
                <w:szCs w:val="24"/>
              </w:rPr>
              <w:t>7</w:t>
            </w:r>
          </w:p>
        </w:tc>
        <w:tc>
          <w:tcPr>
            <w:tcW w:w="1094" w:type="pct"/>
            <w:vAlign w:val="center"/>
          </w:tcPr>
          <w:p>
            <w:pPr>
              <w:snapToGrid/>
              <w:spacing w:line="440" w:lineRule="exact"/>
              <w:ind w:firstLine="0" w:firstLineChars="0"/>
              <w:jc w:val="center"/>
              <w:rPr>
                <w:rFonts w:ascii="仿宋" w:hAnsi="仿宋" w:eastAsia="仿宋"/>
                <w:b w:val="0"/>
                <w:color w:val="auto"/>
                <w:sz w:val="24"/>
                <w:szCs w:val="24"/>
              </w:rPr>
            </w:pPr>
            <w:r>
              <w:rPr>
                <w:rFonts w:ascii="仿宋" w:hAnsi="仿宋" w:eastAsia="仿宋"/>
                <w:b w:val="0"/>
                <w:color w:val="auto"/>
                <w:sz w:val="24"/>
                <w:szCs w:val="24"/>
              </w:rPr>
              <w:t>质疑</w:t>
            </w:r>
          </w:p>
        </w:tc>
        <w:tc>
          <w:tcPr>
            <w:tcW w:w="3510" w:type="pct"/>
            <w:vAlign w:val="center"/>
          </w:tcPr>
          <w:p>
            <w:pPr>
              <w:autoSpaceDE w:val="0"/>
              <w:autoSpaceDN w:val="0"/>
              <w:adjustRightInd w:val="0"/>
              <w:snapToGrid/>
              <w:spacing w:line="400" w:lineRule="exact"/>
              <w:ind w:firstLine="240" w:firstLineChars="100"/>
              <w:rPr>
                <w:rFonts w:hint="eastAsia" w:ascii="仿宋" w:hAnsi="仿宋" w:eastAsia="仿宋" w:cs="仿宋"/>
                <w:b w:val="0"/>
                <w:color w:val="auto"/>
                <w:sz w:val="24"/>
                <w:szCs w:val="24"/>
              </w:rPr>
            </w:pPr>
            <w:r>
              <w:rPr>
                <w:rFonts w:hint="eastAsia" w:ascii="仿宋" w:hAnsi="仿宋" w:eastAsia="仿宋" w:cs="仿宋"/>
                <w:b w:val="0"/>
                <w:color w:val="auto"/>
                <w:sz w:val="24"/>
                <w:szCs w:val="24"/>
              </w:rPr>
              <w:t>1．对招标文件的质疑：</w:t>
            </w:r>
          </w:p>
          <w:p>
            <w:pPr>
              <w:autoSpaceDE w:val="0"/>
              <w:autoSpaceDN w:val="0"/>
              <w:adjustRightInd w:val="0"/>
              <w:snapToGrid/>
              <w:spacing w:line="400" w:lineRule="exact"/>
              <w:ind w:firstLine="240" w:firstLineChars="100"/>
              <w:rPr>
                <w:rFonts w:hint="eastAsia" w:ascii="仿宋" w:hAnsi="仿宋" w:eastAsia="仿宋" w:cs="仿宋"/>
                <w:b w:val="0"/>
                <w:color w:val="auto"/>
                <w:sz w:val="24"/>
                <w:szCs w:val="24"/>
              </w:rPr>
            </w:pPr>
            <w:r>
              <w:rPr>
                <w:rFonts w:hint="eastAsia" w:ascii="仿宋" w:hAnsi="仿宋" w:eastAsia="仿宋" w:cs="仿宋"/>
                <w:b w:val="0"/>
                <w:color w:val="auto"/>
                <w:sz w:val="24"/>
                <w:szCs w:val="24"/>
              </w:rPr>
              <w:t>以书面形式向采购人、采购代理机构提出，并由采购人按相关规定作出答复或采购代理机构在委托授权范围内作出答复。</w:t>
            </w:r>
          </w:p>
          <w:p>
            <w:pPr>
              <w:autoSpaceDE w:val="0"/>
              <w:autoSpaceDN w:val="0"/>
              <w:adjustRightInd w:val="0"/>
              <w:snapToGrid/>
              <w:spacing w:line="400" w:lineRule="exact"/>
              <w:ind w:firstLine="240" w:firstLineChars="100"/>
              <w:rPr>
                <w:rFonts w:hint="eastAsia" w:ascii="仿宋" w:hAnsi="仿宋" w:eastAsia="仿宋" w:cs="仿宋"/>
                <w:b w:val="0"/>
                <w:color w:val="auto"/>
                <w:sz w:val="24"/>
                <w:szCs w:val="24"/>
              </w:rPr>
            </w:pPr>
            <w:r>
              <w:rPr>
                <w:rFonts w:hint="eastAsia" w:ascii="仿宋" w:hAnsi="仿宋" w:eastAsia="仿宋" w:cs="仿宋"/>
                <w:b w:val="0"/>
                <w:color w:val="auto"/>
                <w:sz w:val="24"/>
                <w:szCs w:val="24"/>
              </w:rPr>
              <w:t>质疑时间：获取招标文件或者招标文件公告期限届满之日起7个工作日内。</w:t>
            </w:r>
          </w:p>
          <w:p>
            <w:pPr>
              <w:autoSpaceDE w:val="0"/>
              <w:autoSpaceDN w:val="0"/>
              <w:adjustRightInd w:val="0"/>
              <w:snapToGrid/>
              <w:spacing w:line="400" w:lineRule="exact"/>
              <w:ind w:firstLine="240" w:firstLineChars="100"/>
              <w:rPr>
                <w:rFonts w:hint="eastAsia" w:ascii="仿宋" w:hAnsi="仿宋" w:eastAsia="仿宋" w:cs="仿宋"/>
                <w:b w:val="0"/>
                <w:color w:val="auto"/>
                <w:sz w:val="24"/>
                <w:szCs w:val="24"/>
              </w:rPr>
            </w:pPr>
            <w:r>
              <w:rPr>
                <w:rFonts w:hint="eastAsia" w:ascii="仿宋" w:hAnsi="仿宋" w:eastAsia="仿宋" w:cs="仿宋"/>
                <w:b w:val="0"/>
                <w:color w:val="auto"/>
                <w:sz w:val="24"/>
                <w:szCs w:val="24"/>
              </w:rPr>
              <w:t>2．对招标过程和结果的质疑：</w:t>
            </w:r>
          </w:p>
          <w:p>
            <w:pPr>
              <w:autoSpaceDE w:val="0"/>
              <w:autoSpaceDN w:val="0"/>
              <w:adjustRightInd w:val="0"/>
              <w:snapToGrid/>
              <w:spacing w:line="400" w:lineRule="exact"/>
              <w:ind w:firstLine="240" w:firstLineChars="100"/>
              <w:rPr>
                <w:rFonts w:hint="eastAsia" w:ascii="仿宋" w:hAnsi="仿宋" w:eastAsia="仿宋" w:cs="仿宋"/>
                <w:b w:val="0"/>
                <w:color w:val="auto"/>
                <w:sz w:val="24"/>
                <w:szCs w:val="24"/>
              </w:rPr>
            </w:pPr>
            <w:r>
              <w:rPr>
                <w:rFonts w:hint="eastAsia" w:ascii="仿宋" w:hAnsi="仿宋" w:eastAsia="仿宋" w:cs="仿宋"/>
                <w:b w:val="0"/>
                <w:color w:val="auto"/>
                <w:sz w:val="24"/>
                <w:szCs w:val="24"/>
              </w:rPr>
              <w:t>以书面形式向采购人、采购代理机构提出，并由采购人按相关规定作出答复或采购代理机构在委托授权范围内作出答复。</w:t>
            </w:r>
          </w:p>
          <w:p>
            <w:pPr>
              <w:autoSpaceDE w:val="0"/>
              <w:autoSpaceDN w:val="0"/>
              <w:adjustRightInd w:val="0"/>
              <w:snapToGrid/>
              <w:spacing w:line="400" w:lineRule="exact"/>
              <w:ind w:firstLine="240" w:firstLineChars="100"/>
              <w:rPr>
                <w:rFonts w:hint="eastAsia" w:ascii="仿宋" w:hAnsi="仿宋" w:eastAsia="仿宋" w:cs="仿宋"/>
                <w:b w:val="0"/>
                <w:color w:val="auto"/>
                <w:sz w:val="24"/>
                <w:szCs w:val="24"/>
              </w:rPr>
            </w:pPr>
            <w:r>
              <w:rPr>
                <w:rFonts w:hint="eastAsia" w:ascii="仿宋" w:hAnsi="仿宋" w:eastAsia="仿宋" w:cs="仿宋"/>
                <w:b w:val="0"/>
                <w:color w:val="auto"/>
                <w:sz w:val="24"/>
                <w:szCs w:val="24"/>
              </w:rPr>
              <w:t>对招标过程质疑时间：为招标环节结束之日起七个工作日内。</w:t>
            </w:r>
          </w:p>
          <w:p>
            <w:pPr>
              <w:autoSpaceDE w:val="0"/>
              <w:autoSpaceDN w:val="0"/>
              <w:adjustRightInd w:val="0"/>
              <w:snapToGrid/>
              <w:spacing w:line="400" w:lineRule="exact"/>
              <w:ind w:firstLine="240" w:firstLineChars="100"/>
              <w:rPr>
                <w:rFonts w:hint="eastAsia" w:ascii="仿宋" w:hAnsi="仿宋" w:eastAsia="仿宋" w:cs="仿宋"/>
                <w:b w:val="0"/>
                <w:color w:val="auto"/>
                <w:sz w:val="24"/>
                <w:szCs w:val="24"/>
              </w:rPr>
            </w:pPr>
            <w:r>
              <w:rPr>
                <w:rFonts w:hint="eastAsia" w:ascii="仿宋" w:hAnsi="仿宋" w:eastAsia="仿宋" w:cs="仿宋"/>
                <w:b w:val="0"/>
                <w:color w:val="auto"/>
                <w:sz w:val="24"/>
                <w:szCs w:val="24"/>
              </w:rPr>
              <w:t>对招标结果提出质疑时间：为招标结果通知之日起七个工作日内。</w:t>
            </w:r>
          </w:p>
          <w:p>
            <w:pPr>
              <w:widowControl/>
              <w:adjustRightInd w:val="0"/>
              <w:spacing w:line="400" w:lineRule="exact"/>
              <w:ind w:firstLine="240" w:firstLineChars="100"/>
              <w:rPr>
                <w:rFonts w:hint="eastAsia" w:ascii="仿宋" w:hAnsi="仿宋" w:eastAsia="仿宋" w:cs="宋体"/>
                <w:b w:val="0"/>
                <w:color w:val="auto"/>
                <w:sz w:val="24"/>
                <w:szCs w:val="24"/>
                <w:lang w:val="en-US"/>
              </w:rPr>
            </w:pPr>
            <w:r>
              <w:rPr>
                <w:rFonts w:hint="eastAsia" w:ascii="仿宋" w:hAnsi="仿宋" w:eastAsia="仿宋" w:cs="仿宋"/>
                <w:b w:val="0"/>
                <w:color w:val="auto"/>
                <w:kern w:val="2"/>
                <w:sz w:val="24"/>
                <w:szCs w:val="24"/>
              </w:rPr>
              <w:t>3．质疑必须以书面形式(原件)提出，以其他形式提出的质疑均不接受和回复。</w:t>
            </w:r>
          </w:p>
          <w:p>
            <w:pPr>
              <w:widowControl/>
              <w:adjustRightInd w:val="0"/>
              <w:spacing w:line="400" w:lineRule="exact"/>
              <w:ind w:firstLine="240" w:firstLineChars="100"/>
              <w:rPr>
                <w:rFonts w:hint="eastAsia" w:ascii="仿宋" w:hAnsi="仿宋" w:eastAsia="仿宋" w:cs="宋体"/>
                <w:b w:val="0"/>
                <w:color w:val="auto"/>
                <w:sz w:val="24"/>
                <w:szCs w:val="24"/>
                <w:lang w:val="en-US"/>
              </w:rPr>
            </w:pPr>
            <w:r>
              <w:rPr>
                <w:rFonts w:hint="eastAsia" w:ascii="仿宋" w:hAnsi="仿宋" w:eastAsia="仿宋" w:cs="宋体"/>
                <w:b w:val="0"/>
                <w:color w:val="auto"/>
                <w:sz w:val="24"/>
                <w:szCs w:val="24"/>
                <w:lang w:val="en-US"/>
              </w:rPr>
              <w:t>联系人：杨女士</w:t>
            </w:r>
          </w:p>
          <w:p>
            <w:pPr>
              <w:widowControl/>
              <w:adjustRightInd w:val="0"/>
              <w:spacing w:line="400" w:lineRule="exact"/>
              <w:ind w:firstLine="240" w:firstLineChars="100"/>
              <w:rPr>
                <w:rFonts w:hint="eastAsia" w:ascii="仿宋" w:hAnsi="仿宋" w:eastAsia="仿宋" w:cs="宋体"/>
                <w:b w:val="0"/>
                <w:color w:val="auto"/>
                <w:sz w:val="24"/>
                <w:szCs w:val="24"/>
                <w:lang w:val="en-US"/>
              </w:rPr>
            </w:pPr>
            <w:r>
              <w:rPr>
                <w:rFonts w:hint="eastAsia" w:ascii="仿宋" w:hAnsi="仿宋" w:eastAsia="仿宋" w:cs="宋体"/>
                <w:b w:val="0"/>
                <w:color w:val="auto"/>
                <w:sz w:val="24"/>
                <w:szCs w:val="24"/>
                <w:lang w:val="en-US"/>
              </w:rPr>
              <w:t>联系电话：</w:t>
            </w:r>
            <w:r>
              <w:rPr>
                <w:rFonts w:hint="eastAsia" w:ascii="仿宋" w:hAnsi="仿宋" w:eastAsia="仿宋" w:cs="仿宋"/>
                <w:b w:val="0"/>
                <w:color w:val="auto"/>
                <w:kern w:val="2"/>
                <w:sz w:val="24"/>
                <w:szCs w:val="24"/>
              </w:rPr>
              <w:t>028-84510079-8006</w:t>
            </w:r>
          </w:p>
          <w:p>
            <w:pPr>
              <w:pStyle w:val="609"/>
              <w:spacing w:line="440" w:lineRule="exact"/>
              <w:ind w:firstLine="240" w:firstLineChars="100"/>
              <w:rPr>
                <w:rFonts w:ascii="仿宋" w:hAnsi="仿宋" w:eastAsia="仿宋" w:cs="Times New Roman"/>
              </w:rPr>
            </w:pPr>
            <w:r>
              <w:rPr>
                <w:rFonts w:hint="eastAsia" w:ascii="仿宋" w:hAnsi="仿宋" w:eastAsia="仿宋"/>
              </w:rPr>
              <w:t>注：供应商按要求领取招标文件的，为依法获取招标文件的供应商，可以对该文件提出质疑。</w:t>
            </w:r>
            <w:r>
              <w:rPr>
                <w:rFonts w:hint="eastAsia" w:ascii="仿宋" w:hAnsi="仿宋" w:eastAsia="仿宋"/>
                <w:color w:val="000000"/>
              </w:rPr>
              <w:t>根据《中华人民共和国政府采购法》等规定，供应商质疑不得超出招标文件、招标过程、招标结果的范围，供应商针对同一采购程序环节的质疑应在法定质疑期内一次性提出。</w:t>
            </w:r>
          </w:p>
        </w:tc>
      </w:tr>
      <w:tr>
        <w:tblPrEx>
          <w:tblBorders>
            <w:top w:val="single" w:color="000000" w:sz="12" w:space="0"/>
            <w:left w:val="single" w:color="000000" w:sz="12" w:space="0"/>
            <w:bottom w:val="single" w:color="000000" w:sz="12" w:space="0"/>
            <w:right w:val="single" w:color="000000" w:sz="12" w:space="0"/>
            <w:insideH w:val="single" w:color="auto" w:sz="6" w:space="0"/>
            <w:insideV w:val="single" w:color="auto" w:sz="6" w:space="0"/>
          </w:tblBorders>
          <w:tblCellMar>
            <w:top w:w="0" w:type="dxa"/>
            <w:left w:w="108" w:type="dxa"/>
            <w:bottom w:w="0" w:type="dxa"/>
            <w:right w:w="108" w:type="dxa"/>
          </w:tblCellMar>
        </w:tblPrEx>
        <w:trPr>
          <w:trHeight w:val="513" w:hRule="atLeast"/>
          <w:jc w:val="center"/>
        </w:trPr>
        <w:tc>
          <w:tcPr>
            <w:tcW w:w="395" w:type="pct"/>
            <w:vAlign w:val="center"/>
          </w:tcPr>
          <w:p>
            <w:pPr>
              <w:snapToGrid/>
              <w:spacing w:line="440" w:lineRule="exact"/>
              <w:ind w:firstLine="0" w:firstLineChars="0"/>
              <w:jc w:val="center"/>
              <w:rPr>
                <w:rFonts w:ascii="仿宋" w:hAnsi="仿宋" w:eastAsia="仿宋"/>
                <w:b w:val="0"/>
                <w:color w:val="auto"/>
                <w:sz w:val="24"/>
                <w:szCs w:val="24"/>
              </w:rPr>
            </w:pPr>
            <w:r>
              <w:rPr>
                <w:rFonts w:ascii="仿宋" w:hAnsi="仿宋" w:eastAsia="仿宋"/>
                <w:b w:val="0"/>
                <w:color w:val="auto"/>
                <w:sz w:val="24"/>
                <w:szCs w:val="24"/>
              </w:rPr>
              <w:t>1</w:t>
            </w:r>
            <w:r>
              <w:rPr>
                <w:rFonts w:hint="eastAsia" w:ascii="仿宋" w:hAnsi="仿宋" w:eastAsia="仿宋"/>
                <w:b w:val="0"/>
                <w:color w:val="auto"/>
                <w:sz w:val="24"/>
                <w:szCs w:val="24"/>
              </w:rPr>
              <w:t>8</w:t>
            </w:r>
          </w:p>
        </w:tc>
        <w:tc>
          <w:tcPr>
            <w:tcW w:w="1094" w:type="pct"/>
            <w:vAlign w:val="center"/>
          </w:tcPr>
          <w:p>
            <w:pPr>
              <w:snapToGrid/>
              <w:spacing w:line="440" w:lineRule="exact"/>
              <w:ind w:firstLine="0" w:firstLineChars="0"/>
              <w:jc w:val="center"/>
              <w:rPr>
                <w:rFonts w:ascii="仿宋" w:hAnsi="仿宋" w:eastAsia="仿宋"/>
                <w:b w:val="0"/>
                <w:color w:val="auto"/>
                <w:sz w:val="24"/>
                <w:szCs w:val="24"/>
              </w:rPr>
            </w:pPr>
            <w:r>
              <w:rPr>
                <w:rFonts w:ascii="仿宋" w:hAnsi="仿宋" w:eastAsia="仿宋"/>
                <w:b w:val="0"/>
                <w:color w:val="auto"/>
                <w:sz w:val="24"/>
                <w:szCs w:val="24"/>
              </w:rPr>
              <w:t>投诉</w:t>
            </w:r>
          </w:p>
        </w:tc>
        <w:tc>
          <w:tcPr>
            <w:tcW w:w="3510" w:type="pct"/>
            <w:vAlign w:val="center"/>
          </w:tcPr>
          <w:p>
            <w:pPr>
              <w:pStyle w:val="609"/>
              <w:spacing w:line="440" w:lineRule="exact"/>
              <w:ind w:firstLine="240" w:firstLineChars="100"/>
              <w:rPr>
                <w:rFonts w:ascii="仿宋" w:hAnsi="仿宋" w:eastAsia="仿宋" w:cs="Times New Roman"/>
              </w:rPr>
            </w:pPr>
            <w:r>
              <w:rPr>
                <w:rFonts w:ascii="仿宋" w:hAnsi="仿宋" w:eastAsia="仿宋" w:cs="Times New Roman"/>
              </w:rPr>
              <w:t>投诉受理单位：本项目同级财政部门，即</w:t>
            </w:r>
            <w:r>
              <w:rPr>
                <w:rFonts w:ascii="仿宋" w:hAnsi="仿宋" w:eastAsia="仿宋" w:cs="Times New Roman"/>
                <w:u w:val="single"/>
              </w:rPr>
              <w:t>成都市财政局</w:t>
            </w:r>
            <w:r>
              <w:rPr>
                <w:rFonts w:ascii="仿宋" w:hAnsi="仿宋" w:eastAsia="仿宋" w:cs="Times New Roman"/>
              </w:rPr>
              <w:t>。</w:t>
            </w:r>
          </w:p>
          <w:p>
            <w:pPr>
              <w:pStyle w:val="609"/>
              <w:spacing w:line="440" w:lineRule="exact"/>
              <w:ind w:firstLine="240" w:firstLineChars="100"/>
              <w:rPr>
                <w:rFonts w:ascii="仿宋" w:hAnsi="仿宋" w:eastAsia="仿宋" w:cs="Times New Roman"/>
              </w:rPr>
            </w:pPr>
            <w:r>
              <w:rPr>
                <w:rFonts w:ascii="仿宋" w:hAnsi="仿宋" w:eastAsia="仿宋" w:cs="Times New Roman"/>
              </w:rPr>
              <w:t>联系电话：028-61882648</w:t>
            </w:r>
          </w:p>
          <w:p>
            <w:pPr>
              <w:pStyle w:val="609"/>
              <w:spacing w:line="440" w:lineRule="exact"/>
              <w:ind w:firstLine="240" w:firstLineChars="100"/>
              <w:rPr>
                <w:rFonts w:hint="eastAsia" w:ascii="仿宋" w:hAnsi="仿宋" w:eastAsia="仿宋" w:cs="Times New Roman"/>
              </w:rPr>
            </w:pPr>
            <w:r>
              <w:rPr>
                <w:rFonts w:ascii="仿宋" w:hAnsi="仿宋" w:eastAsia="仿宋" w:cs="Times New Roman"/>
              </w:rPr>
              <w:t>联系地址：成都市高新区锦城大道366号</w:t>
            </w:r>
            <w:r>
              <w:rPr>
                <w:rFonts w:hint="eastAsia" w:ascii="仿宋" w:hAnsi="仿宋" w:eastAsia="仿宋" w:cs="Times New Roman"/>
              </w:rPr>
              <w:t>。</w:t>
            </w:r>
          </w:p>
          <w:p>
            <w:pPr>
              <w:pStyle w:val="609"/>
              <w:spacing w:line="440" w:lineRule="exact"/>
              <w:ind w:firstLine="236" w:firstLineChars="98"/>
              <w:rPr>
                <w:rFonts w:ascii="仿宋" w:hAnsi="仿宋" w:eastAsia="仿宋" w:cs="Times New Roman"/>
                <w:lang w:val="zh-CN"/>
              </w:rPr>
            </w:pPr>
            <w:r>
              <w:rPr>
                <w:rFonts w:ascii="仿宋" w:hAnsi="仿宋" w:eastAsia="仿宋" w:cs="Times New Roman"/>
                <w:b/>
                <w:lang w:val="zh-CN"/>
              </w:rPr>
              <w:t>注：</w:t>
            </w:r>
            <w:r>
              <w:rPr>
                <w:rFonts w:hint="eastAsia" w:ascii="仿宋" w:hAnsi="仿宋" w:eastAsia="仿宋" w:cs="Times New Roman"/>
                <w:b/>
                <w:lang w:val="zh-CN"/>
              </w:rPr>
              <w:t>根据《中华人民共和国政府采购法》及其他有关等规定，供应商投诉事项不得超出已质疑事项的范围</w:t>
            </w:r>
            <w:r>
              <w:rPr>
                <w:rFonts w:ascii="仿宋" w:hAnsi="仿宋" w:eastAsia="仿宋" w:cs="Times New Roman"/>
                <w:b/>
                <w:lang w:val="zh-CN"/>
              </w:rPr>
              <w:t>。</w:t>
            </w:r>
          </w:p>
        </w:tc>
      </w:tr>
      <w:tr>
        <w:tblPrEx>
          <w:tblBorders>
            <w:top w:val="single" w:color="000000" w:sz="12" w:space="0"/>
            <w:left w:val="single" w:color="000000" w:sz="12" w:space="0"/>
            <w:bottom w:val="single" w:color="000000" w:sz="12" w:space="0"/>
            <w:right w:val="single" w:color="000000" w:sz="12" w:space="0"/>
            <w:insideH w:val="single" w:color="auto" w:sz="6" w:space="0"/>
            <w:insideV w:val="single" w:color="auto" w:sz="6" w:space="0"/>
          </w:tblBorders>
          <w:tblCellMar>
            <w:top w:w="0" w:type="dxa"/>
            <w:left w:w="108" w:type="dxa"/>
            <w:bottom w:w="0" w:type="dxa"/>
            <w:right w:w="108" w:type="dxa"/>
          </w:tblCellMar>
        </w:tblPrEx>
        <w:trPr>
          <w:trHeight w:val="205" w:hRule="atLeast"/>
          <w:jc w:val="center"/>
        </w:trPr>
        <w:tc>
          <w:tcPr>
            <w:tcW w:w="395" w:type="pct"/>
            <w:vAlign w:val="center"/>
          </w:tcPr>
          <w:p>
            <w:pPr>
              <w:snapToGrid/>
              <w:spacing w:line="440" w:lineRule="exact"/>
              <w:ind w:firstLine="0" w:firstLineChars="0"/>
              <w:jc w:val="center"/>
              <w:rPr>
                <w:rFonts w:ascii="仿宋" w:hAnsi="仿宋" w:eastAsia="仿宋"/>
                <w:b w:val="0"/>
                <w:color w:val="auto"/>
                <w:sz w:val="24"/>
                <w:szCs w:val="24"/>
              </w:rPr>
            </w:pPr>
            <w:r>
              <w:rPr>
                <w:rFonts w:ascii="仿宋" w:hAnsi="仿宋" w:eastAsia="仿宋"/>
                <w:b w:val="0"/>
                <w:color w:val="auto"/>
                <w:sz w:val="24"/>
                <w:szCs w:val="24"/>
              </w:rPr>
              <w:t>1</w:t>
            </w:r>
            <w:r>
              <w:rPr>
                <w:rFonts w:hint="eastAsia" w:ascii="仿宋" w:hAnsi="仿宋" w:eastAsia="仿宋"/>
                <w:b w:val="0"/>
                <w:color w:val="auto"/>
                <w:sz w:val="24"/>
                <w:szCs w:val="24"/>
              </w:rPr>
              <w:t>9</w:t>
            </w:r>
          </w:p>
        </w:tc>
        <w:tc>
          <w:tcPr>
            <w:tcW w:w="1094" w:type="pct"/>
            <w:vAlign w:val="center"/>
          </w:tcPr>
          <w:p>
            <w:pPr>
              <w:pStyle w:val="609"/>
              <w:spacing w:line="440" w:lineRule="exact"/>
              <w:jc w:val="center"/>
              <w:rPr>
                <w:rFonts w:ascii="仿宋" w:hAnsi="仿宋" w:eastAsia="仿宋" w:cs="Times New Roman"/>
                <w:lang w:val="zh-CN"/>
              </w:rPr>
            </w:pPr>
            <w:r>
              <w:rPr>
                <w:rFonts w:ascii="仿宋" w:hAnsi="仿宋" w:eastAsia="仿宋" w:cs="Times New Roman"/>
                <w:lang w:val="zh-CN"/>
              </w:rPr>
              <w:t>履约保证金</w:t>
            </w:r>
          </w:p>
        </w:tc>
        <w:tc>
          <w:tcPr>
            <w:tcW w:w="3510" w:type="pct"/>
            <w:vAlign w:val="center"/>
          </w:tcPr>
          <w:p>
            <w:pPr>
              <w:widowControl/>
              <w:adjustRightInd w:val="0"/>
              <w:spacing w:line="400" w:lineRule="exact"/>
              <w:ind w:firstLine="240" w:firstLineChars="100"/>
              <w:jc w:val="left"/>
              <w:rPr>
                <w:rFonts w:hint="eastAsia" w:ascii="仿宋" w:hAnsi="仿宋" w:eastAsia="仿宋" w:cs="宋体"/>
                <w:b w:val="0"/>
                <w:color w:val="auto"/>
                <w:sz w:val="24"/>
                <w:szCs w:val="24"/>
                <w:lang w:val="en-US"/>
              </w:rPr>
            </w:pPr>
            <w:r>
              <w:rPr>
                <w:rFonts w:hint="eastAsia" w:ascii="仿宋" w:hAnsi="仿宋" w:eastAsia="仿宋" w:cs="宋体"/>
                <w:b w:val="0"/>
                <w:color w:val="000000"/>
                <w:sz w:val="24"/>
                <w:szCs w:val="24"/>
                <w:lang w:val="en-US"/>
              </w:rPr>
              <w:t>金额：</w:t>
            </w:r>
            <w:r>
              <w:rPr>
                <w:rFonts w:hint="eastAsia" w:ascii="仿宋" w:hAnsi="仿宋" w:eastAsia="仿宋" w:cs="宋体"/>
                <w:b w:val="0"/>
                <w:color w:val="auto"/>
                <w:sz w:val="24"/>
                <w:szCs w:val="24"/>
                <w:lang w:val="en-US"/>
              </w:rPr>
              <w:t>人民币20000元。</w:t>
            </w:r>
          </w:p>
          <w:p>
            <w:pPr>
              <w:widowControl/>
              <w:adjustRightInd w:val="0"/>
              <w:spacing w:line="400" w:lineRule="exact"/>
              <w:ind w:firstLine="240" w:firstLineChars="100"/>
              <w:jc w:val="left"/>
              <w:rPr>
                <w:rFonts w:hint="eastAsia" w:ascii="仿宋" w:hAnsi="仿宋" w:eastAsia="仿宋" w:cs="宋体"/>
                <w:b w:val="0"/>
                <w:color w:val="auto"/>
                <w:sz w:val="24"/>
                <w:szCs w:val="24"/>
                <w:lang w:val="en-US"/>
              </w:rPr>
            </w:pPr>
            <w:r>
              <w:rPr>
                <w:rFonts w:hint="eastAsia" w:ascii="仿宋" w:hAnsi="仿宋" w:eastAsia="仿宋" w:cs="宋体"/>
                <w:b w:val="0"/>
                <w:color w:val="auto"/>
                <w:sz w:val="24"/>
                <w:szCs w:val="24"/>
                <w:lang w:val="en-US"/>
              </w:rPr>
              <w:t>交款方式：履约保证金可以以支票、汇票、本票或者金融机构出具的保函等非现金形式提交（包括网银转账，电汇等方式）。</w:t>
            </w:r>
          </w:p>
          <w:p>
            <w:pPr>
              <w:widowControl/>
              <w:adjustRightInd w:val="0"/>
              <w:spacing w:line="400" w:lineRule="exact"/>
              <w:ind w:firstLine="240" w:firstLineChars="100"/>
              <w:jc w:val="left"/>
              <w:rPr>
                <w:rFonts w:hint="eastAsia" w:ascii="仿宋" w:hAnsi="仿宋" w:eastAsia="仿宋" w:cs="宋体"/>
                <w:b w:val="0"/>
                <w:color w:val="auto"/>
                <w:sz w:val="24"/>
                <w:szCs w:val="24"/>
                <w:lang w:val="en-US"/>
              </w:rPr>
            </w:pPr>
            <w:r>
              <w:rPr>
                <w:rFonts w:hint="eastAsia" w:ascii="仿宋" w:hAnsi="仿宋" w:eastAsia="仿宋" w:cs="宋体"/>
                <w:b w:val="0"/>
                <w:color w:val="auto"/>
                <w:sz w:val="24"/>
                <w:szCs w:val="24"/>
                <w:lang w:val="en-US"/>
              </w:rPr>
              <w:t>收款单位：以采购人要求为准。</w:t>
            </w:r>
          </w:p>
          <w:p>
            <w:pPr>
              <w:widowControl/>
              <w:adjustRightInd w:val="0"/>
              <w:spacing w:line="400" w:lineRule="exact"/>
              <w:ind w:firstLine="240" w:firstLineChars="100"/>
              <w:jc w:val="left"/>
              <w:rPr>
                <w:rFonts w:hint="eastAsia" w:ascii="仿宋" w:hAnsi="仿宋" w:eastAsia="仿宋" w:cs="宋体"/>
                <w:b w:val="0"/>
                <w:color w:val="auto"/>
                <w:sz w:val="24"/>
                <w:szCs w:val="24"/>
                <w:lang w:val="en-US"/>
              </w:rPr>
            </w:pPr>
            <w:r>
              <w:rPr>
                <w:rFonts w:hint="eastAsia" w:ascii="仿宋" w:hAnsi="仿宋" w:eastAsia="仿宋" w:cs="宋体"/>
                <w:b w:val="0"/>
                <w:color w:val="auto"/>
                <w:sz w:val="24"/>
                <w:szCs w:val="24"/>
                <w:lang w:val="en-US"/>
              </w:rPr>
              <w:t>开 户 行：以采购人要求为准。</w:t>
            </w:r>
          </w:p>
          <w:p>
            <w:pPr>
              <w:widowControl/>
              <w:adjustRightInd w:val="0"/>
              <w:spacing w:line="400" w:lineRule="exact"/>
              <w:ind w:firstLine="240" w:firstLineChars="100"/>
              <w:jc w:val="left"/>
              <w:rPr>
                <w:rFonts w:hint="eastAsia" w:ascii="仿宋" w:hAnsi="仿宋" w:eastAsia="仿宋" w:cs="宋体"/>
                <w:b w:val="0"/>
                <w:color w:val="auto"/>
                <w:sz w:val="24"/>
                <w:szCs w:val="24"/>
                <w:lang w:val="en-US"/>
              </w:rPr>
            </w:pPr>
            <w:r>
              <w:rPr>
                <w:rFonts w:hint="eastAsia" w:ascii="仿宋" w:hAnsi="仿宋" w:eastAsia="仿宋" w:cs="宋体"/>
                <w:b w:val="0"/>
                <w:color w:val="auto"/>
                <w:sz w:val="24"/>
                <w:szCs w:val="24"/>
                <w:lang w:val="en-US"/>
              </w:rPr>
              <w:t>银行账号：以采购人要求为准。</w:t>
            </w:r>
          </w:p>
          <w:p>
            <w:pPr>
              <w:widowControl/>
              <w:adjustRightInd w:val="0"/>
              <w:spacing w:line="400" w:lineRule="exact"/>
              <w:ind w:firstLine="240" w:firstLineChars="100"/>
              <w:jc w:val="left"/>
              <w:rPr>
                <w:rFonts w:hint="eastAsia" w:ascii="仿宋" w:hAnsi="仿宋" w:eastAsia="仿宋" w:cs="宋体"/>
                <w:b w:val="0"/>
                <w:color w:val="auto"/>
                <w:sz w:val="24"/>
                <w:szCs w:val="24"/>
                <w:lang w:val="en-US"/>
              </w:rPr>
            </w:pPr>
            <w:r>
              <w:rPr>
                <w:rFonts w:hint="eastAsia" w:ascii="仿宋" w:hAnsi="仿宋" w:eastAsia="仿宋" w:cs="宋体"/>
                <w:b w:val="0"/>
                <w:color w:val="auto"/>
                <w:sz w:val="24"/>
                <w:szCs w:val="24"/>
                <w:lang w:val="en-US"/>
              </w:rPr>
              <w:t>交款时间：中标通知书发放后，政府采购合同签订前。</w:t>
            </w:r>
          </w:p>
          <w:p>
            <w:pPr>
              <w:widowControl/>
              <w:adjustRightInd w:val="0"/>
              <w:spacing w:line="400" w:lineRule="exact"/>
              <w:ind w:firstLine="240" w:firstLineChars="100"/>
              <w:jc w:val="left"/>
              <w:rPr>
                <w:rFonts w:hint="eastAsia" w:ascii="仿宋" w:hAnsi="仿宋" w:eastAsia="仿宋" w:cs="宋体"/>
                <w:b w:val="0"/>
                <w:bCs/>
                <w:color w:val="auto"/>
                <w:sz w:val="24"/>
                <w:szCs w:val="24"/>
                <w:lang w:val="en-US"/>
              </w:rPr>
            </w:pPr>
            <w:r>
              <w:rPr>
                <w:rFonts w:hint="eastAsia" w:ascii="仿宋" w:hAnsi="仿宋" w:eastAsia="仿宋" w:cs="宋体"/>
                <w:b w:val="0"/>
                <w:bCs/>
                <w:color w:val="auto"/>
                <w:sz w:val="24"/>
                <w:szCs w:val="24"/>
                <w:lang w:val="en-US"/>
              </w:rPr>
              <w:t>注：提供保函的担保机构必须是依法成立的具有相关资质和偿付能力的担保机构。保函是银行等金融机构出具的，保函必须要在中国人民银行征信系统能够进行查询，否则将取消中标资格，采购人将重新确定中标人，并依法追究法律责任。</w:t>
            </w:r>
          </w:p>
          <w:p>
            <w:pPr>
              <w:widowControl/>
              <w:adjustRightInd w:val="0"/>
              <w:spacing w:line="400" w:lineRule="exact"/>
              <w:ind w:firstLine="240" w:firstLineChars="100"/>
              <w:jc w:val="left"/>
              <w:rPr>
                <w:rFonts w:ascii="仿宋" w:hAnsi="仿宋" w:eastAsia="仿宋"/>
                <w:sz w:val="24"/>
                <w:szCs w:val="24"/>
              </w:rPr>
            </w:pPr>
            <w:r>
              <w:rPr>
                <w:rFonts w:hint="eastAsia" w:ascii="仿宋" w:hAnsi="仿宋" w:eastAsia="仿宋" w:cs="宋体"/>
                <w:b w:val="0"/>
                <w:color w:val="000000"/>
                <w:sz w:val="24"/>
                <w:szCs w:val="24"/>
                <w:lang w:val="en-US"/>
              </w:rPr>
              <w:t>履约保证金不予退还的，将按照有关规定上缴国库。逾期退还履约保证金的，将依法承担法律责任，并赔偿供应商损失。</w:t>
            </w:r>
          </w:p>
        </w:tc>
      </w:tr>
      <w:tr>
        <w:tblPrEx>
          <w:tblBorders>
            <w:top w:val="single" w:color="000000" w:sz="12" w:space="0"/>
            <w:left w:val="single" w:color="000000" w:sz="12" w:space="0"/>
            <w:bottom w:val="single" w:color="000000" w:sz="12" w:space="0"/>
            <w:right w:val="single" w:color="000000" w:sz="12" w:space="0"/>
            <w:insideH w:val="single" w:color="auto" w:sz="6" w:space="0"/>
            <w:insideV w:val="single" w:color="auto" w:sz="6" w:space="0"/>
          </w:tblBorders>
          <w:tblCellMar>
            <w:top w:w="0" w:type="dxa"/>
            <w:left w:w="108" w:type="dxa"/>
            <w:bottom w:w="0" w:type="dxa"/>
            <w:right w:w="108" w:type="dxa"/>
          </w:tblCellMar>
        </w:tblPrEx>
        <w:trPr>
          <w:trHeight w:val="269" w:hRule="atLeast"/>
          <w:jc w:val="center"/>
        </w:trPr>
        <w:tc>
          <w:tcPr>
            <w:tcW w:w="395" w:type="pct"/>
            <w:vAlign w:val="center"/>
          </w:tcPr>
          <w:p>
            <w:pPr>
              <w:snapToGrid/>
              <w:spacing w:line="440" w:lineRule="exact"/>
              <w:ind w:firstLine="0" w:firstLineChars="0"/>
              <w:jc w:val="center"/>
              <w:rPr>
                <w:rFonts w:ascii="仿宋" w:hAnsi="仿宋" w:eastAsia="仿宋"/>
                <w:b w:val="0"/>
                <w:color w:val="auto"/>
                <w:sz w:val="24"/>
                <w:szCs w:val="24"/>
              </w:rPr>
            </w:pPr>
            <w:r>
              <w:rPr>
                <w:rFonts w:hint="eastAsia" w:ascii="仿宋" w:hAnsi="仿宋" w:eastAsia="仿宋"/>
                <w:b w:val="0"/>
                <w:color w:val="auto"/>
                <w:sz w:val="24"/>
                <w:szCs w:val="24"/>
              </w:rPr>
              <w:t>20</w:t>
            </w:r>
          </w:p>
        </w:tc>
        <w:tc>
          <w:tcPr>
            <w:tcW w:w="1094" w:type="pct"/>
            <w:vAlign w:val="center"/>
          </w:tcPr>
          <w:p>
            <w:pPr>
              <w:snapToGrid/>
              <w:spacing w:line="440" w:lineRule="exact"/>
              <w:ind w:firstLine="0" w:firstLineChars="0"/>
              <w:jc w:val="center"/>
              <w:rPr>
                <w:rFonts w:ascii="仿宋" w:hAnsi="仿宋" w:eastAsia="仿宋"/>
                <w:b w:val="0"/>
                <w:color w:val="auto"/>
                <w:sz w:val="24"/>
                <w:szCs w:val="24"/>
              </w:rPr>
            </w:pPr>
            <w:r>
              <w:rPr>
                <w:rFonts w:ascii="仿宋" w:hAnsi="仿宋" w:eastAsia="仿宋"/>
                <w:b w:val="0"/>
                <w:color w:val="auto"/>
                <w:sz w:val="24"/>
                <w:szCs w:val="24"/>
              </w:rPr>
              <w:t>招标代理服务费</w:t>
            </w:r>
          </w:p>
        </w:tc>
        <w:tc>
          <w:tcPr>
            <w:tcW w:w="3510" w:type="pct"/>
            <w:vAlign w:val="center"/>
          </w:tcPr>
          <w:p>
            <w:pPr>
              <w:pStyle w:val="609"/>
              <w:spacing w:line="440" w:lineRule="exact"/>
              <w:ind w:firstLine="236" w:firstLineChars="98"/>
              <w:rPr>
                <w:rFonts w:ascii="仿宋" w:hAnsi="仿宋" w:eastAsia="仿宋" w:cs="Times New Roman"/>
                <w:b/>
              </w:rPr>
            </w:pPr>
            <w:r>
              <w:rPr>
                <w:rFonts w:hint="eastAsia" w:ascii="仿宋" w:hAnsi="仿宋" w:eastAsia="仿宋" w:cs="Times New Roman"/>
                <w:b/>
              </w:rPr>
              <w:t>1.根据成本加合理利润原则，经与采购人协商，</w:t>
            </w:r>
            <w:r>
              <w:rPr>
                <w:rFonts w:ascii="仿宋" w:hAnsi="仿宋" w:eastAsia="仿宋" w:cs="Times New Roman"/>
                <w:b/>
                <w:bCs/>
              </w:rPr>
              <w:t>本招标文件约定，</w:t>
            </w:r>
            <w:r>
              <w:rPr>
                <w:rFonts w:hint="eastAsia" w:ascii="仿宋" w:hAnsi="仿宋" w:eastAsia="仿宋" w:cs="Times New Roman"/>
                <w:b/>
                <w:lang w:val="zh-CN"/>
              </w:rPr>
              <w:t>招标代理服务费以</w:t>
            </w:r>
            <w:r>
              <w:rPr>
                <w:rFonts w:hint="eastAsia" w:ascii="仿宋" w:hAnsi="仿宋" w:eastAsia="仿宋" w:cs="Times New Roman"/>
                <w:b/>
              </w:rPr>
              <w:t>定额</w:t>
            </w:r>
            <w:r>
              <w:rPr>
                <w:rFonts w:hint="eastAsia" w:ascii="仿宋" w:hAnsi="仿宋" w:eastAsia="仿宋" w:cs="Times New Roman"/>
                <w:b/>
                <w:lang w:val="en-US" w:eastAsia="zh-CN"/>
              </w:rPr>
              <w:t>方式向中标人</w:t>
            </w:r>
            <w:r>
              <w:rPr>
                <w:rFonts w:hint="eastAsia" w:ascii="仿宋" w:hAnsi="仿宋" w:eastAsia="仿宋" w:cs="Times New Roman"/>
                <w:b/>
              </w:rPr>
              <w:t>收取，金额为人民币12000元</w:t>
            </w:r>
            <w:r>
              <w:rPr>
                <w:rFonts w:hint="eastAsia" w:ascii="仿宋" w:hAnsi="仿宋" w:eastAsia="仿宋" w:cs="Times New Roman"/>
                <w:b/>
                <w:lang w:val="zh-CN"/>
              </w:rPr>
              <w:t>。</w:t>
            </w:r>
          </w:p>
          <w:p>
            <w:pPr>
              <w:pStyle w:val="609"/>
              <w:spacing w:line="440" w:lineRule="exact"/>
              <w:ind w:firstLine="240" w:firstLineChars="100"/>
              <w:rPr>
                <w:rFonts w:ascii="仿宋" w:hAnsi="仿宋" w:eastAsia="仿宋" w:cs="Times New Roman"/>
                <w:color w:val="FF0000"/>
              </w:rPr>
            </w:pPr>
            <w:r>
              <w:rPr>
                <w:rFonts w:ascii="仿宋" w:hAnsi="仿宋" w:eastAsia="仿宋" w:cs="Times New Roman"/>
              </w:rPr>
              <w:t>2．招标代理服务费可使用银行转账或采购代理机构认可的方式支付。</w:t>
            </w:r>
          </w:p>
        </w:tc>
      </w:tr>
      <w:tr>
        <w:tblPrEx>
          <w:tblBorders>
            <w:top w:val="single" w:color="000000" w:sz="12" w:space="0"/>
            <w:left w:val="single" w:color="000000" w:sz="12" w:space="0"/>
            <w:bottom w:val="single" w:color="000000" w:sz="12" w:space="0"/>
            <w:right w:val="single" w:color="000000" w:sz="12" w:space="0"/>
            <w:insideH w:val="single" w:color="auto" w:sz="6" w:space="0"/>
            <w:insideV w:val="single" w:color="auto" w:sz="6" w:space="0"/>
          </w:tblBorders>
          <w:tblCellMar>
            <w:top w:w="0" w:type="dxa"/>
            <w:left w:w="108" w:type="dxa"/>
            <w:bottom w:w="0" w:type="dxa"/>
            <w:right w:w="108" w:type="dxa"/>
          </w:tblCellMar>
        </w:tblPrEx>
        <w:trPr>
          <w:trHeight w:val="269" w:hRule="atLeast"/>
          <w:jc w:val="center"/>
        </w:trPr>
        <w:tc>
          <w:tcPr>
            <w:tcW w:w="395" w:type="pct"/>
            <w:vAlign w:val="center"/>
          </w:tcPr>
          <w:p>
            <w:pPr>
              <w:snapToGrid/>
              <w:spacing w:line="440" w:lineRule="exact"/>
              <w:ind w:firstLine="0" w:firstLineChars="0"/>
              <w:jc w:val="center"/>
              <w:rPr>
                <w:rFonts w:ascii="仿宋" w:hAnsi="仿宋" w:eastAsia="仿宋"/>
                <w:b w:val="0"/>
                <w:color w:val="auto"/>
                <w:sz w:val="24"/>
                <w:szCs w:val="24"/>
              </w:rPr>
            </w:pPr>
            <w:r>
              <w:rPr>
                <w:rFonts w:ascii="仿宋" w:hAnsi="仿宋" w:eastAsia="仿宋"/>
                <w:b w:val="0"/>
                <w:color w:val="auto"/>
                <w:sz w:val="24"/>
                <w:szCs w:val="24"/>
              </w:rPr>
              <w:t>2</w:t>
            </w:r>
            <w:r>
              <w:rPr>
                <w:rFonts w:hint="eastAsia" w:ascii="仿宋" w:hAnsi="仿宋" w:eastAsia="仿宋"/>
                <w:b w:val="0"/>
                <w:color w:val="auto"/>
                <w:sz w:val="24"/>
                <w:szCs w:val="24"/>
              </w:rPr>
              <w:t>1</w:t>
            </w:r>
          </w:p>
        </w:tc>
        <w:tc>
          <w:tcPr>
            <w:tcW w:w="1094" w:type="pct"/>
            <w:vAlign w:val="center"/>
          </w:tcPr>
          <w:p>
            <w:pPr>
              <w:snapToGrid/>
              <w:spacing w:line="440" w:lineRule="exact"/>
              <w:ind w:firstLine="0" w:firstLineChars="0"/>
              <w:jc w:val="center"/>
              <w:rPr>
                <w:rFonts w:ascii="仿宋" w:hAnsi="仿宋" w:eastAsia="仿宋"/>
                <w:b w:val="0"/>
                <w:color w:val="auto"/>
                <w:sz w:val="24"/>
                <w:szCs w:val="24"/>
              </w:rPr>
            </w:pPr>
            <w:r>
              <w:rPr>
                <w:rFonts w:ascii="仿宋" w:hAnsi="仿宋" w:eastAsia="仿宋"/>
                <w:b w:val="0"/>
                <w:color w:val="auto"/>
                <w:sz w:val="24"/>
                <w:szCs w:val="24"/>
              </w:rPr>
              <w:t>中标通知书领取</w:t>
            </w:r>
          </w:p>
        </w:tc>
        <w:tc>
          <w:tcPr>
            <w:tcW w:w="3510" w:type="pct"/>
            <w:vAlign w:val="center"/>
          </w:tcPr>
          <w:p>
            <w:pPr>
              <w:pStyle w:val="609"/>
              <w:spacing w:line="440" w:lineRule="exact"/>
              <w:ind w:firstLine="240" w:firstLineChars="100"/>
              <w:rPr>
                <w:rFonts w:ascii="仿宋" w:hAnsi="仿宋" w:eastAsia="仿宋" w:cs="Times New Roman"/>
                <w:lang w:val="zh-CN"/>
              </w:rPr>
            </w:pPr>
            <w:r>
              <w:rPr>
                <w:rFonts w:ascii="仿宋" w:hAnsi="仿宋" w:eastAsia="仿宋" w:cs="Times New Roman"/>
                <w:lang w:val="zh-CN"/>
              </w:rPr>
              <w:t>接采购代理机构通知后，中标人应凭有效身份证明证件到四川中志招标代理有限公司领取中标通知书。</w:t>
            </w:r>
          </w:p>
          <w:p>
            <w:pPr>
              <w:pStyle w:val="609"/>
              <w:spacing w:line="440" w:lineRule="exact"/>
              <w:ind w:firstLine="240" w:firstLineChars="100"/>
              <w:rPr>
                <w:rFonts w:ascii="仿宋" w:hAnsi="仿宋" w:eastAsia="仿宋" w:cs="Times New Roman"/>
                <w:lang w:val="zh-CN"/>
              </w:rPr>
            </w:pPr>
            <w:r>
              <w:rPr>
                <w:rFonts w:ascii="仿宋" w:hAnsi="仿宋" w:eastAsia="仿宋" w:cs="Times New Roman"/>
                <w:lang w:val="zh-CN"/>
              </w:rPr>
              <w:t>联系人：邱女士</w:t>
            </w:r>
          </w:p>
          <w:p>
            <w:pPr>
              <w:pStyle w:val="609"/>
              <w:spacing w:line="440" w:lineRule="exact"/>
              <w:ind w:firstLine="240" w:firstLineChars="100"/>
              <w:rPr>
                <w:rFonts w:ascii="仿宋" w:hAnsi="仿宋" w:eastAsia="仿宋" w:cs="Times New Roman"/>
                <w:lang w:val="zh-CN"/>
              </w:rPr>
            </w:pPr>
            <w:r>
              <w:rPr>
                <w:rFonts w:ascii="仿宋" w:hAnsi="仿宋" w:eastAsia="仿宋" w:cs="Times New Roman"/>
                <w:lang w:val="zh-CN"/>
              </w:rPr>
              <w:t>联系电话：028-65783579</w:t>
            </w:r>
          </w:p>
          <w:p>
            <w:pPr>
              <w:pStyle w:val="609"/>
              <w:spacing w:line="440" w:lineRule="exact"/>
              <w:ind w:firstLine="240" w:firstLineChars="100"/>
              <w:rPr>
                <w:rFonts w:ascii="仿宋" w:hAnsi="仿宋" w:eastAsia="仿宋" w:cs="Times New Roman"/>
                <w:lang w:val="zh-CN"/>
              </w:rPr>
            </w:pPr>
            <w:r>
              <w:rPr>
                <w:rFonts w:ascii="仿宋" w:hAnsi="仿宋" w:eastAsia="仿宋" w:cs="Times New Roman"/>
                <w:lang w:val="zh-CN"/>
              </w:rPr>
              <w:t>地址：成都市高新区吉泰五路88号3栋7层1号</w:t>
            </w:r>
            <w:r>
              <w:rPr>
                <w:rFonts w:hint="eastAsia" w:ascii="仿宋" w:hAnsi="仿宋" w:eastAsia="仿宋" w:cs="Times New Roman"/>
                <w:lang w:val="zh-CN"/>
              </w:rPr>
              <w:t>（花样年</w:t>
            </w:r>
            <w:r>
              <w:rPr>
                <w:rFonts w:hint="eastAsia"/>
                <w:lang w:val="zh-CN"/>
              </w:rPr>
              <w:t>•</w:t>
            </w:r>
            <w:r>
              <w:rPr>
                <w:rFonts w:hint="eastAsia" w:ascii="仿宋" w:hAnsi="仿宋" w:eastAsia="仿宋" w:cs="仿宋"/>
                <w:lang w:val="zh-CN"/>
              </w:rPr>
              <w:t>香年广场</w:t>
            </w:r>
            <w:r>
              <w:rPr>
                <w:rFonts w:hint="eastAsia" w:ascii="仿宋" w:hAnsi="仿宋" w:eastAsia="仿宋" w:cs="Times New Roman"/>
                <w:lang w:val="zh-CN"/>
              </w:rPr>
              <w:t>）</w:t>
            </w:r>
            <w:r>
              <w:rPr>
                <w:rFonts w:ascii="仿宋" w:hAnsi="仿宋" w:eastAsia="仿宋" w:cs="Times New Roman"/>
                <w:lang w:val="zh-CN"/>
              </w:rPr>
              <w:t>。</w:t>
            </w:r>
          </w:p>
          <w:p>
            <w:pPr>
              <w:pStyle w:val="609"/>
              <w:spacing w:line="440" w:lineRule="exact"/>
              <w:ind w:firstLine="236" w:firstLineChars="98"/>
              <w:rPr>
                <w:rFonts w:ascii="仿宋" w:hAnsi="仿宋" w:eastAsia="仿宋" w:cs="Times New Roman"/>
                <w:b/>
                <w:lang w:val="zh-CN"/>
              </w:rPr>
            </w:pPr>
            <w:r>
              <w:rPr>
                <w:rFonts w:ascii="仿宋" w:hAnsi="仿宋" w:eastAsia="仿宋" w:cs="Times New Roman"/>
                <w:b/>
                <w:lang w:val="zh-CN"/>
              </w:rPr>
              <w:t>注：领取中标通知书时，</w:t>
            </w:r>
            <w:r>
              <w:rPr>
                <w:rFonts w:ascii="仿宋" w:hAnsi="仿宋" w:eastAsia="仿宋" w:cs="Times New Roman"/>
                <w:b/>
                <w:kern w:val="2"/>
              </w:rPr>
              <w:t>根据</w:t>
            </w:r>
            <w:r>
              <w:rPr>
                <w:rFonts w:hint="eastAsia" w:ascii="仿宋" w:hAnsi="仿宋" w:eastAsia="仿宋" w:cs="Times New Roman"/>
                <w:b/>
                <w:kern w:val="2"/>
              </w:rPr>
              <w:t>《</w:t>
            </w:r>
            <w:r>
              <w:rPr>
                <w:rFonts w:ascii="仿宋" w:hAnsi="仿宋" w:eastAsia="仿宋" w:cs="Times New Roman"/>
                <w:b/>
                <w:kern w:val="2"/>
              </w:rPr>
              <w:t>四川省财政厅关于推进四川省政府采购供应商信用融资工作的通知</w:t>
            </w:r>
            <w:r>
              <w:rPr>
                <w:rFonts w:hint="eastAsia" w:ascii="仿宋" w:hAnsi="仿宋" w:eastAsia="仿宋" w:cs="Times New Roman"/>
                <w:b/>
                <w:kern w:val="2"/>
              </w:rPr>
              <w:t>》</w:t>
            </w:r>
            <w:r>
              <w:rPr>
                <w:rFonts w:ascii="仿宋" w:hAnsi="仿宋" w:eastAsia="仿宋" w:cs="Times New Roman"/>
                <w:b/>
                <w:kern w:val="2"/>
              </w:rPr>
              <w:t>（川财采[2018]123号）</w:t>
            </w:r>
            <w:r>
              <w:rPr>
                <w:rFonts w:ascii="仿宋" w:hAnsi="仿宋" w:eastAsia="仿宋" w:cs="Times New Roman"/>
                <w:b/>
                <w:color w:val="0000CC"/>
                <w:kern w:val="2"/>
              </w:rPr>
              <w:t>、</w:t>
            </w:r>
            <w:r>
              <w:rPr>
                <w:rFonts w:hint="eastAsia" w:ascii="仿宋" w:hAnsi="仿宋" w:eastAsia="仿宋" w:cs="Times New Roman"/>
                <w:b/>
                <w:kern w:val="2"/>
              </w:rPr>
              <w:t>《</w:t>
            </w:r>
            <w:r>
              <w:rPr>
                <w:rFonts w:ascii="仿宋" w:hAnsi="仿宋" w:eastAsia="仿宋" w:cs="Times New Roman"/>
                <w:b/>
                <w:kern w:val="2"/>
              </w:rPr>
              <w:t>成都市财政局 中国人民银行成都分行营业管理部关于印发</w:t>
            </w:r>
            <w:r>
              <w:rPr>
                <w:rFonts w:hint="eastAsia" w:ascii="仿宋" w:hAnsi="仿宋" w:eastAsia="仿宋" w:cs="Times New Roman"/>
                <w:b/>
                <w:kern w:val="2"/>
              </w:rPr>
              <w:t>〈</w:t>
            </w:r>
            <w:r>
              <w:rPr>
                <w:rFonts w:ascii="仿宋" w:hAnsi="仿宋" w:eastAsia="仿宋" w:cs="Times New Roman"/>
                <w:b/>
                <w:kern w:val="2"/>
              </w:rPr>
              <w:t>成都市中小企业政府采购信用融资暂行办法</w:t>
            </w:r>
            <w:r>
              <w:rPr>
                <w:rFonts w:hint="eastAsia" w:ascii="仿宋" w:hAnsi="仿宋" w:eastAsia="仿宋" w:cs="Times New Roman"/>
                <w:b/>
                <w:kern w:val="2"/>
              </w:rPr>
              <w:t>〉</w:t>
            </w:r>
            <w:r>
              <w:rPr>
                <w:rFonts w:ascii="仿宋" w:hAnsi="仿宋" w:eastAsia="仿宋" w:cs="Times New Roman"/>
                <w:b/>
                <w:kern w:val="2"/>
              </w:rPr>
              <w:t>和</w:t>
            </w:r>
            <w:r>
              <w:rPr>
                <w:rFonts w:hint="eastAsia" w:ascii="仿宋" w:hAnsi="仿宋" w:eastAsia="仿宋" w:cs="Times New Roman"/>
                <w:b/>
                <w:kern w:val="2"/>
              </w:rPr>
              <w:t>〈</w:t>
            </w:r>
            <w:r>
              <w:rPr>
                <w:rFonts w:ascii="仿宋" w:hAnsi="仿宋" w:eastAsia="仿宋" w:cs="Times New Roman"/>
                <w:b/>
                <w:kern w:val="2"/>
              </w:rPr>
              <w:t>成都市级支持中小企业政府采购信用融资实施方案</w:t>
            </w:r>
            <w:r>
              <w:rPr>
                <w:rFonts w:hint="eastAsia" w:ascii="仿宋" w:hAnsi="仿宋" w:eastAsia="仿宋" w:cs="Times New Roman"/>
                <w:b/>
                <w:kern w:val="2"/>
              </w:rPr>
              <w:t>〉</w:t>
            </w:r>
            <w:r>
              <w:rPr>
                <w:rFonts w:ascii="仿宋" w:hAnsi="仿宋" w:eastAsia="仿宋" w:cs="Times New Roman"/>
                <w:b/>
                <w:kern w:val="2"/>
              </w:rPr>
              <w:t>的通知</w:t>
            </w:r>
            <w:r>
              <w:rPr>
                <w:rFonts w:hint="eastAsia" w:ascii="仿宋" w:hAnsi="仿宋" w:eastAsia="仿宋" w:cs="Times New Roman"/>
                <w:b/>
                <w:kern w:val="2"/>
              </w:rPr>
              <w:t>》</w:t>
            </w:r>
            <w:r>
              <w:rPr>
                <w:rFonts w:ascii="仿宋" w:hAnsi="仿宋" w:eastAsia="仿宋" w:cs="Times New Roman"/>
                <w:b/>
                <w:kern w:val="2"/>
              </w:rPr>
              <w:t>（成财采[2019</w:t>
            </w:r>
            <w:r>
              <w:rPr>
                <w:rFonts w:ascii="仿宋" w:hAnsi="仿宋" w:eastAsia="仿宋" w:cs="Times New Roman"/>
                <w:b/>
                <w:kern w:val="2"/>
                <w:sz w:val="22"/>
              </w:rPr>
              <w:t>]17号</w:t>
            </w:r>
            <w:r>
              <w:rPr>
                <w:rFonts w:ascii="仿宋" w:hAnsi="仿宋" w:eastAsia="仿宋" w:cs="Times New Roman"/>
                <w:b/>
                <w:kern w:val="2"/>
              </w:rPr>
              <w:t>）</w:t>
            </w:r>
            <w:r>
              <w:rPr>
                <w:rFonts w:hint="eastAsia" w:ascii="仿宋" w:hAnsi="仿宋" w:eastAsia="仿宋" w:cs="Times New Roman"/>
                <w:b/>
                <w:kern w:val="2"/>
              </w:rPr>
              <w:t>及其附件1、附件2</w:t>
            </w:r>
            <w:r>
              <w:rPr>
                <w:rFonts w:ascii="仿宋" w:hAnsi="仿宋" w:eastAsia="仿宋" w:cs="Times New Roman"/>
                <w:b/>
                <w:kern w:val="2"/>
              </w:rPr>
              <w:t>的要求，符合通知要求、有融资需求的供应商可根据</w:t>
            </w:r>
            <w:r>
              <w:rPr>
                <w:rFonts w:hint="eastAsia" w:ascii="仿宋" w:hAnsi="仿宋" w:eastAsia="仿宋" w:cs="Times New Roman"/>
                <w:b/>
                <w:kern w:val="2"/>
              </w:rPr>
              <w:t>各级财政部门</w:t>
            </w:r>
            <w:r>
              <w:rPr>
                <w:rFonts w:ascii="仿宋" w:hAnsi="仿宋" w:eastAsia="仿宋" w:cs="Times New Roman"/>
                <w:b/>
                <w:kern w:val="2"/>
              </w:rPr>
              <w:t>公示的银行或融资机构及其“政采贷”产品，自行选择符合自身情况的“政采贷”银行及其产品，选择“政采贷”银行及其产品的需向代理机构进行登记。</w:t>
            </w:r>
          </w:p>
        </w:tc>
      </w:tr>
    </w:tbl>
    <w:p>
      <w:pPr>
        <w:keepNext/>
        <w:numPr>
          <w:ilvl w:val="1"/>
          <w:numId w:val="17"/>
        </w:numPr>
        <w:tabs>
          <w:tab w:val="left" w:pos="360"/>
        </w:tabs>
        <w:spacing w:line="520" w:lineRule="exact"/>
        <w:ind w:left="0" w:firstLine="482"/>
        <w:jc w:val="left"/>
        <w:outlineLvl w:val="1"/>
        <w:rPr>
          <w:rFonts w:ascii="仿宋" w:hAnsi="仿宋" w:eastAsia="仿宋"/>
          <w:bCs/>
          <w:color w:val="auto"/>
          <w:kern w:val="2"/>
          <w:sz w:val="24"/>
          <w:szCs w:val="24"/>
          <w:lang w:val="en-US"/>
        </w:rPr>
      </w:pPr>
      <w:bookmarkStart w:id="24" w:name="_Toc351016477"/>
      <w:r>
        <w:rPr>
          <w:rFonts w:ascii="仿宋" w:hAnsi="仿宋" w:eastAsia="仿宋"/>
          <w:bCs/>
          <w:color w:val="auto"/>
          <w:kern w:val="2"/>
          <w:sz w:val="24"/>
          <w:szCs w:val="24"/>
          <w:lang w:val="en-US"/>
        </w:rPr>
        <w:t xml:space="preserve"> </w:t>
      </w:r>
      <w:bookmarkStart w:id="25" w:name="_Toc36029469"/>
      <w:bookmarkStart w:id="26" w:name="_Toc494198588"/>
      <w:bookmarkStart w:id="27" w:name="_Toc40703438"/>
      <w:r>
        <w:rPr>
          <w:rFonts w:ascii="仿宋" w:hAnsi="仿宋" w:eastAsia="仿宋"/>
          <w:bCs/>
          <w:color w:val="auto"/>
          <w:kern w:val="2"/>
          <w:sz w:val="24"/>
          <w:szCs w:val="24"/>
          <w:lang w:val="en-US"/>
        </w:rPr>
        <w:t>总  则</w:t>
      </w:r>
      <w:bookmarkEnd w:id="24"/>
      <w:bookmarkEnd w:id="25"/>
      <w:bookmarkEnd w:id="26"/>
      <w:bookmarkEnd w:id="27"/>
    </w:p>
    <w:p>
      <w:pPr>
        <w:keepNext/>
        <w:keepLines/>
        <w:numPr>
          <w:ilvl w:val="2"/>
          <w:numId w:val="17"/>
        </w:numPr>
        <w:tabs>
          <w:tab w:val="left" w:pos="360"/>
        </w:tabs>
        <w:spacing w:line="520" w:lineRule="exact"/>
        <w:ind w:left="0" w:firstLine="482"/>
        <w:outlineLvl w:val="2"/>
        <w:rPr>
          <w:rFonts w:ascii="仿宋" w:hAnsi="仿宋" w:eastAsia="仿宋"/>
          <w:bCs/>
          <w:color w:val="auto"/>
          <w:kern w:val="2"/>
          <w:sz w:val="24"/>
          <w:szCs w:val="24"/>
          <w:lang w:val="en-US"/>
        </w:rPr>
      </w:pPr>
      <w:bookmarkStart w:id="28" w:name="_Toc496605581"/>
      <w:bookmarkStart w:id="29" w:name="_Toc494198873"/>
      <w:bookmarkStart w:id="30" w:name="_Toc500492677"/>
      <w:bookmarkStart w:id="31" w:name="_Toc217446034"/>
      <w:r>
        <w:rPr>
          <w:rFonts w:ascii="仿宋" w:hAnsi="仿宋" w:eastAsia="仿宋"/>
          <w:bCs/>
          <w:color w:val="auto"/>
          <w:kern w:val="2"/>
          <w:sz w:val="24"/>
          <w:szCs w:val="24"/>
          <w:lang w:val="en-US"/>
        </w:rPr>
        <w:t>适用范围</w:t>
      </w:r>
      <w:bookmarkEnd w:id="28"/>
      <w:bookmarkEnd w:id="29"/>
      <w:bookmarkEnd w:id="30"/>
      <w:bookmarkEnd w:id="31"/>
    </w:p>
    <w:p>
      <w:pPr>
        <w:tabs>
          <w:tab w:val="left" w:pos="0"/>
          <w:tab w:val="left" w:pos="845"/>
        </w:tabs>
        <w:spacing w:line="520" w:lineRule="exact"/>
        <w:ind w:left="480" w:firstLine="0" w:firstLineChars="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本招标文件仅适用于本次公开招标采购项目。</w:t>
      </w:r>
    </w:p>
    <w:p>
      <w:pPr>
        <w:keepNext/>
        <w:keepLines/>
        <w:numPr>
          <w:ilvl w:val="2"/>
          <w:numId w:val="17"/>
        </w:numPr>
        <w:tabs>
          <w:tab w:val="left" w:pos="360"/>
        </w:tabs>
        <w:spacing w:line="520" w:lineRule="exact"/>
        <w:ind w:left="0" w:firstLine="482"/>
        <w:outlineLvl w:val="2"/>
        <w:rPr>
          <w:rFonts w:ascii="仿宋" w:hAnsi="仿宋" w:eastAsia="仿宋"/>
          <w:bCs/>
          <w:color w:val="auto"/>
          <w:kern w:val="2"/>
          <w:sz w:val="24"/>
          <w:szCs w:val="24"/>
          <w:lang w:val="en-US"/>
        </w:rPr>
      </w:pPr>
      <w:bookmarkStart w:id="32" w:name="_Toc500492678"/>
      <w:bookmarkStart w:id="33" w:name="_Toc217446035"/>
      <w:bookmarkStart w:id="34" w:name="_Toc494198874"/>
      <w:bookmarkStart w:id="35" w:name="_Toc496605582"/>
      <w:r>
        <w:rPr>
          <w:rFonts w:ascii="仿宋" w:hAnsi="仿宋" w:eastAsia="仿宋"/>
          <w:bCs/>
          <w:color w:val="auto"/>
          <w:kern w:val="2"/>
          <w:sz w:val="24"/>
          <w:szCs w:val="24"/>
          <w:lang w:val="en-US"/>
        </w:rPr>
        <w:t>有关定义</w:t>
      </w:r>
      <w:bookmarkEnd w:id="32"/>
      <w:bookmarkEnd w:id="33"/>
      <w:bookmarkEnd w:id="34"/>
      <w:bookmarkEnd w:id="35"/>
    </w:p>
    <w:p>
      <w:pPr>
        <w:numPr>
          <w:ilvl w:val="1"/>
          <w:numId w:val="23"/>
        </w:numPr>
        <w:tabs>
          <w:tab w:val="left" w:pos="0"/>
          <w:tab w:val="left" w:pos="845"/>
        </w:tabs>
        <w:spacing w:line="520" w:lineRule="exact"/>
        <w:ind w:left="0"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“采购人”和“甲方”系指依法进行政府采购的国家机关、事业单位、团体组织。本项目的采购人是</w:t>
      </w:r>
      <w:r>
        <w:rPr>
          <w:rFonts w:hint="eastAsia" w:ascii="仿宋" w:hAnsi="仿宋" w:eastAsia="仿宋"/>
          <w:b w:val="0"/>
          <w:color w:val="auto"/>
          <w:kern w:val="2"/>
          <w:sz w:val="24"/>
          <w:szCs w:val="24"/>
          <w:lang w:val="en-US"/>
        </w:rPr>
        <w:t>成都市交通运输综合行政执法总队</w:t>
      </w:r>
      <w:r>
        <w:rPr>
          <w:rFonts w:ascii="仿宋" w:hAnsi="仿宋" w:eastAsia="仿宋"/>
          <w:b w:val="0"/>
          <w:color w:val="auto"/>
          <w:kern w:val="2"/>
          <w:sz w:val="24"/>
          <w:szCs w:val="24"/>
          <w:lang w:val="en-US"/>
        </w:rPr>
        <w:t>。</w:t>
      </w:r>
    </w:p>
    <w:p>
      <w:pPr>
        <w:numPr>
          <w:ilvl w:val="1"/>
          <w:numId w:val="23"/>
        </w:numPr>
        <w:tabs>
          <w:tab w:val="left" w:pos="0"/>
          <w:tab w:val="left" w:pos="845"/>
        </w:tabs>
        <w:spacing w:line="520" w:lineRule="exact"/>
        <w:ind w:left="0"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“采购代理机构”系指根据采购人的委托依法办理招标事宜的采购机构。本项目的采购代理机构是四川中志招标代理有限公司。</w:t>
      </w:r>
    </w:p>
    <w:p>
      <w:pPr>
        <w:numPr>
          <w:ilvl w:val="1"/>
          <w:numId w:val="23"/>
        </w:numPr>
        <w:tabs>
          <w:tab w:val="left" w:pos="0"/>
          <w:tab w:val="left" w:pos="845"/>
        </w:tabs>
        <w:spacing w:line="520" w:lineRule="exact"/>
        <w:ind w:left="0"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“投标人”系指响应招标、参加投标竞争的法人、其他组织或者自然人。</w:t>
      </w:r>
    </w:p>
    <w:p>
      <w:pPr>
        <w:numPr>
          <w:ilvl w:val="1"/>
          <w:numId w:val="23"/>
        </w:numPr>
        <w:tabs>
          <w:tab w:val="left" w:pos="0"/>
          <w:tab w:val="left" w:pos="845"/>
        </w:tabs>
        <w:spacing w:line="520" w:lineRule="exact"/>
        <w:ind w:left="0"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本招标文件按日计算期间的，开始当天不计入，从次日开始计算。期限的最后一日是国家法定节假日的，顺延到节假日后的次日为期限的最后一日。</w:t>
      </w:r>
    </w:p>
    <w:p>
      <w:pPr>
        <w:keepNext/>
        <w:keepLines/>
        <w:numPr>
          <w:ilvl w:val="2"/>
          <w:numId w:val="17"/>
        </w:numPr>
        <w:tabs>
          <w:tab w:val="left" w:pos="360"/>
        </w:tabs>
        <w:spacing w:line="520" w:lineRule="exact"/>
        <w:ind w:left="0" w:firstLine="482"/>
        <w:outlineLvl w:val="2"/>
        <w:rPr>
          <w:rFonts w:ascii="仿宋" w:hAnsi="仿宋" w:eastAsia="仿宋"/>
          <w:bCs/>
          <w:color w:val="auto"/>
          <w:kern w:val="2"/>
          <w:sz w:val="24"/>
          <w:szCs w:val="24"/>
          <w:lang w:val="en-US"/>
        </w:rPr>
      </w:pPr>
      <w:bookmarkStart w:id="36" w:name="_Toc183682345"/>
      <w:bookmarkStart w:id="37" w:name="_Toc500492679"/>
      <w:bookmarkStart w:id="38" w:name="_Toc496605583"/>
      <w:bookmarkStart w:id="39" w:name="_Toc183582208"/>
      <w:bookmarkStart w:id="40" w:name="_Toc217446037"/>
      <w:bookmarkStart w:id="41" w:name="_Toc494198876"/>
      <w:r>
        <w:rPr>
          <w:rFonts w:ascii="仿宋" w:hAnsi="仿宋" w:eastAsia="仿宋"/>
          <w:bCs/>
          <w:color w:val="auto"/>
          <w:kern w:val="2"/>
          <w:sz w:val="24"/>
          <w:szCs w:val="24"/>
          <w:lang w:val="en-US"/>
        </w:rPr>
        <w:t>投标费用</w:t>
      </w:r>
      <w:bookmarkEnd w:id="36"/>
      <w:bookmarkEnd w:id="37"/>
      <w:bookmarkEnd w:id="38"/>
      <w:bookmarkEnd w:id="39"/>
      <w:bookmarkEnd w:id="40"/>
      <w:bookmarkEnd w:id="41"/>
    </w:p>
    <w:p>
      <w:pPr>
        <w:tabs>
          <w:tab w:val="left" w:pos="7665"/>
        </w:tabs>
        <w:spacing w:line="520" w:lineRule="exact"/>
        <w:ind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投标人应自行承担参加投标的全部费用。</w:t>
      </w:r>
    </w:p>
    <w:p>
      <w:pPr>
        <w:keepNext/>
        <w:keepLines/>
        <w:numPr>
          <w:ilvl w:val="2"/>
          <w:numId w:val="17"/>
        </w:numPr>
        <w:tabs>
          <w:tab w:val="left" w:pos="360"/>
        </w:tabs>
        <w:spacing w:line="520" w:lineRule="exact"/>
        <w:ind w:left="0" w:firstLine="482"/>
        <w:outlineLvl w:val="2"/>
        <w:rPr>
          <w:rFonts w:ascii="仿宋" w:hAnsi="仿宋" w:eastAsia="仿宋"/>
          <w:bCs/>
          <w:color w:val="auto"/>
          <w:kern w:val="2"/>
          <w:sz w:val="24"/>
          <w:szCs w:val="24"/>
          <w:lang w:val="en-US"/>
        </w:rPr>
      </w:pPr>
      <w:bookmarkStart w:id="42" w:name="_Toc500492680"/>
      <w:bookmarkStart w:id="43" w:name="_Toc494198877"/>
      <w:bookmarkStart w:id="44" w:name="_Toc496605584"/>
      <w:r>
        <w:rPr>
          <w:rFonts w:ascii="仿宋" w:hAnsi="仿宋" w:eastAsia="仿宋"/>
          <w:bCs/>
          <w:color w:val="auto"/>
          <w:kern w:val="2"/>
          <w:sz w:val="24"/>
          <w:szCs w:val="24"/>
          <w:lang w:val="en-US"/>
        </w:rPr>
        <w:t>充分、公平竞争保障措施</w:t>
      </w:r>
      <w:bookmarkEnd w:id="42"/>
      <w:bookmarkEnd w:id="43"/>
      <w:bookmarkEnd w:id="44"/>
      <w:r>
        <w:rPr>
          <w:rFonts w:hint="eastAsia" w:ascii="仿宋" w:hAnsi="仿宋" w:eastAsia="仿宋"/>
          <w:bCs/>
          <w:color w:val="auto"/>
          <w:kern w:val="2"/>
          <w:sz w:val="24"/>
          <w:szCs w:val="24"/>
          <w:lang w:val="en-US"/>
        </w:rPr>
        <w:t>（实质性要求）</w:t>
      </w:r>
    </w:p>
    <w:p>
      <w:pPr>
        <w:pStyle w:val="404"/>
        <w:snapToGrid w:val="0"/>
        <w:spacing w:line="520" w:lineRule="exact"/>
        <w:ind w:firstLine="480" w:firstLineChars="200"/>
        <w:rPr>
          <w:rFonts w:ascii="仿宋" w:hAnsi="仿宋" w:eastAsia="仿宋"/>
          <w:sz w:val="24"/>
          <w:szCs w:val="24"/>
        </w:rPr>
      </w:pPr>
      <w:r>
        <w:rPr>
          <w:rFonts w:ascii="仿宋" w:hAnsi="仿宋" w:eastAsia="仿宋"/>
          <w:sz w:val="24"/>
          <w:szCs w:val="24"/>
        </w:rPr>
        <w:t>1．</w:t>
      </w:r>
      <w:r>
        <w:rPr>
          <w:rFonts w:ascii="仿宋" w:hAnsi="仿宋" w:eastAsia="仿宋"/>
          <w:b/>
          <w:sz w:val="24"/>
          <w:szCs w:val="24"/>
        </w:rPr>
        <w:t>利害关系投标人处理。</w:t>
      </w:r>
      <w:r>
        <w:rPr>
          <w:rFonts w:ascii="仿宋" w:hAnsi="仿宋" w:eastAsia="仿宋"/>
          <w:sz w:val="24"/>
          <w:szCs w:val="24"/>
        </w:rPr>
        <w:t>单位负责人为同一人或者存在直接控股、管理关系的不同投标人不得参加同一合同项下的政府采购活动。（提供承诺函原件加盖投标人公章，可以与其他承诺一并进行承诺。）</w:t>
      </w:r>
    </w:p>
    <w:p>
      <w:pPr>
        <w:pStyle w:val="404"/>
        <w:snapToGrid w:val="0"/>
        <w:spacing w:line="520" w:lineRule="exact"/>
        <w:ind w:firstLine="480" w:firstLineChars="200"/>
        <w:rPr>
          <w:rFonts w:ascii="仿宋" w:hAnsi="仿宋" w:eastAsia="仿宋"/>
          <w:sz w:val="24"/>
          <w:szCs w:val="24"/>
        </w:rPr>
      </w:pPr>
      <w:r>
        <w:rPr>
          <w:rFonts w:ascii="仿宋" w:hAnsi="仿宋" w:eastAsia="仿宋"/>
          <w:sz w:val="24"/>
          <w:szCs w:val="24"/>
        </w:rPr>
        <w:t>2．</w:t>
      </w:r>
      <w:r>
        <w:rPr>
          <w:rFonts w:ascii="仿宋" w:hAnsi="仿宋" w:eastAsia="仿宋"/>
          <w:b/>
          <w:sz w:val="24"/>
          <w:szCs w:val="24"/>
        </w:rPr>
        <w:t>利害关系授权代表处理。</w:t>
      </w:r>
      <w:r>
        <w:rPr>
          <w:rFonts w:ascii="仿宋" w:hAnsi="仿宋" w:eastAsia="仿宋"/>
          <w:sz w:val="24"/>
          <w:szCs w:val="24"/>
        </w:rPr>
        <w:t>两家以上的供应商不得在同一合同项下的采购项目中，委托同一个自然人、同一家庭的人员、同一单位的人员作为其授权代表，否则，其投标文件作为无效处理。（提供承诺函原件加盖投标人公章，可以与其他承诺一并进行承诺。）</w:t>
      </w:r>
    </w:p>
    <w:p>
      <w:pPr>
        <w:pStyle w:val="404"/>
        <w:snapToGrid w:val="0"/>
        <w:spacing w:line="520" w:lineRule="exact"/>
        <w:ind w:firstLine="480" w:firstLineChars="200"/>
        <w:rPr>
          <w:rFonts w:ascii="仿宋" w:hAnsi="仿宋" w:eastAsia="仿宋"/>
          <w:sz w:val="24"/>
          <w:szCs w:val="24"/>
        </w:rPr>
      </w:pPr>
      <w:r>
        <w:rPr>
          <w:rFonts w:ascii="仿宋" w:hAnsi="仿宋" w:eastAsia="仿宋"/>
          <w:sz w:val="24"/>
          <w:szCs w:val="24"/>
        </w:rPr>
        <w:t>3．</w:t>
      </w:r>
      <w:r>
        <w:rPr>
          <w:rFonts w:ascii="仿宋" w:hAnsi="仿宋" w:eastAsia="仿宋"/>
          <w:b/>
          <w:sz w:val="24"/>
          <w:szCs w:val="24"/>
        </w:rPr>
        <w:t>前期参与投标人处理。</w:t>
      </w:r>
      <w:r>
        <w:rPr>
          <w:rFonts w:ascii="仿宋" w:hAnsi="仿宋" w:eastAsia="仿宋"/>
          <w:sz w:val="24"/>
          <w:szCs w:val="24"/>
        </w:rPr>
        <w:t>为采购项目提供整体设计、规范编制或者项目管理、监理、检测等服务的投标人，不得再参加该采购项目的其他采购活动。投标人为采购人、采购代理机构在确定采购需求、编制招标文件过程中提供咨询论证，其提供的咨询论证意见成为招标文件中规定的投标人资格条件、技术服务商务要求、评标因素和标准、政府采购合同等实质性内容条款的，视同为采购项目提供规范编制。（提供承诺函原件加盖投标人公章，可以与其他承诺一并进行承诺。）</w:t>
      </w:r>
    </w:p>
    <w:p>
      <w:pPr>
        <w:adjustRightInd w:val="0"/>
        <w:spacing w:line="520" w:lineRule="exact"/>
        <w:ind w:left="1" w:firstLine="480"/>
        <w:textAlignment w:val="baseline"/>
        <w:rPr>
          <w:rFonts w:ascii="仿宋" w:hAnsi="仿宋" w:eastAsia="仿宋"/>
          <w:b w:val="0"/>
          <w:color w:val="auto"/>
          <w:sz w:val="24"/>
          <w:szCs w:val="24"/>
          <w:lang w:val="en-US"/>
        </w:rPr>
      </w:pPr>
      <w:r>
        <w:rPr>
          <w:rFonts w:ascii="仿宋" w:hAnsi="仿宋" w:eastAsia="仿宋"/>
          <w:b w:val="0"/>
          <w:color w:val="auto"/>
          <w:sz w:val="24"/>
          <w:szCs w:val="24"/>
          <w:lang w:val="en-US"/>
        </w:rPr>
        <w:t>4．供应商实际控制人或者中高级管理人员，同时是采购代理机构工作人员，不得参与本项目政府采购活动。（提供承诺函原件加盖投标人公章，可以与其他承诺一并进行承诺。）</w:t>
      </w:r>
    </w:p>
    <w:p>
      <w:pPr>
        <w:spacing w:line="520" w:lineRule="exact"/>
        <w:ind w:firstLine="480"/>
        <w:rPr>
          <w:rFonts w:ascii="仿宋" w:hAnsi="仿宋" w:eastAsia="仿宋"/>
          <w:b w:val="0"/>
          <w:color w:val="auto"/>
          <w:sz w:val="24"/>
          <w:szCs w:val="24"/>
          <w:lang w:val="en-US"/>
        </w:rPr>
      </w:pPr>
      <w:r>
        <w:rPr>
          <w:rFonts w:ascii="仿宋" w:hAnsi="仿宋" w:eastAsia="仿宋"/>
          <w:b w:val="0"/>
          <w:color w:val="auto"/>
          <w:sz w:val="24"/>
          <w:szCs w:val="24"/>
          <w:lang w:val="en-US"/>
        </w:rPr>
        <w:t>5．供应商与采购代理机构存在关联关系，或者是采购代理机构的母公司或子公司，不得参加本项目政府采购活动。（提供承诺函原件加盖投标人公章，可以与其他承诺一并进行承诺。）</w:t>
      </w:r>
    </w:p>
    <w:p>
      <w:pPr>
        <w:adjustRightInd w:val="0"/>
        <w:spacing w:line="520" w:lineRule="exact"/>
        <w:ind w:left="1" w:firstLine="480"/>
        <w:textAlignment w:val="baseline"/>
        <w:rPr>
          <w:rFonts w:ascii="仿宋" w:hAnsi="仿宋" w:eastAsia="仿宋"/>
          <w:b w:val="0"/>
          <w:color w:val="auto"/>
          <w:sz w:val="24"/>
          <w:szCs w:val="24"/>
          <w:lang w:val="en-US"/>
        </w:rPr>
      </w:pPr>
      <w:r>
        <w:rPr>
          <w:rFonts w:ascii="仿宋" w:hAnsi="仿宋" w:eastAsia="仿宋"/>
          <w:b w:val="0"/>
          <w:color w:val="auto"/>
          <w:sz w:val="24"/>
          <w:szCs w:val="24"/>
          <w:lang w:val="en-US"/>
        </w:rPr>
        <w:t>6．回避。政府采购活动中，采购人员及相关人员与供应商有下列利害关系之一的，应当回避：</w:t>
      </w:r>
    </w:p>
    <w:p>
      <w:pPr>
        <w:adjustRightInd w:val="0"/>
        <w:spacing w:line="520" w:lineRule="exact"/>
        <w:ind w:firstLine="360" w:firstLineChars="150"/>
        <w:textAlignment w:val="baseline"/>
        <w:rPr>
          <w:rFonts w:ascii="仿宋" w:hAnsi="仿宋" w:eastAsia="仿宋"/>
          <w:b w:val="0"/>
          <w:color w:val="000000"/>
          <w:sz w:val="24"/>
          <w:szCs w:val="20"/>
          <w:lang w:val="en-US"/>
        </w:rPr>
      </w:pPr>
      <w:r>
        <w:rPr>
          <w:rFonts w:ascii="仿宋" w:hAnsi="仿宋" w:eastAsia="仿宋"/>
          <w:b w:val="0"/>
          <w:color w:val="000000"/>
          <w:sz w:val="24"/>
          <w:szCs w:val="20"/>
          <w:lang w:val="en-US"/>
        </w:rPr>
        <w:t>（1）参加采购活动前3年内与供应商存在劳动关系；</w:t>
      </w:r>
    </w:p>
    <w:p>
      <w:pPr>
        <w:adjustRightInd w:val="0"/>
        <w:spacing w:line="520" w:lineRule="exact"/>
        <w:ind w:firstLine="360" w:firstLineChars="150"/>
        <w:textAlignment w:val="baseline"/>
        <w:rPr>
          <w:rFonts w:ascii="仿宋" w:hAnsi="仿宋" w:eastAsia="仿宋"/>
          <w:b w:val="0"/>
          <w:color w:val="000000"/>
          <w:sz w:val="24"/>
          <w:szCs w:val="20"/>
          <w:lang w:val="en-US"/>
        </w:rPr>
      </w:pPr>
      <w:r>
        <w:rPr>
          <w:rFonts w:ascii="仿宋" w:hAnsi="仿宋" w:eastAsia="仿宋"/>
          <w:b w:val="0"/>
          <w:color w:val="000000"/>
          <w:sz w:val="24"/>
          <w:szCs w:val="20"/>
          <w:lang w:val="en-US"/>
        </w:rPr>
        <w:t>（2）参加采购活动前3年内担任供应商的董事、监事；</w:t>
      </w:r>
    </w:p>
    <w:p>
      <w:pPr>
        <w:adjustRightInd w:val="0"/>
        <w:spacing w:line="520" w:lineRule="exact"/>
        <w:ind w:firstLine="360" w:firstLineChars="150"/>
        <w:textAlignment w:val="baseline"/>
        <w:rPr>
          <w:rFonts w:ascii="仿宋" w:hAnsi="仿宋" w:eastAsia="仿宋"/>
          <w:b w:val="0"/>
          <w:color w:val="000000"/>
          <w:sz w:val="24"/>
          <w:szCs w:val="20"/>
          <w:lang w:val="en-US"/>
        </w:rPr>
      </w:pPr>
      <w:r>
        <w:rPr>
          <w:rFonts w:ascii="仿宋" w:hAnsi="仿宋" w:eastAsia="仿宋"/>
          <w:b w:val="0"/>
          <w:color w:val="000000"/>
          <w:sz w:val="24"/>
          <w:szCs w:val="20"/>
          <w:lang w:val="en-US"/>
        </w:rPr>
        <w:t>（3）参加采购活动前3年内是供应商的控股股东或者实际控制人；</w:t>
      </w:r>
    </w:p>
    <w:p>
      <w:pPr>
        <w:adjustRightInd w:val="0"/>
        <w:spacing w:line="520" w:lineRule="exact"/>
        <w:ind w:firstLine="360" w:firstLineChars="150"/>
        <w:textAlignment w:val="baseline"/>
        <w:rPr>
          <w:rFonts w:ascii="仿宋" w:hAnsi="仿宋" w:eastAsia="仿宋"/>
          <w:b w:val="0"/>
          <w:color w:val="000000"/>
          <w:sz w:val="24"/>
          <w:szCs w:val="20"/>
          <w:lang w:val="en-US"/>
        </w:rPr>
      </w:pPr>
      <w:r>
        <w:rPr>
          <w:rFonts w:ascii="仿宋" w:hAnsi="仿宋" w:eastAsia="仿宋"/>
          <w:b w:val="0"/>
          <w:color w:val="000000"/>
          <w:sz w:val="24"/>
          <w:szCs w:val="20"/>
          <w:lang w:val="en-US"/>
        </w:rPr>
        <w:t>（4）与供应商的法定代表人或者负责人有夫妻、直系血亲、三代以内旁系血亲或者近姻亲关系；</w:t>
      </w:r>
    </w:p>
    <w:p>
      <w:pPr>
        <w:adjustRightInd w:val="0"/>
        <w:spacing w:line="520" w:lineRule="exact"/>
        <w:ind w:firstLine="360" w:firstLineChars="150"/>
        <w:textAlignment w:val="baseline"/>
        <w:rPr>
          <w:rFonts w:ascii="仿宋" w:hAnsi="仿宋" w:eastAsia="仿宋"/>
          <w:b w:val="0"/>
          <w:color w:val="000000"/>
          <w:sz w:val="24"/>
          <w:szCs w:val="20"/>
          <w:lang w:val="en-US"/>
        </w:rPr>
      </w:pPr>
      <w:r>
        <w:rPr>
          <w:rFonts w:ascii="仿宋" w:hAnsi="仿宋" w:eastAsia="仿宋"/>
          <w:b w:val="0"/>
          <w:color w:val="000000"/>
          <w:sz w:val="24"/>
          <w:szCs w:val="20"/>
          <w:lang w:val="en-US"/>
        </w:rPr>
        <w:t>（5）与供应商有其他可能影响政府采购活动公平、公正进行的关系。</w:t>
      </w:r>
    </w:p>
    <w:p>
      <w:pPr>
        <w:adjustRightInd w:val="0"/>
        <w:spacing w:line="520" w:lineRule="exact"/>
        <w:ind w:left="1" w:firstLine="480"/>
        <w:textAlignment w:val="baseline"/>
        <w:rPr>
          <w:rFonts w:ascii="仿宋" w:hAnsi="仿宋" w:eastAsia="仿宋"/>
          <w:b w:val="0"/>
          <w:color w:val="000000"/>
          <w:sz w:val="24"/>
          <w:szCs w:val="20"/>
          <w:lang w:val="en-US"/>
        </w:rPr>
      </w:pPr>
      <w:r>
        <w:rPr>
          <w:rFonts w:ascii="仿宋" w:hAnsi="仿宋" w:eastAsia="仿宋"/>
          <w:b w:val="0"/>
          <w:color w:val="000000"/>
          <w:sz w:val="24"/>
          <w:szCs w:val="20"/>
          <w:lang w:val="en-US"/>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评标委员会成员。</w:t>
      </w:r>
    </w:p>
    <w:p>
      <w:pPr>
        <w:pStyle w:val="404"/>
        <w:snapToGrid w:val="0"/>
        <w:spacing w:line="520" w:lineRule="exact"/>
        <w:ind w:firstLine="480" w:firstLineChars="200"/>
        <w:rPr>
          <w:rFonts w:ascii="仿宋" w:hAnsi="仿宋" w:eastAsia="仿宋"/>
          <w:sz w:val="24"/>
          <w:szCs w:val="24"/>
        </w:rPr>
      </w:pPr>
      <w:r>
        <w:rPr>
          <w:rFonts w:ascii="仿宋" w:hAnsi="仿宋" w:eastAsia="仿宋"/>
          <w:color w:val="000000"/>
          <w:kern w:val="2"/>
          <w:sz w:val="24"/>
          <w:szCs w:val="24"/>
        </w:rPr>
        <w:t>供应商认为采购人员及相关人员与其他供应商有利害关系的，可以向采购代理机构书面提出回避申请，并说明理由。采购代理机构将及时询问被申请回避人员，有利害关系的被申请回避人员应当回避。</w:t>
      </w:r>
    </w:p>
    <w:p>
      <w:pPr>
        <w:keepNext/>
        <w:numPr>
          <w:ilvl w:val="1"/>
          <w:numId w:val="17"/>
        </w:numPr>
        <w:tabs>
          <w:tab w:val="left" w:pos="360"/>
        </w:tabs>
        <w:spacing w:line="520" w:lineRule="exact"/>
        <w:ind w:left="0" w:firstLine="482"/>
        <w:jc w:val="left"/>
        <w:outlineLvl w:val="1"/>
        <w:rPr>
          <w:rFonts w:ascii="仿宋" w:hAnsi="仿宋" w:eastAsia="仿宋"/>
          <w:bCs/>
          <w:color w:val="auto"/>
          <w:kern w:val="2"/>
          <w:sz w:val="24"/>
          <w:szCs w:val="24"/>
          <w:lang w:val="en-US"/>
        </w:rPr>
      </w:pPr>
      <w:bookmarkStart w:id="45" w:name="_Toc36029470"/>
      <w:bookmarkStart w:id="46" w:name="_Toc351016478"/>
      <w:bookmarkStart w:id="47" w:name="_Toc183682346"/>
      <w:bookmarkStart w:id="48" w:name="_Toc494198589"/>
      <w:bookmarkStart w:id="49" w:name="_Toc77400779"/>
      <w:bookmarkStart w:id="50" w:name="_Toc217446038"/>
      <w:bookmarkStart w:id="51" w:name="_Toc183582209"/>
      <w:bookmarkStart w:id="52" w:name="_Toc89075875"/>
      <w:r>
        <w:rPr>
          <w:rFonts w:ascii="仿宋" w:hAnsi="仿宋" w:eastAsia="仿宋"/>
          <w:bCs/>
          <w:color w:val="auto"/>
          <w:kern w:val="2"/>
          <w:sz w:val="24"/>
          <w:szCs w:val="24"/>
          <w:lang w:val="en-US"/>
        </w:rPr>
        <w:t xml:space="preserve"> </w:t>
      </w:r>
      <w:bookmarkStart w:id="53" w:name="_Toc40703439"/>
      <w:r>
        <w:rPr>
          <w:rFonts w:ascii="仿宋" w:hAnsi="仿宋" w:eastAsia="仿宋"/>
          <w:bCs/>
          <w:color w:val="auto"/>
          <w:kern w:val="2"/>
          <w:sz w:val="24"/>
          <w:szCs w:val="24"/>
          <w:lang w:val="en-US"/>
        </w:rPr>
        <w:t>招标文件</w:t>
      </w:r>
      <w:bookmarkEnd w:id="45"/>
      <w:bookmarkEnd w:id="46"/>
      <w:bookmarkEnd w:id="47"/>
      <w:bookmarkEnd w:id="48"/>
      <w:bookmarkEnd w:id="49"/>
      <w:bookmarkEnd w:id="50"/>
      <w:bookmarkEnd w:id="51"/>
      <w:bookmarkEnd w:id="52"/>
      <w:bookmarkEnd w:id="53"/>
    </w:p>
    <w:p>
      <w:pPr>
        <w:keepNext/>
        <w:keepLines/>
        <w:numPr>
          <w:ilvl w:val="2"/>
          <w:numId w:val="17"/>
        </w:numPr>
        <w:tabs>
          <w:tab w:val="left" w:pos="360"/>
        </w:tabs>
        <w:spacing w:line="520" w:lineRule="exact"/>
        <w:ind w:left="0" w:firstLine="482"/>
        <w:outlineLvl w:val="2"/>
        <w:rPr>
          <w:rFonts w:ascii="仿宋" w:hAnsi="仿宋" w:eastAsia="仿宋"/>
          <w:bCs/>
          <w:color w:val="auto"/>
          <w:kern w:val="2"/>
          <w:sz w:val="24"/>
          <w:szCs w:val="24"/>
          <w:lang w:val="en-US"/>
        </w:rPr>
      </w:pPr>
      <w:bookmarkStart w:id="54" w:name="_Toc494198879"/>
      <w:bookmarkStart w:id="55" w:name="_Toc496605586"/>
      <w:bookmarkStart w:id="56" w:name="_Toc500492682"/>
      <w:bookmarkStart w:id="57" w:name="_Toc217446039"/>
      <w:bookmarkStart w:id="58" w:name="_Toc183582210"/>
      <w:bookmarkStart w:id="59" w:name="_Toc183682347"/>
      <w:r>
        <w:rPr>
          <w:rFonts w:ascii="仿宋" w:hAnsi="仿宋" w:eastAsia="仿宋"/>
          <w:bCs/>
          <w:color w:val="auto"/>
          <w:kern w:val="2"/>
          <w:sz w:val="24"/>
          <w:szCs w:val="24"/>
          <w:lang w:val="en-US"/>
        </w:rPr>
        <w:t>招标文件的构成</w:t>
      </w:r>
      <w:bookmarkEnd w:id="54"/>
      <w:bookmarkEnd w:id="55"/>
      <w:bookmarkEnd w:id="56"/>
      <w:bookmarkEnd w:id="57"/>
      <w:bookmarkEnd w:id="58"/>
      <w:bookmarkEnd w:id="59"/>
    </w:p>
    <w:p>
      <w:pPr>
        <w:tabs>
          <w:tab w:val="left" w:pos="-142"/>
        </w:tabs>
        <w:spacing w:line="520" w:lineRule="exact"/>
        <w:ind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招标文件是投标人准备投标文件和参加投标的依据，同时也是评标的重要依据。招标文件用以阐明招标项目所需的资质、技术、服务及报价等要求、招标投标程序、有关规定和注意事项以及合同主要条款等。本招标文件包括以下内容：</w:t>
      </w:r>
    </w:p>
    <w:p>
      <w:pPr>
        <w:numPr>
          <w:ilvl w:val="0"/>
          <w:numId w:val="24"/>
        </w:numPr>
        <w:tabs>
          <w:tab w:val="left" w:pos="0"/>
        </w:tabs>
        <w:spacing w:line="520" w:lineRule="exact"/>
        <w:ind w:firstLineChars="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投标邀请；</w:t>
      </w:r>
    </w:p>
    <w:p>
      <w:pPr>
        <w:numPr>
          <w:ilvl w:val="0"/>
          <w:numId w:val="24"/>
        </w:numPr>
        <w:tabs>
          <w:tab w:val="left" w:pos="0"/>
        </w:tabs>
        <w:spacing w:line="520" w:lineRule="exact"/>
        <w:ind w:firstLineChars="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投标人须知；</w:t>
      </w:r>
    </w:p>
    <w:p>
      <w:pPr>
        <w:numPr>
          <w:ilvl w:val="0"/>
          <w:numId w:val="24"/>
        </w:numPr>
        <w:tabs>
          <w:tab w:val="left" w:pos="0"/>
        </w:tabs>
        <w:spacing w:line="520" w:lineRule="exact"/>
        <w:ind w:firstLineChars="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投标文件格式；</w:t>
      </w:r>
    </w:p>
    <w:p>
      <w:pPr>
        <w:numPr>
          <w:ilvl w:val="0"/>
          <w:numId w:val="24"/>
        </w:numPr>
        <w:tabs>
          <w:tab w:val="left" w:pos="0"/>
        </w:tabs>
        <w:spacing w:line="520" w:lineRule="exact"/>
        <w:ind w:firstLineChars="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投标人和投标产品的资格、资质性及其他类似效力要求；</w:t>
      </w:r>
    </w:p>
    <w:p>
      <w:pPr>
        <w:numPr>
          <w:ilvl w:val="0"/>
          <w:numId w:val="24"/>
        </w:numPr>
        <w:tabs>
          <w:tab w:val="left" w:pos="0"/>
        </w:tabs>
        <w:spacing w:line="520" w:lineRule="exact"/>
        <w:ind w:firstLineChars="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投标人应当提供的资格、资质性及其他类似效力要求的相关证明材料；</w:t>
      </w:r>
    </w:p>
    <w:p>
      <w:pPr>
        <w:numPr>
          <w:ilvl w:val="0"/>
          <w:numId w:val="24"/>
        </w:numPr>
        <w:tabs>
          <w:tab w:val="left" w:pos="0"/>
        </w:tabs>
        <w:spacing w:line="520" w:lineRule="exact"/>
        <w:ind w:firstLineChars="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招标项目技术、商务及其他要求；</w:t>
      </w:r>
    </w:p>
    <w:p>
      <w:pPr>
        <w:numPr>
          <w:ilvl w:val="0"/>
          <w:numId w:val="24"/>
        </w:numPr>
        <w:tabs>
          <w:tab w:val="left" w:pos="0"/>
        </w:tabs>
        <w:spacing w:line="520" w:lineRule="exact"/>
        <w:ind w:firstLineChars="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评标办法；</w:t>
      </w:r>
    </w:p>
    <w:p>
      <w:pPr>
        <w:numPr>
          <w:ilvl w:val="0"/>
          <w:numId w:val="24"/>
        </w:numPr>
        <w:tabs>
          <w:tab w:val="left" w:pos="0"/>
        </w:tabs>
        <w:spacing w:line="520" w:lineRule="exact"/>
        <w:ind w:firstLineChars="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拟签订的合同文本。</w:t>
      </w:r>
    </w:p>
    <w:p>
      <w:pPr>
        <w:keepNext/>
        <w:keepLines/>
        <w:numPr>
          <w:ilvl w:val="2"/>
          <w:numId w:val="17"/>
        </w:numPr>
        <w:tabs>
          <w:tab w:val="left" w:pos="360"/>
        </w:tabs>
        <w:spacing w:line="520" w:lineRule="exact"/>
        <w:ind w:left="0" w:firstLine="482"/>
        <w:outlineLvl w:val="2"/>
        <w:rPr>
          <w:rFonts w:ascii="仿宋" w:hAnsi="仿宋" w:eastAsia="仿宋"/>
          <w:bCs/>
          <w:color w:val="auto"/>
          <w:kern w:val="2"/>
          <w:sz w:val="24"/>
          <w:szCs w:val="24"/>
          <w:lang w:val="en-US"/>
        </w:rPr>
      </w:pPr>
      <w:bookmarkStart w:id="60" w:name="_Toc183582211"/>
      <w:bookmarkStart w:id="61" w:name="_Toc183682348"/>
      <w:bookmarkStart w:id="62" w:name="_Toc500492683"/>
      <w:bookmarkStart w:id="63" w:name="_Toc217446040"/>
      <w:bookmarkStart w:id="64" w:name="_Toc494198880"/>
      <w:bookmarkStart w:id="65" w:name="_Toc496605587"/>
      <w:r>
        <w:rPr>
          <w:rFonts w:ascii="仿宋" w:hAnsi="仿宋" w:eastAsia="仿宋"/>
          <w:bCs/>
          <w:color w:val="auto"/>
          <w:kern w:val="2"/>
          <w:sz w:val="24"/>
          <w:szCs w:val="24"/>
          <w:lang w:val="en-US"/>
        </w:rPr>
        <w:t>招标文件的澄清</w:t>
      </w:r>
      <w:bookmarkEnd w:id="60"/>
      <w:bookmarkEnd w:id="61"/>
      <w:r>
        <w:rPr>
          <w:rFonts w:ascii="仿宋" w:hAnsi="仿宋" w:eastAsia="仿宋"/>
          <w:bCs/>
          <w:color w:val="auto"/>
          <w:kern w:val="2"/>
          <w:sz w:val="24"/>
          <w:szCs w:val="24"/>
          <w:lang w:val="en-US"/>
        </w:rPr>
        <w:t>和修改</w:t>
      </w:r>
      <w:bookmarkEnd w:id="62"/>
      <w:bookmarkEnd w:id="63"/>
      <w:bookmarkEnd w:id="64"/>
      <w:bookmarkEnd w:id="65"/>
    </w:p>
    <w:p>
      <w:pPr>
        <w:numPr>
          <w:ilvl w:val="1"/>
          <w:numId w:val="25"/>
        </w:numPr>
        <w:tabs>
          <w:tab w:val="left" w:pos="0"/>
        </w:tabs>
        <w:spacing w:line="520" w:lineRule="exact"/>
        <w:ind w:left="0"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采购人或者采购代理机构可以依法对招标文件进行澄清或者修改。</w:t>
      </w:r>
    </w:p>
    <w:p>
      <w:pPr>
        <w:numPr>
          <w:ilvl w:val="1"/>
          <w:numId w:val="25"/>
        </w:numPr>
        <w:tabs>
          <w:tab w:val="left" w:pos="0"/>
        </w:tabs>
        <w:spacing w:line="520" w:lineRule="exact"/>
        <w:ind w:left="0"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采购人或者采购代理机构可以对已发出的招标文件进行必要的澄清或者修改，但不得改变采购标的和资格条件。澄清或者修改的内容可能影响投标文件编制的，采购人或者采购代理机构应当在投标截止时间至少15日前，以书面形式将澄清或者修改的内容通知所有</w:t>
      </w:r>
      <w:r>
        <w:rPr>
          <w:rFonts w:hint="eastAsia" w:ascii="仿宋" w:hAnsi="仿宋" w:eastAsia="仿宋"/>
          <w:b w:val="0"/>
          <w:color w:val="auto"/>
          <w:kern w:val="2"/>
          <w:sz w:val="24"/>
          <w:szCs w:val="24"/>
          <w:lang w:val="en-US"/>
        </w:rPr>
        <w:t>获取</w:t>
      </w:r>
      <w:r>
        <w:rPr>
          <w:rFonts w:ascii="仿宋" w:hAnsi="仿宋" w:eastAsia="仿宋"/>
          <w:b w:val="0"/>
          <w:color w:val="auto"/>
          <w:kern w:val="2"/>
          <w:sz w:val="24"/>
          <w:szCs w:val="24"/>
          <w:lang w:val="en-US"/>
        </w:rPr>
        <w:t>了招标文件的投标人，同时在四川政府采购网上发布更正公告。该澄清或者修改的内容为招标文件的组成部分。</w:t>
      </w:r>
    </w:p>
    <w:p>
      <w:pPr>
        <w:numPr>
          <w:ilvl w:val="1"/>
          <w:numId w:val="25"/>
        </w:numPr>
        <w:tabs>
          <w:tab w:val="left" w:pos="0"/>
        </w:tabs>
        <w:spacing w:line="520" w:lineRule="exact"/>
        <w:ind w:left="0"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投标人要求对招标文件进行澄清的，均应按招标文件中的联系方式，以书面形式向采购人或者采购代理机构提出申请，但采购人或者采购代理机构可以决定是否采纳投标人的申请事项。</w:t>
      </w:r>
    </w:p>
    <w:p>
      <w:pPr>
        <w:keepNext/>
        <w:keepLines/>
        <w:numPr>
          <w:ilvl w:val="2"/>
          <w:numId w:val="17"/>
        </w:numPr>
        <w:tabs>
          <w:tab w:val="left" w:pos="360"/>
        </w:tabs>
        <w:spacing w:line="520" w:lineRule="exact"/>
        <w:ind w:left="0" w:firstLine="482"/>
        <w:outlineLvl w:val="2"/>
        <w:rPr>
          <w:rFonts w:ascii="仿宋" w:hAnsi="仿宋" w:eastAsia="仿宋"/>
          <w:bCs/>
          <w:color w:val="auto"/>
          <w:kern w:val="2"/>
          <w:sz w:val="24"/>
          <w:szCs w:val="24"/>
          <w:lang w:val="en-US"/>
        </w:rPr>
      </w:pPr>
      <w:bookmarkStart w:id="66" w:name="_Toc208848971"/>
      <w:bookmarkStart w:id="67" w:name="_Toc217446041"/>
      <w:bookmarkStart w:id="68" w:name="_Toc494198881"/>
      <w:bookmarkStart w:id="69" w:name="_Toc500492684"/>
      <w:bookmarkStart w:id="70" w:name="_Toc496605588"/>
      <w:r>
        <w:rPr>
          <w:rFonts w:ascii="仿宋" w:hAnsi="仿宋" w:eastAsia="仿宋"/>
          <w:bCs/>
          <w:color w:val="auto"/>
          <w:kern w:val="2"/>
          <w:sz w:val="24"/>
          <w:szCs w:val="24"/>
          <w:lang w:val="en-US"/>
        </w:rPr>
        <w:t>答疑会和现场</w:t>
      </w:r>
      <w:bookmarkEnd w:id="66"/>
      <w:bookmarkEnd w:id="67"/>
      <w:r>
        <w:rPr>
          <w:rFonts w:ascii="仿宋" w:hAnsi="仿宋" w:eastAsia="仿宋"/>
          <w:bCs/>
          <w:color w:val="auto"/>
          <w:kern w:val="2"/>
          <w:sz w:val="24"/>
          <w:szCs w:val="24"/>
          <w:lang w:val="en-US"/>
        </w:rPr>
        <w:t>踏勘</w:t>
      </w:r>
      <w:bookmarkEnd w:id="68"/>
      <w:bookmarkEnd w:id="69"/>
      <w:bookmarkEnd w:id="70"/>
    </w:p>
    <w:p>
      <w:pPr>
        <w:tabs>
          <w:tab w:val="left" w:pos="-142"/>
        </w:tabs>
        <w:spacing w:line="520" w:lineRule="exact"/>
        <w:ind w:firstLine="480"/>
        <w:rPr>
          <w:rFonts w:ascii="仿宋" w:hAnsi="仿宋" w:eastAsia="仿宋"/>
          <w:b w:val="0"/>
          <w:color w:val="auto"/>
          <w:kern w:val="2"/>
          <w:sz w:val="24"/>
          <w:szCs w:val="24"/>
          <w:lang w:val="en-US"/>
        </w:rPr>
      </w:pPr>
      <w:bookmarkStart w:id="71" w:name="_Toc77400780"/>
      <w:bookmarkStart w:id="72" w:name="_Toc217446042"/>
      <w:bookmarkStart w:id="73" w:name="_Toc183582214"/>
      <w:bookmarkStart w:id="74" w:name="_Toc351016479"/>
      <w:bookmarkStart w:id="75" w:name="_Toc183682351"/>
      <w:bookmarkStart w:id="76" w:name="_Toc89075876"/>
      <w:r>
        <w:rPr>
          <w:rFonts w:ascii="仿宋" w:hAnsi="仿宋" w:eastAsia="仿宋"/>
          <w:b w:val="0"/>
          <w:color w:val="auto"/>
          <w:kern w:val="2"/>
          <w:sz w:val="24"/>
          <w:szCs w:val="24"/>
          <w:lang w:val="en-US"/>
        </w:rPr>
        <w:t>根据采购项目和具体情况，采购人或者采购代理机构认为有必要，可以组织召开标前答疑会或组织投标人对项目现场进行考察。答疑会或进行现场考察的时间，采购人或者采购代理机构将以书面形式通知所有购买了招标文件的投标人。</w:t>
      </w:r>
    </w:p>
    <w:bookmarkEnd w:id="71"/>
    <w:bookmarkEnd w:id="72"/>
    <w:bookmarkEnd w:id="73"/>
    <w:bookmarkEnd w:id="74"/>
    <w:bookmarkEnd w:id="75"/>
    <w:bookmarkEnd w:id="76"/>
    <w:p>
      <w:pPr>
        <w:keepNext/>
        <w:numPr>
          <w:ilvl w:val="1"/>
          <w:numId w:val="17"/>
        </w:numPr>
        <w:tabs>
          <w:tab w:val="left" w:pos="360"/>
        </w:tabs>
        <w:spacing w:line="520" w:lineRule="exact"/>
        <w:ind w:left="0" w:firstLine="482"/>
        <w:jc w:val="left"/>
        <w:outlineLvl w:val="1"/>
        <w:rPr>
          <w:rFonts w:ascii="仿宋" w:hAnsi="仿宋" w:eastAsia="仿宋"/>
          <w:bCs/>
          <w:color w:val="auto"/>
          <w:kern w:val="2"/>
          <w:sz w:val="24"/>
          <w:szCs w:val="24"/>
          <w:lang w:val="en-US"/>
        </w:rPr>
      </w:pPr>
      <w:bookmarkStart w:id="77" w:name="_Toc353972047"/>
      <w:bookmarkStart w:id="78" w:name="_Toc183682352"/>
      <w:bookmarkStart w:id="79" w:name="_Toc217446043"/>
      <w:bookmarkStart w:id="80" w:name="_Toc183582215"/>
      <w:r>
        <w:rPr>
          <w:rFonts w:ascii="仿宋" w:hAnsi="仿宋" w:eastAsia="仿宋"/>
          <w:bCs/>
          <w:color w:val="auto"/>
          <w:kern w:val="2"/>
          <w:sz w:val="24"/>
          <w:szCs w:val="24"/>
          <w:lang w:val="en-US"/>
        </w:rPr>
        <w:t xml:space="preserve"> </w:t>
      </w:r>
      <w:bookmarkStart w:id="81" w:name="_Toc40703440"/>
      <w:bookmarkStart w:id="82" w:name="_Toc494198590"/>
      <w:bookmarkStart w:id="83" w:name="_Toc36029471"/>
      <w:r>
        <w:rPr>
          <w:rFonts w:ascii="仿宋" w:hAnsi="仿宋" w:eastAsia="仿宋"/>
          <w:bCs/>
          <w:color w:val="auto"/>
          <w:kern w:val="2"/>
          <w:sz w:val="24"/>
          <w:szCs w:val="24"/>
          <w:lang w:val="en-US"/>
        </w:rPr>
        <w:t>投标文件</w:t>
      </w:r>
      <w:bookmarkEnd w:id="77"/>
      <w:bookmarkEnd w:id="81"/>
      <w:bookmarkEnd w:id="82"/>
      <w:bookmarkEnd w:id="83"/>
    </w:p>
    <w:p>
      <w:pPr>
        <w:keepNext/>
        <w:keepLines/>
        <w:numPr>
          <w:ilvl w:val="2"/>
          <w:numId w:val="17"/>
        </w:numPr>
        <w:tabs>
          <w:tab w:val="left" w:pos="360"/>
        </w:tabs>
        <w:spacing w:line="520" w:lineRule="exact"/>
        <w:ind w:left="0" w:firstLine="482"/>
        <w:outlineLvl w:val="2"/>
        <w:rPr>
          <w:rFonts w:ascii="仿宋" w:hAnsi="仿宋" w:eastAsia="仿宋"/>
          <w:bCs/>
          <w:color w:val="auto"/>
          <w:kern w:val="2"/>
          <w:sz w:val="24"/>
          <w:szCs w:val="24"/>
          <w:lang w:val="en-US"/>
        </w:rPr>
      </w:pPr>
      <w:bookmarkStart w:id="84" w:name="_Toc500492686"/>
      <w:bookmarkStart w:id="85" w:name="_Toc496605590"/>
      <w:bookmarkStart w:id="86" w:name="_Toc494198883"/>
      <w:r>
        <w:rPr>
          <w:rFonts w:ascii="仿宋" w:hAnsi="仿宋" w:eastAsia="仿宋"/>
          <w:bCs/>
          <w:color w:val="auto"/>
          <w:kern w:val="2"/>
          <w:sz w:val="24"/>
          <w:szCs w:val="24"/>
          <w:lang w:val="en-US"/>
        </w:rPr>
        <w:t>投标文件的语言</w:t>
      </w:r>
      <w:bookmarkEnd w:id="78"/>
      <w:bookmarkEnd w:id="79"/>
      <w:bookmarkEnd w:id="80"/>
      <w:bookmarkEnd w:id="84"/>
      <w:bookmarkEnd w:id="85"/>
      <w:bookmarkEnd w:id="86"/>
    </w:p>
    <w:p>
      <w:pPr>
        <w:numPr>
          <w:ilvl w:val="1"/>
          <w:numId w:val="26"/>
        </w:numPr>
        <w:tabs>
          <w:tab w:val="left" w:pos="0"/>
        </w:tabs>
        <w:spacing w:line="520" w:lineRule="exact"/>
        <w:ind w:left="0"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投标人提交的投标文件以及投标人与采购人或者采购代理机构就有关投标的所有来往书面文件均须使用中文。投标文件中所附或引用的外文资料，应翻译成中文并加盖投标人公章后附在相关外文资料后面，投标人的法定代表人</w:t>
      </w:r>
      <w:r>
        <w:rPr>
          <w:rFonts w:hint="eastAsia" w:ascii="仿宋" w:hAnsi="仿宋" w:eastAsia="仿宋"/>
          <w:b w:val="0"/>
          <w:color w:val="auto"/>
          <w:kern w:val="2"/>
          <w:sz w:val="24"/>
          <w:szCs w:val="24"/>
          <w:lang w:val="en-US"/>
        </w:rPr>
        <w:t>（主要负责人）</w:t>
      </w:r>
      <w:r>
        <w:rPr>
          <w:rFonts w:ascii="仿宋" w:hAnsi="仿宋" w:eastAsia="仿宋"/>
          <w:b w:val="0"/>
          <w:color w:val="auto"/>
          <w:kern w:val="2"/>
          <w:sz w:val="24"/>
          <w:szCs w:val="24"/>
          <w:lang w:val="en-US"/>
        </w:rPr>
        <w:t>为外籍人士的，则法定代表人</w:t>
      </w:r>
      <w:r>
        <w:rPr>
          <w:rFonts w:hint="eastAsia" w:ascii="仿宋" w:hAnsi="仿宋" w:eastAsia="仿宋"/>
          <w:b w:val="0"/>
          <w:color w:val="auto"/>
          <w:kern w:val="2"/>
          <w:sz w:val="24"/>
          <w:szCs w:val="24"/>
          <w:lang w:val="en-US"/>
        </w:rPr>
        <w:t>（主要负责人）</w:t>
      </w:r>
      <w:r>
        <w:rPr>
          <w:rFonts w:ascii="仿宋" w:hAnsi="仿宋" w:eastAsia="仿宋"/>
          <w:b w:val="0"/>
          <w:color w:val="auto"/>
          <w:kern w:val="2"/>
          <w:sz w:val="24"/>
          <w:szCs w:val="24"/>
          <w:lang w:val="en-US"/>
        </w:rPr>
        <w:t>的签字或印章、护照除外。</w:t>
      </w:r>
    </w:p>
    <w:p>
      <w:pPr>
        <w:numPr>
          <w:ilvl w:val="1"/>
          <w:numId w:val="26"/>
        </w:numPr>
        <w:tabs>
          <w:tab w:val="left" w:pos="0"/>
        </w:tabs>
        <w:spacing w:line="520" w:lineRule="exact"/>
        <w:ind w:left="0"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对不同文字文本投标文件的解释发生异议的，以中文文本为准，若投标人投标文件中提供的外文资料未翻译成中文，则将可视为无效材料。</w:t>
      </w:r>
    </w:p>
    <w:p>
      <w:pPr>
        <w:keepNext/>
        <w:keepLines/>
        <w:numPr>
          <w:ilvl w:val="2"/>
          <w:numId w:val="17"/>
        </w:numPr>
        <w:tabs>
          <w:tab w:val="left" w:pos="360"/>
        </w:tabs>
        <w:spacing w:line="520" w:lineRule="exact"/>
        <w:ind w:left="0" w:firstLine="482"/>
        <w:outlineLvl w:val="2"/>
        <w:rPr>
          <w:rFonts w:ascii="仿宋" w:hAnsi="仿宋" w:eastAsia="仿宋"/>
          <w:bCs/>
          <w:color w:val="auto"/>
          <w:kern w:val="2"/>
          <w:sz w:val="24"/>
          <w:szCs w:val="24"/>
          <w:lang w:val="en-US"/>
        </w:rPr>
      </w:pPr>
      <w:bookmarkStart w:id="87" w:name="_Toc183582216"/>
      <w:bookmarkStart w:id="88" w:name="_Toc217446044"/>
      <w:bookmarkStart w:id="89" w:name="_Toc494198884"/>
      <w:bookmarkStart w:id="90" w:name="_Toc183682353"/>
      <w:bookmarkStart w:id="91" w:name="_Toc500492687"/>
      <w:bookmarkStart w:id="92" w:name="_Toc496605591"/>
      <w:r>
        <w:rPr>
          <w:rFonts w:ascii="仿宋" w:hAnsi="仿宋" w:eastAsia="仿宋"/>
          <w:bCs/>
          <w:color w:val="auto"/>
          <w:kern w:val="2"/>
          <w:sz w:val="24"/>
          <w:szCs w:val="24"/>
          <w:lang w:val="en-US"/>
        </w:rPr>
        <w:t>计量单位</w:t>
      </w:r>
      <w:bookmarkEnd w:id="87"/>
      <w:bookmarkEnd w:id="88"/>
      <w:bookmarkEnd w:id="89"/>
      <w:bookmarkEnd w:id="90"/>
      <w:bookmarkEnd w:id="91"/>
      <w:bookmarkEnd w:id="92"/>
    </w:p>
    <w:p>
      <w:pPr>
        <w:tabs>
          <w:tab w:val="left" w:pos="-142"/>
        </w:tabs>
        <w:spacing w:line="520" w:lineRule="exact"/>
        <w:ind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除技术规格及要求中另有规定外，本采购项目的投标均采用国家法定的计量单位。</w:t>
      </w:r>
    </w:p>
    <w:p>
      <w:pPr>
        <w:keepNext/>
        <w:keepLines/>
        <w:numPr>
          <w:ilvl w:val="2"/>
          <w:numId w:val="17"/>
        </w:numPr>
        <w:tabs>
          <w:tab w:val="left" w:pos="360"/>
        </w:tabs>
        <w:spacing w:line="520" w:lineRule="exact"/>
        <w:ind w:left="0" w:firstLine="482"/>
        <w:outlineLvl w:val="2"/>
        <w:rPr>
          <w:rFonts w:ascii="仿宋" w:hAnsi="仿宋" w:eastAsia="仿宋"/>
          <w:bCs/>
          <w:color w:val="auto"/>
          <w:kern w:val="2"/>
          <w:sz w:val="24"/>
          <w:szCs w:val="24"/>
          <w:lang w:val="en-US"/>
        </w:rPr>
      </w:pPr>
      <w:bookmarkStart w:id="93" w:name="_Toc217446045"/>
      <w:bookmarkStart w:id="94" w:name="_Toc500492688"/>
      <w:bookmarkStart w:id="95" w:name="_Toc496605592"/>
      <w:bookmarkStart w:id="96" w:name="_Toc494198885"/>
      <w:r>
        <w:rPr>
          <w:rFonts w:ascii="仿宋" w:hAnsi="仿宋" w:eastAsia="仿宋"/>
          <w:bCs/>
          <w:color w:val="auto"/>
          <w:kern w:val="2"/>
          <w:sz w:val="24"/>
          <w:szCs w:val="24"/>
          <w:lang w:val="en-US"/>
        </w:rPr>
        <w:t>投标货币</w:t>
      </w:r>
      <w:bookmarkEnd w:id="93"/>
      <w:bookmarkEnd w:id="94"/>
      <w:bookmarkEnd w:id="95"/>
      <w:bookmarkEnd w:id="96"/>
    </w:p>
    <w:p>
      <w:pPr>
        <w:tabs>
          <w:tab w:val="left" w:pos="-142"/>
        </w:tabs>
        <w:spacing w:line="520" w:lineRule="exact"/>
        <w:ind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本次招标项目投标货币为人民币，报价以招标文件约定为准。</w:t>
      </w:r>
    </w:p>
    <w:p>
      <w:pPr>
        <w:keepNext/>
        <w:keepLines/>
        <w:numPr>
          <w:ilvl w:val="2"/>
          <w:numId w:val="17"/>
        </w:numPr>
        <w:tabs>
          <w:tab w:val="left" w:pos="360"/>
        </w:tabs>
        <w:spacing w:line="520" w:lineRule="exact"/>
        <w:ind w:left="0" w:firstLine="482"/>
        <w:outlineLvl w:val="2"/>
        <w:rPr>
          <w:rFonts w:ascii="仿宋" w:hAnsi="仿宋" w:eastAsia="仿宋"/>
          <w:bCs/>
          <w:color w:val="auto"/>
          <w:kern w:val="2"/>
          <w:sz w:val="24"/>
          <w:szCs w:val="24"/>
          <w:lang w:val="en-US"/>
        </w:rPr>
      </w:pPr>
      <w:bookmarkStart w:id="97" w:name="_Toc315871016"/>
      <w:bookmarkStart w:id="98" w:name="_Toc494198886"/>
      <w:bookmarkStart w:id="99" w:name="_Toc500492689"/>
      <w:bookmarkStart w:id="100" w:name="_Toc217446046"/>
      <w:bookmarkStart w:id="101" w:name="_Toc496605593"/>
      <w:r>
        <w:rPr>
          <w:rFonts w:ascii="仿宋" w:hAnsi="仿宋" w:eastAsia="仿宋"/>
          <w:bCs/>
          <w:color w:val="auto"/>
          <w:kern w:val="2"/>
          <w:sz w:val="24"/>
          <w:szCs w:val="24"/>
          <w:lang w:val="en-US"/>
        </w:rPr>
        <w:t>联合体投标</w:t>
      </w:r>
      <w:bookmarkEnd w:id="97"/>
      <w:bookmarkEnd w:id="98"/>
      <w:bookmarkEnd w:id="99"/>
      <w:bookmarkEnd w:id="100"/>
      <w:bookmarkEnd w:id="101"/>
    </w:p>
    <w:p>
      <w:pPr>
        <w:tabs>
          <w:tab w:val="left" w:pos="-142"/>
        </w:tabs>
        <w:spacing w:line="520" w:lineRule="exact"/>
        <w:ind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本项目不接受联合体投标，投标人应以非联合体形式参加投标，否则作无效投标处理。</w:t>
      </w:r>
    </w:p>
    <w:p>
      <w:pPr>
        <w:keepNext/>
        <w:keepLines/>
        <w:numPr>
          <w:ilvl w:val="2"/>
          <w:numId w:val="17"/>
        </w:numPr>
        <w:tabs>
          <w:tab w:val="left" w:pos="360"/>
        </w:tabs>
        <w:spacing w:line="520" w:lineRule="exact"/>
        <w:ind w:left="0" w:firstLine="482"/>
        <w:outlineLvl w:val="2"/>
        <w:rPr>
          <w:rFonts w:ascii="仿宋" w:hAnsi="仿宋" w:eastAsia="仿宋"/>
          <w:bCs/>
          <w:color w:val="auto"/>
          <w:kern w:val="2"/>
          <w:sz w:val="24"/>
          <w:szCs w:val="24"/>
          <w:lang w:val="en-US"/>
        </w:rPr>
      </w:pPr>
      <w:bookmarkStart w:id="102" w:name="_Toc500492690"/>
      <w:bookmarkStart w:id="103" w:name="_Toc494198887"/>
      <w:bookmarkStart w:id="104" w:name="_Toc496605594"/>
      <w:bookmarkStart w:id="105" w:name="_Toc217446047"/>
      <w:r>
        <w:rPr>
          <w:rFonts w:ascii="仿宋" w:hAnsi="仿宋" w:eastAsia="仿宋"/>
          <w:bCs/>
          <w:color w:val="auto"/>
          <w:kern w:val="2"/>
          <w:sz w:val="24"/>
          <w:szCs w:val="24"/>
          <w:lang w:val="en-US"/>
        </w:rPr>
        <w:t>进口产品</w:t>
      </w:r>
      <w:bookmarkEnd w:id="102"/>
      <w:bookmarkEnd w:id="103"/>
      <w:bookmarkEnd w:id="104"/>
    </w:p>
    <w:p>
      <w:pPr>
        <w:tabs>
          <w:tab w:val="left" w:pos="-142"/>
        </w:tabs>
        <w:spacing w:line="520" w:lineRule="exact"/>
        <w:ind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本项目为服务类采购，不涉及进口产品。</w:t>
      </w:r>
    </w:p>
    <w:p>
      <w:pPr>
        <w:keepNext/>
        <w:keepLines/>
        <w:numPr>
          <w:ilvl w:val="2"/>
          <w:numId w:val="17"/>
        </w:numPr>
        <w:tabs>
          <w:tab w:val="left" w:pos="360"/>
        </w:tabs>
        <w:spacing w:line="520" w:lineRule="exact"/>
        <w:ind w:left="0" w:firstLine="482"/>
        <w:outlineLvl w:val="2"/>
        <w:rPr>
          <w:rFonts w:ascii="仿宋" w:hAnsi="仿宋" w:eastAsia="仿宋"/>
          <w:bCs/>
          <w:color w:val="auto"/>
          <w:kern w:val="2"/>
          <w:sz w:val="24"/>
          <w:szCs w:val="24"/>
          <w:lang w:val="en-US"/>
        </w:rPr>
      </w:pPr>
      <w:bookmarkStart w:id="106" w:name="_Toc494198888"/>
      <w:bookmarkStart w:id="107" w:name="_Toc500492691"/>
      <w:bookmarkStart w:id="108" w:name="_Toc496605595"/>
      <w:r>
        <w:rPr>
          <w:rFonts w:ascii="仿宋" w:hAnsi="仿宋" w:eastAsia="仿宋"/>
          <w:bCs/>
          <w:color w:val="auto"/>
          <w:kern w:val="2"/>
          <w:sz w:val="24"/>
          <w:szCs w:val="24"/>
          <w:lang w:val="en-US"/>
        </w:rPr>
        <w:t>知识产权</w:t>
      </w:r>
      <w:bookmarkEnd w:id="105"/>
      <w:bookmarkEnd w:id="106"/>
      <w:bookmarkEnd w:id="107"/>
      <w:bookmarkEnd w:id="108"/>
    </w:p>
    <w:p>
      <w:pPr>
        <w:tabs>
          <w:tab w:val="left" w:pos="-142"/>
        </w:tabs>
        <w:spacing w:line="520" w:lineRule="exact"/>
        <w:ind w:firstLine="480"/>
        <w:rPr>
          <w:rFonts w:ascii="仿宋" w:hAnsi="仿宋" w:eastAsia="仿宋"/>
          <w:b w:val="0"/>
          <w:color w:val="auto"/>
          <w:kern w:val="2"/>
          <w:sz w:val="24"/>
          <w:szCs w:val="24"/>
        </w:rPr>
      </w:pPr>
      <w:r>
        <w:rPr>
          <w:rFonts w:ascii="仿宋" w:hAnsi="仿宋" w:eastAsia="仿宋"/>
          <w:b w:val="0"/>
          <w:bCs/>
          <w:color w:val="auto"/>
          <w:kern w:val="2"/>
          <w:sz w:val="24"/>
          <w:szCs w:val="24"/>
          <w:lang w:val="en-US"/>
        </w:rPr>
        <w:t>投标人应对以下有关知识产权进行承诺，否则作无效投标处理。</w:t>
      </w:r>
    </w:p>
    <w:p>
      <w:pPr>
        <w:numPr>
          <w:ilvl w:val="1"/>
          <w:numId w:val="27"/>
        </w:numPr>
        <w:tabs>
          <w:tab w:val="left" w:pos="0"/>
        </w:tabs>
        <w:spacing w:line="520" w:lineRule="exact"/>
        <w:ind w:left="0"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投标人应保证在本项目使用的任何产品和服务（包括部分使用）时，不会产生因第三方提出侵犯其专利权、商标权或其它合法权益而引起的法律和经济纠纷，如因专利权、商标权或其它合法权益而引起法律和经济纠纷，由投标人承担所有相关责任。</w:t>
      </w:r>
    </w:p>
    <w:p>
      <w:pPr>
        <w:numPr>
          <w:ilvl w:val="1"/>
          <w:numId w:val="27"/>
        </w:numPr>
        <w:tabs>
          <w:tab w:val="left" w:pos="0"/>
        </w:tabs>
        <w:spacing w:line="520" w:lineRule="exact"/>
        <w:ind w:left="0"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除非招标文件特别规定，采购人享有本项目实施过程中产生的知识成果及知识产权。</w:t>
      </w:r>
    </w:p>
    <w:p>
      <w:pPr>
        <w:numPr>
          <w:ilvl w:val="1"/>
          <w:numId w:val="27"/>
        </w:numPr>
        <w:tabs>
          <w:tab w:val="left" w:pos="0"/>
        </w:tabs>
        <w:spacing w:line="520" w:lineRule="exact"/>
        <w:ind w:left="0" w:firstLine="480"/>
        <w:rPr>
          <w:rFonts w:ascii="仿宋" w:hAnsi="仿宋" w:eastAsia="仿宋"/>
          <w:color w:val="auto"/>
          <w:kern w:val="2"/>
          <w:sz w:val="24"/>
          <w:szCs w:val="24"/>
          <w:lang w:val="en-US"/>
        </w:rPr>
      </w:pPr>
      <w:r>
        <w:rPr>
          <w:rFonts w:ascii="仿宋" w:hAnsi="仿宋" w:eastAsia="仿宋"/>
          <w:b w:val="0"/>
          <w:color w:val="auto"/>
          <w:kern w:val="2"/>
          <w:sz w:val="24"/>
          <w:szCs w:val="24"/>
          <w:lang w:val="en-US"/>
        </w:rPr>
        <w:t>投标人如欲在项目实施过程中采用自有</w:t>
      </w:r>
      <w:r>
        <w:rPr>
          <w:rFonts w:hint="eastAsia" w:ascii="仿宋" w:hAnsi="仿宋" w:eastAsia="仿宋"/>
          <w:b w:val="0"/>
          <w:color w:val="auto"/>
          <w:kern w:val="2"/>
          <w:sz w:val="24"/>
          <w:szCs w:val="24"/>
          <w:lang w:val="en-US"/>
        </w:rPr>
        <w:t>或者第三方知识成果的</w:t>
      </w:r>
      <w:r>
        <w:rPr>
          <w:rFonts w:ascii="仿宋" w:hAnsi="仿宋" w:eastAsia="仿宋"/>
          <w:b w:val="0"/>
          <w:color w:val="auto"/>
          <w:kern w:val="2"/>
          <w:sz w:val="24"/>
          <w:szCs w:val="24"/>
          <w:lang w:val="en-US"/>
        </w:rPr>
        <w:t>，使用该知识成果后，投标人需提供开发接口和开发手册等技术</w:t>
      </w:r>
      <w:r>
        <w:rPr>
          <w:rFonts w:hint="eastAsia" w:ascii="仿宋" w:hAnsi="仿宋" w:eastAsia="仿宋"/>
          <w:b w:val="0"/>
          <w:color w:val="auto"/>
          <w:kern w:val="2"/>
          <w:sz w:val="24"/>
          <w:szCs w:val="24"/>
          <w:lang w:val="en-US"/>
        </w:rPr>
        <w:t>资料</w:t>
      </w:r>
      <w:r>
        <w:rPr>
          <w:rFonts w:ascii="仿宋" w:hAnsi="仿宋" w:eastAsia="仿宋"/>
          <w:b w:val="0"/>
          <w:color w:val="auto"/>
          <w:kern w:val="2"/>
          <w:sz w:val="24"/>
          <w:szCs w:val="24"/>
          <w:lang w:val="en-US"/>
        </w:rPr>
        <w:t>，并承诺提供无限期技术支持，采购人享有永久使用权（含采购人委托第三方在该项目后续开发的使用权），</w:t>
      </w:r>
      <w:r>
        <w:rPr>
          <w:rFonts w:ascii="仿宋" w:hAnsi="仿宋" w:eastAsia="仿宋"/>
          <w:color w:val="auto"/>
          <w:kern w:val="2"/>
          <w:sz w:val="24"/>
          <w:szCs w:val="24"/>
          <w:lang w:val="en-US"/>
        </w:rPr>
        <w:t>同时需在投标文件中提供声明，并提供相关知识产权证明文件，否则视为投标人未在本项目实施过程中采用自有知识成果，不影响有效性。</w:t>
      </w:r>
    </w:p>
    <w:p>
      <w:pPr>
        <w:numPr>
          <w:ilvl w:val="1"/>
          <w:numId w:val="27"/>
        </w:numPr>
        <w:tabs>
          <w:tab w:val="left" w:pos="0"/>
        </w:tabs>
        <w:spacing w:line="520" w:lineRule="exact"/>
        <w:ind w:left="0"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如采用投标人所不拥有的知识产权，则在投标报价中必须包括合法获取该知识产权的相关费用，</w:t>
      </w:r>
      <w:r>
        <w:rPr>
          <w:rFonts w:ascii="仿宋" w:hAnsi="仿宋" w:eastAsia="仿宋"/>
          <w:bCs/>
          <w:color w:val="auto"/>
          <w:kern w:val="2"/>
          <w:sz w:val="24"/>
          <w:szCs w:val="24"/>
          <w:lang w:val="en-US"/>
        </w:rPr>
        <w:t>采购人不再因</w:t>
      </w:r>
      <w:r>
        <w:rPr>
          <w:rFonts w:ascii="仿宋" w:hAnsi="仿宋" w:eastAsia="仿宋"/>
          <w:color w:val="auto"/>
          <w:kern w:val="2"/>
          <w:sz w:val="24"/>
          <w:szCs w:val="24"/>
          <w:lang w:val="en-US"/>
        </w:rPr>
        <w:t>投标人采用所不拥有的知识产权而另行支付任何费用</w:t>
      </w:r>
      <w:r>
        <w:rPr>
          <w:rFonts w:ascii="仿宋" w:hAnsi="仿宋" w:eastAsia="仿宋"/>
          <w:b w:val="0"/>
          <w:color w:val="auto"/>
          <w:kern w:val="2"/>
          <w:sz w:val="24"/>
          <w:szCs w:val="24"/>
          <w:lang w:val="en-US"/>
        </w:rPr>
        <w:t xml:space="preserve">。 </w:t>
      </w:r>
    </w:p>
    <w:p>
      <w:pPr>
        <w:numPr>
          <w:ilvl w:val="1"/>
          <w:numId w:val="27"/>
        </w:numPr>
        <w:tabs>
          <w:tab w:val="left" w:pos="0"/>
        </w:tabs>
        <w:spacing w:line="520" w:lineRule="exact"/>
        <w:ind w:left="0"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根据《中华人民共和国政府采购法实施条例》第四十三条的规定，公告内容应当包括主要中标标的的名称、规格型号、数量、单价、服务要求以及评审专家名单。投标人需将投标文件中涉及商业秘密和知识产权的内容进行标注和说明。若未进行标注和说明的，视为全部内容均可公布，采购人或者采购代理机构对此不承担任何责任。</w:t>
      </w:r>
    </w:p>
    <w:p>
      <w:pPr>
        <w:keepNext/>
        <w:keepLines/>
        <w:numPr>
          <w:ilvl w:val="2"/>
          <w:numId w:val="17"/>
        </w:numPr>
        <w:tabs>
          <w:tab w:val="left" w:pos="360"/>
        </w:tabs>
        <w:spacing w:line="520" w:lineRule="exact"/>
        <w:ind w:left="0" w:firstLine="482"/>
        <w:outlineLvl w:val="2"/>
        <w:rPr>
          <w:rFonts w:ascii="仿宋" w:hAnsi="仿宋" w:eastAsia="仿宋"/>
          <w:bCs/>
          <w:color w:val="auto"/>
          <w:kern w:val="2"/>
          <w:sz w:val="24"/>
          <w:szCs w:val="24"/>
          <w:lang w:val="en-US"/>
        </w:rPr>
      </w:pPr>
      <w:bookmarkStart w:id="109" w:name="_Toc183682354"/>
      <w:bookmarkStart w:id="110" w:name="_Toc500492692"/>
      <w:bookmarkStart w:id="111" w:name="_Toc494198889"/>
      <w:bookmarkStart w:id="112" w:name="_Toc217446048"/>
      <w:bookmarkStart w:id="113" w:name="_Toc496605596"/>
      <w:bookmarkStart w:id="114" w:name="_Toc183582217"/>
      <w:r>
        <w:rPr>
          <w:rFonts w:ascii="仿宋" w:hAnsi="仿宋" w:eastAsia="仿宋"/>
          <w:bCs/>
          <w:color w:val="auto"/>
          <w:kern w:val="2"/>
          <w:sz w:val="24"/>
          <w:szCs w:val="24"/>
          <w:lang w:val="en-US"/>
        </w:rPr>
        <w:t>投标文件的组成</w:t>
      </w:r>
      <w:bookmarkEnd w:id="109"/>
      <w:bookmarkEnd w:id="110"/>
      <w:bookmarkEnd w:id="111"/>
      <w:bookmarkEnd w:id="112"/>
      <w:bookmarkEnd w:id="113"/>
      <w:bookmarkEnd w:id="114"/>
    </w:p>
    <w:p>
      <w:pPr>
        <w:spacing w:line="520" w:lineRule="exact"/>
        <w:ind w:firstLine="482"/>
        <w:rPr>
          <w:rFonts w:ascii="仿宋" w:hAnsi="仿宋" w:eastAsia="仿宋"/>
          <w:color w:val="auto"/>
          <w:kern w:val="2"/>
          <w:sz w:val="24"/>
          <w:szCs w:val="24"/>
          <w:lang w:val="en-US"/>
        </w:rPr>
      </w:pPr>
      <w:r>
        <w:rPr>
          <w:rFonts w:ascii="仿宋" w:hAnsi="仿宋" w:eastAsia="仿宋"/>
          <w:color w:val="auto"/>
          <w:kern w:val="2"/>
          <w:sz w:val="24"/>
          <w:szCs w:val="24"/>
          <w:lang w:val="en-US"/>
        </w:rPr>
        <w:t>投标人编写的投标文件应包括资格性投标文件和其他投标文件两部分，分册装订，否则作无效投标处理。</w:t>
      </w:r>
    </w:p>
    <w:p>
      <w:pPr>
        <w:spacing w:line="520" w:lineRule="exact"/>
        <w:ind w:firstLine="482"/>
        <w:rPr>
          <w:rFonts w:ascii="仿宋" w:hAnsi="仿宋" w:eastAsia="仿宋"/>
          <w:b w:val="0"/>
          <w:color w:val="auto"/>
          <w:kern w:val="2"/>
          <w:sz w:val="24"/>
          <w:szCs w:val="24"/>
          <w:lang w:val="en-US"/>
        </w:rPr>
      </w:pPr>
      <w:r>
        <w:rPr>
          <w:rFonts w:ascii="仿宋" w:hAnsi="仿宋" w:eastAsia="仿宋"/>
          <w:color w:val="auto"/>
          <w:kern w:val="2"/>
          <w:sz w:val="24"/>
          <w:szCs w:val="24"/>
          <w:lang w:val="en-US"/>
        </w:rPr>
        <w:t>资格性投标文件用于资格审查，应包括投标人响应招标文件要求的资格条件的所有证明材料。（详见招标文件第4章、第5章）</w:t>
      </w:r>
    </w:p>
    <w:p>
      <w:pPr>
        <w:spacing w:line="520" w:lineRule="exact"/>
        <w:ind w:firstLine="482"/>
        <w:rPr>
          <w:rFonts w:ascii="仿宋" w:hAnsi="仿宋" w:eastAsia="仿宋"/>
          <w:b w:val="0"/>
          <w:color w:val="auto"/>
          <w:kern w:val="2"/>
          <w:sz w:val="24"/>
          <w:szCs w:val="24"/>
          <w:lang w:val="en-US"/>
        </w:rPr>
      </w:pPr>
      <w:r>
        <w:rPr>
          <w:rFonts w:ascii="仿宋" w:hAnsi="仿宋" w:eastAsia="仿宋"/>
          <w:color w:val="auto"/>
          <w:kern w:val="2"/>
          <w:sz w:val="24"/>
          <w:szCs w:val="24"/>
          <w:lang w:val="en-US"/>
        </w:rPr>
        <w:t>其他投标文件用于符合性审查和综合评审，应包括投标人响应招标文件要求的资格条件以外的所有材料（详见招标文件第3章），包括但不限于下列部分：</w:t>
      </w:r>
    </w:p>
    <w:p>
      <w:pPr>
        <w:numPr>
          <w:ilvl w:val="0"/>
          <w:numId w:val="28"/>
        </w:numPr>
        <w:tabs>
          <w:tab w:val="left" w:pos="709"/>
        </w:tabs>
        <w:spacing w:line="520" w:lineRule="exact"/>
        <w:ind w:left="794" w:hanging="284" w:firstLineChars="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投标函</w:t>
      </w:r>
    </w:p>
    <w:p>
      <w:pPr>
        <w:numPr>
          <w:ilvl w:val="0"/>
          <w:numId w:val="28"/>
        </w:numPr>
        <w:tabs>
          <w:tab w:val="left" w:pos="709"/>
          <w:tab w:val="left" w:pos="851"/>
        </w:tabs>
        <w:spacing w:line="520" w:lineRule="exact"/>
        <w:ind w:left="794" w:hanging="284" w:firstLineChars="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服务偏离表</w:t>
      </w:r>
    </w:p>
    <w:p>
      <w:pPr>
        <w:numPr>
          <w:ilvl w:val="0"/>
          <w:numId w:val="28"/>
        </w:numPr>
        <w:tabs>
          <w:tab w:val="left" w:pos="567"/>
          <w:tab w:val="left" w:pos="709"/>
          <w:tab w:val="left" w:pos="851"/>
        </w:tabs>
        <w:spacing w:line="520" w:lineRule="exact"/>
        <w:ind w:left="794" w:hanging="284" w:firstLineChars="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商务应答表</w:t>
      </w:r>
    </w:p>
    <w:p>
      <w:pPr>
        <w:numPr>
          <w:ilvl w:val="0"/>
          <w:numId w:val="28"/>
        </w:numPr>
        <w:tabs>
          <w:tab w:val="left" w:pos="709"/>
          <w:tab w:val="left" w:pos="851"/>
        </w:tabs>
        <w:spacing w:line="520" w:lineRule="exact"/>
        <w:ind w:left="794" w:hanging="284" w:firstLineChars="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投标人基本情况表</w:t>
      </w:r>
    </w:p>
    <w:p>
      <w:pPr>
        <w:numPr>
          <w:ilvl w:val="0"/>
          <w:numId w:val="28"/>
        </w:numPr>
        <w:tabs>
          <w:tab w:val="left" w:pos="709"/>
          <w:tab w:val="left" w:pos="851"/>
        </w:tabs>
        <w:spacing w:line="520" w:lineRule="exact"/>
        <w:ind w:left="794" w:hanging="284" w:firstLineChars="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实施本项目的主要人员情况表</w:t>
      </w:r>
    </w:p>
    <w:p>
      <w:pPr>
        <w:numPr>
          <w:ilvl w:val="0"/>
          <w:numId w:val="28"/>
        </w:numPr>
        <w:tabs>
          <w:tab w:val="left" w:pos="709"/>
          <w:tab w:val="left" w:pos="851"/>
        </w:tabs>
        <w:spacing w:line="520" w:lineRule="exact"/>
        <w:ind w:left="794" w:hanging="284" w:firstLineChars="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项目实施方案</w:t>
      </w:r>
    </w:p>
    <w:p>
      <w:pPr>
        <w:numPr>
          <w:ilvl w:val="0"/>
          <w:numId w:val="28"/>
        </w:numPr>
        <w:tabs>
          <w:tab w:val="left" w:pos="709"/>
          <w:tab w:val="left" w:pos="851"/>
        </w:tabs>
        <w:spacing w:line="520" w:lineRule="exact"/>
        <w:ind w:left="794" w:hanging="284" w:firstLineChars="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中小企业声明函（如未提供的，不影响投标人投标文件的有效性）</w:t>
      </w:r>
    </w:p>
    <w:p>
      <w:pPr>
        <w:numPr>
          <w:ilvl w:val="0"/>
          <w:numId w:val="28"/>
        </w:numPr>
        <w:tabs>
          <w:tab w:val="left" w:pos="567"/>
          <w:tab w:val="left" w:pos="709"/>
          <w:tab w:val="left" w:pos="851"/>
        </w:tabs>
        <w:spacing w:line="520" w:lineRule="exact"/>
        <w:ind w:left="794" w:hanging="284" w:firstLineChars="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监狱企业证明材料（如未提供的，不影响投标人投标文件的有效性）</w:t>
      </w:r>
    </w:p>
    <w:p>
      <w:pPr>
        <w:numPr>
          <w:ilvl w:val="0"/>
          <w:numId w:val="28"/>
        </w:numPr>
        <w:tabs>
          <w:tab w:val="left" w:pos="709"/>
          <w:tab w:val="left" w:pos="851"/>
        </w:tabs>
        <w:spacing w:line="520" w:lineRule="exact"/>
        <w:ind w:left="794" w:hanging="284" w:firstLineChars="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残疾人福利性单位声明函（如未提供的，不影响投标人投标文件的有效性）</w:t>
      </w:r>
    </w:p>
    <w:p>
      <w:pPr>
        <w:numPr>
          <w:ilvl w:val="0"/>
          <w:numId w:val="28"/>
        </w:numPr>
        <w:tabs>
          <w:tab w:val="left" w:pos="851"/>
          <w:tab w:val="left" w:pos="993"/>
        </w:tabs>
        <w:spacing w:line="520" w:lineRule="exact"/>
        <w:ind w:left="913" w:hanging="403" w:firstLineChars="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知识产权承诺函</w:t>
      </w:r>
    </w:p>
    <w:p>
      <w:pPr>
        <w:numPr>
          <w:ilvl w:val="0"/>
          <w:numId w:val="28"/>
        </w:numPr>
        <w:tabs>
          <w:tab w:val="left" w:pos="851"/>
          <w:tab w:val="left" w:pos="993"/>
        </w:tabs>
        <w:spacing w:line="520" w:lineRule="exact"/>
        <w:ind w:left="913" w:hanging="403" w:firstLineChars="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投标人认为需要提供的其他文件和资料</w:t>
      </w:r>
    </w:p>
    <w:p>
      <w:pPr>
        <w:spacing w:line="520" w:lineRule="exact"/>
        <w:ind w:firstLine="482"/>
        <w:rPr>
          <w:rFonts w:ascii="仿宋" w:hAnsi="仿宋" w:eastAsia="仿宋"/>
          <w:color w:val="auto"/>
          <w:kern w:val="2"/>
          <w:sz w:val="24"/>
          <w:szCs w:val="24"/>
          <w:lang w:val="en-US"/>
        </w:rPr>
      </w:pPr>
      <w:r>
        <w:rPr>
          <w:rFonts w:ascii="仿宋" w:hAnsi="仿宋" w:eastAsia="仿宋"/>
          <w:color w:val="auto"/>
          <w:kern w:val="2"/>
          <w:sz w:val="24"/>
          <w:szCs w:val="24"/>
          <w:lang w:val="en-US"/>
        </w:rPr>
        <w:t>开标一览表</w:t>
      </w:r>
    </w:p>
    <w:p>
      <w:pPr>
        <w:tabs>
          <w:tab w:val="left" w:pos="1060"/>
          <w:tab w:val="left" w:pos="1260"/>
        </w:tabs>
        <w:spacing w:line="520" w:lineRule="exact"/>
        <w:ind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开标一览表单独密封提交，投标文件正本中可不装订该项内容。</w:t>
      </w:r>
    </w:p>
    <w:p>
      <w:pPr>
        <w:keepNext/>
        <w:keepLines/>
        <w:numPr>
          <w:ilvl w:val="2"/>
          <w:numId w:val="17"/>
        </w:numPr>
        <w:tabs>
          <w:tab w:val="left" w:pos="360"/>
        </w:tabs>
        <w:spacing w:line="520" w:lineRule="exact"/>
        <w:ind w:left="0" w:firstLine="482"/>
        <w:outlineLvl w:val="2"/>
        <w:rPr>
          <w:rFonts w:ascii="仿宋" w:hAnsi="仿宋" w:eastAsia="仿宋"/>
          <w:bCs/>
          <w:color w:val="auto"/>
          <w:kern w:val="2"/>
          <w:sz w:val="24"/>
          <w:szCs w:val="24"/>
          <w:lang w:val="en-US"/>
        </w:rPr>
      </w:pPr>
      <w:bookmarkStart w:id="115" w:name="_Toc217446049"/>
      <w:bookmarkStart w:id="116" w:name="_Toc183682355"/>
      <w:bookmarkStart w:id="117" w:name="_Toc496605597"/>
      <w:bookmarkStart w:id="118" w:name="_Toc183582218"/>
      <w:bookmarkStart w:id="119" w:name="_Toc494198890"/>
      <w:bookmarkStart w:id="120" w:name="_Toc500492693"/>
      <w:r>
        <w:rPr>
          <w:rFonts w:ascii="仿宋" w:hAnsi="仿宋" w:eastAsia="仿宋"/>
          <w:bCs/>
          <w:color w:val="auto"/>
          <w:kern w:val="2"/>
          <w:sz w:val="24"/>
          <w:szCs w:val="24"/>
          <w:lang w:val="en-US"/>
        </w:rPr>
        <w:t>投标文件格式</w:t>
      </w:r>
      <w:bookmarkEnd w:id="115"/>
      <w:bookmarkEnd w:id="116"/>
      <w:bookmarkEnd w:id="117"/>
      <w:bookmarkEnd w:id="118"/>
      <w:bookmarkEnd w:id="119"/>
      <w:bookmarkEnd w:id="120"/>
      <w:r>
        <w:rPr>
          <w:rFonts w:ascii="仿宋" w:hAnsi="仿宋" w:eastAsia="仿宋"/>
          <w:bCs/>
          <w:color w:val="auto"/>
          <w:kern w:val="2"/>
          <w:sz w:val="24"/>
          <w:szCs w:val="24"/>
          <w:lang w:val="en-US"/>
        </w:rPr>
        <w:tab/>
      </w:r>
    </w:p>
    <w:p>
      <w:pPr>
        <w:numPr>
          <w:ilvl w:val="1"/>
          <w:numId w:val="29"/>
        </w:numPr>
        <w:tabs>
          <w:tab w:val="left" w:pos="0"/>
        </w:tabs>
        <w:spacing w:line="520" w:lineRule="exact"/>
        <w:ind w:left="0"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投标人应严格按照招标文件第3章中提供的“投标文件格式”填写相关内容。</w:t>
      </w:r>
    </w:p>
    <w:p>
      <w:pPr>
        <w:numPr>
          <w:ilvl w:val="1"/>
          <w:numId w:val="29"/>
        </w:numPr>
        <w:tabs>
          <w:tab w:val="left" w:pos="0"/>
        </w:tabs>
        <w:spacing w:line="520" w:lineRule="exact"/>
        <w:ind w:left="0"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对于没有格式要求的投标文件由投标人自行编写。</w:t>
      </w:r>
    </w:p>
    <w:p>
      <w:pPr>
        <w:keepNext/>
        <w:keepLines/>
        <w:numPr>
          <w:ilvl w:val="2"/>
          <w:numId w:val="17"/>
        </w:numPr>
        <w:tabs>
          <w:tab w:val="left" w:pos="360"/>
        </w:tabs>
        <w:spacing w:line="520" w:lineRule="exact"/>
        <w:ind w:left="0" w:firstLine="482"/>
        <w:outlineLvl w:val="2"/>
        <w:rPr>
          <w:rFonts w:ascii="仿宋" w:hAnsi="仿宋" w:eastAsia="仿宋"/>
          <w:bCs/>
          <w:color w:val="auto"/>
          <w:kern w:val="2"/>
          <w:sz w:val="24"/>
          <w:szCs w:val="24"/>
          <w:lang w:val="en-US"/>
        </w:rPr>
      </w:pPr>
      <w:bookmarkStart w:id="121" w:name="_Toc494198891"/>
      <w:bookmarkStart w:id="122" w:name="_Toc263768807"/>
      <w:bookmarkStart w:id="123" w:name="_Toc298399331"/>
      <w:bookmarkStart w:id="124" w:name="_Toc500492694"/>
      <w:bookmarkStart w:id="125" w:name="_Toc263753546"/>
      <w:bookmarkStart w:id="126" w:name="_Toc496605598"/>
      <w:r>
        <w:rPr>
          <w:rFonts w:ascii="仿宋" w:hAnsi="仿宋" w:eastAsia="仿宋"/>
          <w:bCs/>
          <w:color w:val="auto"/>
          <w:kern w:val="2"/>
          <w:sz w:val="24"/>
          <w:szCs w:val="24"/>
          <w:lang w:val="en-US"/>
        </w:rPr>
        <w:t>投标报价</w:t>
      </w:r>
      <w:bookmarkEnd w:id="121"/>
      <w:bookmarkEnd w:id="122"/>
      <w:bookmarkEnd w:id="123"/>
      <w:bookmarkEnd w:id="124"/>
      <w:bookmarkEnd w:id="125"/>
      <w:bookmarkEnd w:id="126"/>
    </w:p>
    <w:p>
      <w:pPr>
        <w:numPr>
          <w:ilvl w:val="1"/>
          <w:numId w:val="30"/>
        </w:numPr>
        <w:tabs>
          <w:tab w:val="left" w:pos="0"/>
        </w:tabs>
        <w:spacing w:line="520" w:lineRule="exact"/>
        <w:ind w:left="0"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投标人的报价是投标人响应招标项目要求的全部工作内容的价格体现，包括投标人完成本项目所需的一切费用。</w:t>
      </w:r>
    </w:p>
    <w:p>
      <w:pPr>
        <w:numPr>
          <w:ilvl w:val="1"/>
          <w:numId w:val="30"/>
        </w:numPr>
        <w:tabs>
          <w:tab w:val="left" w:pos="0"/>
        </w:tabs>
        <w:spacing w:line="520" w:lineRule="exact"/>
        <w:ind w:left="0"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投标人对每一种服务的报价，在合同履行过程中是固定不变的。</w:t>
      </w:r>
    </w:p>
    <w:p>
      <w:pPr>
        <w:keepNext/>
        <w:keepLines/>
        <w:numPr>
          <w:ilvl w:val="2"/>
          <w:numId w:val="17"/>
        </w:numPr>
        <w:tabs>
          <w:tab w:val="left" w:pos="360"/>
        </w:tabs>
        <w:spacing w:line="520" w:lineRule="exact"/>
        <w:ind w:left="0" w:firstLine="482"/>
        <w:outlineLvl w:val="2"/>
        <w:rPr>
          <w:rFonts w:ascii="仿宋" w:hAnsi="仿宋" w:eastAsia="仿宋"/>
          <w:bCs/>
          <w:color w:val="auto"/>
          <w:kern w:val="2"/>
          <w:sz w:val="24"/>
          <w:szCs w:val="24"/>
          <w:lang w:val="en-US"/>
        </w:rPr>
      </w:pPr>
      <w:bookmarkStart w:id="127" w:name="_Toc217446051"/>
      <w:bookmarkStart w:id="128" w:name="_Toc496605600"/>
      <w:bookmarkStart w:id="129" w:name="_Toc183682361"/>
      <w:bookmarkStart w:id="130" w:name="_Toc494198893"/>
      <w:bookmarkStart w:id="131" w:name="_Toc183582224"/>
      <w:bookmarkStart w:id="132" w:name="_Toc500492696"/>
      <w:r>
        <w:rPr>
          <w:rFonts w:ascii="仿宋" w:hAnsi="仿宋" w:eastAsia="仿宋"/>
          <w:bCs/>
          <w:color w:val="auto"/>
          <w:kern w:val="2"/>
          <w:sz w:val="24"/>
          <w:szCs w:val="24"/>
          <w:lang w:val="en-US"/>
        </w:rPr>
        <w:t>投标有效期</w:t>
      </w:r>
      <w:bookmarkEnd w:id="127"/>
      <w:bookmarkEnd w:id="128"/>
      <w:bookmarkEnd w:id="129"/>
      <w:bookmarkEnd w:id="130"/>
      <w:bookmarkEnd w:id="131"/>
      <w:bookmarkEnd w:id="132"/>
    </w:p>
    <w:p>
      <w:pPr>
        <w:numPr>
          <w:ilvl w:val="1"/>
          <w:numId w:val="31"/>
        </w:numPr>
        <w:tabs>
          <w:tab w:val="left" w:pos="0"/>
        </w:tabs>
        <w:spacing w:line="520" w:lineRule="exact"/>
        <w:ind w:left="0"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投标有效期从提交投标文件的截止之日起90天。投标文件中必须载明投标有效期，投标文件中载明的投标有效期可以长于招标文件规定的期限，但不得短于招标文件规定期限，否则，其投标文件将按无效投标文件处理。</w:t>
      </w:r>
    </w:p>
    <w:p>
      <w:pPr>
        <w:numPr>
          <w:ilvl w:val="1"/>
          <w:numId w:val="31"/>
        </w:numPr>
        <w:tabs>
          <w:tab w:val="left" w:pos="0"/>
        </w:tabs>
        <w:spacing w:line="520" w:lineRule="exact"/>
        <w:ind w:left="0"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投标人不能修改其投标文件。</w:t>
      </w:r>
    </w:p>
    <w:p>
      <w:pPr>
        <w:numPr>
          <w:ilvl w:val="1"/>
          <w:numId w:val="31"/>
        </w:numPr>
        <w:tabs>
          <w:tab w:val="left" w:pos="0"/>
        </w:tabs>
        <w:spacing w:line="520" w:lineRule="exact"/>
        <w:ind w:left="0"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因采购人采购需求作出必要调整，采购人可于投标有效期届满之前与投标人协商延长投标有效期。投标人拒绝延长投标有效期的，不得再参与该项目后续采购活动，但由此给投标人造成的损失，采购人应当予以适当赔偿或者合理补偿。投标人同意延长投标有效期的，投标人不能修改其投标文件。</w:t>
      </w:r>
    </w:p>
    <w:p>
      <w:pPr>
        <w:keepNext/>
        <w:keepLines/>
        <w:numPr>
          <w:ilvl w:val="2"/>
          <w:numId w:val="17"/>
        </w:numPr>
        <w:tabs>
          <w:tab w:val="left" w:pos="360"/>
        </w:tabs>
        <w:spacing w:line="520" w:lineRule="exact"/>
        <w:ind w:left="0" w:firstLine="482"/>
        <w:outlineLvl w:val="2"/>
        <w:rPr>
          <w:rFonts w:ascii="仿宋" w:hAnsi="仿宋" w:eastAsia="仿宋"/>
          <w:bCs/>
          <w:color w:val="auto"/>
          <w:kern w:val="2"/>
          <w:sz w:val="24"/>
          <w:szCs w:val="24"/>
          <w:lang w:val="en-US"/>
        </w:rPr>
      </w:pPr>
      <w:bookmarkStart w:id="133" w:name="_Toc494198894"/>
      <w:bookmarkStart w:id="134" w:name="_Toc500492697"/>
      <w:bookmarkStart w:id="135" w:name="_Toc295978769"/>
      <w:bookmarkStart w:id="136" w:name="_Toc496605601"/>
      <w:bookmarkStart w:id="137" w:name="_Toc263753548"/>
      <w:bookmarkStart w:id="138" w:name="_Toc263768809"/>
      <w:r>
        <w:rPr>
          <w:rFonts w:ascii="仿宋" w:hAnsi="仿宋" w:eastAsia="仿宋"/>
          <w:bCs/>
          <w:color w:val="auto"/>
          <w:kern w:val="2"/>
          <w:sz w:val="24"/>
          <w:szCs w:val="24"/>
          <w:lang w:val="en-US"/>
        </w:rPr>
        <w:t>投标文件的印制和签署</w:t>
      </w:r>
      <w:bookmarkEnd w:id="133"/>
      <w:bookmarkEnd w:id="134"/>
      <w:bookmarkEnd w:id="135"/>
      <w:bookmarkEnd w:id="136"/>
      <w:bookmarkEnd w:id="137"/>
      <w:bookmarkEnd w:id="138"/>
    </w:p>
    <w:p>
      <w:pPr>
        <w:numPr>
          <w:ilvl w:val="1"/>
          <w:numId w:val="32"/>
        </w:numPr>
        <w:tabs>
          <w:tab w:val="left" w:pos="0"/>
        </w:tabs>
        <w:spacing w:line="520" w:lineRule="exact"/>
        <w:ind w:left="0"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资格性投标文件正本一份副本两份，正副本数量不足的按无效投标处理。资格性投标文件正本和副本应分别制作。资格性投标文件封面上清楚地标明资格性投标文件、采购项目名称、采购项目编号、供应商名称以及“正本”或“副本”字样。若正本和副本有不一致的内容，以正本书面投标文件为准。</w:t>
      </w:r>
    </w:p>
    <w:p>
      <w:pPr>
        <w:numPr>
          <w:ilvl w:val="1"/>
          <w:numId w:val="32"/>
        </w:numPr>
        <w:tabs>
          <w:tab w:val="left" w:pos="0"/>
        </w:tabs>
        <w:spacing w:line="520" w:lineRule="exact"/>
        <w:ind w:left="0"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其他投标文件正本一份副本两份，正副本数量不足的按无效响应处理。其他投标文件正本和副本应分别制作。其他投标文件封面上清楚地标明其他投标文件、采购项目名称、采购项目编号、供应商名称以及“正本”或“副本”字样。若正本和副本有不一致的内容，以正本书面投标文件为准。</w:t>
      </w:r>
    </w:p>
    <w:p>
      <w:pPr>
        <w:numPr>
          <w:ilvl w:val="1"/>
          <w:numId w:val="32"/>
        </w:numPr>
        <w:tabs>
          <w:tab w:val="left" w:pos="0"/>
        </w:tabs>
        <w:spacing w:line="520" w:lineRule="exact"/>
        <w:ind w:left="0"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投标文件的打印和书写清楚工整。</w:t>
      </w:r>
    </w:p>
    <w:p>
      <w:pPr>
        <w:numPr>
          <w:ilvl w:val="1"/>
          <w:numId w:val="32"/>
        </w:numPr>
        <w:tabs>
          <w:tab w:val="left" w:pos="0"/>
        </w:tabs>
        <w:spacing w:line="520" w:lineRule="exact"/>
        <w:ind w:left="0"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投标文件编制目录并逐页编码。</w:t>
      </w:r>
    </w:p>
    <w:p>
      <w:pPr>
        <w:numPr>
          <w:ilvl w:val="1"/>
          <w:numId w:val="32"/>
        </w:numPr>
        <w:tabs>
          <w:tab w:val="left" w:pos="0"/>
        </w:tabs>
        <w:spacing w:line="520" w:lineRule="exact"/>
        <w:ind w:left="0"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投标文件统一用A4幅面纸印制，另有规定除外。</w:t>
      </w:r>
    </w:p>
    <w:p>
      <w:pPr>
        <w:numPr>
          <w:ilvl w:val="1"/>
          <w:numId w:val="32"/>
        </w:numPr>
        <w:tabs>
          <w:tab w:val="left" w:pos="0"/>
        </w:tabs>
        <w:spacing w:line="520" w:lineRule="exact"/>
        <w:ind w:left="0"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投标文件应在招标文件要求签字的地方签字或加盖印章</w:t>
      </w:r>
      <w:r>
        <w:rPr>
          <w:rFonts w:hint="eastAsia" w:ascii="仿宋" w:hAnsi="仿宋" w:eastAsia="仿宋"/>
          <w:b w:val="0"/>
          <w:color w:val="auto"/>
          <w:kern w:val="2"/>
          <w:sz w:val="24"/>
          <w:szCs w:val="24"/>
          <w:lang w:val="en-US"/>
        </w:rPr>
        <w:t>[</w:t>
      </w:r>
      <w:r>
        <w:rPr>
          <w:rFonts w:ascii="仿宋" w:hAnsi="仿宋" w:eastAsia="仿宋"/>
          <w:b w:val="0"/>
          <w:color w:val="auto"/>
          <w:kern w:val="2"/>
          <w:sz w:val="24"/>
          <w:szCs w:val="24"/>
          <w:lang w:val="en-US"/>
        </w:rPr>
        <w:t>投标人为法人的，由其法定代表人或者代理人签字或加盖印章；投标人为其他组织的，由其负责人或者代理人签字或加盖印章；投标人为自然人的，由其本人</w:t>
      </w:r>
      <w:r>
        <w:rPr>
          <w:rFonts w:hint="eastAsia" w:ascii="仿宋" w:hAnsi="仿宋" w:eastAsia="仿宋"/>
          <w:b w:val="0"/>
          <w:color w:val="auto"/>
          <w:kern w:val="2"/>
          <w:sz w:val="24"/>
          <w:szCs w:val="24"/>
          <w:lang w:val="en-US"/>
        </w:rPr>
        <w:t>（经营者）</w:t>
      </w:r>
      <w:r>
        <w:rPr>
          <w:rFonts w:ascii="仿宋" w:hAnsi="仿宋" w:eastAsia="仿宋"/>
          <w:b w:val="0"/>
          <w:color w:val="auto"/>
          <w:kern w:val="2"/>
          <w:sz w:val="24"/>
          <w:szCs w:val="24"/>
          <w:lang w:val="en-US"/>
        </w:rPr>
        <w:t>或者代理人签字或加盖印章</w:t>
      </w:r>
      <w:r>
        <w:rPr>
          <w:rFonts w:hint="eastAsia" w:ascii="仿宋" w:hAnsi="仿宋" w:eastAsia="仿宋"/>
          <w:b w:val="0"/>
          <w:color w:val="auto"/>
          <w:kern w:val="2"/>
          <w:sz w:val="24"/>
          <w:szCs w:val="24"/>
          <w:lang w:val="en-US"/>
        </w:rPr>
        <w:t>]</w:t>
      </w:r>
      <w:r>
        <w:rPr>
          <w:rFonts w:ascii="仿宋" w:hAnsi="仿宋" w:eastAsia="仿宋"/>
          <w:b w:val="0"/>
          <w:color w:val="auto"/>
          <w:kern w:val="2"/>
          <w:sz w:val="24"/>
          <w:szCs w:val="24"/>
          <w:lang w:val="en-US"/>
        </w:rPr>
        <w:t>，要求加盖公章的地方加盖单位公章，不得使用专用章（如经济合同章、投标专用章等）或下属单位印章代替。本文件加盖单位公章均要求加盖公章鲜章。</w:t>
      </w:r>
    </w:p>
    <w:p>
      <w:pPr>
        <w:numPr>
          <w:ilvl w:val="1"/>
          <w:numId w:val="32"/>
        </w:numPr>
        <w:tabs>
          <w:tab w:val="left" w:pos="0"/>
        </w:tabs>
        <w:spacing w:line="520" w:lineRule="exact"/>
        <w:ind w:left="0"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投标文件中任何行间插字、涂改或增删，必须由投标人的法定代表人</w:t>
      </w:r>
      <w:r>
        <w:rPr>
          <w:rFonts w:hint="eastAsia" w:ascii="仿宋" w:hAnsi="仿宋" w:eastAsia="仿宋"/>
          <w:b w:val="0"/>
          <w:color w:val="auto"/>
          <w:kern w:val="2"/>
          <w:sz w:val="24"/>
          <w:szCs w:val="24"/>
          <w:lang w:val="en-US"/>
        </w:rPr>
        <w:t>（主要负责人）</w:t>
      </w:r>
      <w:r>
        <w:rPr>
          <w:rFonts w:ascii="仿宋" w:hAnsi="仿宋" w:eastAsia="仿宋"/>
          <w:b w:val="0"/>
          <w:color w:val="auto"/>
          <w:kern w:val="2"/>
          <w:sz w:val="24"/>
          <w:szCs w:val="24"/>
          <w:lang w:val="en-US"/>
        </w:rPr>
        <w:t>或其授权代表签字并盖供应商公章</w:t>
      </w:r>
      <w:r>
        <w:rPr>
          <w:rFonts w:hint="eastAsia" w:ascii="仿宋" w:hAnsi="仿宋" w:eastAsia="仿宋"/>
          <w:b w:val="0"/>
          <w:color w:val="auto"/>
          <w:kern w:val="2"/>
          <w:sz w:val="24"/>
          <w:szCs w:val="24"/>
          <w:lang w:val="en-US"/>
        </w:rPr>
        <w:t>。</w:t>
      </w:r>
    </w:p>
    <w:p>
      <w:pPr>
        <w:numPr>
          <w:ilvl w:val="1"/>
          <w:numId w:val="32"/>
        </w:numPr>
        <w:tabs>
          <w:tab w:val="left" w:pos="0"/>
        </w:tabs>
        <w:spacing w:line="520" w:lineRule="exact"/>
        <w:ind w:left="0"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投标文件正本和副本应当采用胶装方式装订成册，不得散装或者合页装订。</w:t>
      </w:r>
    </w:p>
    <w:p>
      <w:pPr>
        <w:numPr>
          <w:ilvl w:val="1"/>
          <w:numId w:val="32"/>
        </w:numPr>
        <w:tabs>
          <w:tab w:val="left" w:pos="0"/>
        </w:tabs>
        <w:spacing w:line="520" w:lineRule="exact"/>
        <w:ind w:left="0"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投标文件应根据招标文件的要求制作，投标文件副本可采用正本的复印件。</w:t>
      </w:r>
    </w:p>
    <w:p>
      <w:pPr>
        <w:numPr>
          <w:ilvl w:val="1"/>
          <w:numId w:val="32"/>
        </w:numPr>
        <w:tabs>
          <w:tab w:val="left" w:pos="0"/>
        </w:tabs>
        <w:spacing w:line="520" w:lineRule="exact"/>
        <w:ind w:left="0"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开标一览表应按招标要求在要求签字或加盖印章的地方签字或加盖印章，要求加盖公章的地方加盖公章。开标一览表应为原件。唱标的开标一览表与投标文件中的开标一览表不一致的，以唱标的开标一览表为准。</w:t>
      </w:r>
    </w:p>
    <w:p>
      <w:pPr>
        <w:numPr>
          <w:ilvl w:val="1"/>
          <w:numId w:val="32"/>
        </w:numPr>
        <w:tabs>
          <w:tab w:val="left" w:pos="0"/>
        </w:tabs>
        <w:spacing w:line="520" w:lineRule="exact"/>
        <w:ind w:left="0"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电子文档一份为投标文件Word或WPS版本，一份为PDF版本。电子文档保存介质使用</w:t>
      </w:r>
      <w:r>
        <w:rPr>
          <w:rFonts w:ascii="仿宋" w:hAnsi="仿宋" w:eastAsia="仿宋"/>
          <w:color w:val="auto"/>
          <w:kern w:val="2"/>
          <w:sz w:val="24"/>
          <w:szCs w:val="24"/>
          <w:lang w:val="en-US"/>
        </w:rPr>
        <w:t>USB闪存盘（U盘）</w:t>
      </w:r>
      <w:r>
        <w:rPr>
          <w:rFonts w:ascii="仿宋" w:hAnsi="仿宋" w:eastAsia="仿宋"/>
          <w:b w:val="0"/>
          <w:color w:val="auto"/>
          <w:kern w:val="2"/>
          <w:sz w:val="24"/>
          <w:szCs w:val="24"/>
          <w:lang w:val="en-US"/>
        </w:rPr>
        <w:t>。PDF版的电子文档可以为按招标文件要求制作完成并加盖相应公章及签名的投标文件的扫描件；也可为加盖了相应电子签名或电子印章的投标文件电子文档。</w:t>
      </w:r>
    </w:p>
    <w:p>
      <w:pPr>
        <w:numPr>
          <w:ilvl w:val="1"/>
          <w:numId w:val="32"/>
        </w:numPr>
        <w:tabs>
          <w:tab w:val="left" w:pos="0"/>
        </w:tabs>
        <w:spacing w:line="520" w:lineRule="exact"/>
        <w:ind w:left="0"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若电子文档与书面投标文件有不一致的内容，以正本书面投标文件为准。</w:t>
      </w:r>
    </w:p>
    <w:p>
      <w:pPr>
        <w:keepNext/>
        <w:keepLines/>
        <w:numPr>
          <w:ilvl w:val="2"/>
          <w:numId w:val="17"/>
        </w:numPr>
        <w:tabs>
          <w:tab w:val="left" w:pos="360"/>
        </w:tabs>
        <w:spacing w:line="520" w:lineRule="exact"/>
        <w:ind w:left="0" w:firstLine="482"/>
        <w:outlineLvl w:val="2"/>
        <w:rPr>
          <w:rFonts w:ascii="仿宋" w:hAnsi="仿宋" w:eastAsia="仿宋"/>
          <w:bCs/>
          <w:color w:val="auto"/>
          <w:kern w:val="2"/>
          <w:sz w:val="24"/>
          <w:szCs w:val="24"/>
          <w:lang w:val="en-US"/>
        </w:rPr>
      </w:pPr>
      <w:bookmarkStart w:id="139" w:name="_Toc263768811"/>
      <w:bookmarkStart w:id="140" w:name="_Toc263753550"/>
      <w:bookmarkStart w:id="141" w:name="_Toc295978770"/>
      <w:bookmarkStart w:id="142" w:name="_Toc496605602"/>
      <w:bookmarkStart w:id="143" w:name="_Toc494198895"/>
      <w:bookmarkStart w:id="144" w:name="_Toc500492698"/>
      <w:r>
        <w:rPr>
          <w:rFonts w:ascii="仿宋" w:hAnsi="仿宋" w:eastAsia="仿宋"/>
          <w:bCs/>
          <w:color w:val="auto"/>
          <w:kern w:val="2"/>
          <w:sz w:val="24"/>
          <w:szCs w:val="24"/>
          <w:lang w:val="en-US"/>
        </w:rPr>
        <w:t>投标文件、开标一览表和电子文档的包装、密封和标</w:t>
      </w:r>
      <w:bookmarkEnd w:id="139"/>
      <w:bookmarkEnd w:id="140"/>
      <w:bookmarkEnd w:id="141"/>
      <w:r>
        <w:rPr>
          <w:rFonts w:ascii="仿宋" w:hAnsi="仿宋" w:eastAsia="仿宋"/>
          <w:bCs/>
          <w:color w:val="auto"/>
          <w:kern w:val="2"/>
          <w:sz w:val="24"/>
          <w:szCs w:val="24"/>
          <w:lang w:val="en-US"/>
        </w:rPr>
        <w:t>注</w:t>
      </w:r>
      <w:bookmarkEnd w:id="142"/>
      <w:bookmarkEnd w:id="143"/>
      <w:bookmarkEnd w:id="144"/>
      <w:r>
        <w:rPr>
          <w:rFonts w:ascii="仿宋" w:hAnsi="仿宋" w:eastAsia="仿宋"/>
          <w:bCs/>
          <w:color w:val="auto"/>
          <w:kern w:val="2"/>
          <w:sz w:val="24"/>
          <w:szCs w:val="24"/>
          <w:lang w:val="en-US"/>
        </w:rPr>
        <w:t>（不属于本项目评标委员会评审范畴，由采购人、采购代理机构在接收时及时处理）</w:t>
      </w:r>
    </w:p>
    <w:p>
      <w:pPr>
        <w:tabs>
          <w:tab w:val="left" w:pos="0"/>
        </w:tabs>
        <w:spacing w:line="520" w:lineRule="exact"/>
        <w:ind w:firstLine="482"/>
        <w:rPr>
          <w:rFonts w:ascii="仿宋" w:hAnsi="仿宋" w:eastAsia="仿宋"/>
          <w:color w:val="auto"/>
          <w:kern w:val="2"/>
          <w:sz w:val="24"/>
          <w:szCs w:val="24"/>
          <w:lang w:val="en-US"/>
        </w:rPr>
      </w:pPr>
      <w:r>
        <w:rPr>
          <w:rFonts w:ascii="仿宋" w:hAnsi="仿宋" w:eastAsia="仿宋"/>
          <w:color w:val="auto"/>
          <w:kern w:val="2"/>
          <w:sz w:val="24"/>
          <w:szCs w:val="24"/>
          <w:lang w:val="en-US"/>
        </w:rPr>
        <w:t>资格性投标文件、其他投标文件、开标一览表、电子文档未按照招标文件要求包装、密封和标注的，采购人、采购代理机构应当拒收。</w:t>
      </w:r>
    </w:p>
    <w:p>
      <w:pPr>
        <w:keepNext/>
        <w:keepLines/>
        <w:numPr>
          <w:ilvl w:val="3"/>
          <w:numId w:val="17"/>
        </w:numPr>
        <w:tabs>
          <w:tab w:val="left" w:pos="360"/>
        </w:tabs>
        <w:spacing w:line="520" w:lineRule="exact"/>
        <w:ind w:left="0" w:firstLine="482"/>
        <w:outlineLvl w:val="3"/>
        <w:rPr>
          <w:rFonts w:ascii="仿宋" w:hAnsi="仿宋" w:eastAsia="仿宋"/>
          <w:bCs/>
          <w:color w:val="auto"/>
          <w:kern w:val="2"/>
          <w:sz w:val="24"/>
          <w:szCs w:val="24"/>
          <w:lang w:val="en-US"/>
        </w:rPr>
      </w:pPr>
      <w:r>
        <w:rPr>
          <w:rFonts w:ascii="仿宋" w:hAnsi="仿宋" w:eastAsia="仿宋"/>
          <w:bCs/>
          <w:color w:val="auto"/>
          <w:kern w:val="2"/>
          <w:sz w:val="24"/>
          <w:szCs w:val="24"/>
          <w:lang w:val="en-US"/>
        </w:rPr>
        <w:t xml:space="preserve"> 投标文件正本、副本的包装和密封、标注</w:t>
      </w:r>
    </w:p>
    <w:p>
      <w:pPr>
        <w:numPr>
          <w:ilvl w:val="1"/>
          <w:numId w:val="33"/>
        </w:numPr>
        <w:tabs>
          <w:tab w:val="left" w:pos="0"/>
        </w:tabs>
        <w:spacing w:line="520" w:lineRule="exact"/>
        <w:ind w:left="0"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资格性投标文件和其他投标文件应分别密封包装。</w:t>
      </w:r>
    </w:p>
    <w:p>
      <w:pPr>
        <w:numPr>
          <w:ilvl w:val="1"/>
          <w:numId w:val="33"/>
        </w:numPr>
        <w:tabs>
          <w:tab w:val="left" w:pos="0"/>
        </w:tabs>
        <w:spacing w:line="520" w:lineRule="exact"/>
        <w:ind w:left="0"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每一个包装的最外层应标明采购项目名称、采购项目编号、“资格性投标文件”或“其他投标文件”、投标人名称，以及“开标时间之前不准启封” 或“20</w:t>
      </w:r>
      <w:r>
        <w:rPr>
          <w:rFonts w:ascii="仿宋" w:hAnsi="仿宋" w:eastAsia="仿宋"/>
          <w:b w:val="0"/>
          <w:color w:val="auto"/>
          <w:kern w:val="2"/>
          <w:sz w:val="24"/>
          <w:szCs w:val="24"/>
          <w:u w:val="single"/>
          <w:lang w:val="en-US"/>
        </w:rPr>
        <w:t xml:space="preserve">   </w:t>
      </w:r>
      <w:r>
        <w:rPr>
          <w:rFonts w:ascii="仿宋" w:hAnsi="仿宋" w:eastAsia="仿宋"/>
          <w:b w:val="0"/>
          <w:color w:val="auto"/>
          <w:kern w:val="2"/>
          <w:sz w:val="24"/>
          <w:szCs w:val="24"/>
          <w:lang w:val="en-US"/>
        </w:rPr>
        <w:t>年</w:t>
      </w:r>
      <w:r>
        <w:rPr>
          <w:rFonts w:ascii="仿宋" w:hAnsi="仿宋" w:eastAsia="仿宋"/>
          <w:b w:val="0"/>
          <w:color w:val="auto"/>
          <w:kern w:val="2"/>
          <w:sz w:val="24"/>
          <w:szCs w:val="24"/>
          <w:u w:val="single"/>
          <w:lang w:val="en-US"/>
        </w:rPr>
        <w:t xml:space="preserve">   </w:t>
      </w:r>
      <w:r>
        <w:rPr>
          <w:rFonts w:ascii="仿宋" w:hAnsi="仿宋" w:eastAsia="仿宋"/>
          <w:b w:val="0"/>
          <w:color w:val="auto"/>
          <w:kern w:val="2"/>
          <w:sz w:val="24"/>
          <w:szCs w:val="24"/>
          <w:lang w:val="en-US"/>
        </w:rPr>
        <w:t>月</w:t>
      </w:r>
      <w:r>
        <w:rPr>
          <w:rFonts w:ascii="仿宋" w:hAnsi="仿宋" w:eastAsia="仿宋"/>
          <w:b w:val="0"/>
          <w:color w:val="auto"/>
          <w:kern w:val="2"/>
          <w:sz w:val="24"/>
          <w:szCs w:val="24"/>
          <w:u w:val="single"/>
          <w:lang w:val="en-US"/>
        </w:rPr>
        <w:t xml:space="preserve">   </w:t>
      </w:r>
      <w:r>
        <w:rPr>
          <w:rFonts w:ascii="仿宋" w:hAnsi="仿宋" w:eastAsia="仿宋"/>
          <w:b w:val="0"/>
          <w:color w:val="auto"/>
          <w:kern w:val="2"/>
          <w:sz w:val="24"/>
          <w:szCs w:val="24"/>
          <w:lang w:val="en-US"/>
        </w:rPr>
        <w:t>日</w:t>
      </w:r>
      <w:r>
        <w:rPr>
          <w:rFonts w:ascii="仿宋" w:hAnsi="仿宋" w:eastAsia="仿宋"/>
          <w:b w:val="0"/>
          <w:color w:val="auto"/>
          <w:kern w:val="2"/>
          <w:sz w:val="24"/>
          <w:szCs w:val="24"/>
          <w:u w:val="single"/>
          <w:lang w:val="en-US"/>
        </w:rPr>
        <w:t xml:space="preserve">   </w:t>
      </w:r>
      <w:r>
        <w:rPr>
          <w:rFonts w:ascii="仿宋" w:hAnsi="仿宋" w:eastAsia="仿宋"/>
          <w:b w:val="0"/>
          <w:color w:val="auto"/>
          <w:kern w:val="2"/>
          <w:sz w:val="24"/>
          <w:szCs w:val="24"/>
          <w:lang w:val="en-US"/>
        </w:rPr>
        <w:t>:</w:t>
      </w:r>
      <w:r>
        <w:rPr>
          <w:rFonts w:ascii="仿宋" w:hAnsi="仿宋" w:eastAsia="仿宋"/>
          <w:b w:val="0"/>
          <w:color w:val="auto"/>
          <w:kern w:val="2"/>
          <w:sz w:val="24"/>
          <w:szCs w:val="24"/>
          <w:u w:val="single"/>
          <w:lang w:val="en-US"/>
        </w:rPr>
        <w:t xml:space="preserve">   </w:t>
      </w:r>
      <w:r>
        <w:rPr>
          <w:rFonts w:ascii="仿宋" w:hAnsi="仿宋" w:eastAsia="仿宋"/>
          <w:b w:val="0"/>
          <w:color w:val="auto"/>
          <w:kern w:val="2"/>
          <w:sz w:val="24"/>
          <w:szCs w:val="24"/>
          <w:lang w:val="en-US"/>
        </w:rPr>
        <w:t>前不准启封”的内容，并加盖投标人公章。</w:t>
      </w:r>
    </w:p>
    <w:p>
      <w:pPr>
        <w:keepNext/>
        <w:keepLines/>
        <w:numPr>
          <w:ilvl w:val="3"/>
          <w:numId w:val="17"/>
        </w:numPr>
        <w:tabs>
          <w:tab w:val="left" w:pos="360"/>
        </w:tabs>
        <w:spacing w:line="520" w:lineRule="exact"/>
        <w:ind w:left="0" w:firstLine="482"/>
        <w:outlineLvl w:val="3"/>
        <w:rPr>
          <w:rFonts w:ascii="仿宋" w:hAnsi="仿宋" w:eastAsia="仿宋"/>
          <w:bCs/>
          <w:color w:val="auto"/>
          <w:kern w:val="2"/>
          <w:sz w:val="24"/>
          <w:szCs w:val="24"/>
          <w:lang w:val="en-US"/>
        </w:rPr>
      </w:pPr>
      <w:r>
        <w:rPr>
          <w:rFonts w:ascii="仿宋" w:hAnsi="仿宋" w:eastAsia="仿宋"/>
          <w:bCs/>
          <w:color w:val="auto"/>
          <w:kern w:val="2"/>
          <w:sz w:val="24"/>
          <w:szCs w:val="24"/>
          <w:lang w:val="en-US"/>
        </w:rPr>
        <w:t>开标一览表的包装和密封、标注</w:t>
      </w:r>
    </w:p>
    <w:p>
      <w:pPr>
        <w:numPr>
          <w:ilvl w:val="1"/>
          <w:numId w:val="34"/>
        </w:numPr>
        <w:tabs>
          <w:tab w:val="left" w:pos="0"/>
        </w:tabs>
        <w:spacing w:line="520" w:lineRule="exact"/>
        <w:ind w:left="0"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为方便开标唱标，投标人应将开标一览表与投标文件分开单独包装，投标时，同时递交。</w:t>
      </w:r>
    </w:p>
    <w:p>
      <w:pPr>
        <w:numPr>
          <w:ilvl w:val="1"/>
          <w:numId w:val="34"/>
        </w:numPr>
        <w:tabs>
          <w:tab w:val="left" w:pos="0"/>
        </w:tabs>
        <w:spacing w:line="520" w:lineRule="exact"/>
        <w:ind w:left="0"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每一个包装的最外层应标明采购项目名称、采购项目编号、投标人名称，以及“开标时间之前不准启封” 或“20</w:t>
      </w:r>
      <w:r>
        <w:rPr>
          <w:rFonts w:ascii="仿宋" w:hAnsi="仿宋" w:eastAsia="仿宋"/>
          <w:b w:val="0"/>
          <w:color w:val="auto"/>
          <w:kern w:val="2"/>
          <w:sz w:val="24"/>
          <w:szCs w:val="24"/>
          <w:u w:val="single"/>
          <w:lang w:val="en-US"/>
        </w:rPr>
        <w:t xml:space="preserve">   </w:t>
      </w:r>
      <w:r>
        <w:rPr>
          <w:rFonts w:ascii="仿宋" w:hAnsi="仿宋" w:eastAsia="仿宋"/>
          <w:b w:val="0"/>
          <w:color w:val="auto"/>
          <w:kern w:val="2"/>
          <w:sz w:val="24"/>
          <w:szCs w:val="24"/>
          <w:lang w:val="en-US"/>
        </w:rPr>
        <w:t>年</w:t>
      </w:r>
      <w:r>
        <w:rPr>
          <w:rFonts w:ascii="仿宋" w:hAnsi="仿宋" w:eastAsia="仿宋"/>
          <w:b w:val="0"/>
          <w:color w:val="auto"/>
          <w:kern w:val="2"/>
          <w:sz w:val="24"/>
          <w:szCs w:val="24"/>
          <w:u w:val="single"/>
          <w:lang w:val="en-US"/>
        </w:rPr>
        <w:t xml:space="preserve">   </w:t>
      </w:r>
      <w:r>
        <w:rPr>
          <w:rFonts w:ascii="仿宋" w:hAnsi="仿宋" w:eastAsia="仿宋"/>
          <w:b w:val="0"/>
          <w:color w:val="auto"/>
          <w:kern w:val="2"/>
          <w:sz w:val="24"/>
          <w:szCs w:val="24"/>
          <w:lang w:val="en-US"/>
        </w:rPr>
        <w:t>月</w:t>
      </w:r>
      <w:r>
        <w:rPr>
          <w:rFonts w:ascii="仿宋" w:hAnsi="仿宋" w:eastAsia="仿宋"/>
          <w:b w:val="0"/>
          <w:color w:val="auto"/>
          <w:kern w:val="2"/>
          <w:sz w:val="24"/>
          <w:szCs w:val="24"/>
          <w:u w:val="single"/>
          <w:lang w:val="en-US"/>
        </w:rPr>
        <w:t xml:space="preserve">   </w:t>
      </w:r>
      <w:r>
        <w:rPr>
          <w:rFonts w:ascii="仿宋" w:hAnsi="仿宋" w:eastAsia="仿宋"/>
          <w:b w:val="0"/>
          <w:color w:val="auto"/>
          <w:kern w:val="2"/>
          <w:sz w:val="24"/>
          <w:szCs w:val="24"/>
          <w:lang w:val="en-US"/>
        </w:rPr>
        <w:t>日</w:t>
      </w:r>
      <w:r>
        <w:rPr>
          <w:rFonts w:ascii="仿宋" w:hAnsi="仿宋" w:eastAsia="仿宋"/>
          <w:b w:val="0"/>
          <w:color w:val="auto"/>
          <w:kern w:val="2"/>
          <w:sz w:val="24"/>
          <w:szCs w:val="24"/>
          <w:u w:val="single"/>
          <w:lang w:val="en-US"/>
        </w:rPr>
        <w:t xml:space="preserve">   </w:t>
      </w:r>
      <w:r>
        <w:rPr>
          <w:rFonts w:ascii="仿宋" w:hAnsi="仿宋" w:eastAsia="仿宋"/>
          <w:b w:val="0"/>
          <w:color w:val="auto"/>
          <w:kern w:val="2"/>
          <w:sz w:val="24"/>
          <w:szCs w:val="24"/>
          <w:lang w:val="en-US"/>
        </w:rPr>
        <w:t>:</w:t>
      </w:r>
      <w:r>
        <w:rPr>
          <w:rFonts w:ascii="仿宋" w:hAnsi="仿宋" w:eastAsia="仿宋"/>
          <w:b w:val="0"/>
          <w:color w:val="auto"/>
          <w:kern w:val="2"/>
          <w:sz w:val="24"/>
          <w:szCs w:val="24"/>
          <w:u w:val="single"/>
          <w:lang w:val="en-US"/>
        </w:rPr>
        <w:t xml:space="preserve">   </w:t>
      </w:r>
      <w:r>
        <w:rPr>
          <w:rFonts w:ascii="仿宋" w:hAnsi="仿宋" w:eastAsia="仿宋"/>
          <w:b w:val="0"/>
          <w:color w:val="auto"/>
          <w:kern w:val="2"/>
          <w:sz w:val="24"/>
          <w:szCs w:val="24"/>
          <w:lang w:val="en-US"/>
        </w:rPr>
        <w:t>前不准启封”的内容，并加盖投标人公章。</w:t>
      </w:r>
    </w:p>
    <w:p>
      <w:pPr>
        <w:keepNext/>
        <w:keepLines/>
        <w:numPr>
          <w:ilvl w:val="3"/>
          <w:numId w:val="17"/>
        </w:numPr>
        <w:tabs>
          <w:tab w:val="left" w:pos="360"/>
        </w:tabs>
        <w:spacing w:line="520" w:lineRule="exact"/>
        <w:ind w:left="0" w:firstLine="482"/>
        <w:outlineLvl w:val="3"/>
        <w:rPr>
          <w:rFonts w:ascii="仿宋" w:hAnsi="仿宋" w:eastAsia="仿宋"/>
          <w:bCs/>
          <w:color w:val="auto"/>
          <w:kern w:val="2"/>
          <w:sz w:val="24"/>
          <w:szCs w:val="24"/>
          <w:lang w:val="en-US"/>
        </w:rPr>
      </w:pPr>
      <w:r>
        <w:rPr>
          <w:rFonts w:ascii="仿宋" w:hAnsi="仿宋" w:eastAsia="仿宋"/>
          <w:bCs/>
          <w:color w:val="auto"/>
          <w:kern w:val="2"/>
          <w:sz w:val="24"/>
          <w:szCs w:val="24"/>
          <w:lang w:val="en-US"/>
        </w:rPr>
        <w:t>电子文档的包装和密封、标注</w:t>
      </w:r>
    </w:p>
    <w:p>
      <w:pPr>
        <w:tabs>
          <w:tab w:val="left" w:pos="0"/>
        </w:tabs>
        <w:spacing w:line="520" w:lineRule="exact"/>
        <w:ind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电子文档须单独密封包装，且包装最外层应清楚地标明采购项目名称、采购项目编号、投标人名称以及“电子文档”字样，加盖投标人公章。投标时，与投标文件一起同时递交。</w:t>
      </w:r>
    </w:p>
    <w:p>
      <w:pPr>
        <w:keepNext/>
        <w:keepLines/>
        <w:numPr>
          <w:ilvl w:val="2"/>
          <w:numId w:val="17"/>
        </w:numPr>
        <w:tabs>
          <w:tab w:val="left" w:pos="360"/>
        </w:tabs>
        <w:spacing w:line="520" w:lineRule="exact"/>
        <w:ind w:left="0" w:firstLine="482"/>
        <w:outlineLvl w:val="2"/>
        <w:rPr>
          <w:rFonts w:ascii="仿宋" w:hAnsi="仿宋" w:eastAsia="仿宋"/>
          <w:bCs/>
          <w:color w:val="auto"/>
          <w:kern w:val="2"/>
          <w:sz w:val="24"/>
          <w:szCs w:val="24"/>
          <w:lang w:val="en-US"/>
        </w:rPr>
      </w:pPr>
      <w:bookmarkStart w:id="145" w:name="_Toc263753551"/>
      <w:bookmarkStart w:id="146" w:name="_Toc295978771"/>
      <w:bookmarkStart w:id="147" w:name="_Toc494198896"/>
      <w:bookmarkStart w:id="148" w:name="_Toc496605603"/>
      <w:bookmarkStart w:id="149" w:name="_Toc500492699"/>
      <w:bookmarkStart w:id="150" w:name="_Toc263768812"/>
      <w:r>
        <w:rPr>
          <w:rFonts w:ascii="仿宋" w:hAnsi="仿宋" w:eastAsia="仿宋"/>
          <w:bCs/>
          <w:color w:val="auto"/>
          <w:kern w:val="2"/>
          <w:sz w:val="24"/>
          <w:szCs w:val="24"/>
          <w:lang w:val="en-US"/>
        </w:rPr>
        <w:t>投标文件的递交</w:t>
      </w:r>
      <w:bookmarkEnd w:id="145"/>
      <w:bookmarkEnd w:id="146"/>
      <w:bookmarkEnd w:id="147"/>
      <w:bookmarkEnd w:id="148"/>
      <w:bookmarkEnd w:id="149"/>
      <w:bookmarkEnd w:id="150"/>
    </w:p>
    <w:p>
      <w:pPr>
        <w:numPr>
          <w:ilvl w:val="1"/>
          <w:numId w:val="35"/>
        </w:numPr>
        <w:tabs>
          <w:tab w:val="left" w:pos="0"/>
        </w:tabs>
        <w:spacing w:line="520" w:lineRule="exact"/>
        <w:ind w:left="0"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投标文件递交的地点、开标地点、开标时间及递交投标文件的截止时间详见“第1章投标邀请”，投标人应在投标截止时间之前将投标文件送达开标地点。投标截止时间以后送达的投标文件将不予接收，采购人、采购代理机构将告知投标人不予接收的原因。</w:t>
      </w:r>
    </w:p>
    <w:p>
      <w:pPr>
        <w:numPr>
          <w:ilvl w:val="1"/>
          <w:numId w:val="35"/>
        </w:numPr>
        <w:tabs>
          <w:tab w:val="left" w:pos="0"/>
        </w:tabs>
        <w:spacing w:line="520" w:lineRule="exact"/>
        <w:ind w:left="0"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因招标文件的修改推迟投标截止日期的，按四川中志招标代理有限公司书面通知修改的时间递交。</w:t>
      </w:r>
    </w:p>
    <w:p>
      <w:pPr>
        <w:numPr>
          <w:ilvl w:val="1"/>
          <w:numId w:val="35"/>
        </w:numPr>
        <w:tabs>
          <w:tab w:val="left" w:pos="0"/>
        </w:tabs>
        <w:spacing w:line="520" w:lineRule="exact"/>
        <w:ind w:left="0"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递交投标文件时，报名投标人名称和招标文件的采购项目名称、采购项目编号与投标人名称和招标文件的采购项目名称、采购项目编号必须一致，</w:t>
      </w:r>
      <w:r>
        <w:rPr>
          <w:rFonts w:ascii="仿宋" w:hAnsi="仿宋" w:eastAsia="仿宋"/>
          <w:color w:val="auto"/>
          <w:kern w:val="2"/>
          <w:sz w:val="24"/>
          <w:szCs w:val="24"/>
          <w:lang w:val="en-US"/>
        </w:rPr>
        <w:t>否则采购人、采购代理机构应当拒收</w:t>
      </w:r>
      <w:r>
        <w:rPr>
          <w:rFonts w:ascii="仿宋" w:hAnsi="仿宋" w:eastAsia="仿宋"/>
          <w:b w:val="0"/>
          <w:color w:val="auto"/>
          <w:kern w:val="2"/>
          <w:sz w:val="24"/>
          <w:szCs w:val="24"/>
          <w:lang w:val="en-US"/>
        </w:rPr>
        <w:t>。</w:t>
      </w:r>
    </w:p>
    <w:p>
      <w:pPr>
        <w:numPr>
          <w:ilvl w:val="1"/>
          <w:numId w:val="35"/>
        </w:numPr>
        <w:tabs>
          <w:tab w:val="left" w:pos="0"/>
        </w:tabs>
        <w:spacing w:line="520" w:lineRule="exact"/>
        <w:ind w:left="0"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采购人、采购代理机构拒收邮寄的投标文件。</w:t>
      </w:r>
    </w:p>
    <w:p>
      <w:pPr>
        <w:keepNext/>
        <w:keepLines/>
        <w:numPr>
          <w:ilvl w:val="2"/>
          <w:numId w:val="17"/>
        </w:numPr>
        <w:tabs>
          <w:tab w:val="left" w:pos="360"/>
        </w:tabs>
        <w:spacing w:line="520" w:lineRule="exact"/>
        <w:ind w:left="0" w:firstLine="482"/>
        <w:outlineLvl w:val="2"/>
        <w:rPr>
          <w:rFonts w:ascii="仿宋" w:hAnsi="仿宋" w:eastAsia="仿宋"/>
          <w:bCs/>
          <w:color w:val="auto"/>
          <w:kern w:val="2"/>
          <w:sz w:val="24"/>
          <w:szCs w:val="24"/>
          <w:lang w:val="en-US"/>
        </w:rPr>
      </w:pPr>
      <w:bookmarkStart w:id="151" w:name="_Toc500492700"/>
      <w:bookmarkStart w:id="152" w:name="_Toc496605604"/>
      <w:bookmarkStart w:id="153" w:name="_Toc263768813"/>
      <w:bookmarkStart w:id="154" w:name="_Toc295978772"/>
      <w:bookmarkStart w:id="155" w:name="_Toc494198897"/>
      <w:bookmarkStart w:id="156" w:name="_Toc263753552"/>
      <w:r>
        <w:rPr>
          <w:rFonts w:ascii="仿宋" w:hAnsi="仿宋" w:eastAsia="仿宋"/>
          <w:bCs/>
          <w:color w:val="auto"/>
          <w:kern w:val="2"/>
          <w:sz w:val="24"/>
          <w:szCs w:val="24"/>
          <w:lang w:val="en-US"/>
        </w:rPr>
        <w:t>投标文件的修改和撤回</w:t>
      </w:r>
      <w:bookmarkEnd w:id="151"/>
      <w:bookmarkEnd w:id="152"/>
      <w:bookmarkEnd w:id="153"/>
      <w:bookmarkEnd w:id="154"/>
      <w:bookmarkEnd w:id="155"/>
      <w:bookmarkEnd w:id="156"/>
    </w:p>
    <w:p>
      <w:pPr>
        <w:numPr>
          <w:ilvl w:val="1"/>
          <w:numId w:val="36"/>
        </w:numPr>
        <w:tabs>
          <w:tab w:val="left" w:pos="0"/>
        </w:tabs>
        <w:spacing w:line="520" w:lineRule="exact"/>
        <w:ind w:left="0" w:firstLine="480"/>
        <w:rPr>
          <w:rFonts w:ascii="仿宋" w:hAnsi="仿宋" w:eastAsia="仿宋"/>
          <w:b w:val="0"/>
          <w:color w:val="auto"/>
          <w:kern w:val="2"/>
          <w:sz w:val="24"/>
          <w:szCs w:val="24"/>
          <w:lang w:val="en-US"/>
        </w:rPr>
      </w:pPr>
      <w:r>
        <w:rPr>
          <w:rFonts w:ascii="仿宋" w:hAnsi="仿宋" w:eastAsia="仿宋"/>
          <w:b w:val="0"/>
          <w:color w:val="auto"/>
          <w:sz w:val="24"/>
          <w:szCs w:val="24"/>
        </w:rPr>
        <w:t>投标人在投标截止时间前，可以对所递交的投标文件进行补充、修改或者撤回，并书面通知采购人或者采购代理机构。补充、修改的内容应当按照招标文件要求签署、盖章、密封后，作为投标文件的组成部分。</w:t>
      </w:r>
    </w:p>
    <w:p>
      <w:pPr>
        <w:numPr>
          <w:ilvl w:val="1"/>
          <w:numId w:val="36"/>
        </w:numPr>
        <w:tabs>
          <w:tab w:val="left" w:pos="0"/>
        </w:tabs>
        <w:spacing w:line="520" w:lineRule="exact"/>
        <w:ind w:left="0" w:firstLine="568" w:firstLineChars="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投标人修改或撤回的书面通知，应由其法定代表人</w:t>
      </w:r>
      <w:r>
        <w:rPr>
          <w:rFonts w:hint="eastAsia" w:ascii="仿宋" w:hAnsi="仿宋" w:eastAsia="仿宋"/>
          <w:b w:val="0"/>
          <w:color w:val="auto"/>
          <w:kern w:val="2"/>
          <w:sz w:val="24"/>
          <w:szCs w:val="24"/>
          <w:lang w:val="en-US"/>
        </w:rPr>
        <w:t>（主要负责人）</w:t>
      </w:r>
      <w:r>
        <w:rPr>
          <w:rFonts w:ascii="仿宋" w:hAnsi="仿宋" w:eastAsia="仿宋"/>
          <w:b w:val="0"/>
          <w:color w:val="auto"/>
          <w:kern w:val="2"/>
          <w:sz w:val="24"/>
          <w:szCs w:val="24"/>
          <w:lang w:val="en-US"/>
        </w:rPr>
        <w:t>或授权代理人签署并盖投标人公章。修改或撤回的书面通知应按第2.4.12.条、第2.4.13.条规定进行编制、密封、标注，并在每个包装的最外层标明“修改投标文件”或“撤回投标”字样。</w:t>
      </w:r>
    </w:p>
    <w:p>
      <w:pPr>
        <w:numPr>
          <w:ilvl w:val="1"/>
          <w:numId w:val="36"/>
        </w:numPr>
        <w:tabs>
          <w:tab w:val="left" w:pos="0"/>
        </w:tabs>
        <w:spacing w:line="520" w:lineRule="exact"/>
        <w:ind w:left="0"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在投标截止时间之后，投标人不得对其递交的投标文件做任何修改或撤回投标。</w:t>
      </w:r>
    </w:p>
    <w:p>
      <w:pPr>
        <w:keepNext/>
        <w:numPr>
          <w:ilvl w:val="1"/>
          <w:numId w:val="17"/>
        </w:numPr>
        <w:tabs>
          <w:tab w:val="left" w:pos="360"/>
        </w:tabs>
        <w:spacing w:line="520" w:lineRule="exact"/>
        <w:ind w:left="0" w:firstLine="482"/>
        <w:jc w:val="left"/>
        <w:outlineLvl w:val="1"/>
        <w:rPr>
          <w:rFonts w:ascii="仿宋" w:hAnsi="仿宋" w:eastAsia="仿宋"/>
          <w:bCs/>
          <w:color w:val="auto"/>
          <w:kern w:val="2"/>
          <w:sz w:val="24"/>
          <w:szCs w:val="24"/>
          <w:lang w:val="en-US"/>
        </w:rPr>
      </w:pPr>
      <w:bookmarkStart w:id="157" w:name="_Toc89075878"/>
      <w:bookmarkStart w:id="158" w:name="_Toc183682368"/>
      <w:bookmarkStart w:id="159" w:name="_Toc183582231"/>
      <w:bookmarkStart w:id="160" w:name="_Toc217446056"/>
      <w:bookmarkStart w:id="161" w:name="_Toc351016480"/>
      <w:bookmarkStart w:id="162" w:name="_Toc77400782"/>
      <w:r>
        <w:rPr>
          <w:rFonts w:ascii="仿宋" w:hAnsi="仿宋" w:eastAsia="仿宋"/>
          <w:bCs/>
          <w:color w:val="auto"/>
          <w:kern w:val="2"/>
          <w:sz w:val="24"/>
          <w:szCs w:val="24"/>
          <w:lang w:val="en-US"/>
        </w:rPr>
        <w:t xml:space="preserve"> </w:t>
      </w:r>
      <w:bookmarkStart w:id="163" w:name="_Toc36029472"/>
      <w:bookmarkStart w:id="164" w:name="_Toc40703441"/>
      <w:bookmarkStart w:id="165" w:name="_Toc494198591"/>
      <w:r>
        <w:rPr>
          <w:rFonts w:ascii="仿宋" w:hAnsi="仿宋" w:eastAsia="仿宋"/>
          <w:bCs/>
          <w:color w:val="auto"/>
          <w:kern w:val="2"/>
          <w:sz w:val="24"/>
          <w:szCs w:val="24"/>
          <w:lang w:val="en-US"/>
        </w:rPr>
        <w:t>开标、评标和中标</w:t>
      </w:r>
      <w:bookmarkEnd w:id="157"/>
      <w:bookmarkEnd w:id="158"/>
      <w:bookmarkEnd w:id="159"/>
      <w:bookmarkEnd w:id="160"/>
      <w:bookmarkEnd w:id="161"/>
      <w:bookmarkEnd w:id="162"/>
      <w:bookmarkEnd w:id="163"/>
      <w:bookmarkEnd w:id="164"/>
      <w:bookmarkEnd w:id="165"/>
    </w:p>
    <w:p>
      <w:pPr>
        <w:keepNext/>
        <w:keepLines/>
        <w:numPr>
          <w:ilvl w:val="2"/>
          <w:numId w:val="17"/>
        </w:numPr>
        <w:tabs>
          <w:tab w:val="left" w:pos="360"/>
        </w:tabs>
        <w:spacing w:line="520" w:lineRule="exact"/>
        <w:ind w:left="0" w:firstLine="482"/>
        <w:outlineLvl w:val="2"/>
        <w:rPr>
          <w:rFonts w:ascii="仿宋" w:hAnsi="仿宋" w:eastAsia="仿宋"/>
          <w:bCs/>
          <w:color w:val="auto"/>
          <w:kern w:val="2"/>
          <w:sz w:val="24"/>
          <w:szCs w:val="24"/>
          <w:lang w:val="en-US"/>
        </w:rPr>
      </w:pPr>
      <w:bookmarkStart w:id="166" w:name="_Toc500492702"/>
      <w:bookmarkStart w:id="167" w:name="_Toc183582232"/>
      <w:bookmarkStart w:id="168" w:name="_Toc217446057"/>
      <w:bookmarkStart w:id="169" w:name="_Toc494198899"/>
      <w:bookmarkStart w:id="170" w:name="_Toc496605606"/>
      <w:bookmarkStart w:id="171" w:name="_Toc183682369"/>
      <w:r>
        <w:rPr>
          <w:rFonts w:ascii="仿宋" w:hAnsi="仿宋" w:eastAsia="仿宋"/>
          <w:bCs/>
          <w:color w:val="auto"/>
          <w:kern w:val="2"/>
          <w:sz w:val="24"/>
          <w:szCs w:val="24"/>
          <w:lang w:val="en-US"/>
        </w:rPr>
        <w:t>开标</w:t>
      </w:r>
      <w:bookmarkEnd w:id="166"/>
      <w:bookmarkEnd w:id="167"/>
      <w:bookmarkEnd w:id="168"/>
      <w:bookmarkEnd w:id="169"/>
      <w:bookmarkEnd w:id="170"/>
      <w:bookmarkEnd w:id="171"/>
    </w:p>
    <w:p>
      <w:pPr>
        <w:numPr>
          <w:ilvl w:val="1"/>
          <w:numId w:val="37"/>
        </w:numPr>
        <w:tabs>
          <w:tab w:val="left" w:pos="0"/>
        </w:tabs>
        <w:spacing w:line="520" w:lineRule="exact"/>
        <w:ind w:left="0"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采购代理机构在招标文件规定的时间和地点组织公开开标，投标人法定代表或代理人参加并签到以证明其出席。</w:t>
      </w:r>
    </w:p>
    <w:p>
      <w:pPr>
        <w:numPr>
          <w:ilvl w:val="1"/>
          <w:numId w:val="37"/>
        </w:numPr>
        <w:tabs>
          <w:tab w:val="left" w:pos="0"/>
        </w:tabs>
        <w:spacing w:line="520" w:lineRule="exact"/>
        <w:ind w:left="0"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采购人或者采购代理机构收到投标文件后，应当如实记载投标文件的送达时间和密封情况，签收保存，并向投标人出具签收回执。任何单位和个人不得在开标前开启投标文件。</w:t>
      </w:r>
    </w:p>
    <w:p>
      <w:pPr>
        <w:numPr>
          <w:ilvl w:val="1"/>
          <w:numId w:val="37"/>
        </w:numPr>
        <w:tabs>
          <w:tab w:val="left" w:pos="0"/>
        </w:tabs>
        <w:spacing w:line="520" w:lineRule="exact"/>
        <w:ind w:left="0"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开标时，采购代理机构可以邀请有关人员参加。</w:t>
      </w:r>
    </w:p>
    <w:p>
      <w:pPr>
        <w:numPr>
          <w:ilvl w:val="1"/>
          <w:numId w:val="37"/>
        </w:numPr>
        <w:tabs>
          <w:tab w:val="left" w:pos="0"/>
        </w:tabs>
        <w:spacing w:line="520" w:lineRule="exact"/>
        <w:ind w:left="0"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开标时，由投标人代表自行检查其自己递交的投标文件的密封情况，经确认无误后，由工作人员将投标人单独递交的“开标一览表”当众拆封，并由唱标人员按照招标文件规定的内容进行宣读，并加以记录。</w:t>
      </w:r>
    </w:p>
    <w:p>
      <w:pPr>
        <w:numPr>
          <w:ilvl w:val="1"/>
          <w:numId w:val="37"/>
        </w:numPr>
        <w:tabs>
          <w:tab w:val="left" w:pos="0"/>
        </w:tabs>
        <w:spacing w:line="520" w:lineRule="exact"/>
        <w:ind w:left="0"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投标人代表确认投标文件情况，仅限于确认其自己递交的投标文件的密封情况，不得对其他投标人的投标文件的密封情况进行确认。</w:t>
      </w:r>
    </w:p>
    <w:p>
      <w:pPr>
        <w:numPr>
          <w:ilvl w:val="1"/>
          <w:numId w:val="37"/>
        </w:numPr>
        <w:tabs>
          <w:tab w:val="left" w:pos="0"/>
        </w:tabs>
        <w:spacing w:line="520" w:lineRule="exact"/>
        <w:ind w:left="0"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唱标完毕，如投标人代表对宣读的“开标一览表”上的内容有异议的，应在获得开标会主持人同意后当场提出。如确实属于唱标人员宣读错了的，经现场监督人员核实后，当场予以更正。</w:t>
      </w:r>
    </w:p>
    <w:p>
      <w:pPr>
        <w:numPr>
          <w:ilvl w:val="1"/>
          <w:numId w:val="37"/>
        </w:numPr>
        <w:tabs>
          <w:tab w:val="left" w:pos="0"/>
        </w:tabs>
        <w:spacing w:line="520" w:lineRule="exact"/>
        <w:ind w:left="0"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投标人未当场提出的，开标后质疑采购人或者采购代理机构不予受理。</w:t>
      </w:r>
    </w:p>
    <w:p>
      <w:pPr>
        <w:numPr>
          <w:ilvl w:val="1"/>
          <w:numId w:val="37"/>
        </w:numPr>
        <w:tabs>
          <w:tab w:val="left" w:pos="0"/>
        </w:tabs>
        <w:spacing w:line="520" w:lineRule="exact"/>
        <w:ind w:left="0"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无论何种原因，在开标时没有宣读的报价在评标时不予考虑，采购代理机构对此不承担任何责任。</w:t>
      </w:r>
    </w:p>
    <w:p>
      <w:pPr>
        <w:keepNext/>
        <w:keepLines/>
        <w:numPr>
          <w:ilvl w:val="2"/>
          <w:numId w:val="17"/>
        </w:numPr>
        <w:tabs>
          <w:tab w:val="left" w:pos="360"/>
        </w:tabs>
        <w:spacing w:line="520" w:lineRule="exact"/>
        <w:ind w:left="0" w:firstLine="482"/>
        <w:outlineLvl w:val="2"/>
        <w:rPr>
          <w:rFonts w:ascii="仿宋" w:hAnsi="仿宋" w:eastAsia="仿宋"/>
          <w:bCs/>
          <w:color w:val="auto"/>
          <w:kern w:val="2"/>
          <w:sz w:val="24"/>
          <w:szCs w:val="24"/>
          <w:lang w:val="en-US"/>
        </w:rPr>
      </w:pPr>
      <w:bookmarkStart w:id="172" w:name="_Toc496605607"/>
      <w:bookmarkStart w:id="173" w:name="_Toc494198900"/>
      <w:bookmarkStart w:id="174" w:name="_Toc500492703"/>
      <w:r>
        <w:rPr>
          <w:rFonts w:ascii="仿宋" w:hAnsi="仿宋" w:eastAsia="仿宋"/>
          <w:bCs/>
          <w:color w:val="auto"/>
          <w:kern w:val="2"/>
          <w:sz w:val="24"/>
          <w:szCs w:val="24"/>
          <w:lang w:val="en-US"/>
        </w:rPr>
        <w:t>开标程序</w:t>
      </w:r>
      <w:bookmarkEnd w:id="172"/>
      <w:bookmarkEnd w:id="173"/>
      <w:bookmarkEnd w:id="174"/>
    </w:p>
    <w:p>
      <w:pPr>
        <w:spacing w:line="520" w:lineRule="exact"/>
        <w:ind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开标会主持人按照招标文件规定的开标时间宣布开标，按照规定要求主持开标会。开标将按以下程序进行：</w:t>
      </w:r>
    </w:p>
    <w:p>
      <w:pPr>
        <w:numPr>
          <w:ilvl w:val="1"/>
          <w:numId w:val="38"/>
        </w:numPr>
        <w:tabs>
          <w:tab w:val="left" w:pos="0"/>
        </w:tabs>
        <w:spacing w:line="520" w:lineRule="exact"/>
        <w:ind w:left="0"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宣布开标会开始。开标时间到，主持人宣布开标会开始，当众宣布参加开标会的主持人、唱标、监标（督）人、会议记录等招标工作人员，宣布参加投标的投标人名单。</w:t>
      </w:r>
    </w:p>
    <w:p>
      <w:pPr>
        <w:numPr>
          <w:ilvl w:val="1"/>
          <w:numId w:val="38"/>
        </w:numPr>
        <w:tabs>
          <w:tab w:val="left" w:pos="0"/>
        </w:tabs>
        <w:spacing w:line="520" w:lineRule="exact"/>
        <w:ind w:left="0"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投标人代表对投标文件的密封情况进行检查并签字确认，主持人当众宣布检查投标文件的密封情况。</w:t>
      </w:r>
    </w:p>
    <w:p>
      <w:pPr>
        <w:numPr>
          <w:ilvl w:val="1"/>
          <w:numId w:val="38"/>
        </w:numPr>
        <w:tabs>
          <w:tab w:val="left" w:pos="0"/>
        </w:tabs>
        <w:spacing w:line="520" w:lineRule="exact"/>
        <w:ind w:left="0"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投标人不足3家的，不得开标。</w:t>
      </w:r>
    </w:p>
    <w:p>
      <w:pPr>
        <w:numPr>
          <w:ilvl w:val="1"/>
          <w:numId w:val="38"/>
        </w:numPr>
        <w:tabs>
          <w:tab w:val="left" w:pos="0"/>
        </w:tabs>
        <w:spacing w:line="520" w:lineRule="exact"/>
        <w:ind w:left="0"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开标唱标。主持人宣布唱标后，由招标工作人员按任意顺序对投标人的“开标一览表”当众进行拆封唱标，宣读投标人名称、投标报价，以及采购人认为合适的其他内容并加以记录。唱标时仅宣读投标报价，分项报价内容可以宣读或投影展示。唱标人员在唱标过程中，如遇有字迹不清楚或有明显错误的（未签字或加盖印章，未盖章，未报价除外），应即刻报告主持人，经现场核实后，主持人立即请投标人代表现场进行澄清或确认，但不得实质性修改报价。唱标完毕后投标人代表需现场对开标记录进行签字确认，投标人代表对唱标内容有异议的，可以当场提出，并要求会议记录人在开标记录中予以记录，不签字又不提出异议的，视同认可唱标内容和结果，且不得干扰、阻挠开（唱）标、评标工作。</w:t>
      </w:r>
    </w:p>
    <w:p>
      <w:pPr>
        <w:numPr>
          <w:ilvl w:val="1"/>
          <w:numId w:val="38"/>
        </w:numPr>
        <w:tabs>
          <w:tab w:val="left" w:pos="0"/>
        </w:tabs>
        <w:spacing w:line="520" w:lineRule="exact"/>
        <w:ind w:left="0"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宣布开标会结束。主持人宣布开标会结束后，所有投标人代表应立即退场（招标文件要求投标人演示、介绍等的除外）。同时所有投标人应保持通讯畅通，以方便在评标过程中评标委员会要求投标人对投标文件的必要澄清、说明和纠正。评标结果请投标人在四川政府采购网上查询。</w:t>
      </w:r>
    </w:p>
    <w:p>
      <w:pPr>
        <w:keepNext/>
        <w:keepLines/>
        <w:numPr>
          <w:ilvl w:val="2"/>
          <w:numId w:val="17"/>
        </w:numPr>
        <w:tabs>
          <w:tab w:val="left" w:pos="360"/>
        </w:tabs>
        <w:spacing w:line="520" w:lineRule="exact"/>
        <w:ind w:left="0" w:firstLine="482"/>
        <w:outlineLvl w:val="2"/>
        <w:rPr>
          <w:rFonts w:ascii="仿宋" w:hAnsi="仿宋" w:eastAsia="仿宋"/>
          <w:bCs/>
          <w:color w:val="auto"/>
          <w:kern w:val="2"/>
          <w:sz w:val="24"/>
          <w:szCs w:val="24"/>
          <w:lang w:val="en-US"/>
        </w:rPr>
      </w:pPr>
      <w:bookmarkStart w:id="175" w:name="_Toc500492704"/>
      <w:bookmarkStart w:id="176" w:name="_Toc496605608"/>
      <w:bookmarkStart w:id="177" w:name="_Toc494198901"/>
      <w:r>
        <w:rPr>
          <w:rFonts w:ascii="仿宋" w:hAnsi="仿宋" w:eastAsia="仿宋"/>
          <w:bCs/>
          <w:color w:val="auto"/>
          <w:kern w:val="2"/>
          <w:sz w:val="24"/>
          <w:szCs w:val="24"/>
          <w:lang w:val="en-US"/>
        </w:rPr>
        <w:t>评标</w:t>
      </w:r>
      <w:r>
        <w:rPr>
          <w:rFonts w:hint="eastAsia" w:ascii="仿宋" w:hAnsi="仿宋" w:eastAsia="仿宋"/>
          <w:bCs/>
          <w:color w:val="auto"/>
          <w:kern w:val="2"/>
          <w:sz w:val="24"/>
          <w:szCs w:val="24"/>
          <w:lang w:val="en-US"/>
        </w:rPr>
        <w:t>（详见招标文件 第</w:t>
      </w:r>
      <w:r>
        <w:rPr>
          <w:rFonts w:ascii="仿宋" w:hAnsi="仿宋" w:eastAsia="仿宋"/>
          <w:bCs/>
          <w:color w:val="auto"/>
          <w:kern w:val="2"/>
          <w:sz w:val="24"/>
          <w:szCs w:val="24"/>
          <w:lang w:val="en-US"/>
        </w:rPr>
        <w:t>7章</w:t>
      </w:r>
      <w:r>
        <w:rPr>
          <w:rFonts w:hint="eastAsia" w:ascii="仿宋" w:hAnsi="仿宋" w:eastAsia="仿宋"/>
          <w:bCs/>
          <w:color w:val="auto"/>
          <w:kern w:val="2"/>
          <w:sz w:val="24"/>
          <w:szCs w:val="24"/>
          <w:lang w:val="en-US"/>
        </w:rPr>
        <w:t>）</w:t>
      </w:r>
      <w:bookmarkEnd w:id="175"/>
      <w:bookmarkEnd w:id="176"/>
      <w:bookmarkEnd w:id="177"/>
    </w:p>
    <w:p>
      <w:pPr>
        <w:keepNext/>
        <w:keepLines/>
        <w:numPr>
          <w:ilvl w:val="2"/>
          <w:numId w:val="17"/>
        </w:numPr>
        <w:tabs>
          <w:tab w:val="left" w:pos="360"/>
        </w:tabs>
        <w:spacing w:line="520" w:lineRule="exact"/>
        <w:ind w:left="0" w:firstLine="482"/>
        <w:outlineLvl w:val="2"/>
        <w:rPr>
          <w:rFonts w:ascii="仿宋" w:hAnsi="仿宋" w:eastAsia="仿宋"/>
          <w:bCs/>
          <w:color w:val="auto"/>
          <w:kern w:val="2"/>
          <w:sz w:val="24"/>
          <w:szCs w:val="24"/>
          <w:lang w:val="en-US"/>
        </w:rPr>
      </w:pPr>
      <w:bookmarkStart w:id="178" w:name="_Toc494198902"/>
      <w:bookmarkStart w:id="179" w:name="_Toc496605609"/>
      <w:bookmarkStart w:id="180" w:name="_Toc500492705"/>
      <w:r>
        <w:rPr>
          <w:rFonts w:ascii="仿宋" w:hAnsi="仿宋" w:eastAsia="仿宋"/>
          <w:bCs/>
          <w:color w:val="auto"/>
          <w:kern w:val="2"/>
          <w:sz w:val="24"/>
          <w:szCs w:val="24"/>
          <w:lang w:val="en-US"/>
        </w:rPr>
        <w:t>关于行贿犯罪档案查询</w:t>
      </w:r>
      <w:bookmarkEnd w:id="178"/>
      <w:bookmarkEnd w:id="179"/>
      <w:bookmarkEnd w:id="180"/>
    </w:p>
    <w:p>
      <w:pPr>
        <w:numPr>
          <w:ilvl w:val="1"/>
          <w:numId w:val="39"/>
        </w:numPr>
        <w:tabs>
          <w:tab w:val="left" w:pos="0"/>
        </w:tabs>
        <w:spacing w:line="520" w:lineRule="exact"/>
        <w:ind w:left="0" w:firstLine="480"/>
        <w:rPr>
          <w:rFonts w:ascii="仿宋" w:hAnsi="仿宋" w:eastAsia="仿宋"/>
          <w:b w:val="0"/>
          <w:color w:val="auto"/>
          <w:kern w:val="2"/>
          <w:sz w:val="24"/>
          <w:szCs w:val="24"/>
          <w:lang w:val="en-US"/>
        </w:rPr>
      </w:pPr>
      <w:r>
        <w:rPr>
          <w:rFonts w:ascii="仿宋" w:hAnsi="仿宋" w:eastAsia="仿宋"/>
          <w:b w:val="0"/>
          <w:color w:val="000000"/>
          <w:sz w:val="24"/>
          <w:szCs w:val="24"/>
        </w:rPr>
        <w:t>供应商单位及其现任法定代表人、主要负责人不得具有行贿犯罪记录，否则供应商投标文件应当认定为无效。[供应商承诺单位及其现任法定代表人、主要负责人不存在行贿犯罪记录或者可以通过“中国裁判文书网”自行查询供应商及其现任法定代表人、主要负责人的行贿犯罪记录，提供查询网页截图（现任法定代表人、主要负责人为同一人的需进行情况说明）]。</w:t>
      </w:r>
    </w:p>
    <w:p>
      <w:pPr>
        <w:numPr>
          <w:ilvl w:val="1"/>
          <w:numId w:val="39"/>
        </w:numPr>
        <w:tabs>
          <w:tab w:val="left" w:pos="0"/>
        </w:tabs>
        <w:spacing w:line="520" w:lineRule="exact"/>
        <w:ind w:left="0" w:firstLine="480"/>
        <w:rPr>
          <w:rFonts w:ascii="仿宋" w:hAnsi="仿宋" w:eastAsia="仿宋"/>
          <w:b w:val="0"/>
          <w:color w:val="auto"/>
          <w:kern w:val="2"/>
          <w:sz w:val="24"/>
          <w:szCs w:val="24"/>
          <w:lang w:val="en-US"/>
        </w:rPr>
      </w:pPr>
      <w:bookmarkStart w:id="181" w:name="_Toc477423531"/>
      <w:bookmarkStart w:id="182" w:name="_Toc477425539"/>
      <w:bookmarkStart w:id="183" w:name="_Toc482094332"/>
      <w:bookmarkStart w:id="184" w:name="_Toc477358989"/>
      <w:r>
        <w:rPr>
          <w:rFonts w:ascii="仿宋" w:hAnsi="仿宋" w:eastAsia="仿宋"/>
          <w:b w:val="0"/>
          <w:color w:val="auto"/>
          <w:kern w:val="2"/>
          <w:sz w:val="24"/>
          <w:szCs w:val="24"/>
          <w:lang w:val="en-US"/>
        </w:rPr>
        <w:t>若存在行贿犯罪记录的，中标后未签订政府采购合同的，应当认定中标无效；中标后签订政府采购合同未履行的，应当认定中标无效，同时撤销政府采购合同；中标后签订政府采购合同且已经履行的，应当认定采购活动违法，由相关当事人承担赔偿责任。</w:t>
      </w:r>
      <w:bookmarkEnd w:id="181"/>
      <w:bookmarkEnd w:id="182"/>
      <w:bookmarkEnd w:id="183"/>
      <w:bookmarkEnd w:id="184"/>
    </w:p>
    <w:p>
      <w:pPr>
        <w:keepNext/>
        <w:keepLines/>
        <w:numPr>
          <w:ilvl w:val="2"/>
          <w:numId w:val="17"/>
        </w:numPr>
        <w:tabs>
          <w:tab w:val="left" w:pos="360"/>
        </w:tabs>
        <w:spacing w:line="520" w:lineRule="exact"/>
        <w:ind w:left="0" w:firstLine="482"/>
        <w:outlineLvl w:val="2"/>
        <w:rPr>
          <w:rFonts w:ascii="仿宋" w:hAnsi="仿宋" w:eastAsia="仿宋"/>
          <w:bCs/>
          <w:color w:val="auto"/>
          <w:kern w:val="2"/>
          <w:sz w:val="24"/>
          <w:szCs w:val="24"/>
          <w:lang w:val="en-US"/>
        </w:rPr>
      </w:pPr>
      <w:bookmarkStart w:id="185" w:name="_Toc496605610"/>
      <w:bookmarkStart w:id="186" w:name="_Toc500492706"/>
      <w:bookmarkStart w:id="187" w:name="_Toc494198903"/>
      <w:r>
        <w:rPr>
          <w:rFonts w:ascii="仿宋" w:hAnsi="仿宋" w:eastAsia="仿宋"/>
          <w:bCs/>
          <w:color w:val="auto"/>
          <w:kern w:val="2"/>
          <w:sz w:val="24"/>
          <w:szCs w:val="24"/>
          <w:lang w:val="en-US"/>
        </w:rPr>
        <w:t>中标结果公告</w:t>
      </w:r>
      <w:bookmarkEnd w:id="185"/>
      <w:bookmarkEnd w:id="186"/>
      <w:bookmarkEnd w:id="187"/>
    </w:p>
    <w:p>
      <w:pPr>
        <w:numPr>
          <w:ilvl w:val="1"/>
          <w:numId w:val="40"/>
        </w:numPr>
        <w:tabs>
          <w:tab w:val="left" w:pos="0"/>
        </w:tabs>
        <w:spacing w:line="520" w:lineRule="exact"/>
        <w:ind w:left="0"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采购人或者采购代理机构应当自中标人确定之日起2个工作日内，在四川政府采购网上公告中标结果，招标文件应当随中标结果同时公告。</w:t>
      </w:r>
    </w:p>
    <w:p>
      <w:pPr>
        <w:numPr>
          <w:ilvl w:val="1"/>
          <w:numId w:val="40"/>
        </w:numPr>
        <w:tabs>
          <w:tab w:val="left" w:pos="0"/>
        </w:tabs>
        <w:spacing w:line="520" w:lineRule="exact"/>
        <w:ind w:left="0"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中标结果公告内容应当包括采购人及其委托的采购代理机构的名称、地址、联系方式，项目名称和项目编号，中标人名称、地址和中标金额，主要中标标的的名称、规格型号、数量、单价、服务要求，中标公告期限，评审专家名单以及所有供应商投标文件资格、符合性检查情况、采用综合评分法时的总得分和分项汇总得分情况、评标结果等。</w:t>
      </w:r>
    </w:p>
    <w:p>
      <w:pPr>
        <w:numPr>
          <w:ilvl w:val="1"/>
          <w:numId w:val="40"/>
        </w:numPr>
        <w:tabs>
          <w:tab w:val="left" w:pos="0"/>
        </w:tabs>
        <w:spacing w:line="520" w:lineRule="exact"/>
        <w:ind w:left="0"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在公告中标结果的同时，采购人或者采购代理机构应当向中标人发出中标通知书；对未通过资格审查的投标人，应当告知其未通过的原因；采用综合评分法评审的，还应当告知未中标人本人的评审得分与排序。</w:t>
      </w:r>
    </w:p>
    <w:p>
      <w:pPr>
        <w:numPr>
          <w:ilvl w:val="1"/>
          <w:numId w:val="40"/>
        </w:numPr>
        <w:tabs>
          <w:tab w:val="left" w:pos="0"/>
        </w:tabs>
        <w:spacing w:line="520" w:lineRule="exact"/>
        <w:ind w:left="0"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中标公告期限自发布公告之日起1个工作日。</w:t>
      </w:r>
    </w:p>
    <w:p>
      <w:pPr>
        <w:keepNext/>
        <w:keepLines/>
        <w:numPr>
          <w:ilvl w:val="2"/>
          <w:numId w:val="17"/>
        </w:numPr>
        <w:tabs>
          <w:tab w:val="left" w:pos="360"/>
        </w:tabs>
        <w:spacing w:line="520" w:lineRule="exact"/>
        <w:ind w:left="0" w:firstLine="482"/>
        <w:outlineLvl w:val="2"/>
        <w:rPr>
          <w:rFonts w:ascii="仿宋" w:hAnsi="仿宋" w:eastAsia="仿宋"/>
          <w:bCs/>
          <w:color w:val="auto"/>
          <w:kern w:val="2"/>
          <w:sz w:val="24"/>
          <w:szCs w:val="24"/>
          <w:lang w:val="en-US"/>
        </w:rPr>
      </w:pPr>
      <w:bookmarkStart w:id="188" w:name="_Toc183582238"/>
      <w:bookmarkStart w:id="189" w:name="_Toc183682375"/>
      <w:bookmarkStart w:id="190" w:name="_Toc494198904"/>
      <w:bookmarkStart w:id="191" w:name="_Toc496605611"/>
      <w:bookmarkStart w:id="192" w:name="_Toc217446063"/>
      <w:bookmarkStart w:id="193" w:name="_Toc500492707"/>
      <w:r>
        <w:rPr>
          <w:rFonts w:ascii="仿宋" w:hAnsi="仿宋" w:eastAsia="仿宋"/>
          <w:bCs/>
          <w:color w:val="auto"/>
          <w:kern w:val="2"/>
          <w:sz w:val="24"/>
          <w:szCs w:val="24"/>
          <w:lang w:val="en-US"/>
        </w:rPr>
        <w:t>中标通知</w:t>
      </w:r>
      <w:bookmarkEnd w:id="188"/>
      <w:bookmarkEnd w:id="189"/>
      <w:r>
        <w:rPr>
          <w:rFonts w:ascii="仿宋" w:hAnsi="仿宋" w:eastAsia="仿宋"/>
          <w:bCs/>
          <w:color w:val="auto"/>
          <w:kern w:val="2"/>
          <w:sz w:val="24"/>
          <w:szCs w:val="24"/>
          <w:lang w:val="en-US"/>
        </w:rPr>
        <w:t>书</w:t>
      </w:r>
      <w:bookmarkEnd w:id="190"/>
      <w:bookmarkEnd w:id="191"/>
      <w:bookmarkEnd w:id="192"/>
      <w:bookmarkEnd w:id="193"/>
    </w:p>
    <w:p>
      <w:pPr>
        <w:numPr>
          <w:ilvl w:val="1"/>
          <w:numId w:val="41"/>
        </w:numPr>
        <w:tabs>
          <w:tab w:val="left" w:pos="0"/>
        </w:tabs>
        <w:spacing w:line="520" w:lineRule="exact"/>
        <w:ind w:left="0"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中标通知书为签订政府采购合同的依据，是合同的有效组成部分。</w:t>
      </w:r>
    </w:p>
    <w:p>
      <w:pPr>
        <w:numPr>
          <w:ilvl w:val="1"/>
          <w:numId w:val="41"/>
        </w:numPr>
        <w:tabs>
          <w:tab w:val="left" w:pos="0"/>
        </w:tabs>
        <w:spacing w:line="520" w:lineRule="exact"/>
        <w:ind w:left="0"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投标人中标后，拒绝领取中标通知书的，采购代理机构将采取邮寄、快递方式按照投标人投标文件中的地址发出中标通知书，同时，中标通知书邮寄、快递发出之日起即视中标人已领取中标通知书。</w:t>
      </w:r>
    </w:p>
    <w:p>
      <w:pPr>
        <w:numPr>
          <w:ilvl w:val="1"/>
          <w:numId w:val="41"/>
        </w:numPr>
        <w:tabs>
          <w:tab w:val="left" w:pos="0"/>
        </w:tabs>
        <w:spacing w:line="520" w:lineRule="exact"/>
        <w:ind w:left="0"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中标通知书发出后，采购人不得违法改变中标结果，中标人无正当理由不得放弃中标。</w:t>
      </w:r>
    </w:p>
    <w:p>
      <w:pPr>
        <w:numPr>
          <w:ilvl w:val="1"/>
          <w:numId w:val="41"/>
        </w:numPr>
        <w:tabs>
          <w:tab w:val="left" w:pos="0"/>
        </w:tabs>
        <w:spacing w:line="520" w:lineRule="exact"/>
        <w:ind w:left="0"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中标通知书对采购人和中标人均具有法律效力。中标通知书发出后，采购人改变中标结果，或者中标人无正当理由放弃中标的，应当承担相应的法律责任。</w:t>
      </w:r>
    </w:p>
    <w:p>
      <w:pPr>
        <w:numPr>
          <w:ilvl w:val="1"/>
          <w:numId w:val="41"/>
        </w:numPr>
        <w:tabs>
          <w:tab w:val="left" w:pos="0"/>
        </w:tabs>
        <w:spacing w:line="520" w:lineRule="exact"/>
        <w:ind w:left="0"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中标人的投标文件本应作为无效投标处理或者有政府采购法律法规规章制度规定的中标无效情形的，四川中志招标代理有限公司在取得有权主体的认定以后，应当宣布发出的中标通知书无效，并收回发出的中标通知书（中标人也应当缴回），依法重新确定中标人或者重新开展采购活动。</w:t>
      </w:r>
    </w:p>
    <w:p>
      <w:pPr>
        <w:keepNext/>
        <w:keepLines/>
        <w:numPr>
          <w:ilvl w:val="2"/>
          <w:numId w:val="17"/>
        </w:numPr>
        <w:tabs>
          <w:tab w:val="left" w:pos="360"/>
        </w:tabs>
        <w:spacing w:line="520" w:lineRule="exact"/>
        <w:ind w:left="0" w:firstLine="482"/>
        <w:outlineLvl w:val="2"/>
        <w:rPr>
          <w:rFonts w:ascii="仿宋" w:hAnsi="仿宋" w:eastAsia="仿宋"/>
          <w:bCs/>
          <w:color w:val="auto"/>
          <w:kern w:val="2"/>
          <w:sz w:val="24"/>
          <w:szCs w:val="24"/>
          <w:lang w:val="en-US"/>
        </w:rPr>
      </w:pPr>
      <w:r>
        <w:rPr>
          <w:rFonts w:ascii="仿宋" w:hAnsi="仿宋" w:eastAsia="仿宋"/>
          <w:bCs/>
          <w:color w:val="auto"/>
          <w:kern w:val="2"/>
          <w:sz w:val="24"/>
          <w:szCs w:val="24"/>
          <w:lang w:val="en-US"/>
        </w:rPr>
        <w:t xml:space="preserve"> </w:t>
      </w:r>
      <w:bookmarkStart w:id="194" w:name="_Toc500492708"/>
      <w:bookmarkStart w:id="195" w:name="_Toc494198905"/>
      <w:bookmarkStart w:id="196" w:name="_Toc496605612"/>
      <w:r>
        <w:rPr>
          <w:rFonts w:ascii="仿宋" w:hAnsi="仿宋" w:eastAsia="仿宋"/>
          <w:bCs/>
          <w:color w:val="auto"/>
          <w:kern w:val="2"/>
          <w:sz w:val="24"/>
          <w:szCs w:val="24"/>
          <w:lang w:val="en-US"/>
        </w:rPr>
        <w:t>招标代理服务费</w:t>
      </w:r>
      <w:bookmarkEnd w:id="194"/>
      <w:bookmarkEnd w:id="195"/>
      <w:bookmarkEnd w:id="196"/>
    </w:p>
    <w:p>
      <w:pPr>
        <w:tabs>
          <w:tab w:val="left" w:pos="1620"/>
        </w:tabs>
        <w:spacing w:line="520" w:lineRule="exact"/>
        <w:ind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详见投标人须知前附表。</w:t>
      </w:r>
    </w:p>
    <w:p>
      <w:pPr>
        <w:keepNext/>
        <w:numPr>
          <w:ilvl w:val="1"/>
          <w:numId w:val="17"/>
        </w:numPr>
        <w:tabs>
          <w:tab w:val="left" w:pos="360"/>
        </w:tabs>
        <w:spacing w:line="520" w:lineRule="exact"/>
        <w:ind w:left="0" w:firstLine="482"/>
        <w:jc w:val="left"/>
        <w:outlineLvl w:val="1"/>
        <w:rPr>
          <w:rFonts w:ascii="仿宋" w:hAnsi="仿宋" w:eastAsia="仿宋"/>
          <w:bCs/>
          <w:color w:val="auto"/>
          <w:kern w:val="2"/>
          <w:sz w:val="24"/>
          <w:szCs w:val="24"/>
          <w:lang w:val="en-US"/>
        </w:rPr>
      </w:pPr>
      <w:bookmarkStart w:id="197" w:name="_Toc217446064"/>
      <w:bookmarkStart w:id="198" w:name="_Toc351016481"/>
      <w:bookmarkStart w:id="199" w:name="_Toc183582240"/>
      <w:bookmarkStart w:id="200" w:name="_Toc183682377"/>
      <w:r>
        <w:rPr>
          <w:rFonts w:ascii="仿宋" w:hAnsi="仿宋" w:eastAsia="仿宋"/>
          <w:bCs/>
          <w:color w:val="auto"/>
          <w:kern w:val="2"/>
          <w:sz w:val="24"/>
          <w:szCs w:val="24"/>
          <w:lang w:val="en-US"/>
        </w:rPr>
        <w:t xml:space="preserve"> </w:t>
      </w:r>
      <w:bookmarkStart w:id="201" w:name="_Toc494198592"/>
      <w:bookmarkStart w:id="202" w:name="_Toc36029473"/>
      <w:bookmarkStart w:id="203" w:name="_Toc40703442"/>
      <w:r>
        <w:rPr>
          <w:rFonts w:ascii="仿宋" w:hAnsi="仿宋" w:eastAsia="仿宋"/>
          <w:bCs/>
          <w:color w:val="auto"/>
          <w:kern w:val="2"/>
          <w:sz w:val="24"/>
          <w:szCs w:val="24"/>
          <w:lang w:val="en-US"/>
        </w:rPr>
        <w:t>签订及履行合同</w:t>
      </w:r>
      <w:bookmarkEnd w:id="197"/>
      <w:bookmarkEnd w:id="198"/>
      <w:bookmarkEnd w:id="201"/>
      <w:bookmarkEnd w:id="202"/>
      <w:bookmarkEnd w:id="203"/>
    </w:p>
    <w:p>
      <w:pPr>
        <w:keepNext/>
        <w:keepLines/>
        <w:numPr>
          <w:ilvl w:val="2"/>
          <w:numId w:val="17"/>
        </w:numPr>
        <w:tabs>
          <w:tab w:val="left" w:pos="360"/>
        </w:tabs>
        <w:spacing w:line="520" w:lineRule="exact"/>
        <w:ind w:left="0" w:firstLine="482"/>
        <w:outlineLvl w:val="2"/>
        <w:rPr>
          <w:rFonts w:ascii="仿宋" w:hAnsi="仿宋" w:eastAsia="仿宋"/>
          <w:bCs/>
          <w:color w:val="auto"/>
          <w:kern w:val="2"/>
          <w:sz w:val="24"/>
          <w:szCs w:val="24"/>
          <w:lang w:val="en-US"/>
        </w:rPr>
      </w:pPr>
      <w:bookmarkStart w:id="204" w:name="_Toc494198907"/>
      <w:bookmarkStart w:id="205" w:name="_Toc217446065"/>
      <w:bookmarkStart w:id="206" w:name="_Toc500492710"/>
      <w:bookmarkStart w:id="207" w:name="_Toc496605614"/>
      <w:r>
        <w:rPr>
          <w:rFonts w:ascii="仿宋" w:hAnsi="仿宋" w:eastAsia="仿宋"/>
          <w:bCs/>
          <w:color w:val="auto"/>
          <w:kern w:val="2"/>
          <w:sz w:val="24"/>
          <w:szCs w:val="24"/>
          <w:lang w:val="en-US"/>
        </w:rPr>
        <w:t>签订合同</w:t>
      </w:r>
      <w:bookmarkEnd w:id="204"/>
      <w:bookmarkEnd w:id="205"/>
      <w:bookmarkEnd w:id="206"/>
      <w:bookmarkEnd w:id="207"/>
    </w:p>
    <w:p>
      <w:pPr>
        <w:numPr>
          <w:ilvl w:val="1"/>
          <w:numId w:val="42"/>
        </w:numPr>
        <w:tabs>
          <w:tab w:val="left" w:pos="0"/>
        </w:tabs>
        <w:spacing w:line="520" w:lineRule="exact"/>
        <w:ind w:left="0"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采购人应当自中标通知书发出之日起30日内，按照招标文件和中标人投标文件的规定，与中标人签订书面合同。所签订的合同不得对招标文件确定的事项和中标人投标文件作实质性修改。</w:t>
      </w:r>
    </w:p>
    <w:p>
      <w:pPr>
        <w:numPr>
          <w:ilvl w:val="1"/>
          <w:numId w:val="42"/>
        </w:numPr>
        <w:tabs>
          <w:tab w:val="left" w:pos="0"/>
        </w:tabs>
        <w:spacing w:line="520" w:lineRule="exact"/>
        <w:ind w:left="0"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采购人不得向中标人提出任何不合理的要求作为签订合同的条件。</w:t>
      </w:r>
    </w:p>
    <w:p>
      <w:pPr>
        <w:numPr>
          <w:ilvl w:val="1"/>
          <w:numId w:val="42"/>
        </w:numPr>
        <w:tabs>
          <w:tab w:val="left" w:pos="0"/>
        </w:tabs>
        <w:spacing w:line="520" w:lineRule="exact"/>
        <w:ind w:left="0"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政府采购合同应当包括采购人与中标人的名称和住所、标的、数量、质量、价款或者报酬、履行期限及地点和方式、验收要求、违约责任、解决争议的方法等内容。</w:t>
      </w:r>
    </w:p>
    <w:p>
      <w:pPr>
        <w:numPr>
          <w:ilvl w:val="1"/>
          <w:numId w:val="42"/>
        </w:numPr>
        <w:tabs>
          <w:tab w:val="left" w:pos="0"/>
        </w:tabs>
        <w:spacing w:line="520" w:lineRule="exact"/>
        <w:ind w:left="0"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中标人因不可抗力原因不能履行采购合同或放弃中标的，采购人可以与排在中标人之后第一位的中标候选人签订采购合同，以此类推。</w:t>
      </w:r>
    </w:p>
    <w:p>
      <w:pPr>
        <w:keepNext/>
        <w:keepLines/>
        <w:numPr>
          <w:ilvl w:val="2"/>
          <w:numId w:val="17"/>
        </w:numPr>
        <w:tabs>
          <w:tab w:val="left" w:pos="360"/>
        </w:tabs>
        <w:spacing w:line="520" w:lineRule="exact"/>
        <w:ind w:left="0" w:firstLine="482"/>
        <w:outlineLvl w:val="2"/>
        <w:rPr>
          <w:rFonts w:ascii="仿宋" w:hAnsi="仿宋" w:eastAsia="仿宋"/>
          <w:bCs/>
          <w:color w:val="auto"/>
          <w:kern w:val="2"/>
          <w:sz w:val="24"/>
          <w:szCs w:val="24"/>
          <w:lang w:val="en-US"/>
        </w:rPr>
      </w:pPr>
      <w:bookmarkStart w:id="208" w:name="_Toc496605615"/>
      <w:bookmarkStart w:id="209" w:name="_Toc500492711"/>
      <w:bookmarkStart w:id="210" w:name="_Toc494198908"/>
      <w:bookmarkStart w:id="211" w:name="_Toc217446066"/>
      <w:r>
        <w:rPr>
          <w:rFonts w:ascii="仿宋" w:hAnsi="仿宋" w:eastAsia="仿宋"/>
          <w:bCs/>
          <w:color w:val="auto"/>
          <w:kern w:val="2"/>
          <w:sz w:val="24"/>
          <w:szCs w:val="24"/>
          <w:lang w:val="en-US"/>
        </w:rPr>
        <w:t>合同分包</w:t>
      </w:r>
      <w:bookmarkEnd w:id="208"/>
      <w:bookmarkEnd w:id="209"/>
      <w:bookmarkEnd w:id="210"/>
      <w:bookmarkEnd w:id="211"/>
    </w:p>
    <w:p>
      <w:pPr>
        <w:tabs>
          <w:tab w:val="left" w:pos="0"/>
        </w:tabs>
        <w:spacing w:line="520" w:lineRule="exact"/>
        <w:ind w:left="480" w:firstLine="0" w:firstLineChars="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本项目不允许合同分包，否则作无效投标处理。</w:t>
      </w:r>
    </w:p>
    <w:p>
      <w:pPr>
        <w:keepNext/>
        <w:keepLines/>
        <w:numPr>
          <w:ilvl w:val="2"/>
          <w:numId w:val="17"/>
        </w:numPr>
        <w:tabs>
          <w:tab w:val="left" w:pos="360"/>
        </w:tabs>
        <w:spacing w:line="520" w:lineRule="exact"/>
        <w:ind w:left="0" w:firstLine="482"/>
        <w:outlineLvl w:val="2"/>
        <w:rPr>
          <w:rFonts w:ascii="仿宋" w:hAnsi="仿宋" w:eastAsia="仿宋"/>
          <w:bCs/>
          <w:color w:val="auto"/>
          <w:kern w:val="2"/>
          <w:sz w:val="24"/>
          <w:szCs w:val="24"/>
          <w:lang w:val="en-US"/>
        </w:rPr>
      </w:pPr>
      <w:bookmarkStart w:id="212" w:name="_Toc494198909"/>
      <w:bookmarkStart w:id="213" w:name="_Toc496605616"/>
      <w:bookmarkStart w:id="214" w:name="_Toc500492712"/>
      <w:r>
        <w:rPr>
          <w:rFonts w:ascii="仿宋" w:hAnsi="仿宋" w:eastAsia="仿宋"/>
          <w:bCs/>
          <w:color w:val="auto"/>
          <w:kern w:val="2"/>
          <w:sz w:val="24"/>
          <w:szCs w:val="24"/>
          <w:lang w:val="en-US"/>
        </w:rPr>
        <w:t>合同转包</w:t>
      </w:r>
      <w:bookmarkEnd w:id="212"/>
      <w:bookmarkEnd w:id="213"/>
      <w:bookmarkEnd w:id="214"/>
    </w:p>
    <w:p>
      <w:pPr>
        <w:numPr>
          <w:ilvl w:val="1"/>
          <w:numId w:val="43"/>
        </w:numPr>
        <w:tabs>
          <w:tab w:val="left" w:pos="0"/>
        </w:tabs>
        <w:spacing w:line="520" w:lineRule="exact"/>
        <w:ind w:left="0"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本项目严禁中标人将任何政府采购合同义务转包。本项目所称转包，是指中标人将政府采购合同义务转让给第三人，并退出现有政府采购合同当事人双方的权利义务关系，受让人（第三人）成为政府采购合同的另一方当事人的行为。</w:t>
      </w:r>
    </w:p>
    <w:p>
      <w:pPr>
        <w:numPr>
          <w:ilvl w:val="1"/>
          <w:numId w:val="43"/>
        </w:numPr>
        <w:tabs>
          <w:tab w:val="left" w:pos="0"/>
        </w:tabs>
        <w:spacing w:line="520" w:lineRule="exact"/>
        <w:ind w:left="0"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中标人转包的，视同拒绝履行政府采购合同义务，将依法追究法律责任。</w:t>
      </w:r>
    </w:p>
    <w:p>
      <w:pPr>
        <w:keepNext/>
        <w:keepLines/>
        <w:numPr>
          <w:ilvl w:val="2"/>
          <w:numId w:val="17"/>
        </w:numPr>
        <w:tabs>
          <w:tab w:val="left" w:pos="360"/>
        </w:tabs>
        <w:spacing w:line="520" w:lineRule="exact"/>
        <w:ind w:left="0" w:firstLine="482"/>
        <w:outlineLvl w:val="2"/>
        <w:rPr>
          <w:rFonts w:ascii="仿宋" w:hAnsi="仿宋" w:eastAsia="仿宋"/>
          <w:bCs/>
          <w:color w:val="auto"/>
          <w:kern w:val="2"/>
          <w:sz w:val="24"/>
          <w:szCs w:val="24"/>
          <w:lang w:val="en-US"/>
        </w:rPr>
      </w:pPr>
      <w:bookmarkStart w:id="215" w:name="_Toc217446067"/>
      <w:bookmarkStart w:id="216" w:name="_Toc496605617"/>
      <w:bookmarkStart w:id="217" w:name="_Toc494198910"/>
      <w:bookmarkStart w:id="218" w:name="_Toc500492713"/>
      <w:r>
        <w:rPr>
          <w:rFonts w:ascii="仿宋" w:hAnsi="仿宋" w:eastAsia="仿宋"/>
          <w:bCs/>
          <w:color w:val="auto"/>
          <w:kern w:val="2"/>
          <w:sz w:val="24"/>
          <w:szCs w:val="24"/>
          <w:lang w:val="en-US"/>
        </w:rPr>
        <w:t>采购人增加合同标的权</w:t>
      </w:r>
      <w:bookmarkEnd w:id="215"/>
      <w:r>
        <w:rPr>
          <w:rFonts w:ascii="仿宋" w:hAnsi="仿宋" w:eastAsia="仿宋"/>
          <w:bCs/>
          <w:color w:val="auto"/>
          <w:kern w:val="2"/>
          <w:sz w:val="24"/>
          <w:szCs w:val="24"/>
          <w:lang w:val="en-US"/>
        </w:rPr>
        <w:t>利</w:t>
      </w:r>
      <w:bookmarkEnd w:id="216"/>
      <w:bookmarkEnd w:id="217"/>
      <w:bookmarkEnd w:id="218"/>
    </w:p>
    <w:p>
      <w:pPr>
        <w:spacing w:line="520" w:lineRule="exact"/>
        <w:ind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采购合同履行过程中，采购人需要追加与合同标的相同的服务的，在不改变合同其他条款的前提下，可以与中标人协商签订补充合同，但所有补充合同的采购金额不得超过原合同采购金额的百分之十。</w:t>
      </w:r>
    </w:p>
    <w:p>
      <w:pPr>
        <w:numPr>
          <w:ilvl w:val="2"/>
          <w:numId w:val="17"/>
        </w:numPr>
        <w:tabs>
          <w:tab w:val="left" w:pos="360"/>
        </w:tabs>
        <w:spacing w:line="520" w:lineRule="exact"/>
        <w:ind w:left="0" w:firstLine="482"/>
        <w:outlineLvl w:val="2"/>
        <w:rPr>
          <w:rFonts w:ascii="仿宋" w:hAnsi="仿宋" w:eastAsia="仿宋"/>
          <w:bCs/>
          <w:color w:val="auto"/>
          <w:kern w:val="2"/>
          <w:sz w:val="24"/>
          <w:szCs w:val="24"/>
          <w:lang w:val="en-US"/>
        </w:rPr>
      </w:pPr>
      <w:bookmarkStart w:id="219" w:name="_Toc494198911"/>
      <w:bookmarkStart w:id="220" w:name="_Toc496605618"/>
      <w:bookmarkStart w:id="221" w:name="_Toc500492714"/>
      <w:bookmarkStart w:id="222" w:name="_Toc217446068"/>
      <w:r>
        <w:rPr>
          <w:rFonts w:ascii="仿宋" w:hAnsi="仿宋" w:eastAsia="仿宋"/>
          <w:bCs/>
          <w:color w:val="auto"/>
          <w:kern w:val="2"/>
          <w:sz w:val="24"/>
          <w:szCs w:val="24"/>
          <w:lang w:val="en-US"/>
        </w:rPr>
        <w:t>履约保证金</w:t>
      </w:r>
      <w:bookmarkEnd w:id="219"/>
      <w:bookmarkEnd w:id="220"/>
      <w:bookmarkEnd w:id="221"/>
      <w:bookmarkEnd w:id="222"/>
    </w:p>
    <w:p>
      <w:pPr>
        <w:numPr>
          <w:ilvl w:val="1"/>
          <w:numId w:val="44"/>
        </w:numPr>
        <w:tabs>
          <w:tab w:val="left" w:pos="0"/>
        </w:tabs>
        <w:spacing w:line="520" w:lineRule="exact"/>
        <w:ind w:left="0"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中标人收到中标通知书后，签订合同前，须根据招标文件的规定向采购人交纳规定数额的履约保证金。如果中标人在规定的合同签订时间内，没有按照招标文件的规定交纳履约保证金，且又无正当理由的，视为拒签合同，其交纳的投标保证金将不予退还，采购人可以与排在中标人之后第一位的中标候选人签订采购合同，以此类推，或重新开展采购活动。</w:t>
      </w:r>
    </w:p>
    <w:p>
      <w:pPr>
        <w:numPr>
          <w:ilvl w:val="1"/>
          <w:numId w:val="44"/>
        </w:numPr>
        <w:tabs>
          <w:tab w:val="left" w:pos="0"/>
        </w:tabs>
        <w:spacing w:line="520" w:lineRule="exact"/>
        <w:ind w:left="0"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履约保证金在中标人对合同规定义务履行完毕时全额退还（无息）；如果中标人未能履行合同规定的部分或全部义务，该保证金将视情况予以没收。</w:t>
      </w:r>
    </w:p>
    <w:p>
      <w:pPr>
        <w:numPr>
          <w:ilvl w:val="2"/>
          <w:numId w:val="17"/>
        </w:numPr>
        <w:tabs>
          <w:tab w:val="left" w:pos="360"/>
        </w:tabs>
        <w:spacing w:line="520" w:lineRule="exact"/>
        <w:ind w:left="0" w:firstLine="482"/>
        <w:outlineLvl w:val="2"/>
        <w:rPr>
          <w:rFonts w:ascii="仿宋" w:hAnsi="仿宋" w:eastAsia="仿宋"/>
          <w:bCs/>
          <w:color w:val="auto"/>
          <w:kern w:val="2"/>
          <w:sz w:val="24"/>
          <w:szCs w:val="24"/>
          <w:lang w:val="en-US"/>
        </w:rPr>
      </w:pPr>
      <w:bookmarkStart w:id="223" w:name="_Toc494198912"/>
      <w:bookmarkStart w:id="224" w:name="_Toc500492715"/>
      <w:bookmarkStart w:id="225" w:name="_Toc496605619"/>
      <w:r>
        <w:rPr>
          <w:rFonts w:ascii="仿宋" w:hAnsi="仿宋" w:eastAsia="仿宋"/>
          <w:bCs/>
          <w:color w:val="auto"/>
          <w:kern w:val="2"/>
          <w:sz w:val="24"/>
          <w:szCs w:val="24"/>
          <w:lang w:val="en-US"/>
        </w:rPr>
        <w:t>合同公告</w:t>
      </w:r>
      <w:bookmarkEnd w:id="223"/>
      <w:bookmarkEnd w:id="224"/>
      <w:bookmarkEnd w:id="225"/>
    </w:p>
    <w:p>
      <w:pPr>
        <w:spacing w:line="520" w:lineRule="exact"/>
        <w:ind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采购人应当自政府采购合同签订（双方当事人均已签字盖章）之日起2个工作日内，将政府采购合同在省级以上人民政府财政部门指定的媒体上公告（四川政府采购网），但政府采购合同中涉及国家秘密、商业秘密的内容除外。</w:t>
      </w:r>
    </w:p>
    <w:p>
      <w:pPr>
        <w:numPr>
          <w:ilvl w:val="2"/>
          <w:numId w:val="17"/>
        </w:numPr>
        <w:tabs>
          <w:tab w:val="left" w:pos="360"/>
        </w:tabs>
        <w:spacing w:line="520" w:lineRule="exact"/>
        <w:ind w:left="0" w:firstLine="482"/>
        <w:outlineLvl w:val="2"/>
        <w:rPr>
          <w:rFonts w:ascii="仿宋" w:hAnsi="仿宋" w:eastAsia="仿宋"/>
          <w:bCs/>
          <w:color w:val="auto"/>
          <w:kern w:val="2"/>
          <w:sz w:val="24"/>
          <w:szCs w:val="24"/>
          <w:lang w:val="en-US"/>
        </w:rPr>
      </w:pPr>
      <w:bookmarkStart w:id="226" w:name="_Toc500492716"/>
      <w:bookmarkStart w:id="227" w:name="_Toc496605620"/>
      <w:bookmarkStart w:id="228" w:name="_Toc494198913"/>
      <w:r>
        <w:rPr>
          <w:rFonts w:ascii="仿宋" w:hAnsi="仿宋" w:eastAsia="仿宋"/>
          <w:bCs/>
          <w:color w:val="auto"/>
          <w:kern w:val="2"/>
          <w:sz w:val="24"/>
          <w:szCs w:val="24"/>
          <w:lang w:val="en-US"/>
        </w:rPr>
        <w:t>合同备案</w:t>
      </w:r>
      <w:bookmarkEnd w:id="226"/>
      <w:bookmarkEnd w:id="227"/>
      <w:bookmarkEnd w:id="228"/>
    </w:p>
    <w:p>
      <w:pPr>
        <w:spacing w:line="520" w:lineRule="exact"/>
        <w:ind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采购人应当将政府采购合同副本自签订（双方当事人均已签字盖章）之日起七个工作日内通过四川政府采购网报同级财政部门备案。</w:t>
      </w:r>
    </w:p>
    <w:p>
      <w:pPr>
        <w:numPr>
          <w:ilvl w:val="2"/>
          <w:numId w:val="17"/>
        </w:numPr>
        <w:tabs>
          <w:tab w:val="left" w:pos="360"/>
        </w:tabs>
        <w:spacing w:line="520" w:lineRule="exact"/>
        <w:ind w:left="0" w:firstLine="482"/>
        <w:outlineLvl w:val="2"/>
        <w:rPr>
          <w:rFonts w:ascii="仿宋" w:hAnsi="仿宋" w:eastAsia="仿宋"/>
          <w:bCs/>
          <w:color w:val="auto"/>
          <w:kern w:val="2"/>
          <w:sz w:val="24"/>
          <w:szCs w:val="24"/>
          <w:lang w:val="en-US"/>
        </w:rPr>
      </w:pPr>
      <w:bookmarkStart w:id="229" w:name="_Toc500492717"/>
      <w:bookmarkStart w:id="230" w:name="_Toc217446069"/>
      <w:bookmarkStart w:id="231" w:name="_Toc494198914"/>
      <w:bookmarkStart w:id="232" w:name="_Toc496605621"/>
      <w:r>
        <w:rPr>
          <w:rFonts w:ascii="仿宋" w:hAnsi="仿宋" w:eastAsia="仿宋"/>
          <w:bCs/>
          <w:color w:val="auto"/>
          <w:kern w:val="2"/>
          <w:sz w:val="24"/>
          <w:szCs w:val="24"/>
          <w:lang w:val="en-US"/>
        </w:rPr>
        <w:t>履行合同</w:t>
      </w:r>
      <w:bookmarkEnd w:id="229"/>
      <w:bookmarkEnd w:id="230"/>
      <w:bookmarkEnd w:id="231"/>
      <w:bookmarkEnd w:id="232"/>
    </w:p>
    <w:p>
      <w:pPr>
        <w:spacing w:line="520" w:lineRule="exact"/>
        <w:ind w:firstLine="480"/>
        <w:rPr>
          <w:rFonts w:ascii="仿宋" w:hAnsi="仿宋" w:eastAsia="仿宋"/>
          <w:b w:val="0"/>
          <w:color w:val="auto"/>
          <w:kern w:val="2"/>
          <w:sz w:val="24"/>
          <w:szCs w:val="24"/>
          <w:lang w:val="en-US"/>
        </w:rPr>
      </w:pPr>
      <w:bookmarkStart w:id="233" w:name="_Toc217446070"/>
      <w:r>
        <w:rPr>
          <w:rFonts w:ascii="仿宋" w:hAnsi="仿宋" w:eastAsia="仿宋"/>
          <w:b w:val="0"/>
          <w:color w:val="auto"/>
          <w:kern w:val="2"/>
          <w:sz w:val="24"/>
          <w:szCs w:val="24"/>
          <w:lang w:val="en-US"/>
        </w:rPr>
        <w:t>采购人与中标人应当根据合同的约定依法履行合同义务。政府采购合同的履行、违约责任和解决争议的方法等适用《</w:t>
      </w:r>
      <w:r>
        <w:rPr>
          <w:rFonts w:hint="eastAsia" w:ascii="仿宋" w:hAnsi="仿宋" w:eastAsia="仿宋"/>
          <w:b w:val="0"/>
          <w:color w:val="auto"/>
          <w:kern w:val="2"/>
          <w:sz w:val="24"/>
          <w:szCs w:val="24"/>
          <w:lang w:val="en-US"/>
        </w:rPr>
        <w:t>中华人民共和国民法典</w:t>
      </w:r>
      <w:r>
        <w:rPr>
          <w:rFonts w:ascii="仿宋" w:hAnsi="仿宋" w:eastAsia="仿宋"/>
          <w:b w:val="0"/>
          <w:color w:val="auto"/>
          <w:kern w:val="2"/>
          <w:sz w:val="24"/>
          <w:szCs w:val="24"/>
          <w:lang w:val="en-US"/>
        </w:rPr>
        <w:t>》。</w:t>
      </w:r>
    </w:p>
    <w:p>
      <w:pPr>
        <w:numPr>
          <w:ilvl w:val="2"/>
          <w:numId w:val="17"/>
        </w:numPr>
        <w:tabs>
          <w:tab w:val="left" w:pos="360"/>
        </w:tabs>
        <w:spacing w:line="520" w:lineRule="exact"/>
        <w:ind w:left="0" w:firstLine="482"/>
        <w:outlineLvl w:val="2"/>
        <w:rPr>
          <w:rFonts w:ascii="仿宋" w:hAnsi="仿宋" w:eastAsia="仿宋"/>
          <w:bCs/>
          <w:color w:val="auto"/>
          <w:kern w:val="2"/>
          <w:sz w:val="24"/>
          <w:szCs w:val="24"/>
          <w:lang w:val="en-US"/>
        </w:rPr>
      </w:pPr>
      <w:bookmarkStart w:id="234" w:name="_Toc496605622"/>
      <w:bookmarkStart w:id="235" w:name="_Toc500492718"/>
      <w:bookmarkStart w:id="236" w:name="_Toc494198915"/>
      <w:r>
        <w:rPr>
          <w:rFonts w:ascii="仿宋" w:hAnsi="仿宋" w:eastAsia="仿宋"/>
          <w:bCs/>
          <w:color w:val="auto"/>
          <w:kern w:val="2"/>
          <w:sz w:val="24"/>
          <w:szCs w:val="24"/>
          <w:lang w:val="en-US"/>
        </w:rPr>
        <w:t>验收</w:t>
      </w:r>
      <w:bookmarkEnd w:id="233"/>
      <w:bookmarkEnd w:id="234"/>
      <w:bookmarkEnd w:id="235"/>
      <w:bookmarkEnd w:id="236"/>
    </w:p>
    <w:p>
      <w:pPr>
        <w:spacing w:line="520" w:lineRule="exact"/>
        <w:ind w:firstLine="480"/>
        <w:rPr>
          <w:rFonts w:ascii="仿宋" w:hAnsi="仿宋" w:eastAsia="仿宋"/>
          <w:b w:val="0"/>
          <w:color w:val="auto"/>
          <w:kern w:val="2"/>
          <w:sz w:val="24"/>
          <w:szCs w:val="24"/>
          <w:lang w:val="en-US"/>
        </w:rPr>
      </w:pPr>
      <w:bookmarkStart w:id="237" w:name="_Toc217446071"/>
      <w:r>
        <w:rPr>
          <w:rFonts w:ascii="仿宋" w:hAnsi="仿宋" w:eastAsia="仿宋"/>
          <w:b w:val="0"/>
          <w:color w:val="auto"/>
          <w:kern w:val="2"/>
          <w:sz w:val="24"/>
          <w:szCs w:val="24"/>
          <w:lang w:val="en-US"/>
        </w:rPr>
        <w:t>严格按照政府采购相关法律法规以及</w:t>
      </w:r>
      <w:r>
        <w:rPr>
          <w:rFonts w:hint="eastAsia" w:ascii="仿宋" w:hAnsi="仿宋" w:eastAsia="仿宋"/>
          <w:b w:val="0"/>
          <w:color w:val="auto"/>
          <w:kern w:val="2"/>
          <w:sz w:val="24"/>
          <w:szCs w:val="24"/>
          <w:lang w:val="en-US"/>
        </w:rPr>
        <w:t>《财政部关于进一步加强政府采购需求和履约验收管理的指导意见》（</w:t>
      </w:r>
      <w:r>
        <w:rPr>
          <w:rFonts w:ascii="仿宋" w:hAnsi="仿宋" w:eastAsia="仿宋"/>
          <w:b w:val="0"/>
          <w:color w:val="auto"/>
          <w:kern w:val="2"/>
          <w:sz w:val="24"/>
          <w:szCs w:val="24"/>
          <w:lang w:val="en-US"/>
        </w:rPr>
        <w:t>财库[2016]205号</w:t>
      </w:r>
      <w:r>
        <w:rPr>
          <w:rFonts w:hint="eastAsia" w:ascii="仿宋" w:hAnsi="仿宋" w:eastAsia="仿宋"/>
          <w:b w:val="0"/>
          <w:color w:val="auto"/>
          <w:kern w:val="2"/>
          <w:sz w:val="24"/>
          <w:szCs w:val="24"/>
          <w:lang w:val="en-US"/>
        </w:rPr>
        <w:t>）</w:t>
      </w:r>
      <w:r>
        <w:rPr>
          <w:rFonts w:ascii="仿宋" w:hAnsi="仿宋" w:eastAsia="仿宋"/>
          <w:b w:val="0"/>
          <w:color w:val="auto"/>
          <w:kern w:val="2"/>
          <w:sz w:val="24"/>
          <w:szCs w:val="24"/>
          <w:lang w:val="en-US"/>
        </w:rPr>
        <w:t>的要求进行验收。</w:t>
      </w:r>
    </w:p>
    <w:bookmarkEnd w:id="199"/>
    <w:bookmarkEnd w:id="200"/>
    <w:bookmarkEnd w:id="237"/>
    <w:p>
      <w:pPr>
        <w:numPr>
          <w:ilvl w:val="1"/>
          <w:numId w:val="17"/>
        </w:numPr>
        <w:tabs>
          <w:tab w:val="left" w:pos="360"/>
        </w:tabs>
        <w:spacing w:line="520" w:lineRule="exact"/>
        <w:ind w:left="0" w:firstLine="482"/>
        <w:jc w:val="left"/>
        <w:outlineLvl w:val="1"/>
        <w:rPr>
          <w:rFonts w:ascii="仿宋" w:hAnsi="仿宋" w:eastAsia="仿宋"/>
          <w:bCs/>
          <w:color w:val="auto"/>
          <w:kern w:val="2"/>
          <w:sz w:val="24"/>
          <w:szCs w:val="24"/>
          <w:lang w:val="en-US"/>
        </w:rPr>
      </w:pPr>
      <w:bookmarkStart w:id="238" w:name="_Toc217446074"/>
      <w:bookmarkStart w:id="239" w:name="_Toc351016482"/>
      <w:bookmarkStart w:id="240" w:name="_Toc183682380"/>
      <w:bookmarkStart w:id="241" w:name="_Toc183582243"/>
      <w:r>
        <w:rPr>
          <w:rFonts w:ascii="仿宋" w:hAnsi="仿宋" w:eastAsia="仿宋"/>
          <w:bCs/>
          <w:color w:val="auto"/>
          <w:kern w:val="2"/>
          <w:sz w:val="24"/>
          <w:szCs w:val="24"/>
          <w:lang w:val="en-US"/>
        </w:rPr>
        <w:t xml:space="preserve"> </w:t>
      </w:r>
      <w:bookmarkStart w:id="242" w:name="_Toc494198593"/>
      <w:bookmarkStart w:id="243" w:name="_Toc40703443"/>
      <w:bookmarkStart w:id="244" w:name="_Toc36029474"/>
      <w:r>
        <w:rPr>
          <w:rFonts w:ascii="仿宋" w:hAnsi="仿宋" w:eastAsia="仿宋"/>
          <w:bCs/>
          <w:color w:val="auto"/>
          <w:kern w:val="2"/>
          <w:sz w:val="24"/>
          <w:szCs w:val="24"/>
          <w:lang w:val="en-US"/>
        </w:rPr>
        <w:t>投标纪律要求</w:t>
      </w:r>
      <w:bookmarkEnd w:id="238"/>
      <w:bookmarkEnd w:id="239"/>
      <w:bookmarkEnd w:id="242"/>
      <w:bookmarkEnd w:id="243"/>
      <w:bookmarkEnd w:id="244"/>
    </w:p>
    <w:p>
      <w:pPr>
        <w:numPr>
          <w:ilvl w:val="2"/>
          <w:numId w:val="17"/>
        </w:numPr>
        <w:tabs>
          <w:tab w:val="left" w:pos="360"/>
        </w:tabs>
        <w:spacing w:line="520" w:lineRule="exact"/>
        <w:ind w:left="0" w:firstLine="482"/>
        <w:outlineLvl w:val="2"/>
        <w:rPr>
          <w:rFonts w:ascii="仿宋" w:hAnsi="仿宋" w:eastAsia="仿宋"/>
          <w:bCs/>
          <w:color w:val="auto"/>
          <w:kern w:val="2"/>
          <w:sz w:val="24"/>
          <w:szCs w:val="24"/>
          <w:lang w:val="en-US"/>
        </w:rPr>
      </w:pPr>
      <w:bookmarkStart w:id="245" w:name="_Toc496605624"/>
      <w:bookmarkStart w:id="246" w:name="_Toc217446075"/>
      <w:bookmarkStart w:id="247" w:name="_Toc500492720"/>
      <w:bookmarkStart w:id="248" w:name="_Toc494198917"/>
      <w:r>
        <w:rPr>
          <w:rFonts w:ascii="仿宋" w:hAnsi="仿宋" w:eastAsia="仿宋"/>
          <w:bCs/>
          <w:color w:val="auto"/>
          <w:kern w:val="2"/>
          <w:sz w:val="24"/>
          <w:szCs w:val="24"/>
          <w:lang w:val="en-US"/>
        </w:rPr>
        <w:t>投标人不得具有的情形</w:t>
      </w:r>
      <w:bookmarkEnd w:id="245"/>
      <w:bookmarkEnd w:id="246"/>
      <w:bookmarkEnd w:id="247"/>
      <w:bookmarkEnd w:id="248"/>
    </w:p>
    <w:p>
      <w:pPr>
        <w:numPr>
          <w:ilvl w:val="1"/>
          <w:numId w:val="45"/>
        </w:numPr>
        <w:tabs>
          <w:tab w:val="left" w:pos="0"/>
        </w:tabs>
        <w:spacing w:line="520" w:lineRule="exact"/>
        <w:ind w:left="0"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提供虚假材料谋取中标；</w:t>
      </w:r>
    </w:p>
    <w:p>
      <w:pPr>
        <w:numPr>
          <w:ilvl w:val="1"/>
          <w:numId w:val="45"/>
        </w:numPr>
        <w:tabs>
          <w:tab w:val="left" w:pos="0"/>
        </w:tabs>
        <w:spacing w:line="520" w:lineRule="exact"/>
        <w:ind w:left="0"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采取不正当手段诋毁、排挤其他投标人；</w:t>
      </w:r>
    </w:p>
    <w:p>
      <w:pPr>
        <w:numPr>
          <w:ilvl w:val="1"/>
          <w:numId w:val="45"/>
        </w:numPr>
        <w:tabs>
          <w:tab w:val="left" w:pos="0"/>
        </w:tabs>
        <w:spacing w:line="520" w:lineRule="exact"/>
        <w:ind w:left="0"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与采购人或者采购代理机构、其他投标人恶意串通；</w:t>
      </w:r>
    </w:p>
    <w:p>
      <w:pPr>
        <w:numPr>
          <w:ilvl w:val="1"/>
          <w:numId w:val="45"/>
        </w:numPr>
        <w:tabs>
          <w:tab w:val="left" w:pos="0"/>
        </w:tabs>
        <w:spacing w:line="520" w:lineRule="exact"/>
        <w:ind w:left="0"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向采购人或者采购代理机构、评标委员会成员行贿或者提供其他不正当利益；</w:t>
      </w:r>
    </w:p>
    <w:p>
      <w:pPr>
        <w:numPr>
          <w:ilvl w:val="1"/>
          <w:numId w:val="45"/>
        </w:numPr>
        <w:tabs>
          <w:tab w:val="left" w:pos="0"/>
        </w:tabs>
        <w:spacing w:line="520" w:lineRule="exact"/>
        <w:ind w:left="0"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在招标过程中与采购人或者采购代理机构进行协商谈判；</w:t>
      </w:r>
    </w:p>
    <w:p>
      <w:pPr>
        <w:numPr>
          <w:ilvl w:val="1"/>
          <w:numId w:val="45"/>
        </w:numPr>
        <w:tabs>
          <w:tab w:val="left" w:pos="0"/>
        </w:tabs>
        <w:spacing w:line="520" w:lineRule="exact"/>
        <w:ind w:left="0"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拒绝有关部门的监督检查或者向监督检查部门提供虚假情况。</w:t>
      </w:r>
    </w:p>
    <w:p>
      <w:pPr>
        <w:spacing w:line="520" w:lineRule="exact"/>
        <w:ind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有上述情形之一的投标人，属于不合格投标人，其投标或中标资格将被取消。</w:t>
      </w:r>
    </w:p>
    <w:p>
      <w:pPr>
        <w:numPr>
          <w:ilvl w:val="2"/>
          <w:numId w:val="17"/>
        </w:numPr>
        <w:tabs>
          <w:tab w:val="left" w:pos="360"/>
        </w:tabs>
        <w:spacing w:line="520" w:lineRule="exact"/>
        <w:ind w:left="0" w:firstLine="482"/>
        <w:outlineLvl w:val="2"/>
        <w:rPr>
          <w:rFonts w:ascii="仿宋" w:hAnsi="仿宋" w:eastAsia="仿宋"/>
          <w:bCs/>
          <w:color w:val="auto"/>
          <w:kern w:val="2"/>
          <w:sz w:val="24"/>
          <w:szCs w:val="24"/>
          <w:lang w:val="en-US"/>
        </w:rPr>
      </w:pPr>
      <w:bookmarkStart w:id="249" w:name="_Toc500492721"/>
      <w:bookmarkStart w:id="250" w:name="_Toc494198918"/>
      <w:bookmarkStart w:id="251" w:name="_Toc496605625"/>
      <w:r>
        <w:rPr>
          <w:rFonts w:ascii="仿宋" w:hAnsi="仿宋" w:eastAsia="仿宋"/>
          <w:bCs/>
          <w:color w:val="auto"/>
          <w:kern w:val="2"/>
          <w:sz w:val="24"/>
          <w:szCs w:val="24"/>
          <w:lang w:val="en-US"/>
        </w:rPr>
        <w:t>有下列情形之一的，视为投标人串通投标，其投标无效：</w:t>
      </w:r>
      <w:bookmarkEnd w:id="249"/>
      <w:bookmarkEnd w:id="250"/>
      <w:bookmarkEnd w:id="251"/>
    </w:p>
    <w:p>
      <w:pPr>
        <w:numPr>
          <w:ilvl w:val="1"/>
          <w:numId w:val="46"/>
        </w:numPr>
        <w:tabs>
          <w:tab w:val="left" w:pos="0"/>
        </w:tabs>
        <w:spacing w:line="520" w:lineRule="exact"/>
        <w:ind w:left="0"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不同投标人的投标文件由同一单位或者个人编制；</w:t>
      </w:r>
    </w:p>
    <w:p>
      <w:pPr>
        <w:numPr>
          <w:ilvl w:val="1"/>
          <w:numId w:val="46"/>
        </w:numPr>
        <w:tabs>
          <w:tab w:val="left" w:pos="0"/>
        </w:tabs>
        <w:spacing w:line="520" w:lineRule="exact"/>
        <w:ind w:left="0"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不同投标人委托同一单位或者个人办理投标事宜；</w:t>
      </w:r>
    </w:p>
    <w:p>
      <w:pPr>
        <w:numPr>
          <w:ilvl w:val="1"/>
          <w:numId w:val="46"/>
        </w:numPr>
        <w:tabs>
          <w:tab w:val="left" w:pos="0"/>
        </w:tabs>
        <w:spacing w:line="520" w:lineRule="exact"/>
        <w:ind w:left="0"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不同投标人的投标文件载明的项目管理成员或者联系人员为同一人；</w:t>
      </w:r>
      <w:r>
        <w:rPr>
          <w:rFonts w:hint="eastAsia" w:ascii="仿宋" w:hAnsi="仿宋" w:eastAsia="仿宋"/>
          <w:b w:val="0"/>
          <w:color w:val="auto"/>
          <w:kern w:val="2"/>
          <w:sz w:val="24"/>
          <w:szCs w:val="24"/>
          <w:lang w:val="en-US"/>
        </w:rPr>
        <w:t>（本项目管理成员为投标人《实施本项目的主要人员情况表》中项目经理。）</w:t>
      </w:r>
    </w:p>
    <w:p>
      <w:pPr>
        <w:numPr>
          <w:ilvl w:val="1"/>
          <w:numId w:val="46"/>
        </w:numPr>
        <w:tabs>
          <w:tab w:val="left" w:pos="0"/>
        </w:tabs>
        <w:spacing w:line="520" w:lineRule="exact"/>
        <w:ind w:left="0"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不同投标人的投标文件异常一致或者投标报价呈规律性差异；</w:t>
      </w:r>
    </w:p>
    <w:p>
      <w:pPr>
        <w:numPr>
          <w:ilvl w:val="1"/>
          <w:numId w:val="46"/>
        </w:numPr>
        <w:tabs>
          <w:tab w:val="left" w:pos="0"/>
        </w:tabs>
        <w:spacing w:line="520" w:lineRule="exact"/>
        <w:ind w:left="0"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不同投标人的投标文件相互混装；</w:t>
      </w:r>
    </w:p>
    <w:bookmarkEnd w:id="240"/>
    <w:bookmarkEnd w:id="241"/>
    <w:p>
      <w:pPr>
        <w:numPr>
          <w:ilvl w:val="2"/>
          <w:numId w:val="17"/>
        </w:numPr>
        <w:tabs>
          <w:tab w:val="left" w:pos="360"/>
        </w:tabs>
        <w:spacing w:line="520" w:lineRule="exact"/>
        <w:ind w:left="0" w:firstLine="482"/>
        <w:outlineLvl w:val="2"/>
        <w:rPr>
          <w:rFonts w:ascii="仿宋" w:hAnsi="仿宋" w:eastAsia="仿宋"/>
          <w:bCs/>
          <w:color w:val="auto"/>
          <w:kern w:val="2"/>
          <w:sz w:val="24"/>
          <w:szCs w:val="24"/>
          <w:lang w:val="en-US"/>
        </w:rPr>
      </w:pPr>
      <w:bookmarkStart w:id="252" w:name="_Toc496605626"/>
      <w:bookmarkStart w:id="253" w:name="_Toc494198919"/>
      <w:bookmarkStart w:id="254" w:name="_Toc314574786"/>
      <w:bookmarkStart w:id="255" w:name="_Toc500492722"/>
      <w:r>
        <w:rPr>
          <w:rFonts w:ascii="仿宋" w:hAnsi="仿宋" w:eastAsia="仿宋"/>
          <w:bCs/>
          <w:color w:val="auto"/>
          <w:kern w:val="2"/>
          <w:sz w:val="24"/>
          <w:szCs w:val="24"/>
          <w:lang w:val="en-US"/>
        </w:rPr>
        <w:t>保密</w:t>
      </w:r>
      <w:bookmarkEnd w:id="252"/>
      <w:bookmarkEnd w:id="253"/>
      <w:bookmarkEnd w:id="254"/>
      <w:bookmarkEnd w:id="255"/>
    </w:p>
    <w:p>
      <w:pPr>
        <w:spacing w:line="520" w:lineRule="exact"/>
        <w:ind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投标截止时间前，采购人、采购代理机构和有关人员不得向他人透露已获取招标文件的潜在投标人的名称、数量以及可能影响公平竞争的有关招标投标的其他情况。</w:t>
      </w:r>
    </w:p>
    <w:p>
      <w:pPr>
        <w:numPr>
          <w:ilvl w:val="1"/>
          <w:numId w:val="17"/>
        </w:numPr>
        <w:tabs>
          <w:tab w:val="left" w:pos="360"/>
        </w:tabs>
        <w:spacing w:line="520" w:lineRule="exact"/>
        <w:ind w:left="0" w:firstLine="482"/>
        <w:jc w:val="left"/>
        <w:outlineLvl w:val="1"/>
        <w:rPr>
          <w:rFonts w:ascii="仿宋" w:hAnsi="仿宋" w:eastAsia="仿宋"/>
          <w:bCs/>
          <w:color w:val="auto"/>
          <w:kern w:val="2"/>
          <w:sz w:val="24"/>
          <w:szCs w:val="24"/>
          <w:lang w:val="en-US"/>
        </w:rPr>
      </w:pPr>
      <w:bookmarkStart w:id="256" w:name="_Toc351016483"/>
      <w:bookmarkStart w:id="257" w:name="_Toc21247"/>
      <w:r>
        <w:rPr>
          <w:rFonts w:ascii="仿宋" w:hAnsi="仿宋" w:eastAsia="仿宋"/>
          <w:bCs/>
          <w:color w:val="auto"/>
          <w:kern w:val="2"/>
          <w:sz w:val="24"/>
          <w:szCs w:val="24"/>
          <w:lang w:val="en-US"/>
        </w:rPr>
        <w:t xml:space="preserve"> </w:t>
      </w:r>
      <w:bookmarkStart w:id="258" w:name="_Toc494198594"/>
      <w:bookmarkStart w:id="259" w:name="_Toc36029475"/>
      <w:bookmarkStart w:id="260" w:name="_Toc40703444"/>
      <w:r>
        <w:rPr>
          <w:rFonts w:ascii="仿宋" w:hAnsi="仿宋" w:eastAsia="仿宋"/>
          <w:bCs/>
          <w:color w:val="auto"/>
          <w:kern w:val="2"/>
          <w:sz w:val="24"/>
          <w:szCs w:val="24"/>
          <w:lang w:val="en-US"/>
        </w:rPr>
        <w:t>资金支付</w:t>
      </w:r>
      <w:bookmarkEnd w:id="256"/>
      <w:bookmarkEnd w:id="257"/>
      <w:bookmarkEnd w:id="258"/>
      <w:bookmarkEnd w:id="259"/>
      <w:bookmarkEnd w:id="260"/>
    </w:p>
    <w:p>
      <w:pPr>
        <w:spacing w:line="520" w:lineRule="exact"/>
        <w:ind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采购人将按照政府采购合同规定，及时向中标人支付采购资金。</w:t>
      </w:r>
    </w:p>
    <w:p>
      <w:pPr>
        <w:numPr>
          <w:ilvl w:val="1"/>
          <w:numId w:val="17"/>
        </w:numPr>
        <w:tabs>
          <w:tab w:val="left" w:pos="360"/>
        </w:tabs>
        <w:spacing w:line="520" w:lineRule="exact"/>
        <w:ind w:left="0" w:firstLine="482"/>
        <w:jc w:val="left"/>
        <w:outlineLvl w:val="1"/>
        <w:rPr>
          <w:rFonts w:ascii="仿宋" w:hAnsi="仿宋" w:eastAsia="仿宋"/>
          <w:bCs/>
          <w:color w:val="auto"/>
          <w:kern w:val="2"/>
          <w:sz w:val="24"/>
          <w:szCs w:val="24"/>
          <w:lang w:val="en-US"/>
        </w:rPr>
      </w:pPr>
      <w:bookmarkStart w:id="261" w:name="_Toc217446078"/>
      <w:bookmarkStart w:id="262" w:name="_Toc11604"/>
      <w:bookmarkStart w:id="263" w:name="_Toc351016484"/>
      <w:r>
        <w:rPr>
          <w:rFonts w:ascii="仿宋" w:hAnsi="仿宋" w:eastAsia="仿宋"/>
          <w:bCs/>
          <w:color w:val="auto"/>
          <w:kern w:val="2"/>
          <w:sz w:val="24"/>
          <w:szCs w:val="24"/>
          <w:lang w:val="en-US"/>
        </w:rPr>
        <w:t xml:space="preserve"> </w:t>
      </w:r>
      <w:bookmarkStart w:id="264" w:name="_Toc36029476"/>
      <w:bookmarkStart w:id="265" w:name="_Toc40703445"/>
      <w:bookmarkStart w:id="266" w:name="_Toc494198595"/>
      <w:r>
        <w:rPr>
          <w:rFonts w:ascii="仿宋" w:hAnsi="仿宋" w:eastAsia="仿宋"/>
          <w:bCs/>
          <w:color w:val="auto"/>
          <w:kern w:val="2"/>
          <w:sz w:val="24"/>
          <w:szCs w:val="24"/>
          <w:lang w:val="en-US"/>
        </w:rPr>
        <w:t>询问、质疑和投诉</w:t>
      </w:r>
      <w:bookmarkEnd w:id="261"/>
      <w:bookmarkEnd w:id="262"/>
      <w:bookmarkEnd w:id="263"/>
      <w:bookmarkEnd w:id="264"/>
      <w:bookmarkEnd w:id="265"/>
      <w:bookmarkEnd w:id="266"/>
      <w:bookmarkStart w:id="267" w:name="_Toc217446079"/>
    </w:p>
    <w:bookmarkEnd w:id="267"/>
    <w:p>
      <w:pPr>
        <w:spacing w:line="520" w:lineRule="exact"/>
        <w:ind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询问、质疑、投诉的接收和处理严格按照《中华人民共和国政府采购法》、《中华人民共和国政府采购法实施条例》、《政府采购货物和服务招标投标管理办法》（财政部令第87号）、《政府采购质疑和投诉办法》、《财政部关于加强政府采购供应商投诉受理审查工作的通知》和《四川省政府采购供应商投诉处理工作规程》的规定办理。</w:t>
      </w:r>
    </w:p>
    <w:p>
      <w:pPr>
        <w:numPr>
          <w:ilvl w:val="1"/>
          <w:numId w:val="17"/>
        </w:numPr>
        <w:tabs>
          <w:tab w:val="left" w:pos="360"/>
        </w:tabs>
        <w:spacing w:line="520" w:lineRule="exact"/>
        <w:ind w:left="0" w:firstLine="482"/>
        <w:jc w:val="left"/>
        <w:outlineLvl w:val="1"/>
        <w:rPr>
          <w:rFonts w:ascii="仿宋" w:hAnsi="仿宋" w:eastAsia="仿宋"/>
          <w:bCs/>
          <w:color w:val="auto"/>
          <w:kern w:val="2"/>
          <w:sz w:val="24"/>
          <w:szCs w:val="24"/>
          <w:lang w:val="en-US"/>
        </w:rPr>
      </w:pPr>
      <w:r>
        <w:rPr>
          <w:rFonts w:ascii="仿宋" w:hAnsi="仿宋" w:eastAsia="仿宋"/>
          <w:bCs/>
          <w:color w:val="auto"/>
          <w:kern w:val="2"/>
          <w:sz w:val="24"/>
          <w:szCs w:val="24"/>
          <w:lang w:val="en-US"/>
        </w:rPr>
        <w:t xml:space="preserve"> </w:t>
      </w:r>
      <w:bookmarkStart w:id="268" w:name="_Toc494198596"/>
      <w:bookmarkStart w:id="269" w:name="_Toc36029477"/>
      <w:bookmarkStart w:id="270" w:name="_Toc40703446"/>
      <w:r>
        <w:rPr>
          <w:rFonts w:ascii="仿宋" w:hAnsi="仿宋" w:eastAsia="仿宋"/>
          <w:bCs/>
          <w:color w:val="auto"/>
          <w:kern w:val="2"/>
          <w:sz w:val="24"/>
          <w:szCs w:val="24"/>
          <w:lang w:val="en-US"/>
        </w:rPr>
        <w:t>其他</w:t>
      </w:r>
      <w:bookmarkEnd w:id="268"/>
      <w:bookmarkEnd w:id="269"/>
      <w:bookmarkEnd w:id="270"/>
    </w:p>
    <w:p>
      <w:pPr>
        <w:numPr>
          <w:ilvl w:val="0"/>
          <w:numId w:val="47"/>
        </w:numPr>
        <w:tabs>
          <w:tab w:val="left" w:pos="0"/>
        </w:tabs>
        <w:spacing w:line="520" w:lineRule="exact"/>
        <w:ind w:left="0" w:firstLine="480" w:firstLineChars="0"/>
        <w:rPr>
          <w:rFonts w:ascii="仿宋" w:hAnsi="仿宋" w:eastAsia="仿宋"/>
          <w:b w:val="0"/>
          <w:color w:val="auto"/>
          <w:kern w:val="2"/>
          <w:sz w:val="24"/>
          <w:szCs w:val="24"/>
          <w:lang w:val="en-US"/>
        </w:rPr>
      </w:pPr>
      <w:r>
        <w:rPr>
          <w:rFonts w:ascii="仿宋" w:hAnsi="仿宋" w:eastAsia="仿宋"/>
          <w:b w:val="0"/>
          <w:color w:val="000000"/>
          <w:kern w:val="2"/>
          <w:sz w:val="24"/>
          <w:szCs w:val="24"/>
          <w:lang w:val="en-US"/>
        </w:rPr>
        <w:t>本招标文件中所引相关法律制度规定以及政府采购政策，在政府采购过程中有变化的，按照变化后的相关法律制度规定及政府采购政策执行。</w:t>
      </w:r>
      <w:r>
        <w:rPr>
          <w:rFonts w:ascii="仿宋" w:hAnsi="仿宋" w:eastAsia="仿宋"/>
          <w:b w:val="0"/>
          <w:color w:val="auto"/>
          <w:kern w:val="2"/>
          <w:sz w:val="24"/>
          <w:szCs w:val="24"/>
          <w:lang w:val="en-US"/>
        </w:rPr>
        <w:t>本章和第7章中“1.总则、2.评标方法、3.评标程序”规定的内容条款</w:t>
      </w:r>
      <w:r>
        <w:rPr>
          <w:rFonts w:ascii="仿宋" w:hAnsi="仿宋" w:eastAsia="仿宋"/>
          <w:b w:val="0"/>
          <w:color w:val="000000"/>
          <w:kern w:val="2"/>
          <w:sz w:val="24"/>
          <w:szCs w:val="24"/>
          <w:lang w:val="en-US"/>
        </w:rPr>
        <w:t>，</w:t>
      </w:r>
      <w:r>
        <w:rPr>
          <w:rFonts w:ascii="仿宋" w:hAnsi="仿宋" w:eastAsia="仿宋"/>
          <w:b w:val="0"/>
          <w:color w:val="auto"/>
          <w:kern w:val="2"/>
          <w:sz w:val="24"/>
          <w:szCs w:val="24"/>
          <w:lang w:val="en-US"/>
        </w:rPr>
        <w:t>在本项目投标截止时间届满后</w:t>
      </w:r>
      <w:r>
        <w:rPr>
          <w:rFonts w:ascii="仿宋" w:hAnsi="仿宋" w:eastAsia="仿宋"/>
          <w:b w:val="0"/>
          <w:color w:val="000000"/>
          <w:kern w:val="2"/>
          <w:sz w:val="24"/>
          <w:szCs w:val="24"/>
          <w:lang w:val="en-US"/>
        </w:rPr>
        <w:t>，因相关法律制度规定及政府采购政策的变化导致不符合相关法律制度规定及政府采购政策的，直接按照变化后的相关法律制度规定及政府采购政策执行，本项目不再发布更正公告、招标文件不再做调整。</w:t>
      </w:r>
    </w:p>
    <w:p>
      <w:pPr>
        <w:spacing w:line="520" w:lineRule="exact"/>
        <w:ind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本招标文件中未引用的相关法律制度规定，按照中华人民共和国政府采购法及其实施条例，以及其他相关的法律、规章的规定执行。</w:t>
      </w:r>
    </w:p>
    <w:p>
      <w:pPr>
        <w:numPr>
          <w:ilvl w:val="0"/>
          <w:numId w:val="47"/>
        </w:numPr>
        <w:tabs>
          <w:tab w:val="left" w:pos="0"/>
        </w:tabs>
        <w:spacing w:line="520" w:lineRule="exact"/>
        <w:ind w:left="0" w:firstLine="480" w:firstLineChars="0"/>
        <w:rPr>
          <w:rFonts w:ascii="仿宋" w:hAnsi="仿宋" w:eastAsia="仿宋"/>
          <w:b w:val="0"/>
          <w:color w:val="auto"/>
          <w:kern w:val="2"/>
          <w:sz w:val="24"/>
          <w:szCs w:val="24"/>
          <w:lang w:val="en-US"/>
        </w:rPr>
      </w:pPr>
      <w:r>
        <w:rPr>
          <w:rFonts w:ascii="仿宋" w:hAnsi="仿宋" w:eastAsia="仿宋"/>
          <w:b w:val="0"/>
          <w:color w:val="000000"/>
          <w:kern w:val="2"/>
          <w:sz w:val="24"/>
          <w:szCs w:val="24"/>
          <w:lang w:val="en-US"/>
        </w:rPr>
        <w:t>国家或行业主管部门对投标人和采购服务的服务标准、质量标准和资格资质条件</w:t>
      </w:r>
      <w:r>
        <w:rPr>
          <w:rFonts w:ascii="仿宋" w:hAnsi="仿宋" w:eastAsia="仿宋"/>
          <w:b w:val="0"/>
          <w:color w:val="auto"/>
          <w:kern w:val="2"/>
          <w:sz w:val="24"/>
          <w:szCs w:val="24"/>
          <w:lang w:val="en-US"/>
        </w:rPr>
        <w:t>等有强制性规定的，投标人必须承诺符合其要求，否则作无效投标处理。</w:t>
      </w:r>
    </w:p>
    <w:p>
      <w:pPr>
        <w:numPr>
          <w:ilvl w:val="0"/>
          <w:numId w:val="47"/>
        </w:numPr>
        <w:tabs>
          <w:tab w:val="left" w:pos="0"/>
        </w:tabs>
        <w:spacing w:line="520" w:lineRule="exact"/>
        <w:ind w:left="0" w:firstLine="480" w:firstLineChars="0"/>
        <w:rPr>
          <w:rFonts w:ascii="仿宋" w:hAnsi="仿宋" w:eastAsia="仿宋"/>
          <w:b w:val="0"/>
          <w:color w:val="auto"/>
          <w:kern w:val="2"/>
          <w:sz w:val="24"/>
          <w:szCs w:val="24"/>
          <w:lang w:val="en-US"/>
        </w:rPr>
        <w:sectPr>
          <w:pgSz w:w="11906" w:h="16838"/>
          <w:pgMar w:top="1418" w:right="1134" w:bottom="1418" w:left="1701" w:header="907" w:footer="850" w:gutter="0"/>
          <w:cols w:space="720" w:num="1"/>
          <w:titlePg/>
          <w:docGrid w:type="lines" w:linePitch="437" w:charSpace="0"/>
        </w:sectPr>
      </w:pPr>
      <w:r>
        <w:rPr>
          <w:rFonts w:ascii="仿宋" w:hAnsi="仿宋" w:eastAsia="仿宋"/>
          <w:b w:val="0"/>
          <w:color w:val="auto"/>
          <w:kern w:val="2"/>
          <w:sz w:val="24"/>
          <w:szCs w:val="24"/>
          <w:lang w:val="en-US"/>
        </w:rPr>
        <w:t>根据</w:t>
      </w:r>
      <w:r>
        <w:rPr>
          <w:rFonts w:hint="eastAsia" w:ascii="仿宋" w:hAnsi="仿宋" w:eastAsia="仿宋"/>
          <w:b w:val="0"/>
          <w:color w:val="auto"/>
          <w:kern w:val="2"/>
          <w:sz w:val="24"/>
          <w:szCs w:val="24"/>
          <w:lang w:val="en-US"/>
        </w:rPr>
        <w:t>《</w:t>
      </w:r>
      <w:r>
        <w:rPr>
          <w:rFonts w:ascii="仿宋" w:hAnsi="仿宋" w:eastAsia="仿宋"/>
          <w:b w:val="0"/>
          <w:color w:val="auto"/>
          <w:kern w:val="2"/>
          <w:sz w:val="24"/>
          <w:szCs w:val="24"/>
          <w:lang w:val="en-US"/>
        </w:rPr>
        <w:t>四川省财政厅关于推进四川省政府采购供应商信用融资工作的通知</w:t>
      </w:r>
      <w:r>
        <w:rPr>
          <w:rFonts w:hint="eastAsia" w:ascii="仿宋" w:hAnsi="仿宋" w:eastAsia="仿宋"/>
          <w:b w:val="0"/>
          <w:color w:val="auto"/>
          <w:kern w:val="2"/>
          <w:sz w:val="24"/>
          <w:szCs w:val="24"/>
          <w:lang w:val="en-US"/>
        </w:rPr>
        <w:t>》</w:t>
      </w:r>
      <w:r>
        <w:rPr>
          <w:rFonts w:ascii="仿宋" w:hAnsi="仿宋" w:eastAsia="仿宋"/>
          <w:b w:val="0"/>
          <w:color w:val="auto"/>
          <w:kern w:val="2"/>
          <w:sz w:val="24"/>
          <w:szCs w:val="24"/>
          <w:lang w:val="en-US"/>
        </w:rPr>
        <w:t>（川财采[2018]123号）、</w:t>
      </w:r>
      <w:r>
        <w:rPr>
          <w:rFonts w:hint="eastAsia" w:ascii="仿宋" w:hAnsi="仿宋" w:eastAsia="仿宋"/>
          <w:b w:val="0"/>
          <w:color w:val="auto"/>
          <w:kern w:val="2"/>
          <w:sz w:val="24"/>
          <w:szCs w:val="24"/>
          <w:lang w:val="en-US"/>
        </w:rPr>
        <w:t>《</w:t>
      </w:r>
      <w:r>
        <w:rPr>
          <w:rFonts w:ascii="仿宋" w:hAnsi="仿宋" w:eastAsia="仿宋"/>
          <w:b w:val="0"/>
          <w:color w:val="auto"/>
          <w:kern w:val="2"/>
          <w:sz w:val="24"/>
          <w:szCs w:val="24"/>
          <w:lang w:val="en-US"/>
        </w:rPr>
        <w:t>成都市财政局 中国人民银行成都分行营业管理部关于印发</w:t>
      </w:r>
      <w:r>
        <w:rPr>
          <w:rFonts w:hint="eastAsia" w:ascii="仿宋" w:hAnsi="仿宋" w:eastAsia="仿宋"/>
          <w:b w:val="0"/>
          <w:color w:val="auto"/>
          <w:kern w:val="2"/>
          <w:sz w:val="24"/>
          <w:szCs w:val="24"/>
          <w:lang w:val="en-US"/>
        </w:rPr>
        <w:t>〈</w:t>
      </w:r>
      <w:r>
        <w:rPr>
          <w:rFonts w:ascii="仿宋" w:hAnsi="仿宋" w:eastAsia="仿宋"/>
          <w:b w:val="0"/>
          <w:color w:val="auto"/>
          <w:kern w:val="2"/>
          <w:sz w:val="24"/>
          <w:szCs w:val="24"/>
          <w:lang w:val="en-US"/>
        </w:rPr>
        <w:t>成都市中小企业政府采购信用融资暂行办法</w:t>
      </w:r>
      <w:r>
        <w:rPr>
          <w:rFonts w:hint="eastAsia" w:ascii="仿宋" w:hAnsi="仿宋" w:eastAsia="仿宋"/>
          <w:b w:val="0"/>
          <w:color w:val="auto"/>
          <w:kern w:val="2"/>
          <w:sz w:val="24"/>
          <w:szCs w:val="24"/>
          <w:lang w:val="en-US"/>
        </w:rPr>
        <w:t>〉</w:t>
      </w:r>
      <w:r>
        <w:rPr>
          <w:rFonts w:ascii="仿宋" w:hAnsi="仿宋" w:eastAsia="仿宋"/>
          <w:b w:val="0"/>
          <w:color w:val="auto"/>
          <w:kern w:val="2"/>
          <w:sz w:val="24"/>
          <w:szCs w:val="24"/>
          <w:lang w:val="en-US"/>
        </w:rPr>
        <w:t>和</w:t>
      </w:r>
      <w:r>
        <w:rPr>
          <w:rFonts w:hint="eastAsia" w:ascii="仿宋" w:hAnsi="仿宋" w:eastAsia="仿宋"/>
          <w:b w:val="0"/>
          <w:color w:val="auto"/>
          <w:kern w:val="2"/>
          <w:sz w:val="24"/>
          <w:szCs w:val="24"/>
          <w:lang w:val="en-US"/>
        </w:rPr>
        <w:t>〈</w:t>
      </w:r>
      <w:r>
        <w:rPr>
          <w:rFonts w:ascii="仿宋" w:hAnsi="仿宋" w:eastAsia="仿宋"/>
          <w:b w:val="0"/>
          <w:color w:val="auto"/>
          <w:kern w:val="2"/>
          <w:sz w:val="24"/>
          <w:szCs w:val="24"/>
          <w:lang w:val="en-US"/>
        </w:rPr>
        <w:t>成都市级支持中小企业政府采购信用融资实施方案</w:t>
      </w:r>
      <w:r>
        <w:rPr>
          <w:rFonts w:hint="eastAsia" w:ascii="仿宋" w:hAnsi="仿宋" w:eastAsia="仿宋"/>
          <w:b w:val="0"/>
          <w:color w:val="auto"/>
          <w:kern w:val="2"/>
          <w:sz w:val="24"/>
          <w:szCs w:val="24"/>
          <w:lang w:val="en-US"/>
        </w:rPr>
        <w:t>〉</w:t>
      </w:r>
      <w:r>
        <w:rPr>
          <w:rFonts w:ascii="仿宋" w:hAnsi="仿宋" w:eastAsia="仿宋"/>
          <w:b w:val="0"/>
          <w:color w:val="auto"/>
          <w:kern w:val="2"/>
          <w:sz w:val="24"/>
          <w:szCs w:val="24"/>
          <w:lang w:val="en-US"/>
        </w:rPr>
        <w:t>的通知</w:t>
      </w:r>
      <w:r>
        <w:rPr>
          <w:rFonts w:hint="eastAsia" w:ascii="仿宋" w:hAnsi="仿宋" w:eastAsia="仿宋"/>
          <w:b w:val="0"/>
          <w:color w:val="auto"/>
          <w:kern w:val="2"/>
          <w:sz w:val="24"/>
          <w:szCs w:val="24"/>
          <w:lang w:val="en-US"/>
        </w:rPr>
        <w:t>》</w:t>
      </w:r>
      <w:r>
        <w:rPr>
          <w:rFonts w:ascii="仿宋" w:hAnsi="仿宋" w:eastAsia="仿宋"/>
          <w:b w:val="0"/>
          <w:color w:val="auto"/>
          <w:kern w:val="2"/>
          <w:sz w:val="24"/>
          <w:szCs w:val="24"/>
          <w:lang w:val="en-US"/>
        </w:rPr>
        <w:t>（成财采[2019</w:t>
      </w:r>
      <w:r>
        <w:rPr>
          <w:rFonts w:ascii="仿宋" w:hAnsi="仿宋" w:eastAsia="仿宋"/>
          <w:b w:val="0"/>
          <w:color w:val="auto"/>
          <w:kern w:val="2"/>
          <w:sz w:val="22"/>
          <w:szCs w:val="24"/>
          <w:lang w:val="en-US"/>
        </w:rPr>
        <w:t>]17号</w:t>
      </w:r>
      <w:r>
        <w:rPr>
          <w:rFonts w:ascii="仿宋" w:hAnsi="仿宋" w:eastAsia="仿宋"/>
          <w:b w:val="0"/>
          <w:color w:val="auto"/>
          <w:kern w:val="2"/>
          <w:sz w:val="24"/>
          <w:szCs w:val="24"/>
          <w:lang w:val="en-US"/>
        </w:rPr>
        <w:t>）</w:t>
      </w:r>
      <w:r>
        <w:rPr>
          <w:rFonts w:hint="eastAsia" w:ascii="仿宋" w:hAnsi="仿宋" w:eastAsia="仿宋"/>
          <w:b w:val="0"/>
          <w:color w:val="auto"/>
          <w:kern w:val="2"/>
          <w:sz w:val="24"/>
          <w:szCs w:val="24"/>
          <w:lang w:val="en-US"/>
        </w:rPr>
        <w:t>及其附件1、附件2</w:t>
      </w:r>
      <w:r>
        <w:rPr>
          <w:rFonts w:ascii="仿宋" w:hAnsi="仿宋" w:eastAsia="仿宋"/>
          <w:b w:val="0"/>
          <w:color w:val="auto"/>
          <w:kern w:val="2"/>
          <w:sz w:val="24"/>
          <w:szCs w:val="24"/>
          <w:lang w:val="en-US"/>
        </w:rPr>
        <w:t>的要求，符合通知要求、有融资需求的供应商可根据</w:t>
      </w:r>
      <w:r>
        <w:rPr>
          <w:rFonts w:hint="eastAsia" w:ascii="仿宋" w:hAnsi="仿宋" w:eastAsia="仿宋"/>
          <w:b w:val="0"/>
          <w:color w:val="auto"/>
          <w:kern w:val="2"/>
          <w:sz w:val="24"/>
          <w:szCs w:val="24"/>
          <w:lang w:val="en-US"/>
        </w:rPr>
        <w:t>各级财政部门</w:t>
      </w:r>
      <w:r>
        <w:rPr>
          <w:rFonts w:ascii="仿宋" w:hAnsi="仿宋" w:eastAsia="仿宋"/>
          <w:b w:val="0"/>
          <w:color w:val="auto"/>
          <w:kern w:val="2"/>
          <w:sz w:val="24"/>
          <w:szCs w:val="24"/>
          <w:lang w:val="en-US"/>
        </w:rPr>
        <w:t>公示的银行或融资机构及其“政采贷”产品，自行选择符合自身情况的“政采贷”银行及其产品，凭中标通知书向银行提出贷款意向申请。银行应及时按照有关规定完成对供应商的信用审查以及开设账户等相关工作</w:t>
      </w:r>
      <w:r>
        <w:rPr>
          <w:rFonts w:hint="eastAsia" w:ascii="仿宋" w:hAnsi="仿宋" w:eastAsia="仿宋"/>
          <w:b w:val="0"/>
          <w:color w:val="auto"/>
          <w:kern w:val="2"/>
          <w:sz w:val="24"/>
          <w:szCs w:val="24"/>
          <w:lang w:val="en-US"/>
        </w:rPr>
        <w:t>。</w:t>
      </w:r>
    </w:p>
    <w:p>
      <w:pPr>
        <w:tabs>
          <w:tab w:val="left" w:pos="0"/>
        </w:tabs>
        <w:spacing w:line="240" w:lineRule="auto"/>
        <w:ind w:firstLine="641" w:firstLineChars="0"/>
        <w:rPr>
          <w:rFonts w:ascii="Times New Roman" w:hAnsi="Times New Roman"/>
          <w:b w:val="0"/>
          <w:color w:val="auto"/>
          <w:kern w:val="2"/>
          <w:sz w:val="2"/>
          <w:szCs w:val="2"/>
          <w:lang w:val="en-US"/>
        </w:rPr>
      </w:pPr>
    </w:p>
    <w:p>
      <w:pPr>
        <w:pStyle w:val="3"/>
        <w:numPr>
          <w:ilvl w:val="0"/>
          <w:numId w:val="17"/>
        </w:numPr>
        <w:adjustRightInd w:val="0"/>
        <w:spacing w:beforeLines="50" w:after="0" w:line="240" w:lineRule="auto"/>
        <w:ind w:left="0" w:firstLine="0"/>
        <w:rPr>
          <w:rFonts w:ascii="仿宋" w:hAnsi="仿宋" w:eastAsia="仿宋"/>
          <w:b/>
          <w:color w:val="auto"/>
        </w:rPr>
      </w:pPr>
      <w:bookmarkStart w:id="271" w:name="_Toc494198598"/>
      <w:r>
        <w:rPr>
          <w:rFonts w:ascii="仿宋" w:hAnsi="仿宋" w:eastAsia="仿宋"/>
          <w:b/>
          <w:color w:val="auto"/>
        </w:rPr>
        <w:t xml:space="preserve"> </w:t>
      </w:r>
      <w:bookmarkStart w:id="272" w:name="_Toc40703447"/>
      <w:bookmarkStart w:id="273" w:name="_Toc36029478"/>
      <w:r>
        <w:rPr>
          <w:rFonts w:ascii="仿宋" w:hAnsi="仿宋" w:eastAsia="仿宋"/>
          <w:b/>
          <w:color w:val="auto"/>
        </w:rPr>
        <w:t>投标文件格式</w:t>
      </w:r>
      <w:bookmarkEnd w:id="271"/>
      <w:bookmarkEnd w:id="272"/>
      <w:bookmarkEnd w:id="273"/>
    </w:p>
    <w:p>
      <w:pPr>
        <w:rPr>
          <w:rFonts w:ascii="仿宋" w:hAnsi="仿宋" w:eastAsia="仿宋"/>
        </w:rPr>
      </w:pPr>
    </w:p>
    <w:p>
      <w:pPr>
        <w:rPr>
          <w:rFonts w:ascii="仿宋" w:hAnsi="仿宋" w:eastAsia="仿宋"/>
        </w:rPr>
      </w:pPr>
    </w:p>
    <w:p>
      <w:pPr>
        <w:rPr>
          <w:rFonts w:ascii="仿宋" w:hAnsi="仿宋" w:eastAsia="仿宋"/>
        </w:rPr>
      </w:pPr>
    </w:p>
    <w:p>
      <w:pPr>
        <w:snapToGrid/>
        <w:ind w:firstLine="560"/>
        <w:rPr>
          <w:rFonts w:ascii="仿宋" w:hAnsi="仿宋" w:eastAsia="仿宋"/>
          <w:b w:val="0"/>
          <w:color w:val="auto"/>
          <w:kern w:val="2"/>
          <w:sz w:val="28"/>
          <w:szCs w:val="28"/>
          <w:lang w:val="en-US"/>
        </w:rPr>
      </w:pPr>
      <w:r>
        <w:rPr>
          <w:rFonts w:ascii="仿宋" w:hAnsi="仿宋" w:eastAsia="仿宋"/>
          <w:b w:val="0"/>
          <w:color w:val="auto"/>
          <w:kern w:val="2"/>
          <w:sz w:val="28"/>
          <w:szCs w:val="28"/>
          <w:lang w:val="en-US"/>
        </w:rPr>
        <w:t>一、本章所制投标文件格式，除格式中明确将该格式作为强制要求的外，一律不具有强制性，但是，投标人投标文件相关资料和本章所制格式不一致的，评标委员会将在评分时以投标文件不规范予以扣分处理。</w:t>
      </w:r>
    </w:p>
    <w:p>
      <w:pPr>
        <w:snapToGrid/>
        <w:ind w:firstLine="560"/>
        <w:rPr>
          <w:rFonts w:ascii="仿宋" w:hAnsi="仿宋" w:eastAsia="仿宋"/>
          <w:b w:val="0"/>
          <w:color w:val="auto"/>
          <w:kern w:val="2"/>
          <w:sz w:val="28"/>
          <w:szCs w:val="28"/>
          <w:lang w:val="en-US"/>
        </w:rPr>
      </w:pPr>
      <w:r>
        <w:rPr>
          <w:rFonts w:ascii="仿宋" w:hAnsi="仿宋" w:eastAsia="仿宋"/>
          <w:b w:val="0"/>
          <w:color w:val="auto"/>
          <w:kern w:val="2"/>
          <w:sz w:val="28"/>
          <w:szCs w:val="28"/>
          <w:lang w:val="en-US"/>
        </w:rPr>
        <w:t>二、本章所制投标文件格式有关表格中的备注栏，由投标人根据自身投标情况作解释性说明，不作为必填项。</w:t>
      </w:r>
    </w:p>
    <w:p>
      <w:pPr>
        <w:rPr>
          <w:rFonts w:ascii="仿宋" w:hAnsi="仿宋" w:eastAsia="仿宋"/>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keepNext/>
        <w:numPr>
          <w:ilvl w:val="1"/>
          <w:numId w:val="17"/>
        </w:numPr>
        <w:tabs>
          <w:tab w:val="left" w:pos="360"/>
        </w:tabs>
        <w:spacing w:line="520" w:lineRule="exact"/>
        <w:ind w:left="0" w:firstLine="0" w:firstLineChars="0"/>
        <w:jc w:val="left"/>
        <w:outlineLvl w:val="1"/>
        <w:rPr>
          <w:rFonts w:ascii="仿宋" w:hAnsi="仿宋" w:eastAsia="仿宋"/>
          <w:bCs/>
          <w:color w:val="auto"/>
          <w:kern w:val="2"/>
          <w:sz w:val="24"/>
          <w:szCs w:val="24"/>
          <w:lang w:val="en-US"/>
        </w:rPr>
      </w:pPr>
      <w:bookmarkStart w:id="274" w:name="_Toc318203498"/>
      <w:bookmarkEnd w:id="274"/>
      <w:bookmarkStart w:id="275" w:name="_Toc36029479"/>
      <w:r>
        <w:rPr>
          <w:rFonts w:ascii="仿宋" w:hAnsi="仿宋" w:eastAsia="仿宋"/>
          <w:bCs/>
          <w:color w:val="auto"/>
          <w:kern w:val="2"/>
          <w:sz w:val="24"/>
          <w:szCs w:val="24"/>
          <w:lang w:val="en-US"/>
        </w:rPr>
        <w:t xml:space="preserve"> </w:t>
      </w:r>
      <w:bookmarkStart w:id="276" w:name="_Toc40703448"/>
      <w:r>
        <w:rPr>
          <w:rFonts w:ascii="仿宋" w:hAnsi="仿宋" w:eastAsia="仿宋"/>
          <w:bCs/>
          <w:color w:val="auto"/>
          <w:kern w:val="2"/>
          <w:sz w:val="24"/>
          <w:szCs w:val="24"/>
          <w:lang w:val="en-US"/>
        </w:rPr>
        <w:t>开标一览表格式</w:t>
      </w:r>
      <w:bookmarkEnd w:id="275"/>
      <w:bookmarkEnd w:id="276"/>
      <w:bookmarkStart w:id="277" w:name="_Toc257208177"/>
      <w:bookmarkEnd w:id="277"/>
      <w:bookmarkStart w:id="278" w:name="_Toc257273574"/>
      <w:bookmarkEnd w:id="278"/>
      <w:bookmarkStart w:id="279" w:name="_Toc257273534"/>
      <w:bookmarkEnd w:id="279"/>
      <w:bookmarkStart w:id="280" w:name="_Toc257273670"/>
      <w:bookmarkEnd w:id="280"/>
      <w:bookmarkStart w:id="281" w:name="_Toc257208182"/>
      <w:bookmarkEnd w:id="281"/>
      <w:bookmarkStart w:id="282" w:name="_Toc257208358"/>
      <w:bookmarkEnd w:id="282"/>
      <w:bookmarkStart w:id="283" w:name="_Toc257208197"/>
      <w:bookmarkEnd w:id="283"/>
      <w:bookmarkStart w:id="284" w:name="_Toc257273695"/>
      <w:bookmarkEnd w:id="284"/>
      <w:bookmarkStart w:id="285" w:name="_Toc257208184"/>
      <w:bookmarkEnd w:id="285"/>
      <w:bookmarkStart w:id="286" w:name="_Toc257273675"/>
      <w:bookmarkEnd w:id="286"/>
      <w:bookmarkStart w:id="287" w:name="_Toc257208203"/>
      <w:bookmarkEnd w:id="287"/>
      <w:bookmarkStart w:id="288" w:name="_Toc257208322"/>
      <w:bookmarkEnd w:id="288"/>
      <w:bookmarkStart w:id="289" w:name="_Toc257273529"/>
      <w:bookmarkEnd w:id="289"/>
      <w:bookmarkStart w:id="290" w:name="_Toc257273710"/>
      <w:bookmarkEnd w:id="290"/>
      <w:bookmarkStart w:id="291" w:name="_Toc257273531"/>
      <w:bookmarkEnd w:id="291"/>
      <w:bookmarkStart w:id="292" w:name="_Toc257273655"/>
      <w:bookmarkEnd w:id="292"/>
      <w:bookmarkStart w:id="293" w:name="_Toc257208343"/>
      <w:bookmarkEnd w:id="293"/>
      <w:bookmarkStart w:id="294" w:name="_Toc257208234"/>
      <w:bookmarkEnd w:id="294"/>
      <w:bookmarkStart w:id="295" w:name="_Toc257208302"/>
      <w:bookmarkEnd w:id="295"/>
      <w:bookmarkStart w:id="296" w:name="_Toc257208344"/>
      <w:bookmarkEnd w:id="296"/>
      <w:bookmarkStart w:id="297" w:name="_Toc257273685"/>
      <w:bookmarkEnd w:id="297"/>
      <w:bookmarkStart w:id="298" w:name="_Toc257273537"/>
      <w:bookmarkEnd w:id="298"/>
      <w:bookmarkStart w:id="299" w:name="_Toc257273630"/>
      <w:bookmarkEnd w:id="299"/>
      <w:bookmarkStart w:id="300" w:name="_Toc257208183"/>
      <w:bookmarkEnd w:id="300"/>
      <w:bookmarkStart w:id="301" w:name="_Toc257273536"/>
      <w:bookmarkEnd w:id="301"/>
      <w:bookmarkStart w:id="302" w:name="_Toc257208181"/>
      <w:bookmarkEnd w:id="302"/>
      <w:bookmarkStart w:id="303" w:name="_Toc257273535"/>
      <w:bookmarkEnd w:id="303"/>
      <w:bookmarkStart w:id="304" w:name="_Toc257273556"/>
      <w:bookmarkEnd w:id="304"/>
      <w:bookmarkStart w:id="305" w:name="_Toc257273645"/>
      <w:bookmarkEnd w:id="305"/>
      <w:bookmarkStart w:id="306" w:name="_Toc257208287"/>
      <w:bookmarkEnd w:id="306"/>
      <w:bookmarkStart w:id="307" w:name="_Toc257273550"/>
      <w:bookmarkEnd w:id="307"/>
      <w:bookmarkStart w:id="308" w:name="_Toc257208332"/>
      <w:bookmarkEnd w:id="308"/>
      <w:bookmarkStart w:id="309" w:name="_Toc257208221"/>
      <w:bookmarkEnd w:id="309"/>
      <w:bookmarkStart w:id="310" w:name="_Toc257273640"/>
      <w:bookmarkEnd w:id="310"/>
      <w:bookmarkStart w:id="311" w:name="_Toc257273660"/>
      <w:bookmarkEnd w:id="311"/>
      <w:bookmarkStart w:id="312" w:name="_Toc257208307"/>
      <w:bookmarkEnd w:id="312"/>
      <w:bookmarkStart w:id="313" w:name="_Toc257208357"/>
      <w:bookmarkEnd w:id="313"/>
      <w:bookmarkStart w:id="314" w:name="_Toc257273587"/>
      <w:bookmarkEnd w:id="314"/>
      <w:bookmarkStart w:id="315" w:name="_Toc257273709"/>
      <w:bookmarkEnd w:id="315"/>
      <w:bookmarkStart w:id="316" w:name="_Toc257208227"/>
      <w:bookmarkEnd w:id="316"/>
      <w:bookmarkStart w:id="317" w:name="_Toc257273696"/>
      <w:bookmarkEnd w:id="317"/>
      <w:bookmarkStart w:id="318" w:name="_Toc257208277"/>
      <w:bookmarkEnd w:id="318"/>
      <w:bookmarkStart w:id="319" w:name="_Toc257208317"/>
      <w:bookmarkEnd w:id="319"/>
      <w:bookmarkStart w:id="320" w:name="_Toc257273532"/>
      <w:bookmarkEnd w:id="320"/>
      <w:bookmarkStart w:id="321" w:name="_Toc257208342"/>
      <w:bookmarkEnd w:id="321"/>
      <w:bookmarkStart w:id="322" w:name="_Toc257208179"/>
      <w:bookmarkEnd w:id="322"/>
      <w:bookmarkStart w:id="323" w:name="_Toc257208356"/>
      <w:bookmarkEnd w:id="323"/>
      <w:bookmarkStart w:id="324" w:name="_Toc257273533"/>
      <w:bookmarkEnd w:id="324"/>
      <w:bookmarkStart w:id="325" w:name="_Toc257208180"/>
      <w:bookmarkEnd w:id="325"/>
      <w:bookmarkStart w:id="326" w:name="_Toc257273580"/>
      <w:bookmarkEnd w:id="326"/>
      <w:bookmarkStart w:id="327" w:name="_Toc257273625"/>
      <w:bookmarkEnd w:id="327"/>
      <w:bookmarkStart w:id="328" w:name="_Toc257273711"/>
      <w:bookmarkEnd w:id="328"/>
      <w:bookmarkStart w:id="329" w:name="_Toc257208272"/>
      <w:bookmarkEnd w:id="329"/>
      <w:bookmarkStart w:id="330" w:name="_Toc257208176"/>
      <w:bookmarkEnd w:id="330"/>
      <w:bookmarkStart w:id="331" w:name="_Toc257208178"/>
      <w:bookmarkEnd w:id="331"/>
      <w:bookmarkStart w:id="332" w:name="_Toc257273697"/>
      <w:bookmarkEnd w:id="332"/>
      <w:bookmarkStart w:id="333" w:name="_Toc257208292"/>
      <w:bookmarkEnd w:id="333"/>
      <w:bookmarkStart w:id="334" w:name="_Toc257273530"/>
      <w:bookmarkEnd w:id="334"/>
      <w:bookmarkStart w:id="335" w:name="_Toc76132887"/>
      <w:bookmarkStart w:id="336" w:name="_Toc76132174"/>
      <w:bookmarkStart w:id="337" w:name="_Toc95295156"/>
      <w:bookmarkStart w:id="338" w:name="_Toc532877864"/>
      <w:bookmarkStart w:id="339" w:name="_Toc46394754"/>
      <w:bookmarkStart w:id="340" w:name="_Toc531666042"/>
      <w:bookmarkStart w:id="341" w:name="_Toc531764933"/>
      <w:bookmarkStart w:id="342" w:name="_Toc532292813"/>
      <w:bookmarkStart w:id="343" w:name="_Toc532292533"/>
      <w:bookmarkStart w:id="344" w:name="_Toc531661861"/>
      <w:bookmarkStart w:id="345" w:name="_Toc532292615"/>
      <w:bookmarkStart w:id="346" w:name="_Toc263753599"/>
      <w:bookmarkStart w:id="347" w:name="_Toc351016487"/>
      <w:bookmarkStart w:id="348" w:name="_Toc174767228"/>
      <w:bookmarkStart w:id="349" w:name="_Toc263768863"/>
      <w:bookmarkStart w:id="350" w:name="_Toc295978803"/>
      <w:bookmarkStart w:id="351" w:name="_Toc256175344"/>
    </w:p>
    <w:p>
      <w:pPr>
        <w:keepNext/>
        <w:keepLines/>
        <w:numPr>
          <w:ilvl w:val="2"/>
          <w:numId w:val="17"/>
        </w:numPr>
        <w:tabs>
          <w:tab w:val="left" w:pos="360"/>
        </w:tabs>
        <w:snapToGrid/>
        <w:spacing w:line="520" w:lineRule="exact"/>
        <w:ind w:left="0" w:firstLine="0" w:firstLineChars="0"/>
        <w:jc w:val="left"/>
        <w:outlineLvl w:val="2"/>
        <w:rPr>
          <w:rFonts w:ascii="仿宋" w:hAnsi="仿宋" w:eastAsia="仿宋"/>
          <w:bCs/>
          <w:color w:val="auto"/>
          <w:kern w:val="2"/>
          <w:sz w:val="24"/>
          <w:szCs w:val="24"/>
          <w:lang w:val="en-US"/>
        </w:rPr>
      </w:pPr>
      <w:bookmarkStart w:id="352" w:name="_Toc494198600"/>
      <w:bookmarkStart w:id="353" w:name="_Toc494198926"/>
      <w:bookmarkStart w:id="354" w:name="_Toc466895946"/>
      <w:bookmarkStart w:id="355" w:name="_Toc500492729"/>
      <w:bookmarkStart w:id="356" w:name="_Toc496605633"/>
      <w:r>
        <w:rPr>
          <w:rFonts w:ascii="仿宋" w:hAnsi="仿宋" w:eastAsia="仿宋"/>
          <w:bCs/>
          <w:color w:val="auto"/>
          <w:kern w:val="2"/>
          <w:sz w:val="24"/>
          <w:szCs w:val="24"/>
          <w:lang w:val="en-US"/>
        </w:rPr>
        <w:t>开标一览表</w:t>
      </w:r>
      <w:bookmarkEnd w:id="352"/>
      <w:bookmarkEnd w:id="353"/>
      <w:bookmarkEnd w:id="354"/>
      <w:bookmarkEnd w:id="355"/>
      <w:bookmarkEnd w:id="356"/>
      <w:r>
        <w:rPr>
          <w:rFonts w:ascii="仿宋" w:hAnsi="仿宋" w:eastAsia="仿宋"/>
          <w:bCs/>
          <w:color w:val="auto"/>
          <w:kern w:val="2"/>
          <w:sz w:val="24"/>
          <w:szCs w:val="24"/>
          <w:lang w:val="en-US"/>
        </w:rPr>
        <w:t>密封包装最外层格式</w:t>
      </w:r>
    </w:p>
    <w:p>
      <w:pPr>
        <w:snapToGrid/>
        <w:ind w:firstLine="0" w:firstLineChars="0"/>
        <w:jc w:val="center"/>
        <w:rPr>
          <w:rFonts w:ascii="仿宋" w:hAnsi="仿宋" w:eastAsia="仿宋"/>
          <w:b w:val="0"/>
          <w:color w:val="auto"/>
          <w:spacing w:val="78"/>
          <w:kern w:val="2"/>
          <w:sz w:val="120"/>
          <w:szCs w:val="120"/>
          <w:lang w:val="en-US"/>
        </w:rPr>
      </w:pPr>
    </w:p>
    <w:p>
      <w:pPr>
        <w:snapToGrid/>
        <w:ind w:firstLine="0" w:firstLineChars="0"/>
        <w:jc w:val="center"/>
        <w:rPr>
          <w:rFonts w:ascii="仿宋" w:hAnsi="仿宋" w:eastAsia="仿宋"/>
          <w:b w:val="0"/>
          <w:color w:val="auto"/>
          <w:spacing w:val="78"/>
          <w:kern w:val="2"/>
          <w:sz w:val="120"/>
          <w:szCs w:val="120"/>
          <w:lang w:val="en-US"/>
        </w:rPr>
      </w:pPr>
      <w:r>
        <w:rPr>
          <w:rFonts w:ascii="仿宋" w:hAnsi="仿宋" w:eastAsia="仿宋"/>
          <w:b w:val="0"/>
          <w:color w:val="auto"/>
          <w:spacing w:val="78"/>
          <w:kern w:val="2"/>
          <w:sz w:val="120"/>
          <w:szCs w:val="120"/>
          <w:lang w:val="en-US"/>
        </w:rPr>
        <w:t>开标一览表</w:t>
      </w:r>
    </w:p>
    <w:p>
      <w:pPr>
        <w:rPr>
          <w:rFonts w:ascii="仿宋" w:hAnsi="仿宋" w:eastAsia="仿宋"/>
        </w:rPr>
      </w:pPr>
    </w:p>
    <w:p>
      <w:pPr>
        <w:rPr>
          <w:rFonts w:ascii="仿宋" w:hAnsi="仿宋" w:eastAsia="仿宋"/>
        </w:rPr>
      </w:pPr>
    </w:p>
    <w:p>
      <w:pPr>
        <w:snapToGrid/>
        <w:ind w:firstLine="1108" w:firstLineChars="345"/>
        <w:rPr>
          <w:rFonts w:ascii="仿宋" w:hAnsi="仿宋" w:eastAsia="仿宋"/>
          <w:bCs/>
          <w:color w:val="auto"/>
          <w:kern w:val="2"/>
          <w:lang w:val="en-US"/>
        </w:rPr>
      </w:pPr>
      <w:r>
        <w:rPr>
          <w:rFonts w:ascii="仿宋" w:hAnsi="仿宋" w:eastAsia="仿宋"/>
          <w:bCs/>
          <w:color w:val="auto"/>
          <w:kern w:val="2"/>
          <w:lang w:val="en-US"/>
        </w:rPr>
        <w:t>采购项目名称：</w:t>
      </w:r>
    </w:p>
    <w:p>
      <w:pPr>
        <w:snapToGrid/>
        <w:ind w:left="2729" w:leftChars="355" w:hanging="1593" w:hangingChars="496"/>
        <w:rPr>
          <w:rFonts w:ascii="仿宋" w:hAnsi="仿宋" w:eastAsia="仿宋"/>
          <w:bCs/>
          <w:color w:val="auto"/>
          <w:kern w:val="2"/>
          <w:lang w:val="en-US"/>
        </w:rPr>
      </w:pPr>
      <w:r>
        <w:rPr>
          <w:rFonts w:ascii="仿宋" w:hAnsi="仿宋" w:eastAsia="仿宋"/>
          <w:bCs/>
          <w:color w:val="auto"/>
          <w:kern w:val="2"/>
          <w:lang w:val="en-US"/>
        </w:rPr>
        <w:t>采购项目编号：</w:t>
      </w:r>
    </w:p>
    <w:p>
      <w:pPr>
        <w:snapToGrid/>
        <w:ind w:left="2729" w:leftChars="355" w:hanging="1593" w:hangingChars="496"/>
        <w:rPr>
          <w:rFonts w:hint="eastAsia" w:ascii="仿宋" w:hAnsi="仿宋" w:eastAsia="仿宋"/>
          <w:bCs/>
          <w:kern w:val="2"/>
          <w:lang w:val="en-US"/>
        </w:rPr>
      </w:pPr>
    </w:p>
    <w:p>
      <w:pPr>
        <w:rPr>
          <w:rFonts w:ascii="仿宋" w:hAnsi="仿宋" w:eastAsia="仿宋"/>
        </w:rPr>
      </w:pPr>
    </w:p>
    <w:p>
      <w:pPr>
        <w:rPr>
          <w:rFonts w:ascii="仿宋" w:hAnsi="仿宋" w:eastAsia="仿宋"/>
        </w:rPr>
      </w:pPr>
    </w:p>
    <w:p>
      <w:pPr>
        <w:rPr>
          <w:rFonts w:ascii="仿宋" w:hAnsi="仿宋" w:eastAsia="仿宋"/>
        </w:rPr>
      </w:pPr>
    </w:p>
    <w:p>
      <w:pPr>
        <w:snapToGrid/>
        <w:ind w:firstLine="0" w:firstLineChars="0"/>
        <w:jc w:val="center"/>
        <w:rPr>
          <w:rFonts w:ascii="仿宋" w:hAnsi="仿宋" w:eastAsia="仿宋"/>
          <w:color w:val="auto"/>
          <w:kern w:val="2"/>
          <w:lang w:val="en-US"/>
        </w:rPr>
      </w:pPr>
      <w:r>
        <w:rPr>
          <w:rFonts w:ascii="仿宋" w:hAnsi="仿宋" w:eastAsia="仿宋"/>
          <w:color w:val="auto"/>
          <w:kern w:val="2"/>
          <w:lang w:val="en-US"/>
        </w:rPr>
        <w:t>投标人名称：</w:t>
      </w:r>
      <w:r>
        <w:rPr>
          <w:rFonts w:ascii="仿宋" w:hAnsi="仿宋" w:eastAsia="仿宋"/>
          <w:color w:val="auto"/>
          <w:kern w:val="2"/>
          <w:u w:val="single"/>
          <w:lang w:val="en-US"/>
        </w:rPr>
        <w:t xml:space="preserve">            （加盖公章）</w:t>
      </w:r>
    </w:p>
    <w:p>
      <w:pPr>
        <w:snapToGrid/>
        <w:ind w:firstLine="1606" w:firstLineChars="500"/>
        <w:jc w:val="left"/>
        <w:rPr>
          <w:rFonts w:ascii="仿宋" w:hAnsi="仿宋" w:eastAsia="仿宋"/>
          <w:color w:val="auto"/>
          <w:kern w:val="2"/>
          <w:lang w:val="en-US"/>
        </w:rPr>
      </w:pPr>
    </w:p>
    <w:p>
      <w:pPr>
        <w:snapToGrid/>
        <w:ind w:firstLine="1606" w:firstLineChars="500"/>
        <w:jc w:val="left"/>
        <w:rPr>
          <w:rFonts w:ascii="仿宋" w:hAnsi="仿宋" w:eastAsia="仿宋"/>
          <w:color w:val="auto"/>
          <w:kern w:val="2"/>
          <w:lang w:val="en-US"/>
        </w:rPr>
      </w:pPr>
    </w:p>
    <w:p>
      <w:pPr>
        <w:snapToGrid/>
        <w:ind w:firstLine="1606" w:firstLineChars="500"/>
        <w:jc w:val="left"/>
        <w:rPr>
          <w:rFonts w:ascii="仿宋" w:hAnsi="仿宋" w:eastAsia="仿宋"/>
          <w:color w:val="auto"/>
          <w:kern w:val="2"/>
          <w:lang w:val="en-US"/>
        </w:rPr>
      </w:pPr>
    </w:p>
    <w:p>
      <w:pPr>
        <w:ind w:firstLine="0" w:firstLineChars="0"/>
        <w:jc w:val="center"/>
        <w:rPr>
          <w:rFonts w:ascii="仿宋" w:hAnsi="仿宋" w:eastAsia="仿宋"/>
          <w:color w:val="auto"/>
          <w:kern w:val="2"/>
          <w:lang w:val="en-US"/>
        </w:rPr>
      </w:pPr>
      <w:r>
        <w:rPr>
          <w:rFonts w:ascii="仿宋" w:hAnsi="仿宋" w:eastAsia="仿宋"/>
          <w:color w:val="auto"/>
          <w:kern w:val="2"/>
          <w:lang w:val="en-US"/>
        </w:rPr>
        <w:t>开标时间之前不准启封</w:t>
      </w:r>
    </w:p>
    <w:p>
      <w:pPr>
        <w:ind w:firstLine="0" w:firstLineChars="0"/>
        <w:jc w:val="center"/>
        <w:rPr>
          <w:rFonts w:ascii="仿宋" w:hAnsi="仿宋" w:eastAsia="仿宋"/>
        </w:rPr>
      </w:pPr>
      <w:r>
        <w:rPr>
          <w:rFonts w:ascii="仿宋" w:hAnsi="仿宋" w:eastAsia="仿宋"/>
          <w:color w:val="auto"/>
          <w:kern w:val="2"/>
          <w:lang w:val="en-US"/>
        </w:rPr>
        <w:t>或 20   年   月   日   :   前不准启封</w:t>
      </w:r>
    </w:p>
    <w:p>
      <w:pPr>
        <w:rPr>
          <w:rFonts w:ascii="仿宋" w:hAnsi="仿宋" w:eastAsia="仿宋"/>
        </w:rPr>
      </w:pPr>
    </w:p>
    <w:p>
      <w:pPr>
        <w:keepNext/>
        <w:keepLines/>
        <w:numPr>
          <w:ilvl w:val="2"/>
          <w:numId w:val="17"/>
        </w:numPr>
        <w:tabs>
          <w:tab w:val="left" w:pos="360"/>
        </w:tabs>
        <w:snapToGrid/>
        <w:spacing w:line="520" w:lineRule="exact"/>
        <w:ind w:left="0" w:firstLine="0" w:firstLineChars="0"/>
        <w:jc w:val="left"/>
        <w:outlineLvl w:val="2"/>
        <w:rPr>
          <w:rFonts w:ascii="仿宋" w:hAnsi="仿宋" w:eastAsia="仿宋"/>
          <w:bCs/>
          <w:color w:val="auto"/>
          <w:kern w:val="2"/>
          <w:sz w:val="24"/>
          <w:szCs w:val="24"/>
          <w:lang w:val="en-US"/>
        </w:rPr>
      </w:pPr>
      <w:bookmarkStart w:id="357" w:name="_Toc295978804"/>
      <w:bookmarkStart w:id="358" w:name="_Toc494198603"/>
      <w:bookmarkStart w:id="359" w:name="_Toc351016488"/>
      <w:bookmarkStart w:id="360" w:name="_Toc294518930"/>
      <w:r>
        <w:rPr>
          <w:rFonts w:ascii="仿宋" w:hAnsi="仿宋" w:eastAsia="仿宋"/>
          <w:bCs/>
          <w:color w:val="auto"/>
          <w:kern w:val="2"/>
          <w:sz w:val="24"/>
          <w:szCs w:val="24"/>
          <w:lang w:val="en-US"/>
        </w:rPr>
        <w:t xml:space="preserve"> </w:t>
      </w:r>
      <w:bookmarkStart w:id="361" w:name="_Toc36029480"/>
      <w:r>
        <w:rPr>
          <w:rFonts w:ascii="仿宋" w:hAnsi="仿宋" w:eastAsia="仿宋"/>
          <w:bCs/>
          <w:color w:val="auto"/>
          <w:kern w:val="2"/>
          <w:sz w:val="24"/>
          <w:szCs w:val="24"/>
          <w:lang w:val="en-US"/>
        </w:rPr>
        <w:t>开标一览表</w:t>
      </w:r>
      <w:bookmarkEnd w:id="357"/>
      <w:bookmarkEnd w:id="358"/>
      <w:bookmarkEnd w:id="359"/>
      <w:bookmarkEnd w:id="360"/>
      <w:bookmarkEnd w:id="361"/>
    </w:p>
    <w:p>
      <w:pPr>
        <w:ind w:firstLine="480"/>
        <w:rPr>
          <w:rFonts w:ascii="仿宋" w:hAnsi="仿宋" w:eastAsia="仿宋"/>
          <w:b w:val="0"/>
          <w:color w:val="auto"/>
          <w:kern w:val="2"/>
          <w:sz w:val="24"/>
          <w:szCs w:val="24"/>
          <w:lang w:val="en-US"/>
        </w:rPr>
      </w:pPr>
      <w:bookmarkStart w:id="362" w:name="_Toc351016490"/>
    </w:p>
    <w:p>
      <w:pPr>
        <w:snapToGrid/>
        <w:spacing w:line="240" w:lineRule="auto"/>
        <w:ind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采购项目名称：</w:t>
      </w:r>
    </w:p>
    <w:p>
      <w:pPr>
        <w:snapToGrid/>
        <w:spacing w:line="240" w:lineRule="auto"/>
        <w:ind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采购项目编号：</w:t>
      </w:r>
    </w:p>
    <w:p>
      <w:pPr>
        <w:rPr>
          <w:lang w:val="en-US"/>
        </w:rPr>
      </w:pPr>
    </w:p>
    <w:tbl>
      <w:tblPr>
        <w:tblStyle w:val="76"/>
        <w:tblW w:w="8478"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3394"/>
        <w:gridCol w:w="2395"/>
        <w:gridCol w:w="2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540" w:type="dxa"/>
            <w:vAlign w:val="center"/>
          </w:tcPr>
          <w:p>
            <w:pPr>
              <w:widowControl/>
              <w:ind w:firstLine="0" w:firstLineChars="0"/>
              <w:jc w:val="center"/>
              <w:rPr>
                <w:rFonts w:ascii="仿宋" w:hAnsi="仿宋" w:eastAsia="仿宋" w:cs="宋体"/>
                <w:bCs/>
                <w:color w:val="000000"/>
                <w:sz w:val="24"/>
              </w:rPr>
            </w:pPr>
            <w:r>
              <w:rPr>
                <w:rFonts w:hint="eastAsia" w:ascii="仿宋" w:hAnsi="仿宋" w:eastAsia="仿宋" w:cs="宋体"/>
                <w:bCs/>
                <w:color w:val="000000"/>
                <w:sz w:val="24"/>
              </w:rPr>
              <w:t>序号</w:t>
            </w:r>
          </w:p>
        </w:tc>
        <w:tc>
          <w:tcPr>
            <w:tcW w:w="3394" w:type="dxa"/>
            <w:vAlign w:val="center"/>
          </w:tcPr>
          <w:p>
            <w:pPr>
              <w:ind w:firstLine="0" w:firstLineChars="0"/>
              <w:jc w:val="center"/>
              <w:rPr>
                <w:rFonts w:hint="eastAsia" w:ascii="仿宋" w:hAnsi="仿宋" w:eastAsia="仿宋" w:cs="宋体"/>
                <w:bCs/>
                <w:color w:val="000000"/>
                <w:sz w:val="24"/>
              </w:rPr>
            </w:pPr>
            <w:r>
              <w:rPr>
                <w:rFonts w:hint="eastAsia" w:ascii="仿宋" w:hAnsi="仿宋" w:eastAsia="仿宋" w:cs="宋体"/>
                <w:bCs/>
                <w:color w:val="000000"/>
                <w:sz w:val="24"/>
              </w:rPr>
              <w:t>服务内容</w:t>
            </w:r>
          </w:p>
        </w:tc>
        <w:tc>
          <w:tcPr>
            <w:tcW w:w="2395" w:type="dxa"/>
            <w:vAlign w:val="center"/>
          </w:tcPr>
          <w:p>
            <w:pPr>
              <w:widowControl/>
              <w:ind w:firstLine="0" w:firstLineChars="0"/>
              <w:jc w:val="center"/>
              <w:rPr>
                <w:rFonts w:hint="eastAsia" w:ascii="仿宋" w:hAnsi="仿宋" w:eastAsia="仿宋" w:cs="宋体"/>
                <w:bCs/>
                <w:color w:val="000000"/>
                <w:sz w:val="24"/>
              </w:rPr>
            </w:pPr>
            <w:r>
              <w:rPr>
                <w:rFonts w:hint="eastAsia" w:ascii="仿宋" w:hAnsi="仿宋" w:eastAsia="仿宋" w:cs="宋体"/>
                <w:bCs/>
                <w:color w:val="000000"/>
                <w:sz w:val="24"/>
              </w:rPr>
              <w:t>报价</w:t>
            </w:r>
          </w:p>
        </w:tc>
        <w:tc>
          <w:tcPr>
            <w:tcW w:w="2149" w:type="dxa"/>
            <w:vAlign w:val="center"/>
          </w:tcPr>
          <w:p>
            <w:pPr>
              <w:widowControl/>
              <w:ind w:firstLine="0" w:firstLineChars="0"/>
              <w:jc w:val="center"/>
              <w:rPr>
                <w:rFonts w:ascii="仿宋" w:hAnsi="仿宋" w:eastAsia="仿宋" w:cs="宋体"/>
                <w:bCs/>
                <w:color w:val="000000"/>
                <w:sz w:val="24"/>
              </w:rPr>
            </w:pPr>
            <w:r>
              <w:rPr>
                <w:rFonts w:hint="eastAsia" w:ascii="仿宋" w:hAnsi="仿宋" w:eastAsia="仿宋" w:cs="宋体"/>
                <w:bCs/>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540" w:type="dxa"/>
            <w:vAlign w:val="center"/>
          </w:tcPr>
          <w:p>
            <w:pPr>
              <w:widowControl/>
              <w:ind w:firstLine="0" w:firstLineChars="0"/>
              <w:jc w:val="center"/>
              <w:rPr>
                <w:rFonts w:hint="eastAsia" w:ascii="仿宋" w:hAnsi="仿宋" w:eastAsia="仿宋" w:cs="宋体"/>
                <w:bCs/>
                <w:color w:val="000000"/>
                <w:sz w:val="24"/>
              </w:rPr>
            </w:pPr>
            <w:r>
              <w:rPr>
                <w:rFonts w:hint="eastAsia" w:ascii="仿宋" w:hAnsi="仿宋" w:eastAsia="仿宋" w:cs="宋体"/>
                <w:bCs/>
                <w:color w:val="000000"/>
                <w:sz w:val="24"/>
                <w:lang w:val="en-US"/>
              </w:rPr>
              <w:t>1</w:t>
            </w:r>
          </w:p>
        </w:tc>
        <w:tc>
          <w:tcPr>
            <w:tcW w:w="3394" w:type="dxa"/>
            <w:vAlign w:val="center"/>
          </w:tcPr>
          <w:p>
            <w:pPr>
              <w:ind w:firstLine="0" w:firstLineChars="0"/>
              <w:jc w:val="center"/>
              <w:rPr>
                <w:rFonts w:ascii="仿宋" w:hAnsi="仿宋" w:eastAsia="仿宋" w:cs="宋体"/>
                <w:b w:val="0"/>
                <w:color w:val="auto"/>
                <w:sz w:val="24"/>
              </w:rPr>
            </w:pPr>
            <w:r>
              <w:rPr>
                <w:rFonts w:hint="eastAsia" w:ascii="仿宋" w:hAnsi="仿宋" w:eastAsia="仿宋" w:cs="宋体"/>
                <w:b w:val="0"/>
                <w:color w:val="auto"/>
                <w:sz w:val="24"/>
              </w:rPr>
              <w:t>服务管理费</w:t>
            </w:r>
          </w:p>
        </w:tc>
        <w:tc>
          <w:tcPr>
            <w:tcW w:w="2395" w:type="dxa"/>
            <w:vAlign w:val="center"/>
          </w:tcPr>
          <w:p>
            <w:pPr>
              <w:widowControl/>
              <w:ind w:firstLine="0" w:firstLineChars="0"/>
              <w:jc w:val="center"/>
              <w:rPr>
                <w:rFonts w:ascii="仿宋" w:hAnsi="仿宋" w:eastAsia="仿宋" w:cs="宋体"/>
                <w:b w:val="0"/>
                <w:color w:val="auto"/>
                <w:sz w:val="24"/>
                <w:lang w:val="en-US"/>
              </w:rPr>
            </w:pPr>
            <w:r>
              <w:rPr>
                <w:rFonts w:hint="eastAsia" w:ascii="仿宋" w:hAnsi="仿宋" w:eastAsia="仿宋" w:cs="宋体"/>
                <w:b w:val="0"/>
                <w:color w:val="auto"/>
                <w:sz w:val="24"/>
              </w:rPr>
              <w:t>不可竞争费用的</w:t>
            </w:r>
            <w:r>
              <w:rPr>
                <w:rFonts w:hint="eastAsia" w:ascii="仿宋" w:hAnsi="仿宋" w:eastAsia="仿宋" w:cs="宋体"/>
                <w:b w:val="0"/>
                <w:color w:val="auto"/>
                <w:sz w:val="24"/>
                <w:u w:val="single"/>
                <w:lang w:val="en-US"/>
              </w:rPr>
              <w:t xml:space="preserve">    </w:t>
            </w:r>
            <w:r>
              <w:rPr>
                <w:rFonts w:hint="eastAsia" w:ascii="仿宋" w:hAnsi="仿宋" w:eastAsia="仿宋" w:cs="宋体"/>
                <w:b w:val="0"/>
                <w:color w:val="auto"/>
                <w:sz w:val="24"/>
                <w:lang w:val="en-US"/>
              </w:rPr>
              <w:t>%</w:t>
            </w:r>
          </w:p>
        </w:tc>
        <w:tc>
          <w:tcPr>
            <w:tcW w:w="2149" w:type="dxa"/>
            <w:vAlign w:val="center"/>
          </w:tcPr>
          <w:p>
            <w:pPr>
              <w:widowControl/>
              <w:ind w:firstLine="0" w:firstLineChars="0"/>
              <w:jc w:val="center"/>
              <w:rPr>
                <w:rFonts w:ascii="仿宋" w:hAnsi="仿宋" w:eastAsia="仿宋" w:cs="宋体"/>
                <w:b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3934" w:type="dxa"/>
            <w:gridSpan w:val="2"/>
            <w:vAlign w:val="center"/>
          </w:tcPr>
          <w:p>
            <w:pPr>
              <w:snapToGrid/>
              <w:spacing w:line="240" w:lineRule="auto"/>
              <w:ind w:firstLine="482"/>
              <w:jc w:val="center"/>
              <w:rPr>
                <w:rFonts w:ascii="仿宋" w:hAnsi="仿宋" w:eastAsia="仿宋" w:cs="宋体"/>
                <w:bCs/>
                <w:color w:val="000000"/>
                <w:sz w:val="24"/>
                <w:lang w:val="en-US"/>
              </w:rPr>
            </w:pPr>
            <w:r>
              <w:rPr>
                <w:rFonts w:ascii="仿宋" w:hAnsi="仿宋" w:eastAsia="仿宋"/>
                <w:color w:val="auto"/>
                <w:kern w:val="2"/>
                <w:sz w:val="24"/>
                <w:szCs w:val="24"/>
                <w:lang w:val="en-US"/>
              </w:rPr>
              <w:t>投标报价</w:t>
            </w:r>
          </w:p>
        </w:tc>
        <w:tc>
          <w:tcPr>
            <w:tcW w:w="4544" w:type="dxa"/>
            <w:gridSpan w:val="2"/>
            <w:vAlign w:val="center"/>
          </w:tcPr>
          <w:p>
            <w:pPr>
              <w:snapToGrid/>
              <w:spacing w:line="240" w:lineRule="auto"/>
              <w:ind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（大写）</w:t>
            </w:r>
            <w:r>
              <w:rPr>
                <w:rFonts w:hint="eastAsia" w:ascii="仿宋" w:hAnsi="仿宋" w:eastAsia="仿宋"/>
                <w:b w:val="0"/>
                <w:color w:val="auto"/>
                <w:kern w:val="2"/>
                <w:sz w:val="24"/>
                <w:szCs w:val="24"/>
                <w:lang w:val="en-US"/>
              </w:rPr>
              <w:t>不可竞争费用的百分之</w:t>
            </w:r>
            <w:r>
              <w:rPr>
                <w:rFonts w:hint="eastAsia" w:ascii="仿宋" w:hAnsi="仿宋" w:eastAsia="仿宋"/>
                <w:b w:val="0"/>
                <w:color w:val="auto"/>
                <w:kern w:val="2"/>
                <w:sz w:val="24"/>
                <w:szCs w:val="24"/>
                <w:u w:val="single"/>
                <w:lang w:val="en-US"/>
              </w:rPr>
              <w:t xml:space="preserve">    </w:t>
            </w:r>
          </w:p>
          <w:p>
            <w:pPr>
              <w:snapToGrid/>
              <w:spacing w:line="240" w:lineRule="auto"/>
              <w:ind w:firstLine="480"/>
              <w:rPr>
                <w:rFonts w:ascii="仿宋" w:hAnsi="仿宋" w:eastAsia="仿宋" w:cs="宋体"/>
                <w:bCs/>
                <w:color w:val="000000"/>
                <w:sz w:val="24"/>
                <w:lang w:val="en-US"/>
              </w:rPr>
            </w:pPr>
            <w:r>
              <w:rPr>
                <w:rFonts w:ascii="仿宋" w:hAnsi="仿宋" w:eastAsia="仿宋"/>
                <w:b w:val="0"/>
                <w:color w:val="auto"/>
                <w:kern w:val="2"/>
                <w:sz w:val="24"/>
                <w:szCs w:val="24"/>
                <w:lang w:val="en-US"/>
              </w:rPr>
              <w:t>（小写）</w:t>
            </w:r>
            <w:r>
              <w:rPr>
                <w:rFonts w:hint="eastAsia" w:ascii="仿宋" w:hAnsi="仿宋" w:eastAsia="仿宋"/>
                <w:b w:val="0"/>
                <w:color w:val="auto"/>
                <w:kern w:val="2"/>
                <w:sz w:val="24"/>
                <w:szCs w:val="24"/>
                <w:lang w:val="en-US"/>
              </w:rPr>
              <w:t>不可竞争费用的</w:t>
            </w:r>
            <w:r>
              <w:rPr>
                <w:rFonts w:hint="eastAsia" w:ascii="仿宋" w:hAnsi="仿宋" w:eastAsia="仿宋"/>
                <w:b w:val="0"/>
                <w:color w:val="auto"/>
                <w:kern w:val="2"/>
                <w:sz w:val="24"/>
                <w:szCs w:val="24"/>
                <w:u w:val="single"/>
                <w:lang w:val="en-US"/>
              </w:rPr>
              <w:t xml:space="preserve">     </w:t>
            </w:r>
            <w:r>
              <w:rPr>
                <w:rFonts w:hint="eastAsia" w:ascii="仿宋" w:hAnsi="仿宋" w:eastAsia="仿宋"/>
                <w:b w:val="0"/>
                <w:color w:val="auto"/>
                <w:kern w:val="2"/>
                <w:sz w:val="24"/>
                <w:szCs w:val="24"/>
                <w:lang w:val="en-US"/>
              </w:rPr>
              <w:t>%</w:t>
            </w:r>
          </w:p>
        </w:tc>
      </w:tr>
    </w:tbl>
    <w:p>
      <w:pPr>
        <w:snapToGrid/>
        <w:spacing w:afterLines="50" w:line="240" w:lineRule="auto"/>
        <w:ind w:firstLine="480"/>
        <w:rPr>
          <w:rFonts w:hint="eastAsia" w:ascii="仿宋" w:hAnsi="仿宋" w:eastAsia="仿宋"/>
          <w:b w:val="0"/>
          <w:kern w:val="2"/>
          <w:sz w:val="24"/>
          <w:szCs w:val="24"/>
          <w:lang w:val="en-US"/>
        </w:rPr>
      </w:pPr>
    </w:p>
    <w:p>
      <w:pPr>
        <w:snapToGrid/>
        <w:spacing w:line="240" w:lineRule="auto"/>
        <w:ind w:firstLine="0" w:firstLineChars="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注：</w:t>
      </w:r>
    </w:p>
    <w:p>
      <w:pPr>
        <w:adjustRightInd w:val="0"/>
        <w:spacing w:line="312" w:lineRule="auto"/>
        <w:ind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1．以上表格格式行可增减。</w:t>
      </w:r>
    </w:p>
    <w:p>
      <w:pPr>
        <w:adjustRightInd w:val="0"/>
        <w:spacing w:line="312" w:lineRule="auto"/>
        <w:ind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2．投标人必须按“开标一览表”的格式及招标所需服务（招标文件第6章）详细报出各类服务的价格，不得漏报，否则视为已包含在投标总价中不再单独另行报价，不影响投标有效性。</w:t>
      </w:r>
    </w:p>
    <w:p>
      <w:pPr>
        <w:adjustRightInd w:val="0"/>
        <w:spacing w:line="312" w:lineRule="auto"/>
        <w:ind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3．报价应是招标文件要求的全部服务的最终报价，包括人工费、</w:t>
      </w:r>
      <w:r>
        <w:rPr>
          <w:rFonts w:hint="eastAsia" w:ascii="仿宋" w:hAnsi="仿宋" w:eastAsia="仿宋"/>
          <w:b w:val="0"/>
          <w:color w:val="auto"/>
          <w:kern w:val="2"/>
          <w:sz w:val="24"/>
          <w:szCs w:val="24"/>
          <w:lang w:val="en-US"/>
        </w:rPr>
        <w:t>服务管理费及不可竞争费用的</w:t>
      </w:r>
      <w:r>
        <w:rPr>
          <w:rFonts w:ascii="仿宋" w:hAnsi="仿宋" w:eastAsia="仿宋"/>
          <w:b w:val="0"/>
          <w:color w:val="auto"/>
          <w:kern w:val="2"/>
          <w:sz w:val="24"/>
          <w:szCs w:val="24"/>
          <w:lang w:val="en-US"/>
        </w:rPr>
        <w:t>国内税费、培训、知识产权费（若有）、招标代理等费用以及一切其它相关费用。</w:t>
      </w:r>
    </w:p>
    <w:p>
      <w:pPr>
        <w:adjustRightInd w:val="0"/>
        <w:spacing w:line="312" w:lineRule="auto"/>
        <w:ind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4．“开标一览表”为多页的，每页均需加盖投标人公章</w:t>
      </w:r>
      <w:r>
        <w:rPr>
          <w:rFonts w:ascii="仿宋" w:hAnsi="仿宋" w:eastAsia="仿宋"/>
          <w:b w:val="0"/>
          <w:color w:val="auto"/>
          <w:kern w:val="2"/>
          <w:sz w:val="22"/>
          <w:szCs w:val="24"/>
          <w:lang w:val="en-US"/>
        </w:rPr>
        <w:t>，否则作无效投标处理。</w:t>
      </w:r>
    </w:p>
    <w:p>
      <w:pPr>
        <w:adjustRightInd w:val="0"/>
        <w:spacing w:line="312" w:lineRule="auto"/>
        <w:ind w:firstLine="480"/>
        <w:rPr>
          <w:rFonts w:ascii="仿宋" w:hAnsi="仿宋" w:eastAsia="仿宋"/>
          <w:b w:val="0"/>
          <w:color w:val="auto"/>
          <w:kern w:val="2"/>
          <w:sz w:val="22"/>
          <w:szCs w:val="24"/>
          <w:lang w:val="en-US"/>
        </w:rPr>
      </w:pPr>
      <w:r>
        <w:rPr>
          <w:rFonts w:ascii="仿宋" w:hAnsi="仿宋" w:eastAsia="仿宋"/>
          <w:b w:val="0"/>
          <w:color w:val="auto"/>
          <w:kern w:val="2"/>
          <w:sz w:val="24"/>
          <w:szCs w:val="24"/>
          <w:lang w:val="en-US"/>
        </w:rPr>
        <w:t>5．唱标时仅宣读投标报价，分项报价内容可以宣读或投影展示。</w:t>
      </w:r>
    </w:p>
    <w:p>
      <w:pPr>
        <w:snapToGrid/>
        <w:spacing w:line="240" w:lineRule="auto"/>
        <w:ind w:firstLine="440"/>
        <w:rPr>
          <w:rFonts w:ascii="仿宋" w:hAnsi="仿宋" w:eastAsia="仿宋"/>
          <w:b w:val="0"/>
          <w:color w:val="auto"/>
          <w:kern w:val="2"/>
          <w:sz w:val="22"/>
          <w:szCs w:val="24"/>
          <w:lang w:val="en-US"/>
        </w:rPr>
      </w:pPr>
    </w:p>
    <w:p>
      <w:pPr>
        <w:snapToGrid/>
        <w:spacing w:line="240" w:lineRule="auto"/>
        <w:ind w:firstLine="440"/>
        <w:rPr>
          <w:rFonts w:ascii="仿宋" w:hAnsi="仿宋" w:eastAsia="仿宋"/>
          <w:b w:val="0"/>
          <w:color w:val="auto"/>
          <w:kern w:val="2"/>
          <w:sz w:val="22"/>
          <w:szCs w:val="24"/>
          <w:lang w:val="en-US"/>
        </w:rPr>
      </w:pPr>
    </w:p>
    <w:p>
      <w:pPr>
        <w:snapToGrid/>
        <w:spacing w:line="520" w:lineRule="exact"/>
        <w:ind w:left="1570" w:leftChars="228" w:hanging="840" w:hangingChars="35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投标人名称（公章）：</w:t>
      </w:r>
    </w:p>
    <w:p>
      <w:pPr>
        <w:snapToGrid/>
        <w:spacing w:line="520" w:lineRule="exact"/>
        <w:ind w:left="1570" w:leftChars="228" w:hanging="840" w:hangingChars="35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法定代表人</w:t>
      </w:r>
      <w:r>
        <w:rPr>
          <w:rFonts w:hint="eastAsia" w:ascii="仿宋" w:hAnsi="仿宋" w:eastAsia="仿宋"/>
          <w:b w:val="0"/>
          <w:color w:val="auto"/>
          <w:kern w:val="2"/>
          <w:sz w:val="24"/>
          <w:szCs w:val="24"/>
          <w:lang w:val="en-US"/>
        </w:rPr>
        <w:t>（主要负责人）</w:t>
      </w:r>
      <w:r>
        <w:rPr>
          <w:rFonts w:ascii="仿宋" w:hAnsi="仿宋" w:eastAsia="仿宋"/>
          <w:b w:val="0"/>
          <w:color w:val="auto"/>
          <w:kern w:val="2"/>
          <w:sz w:val="24"/>
          <w:szCs w:val="24"/>
          <w:lang w:val="en-US"/>
        </w:rPr>
        <w:t>或代理人（签字或加盖印章）：</w:t>
      </w:r>
    </w:p>
    <w:p>
      <w:pPr>
        <w:snapToGrid/>
        <w:spacing w:line="520" w:lineRule="exact"/>
        <w:ind w:left="1570" w:leftChars="228" w:hanging="840" w:hangingChars="35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日    期:</w:t>
      </w:r>
      <w:bookmarkEnd w:id="362"/>
    </w:p>
    <w:p>
      <w:pPr>
        <w:snapToGrid/>
        <w:spacing w:line="520" w:lineRule="exact"/>
        <w:ind w:left="1570" w:leftChars="228" w:hanging="840" w:hangingChars="350"/>
        <w:rPr>
          <w:rFonts w:ascii="仿宋" w:hAnsi="仿宋" w:eastAsia="仿宋"/>
        </w:rPr>
      </w:pPr>
      <w:r>
        <w:rPr>
          <w:rFonts w:ascii="仿宋" w:hAnsi="仿宋" w:eastAsia="仿宋"/>
          <w:b w:val="0"/>
          <w:color w:val="auto"/>
          <w:kern w:val="2"/>
          <w:sz w:val="24"/>
          <w:szCs w:val="24"/>
          <w:lang w:val="en-US"/>
        </w:rPr>
        <w:br w:type="page"/>
      </w:r>
    </w:p>
    <w:p>
      <w:pPr>
        <w:keepNext/>
        <w:numPr>
          <w:ilvl w:val="1"/>
          <w:numId w:val="17"/>
        </w:numPr>
        <w:tabs>
          <w:tab w:val="left" w:pos="360"/>
        </w:tabs>
        <w:spacing w:line="520" w:lineRule="exact"/>
        <w:ind w:left="0" w:firstLine="0" w:firstLineChars="0"/>
        <w:jc w:val="left"/>
        <w:outlineLvl w:val="1"/>
        <w:rPr>
          <w:rFonts w:ascii="仿宋" w:hAnsi="仿宋" w:eastAsia="仿宋"/>
          <w:bCs/>
          <w:color w:val="auto"/>
          <w:kern w:val="2"/>
          <w:sz w:val="24"/>
          <w:szCs w:val="24"/>
          <w:lang w:val="en-US"/>
        </w:rPr>
      </w:pPr>
      <w:r>
        <w:rPr>
          <w:rFonts w:ascii="仿宋" w:hAnsi="仿宋" w:eastAsia="仿宋"/>
          <w:bCs/>
          <w:color w:val="auto"/>
          <w:kern w:val="2"/>
          <w:sz w:val="24"/>
          <w:szCs w:val="24"/>
          <w:lang w:val="en-US"/>
        </w:rPr>
        <w:t xml:space="preserve"> </w:t>
      </w:r>
      <w:bookmarkStart w:id="363" w:name="_Toc36029481"/>
      <w:bookmarkStart w:id="364" w:name="_Toc466895947"/>
      <w:bookmarkStart w:id="365" w:name="_Toc496605634"/>
      <w:bookmarkStart w:id="366" w:name="_Toc494198601"/>
      <w:bookmarkStart w:id="367" w:name="_Toc40703449"/>
      <w:bookmarkStart w:id="368" w:name="_Toc494198927"/>
      <w:bookmarkStart w:id="369" w:name="_Toc500492730"/>
      <w:r>
        <w:rPr>
          <w:rFonts w:ascii="仿宋" w:hAnsi="仿宋" w:eastAsia="仿宋"/>
          <w:bCs/>
          <w:color w:val="auto"/>
          <w:kern w:val="2"/>
          <w:sz w:val="24"/>
          <w:szCs w:val="24"/>
          <w:lang w:val="en-US"/>
        </w:rPr>
        <w:t>资格性投标文件格式</w:t>
      </w:r>
      <w:bookmarkEnd w:id="363"/>
      <w:bookmarkEnd w:id="364"/>
      <w:bookmarkEnd w:id="365"/>
      <w:bookmarkEnd w:id="366"/>
      <w:bookmarkEnd w:id="367"/>
      <w:bookmarkEnd w:id="368"/>
      <w:bookmarkEnd w:id="369"/>
    </w:p>
    <w:p>
      <w:pPr>
        <w:keepNext/>
        <w:keepLines/>
        <w:numPr>
          <w:ilvl w:val="2"/>
          <w:numId w:val="17"/>
        </w:numPr>
        <w:tabs>
          <w:tab w:val="left" w:pos="360"/>
        </w:tabs>
        <w:snapToGrid/>
        <w:spacing w:line="520" w:lineRule="exact"/>
        <w:ind w:left="0" w:firstLine="0" w:firstLineChars="0"/>
        <w:jc w:val="left"/>
        <w:outlineLvl w:val="2"/>
        <w:rPr>
          <w:rFonts w:ascii="仿宋" w:hAnsi="仿宋" w:eastAsia="仿宋"/>
          <w:bCs/>
          <w:color w:val="auto"/>
          <w:kern w:val="2"/>
          <w:sz w:val="24"/>
          <w:szCs w:val="24"/>
          <w:lang w:val="en-US"/>
        </w:rPr>
      </w:pPr>
      <w:r>
        <w:rPr>
          <w:rFonts w:ascii="仿宋" w:hAnsi="仿宋" w:eastAsia="仿宋"/>
          <w:bCs/>
          <w:color w:val="auto"/>
          <w:kern w:val="2"/>
          <w:sz w:val="24"/>
          <w:szCs w:val="24"/>
          <w:lang w:val="en-US"/>
        </w:rPr>
        <w:t>资格性投标文件密封包装最外层格式</w:t>
      </w:r>
    </w:p>
    <w:p>
      <w:pPr>
        <w:rPr>
          <w:rFonts w:ascii="仿宋" w:hAnsi="仿宋" w:eastAsia="仿宋"/>
        </w:rPr>
      </w:pPr>
    </w:p>
    <w:p>
      <w:pPr>
        <w:rPr>
          <w:rFonts w:ascii="仿宋" w:hAnsi="仿宋" w:eastAsia="仿宋"/>
        </w:rPr>
      </w:pPr>
    </w:p>
    <w:p>
      <w:pPr>
        <w:snapToGrid/>
        <w:ind w:firstLine="0" w:firstLineChars="0"/>
        <w:jc w:val="center"/>
        <w:rPr>
          <w:rFonts w:ascii="仿宋" w:hAnsi="仿宋" w:eastAsia="仿宋"/>
          <w:b w:val="0"/>
          <w:color w:val="auto"/>
          <w:spacing w:val="78"/>
          <w:kern w:val="2"/>
          <w:sz w:val="120"/>
          <w:szCs w:val="120"/>
          <w:lang w:val="en-US"/>
        </w:rPr>
      </w:pPr>
      <w:r>
        <w:rPr>
          <w:rFonts w:ascii="仿宋" w:hAnsi="仿宋" w:eastAsia="仿宋"/>
          <w:b w:val="0"/>
          <w:color w:val="auto"/>
          <w:spacing w:val="78"/>
          <w:kern w:val="2"/>
          <w:sz w:val="96"/>
          <w:szCs w:val="120"/>
          <w:lang w:val="en-US"/>
        </w:rPr>
        <w:t>资格性投标文件</w:t>
      </w:r>
    </w:p>
    <w:p>
      <w:pPr>
        <w:rPr>
          <w:rFonts w:ascii="仿宋" w:hAnsi="仿宋" w:eastAsia="仿宋"/>
        </w:rPr>
      </w:pPr>
    </w:p>
    <w:p>
      <w:pPr>
        <w:rPr>
          <w:rFonts w:ascii="仿宋" w:hAnsi="仿宋" w:eastAsia="仿宋"/>
        </w:rPr>
      </w:pPr>
    </w:p>
    <w:p>
      <w:pPr>
        <w:snapToGrid/>
        <w:ind w:left="2729" w:leftChars="355" w:hanging="1593" w:hangingChars="496"/>
        <w:rPr>
          <w:rFonts w:ascii="仿宋" w:hAnsi="仿宋" w:eastAsia="仿宋"/>
          <w:bCs/>
          <w:color w:val="auto"/>
          <w:kern w:val="2"/>
          <w:lang w:val="en-US"/>
        </w:rPr>
      </w:pPr>
      <w:r>
        <w:rPr>
          <w:rFonts w:ascii="仿宋" w:hAnsi="仿宋" w:eastAsia="仿宋"/>
          <w:bCs/>
          <w:color w:val="auto"/>
          <w:kern w:val="2"/>
          <w:lang w:val="en-US"/>
        </w:rPr>
        <w:t>采购项目名称：</w:t>
      </w:r>
    </w:p>
    <w:p>
      <w:pPr>
        <w:snapToGrid/>
        <w:ind w:left="2729" w:leftChars="355" w:hanging="1593" w:hangingChars="496"/>
        <w:rPr>
          <w:rFonts w:ascii="仿宋" w:hAnsi="仿宋" w:eastAsia="仿宋"/>
          <w:bCs/>
          <w:color w:val="auto"/>
          <w:kern w:val="2"/>
          <w:lang w:val="en-US"/>
        </w:rPr>
      </w:pPr>
      <w:r>
        <w:rPr>
          <w:rFonts w:ascii="仿宋" w:hAnsi="仿宋" w:eastAsia="仿宋"/>
          <w:bCs/>
          <w:color w:val="auto"/>
          <w:kern w:val="2"/>
          <w:lang w:val="en-US"/>
        </w:rPr>
        <w:t>采购项目编号：</w:t>
      </w:r>
    </w:p>
    <w:p>
      <w:pPr>
        <w:snapToGrid/>
        <w:ind w:left="2729" w:leftChars="355" w:hanging="1593" w:hangingChars="496"/>
        <w:rPr>
          <w:rFonts w:hint="eastAsia" w:ascii="仿宋" w:hAnsi="仿宋" w:eastAsia="仿宋"/>
          <w:bCs/>
          <w:kern w:val="2"/>
          <w:lang w:val="en-US"/>
        </w:rPr>
      </w:pPr>
    </w:p>
    <w:p>
      <w:pPr>
        <w:rPr>
          <w:rFonts w:ascii="仿宋" w:hAnsi="仿宋" w:eastAsia="仿宋"/>
        </w:rPr>
      </w:pPr>
    </w:p>
    <w:p>
      <w:pPr>
        <w:rPr>
          <w:rFonts w:ascii="仿宋" w:hAnsi="仿宋" w:eastAsia="仿宋"/>
        </w:rPr>
      </w:pPr>
    </w:p>
    <w:p>
      <w:pPr>
        <w:rPr>
          <w:rFonts w:ascii="仿宋" w:hAnsi="仿宋" w:eastAsia="仿宋"/>
        </w:rPr>
      </w:pPr>
    </w:p>
    <w:p>
      <w:pPr>
        <w:snapToGrid/>
        <w:ind w:firstLine="0" w:firstLineChars="0"/>
        <w:jc w:val="center"/>
        <w:rPr>
          <w:rFonts w:ascii="仿宋" w:hAnsi="仿宋" w:eastAsia="仿宋"/>
          <w:color w:val="auto"/>
          <w:kern w:val="2"/>
          <w:lang w:val="en-US"/>
        </w:rPr>
      </w:pPr>
      <w:r>
        <w:rPr>
          <w:rFonts w:ascii="仿宋" w:hAnsi="仿宋" w:eastAsia="仿宋"/>
          <w:color w:val="auto"/>
          <w:kern w:val="2"/>
          <w:lang w:val="en-US"/>
        </w:rPr>
        <w:t>投标人名称：</w:t>
      </w:r>
      <w:r>
        <w:rPr>
          <w:rFonts w:ascii="仿宋" w:hAnsi="仿宋" w:eastAsia="仿宋"/>
          <w:color w:val="auto"/>
          <w:kern w:val="2"/>
          <w:u w:val="single"/>
          <w:lang w:val="en-US"/>
        </w:rPr>
        <w:t xml:space="preserve">            （加盖公章）</w:t>
      </w:r>
    </w:p>
    <w:p>
      <w:pPr>
        <w:snapToGrid/>
        <w:ind w:firstLine="1606" w:firstLineChars="500"/>
        <w:jc w:val="left"/>
        <w:rPr>
          <w:rFonts w:ascii="仿宋" w:hAnsi="仿宋" w:eastAsia="仿宋"/>
          <w:color w:val="auto"/>
          <w:kern w:val="2"/>
          <w:lang w:val="en-US"/>
        </w:rPr>
      </w:pPr>
    </w:p>
    <w:p>
      <w:pPr>
        <w:rPr>
          <w:rFonts w:ascii="仿宋" w:hAnsi="仿宋" w:eastAsia="仿宋"/>
          <w:lang w:val="en-US"/>
        </w:rPr>
      </w:pPr>
    </w:p>
    <w:p>
      <w:pPr>
        <w:rPr>
          <w:rFonts w:ascii="仿宋" w:hAnsi="仿宋" w:eastAsia="仿宋"/>
          <w:lang w:val="en-US"/>
        </w:rPr>
      </w:pPr>
    </w:p>
    <w:p>
      <w:pPr>
        <w:rPr>
          <w:rFonts w:ascii="仿宋" w:hAnsi="仿宋" w:eastAsia="仿宋"/>
          <w:lang w:val="en-US"/>
        </w:rPr>
      </w:pPr>
    </w:p>
    <w:p>
      <w:pPr>
        <w:snapToGrid/>
        <w:ind w:firstLine="0" w:firstLineChars="0"/>
        <w:jc w:val="center"/>
        <w:rPr>
          <w:rFonts w:ascii="仿宋" w:hAnsi="仿宋" w:eastAsia="仿宋"/>
          <w:color w:val="auto"/>
          <w:kern w:val="2"/>
          <w:lang w:val="en-US"/>
        </w:rPr>
      </w:pPr>
      <w:r>
        <w:rPr>
          <w:rFonts w:ascii="仿宋" w:hAnsi="仿宋" w:eastAsia="仿宋"/>
          <w:color w:val="auto"/>
          <w:kern w:val="2"/>
          <w:lang w:val="en-US"/>
        </w:rPr>
        <w:t>开标时间之前不准启封</w:t>
      </w:r>
    </w:p>
    <w:p>
      <w:pPr>
        <w:snapToGrid/>
        <w:ind w:firstLine="0" w:firstLineChars="0"/>
        <w:jc w:val="center"/>
        <w:rPr>
          <w:rFonts w:ascii="仿宋" w:hAnsi="仿宋" w:eastAsia="仿宋"/>
          <w:color w:val="auto"/>
          <w:kern w:val="2"/>
          <w:lang w:val="en-US"/>
        </w:rPr>
      </w:pPr>
      <w:r>
        <w:rPr>
          <w:rFonts w:ascii="仿宋" w:hAnsi="仿宋" w:eastAsia="仿宋"/>
          <w:color w:val="auto"/>
          <w:kern w:val="2"/>
          <w:lang w:val="en-US"/>
        </w:rPr>
        <w:t>或 20   年   月   日   :   前不准启封</w:t>
      </w:r>
    </w:p>
    <w:p>
      <w:pPr>
        <w:keepNext/>
        <w:keepLines/>
        <w:numPr>
          <w:ilvl w:val="2"/>
          <w:numId w:val="17"/>
        </w:numPr>
        <w:tabs>
          <w:tab w:val="left" w:pos="360"/>
        </w:tabs>
        <w:snapToGrid/>
        <w:spacing w:line="520" w:lineRule="exact"/>
        <w:ind w:left="0" w:firstLine="0" w:firstLineChars="0"/>
        <w:jc w:val="left"/>
        <w:outlineLvl w:val="2"/>
        <w:rPr>
          <w:rFonts w:ascii="仿宋" w:hAnsi="仿宋" w:eastAsia="仿宋"/>
          <w:bCs/>
          <w:color w:val="auto"/>
          <w:kern w:val="2"/>
          <w:sz w:val="24"/>
          <w:szCs w:val="24"/>
          <w:lang w:val="en-US"/>
        </w:rPr>
      </w:pPr>
      <w:r>
        <w:rPr>
          <w:rFonts w:ascii="仿宋" w:hAnsi="仿宋" w:eastAsia="仿宋"/>
          <w:bCs/>
          <w:color w:val="auto"/>
          <w:kern w:val="2"/>
          <w:sz w:val="24"/>
          <w:szCs w:val="24"/>
          <w:lang w:val="en-US"/>
        </w:rPr>
        <w:t>资格性投标文件封面格式</w:t>
      </w:r>
    </w:p>
    <w:p>
      <w:pPr>
        <w:snapToGrid/>
        <w:spacing w:beforeLines="200"/>
        <w:ind w:firstLine="0" w:firstLineChars="0"/>
        <w:jc w:val="center"/>
        <w:rPr>
          <w:rFonts w:ascii="仿宋" w:hAnsi="仿宋" w:eastAsia="仿宋"/>
          <w:b w:val="0"/>
          <w:color w:val="auto"/>
          <w:spacing w:val="78"/>
          <w:kern w:val="2"/>
          <w:sz w:val="120"/>
          <w:szCs w:val="120"/>
          <w:lang w:val="en-US"/>
        </w:rPr>
      </w:pPr>
      <w:r>
        <w:rPr>
          <w:rFonts w:ascii="仿宋" w:hAnsi="仿宋" w:eastAsia="仿宋"/>
          <w:b w:val="0"/>
          <w:color w:val="auto"/>
          <w:spacing w:val="78"/>
          <w:kern w:val="2"/>
          <w:sz w:val="96"/>
          <w:szCs w:val="120"/>
          <w:lang w:val="en-US"/>
        </w:rPr>
        <w:t>资格性投标文件</w:t>
      </w:r>
    </w:p>
    <w:p>
      <w:pPr>
        <w:rPr>
          <w:rFonts w:ascii="仿宋" w:hAnsi="仿宋" w:eastAsia="仿宋"/>
        </w:rPr>
      </w:pPr>
    </w:p>
    <w:p>
      <w:pPr>
        <w:ind w:firstLine="0" w:firstLineChars="0"/>
        <w:jc w:val="center"/>
        <w:rPr>
          <w:rFonts w:ascii="仿宋" w:hAnsi="仿宋" w:eastAsia="仿宋"/>
          <w:color w:val="auto"/>
          <w:spacing w:val="78"/>
          <w:sz w:val="44"/>
          <w:szCs w:val="120"/>
        </w:rPr>
      </w:pPr>
      <w:r>
        <w:rPr>
          <w:rFonts w:ascii="仿宋" w:hAnsi="仿宋" w:eastAsia="仿宋"/>
          <w:color w:val="auto"/>
          <w:spacing w:val="78"/>
          <w:sz w:val="44"/>
          <w:szCs w:val="120"/>
        </w:rPr>
        <w:t>（正本或副本）</w:t>
      </w:r>
    </w:p>
    <w:p>
      <w:pPr>
        <w:jc w:val="center"/>
        <w:rPr>
          <w:rFonts w:ascii="仿宋" w:hAnsi="仿宋" w:eastAsia="仿宋"/>
          <w:color w:val="auto"/>
        </w:rPr>
      </w:pPr>
    </w:p>
    <w:p>
      <w:pPr>
        <w:jc w:val="center"/>
        <w:rPr>
          <w:rFonts w:ascii="仿宋" w:hAnsi="仿宋" w:eastAsia="仿宋"/>
          <w:color w:val="auto"/>
        </w:rPr>
      </w:pPr>
    </w:p>
    <w:p>
      <w:pPr>
        <w:snapToGrid/>
        <w:ind w:left="2729" w:leftChars="355" w:hanging="1593" w:hangingChars="496"/>
        <w:rPr>
          <w:rFonts w:ascii="仿宋" w:hAnsi="仿宋" w:eastAsia="仿宋"/>
          <w:bCs/>
          <w:color w:val="auto"/>
          <w:kern w:val="2"/>
          <w:lang w:val="en-US"/>
        </w:rPr>
      </w:pPr>
      <w:r>
        <w:rPr>
          <w:rFonts w:ascii="仿宋" w:hAnsi="仿宋" w:eastAsia="仿宋"/>
          <w:bCs/>
          <w:color w:val="auto"/>
          <w:kern w:val="2"/>
          <w:lang w:val="en-US"/>
        </w:rPr>
        <w:t>采购项目名称：</w:t>
      </w:r>
    </w:p>
    <w:p>
      <w:pPr>
        <w:snapToGrid/>
        <w:ind w:left="2729" w:leftChars="355" w:hanging="1593" w:hangingChars="496"/>
        <w:rPr>
          <w:rFonts w:ascii="仿宋" w:hAnsi="仿宋" w:eastAsia="仿宋"/>
          <w:bCs/>
          <w:color w:val="auto"/>
          <w:kern w:val="2"/>
          <w:lang w:val="en-US"/>
        </w:rPr>
      </w:pPr>
      <w:r>
        <w:rPr>
          <w:rFonts w:ascii="仿宋" w:hAnsi="仿宋" w:eastAsia="仿宋"/>
          <w:bCs/>
          <w:color w:val="auto"/>
          <w:kern w:val="2"/>
          <w:lang w:val="en-US"/>
        </w:rPr>
        <w:t>采购项目编号：</w:t>
      </w:r>
    </w:p>
    <w:p>
      <w:pPr>
        <w:snapToGrid/>
        <w:ind w:left="2729" w:leftChars="355" w:hanging="1593" w:hangingChars="496"/>
        <w:rPr>
          <w:rFonts w:hint="eastAsia" w:ascii="仿宋" w:hAnsi="仿宋" w:eastAsia="仿宋"/>
          <w:bCs/>
          <w:kern w:val="2"/>
          <w:lang w:val="en-US"/>
        </w:rPr>
      </w:pPr>
    </w:p>
    <w:p>
      <w:pPr>
        <w:rPr>
          <w:rFonts w:ascii="仿宋" w:hAnsi="仿宋" w:eastAsia="仿宋"/>
        </w:rPr>
      </w:pPr>
    </w:p>
    <w:p>
      <w:pPr>
        <w:rPr>
          <w:rFonts w:ascii="仿宋" w:hAnsi="仿宋" w:eastAsia="仿宋"/>
        </w:rPr>
      </w:pPr>
    </w:p>
    <w:p>
      <w:pPr>
        <w:snapToGrid/>
        <w:ind w:firstLine="1606" w:firstLineChars="500"/>
        <w:jc w:val="left"/>
        <w:rPr>
          <w:rFonts w:ascii="仿宋" w:hAnsi="仿宋" w:eastAsia="仿宋"/>
          <w:color w:val="auto"/>
          <w:kern w:val="2"/>
          <w:lang w:val="en-US"/>
        </w:rPr>
      </w:pPr>
      <w:r>
        <w:rPr>
          <w:rFonts w:ascii="仿宋" w:hAnsi="仿宋" w:eastAsia="仿宋"/>
          <w:color w:val="auto"/>
          <w:kern w:val="2"/>
          <w:lang w:val="en-US"/>
        </w:rPr>
        <w:t>投标人名称：</w:t>
      </w:r>
      <w:r>
        <w:rPr>
          <w:rFonts w:ascii="仿宋" w:hAnsi="仿宋" w:eastAsia="仿宋"/>
          <w:color w:val="auto"/>
          <w:kern w:val="2"/>
          <w:u w:val="single"/>
          <w:lang w:val="en-US"/>
        </w:rPr>
        <w:t xml:space="preserve">                </w:t>
      </w:r>
    </w:p>
    <w:p>
      <w:pPr>
        <w:rPr>
          <w:rFonts w:ascii="仿宋" w:hAnsi="仿宋" w:eastAsia="仿宋"/>
          <w:lang w:val="en-US"/>
        </w:rPr>
      </w:pPr>
    </w:p>
    <w:p>
      <w:pPr>
        <w:rPr>
          <w:rFonts w:ascii="仿宋" w:hAnsi="仿宋" w:eastAsia="仿宋"/>
          <w:lang w:val="en-US"/>
        </w:rPr>
      </w:pPr>
    </w:p>
    <w:p>
      <w:pPr>
        <w:snapToGrid/>
        <w:ind w:firstLine="0" w:firstLineChars="0"/>
        <w:rPr>
          <w:rFonts w:ascii="仿宋" w:hAnsi="仿宋" w:eastAsia="仿宋"/>
          <w:color w:val="auto"/>
          <w:kern w:val="2"/>
          <w:sz w:val="28"/>
          <w:szCs w:val="28"/>
          <w:lang w:val="en-US"/>
        </w:rPr>
      </w:pPr>
      <w:r>
        <w:rPr>
          <w:rFonts w:ascii="仿宋" w:hAnsi="仿宋" w:eastAsia="仿宋"/>
          <w:color w:val="auto"/>
          <w:kern w:val="2"/>
          <w:sz w:val="28"/>
          <w:szCs w:val="28"/>
          <w:lang w:val="en-US"/>
        </w:rPr>
        <w:t>温馨提示：</w:t>
      </w:r>
    </w:p>
    <w:p>
      <w:pPr>
        <w:snapToGrid/>
        <w:ind w:firstLine="551" w:firstLineChars="196"/>
        <w:rPr>
          <w:rFonts w:ascii="仿宋" w:hAnsi="仿宋" w:eastAsia="仿宋"/>
          <w:color w:val="auto"/>
          <w:kern w:val="2"/>
          <w:sz w:val="28"/>
          <w:szCs w:val="28"/>
          <w:lang w:val="en-US"/>
        </w:rPr>
      </w:pPr>
      <w:r>
        <w:rPr>
          <w:rFonts w:ascii="仿宋" w:hAnsi="仿宋" w:eastAsia="仿宋"/>
          <w:color w:val="auto"/>
          <w:kern w:val="2"/>
          <w:sz w:val="28"/>
          <w:szCs w:val="28"/>
          <w:lang w:val="en-US"/>
        </w:rPr>
        <w:t>一、资格性投标文件正本一份、副本二份；</w:t>
      </w:r>
    </w:p>
    <w:p>
      <w:pPr>
        <w:snapToGrid/>
        <w:ind w:firstLine="551" w:firstLineChars="196"/>
        <w:rPr>
          <w:rFonts w:ascii="仿宋" w:hAnsi="仿宋" w:eastAsia="仿宋"/>
          <w:color w:val="auto"/>
          <w:kern w:val="2"/>
          <w:sz w:val="28"/>
          <w:szCs w:val="28"/>
          <w:lang w:val="en-US"/>
        </w:rPr>
      </w:pPr>
      <w:r>
        <w:rPr>
          <w:rFonts w:ascii="仿宋" w:hAnsi="仿宋" w:eastAsia="仿宋"/>
          <w:color w:val="auto"/>
          <w:kern w:val="2"/>
          <w:sz w:val="28"/>
          <w:szCs w:val="28"/>
          <w:lang w:val="en-US"/>
        </w:rPr>
        <w:t>二、资格性投标文件应密封包装；</w:t>
      </w:r>
    </w:p>
    <w:p>
      <w:pPr>
        <w:snapToGrid/>
        <w:ind w:firstLine="551" w:firstLineChars="196"/>
        <w:rPr>
          <w:rFonts w:ascii="仿宋" w:hAnsi="仿宋" w:eastAsia="仿宋"/>
          <w:color w:val="auto"/>
          <w:kern w:val="2"/>
          <w:sz w:val="28"/>
          <w:szCs w:val="28"/>
          <w:lang w:val="en-US"/>
        </w:rPr>
      </w:pPr>
      <w:r>
        <w:rPr>
          <w:rFonts w:ascii="仿宋" w:hAnsi="仿宋" w:eastAsia="仿宋"/>
          <w:color w:val="auto"/>
          <w:kern w:val="2"/>
          <w:sz w:val="28"/>
          <w:szCs w:val="28"/>
          <w:lang w:val="en-US"/>
        </w:rPr>
        <w:t>三、供应商提供的资格证明材料如发证机关有年检要求的则应通过年检，如有有效期的则应提供在有效期内的证明材料。</w:t>
      </w:r>
    </w:p>
    <w:p>
      <w:pPr>
        <w:keepNext/>
        <w:keepLines/>
        <w:numPr>
          <w:ilvl w:val="2"/>
          <w:numId w:val="17"/>
        </w:numPr>
        <w:tabs>
          <w:tab w:val="left" w:pos="360"/>
        </w:tabs>
        <w:snapToGrid/>
        <w:spacing w:line="520" w:lineRule="exact"/>
        <w:ind w:left="0" w:firstLine="0" w:firstLineChars="0"/>
        <w:jc w:val="left"/>
        <w:outlineLvl w:val="2"/>
        <w:rPr>
          <w:rFonts w:ascii="仿宋" w:hAnsi="仿宋" w:eastAsia="仿宋"/>
          <w:bCs/>
          <w:color w:val="auto"/>
          <w:kern w:val="2"/>
          <w:sz w:val="24"/>
          <w:szCs w:val="24"/>
          <w:lang w:val="en-US"/>
        </w:rPr>
      </w:pPr>
      <w:r>
        <w:rPr>
          <w:rFonts w:ascii="仿宋" w:hAnsi="仿宋" w:eastAsia="仿宋"/>
          <w:bCs/>
          <w:color w:val="auto"/>
          <w:kern w:val="2"/>
          <w:sz w:val="24"/>
          <w:szCs w:val="24"/>
          <w:lang w:val="en-US"/>
        </w:rPr>
        <w:t>资格性投标文件组成材料</w:t>
      </w:r>
    </w:p>
    <w:p>
      <w:pPr>
        <w:keepNext/>
        <w:keepLines/>
        <w:numPr>
          <w:ilvl w:val="3"/>
          <w:numId w:val="17"/>
        </w:numPr>
        <w:tabs>
          <w:tab w:val="left" w:pos="360"/>
        </w:tabs>
        <w:spacing w:line="520" w:lineRule="exact"/>
        <w:ind w:left="0" w:firstLine="0" w:firstLineChars="0"/>
        <w:outlineLvl w:val="3"/>
        <w:rPr>
          <w:rFonts w:ascii="仿宋" w:hAnsi="仿宋" w:eastAsia="仿宋"/>
          <w:bCs/>
          <w:color w:val="auto"/>
          <w:kern w:val="2"/>
          <w:sz w:val="24"/>
          <w:szCs w:val="24"/>
          <w:lang w:val="en-US"/>
        </w:rPr>
      </w:pPr>
      <w:r>
        <w:rPr>
          <w:rFonts w:ascii="仿宋" w:hAnsi="仿宋" w:eastAsia="仿宋"/>
          <w:bCs/>
          <w:color w:val="auto"/>
          <w:kern w:val="2"/>
          <w:sz w:val="24"/>
          <w:szCs w:val="24"/>
          <w:lang w:val="en-US"/>
        </w:rPr>
        <w:t xml:space="preserve"> 具有独立承担民事责任能力的证明材料</w:t>
      </w:r>
    </w:p>
    <w:p>
      <w:pPr>
        <w:spacing w:afterLines="100" w:line="520" w:lineRule="exact"/>
        <w:ind w:firstLine="480"/>
        <w:jc w:val="left"/>
        <w:rPr>
          <w:rFonts w:ascii="仿宋" w:hAnsi="仿宋" w:eastAsia="仿宋"/>
          <w:b w:val="0"/>
          <w:color w:val="auto"/>
          <w:sz w:val="24"/>
          <w:szCs w:val="24"/>
        </w:rPr>
      </w:pPr>
      <w:r>
        <w:rPr>
          <w:rFonts w:ascii="仿宋" w:hAnsi="仿宋" w:eastAsia="仿宋"/>
          <w:b w:val="0"/>
          <w:color w:val="auto"/>
          <w:sz w:val="24"/>
          <w:szCs w:val="24"/>
        </w:rPr>
        <w:t>按招标文件第5章“具有独立承担民事责任能力的证明材料复印件”的要求提供。</w:t>
      </w:r>
    </w:p>
    <w:p>
      <w:pPr>
        <w:keepNext/>
        <w:keepLines/>
        <w:numPr>
          <w:ilvl w:val="3"/>
          <w:numId w:val="17"/>
        </w:numPr>
        <w:tabs>
          <w:tab w:val="left" w:pos="360"/>
        </w:tabs>
        <w:spacing w:line="520" w:lineRule="exact"/>
        <w:ind w:left="0" w:firstLine="0" w:firstLineChars="0"/>
        <w:outlineLvl w:val="3"/>
        <w:rPr>
          <w:rFonts w:ascii="仿宋" w:hAnsi="仿宋" w:eastAsia="仿宋"/>
          <w:bCs/>
          <w:color w:val="auto"/>
          <w:kern w:val="2"/>
          <w:sz w:val="24"/>
          <w:szCs w:val="24"/>
          <w:lang w:val="en-US"/>
        </w:rPr>
      </w:pPr>
      <w:r>
        <w:rPr>
          <w:rFonts w:ascii="仿宋" w:hAnsi="仿宋" w:eastAsia="仿宋"/>
          <w:bCs/>
          <w:color w:val="auto"/>
          <w:kern w:val="2"/>
          <w:sz w:val="24"/>
          <w:szCs w:val="24"/>
          <w:lang w:val="en-US"/>
        </w:rPr>
        <w:t xml:space="preserve"> 具有良好的商业信誉和健全的财务会计制度的证明材料</w:t>
      </w:r>
    </w:p>
    <w:p>
      <w:pPr>
        <w:spacing w:line="520" w:lineRule="exact"/>
        <w:ind w:firstLine="480"/>
        <w:jc w:val="left"/>
        <w:rPr>
          <w:rFonts w:ascii="仿宋" w:hAnsi="仿宋" w:eastAsia="仿宋"/>
          <w:b w:val="0"/>
          <w:color w:val="auto"/>
          <w:sz w:val="24"/>
          <w:szCs w:val="24"/>
        </w:rPr>
      </w:pPr>
      <w:r>
        <w:rPr>
          <w:rFonts w:ascii="仿宋" w:hAnsi="仿宋" w:eastAsia="仿宋"/>
          <w:b w:val="0"/>
          <w:color w:val="auto"/>
          <w:sz w:val="24"/>
          <w:szCs w:val="24"/>
        </w:rPr>
        <w:t>1．具有良好的商业信誉：按招标文件第5章“具有良好的商业信誉承诺函原件”的要求提供，可单独提供，也可按第3章“相关资格承诺函”格式内容与其他承诺内容一并提供。</w:t>
      </w:r>
    </w:p>
    <w:p>
      <w:pPr>
        <w:spacing w:afterLines="100" w:line="520" w:lineRule="exact"/>
        <w:ind w:firstLine="480"/>
        <w:jc w:val="left"/>
        <w:rPr>
          <w:rFonts w:ascii="仿宋" w:hAnsi="仿宋" w:eastAsia="仿宋"/>
          <w:b w:val="0"/>
          <w:color w:val="auto"/>
          <w:sz w:val="24"/>
          <w:szCs w:val="24"/>
        </w:rPr>
      </w:pPr>
      <w:r>
        <w:rPr>
          <w:rFonts w:ascii="仿宋" w:hAnsi="仿宋" w:eastAsia="仿宋"/>
          <w:b w:val="0"/>
          <w:color w:val="auto"/>
          <w:sz w:val="24"/>
          <w:szCs w:val="24"/>
        </w:rPr>
        <w:t>2．健全的财务会计制度：按招标文件第5章“财务状况报告”的要求提供。</w:t>
      </w:r>
    </w:p>
    <w:p>
      <w:pPr>
        <w:keepNext/>
        <w:keepLines/>
        <w:numPr>
          <w:ilvl w:val="3"/>
          <w:numId w:val="17"/>
        </w:numPr>
        <w:tabs>
          <w:tab w:val="left" w:pos="360"/>
        </w:tabs>
        <w:spacing w:line="520" w:lineRule="exact"/>
        <w:ind w:left="0" w:firstLine="0" w:firstLineChars="0"/>
        <w:outlineLvl w:val="3"/>
        <w:rPr>
          <w:rFonts w:ascii="仿宋" w:hAnsi="仿宋" w:eastAsia="仿宋"/>
          <w:bCs/>
          <w:color w:val="auto"/>
          <w:kern w:val="2"/>
          <w:sz w:val="24"/>
          <w:szCs w:val="24"/>
          <w:lang w:val="en-US"/>
        </w:rPr>
      </w:pPr>
      <w:r>
        <w:rPr>
          <w:rFonts w:ascii="仿宋" w:hAnsi="仿宋" w:eastAsia="仿宋"/>
          <w:bCs/>
          <w:color w:val="auto"/>
          <w:kern w:val="2"/>
          <w:sz w:val="24"/>
          <w:szCs w:val="24"/>
          <w:lang w:val="en-US"/>
        </w:rPr>
        <w:t xml:space="preserve"> 具备履行合同所必需的设备和专业技术能力的证明材料</w:t>
      </w:r>
    </w:p>
    <w:p>
      <w:pPr>
        <w:spacing w:afterLines="100" w:line="520" w:lineRule="exact"/>
        <w:ind w:firstLine="480"/>
        <w:jc w:val="left"/>
        <w:rPr>
          <w:rFonts w:ascii="仿宋" w:hAnsi="仿宋" w:eastAsia="仿宋"/>
          <w:b w:val="0"/>
          <w:color w:val="auto"/>
          <w:sz w:val="24"/>
          <w:szCs w:val="24"/>
        </w:rPr>
      </w:pPr>
      <w:r>
        <w:rPr>
          <w:rFonts w:ascii="仿宋" w:hAnsi="仿宋" w:eastAsia="仿宋"/>
          <w:b w:val="0"/>
          <w:color w:val="auto"/>
          <w:sz w:val="24"/>
          <w:szCs w:val="24"/>
        </w:rPr>
        <w:t>按招标文件第5章“具备履行合同所必需的设备和专业技术能力的证明材料”的要求提供，可单独提供，也可按第3章“相关资格承诺函”格式内容与其他承诺内容一并提供。</w:t>
      </w:r>
    </w:p>
    <w:p>
      <w:pPr>
        <w:keepNext/>
        <w:keepLines/>
        <w:numPr>
          <w:ilvl w:val="3"/>
          <w:numId w:val="17"/>
        </w:numPr>
        <w:tabs>
          <w:tab w:val="left" w:pos="360"/>
        </w:tabs>
        <w:spacing w:line="520" w:lineRule="exact"/>
        <w:ind w:left="0" w:firstLine="0" w:firstLineChars="0"/>
        <w:outlineLvl w:val="3"/>
        <w:rPr>
          <w:rFonts w:ascii="仿宋" w:hAnsi="仿宋" w:eastAsia="仿宋"/>
          <w:bCs/>
          <w:color w:val="auto"/>
          <w:kern w:val="2"/>
          <w:sz w:val="24"/>
          <w:szCs w:val="24"/>
          <w:lang w:val="en-US"/>
        </w:rPr>
      </w:pPr>
      <w:r>
        <w:rPr>
          <w:rFonts w:ascii="仿宋" w:hAnsi="仿宋" w:eastAsia="仿宋"/>
          <w:bCs/>
          <w:color w:val="auto"/>
          <w:kern w:val="2"/>
          <w:sz w:val="24"/>
          <w:szCs w:val="24"/>
          <w:lang w:val="en-US"/>
        </w:rPr>
        <w:t xml:space="preserve"> 具有依法缴纳税收和社会保障资金的良好记录的相关材料</w:t>
      </w:r>
    </w:p>
    <w:p>
      <w:pPr>
        <w:spacing w:afterLines="100" w:line="520" w:lineRule="exact"/>
        <w:ind w:firstLine="480"/>
        <w:jc w:val="left"/>
        <w:rPr>
          <w:rFonts w:ascii="仿宋" w:hAnsi="仿宋" w:eastAsia="仿宋"/>
          <w:b w:val="0"/>
          <w:color w:val="auto"/>
          <w:sz w:val="24"/>
          <w:szCs w:val="24"/>
        </w:rPr>
      </w:pPr>
      <w:r>
        <w:rPr>
          <w:rFonts w:ascii="仿宋" w:hAnsi="仿宋" w:eastAsia="仿宋"/>
          <w:b w:val="0"/>
          <w:color w:val="auto"/>
          <w:sz w:val="24"/>
          <w:szCs w:val="24"/>
        </w:rPr>
        <w:t>按招标文件第5章“具有依法缴纳税收和社会保障资金的良好记录的相关材料”的要求提供；证明材料为承诺函的，应提供承诺函原件加盖投标人公章。</w:t>
      </w:r>
    </w:p>
    <w:p>
      <w:pPr>
        <w:numPr>
          <w:ilvl w:val="3"/>
          <w:numId w:val="17"/>
        </w:numPr>
        <w:tabs>
          <w:tab w:val="left" w:pos="360"/>
        </w:tabs>
        <w:spacing w:line="520" w:lineRule="exact"/>
        <w:ind w:left="0" w:firstLine="0" w:firstLineChars="0"/>
        <w:outlineLvl w:val="3"/>
        <w:rPr>
          <w:rFonts w:ascii="仿宋" w:hAnsi="仿宋" w:eastAsia="仿宋"/>
          <w:bCs/>
          <w:color w:val="auto"/>
          <w:kern w:val="2"/>
          <w:sz w:val="24"/>
          <w:szCs w:val="24"/>
          <w:lang w:val="en-US"/>
        </w:rPr>
      </w:pPr>
      <w:r>
        <w:rPr>
          <w:rFonts w:ascii="仿宋" w:hAnsi="仿宋" w:eastAsia="仿宋"/>
          <w:bCs/>
          <w:color w:val="auto"/>
          <w:kern w:val="2"/>
          <w:sz w:val="24"/>
          <w:szCs w:val="24"/>
          <w:lang w:val="en-US"/>
        </w:rPr>
        <w:t xml:space="preserve"> 参加本次政府采购活动前三年内，在经营活动中没有重大违法记录的证明材料</w:t>
      </w:r>
    </w:p>
    <w:p>
      <w:pPr>
        <w:spacing w:line="520" w:lineRule="exact"/>
        <w:ind w:firstLine="480"/>
        <w:jc w:val="left"/>
        <w:rPr>
          <w:rFonts w:hint="eastAsia" w:ascii="仿宋" w:hAnsi="仿宋" w:eastAsia="仿宋"/>
          <w:b w:val="0"/>
          <w:color w:val="auto"/>
          <w:sz w:val="24"/>
          <w:szCs w:val="24"/>
        </w:rPr>
      </w:pPr>
      <w:r>
        <w:rPr>
          <w:rFonts w:ascii="仿宋" w:hAnsi="仿宋" w:eastAsia="仿宋"/>
          <w:b w:val="0"/>
          <w:color w:val="auto"/>
          <w:sz w:val="24"/>
          <w:szCs w:val="24"/>
        </w:rPr>
        <w:t>按招标文件第5章“参加本次政府采购活动前三年内，在经营活动中没有重大违法记录的证明材料”的要求提供。</w:t>
      </w:r>
    </w:p>
    <w:p>
      <w:pPr>
        <w:spacing w:afterLines="100" w:line="520" w:lineRule="exact"/>
        <w:ind w:firstLine="480"/>
        <w:jc w:val="left"/>
        <w:rPr>
          <w:rFonts w:hint="eastAsia" w:ascii="仿宋" w:hAnsi="仿宋" w:eastAsia="仿宋"/>
          <w:b w:val="0"/>
          <w:color w:val="auto"/>
          <w:sz w:val="24"/>
          <w:szCs w:val="24"/>
        </w:rPr>
      </w:pPr>
      <w:r>
        <w:rPr>
          <w:rFonts w:hint="eastAsia" w:ascii="仿宋" w:hAnsi="仿宋" w:eastAsia="仿宋"/>
          <w:b w:val="0"/>
          <w:color w:val="auto"/>
          <w:sz w:val="24"/>
          <w:szCs w:val="24"/>
        </w:rPr>
        <w:t>注：</w:t>
      </w:r>
      <w:r>
        <w:rPr>
          <w:rFonts w:ascii="仿宋" w:hAnsi="仿宋" w:eastAsia="仿宋"/>
          <w:b w:val="0"/>
          <w:color w:val="auto"/>
          <w:sz w:val="24"/>
          <w:szCs w:val="24"/>
        </w:rPr>
        <w:t>重大违法记录，是指供应商因</w:t>
      </w:r>
      <w:r>
        <w:rPr>
          <w:rFonts w:hint="eastAsia" w:ascii="仿宋" w:hAnsi="仿宋" w:eastAsia="仿宋"/>
          <w:b w:val="0"/>
          <w:color w:val="auto"/>
          <w:sz w:val="24"/>
          <w:szCs w:val="24"/>
        </w:rPr>
        <w:t>违法经营受到刑事处罚或者责令停产停业、吊销许可证或者执照、较大数额罚款等行政处罚。供应商在参加政府采购活动前</w:t>
      </w:r>
      <w:r>
        <w:rPr>
          <w:rFonts w:ascii="仿宋" w:hAnsi="仿宋" w:eastAsia="仿宋"/>
          <w:b w:val="0"/>
          <w:color w:val="auto"/>
          <w:sz w:val="24"/>
          <w:szCs w:val="24"/>
        </w:rPr>
        <w:t>3年内因违法经营被禁止在一定期限内参加政府采</w:t>
      </w:r>
      <w:r>
        <w:rPr>
          <w:rFonts w:hint="eastAsia" w:ascii="仿宋" w:hAnsi="仿宋" w:eastAsia="仿宋"/>
          <w:b w:val="0"/>
          <w:color w:val="auto"/>
          <w:sz w:val="24"/>
          <w:szCs w:val="24"/>
        </w:rPr>
        <w:t>购活动，期限届满的，可以参加政府采购活动。</w:t>
      </w:r>
    </w:p>
    <w:p>
      <w:pPr>
        <w:numPr>
          <w:ilvl w:val="3"/>
          <w:numId w:val="17"/>
        </w:numPr>
        <w:tabs>
          <w:tab w:val="left" w:pos="360"/>
        </w:tabs>
        <w:spacing w:line="520" w:lineRule="exact"/>
        <w:ind w:left="0" w:firstLine="0" w:firstLineChars="0"/>
        <w:outlineLvl w:val="3"/>
        <w:rPr>
          <w:rFonts w:ascii="仿宋" w:hAnsi="仿宋" w:eastAsia="仿宋"/>
          <w:bCs/>
          <w:color w:val="auto"/>
          <w:kern w:val="2"/>
          <w:sz w:val="24"/>
          <w:szCs w:val="24"/>
          <w:lang w:val="en-US"/>
        </w:rPr>
      </w:pPr>
      <w:r>
        <w:rPr>
          <w:rFonts w:hint="eastAsia" w:ascii="仿宋" w:hAnsi="仿宋" w:eastAsia="仿宋"/>
          <w:bCs/>
          <w:color w:val="auto"/>
          <w:kern w:val="2"/>
          <w:sz w:val="24"/>
          <w:szCs w:val="24"/>
          <w:lang w:val="en-US"/>
        </w:rPr>
        <w:t xml:space="preserve"> </w:t>
      </w:r>
      <w:r>
        <w:rPr>
          <w:rFonts w:ascii="仿宋" w:hAnsi="仿宋" w:eastAsia="仿宋"/>
          <w:bCs/>
          <w:color w:val="auto"/>
          <w:kern w:val="2"/>
          <w:sz w:val="24"/>
          <w:szCs w:val="24"/>
          <w:lang w:val="en-US"/>
        </w:rPr>
        <w:t>法律、行政法规规定的其他条件的证明材料</w:t>
      </w:r>
    </w:p>
    <w:p>
      <w:pPr>
        <w:spacing w:afterLines="100" w:line="520" w:lineRule="exact"/>
        <w:ind w:firstLine="480"/>
        <w:jc w:val="left"/>
        <w:rPr>
          <w:rFonts w:hint="eastAsia" w:ascii="仿宋" w:hAnsi="仿宋" w:eastAsia="仿宋"/>
          <w:b w:val="0"/>
          <w:color w:val="auto"/>
          <w:sz w:val="24"/>
          <w:szCs w:val="24"/>
        </w:rPr>
      </w:pPr>
      <w:r>
        <w:rPr>
          <w:rFonts w:ascii="仿宋" w:hAnsi="仿宋" w:eastAsia="仿宋"/>
          <w:b w:val="0"/>
          <w:color w:val="auto"/>
          <w:sz w:val="24"/>
          <w:szCs w:val="24"/>
        </w:rPr>
        <w:t>按招标文件第5章中相关要求提供证明材料复印件或承诺函原件。提供承诺函原件的，可单独提供，也可按第3章“相关资格承诺函”格式内容与其他承诺内容一并提供。</w:t>
      </w:r>
    </w:p>
    <w:p>
      <w:pPr>
        <w:ind w:firstLine="482"/>
        <w:jc w:val="center"/>
        <w:rPr>
          <w:rFonts w:ascii="仿宋" w:hAnsi="仿宋" w:eastAsia="仿宋"/>
          <w:color w:val="auto"/>
          <w:kern w:val="2"/>
          <w:sz w:val="24"/>
          <w:szCs w:val="24"/>
          <w:lang w:val="en-US"/>
        </w:rPr>
      </w:pPr>
      <w:r>
        <w:rPr>
          <w:rFonts w:ascii="仿宋" w:hAnsi="仿宋" w:eastAsia="仿宋"/>
          <w:color w:val="auto"/>
          <w:kern w:val="2"/>
          <w:sz w:val="24"/>
          <w:szCs w:val="24"/>
          <w:lang w:val="en-US"/>
        </w:rPr>
        <w:t>相关资格承诺函</w:t>
      </w:r>
    </w:p>
    <w:p>
      <w:pPr>
        <w:ind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采购项目名称：</w:t>
      </w:r>
    </w:p>
    <w:p>
      <w:pPr>
        <w:ind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采购项目编号：</w:t>
      </w:r>
    </w:p>
    <w:p>
      <w:pPr>
        <w:ind w:firstLine="480"/>
        <w:rPr>
          <w:rFonts w:hint="eastAsia" w:ascii="仿宋" w:hAnsi="仿宋" w:eastAsia="仿宋"/>
          <w:b w:val="0"/>
          <w:kern w:val="2"/>
          <w:sz w:val="24"/>
          <w:szCs w:val="24"/>
          <w:lang w:val="en-US"/>
        </w:rPr>
      </w:pPr>
    </w:p>
    <w:p>
      <w:pPr>
        <w:spacing w:line="560" w:lineRule="atLeast"/>
        <w:ind w:firstLine="0" w:firstLineChars="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四川中志招标代理有限公司：</w:t>
      </w:r>
    </w:p>
    <w:p>
      <w:pPr>
        <w:spacing w:line="560" w:lineRule="atLeast"/>
        <w:ind w:firstLine="480"/>
        <w:rPr>
          <w:rFonts w:ascii="仿宋" w:hAnsi="仿宋" w:eastAsia="仿宋"/>
          <w:b w:val="0"/>
          <w:color w:val="auto"/>
          <w:sz w:val="24"/>
        </w:rPr>
      </w:pPr>
      <w:r>
        <w:rPr>
          <w:rFonts w:ascii="仿宋" w:hAnsi="仿宋" w:eastAsia="仿宋"/>
          <w:b w:val="0"/>
          <w:color w:val="auto"/>
          <w:sz w:val="24"/>
        </w:rPr>
        <w:t>我单位作为本项目的投标人，我单位声明：</w:t>
      </w:r>
    </w:p>
    <w:p>
      <w:pPr>
        <w:spacing w:line="560" w:lineRule="atLeast"/>
        <w:ind w:firstLine="480"/>
        <w:rPr>
          <w:rFonts w:ascii="仿宋" w:hAnsi="仿宋" w:eastAsia="仿宋"/>
          <w:b w:val="0"/>
          <w:color w:val="auto"/>
          <w:sz w:val="24"/>
        </w:rPr>
      </w:pPr>
      <w:r>
        <w:rPr>
          <w:rFonts w:ascii="仿宋" w:hAnsi="仿宋" w:eastAsia="仿宋"/>
          <w:b w:val="0"/>
          <w:color w:val="auto"/>
          <w:sz w:val="24"/>
        </w:rPr>
        <w:t>我单位</w:t>
      </w:r>
      <w:r>
        <w:rPr>
          <w:rFonts w:ascii="仿宋" w:hAnsi="仿宋" w:eastAsia="仿宋"/>
          <w:b w:val="0"/>
          <w:color w:val="auto"/>
          <w:sz w:val="24"/>
          <w:szCs w:val="24"/>
        </w:rPr>
        <w:t>参加本次政府采购活动前三年内，在经营活动中没有重大违法记录</w:t>
      </w:r>
      <w:r>
        <w:rPr>
          <w:rFonts w:ascii="仿宋" w:hAnsi="仿宋" w:eastAsia="仿宋"/>
          <w:b w:val="0"/>
          <w:color w:val="auto"/>
          <w:sz w:val="24"/>
        </w:rPr>
        <w:t>。</w:t>
      </w:r>
    </w:p>
    <w:p>
      <w:pPr>
        <w:spacing w:line="560" w:lineRule="atLeast"/>
        <w:ind w:firstLine="480"/>
        <w:rPr>
          <w:rFonts w:ascii="仿宋" w:hAnsi="仿宋" w:eastAsia="仿宋"/>
          <w:b w:val="0"/>
          <w:color w:val="auto"/>
          <w:sz w:val="24"/>
        </w:rPr>
      </w:pPr>
      <w:r>
        <w:rPr>
          <w:rFonts w:ascii="仿宋" w:hAnsi="仿宋" w:eastAsia="仿宋"/>
          <w:b w:val="0"/>
          <w:color w:val="auto"/>
          <w:sz w:val="24"/>
        </w:rPr>
        <w:t>我单位具有良好的商业信誉。</w:t>
      </w:r>
    </w:p>
    <w:p>
      <w:pPr>
        <w:spacing w:line="560" w:lineRule="atLeast"/>
        <w:ind w:firstLine="480"/>
        <w:rPr>
          <w:rFonts w:ascii="仿宋" w:hAnsi="仿宋" w:eastAsia="仿宋"/>
          <w:b w:val="0"/>
          <w:color w:val="auto"/>
          <w:sz w:val="24"/>
        </w:rPr>
      </w:pPr>
      <w:r>
        <w:rPr>
          <w:rFonts w:ascii="仿宋" w:hAnsi="仿宋" w:eastAsia="仿宋"/>
          <w:b w:val="0"/>
          <w:color w:val="auto"/>
          <w:sz w:val="24"/>
        </w:rPr>
        <w:t>我单位具有履行合同所必需的设备和专业技术能力。</w:t>
      </w:r>
    </w:p>
    <w:p>
      <w:pPr>
        <w:spacing w:line="560" w:lineRule="atLeast"/>
        <w:ind w:firstLine="480"/>
        <w:rPr>
          <w:rFonts w:ascii="仿宋" w:hAnsi="仿宋" w:eastAsia="仿宋"/>
          <w:b w:val="0"/>
          <w:color w:val="auto"/>
          <w:sz w:val="24"/>
        </w:rPr>
      </w:pPr>
      <w:r>
        <w:rPr>
          <w:rFonts w:ascii="仿宋" w:hAnsi="仿宋" w:eastAsia="仿宋"/>
          <w:b w:val="0"/>
          <w:color w:val="auto"/>
          <w:sz w:val="24"/>
        </w:rPr>
        <w:t>我单位具备法律、行政法规规定的其他条件。</w:t>
      </w:r>
    </w:p>
    <w:p>
      <w:pPr>
        <w:spacing w:line="560" w:lineRule="atLeast"/>
        <w:ind w:firstLine="480"/>
        <w:rPr>
          <w:rFonts w:ascii="仿宋" w:hAnsi="仿宋" w:eastAsia="仿宋"/>
          <w:b w:val="0"/>
          <w:color w:val="auto"/>
          <w:sz w:val="24"/>
        </w:rPr>
      </w:pPr>
      <w:r>
        <w:rPr>
          <w:rFonts w:ascii="仿宋" w:hAnsi="仿宋" w:eastAsia="仿宋"/>
          <w:b w:val="0"/>
          <w:color w:val="auto"/>
          <w:sz w:val="24"/>
        </w:rPr>
        <w:t>我单位承诺对上述事项的真实性负责；如有虚假，我单位愿意承担相应的法律责任。</w:t>
      </w:r>
    </w:p>
    <w:p>
      <w:pPr>
        <w:spacing w:line="560" w:lineRule="atLeast"/>
        <w:ind w:firstLine="480"/>
        <w:rPr>
          <w:rFonts w:ascii="仿宋" w:hAnsi="仿宋" w:eastAsia="仿宋"/>
          <w:b w:val="0"/>
          <w:color w:val="auto"/>
          <w:sz w:val="24"/>
        </w:rPr>
      </w:pPr>
    </w:p>
    <w:p>
      <w:pPr>
        <w:spacing w:line="560" w:lineRule="atLeast"/>
        <w:ind w:firstLine="480"/>
        <w:rPr>
          <w:rFonts w:ascii="仿宋" w:hAnsi="仿宋" w:eastAsia="仿宋"/>
          <w:b w:val="0"/>
          <w:color w:val="auto"/>
          <w:sz w:val="24"/>
        </w:rPr>
      </w:pPr>
      <w:r>
        <w:rPr>
          <w:rFonts w:ascii="仿宋" w:hAnsi="仿宋" w:eastAsia="仿宋"/>
          <w:b w:val="0"/>
          <w:color w:val="auto"/>
          <w:sz w:val="24"/>
        </w:rPr>
        <w:t>投标人名称（公章）：</w:t>
      </w:r>
    </w:p>
    <w:p>
      <w:pPr>
        <w:spacing w:line="560" w:lineRule="atLeast"/>
        <w:ind w:firstLine="480"/>
        <w:rPr>
          <w:rFonts w:ascii="仿宋" w:hAnsi="仿宋" w:eastAsia="仿宋"/>
          <w:b w:val="0"/>
          <w:color w:val="auto"/>
          <w:sz w:val="24"/>
        </w:rPr>
      </w:pPr>
      <w:r>
        <w:rPr>
          <w:rFonts w:ascii="仿宋" w:hAnsi="仿宋" w:eastAsia="仿宋"/>
          <w:b w:val="0"/>
          <w:color w:val="auto"/>
          <w:sz w:val="24"/>
        </w:rPr>
        <w:t>法定代表人</w:t>
      </w:r>
      <w:r>
        <w:rPr>
          <w:rFonts w:hint="eastAsia" w:ascii="仿宋" w:hAnsi="仿宋" w:eastAsia="仿宋"/>
          <w:b w:val="0"/>
          <w:color w:val="auto"/>
          <w:sz w:val="24"/>
        </w:rPr>
        <w:t>（主要负责人）</w:t>
      </w:r>
      <w:r>
        <w:rPr>
          <w:rFonts w:ascii="仿宋" w:hAnsi="仿宋" w:eastAsia="仿宋"/>
          <w:b w:val="0"/>
          <w:color w:val="auto"/>
          <w:sz w:val="24"/>
        </w:rPr>
        <w:t>或代理人（签字</w:t>
      </w:r>
      <w:r>
        <w:rPr>
          <w:rFonts w:ascii="仿宋" w:hAnsi="仿宋" w:eastAsia="仿宋"/>
          <w:b w:val="0"/>
          <w:color w:val="auto"/>
          <w:kern w:val="2"/>
          <w:sz w:val="24"/>
          <w:szCs w:val="24"/>
          <w:lang w:val="en-US"/>
        </w:rPr>
        <w:t>或加盖印章</w:t>
      </w:r>
      <w:r>
        <w:rPr>
          <w:rFonts w:ascii="仿宋" w:hAnsi="仿宋" w:eastAsia="仿宋"/>
          <w:b w:val="0"/>
          <w:color w:val="auto"/>
          <w:sz w:val="24"/>
        </w:rPr>
        <w:t>）：</w:t>
      </w:r>
    </w:p>
    <w:p>
      <w:pPr>
        <w:spacing w:line="560" w:lineRule="atLeast"/>
        <w:ind w:firstLine="480"/>
        <w:rPr>
          <w:rFonts w:ascii="仿宋" w:hAnsi="仿宋" w:eastAsia="仿宋"/>
          <w:b w:val="0"/>
          <w:color w:val="auto"/>
          <w:sz w:val="24"/>
        </w:rPr>
      </w:pPr>
      <w:r>
        <w:rPr>
          <w:rFonts w:ascii="仿宋" w:hAnsi="仿宋" w:eastAsia="仿宋"/>
          <w:b w:val="0"/>
          <w:color w:val="auto"/>
          <w:sz w:val="24"/>
        </w:rPr>
        <w:t>日  期:</w:t>
      </w:r>
    </w:p>
    <w:p>
      <w:pPr>
        <w:spacing w:line="560" w:lineRule="atLeast"/>
        <w:ind w:firstLine="482"/>
        <w:rPr>
          <w:rFonts w:hint="eastAsia" w:ascii="仿宋" w:hAnsi="仿宋" w:eastAsia="仿宋"/>
          <w:color w:val="auto"/>
          <w:sz w:val="24"/>
        </w:rPr>
      </w:pPr>
    </w:p>
    <w:p>
      <w:pPr>
        <w:ind w:firstLine="422"/>
        <w:rPr>
          <w:rFonts w:ascii="仿宋" w:hAnsi="仿宋" w:eastAsia="仿宋"/>
          <w:color w:val="auto"/>
          <w:sz w:val="21"/>
          <w:szCs w:val="21"/>
        </w:rPr>
      </w:pPr>
      <w:r>
        <w:rPr>
          <w:rFonts w:ascii="仿宋" w:hAnsi="仿宋" w:eastAsia="仿宋"/>
          <w:color w:val="auto"/>
          <w:sz w:val="21"/>
          <w:szCs w:val="21"/>
        </w:rPr>
        <w:t>注：</w:t>
      </w:r>
    </w:p>
    <w:p>
      <w:pPr>
        <w:ind w:firstLine="420"/>
        <w:rPr>
          <w:rFonts w:ascii="仿宋" w:hAnsi="仿宋" w:eastAsia="仿宋"/>
          <w:b w:val="0"/>
          <w:color w:val="auto"/>
          <w:sz w:val="21"/>
          <w:szCs w:val="21"/>
        </w:rPr>
      </w:pPr>
      <w:r>
        <w:rPr>
          <w:rFonts w:ascii="仿宋" w:hAnsi="仿宋" w:eastAsia="仿宋"/>
          <w:b w:val="0"/>
          <w:color w:val="auto"/>
          <w:sz w:val="21"/>
          <w:szCs w:val="21"/>
          <w:lang w:val="en-US"/>
        </w:rPr>
        <w:t>1</w:t>
      </w:r>
      <w:r>
        <w:rPr>
          <w:rFonts w:ascii="仿宋" w:hAnsi="仿宋" w:eastAsia="仿宋"/>
          <w:b w:val="0"/>
          <w:color w:val="auto"/>
          <w:sz w:val="21"/>
          <w:szCs w:val="21"/>
        </w:rPr>
        <w:t>．</w:t>
      </w:r>
      <w:r>
        <w:rPr>
          <w:rFonts w:ascii="仿宋" w:hAnsi="仿宋" w:eastAsia="仿宋"/>
          <w:b w:val="0"/>
          <w:color w:val="auto"/>
          <w:sz w:val="21"/>
          <w:szCs w:val="21"/>
          <w:lang w:val="en-US"/>
        </w:rPr>
        <w:t>投标人应针对上述内容根据自身实际情况据实进行承诺。</w:t>
      </w:r>
    </w:p>
    <w:p>
      <w:pPr>
        <w:ind w:firstLine="420"/>
        <w:rPr>
          <w:rFonts w:ascii="仿宋" w:hAnsi="仿宋" w:eastAsia="仿宋"/>
          <w:b w:val="0"/>
          <w:color w:val="auto"/>
          <w:sz w:val="21"/>
          <w:szCs w:val="21"/>
        </w:rPr>
      </w:pPr>
      <w:r>
        <w:rPr>
          <w:rFonts w:ascii="仿宋" w:hAnsi="仿宋" w:eastAsia="仿宋"/>
          <w:b w:val="0"/>
          <w:color w:val="auto"/>
          <w:sz w:val="21"/>
          <w:szCs w:val="21"/>
          <w:lang w:val="en-US"/>
        </w:rPr>
        <w:t>2．</w:t>
      </w:r>
      <w:r>
        <w:rPr>
          <w:rFonts w:ascii="仿宋" w:hAnsi="仿宋" w:eastAsia="仿宋"/>
          <w:b w:val="0"/>
          <w:color w:val="auto"/>
          <w:sz w:val="21"/>
          <w:szCs w:val="21"/>
        </w:rPr>
        <w:t>投标人在参加政府采购活动前三年，政府采购合同履约过程中及其他经营活动履约过程中未依法履约被有关部门处罚（处理）的，不能认定为具有良好的商业信誉。</w:t>
      </w:r>
    </w:p>
    <w:p>
      <w:pPr>
        <w:ind w:firstLine="420"/>
        <w:rPr>
          <w:rFonts w:hint="eastAsia" w:ascii="仿宋" w:hAnsi="仿宋" w:eastAsia="仿宋" w:cs="仿宋"/>
          <w:b w:val="0"/>
          <w:color w:val="auto"/>
          <w:kern w:val="2"/>
          <w:sz w:val="21"/>
          <w:szCs w:val="21"/>
          <w:lang w:val="en-US"/>
        </w:rPr>
      </w:pPr>
      <w:r>
        <w:rPr>
          <w:rFonts w:ascii="仿宋" w:hAnsi="仿宋" w:eastAsia="仿宋"/>
          <w:b w:val="0"/>
          <w:color w:val="auto"/>
          <w:sz w:val="21"/>
          <w:szCs w:val="21"/>
          <w:lang w:val="en-US"/>
        </w:rPr>
        <w:t>3</w:t>
      </w:r>
      <w:r>
        <w:rPr>
          <w:rFonts w:ascii="仿宋" w:hAnsi="仿宋" w:eastAsia="仿宋"/>
          <w:b w:val="0"/>
          <w:color w:val="auto"/>
          <w:sz w:val="21"/>
          <w:szCs w:val="21"/>
        </w:rPr>
        <w:t>．重大违法记录中的较大数额罚款的具体金额标准是：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w:t>
      </w:r>
      <w:r>
        <w:rPr>
          <w:rFonts w:hint="eastAsia" w:ascii="仿宋" w:hAnsi="仿宋" w:eastAsia="仿宋"/>
          <w:b w:val="0"/>
          <w:color w:val="auto"/>
          <w:sz w:val="21"/>
          <w:szCs w:val="21"/>
        </w:rPr>
        <w:t>具体金额标准详见《附件一  各行政监管领域“较大数额罚款</w:t>
      </w:r>
      <w:r>
        <w:rPr>
          <w:rFonts w:ascii="仿宋" w:hAnsi="仿宋" w:eastAsia="仿宋"/>
          <w:b w:val="0"/>
          <w:color w:val="auto"/>
          <w:sz w:val="21"/>
          <w:szCs w:val="21"/>
        </w:rPr>
        <w:t>"标准一览表</w:t>
      </w:r>
      <w:r>
        <w:rPr>
          <w:rFonts w:hint="eastAsia" w:ascii="仿宋" w:hAnsi="仿宋" w:eastAsia="仿宋"/>
          <w:b w:val="0"/>
          <w:color w:val="auto"/>
          <w:sz w:val="21"/>
          <w:szCs w:val="21"/>
        </w:rPr>
        <w:t>》。</w:t>
      </w:r>
    </w:p>
    <w:p>
      <w:pPr>
        <w:numPr>
          <w:ilvl w:val="3"/>
          <w:numId w:val="17"/>
        </w:numPr>
        <w:tabs>
          <w:tab w:val="left" w:pos="360"/>
        </w:tabs>
        <w:spacing w:line="520" w:lineRule="exact"/>
        <w:ind w:left="0" w:firstLine="0" w:firstLineChars="0"/>
        <w:outlineLvl w:val="3"/>
        <w:rPr>
          <w:rFonts w:ascii="仿宋" w:hAnsi="仿宋" w:eastAsia="仿宋"/>
          <w:bCs/>
          <w:color w:val="auto"/>
          <w:kern w:val="2"/>
          <w:sz w:val="24"/>
          <w:szCs w:val="24"/>
          <w:lang w:val="en-US"/>
        </w:rPr>
      </w:pPr>
      <w:r>
        <w:rPr>
          <w:rFonts w:hint="eastAsia" w:ascii="仿宋" w:hAnsi="仿宋" w:eastAsia="仿宋"/>
          <w:bCs/>
          <w:color w:val="auto"/>
          <w:kern w:val="2"/>
          <w:sz w:val="24"/>
          <w:szCs w:val="24"/>
          <w:lang w:val="en-US"/>
        </w:rPr>
        <w:t xml:space="preserve"> 不属于禁止参加本次采购活动的</w:t>
      </w:r>
      <w:bookmarkStart w:id="370" w:name="_Toc445814852"/>
      <w:bookmarkStart w:id="371" w:name="_Toc494198615"/>
      <w:r>
        <w:rPr>
          <w:rFonts w:hint="eastAsia" w:ascii="仿宋" w:hAnsi="仿宋" w:eastAsia="仿宋"/>
          <w:bCs/>
          <w:color w:val="auto"/>
          <w:kern w:val="2"/>
          <w:sz w:val="24"/>
          <w:szCs w:val="24"/>
          <w:lang w:val="en-US"/>
        </w:rPr>
        <w:t>供应商</w:t>
      </w:r>
    </w:p>
    <w:p>
      <w:pPr>
        <w:spacing w:line="520" w:lineRule="exact"/>
        <w:ind w:firstLine="480"/>
        <w:jc w:val="left"/>
        <w:rPr>
          <w:rFonts w:ascii="仿宋" w:hAnsi="仿宋" w:eastAsia="仿宋"/>
          <w:b w:val="0"/>
          <w:color w:val="auto"/>
          <w:sz w:val="24"/>
          <w:szCs w:val="24"/>
        </w:rPr>
      </w:pPr>
      <w:r>
        <w:rPr>
          <w:rFonts w:hint="eastAsia" w:ascii="仿宋" w:hAnsi="仿宋" w:eastAsia="仿宋"/>
          <w:b w:val="0"/>
          <w:color w:val="auto"/>
          <w:sz w:val="24"/>
          <w:szCs w:val="24"/>
        </w:rPr>
        <w:t>采购代理机构出具的信用记录结果网页截图即可，供应商无须提供</w:t>
      </w:r>
      <w:r>
        <w:rPr>
          <w:rFonts w:ascii="仿宋" w:hAnsi="仿宋" w:eastAsia="仿宋"/>
          <w:b w:val="0"/>
          <w:color w:val="auto"/>
          <w:sz w:val="24"/>
          <w:szCs w:val="24"/>
        </w:rPr>
        <w:t>。</w:t>
      </w:r>
    </w:p>
    <w:p>
      <w:pPr>
        <w:ind w:firstLine="201"/>
        <w:jc w:val="center"/>
        <w:rPr>
          <w:rFonts w:ascii="仿宋" w:hAnsi="仿宋" w:eastAsia="仿宋"/>
          <w:color w:val="auto"/>
          <w:kern w:val="2"/>
          <w:sz w:val="10"/>
          <w:szCs w:val="10"/>
          <w:lang w:val="en-US"/>
        </w:rPr>
      </w:pPr>
    </w:p>
    <w:bookmarkEnd w:id="370"/>
    <w:bookmarkEnd w:id="371"/>
    <w:p>
      <w:pPr>
        <w:keepNext/>
        <w:keepLines/>
        <w:numPr>
          <w:ilvl w:val="3"/>
          <w:numId w:val="17"/>
        </w:numPr>
        <w:tabs>
          <w:tab w:val="left" w:pos="360"/>
        </w:tabs>
        <w:spacing w:line="520" w:lineRule="exact"/>
        <w:ind w:left="0" w:firstLine="0" w:firstLineChars="0"/>
        <w:outlineLvl w:val="3"/>
        <w:rPr>
          <w:rFonts w:ascii="仿宋" w:hAnsi="仿宋" w:eastAsia="仿宋"/>
          <w:bCs/>
          <w:color w:val="auto"/>
          <w:kern w:val="2"/>
          <w:sz w:val="24"/>
          <w:szCs w:val="24"/>
          <w:lang w:val="en-US"/>
        </w:rPr>
      </w:pPr>
      <w:r>
        <w:rPr>
          <w:rFonts w:hint="eastAsia" w:ascii="仿宋" w:hAnsi="仿宋" w:eastAsia="仿宋"/>
          <w:bCs/>
          <w:color w:val="auto"/>
          <w:kern w:val="2"/>
          <w:sz w:val="24"/>
          <w:szCs w:val="24"/>
          <w:lang w:val="en-US"/>
        </w:rPr>
        <w:t xml:space="preserve"> </w:t>
      </w:r>
      <w:r>
        <w:rPr>
          <w:rFonts w:ascii="仿宋" w:hAnsi="仿宋" w:eastAsia="仿宋"/>
          <w:bCs/>
          <w:color w:val="auto"/>
          <w:kern w:val="2"/>
          <w:sz w:val="24"/>
          <w:szCs w:val="24"/>
          <w:lang w:val="en-US"/>
        </w:rPr>
        <w:t>授权参加本次投标活动的投标人代表</w:t>
      </w:r>
    </w:p>
    <w:p>
      <w:pPr>
        <w:spacing w:line="520" w:lineRule="exact"/>
        <w:ind w:firstLine="480"/>
        <w:jc w:val="left"/>
        <w:rPr>
          <w:rFonts w:ascii="仿宋" w:hAnsi="仿宋" w:eastAsia="仿宋"/>
          <w:b w:val="0"/>
          <w:color w:val="auto"/>
          <w:sz w:val="24"/>
          <w:szCs w:val="24"/>
        </w:rPr>
      </w:pPr>
      <w:r>
        <w:rPr>
          <w:rFonts w:ascii="仿宋" w:hAnsi="仿宋" w:eastAsia="仿宋"/>
          <w:b w:val="0"/>
          <w:color w:val="auto"/>
          <w:sz w:val="24"/>
          <w:szCs w:val="24"/>
        </w:rPr>
        <w:t>按以下要求提供法定代表人</w:t>
      </w:r>
      <w:r>
        <w:rPr>
          <w:rFonts w:hint="eastAsia" w:ascii="仿宋" w:hAnsi="仿宋" w:eastAsia="仿宋"/>
          <w:b w:val="0"/>
          <w:color w:val="auto"/>
          <w:sz w:val="24"/>
          <w:szCs w:val="24"/>
        </w:rPr>
        <w:t>（主要负责人</w:t>
      </w:r>
      <w:r>
        <w:rPr>
          <w:rFonts w:ascii="仿宋" w:hAnsi="仿宋" w:eastAsia="仿宋"/>
          <w:b w:val="0"/>
          <w:color w:val="auto"/>
          <w:sz w:val="24"/>
          <w:szCs w:val="24"/>
        </w:rPr>
        <w:t>）授权书原件及法定代表人</w:t>
      </w:r>
      <w:r>
        <w:rPr>
          <w:rFonts w:hint="eastAsia" w:ascii="仿宋" w:hAnsi="仿宋" w:eastAsia="仿宋"/>
          <w:b w:val="0"/>
          <w:color w:val="auto"/>
          <w:sz w:val="24"/>
          <w:szCs w:val="24"/>
        </w:rPr>
        <w:t>（主要负责人</w:t>
      </w:r>
      <w:r>
        <w:rPr>
          <w:rFonts w:ascii="仿宋" w:hAnsi="仿宋" w:eastAsia="仿宋"/>
          <w:b w:val="0"/>
          <w:color w:val="auto"/>
          <w:sz w:val="24"/>
          <w:szCs w:val="24"/>
        </w:rPr>
        <w:t>）身份证、代理人身份证复印件</w:t>
      </w:r>
    </w:p>
    <w:p>
      <w:pPr>
        <w:snapToGrid/>
        <w:spacing w:line="560" w:lineRule="exact"/>
        <w:ind w:firstLine="0" w:firstLineChars="0"/>
        <w:rPr>
          <w:rFonts w:ascii="仿宋" w:hAnsi="仿宋" w:eastAsia="仿宋"/>
          <w:b w:val="0"/>
          <w:color w:val="auto"/>
          <w:sz w:val="24"/>
          <w:szCs w:val="24"/>
          <w:lang w:val="en-US"/>
        </w:rPr>
      </w:pPr>
      <w:r>
        <w:rPr>
          <w:rFonts w:ascii="仿宋" w:hAnsi="仿宋" w:eastAsia="仿宋"/>
          <w:b w:val="0"/>
          <w:color w:val="auto"/>
          <w:sz w:val="24"/>
          <w:szCs w:val="24"/>
          <w:lang w:val="en-US"/>
        </w:rPr>
        <w:t>四川中志招标代理有限公司：</w:t>
      </w:r>
    </w:p>
    <w:p>
      <w:pPr>
        <w:spacing w:line="560" w:lineRule="exact"/>
        <w:ind w:firstLine="480"/>
        <w:rPr>
          <w:rFonts w:ascii="仿宋" w:hAnsi="仿宋" w:eastAsia="仿宋"/>
          <w:b w:val="0"/>
          <w:color w:val="auto"/>
          <w:sz w:val="24"/>
          <w:szCs w:val="24"/>
        </w:rPr>
      </w:pPr>
      <w:r>
        <w:rPr>
          <w:rFonts w:ascii="仿宋" w:hAnsi="仿宋" w:eastAsia="仿宋"/>
          <w:b w:val="0"/>
          <w:color w:val="auto"/>
          <w:sz w:val="24"/>
          <w:szCs w:val="24"/>
          <w:u w:val="single"/>
        </w:rPr>
        <w:t xml:space="preserve">        （投标人全称）</w:t>
      </w:r>
      <w:r>
        <w:rPr>
          <w:rFonts w:ascii="仿宋" w:hAnsi="仿宋" w:eastAsia="仿宋"/>
          <w:b w:val="0"/>
          <w:color w:val="auto"/>
          <w:sz w:val="24"/>
          <w:szCs w:val="24"/>
        </w:rPr>
        <w:t>法定代表人</w:t>
      </w:r>
      <w:r>
        <w:rPr>
          <w:rFonts w:hint="eastAsia" w:ascii="仿宋" w:hAnsi="仿宋" w:eastAsia="仿宋"/>
          <w:b w:val="0"/>
          <w:color w:val="auto"/>
          <w:sz w:val="24"/>
          <w:szCs w:val="24"/>
        </w:rPr>
        <w:t>（主要负责人</w:t>
      </w:r>
      <w:r>
        <w:rPr>
          <w:rFonts w:ascii="仿宋" w:hAnsi="仿宋" w:eastAsia="仿宋"/>
          <w:b w:val="0"/>
          <w:color w:val="auto"/>
          <w:sz w:val="24"/>
          <w:szCs w:val="24"/>
        </w:rPr>
        <w:t>）____________授权委托_____________为我的代理人，参加贵单位组织的</w:t>
      </w:r>
      <w:r>
        <w:rPr>
          <w:rFonts w:ascii="仿宋" w:hAnsi="仿宋" w:eastAsia="仿宋"/>
          <w:b w:val="0"/>
          <w:color w:val="auto"/>
          <w:sz w:val="24"/>
          <w:szCs w:val="24"/>
          <w:u w:val="single"/>
        </w:rPr>
        <w:t xml:space="preserve">            项目</w:t>
      </w:r>
      <w:r>
        <w:rPr>
          <w:rFonts w:ascii="仿宋" w:hAnsi="仿宋" w:eastAsia="仿宋"/>
          <w:b w:val="0"/>
          <w:color w:val="auto"/>
          <w:sz w:val="24"/>
          <w:szCs w:val="24"/>
        </w:rPr>
        <w:t>（采购项目编号：</w:t>
      </w:r>
      <w:r>
        <w:rPr>
          <w:rFonts w:ascii="仿宋" w:hAnsi="仿宋" w:eastAsia="仿宋"/>
          <w:b w:val="0"/>
          <w:bCs/>
          <w:color w:val="auto"/>
          <w:sz w:val="24"/>
          <w:szCs w:val="24"/>
          <w:u w:val="single"/>
        </w:rPr>
        <w:t xml:space="preserve">          </w:t>
      </w:r>
      <w:r>
        <w:rPr>
          <w:rFonts w:ascii="仿宋" w:hAnsi="仿宋" w:eastAsia="仿宋"/>
          <w:b w:val="0"/>
          <w:color w:val="auto"/>
          <w:sz w:val="24"/>
          <w:szCs w:val="24"/>
        </w:rPr>
        <w:t>）的投标。代理人在本次招标中所签署的一切文件和处理的一切有关事宜，我公司均予承认，所产生的法律后果均由我单位承担。</w:t>
      </w:r>
    </w:p>
    <w:p>
      <w:pPr>
        <w:spacing w:line="560" w:lineRule="exact"/>
        <w:ind w:firstLine="480"/>
        <w:rPr>
          <w:rFonts w:ascii="仿宋" w:hAnsi="仿宋" w:eastAsia="仿宋"/>
          <w:b w:val="0"/>
          <w:color w:val="auto"/>
          <w:sz w:val="24"/>
          <w:szCs w:val="24"/>
        </w:rPr>
      </w:pPr>
      <w:r>
        <w:rPr>
          <w:rFonts w:ascii="仿宋" w:hAnsi="仿宋" w:eastAsia="仿宋"/>
          <w:b w:val="0"/>
          <w:color w:val="auto"/>
          <w:sz w:val="24"/>
          <w:szCs w:val="24"/>
        </w:rPr>
        <w:t xml:space="preserve">代理人无转委托权，本授权书自 </w:t>
      </w:r>
      <w:r>
        <w:rPr>
          <w:rFonts w:ascii="仿宋" w:hAnsi="仿宋" w:eastAsia="仿宋"/>
          <w:b w:val="0"/>
          <w:color w:val="auto"/>
          <w:sz w:val="24"/>
          <w:szCs w:val="24"/>
          <w:u w:val="single"/>
        </w:rPr>
        <w:t xml:space="preserve">  </w:t>
      </w:r>
      <w:r>
        <w:rPr>
          <w:rFonts w:ascii="仿宋" w:hAnsi="仿宋" w:eastAsia="仿宋"/>
          <w:b w:val="0"/>
          <w:color w:val="auto"/>
          <w:sz w:val="24"/>
          <w:szCs w:val="24"/>
        </w:rPr>
        <w:t>年</w:t>
      </w:r>
      <w:r>
        <w:rPr>
          <w:rFonts w:ascii="仿宋" w:hAnsi="仿宋" w:eastAsia="仿宋"/>
          <w:b w:val="0"/>
          <w:color w:val="auto"/>
          <w:sz w:val="24"/>
          <w:szCs w:val="24"/>
          <w:u w:val="single"/>
        </w:rPr>
        <w:t xml:space="preserve">  </w:t>
      </w:r>
      <w:r>
        <w:rPr>
          <w:rFonts w:ascii="仿宋" w:hAnsi="仿宋" w:eastAsia="仿宋"/>
          <w:b w:val="0"/>
          <w:color w:val="auto"/>
          <w:sz w:val="24"/>
          <w:szCs w:val="24"/>
        </w:rPr>
        <w:t>月</w:t>
      </w:r>
      <w:r>
        <w:rPr>
          <w:rFonts w:ascii="仿宋" w:hAnsi="仿宋" w:eastAsia="仿宋"/>
          <w:b w:val="0"/>
          <w:color w:val="auto"/>
          <w:sz w:val="24"/>
          <w:szCs w:val="24"/>
          <w:u w:val="single"/>
        </w:rPr>
        <w:t xml:space="preserve">  </w:t>
      </w:r>
      <w:r>
        <w:rPr>
          <w:rFonts w:ascii="仿宋" w:hAnsi="仿宋" w:eastAsia="仿宋"/>
          <w:b w:val="0"/>
          <w:color w:val="auto"/>
          <w:sz w:val="24"/>
          <w:szCs w:val="24"/>
        </w:rPr>
        <w:t>日生效，特此声明。</w:t>
      </w:r>
    </w:p>
    <w:p>
      <w:pPr>
        <w:spacing w:line="560" w:lineRule="exact"/>
        <w:ind w:firstLine="480"/>
        <w:rPr>
          <w:rFonts w:ascii="仿宋" w:hAnsi="仿宋" w:eastAsia="仿宋"/>
          <w:b w:val="0"/>
          <w:sz w:val="24"/>
          <w:szCs w:val="24"/>
        </w:rPr>
      </w:pPr>
    </w:p>
    <w:p>
      <w:pPr>
        <w:spacing w:line="560" w:lineRule="exact"/>
        <w:ind w:firstLine="480"/>
        <w:rPr>
          <w:rFonts w:ascii="仿宋" w:hAnsi="仿宋" w:eastAsia="仿宋"/>
          <w:b w:val="0"/>
          <w:color w:val="auto"/>
          <w:sz w:val="24"/>
          <w:szCs w:val="24"/>
        </w:rPr>
      </w:pPr>
      <w:r>
        <w:rPr>
          <w:rFonts w:ascii="仿宋" w:hAnsi="仿宋" w:eastAsia="仿宋"/>
          <w:b w:val="0"/>
          <w:color w:val="auto"/>
          <w:sz w:val="24"/>
          <w:szCs w:val="24"/>
        </w:rPr>
        <w:t>投标人名称（公章）：</w:t>
      </w:r>
    </w:p>
    <w:p>
      <w:pPr>
        <w:spacing w:line="560" w:lineRule="exact"/>
        <w:ind w:firstLine="480"/>
        <w:rPr>
          <w:rFonts w:ascii="仿宋" w:hAnsi="仿宋" w:eastAsia="仿宋"/>
          <w:b w:val="0"/>
          <w:color w:val="auto"/>
          <w:sz w:val="24"/>
          <w:szCs w:val="24"/>
        </w:rPr>
      </w:pPr>
      <w:r>
        <w:rPr>
          <w:rFonts w:ascii="仿宋" w:hAnsi="仿宋" w:eastAsia="仿宋"/>
          <w:b w:val="0"/>
          <w:color w:val="auto"/>
          <w:sz w:val="24"/>
          <w:szCs w:val="24"/>
        </w:rPr>
        <w:t>法定代表人</w:t>
      </w:r>
      <w:r>
        <w:rPr>
          <w:rFonts w:hint="eastAsia" w:ascii="仿宋" w:hAnsi="仿宋" w:eastAsia="仿宋"/>
          <w:b w:val="0"/>
          <w:color w:val="auto"/>
          <w:sz w:val="24"/>
          <w:szCs w:val="24"/>
        </w:rPr>
        <w:t>（主要负责人</w:t>
      </w:r>
      <w:r>
        <w:rPr>
          <w:rFonts w:ascii="仿宋" w:hAnsi="仿宋" w:eastAsia="仿宋"/>
          <w:b w:val="0"/>
          <w:color w:val="auto"/>
          <w:sz w:val="24"/>
          <w:szCs w:val="24"/>
        </w:rPr>
        <w:t>）</w:t>
      </w:r>
      <w:r>
        <w:rPr>
          <w:rFonts w:ascii="仿宋" w:hAnsi="仿宋" w:eastAsia="仿宋"/>
          <w:b w:val="0"/>
          <w:bCs/>
          <w:color w:val="auto"/>
          <w:sz w:val="24"/>
          <w:szCs w:val="24"/>
        </w:rPr>
        <w:t>（签字</w:t>
      </w:r>
      <w:r>
        <w:rPr>
          <w:rFonts w:ascii="仿宋" w:hAnsi="仿宋" w:eastAsia="仿宋"/>
          <w:b w:val="0"/>
          <w:color w:val="auto"/>
          <w:kern w:val="2"/>
          <w:sz w:val="24"/>
          <w:szCs w:val="24"/>
          <w:lang w:val="en-US"/>
        </w:rPr>
        <w:t>或加盖印章</w:t>
      </w:r>
      <w:r>
        <w:rPr>
          <w:rFonts w:ascii="仿宋" w:hAnsi="仿宋" w:eastAsia="仿宋"/>
          <w:b w:val="0"/>
          <w:bCs/>
          <w:color w:val="auto"/>
          <w:sz w:val="24"/>
          <w:szCs w:val="24"/>
        </w:rPr>
        <w:t>）：</w:t>
      </w:r>
    </w:p>
    <w:p>
      <w:pPr>
        <w:spacing w:line="560" w:lineRule="exact"/>
        <w:ind w:firstLine="480"/>
        <w:rPr>
          <w:rFonts w:ascii="仿宋" w:hAnsi="仿宋" w:eastAsia="仿宋"/>
          <w:b w:val="0"/>
          <w:color w:val="auto"/>
          <w:sz w:val="24"/>
          <w:szCs w:val="24"/>
        </w:rPr>
      </w:pPr>
      <w:r>
        <w:rPr>
          <w:rFonts w:ascii="仿宋" w:hAnsi="仿宋" w:eastAsia="仿宋"/>
          <w:b w:val="0"/>
          <w:color w:val="auto"/>
          <w:sz w:val="24"/>
          <w:szCs w:val="24"/>
        </w:rPr>
        <w:t>代理人（签字</w:t>
      </w:r>
      <w:r>
        <w:rPr>
          <w:rFonts w:ascii="仿宋" w:hAnsi="仿宋" w:eastAsia="仿宋"/>
          <w:b w:val="0"/>
          <w:color w:val="auto"/>
          <w:kern w:val="2"/>
          <w:sz w:val="24"/>
          <w:szCs w:val="24"/>
          <w:lang w:val="en-US"/>
        </w:rPr>
        <w:t>或加盖印章</w:t>
      </w:r>
      <w:r>
        <w:rPr>
          <w:rFonts w:ascii="仿宋" w:hAnsi="仿宋" w:eastAsia="仿宋"/>
          <w:b w:val="0"/>
          <w:color w:val="auto"/>
          <w:sz w:val="24"/>
          <w:szCs w:val="24"/>
        </w:rPr>
        <w:t>）：</w:t>
      </w:r>
    </w:p>
    <w:p>
      <w:pPr>
        <w:spacing w:line="560" w:lineRule="exact"/>
        <w:rPr>
          <w:rFonts w:ascii="仿宋" w:hAnsi="仿宋" w:eastAsia="仿宋"/>
        </w:rPr>
      </w:pPr>
    </w:p>
    <w:p>
      <w:pPr>
        <w:ind w:firstLine="480"/>
        <w:rPr>
          <w:rFonts w:hint="eastAsia" w:ascii="仿宋" w:hAnsi="仿宋" w:eastAsia="仿宋"/>
          <w:b w:val="0"/>
          <w:color w:val="auto"/>
          <w:sz w:val="24"/>
          <w:szCs w:val="24"/>
        </w:rPr>
      </w:pPr>
      <w:r>
        <w:rPr>
          <w:rFonts w:ascii="仿宋" w:hAnsi="仿宋" w:eastAsia="仿宋"/>
          <w:b w:val="0"/>
          <w:color w:val="auto"/>
          <w:sz w:val="24"/>
          <w:szCs w:val="24"/>
        </w:rPr>
        <w:t>说明：1</w:t>
      </w:r>
      <w:r>
        <w:rPr>
          <w:rFonts w:ascii="仿宋" w:hAnsi="仿宋" w:eastAsia="仿宋"/>
          <w:b w:val="0"/>
          <w:color w:val="auto"/>
          <w:sz w:val="24"/>
        </w:rPr>
        <w:t>．</w:t>
      </w:r>
      <w:r>
        <w:rPr>
          <w:rFonts w:ascii="仿宋" w:hAnsi="仿宋" w:eastAsia="仿宋"/>
          <w:b w:val="0"/>
          <w:color w:val="auto"/>
          <w:sz w:val="24"/>
          <w:szCs w:val="24"/>
        </w:rPr>
        <w:t>上述证明文件在资格性投标文件中附有法定代表人</w:t>
      </w:r>
      <w:r>
        <w:rPr>
          <w:rFonts w:hint="eastAsia" w:ascii="仿宋" w:hAnsi="仿宋" w:eastAsia="仿宋"/>
          <w:b w:val="0"/>
          <w:color w:val="auto"/>
          <w:kern w:val="2"/>
          <w:sz w:val="24"/>
          <w:szCs w:val="24"/>
          <w:lang w:val="en-US"/>
        </w:rPr>
        <w:t>（主要负责人）</w:t>
      </w:r>
      <w:r>
        <w:rPr>
          <w:rFonts w:ascii="仿宋" w:hAnsi="仿宋" w:eastAsia="仿宋"/>
          <w:b w:val="0"/>
          <w:color w:val="auto"/>
          <w:sz w:val="24"/>
          <w:szCs w:val="24"/>
        </w:rPr>
        <w:t>身份证复印件和代理人身份证复印件（身份证两面均应复印）时才能生效，不允许粘贴。2</w:t>
      </w:r>
      <w:r>
        <w:rPr>
          <w:rFonts w:ascii="仿宋" w:hAnsi="仿宋" w:eastAsia="仿宋"/>
          <w:b w:val="0"/>
          <w:color w:val="auto"/>
          <w:sz w:val="24"/>
        </w:rPr>
        <w:t>．</w:t>
      </w:r>
      <w:r>
        <w:rPr>
          <w:rFonts w:ascii="仿宋" w:hAnsi="仿宋" w:eastAsia="仿宋"/>
          <w:b w:val="0"/>
          <w:color w:val="auto"/>
          <w:sz w:val="24"/>
          <w:szCs w:val="24"/>
        </w:rPr>
        <w:t>投标文件均由投标人法定代表人</w:t>
      </w:r>
      <w:r>
        <w:rPr>
          <w:rFonts w:hint="eastAsia" w:ascii="仿宋" w:hAnsi="仿宋" w:eastAsia="仿宋"/>
          <w:b w:val="0"/>
          <w:color w:val="auto"/>
          <w:kern w:val="2"/>
          <w:sz w:val="24"/>
          <w:szCs w:val="24"/>
          <w:lang w:val="en-US"/>
        </w:rPr>
        <w:t>（主要负责人）</w:t>
      </w:r>
      <w:r>
        <w:rPr>
          <w:rFonts w:ascii="仿宋" w:hAnsi="仿宋" w:eastAsia="仿宋"/>
          <w:b w:val="0"/>
          <w:color w:val="auto"/>
          <w:sz w:val="24"/>
          <w:szCs w:val="24"/>
        </w:rPr>
        <w:t>签字</w:t>
      </w:r>
      <w:r>
        <w:rPr>
          <w:rFonts w:ascii="仿宋" w:hAnsi="仿宋" w:eastAsia="仿宋"/>
          <w:b w:val="0"/>
          <w:color w:val="auto"/>
          <w:kern w:val="2"/>
          <w:sz w:val="24"/>
          <w:szCs w:val="24"/>
          <w:lang w:val="en-US"/>
        </w:rPr>
        <w:t>或加盖印章</w:t>
      </w:r>
      <w:r>
        <w:rPr>
          <w:rFonts w:ascii="仿宋" w:hAnsi="仿宋" w:eastAsia="仿宋"/>
          <w:b w:val="0"/>
          <w:color w:val="auto"/>
          <w:sz w:val="24"/>
          <w:szCs w:val="24"/>
        </w:rPr>
        <w:t>的,资格性投标文件中可不提供法定代表人</w:t>
      </w:r>
      <w:r>
        <w:rPr>
          <w:rFonts w:hint="eastAsia" w:ascii="仿宋" w:hAnsi="仿宋" w:eastAsia="仿宋"/>
          <w:b w:val="0"/>
          <w:color w:val="auto"/>
          <w:sz w:val="24"/>
          <w:szCs w:val="24"/>
        </w:rPr>
        <w:t>（主要负责人</w:t>
      </w:r>
      <w:r>
        <w:rPr>
          <w:rFonts w:ascii="仿宋" w:hAnsi="仿宋" w:eastAsia="仿宋"/>
          <w:b w:val="0"/>
          <w:color w:val="auto"/>
          <w:sz w:val="24"/>
          <w:szCs w:val="24"/>
        </w:rPr>
        <w:t>）授权委托书及代理人身份证复印件，但必须提供法定代表人</w:t>
      </w:r>
      <w:r>
        <w:rPr>
          <w:rFonts w:hint="eastAsia" w:ascii="仿宋" w:hAnsi="仿宋" w:eastAsia="仿宋"/>
          <w:b w:val="0"/>
          <w:color w:val="auto"/>
          <w:sz w:val="24"/>
          <w:szCs w:val="24"/>
        </w:rPr>
        <w:t>（主要负责人</w:t>
      </w:r>
      <w:r>
        <w:rPr>
          <w:rFonts w:ascii="仿宋" w:hAnsi="仿宋" w:eastAsia="仿宋"/>
          <w:b w:val="0"/>
          <w:color w:val="auto"/>
          <w:sz w:val="24"/>
          <w:szCs w:val="24"/>
        </w:rPr>
        <w:t>）身份证复印件。</w:t>
      </w:r>
    </w:p>
    <w:p>
      <w:pPr>
        <w:ind w:firstLine="480"/>
        <w:rPr>
          <w:rFonts w:ascii="仿宋" w:hAnsi="仿宋" w:eastAsia="仿宋"/>
          <w:b w:val="0"/>
          <w:color w:val="auto"/>
          <w:sz w:val="24"/>
          <w:szCs w:val="24"/>
        </w:rPr>
      </w:pPr>
      <w:r>
        <w:rPr>
          <w:rFonts w:ascii="仿宋" w:hAnsi="仿宋" w:eastAsia="仿宋"/>
          <w:b w:val="0"/>
          <w:color w:val="auto"/>
          <w:sz w:val="24"/>
          <w:szCs w:val="24"/>
        </w:rPr>
        <w:t>法定代表人</w:t>
      </w:r>
      <w:r>
        <w:rPr>
          <w:rFonts w:hint="eastAsia" w:ascii="仿宋" w:hAnsi="仿宋" w:eastAsia="仿宋"/>
          <w:b w:val="0"/>
          <w:color w:val="auto"/>
          <w:kern w:val="2"/>
          <w:sz w:val="24"/>
          <w:szCs w:val="24"/>
          <w:lang w:val="en-US"/>
        </w:rPr>
        <w:t>（主要负责人）</w:t>
      </w:r>
      <w:r>
        <w:rPr>
          <w:rFonts w:ascii="仿宋" w:hAnsi="仿宋" w:eastAsia="仿宋"/>
          <w:b w:val="0"/>
          <w:color w:val="auto"/>
          <w:sz w:val="24"/>
          <w:szCs w:val="24"/>
        </w:rPr>
        <w:t>身份证和代理人身份证样式</w:t>
      </w:r>
      <w:r>
        <w:rPr>
          <w:rFonts w:hint="eastAsia" w:ascii="仿宋" w:hAnsi="仿宋" w:eastAsia="仿宋"/>
          <w:b w:val="0"/>
          <w:color w:val="auto"/>
          <w:sz w:val="24"/>
          <w:szCs w:val="24"/>
        </w:rPr>
        <w:t>（仅供参考）</w:t>
      </w:r>
      <w:r>
        <w:rPr>
          <w:rFonts w:ascii="仿宋" w:hAnsi="仿宋" w:eastAsia="仿宋"/>
          <w:b w:val="0"/>
          <w:color w:val="auto"/>
          <w:sz w:val="24"/>
          <w:szCs w:val="24"/>
        </w:rPr>
        <w:t>：</w:t>
      </w:r>
    </w:p>
    <w:p>
      <w:pPr>
        <w:rPr>
          <w:rFonts w:ascii="仿宋" w:hAnsi="仿宋" w:eastAsia="仿宋"/>
        </w:rPr>
      </w:pPr>
      <w:r>
        <w:rPr>
          <w:rFonts w:ascii="仿宋" w:hAnsi="仿宋" w:eastAsia="仿宋"/>
          <w:lang w:val="en-US" w:eastAsia="zh-CN"/>
        </w:rPr>
        <w:pict>
          <v:shape id="文本框 8" o:spid="_x0000_s1056" o:spt="202" type="#_x0000_t202" style="position:absolute;left:0pt;margin-left:27.1pt;margin-top:1.25pt;height:110.15pt;width:189.4pt;mso-wrap-distance-left:9pt;mso-wrap-distance-right:9pt;z-index:-251657216;mso-width-relative:margin;mso-height-relative:margin;" coordsize="21600,21600" wrapcoords="-85 -141 -85 21459 21685 21459 21685 -141 -85 -141">
            <v:path/>
            <v:fill focussize="0,0"/>
            <v:stroke dashstyle="dash"/>
            <v:imagedata o:title=""/>
            <o:lock v:ext="edit"/>
            <v:textbox>
              <w:txbxContent>
                <w:p>
                  <w:pPr>
                    <w:rPr>
                      <w:rFonts w:hint="eastAsia"/>
                    </w:rPr>
                  </w:pPr>
                </w:p>
                <w:p>
                  <w:pPr>
                    <w:ind w:firstLine="0" w:firstLineChars="0"/>
                    <w:jc w:val="center"/>
                    <w:rPr>
                      <w:color w:val="auto"/>
                    </w:rPr>
                  </w:pPr>
                  <w:r>
                    <w:rPr>
                      <w:rFonts w:hint="eastAsia"/>
                      <w:color w:val="auto"/>
                    </w:rPr>
                    <w:t>身份证复印件正面</w:t>
                  </w:r>
                </w:p>
              </w:txbxContent>
            </v:textbox>
            <w10:wrap type="tight"/>
          </v:shape>
        </w:pict>
      </w:r>
      <w:r>
        <w:rPr>
          <w:rFonts w:ascii="仿宋" w:hAnsi="仿宋" w:eastAsia="仿宋"/>
          <w:lang w:val="en-US" w:eastAsia="zh-CN"/>
        </w:rPr>
        <w:pict>
          <v:shape id="文本框 9" o:spid="_x0000_s1055" o:spt="202" type="#_x0000_t202" style="position:absolute;left:0pt;margin-left:228.35pt;margin-top:1.25pt;height:110.15pt;width:189.4pt;mso-wrap-distance-left:9pt;mso-wrap-distance-right:9pt;z-index:251660288;mso-width-relative:margin;mso-height-relative:margin;" coordsize="21600,21600" wrapcoords="-85 -141 -85 21459 21685 21459 21685 -141 -85 -141">
            <v:path/>
            <v:fill focussize="0,0"/>
            <v:stroke dashstyle="dash"/>
            <v:imagedata o:title=""/>
            <o:lock v:ext="edit"/>
            <v:textbox>
              <w:txbxContent>
                <w:p>
                  <w:pPr>
                    <w:rPr>
                      <w:rFonts w:hint="eastAsia"/>
                    </w:rPr>
                  </w:pPr>
                </w:p>
                <w:p>
                  <w:pPr>
                    <w:ind w:firstLine="0" w:firstLineChars="0"/>
                    <w:jc w:val="center"/>
                    <w:rPr>
                      <w:color w:val="auto"/>
                    </w:rPr>
                  </w:pPr>
                  <w:r>
                    <w:rPr>
                      <w:rFonts w:hint="eastAsia"/>
                      <w:color w:val="auto"/>
                    </w:rPr>
                    <w:t>身份证复印件背面</w:t>
                  </w:r>
                </w:p>
              </w:txbxContent>
            </v:textbox>
            <w10:wrap type="tight"/>
          </v:shape>
        </w:pict>
      </w:r>
    </w:p>
    <w:p>
      <w:pPr>
        <w:rPr>
          <w:rFonts w:ascii="仿宋" w:hAnsi="仿宋" w:eastAsia="仿宋"/>
        </w:rPr>
      </w:pPr>
    </w:p>
    <w:p>
      <w:pPr>
        <w:rPr>
          <w:rFonts w:ascii="仿宋" w:hAnsi="仿宋" w:eastAsia="仿宋"/>
        </w:rPr>
      </w:pPr>
    </w:p>
    <w:p>
      <w:pPr>
        <w:keepNext/>
        <w:numPr>
          <w:ilvl w:val="1"/>
          <w:numId w:val="17"/>
        </w:numPr>
        <w:tabs>
          <w:tab w:val="left" w:pos="360"/>
        </w:tabs>
        <w:spacing w:line="520" w:lineRule="exact"/>
        <w:ind w:left="0" w:firstLine="0" w:firstLineChars="0"/>
        <w:jc w:val="left"/>
        <w:outlineLvl w:val="1"/>
        <w:rPr>
          <w:rFonts w:ascii="仿宋" w:hAnsi="仿宋" w:eastAsia="仿宋"/>
          <w:bCs/>
          <w:color w:val="auto"/>
          <w:kern w:val="2"/>
          <w:sz w:val="24"/>
          <w:szCs w:val="24"/>
          <w:lang w:val="en-US"/>
        </w:rPr>
      </w:pPr>
      <w:r>
        <w:rPr>
          <w:rFonts w:ascii="仿宋" w:hAnsi="仿宋" w:eastAsia="仿宋"/>
          <w:bCs/>
          <w:kern w:val="2"/>
          <w:sz w:val="24"/>
          <w:szCs w:val="24"/>
          <w:lang w:val="en-US"/>
        </w:rPr>
        <w:t xml:space="preserve"> </w:t>
      </w:r>
      <w:r>
        <w:rPr>
          <w:rFonts w:ascii="仿宋" w:hAnsi="仿宋" w:eastAsia="仿宋"/>
          <w:bCs/>
          <w:color w:val="auto"/>
          <w:kern w:val="2"/>
          <w:sz w:val="24"/>
          <w:szCs w:val="24"/>
          <w:lang w:val="en-US"/>
        </w:rPr>
        <w:t xml:space="preserve"> </w:t>
      </w:r>
      <w:bookmarkStart w:id="372" w:name="_Toc40703450"/>
      <w:r>
        <w:rPr>
          <w:rFonts w:ascii="仿宋" w:hAnsi="仿宋" w:eastAsia="仿宋"/>
          <w:bCs/>
          <w:color w:val="auto"/>
          <w:kern w:val="2"/>
          <w:sz w:val="24"/>
          <w:szCs w:val="24"/>
          <w:lang w:val="en-US"/>
        </w:rPr>
        <w:t>其他投标文件格式</w:t>
      </w:r>
      <w:bookmarkEnd w:id="372"/>
    </w:p>
    <w:p>
      <w:pPr>
        <w:keepNext/>
        <w:keepLines/>
        <w:numPr>
          <w:ilvl w:val="2"/>
          <w:numId w:val="17"/>
        </w:numPr>
        <w:tabs>
          <w:tab w:val="left" w:pos="360"/>
        </w:tabs>
        <w:snapToGrid/>
        <w:spacing w:line="520" w:lineRule="exact"/>
        <w:ind w:left="0" w:firstLine="0" w:firstLineChars="0"/>
        <w:jc w:val="left"/>
        <w:outlineLvl w:val="2"/>
        <w:rPr>
          <w:rFonts w:ascii="仿宋" w:hAnsi="仿宋" w:eastAsia="仿宋"/>
          <w:bCs/>
          <w:color w:val="auto"/>
          <w:kern w:val="2"/>
          <w:sz w:val="24"/>
          <w:szCs w:val="24"/>
          <w:lang w:val="en-US"/>
        </w:rPr>
      </w:pPr>
      <w:r>
        <w:rPr>
          <w:rFonts w:ascii="仿宋" w:hAnsi="仿宋" w:eastAsia="仿宋"/>
          <w:bCs/>
          <w:color w:val="auto"/>
          <w:kern w:val="2"/>
          <w:sz w:val="24"/>
          <w:szCs w:val="24"/>
          <w:lang w:val="en-US"/>
        </w:rPr>
        <w:t>其他投标文件密封包装最外层格式</w:t>
      </w:r>
    </w:p>
    <w:p>
      <w:pPr>
        <w:rPr>
          <w:rFonts w:ascii="仿宋" w:hAnsi="仿宋" w:eastAsia="仿宋"/>
        </w:rPr>
      </w:pPr>
    </w:p>
    <w:p>
      <w:pPr>
        <w:rPr>
          <w:rFonts w:ascii="仿宋" w:hAnsi="仿宋" w:eastAsia="仿宋"/>
        </w:rPr>
      </w:pPr>
    </w:p>
    <w:p>
      <w:pPr>
        <w:snapToGrid/>
        <w:ind w:firstLine="0" w:firstLineChars="0"/>
        <w:jc w:val="center"/>
        <w:rPr>
          <w:rFonts w:ascii="仿宋" w:hAnsi="仿宋" w:eastAsia="仿宋"/>
          <w:b w:val="0"/>
          <w:color w:val="auto"/>
          <w:spacing w:val="78"/>
          <w:kern w:val="2"/>
          <w:sz w:val="120"/>
          <w:szCs w:val="120"/>
          <w:lang w:val="en-US"/>
        </w:rPr>
      </w:pPr>
      <w:r>
        <w:rPr>
          <w:rFonts w:ascii="仿宋" w:hAnsi="仿宋" w:eastAsia="仿宋"/>
          <w:b w:val="0"/>
          <w:color w:val="auto"/>
          <w:spacing w:val="78"/>
          <w:kern w:val="2"/>
          <w:sz w:val="96"/>
          <w:szCs w:val="120"/>
          <w:lang w:val="en-US"/>
        </w:rPr>
        <w:t>其他投标文件</w:t>
      </w:r>
    </w:p>
    <w:p>
      <w:pPr>
        <w:rPr>
          <w:rFonts w:ascii="仿宋" w:hAnsi="仿宋" w:eastAsia="仿宋"/>
        </w:rPr>
      </w:pPr>
    </w:p>
    <w:p>
      <w:pPr>
        <w:rPr>
          <w:rFonts w:ascii="仿宋" w:hAnsi="仿宋" w:eastAsia="仿宋"/>
        </w:rPr>
      </w:pPr>
    </w:p>
    <w:p>
      <w:pPr>
        <w:rPr>
          <w:rFonts w:ascii="仿宋" w:hAnsi="仿宋" w:eastAsia="仿宋"/>
        </w:rPr>
      </w:pPr>
    </w:p>
    <w:p>
      <w:pPr>
        <w:snapToGrid/>
        <w:ind w:left="2729" w:leftChars="355" w:hanging="1593" w:hangingChars="496"/>
        <w:rPr>
          <w:rFonts w:ascii="仿宋" w:hAnsi="仿宋" w:eastAsia="仿宋"/>
          <w:bCs/>
          <w:color w:val="auto"/>
          <w:kern w:val="2"/>
          <w:lang w:val="en-US"/>
        </w:rPr>
      </w:pPr>
      <w:r>
        <w:rPr>
          <w:rFonts w:ascii="仿宋" w:hAnsi="仿宋" w:eastAsia="仿宋"/>
          <w:bCs/>
          <w:color w:val="auto"/>
          <w:kern w:val="2"/>
          <w:lang w:val="en-US"/>
        </w:rPr>
        <w:t>采购项目名称：</w:t>
      </w:r>
    </w:p>
    <w:p>
      <w:pPr>
        <w:snapToGrid/>
        <w:ind w:left="2729" w:leftChars="355" w:hanging="1593" w:hangingChars="496"/>
        <w:rPr>
          <w:rFonts w:ascii="仿宋" w:hAnsi="仿宋" w:eastAsia="仿宋"/>
          <w:bCs/>
          <w:color w:val="auto"/>
          <w:kern w:val="2"/>
          <w:lang w:val="en-US"/>
        </w:rPr>
      </w:pPr>
      <w:r>
        <w:rPr>
          <w:rFonts w:ascii="仿宋" w:hAnsi="仿宋" w:eastAsia="仿宋"/>
          <w:bCs/>
          <w:color w:val="auto"/>
          <w:kern w:val="2"/>
          <w:lang w:val="en-US"/>
        </w:rPr>
        <w:t>采购项目编号：</w:t>
      </w:r>
    </w:p>
    <w:p>
      <w:pPr>
        <w:snapToGrid/>
        <w:ind w:left="2729" w:leftChars="355" w:hanging="1593" w:hangingChars="496"/>
        <w:rPr>
          <w:rFonts w:hint="eastAsia" w:ascii="仿宋" w:hAnsi="仿宋" w:eastAsia="仿宋"/>
          <w:bCs/>
          <w:kern w:val="2"/>
          <w:lang w:val="en-US"/>
        </w:rPr>
      </w:pPr>
    </w:p>
    <w:p>
      <w:pPr>
        <w:rPr>
          <w:rFonts w:ascii="仿宋" w:hAnsi="仿宋" w:eastAsia="仿宋"/>
        </w:rPr>
      </w:pPr>
    </w:p>
    <w:p>
      <w:pPr>
        <w:rPr>
          <w:rFonts w:ascii="仿宋" w:hAnsi="仿宋" w:eastAsia="仿宋"/>
        </w:rPr>
      </w:pPr>
    </w:p>
    <w:p>
      <w:pPr>
        <w:rPr>
          <w:rFonts w:ascii="仿宋" w:hAnsi="仿宋" w:eastAsia="仿宋"/>
        </w:rPr>
      </w:pPr>
    </w:p>
    <w:p>
      <w:pPr>
        <w:snapToGrid/>
        <w:ind w:firstLine="0" w:firstLineChars="0"/>
        <w:jc w:val="center"/>
        <w:rPr>
          <w:rFonts w:ascii="仿宋" w:hAnsi="仿宋" w:eastAsia="仿宋"/>
          <w:color w:val="auto"/>
          <w:kern w:val="2"/>
          <w:lang w:val="en-US"/>
        </w:rPr>
      </w:pPr>
      <w:r>
        <w:rPr>
          <w:rFonts w:ascii="仿宋" w:hAnsi="仿宋" w:eastAsia="仿宋"/>
          <w:color w:val="auto"/>
          <w:kern w:val="2"/>
          <w:lang w:val="en-US"/>
        </w:rPr>
        <w:t>投标人名称：</w:t>
      </w:r>
      <w:r>
        <w:rPr>
          <w:rFonts w:ascii="仿宋" w:hAnsi="仿宋" w:eastAsia="仿宋"/>
          <w:color w:val="auto"/>
          <w:kern w:val="2"/>
          <w:u w:val="single"/>
          <w:lang w:val="en-US"/>
        </w:rPr>
        <w:t xml:space="preserve">              （加盖公章）</w:t>
      </w:r>
    </w:p>
    <w:p>
      <w:pPr>
        <w:snapToGrid/>
        <w:ind w:firstLine="1606" w:firstLineChars="500"/>
        <w:jc w:val="left"/>
        <w:rPr>
          <w:rFonts w:ascii="仿宋" w:hAnsi="仿宋" w:eastAsia="仿宋"/>
          <w:color w:val="auto"/>
          <w:kern w:val="2"/>
          <w:lang w:val="en-US"/>
        </w:rPr>
      </w:pPr>
    </w:p>
    <w:p>
      <w:pPr>
        <w:rPr>
          <w:rFonts w:ascii="仿宋" w:hAnsi="仿宋" w:eastAsia="仿宋"/>
          <w:lang w:val="en-US"/>
        </w:rPr>
      </w:pPr>
    </w:p>
    <w:p>
      <w:pPr>
        <w:rPr>
          <w:rFonts w:ascii="仿宋" w:hAnsi="仿宋" w:eastAsia="仿宋"/>
          <w:lang w:val="en-US"/>
        </w:rPr>
      </w:pPr>
    </w:p>
    <w:p>
      <w:pPr>
        <w:snapToGrid/>
        <w:ind w:firstLine="0" w:firstLineChars="0"/>
        <w:jc w:val="center"/>
        <w:rPr>
          <w:rFonts w:ascii="仿宋" w:hAnsi="仿宋" w:eastAsia="仿宋"/>
          <w:color w:val="auto"/>
          <w:kern w:val="2"/>
          <w:lang w:val="en-US"/>
        </w:rPr>
      </w:pPr>
      <w:r>
        <w:rPr>
          <w:rFonts w:ascii="仿宋" w:hAnsi="仿宋" w:eastAsia="仿宋"/>
          <w:color w:val="auto"/>
          <w:kern w:val="2"/>
          <w:lang w:val="en-US"/>
        </w:rPr>
        <w:t>开标时间之前不准启封</w:t>
      </w:r>
    </w:p>
    <w:p>
      <w:pPr>
        <w:snapToGrid/>
        <w:ind w:firstLine="0" w:firstLineChars="0"/>
        <w:jc w:val="center"/>
        <w:rPr>
          <w:rFonts w:ascii="仿宋" w:hAnsi="仿宋" w:eastAsia="仿宋"/>
          <w:color w:val="auto"/>
          <w:kern w:val="2"/>
          <w:lang w:val="en-US"/>
        </w:rPr>
      </w:pPr>
      <w:r>
        <w:rPr>
          <w:rFonts w:ascii="仿宋" w:hAnsi="仿宋" w:eastAsia="仿宋"/>
          <w:color w:val="auto"/>
          <w:kern w:val="2"/>
          <w:lang w:val="en-US"/>
        </w:rPr>
        <w:t>或 20   年   月   日   :   前不准启封</w:t>
      </w:r>
    </w:p>
    <w:p>
      <w:pPr>
        <w:snapToGrid/>
        <w:ind w:firstLine="0" w:firstLineChars="0"/>
        <w:jc w:val="left"/>
        <w:rPr>
          <w:rFonts w:ascii="仿宋" w:hAnsi="仿宋" w:eastAsia="仿宋"/>
          <w:color w:val="auto"/>
          <w:kern w:val="2"/>
          <w:lang w:val="en-US"/>
        </w:rPr>
      </w:pPr>
    </w:p>
    <w:p>
      <w:pPr>
        <w:keepNext/>
        <w:keepLines/>
        <w:numPr>
          <w:ilvl w:val="2"/>
          <w:numId w:val="17"/>
        </w:numPr>
        <w:tabs>
          <w:tab w:val="left" w:pos="360"/>
        </w:tabs>
        <w:snapToGrid/>
        <w:spacing w:line="520" w:lineRule="exact"/>
        <w:ind w:left="0" w:firstLine="0" w:firstLineChars="0"/>
        <w:jc w:val="left"/>
        <w:outlineLvl w:val="2"/>
        <w:rPr>
          <w:rFonts w:ascii="仿宋" w:hAnsi="仿宋" w:eastAsia="仿宋"/>
          <w:bCs/>
          <w:color w:val="auto"/>
          <w:kern w:val="2"/>
          <w:sz w:val="24"/>
          <w:szCs w:val="24"/>
          <w:lang w:val="en-US"/>
        </w:rPr>
      </w:pPr>
      <w:r>
        <w:rPr>
          <w:rFonts w:ascii="仿宋" w:hAnsi="仿宋" w:eastAsia="仿宋"/>
          <w:bCs/>
          <w:color w:val="auto"/>
          <w:kern w:val="2"/>
          <w:sz w:val="24"/>
          <w:szCs w:val="24"/>
          <w:lang w:val="en-US"/>
        </w:rPr>
        <w:t>其他投标文件封面格式</w:t>
      </w:r>
    </w:p>
    <w:p>
      <w:pPr>
        <w:rPr>
          <w:rFonts w:ascii="仿宋" w:hAnsi="仿宋" w:eastAsia="仿宋"/>
        </w:rPr>
      </w:pPr>
    </w:p>
    <w:p>
      <w:pPr>
        <w:rPr>
          <w:rFonts w:ascii="仿宋" w:hAnsi="仿宋" w:eastAsia="仿宋"/>
        </w:rPr>
      </w:pPr>
    </w:p>
    <w:p>
      <w:pPr>
        <w:snapToGrid/>
        <w:ind w:firstLine="0" w:firstLineChars="0"/>
        <w:jc w:val="center"/>
        <w:rPr>
          <w:rFonts w:ascii="仿宋" w:hAnsi="仿宋" w:eastAsia="仿宋"/>
          <w:b w:val="0"/>
          <w:color w:val="auto"/>
          <w:spacing w:val="78"/>
          <w:kern w:val="2"/>
          <w:sz w:val="120"/>
          <w:szCs w:val="120"/>
          <w:lang w:val="en-US"/>
        </w:rPr>
      </w:pPr>
      <w:r>
        <w:rPr>
          <w:rFonts w:ascii="仿宋" w:hAnsi="仿宋" w:eastAsia="仿宋"/>
          <w:b w:val="0"/>
          <w:color w:val="auto"/>
          <w:spacing w:val="78"/>
          <w:kern w:val="2"/>
          <w:sz w:val="96"/>
          <w:szCs w:val="120"/>
          <w:lang w:val="en-US"/>
        </w:rPr>
        <w:t>其他投标文件</w:t>
      </w:r>
    </w:p>
    <w:p>
      <w:pPr>
        <w:rPr>
          <w:rFonts w:ascii="仿宋" w:hAnsi="仿宋" w:eastAsia="仿宋"/>
        </w:rPr>
      </w:pPr>
    </w:p>
    <w:p>
      <w:pPr>
        <w:ind w:firstLine="0" w:firstLineChars="0"/>
        <w:jc w:val="center"/>
        <w:rPr>
          <w:rFonts w:ascii="仿宋" w:hAnsi="仿宋" w:eastAsia="仿宋"/>
          <w:color w:val="auto"/>
          <w:spacing w:val="78"/>
          <w:sz w:val="44"/>
          <w:szCs w:val="120"/>
        </w:rPr>
      </w:pPr>
      <w:r>
        <w:rPr>
          <w:rFonts w:ascii="仿宋" w:hAnsi="仿宋" w:eastAsia="仿宋"/>
          <w:color w:val="auto"/>
          <w:spacing w:val="78"/>
          <w:sz w:val="44"/>
          <w:szCs w:val="120"/>
        </w:rPr>
        <w:t>（正本或副本）</w:t>
      </w:r>
    </w:p>
    <w:p>
      <w:pPr>
        <w:jc w:val="center"/>
        <w:rPr>
          <w:rFonts w:ascii="仿宋" w:hAnsi="仿宋" w:eastAsia="仿宋"/>
          <w:color w:val="auto"/>
        </w:rPr>
      </w:pPr>
    </w:p>
    <w:p>
      <w:pPr>
        <w:snapToGrid/>
        <w:ind w:left="2729" w:leftChars="355" w:hanging="1593" w:hangingChars="496"/>
        <w:rPr>
          <w:rFonts w:ascii="仿宋" w:hAnsi="仿宋" w:eastAsia="仿宋"/>
          <w:bCs/>
          <w:color w:val="auto"/>
          <w:kern w:val="2"/>
          <w:lang w:val="en-US"/>
        </w:rPr>
      </w:pPr>
      <w:r>
        <w:rPr>
          <w:rFonts w:ascii="仿宋" w:hAnsi="仿宋" w:eastAsia="仿宋"/>
          <w:bCs/>
          <w:color w:val="auto"/>
          <w:kern w:val="2"/>
          <w:lang w:val="en-US"/>
        </w:rPr>
        <w:t>采购项目名称：</w:t>
      </w:r>
    </w:p>
    <w:p>
      <w:pPr>
        <w:snapToGrid/>
        <w:ind w:left="2729" w:leftChars="355" w:hanging="1593" w:hangingChars="496"/>
        <w:rPr>
          <w:rFonts w:ascii="仿宋" w:hAnsi="仿宋" w:eastAsia="仿宋"/>
          <w:bCs/>
          <w:color w:val="auto"/>
          <w:kern w:val="2"/>
          <w:lang w:val="en-US"/>
        </w:rPr>
      </w:pPr>
      <w:r>
        <w:rPr>
          <w:rFonts w:ascii="仿宋" w:hAnsi="仿宋" w:eastAsia="仿宋"/>
          <w:bCs/>
          <w:color w:val="auto"/>
          <w:kern w:val="2"/>
          <w:lang w:val="en-US"/>
        </w:rPr>
        <w:t>采购项目编号：</w:t>
      </w:r>
    </w:p>
    <w:p>
      <w:pPr>
        <w:snapToGrid/>
        <w:ind w:left="2729" w:leftChars="355" w:hanging="1593" w:hangingChars="496"/>
        <w:rPr>
          <w:rFonts w:hint="eastAsia" w:ascii="仿宋" w:hAnsi="仿宋" w:eastAsia="仿宋"/>
          <w:bCs/>
          <w:kern w:val="2"/>
          <w:lang w:val="en-US"/>
        </w:rPr>
      </w:pPr>
    </w:p>
    <w:p>
      <w:pPr>
        <w:rPr>
          <w:rFonts w:ascii="仿宋" w:hAnsi="仿宋" w:eastAsia="仿宋"/>
        </w:rPr>
      </w:pPr>
    </w:p>
    <w:p>
      <w:pPr>
        <w:rPr>
          <w:rFonts w:ascii="仿宋" w:hAnsi="仿宋" w:eastAsia="仿宋"/>
        </w:rPr>
      </w:pPr>
    </w:p>
    <w:p>
      <w:pPr>
        <w:rPr>
          <w:rFonts w:ascii="仿宋" w:hAnsi="仿宋" w:eastAsia="仿宋"/>
        </w:rPr>
      </w:pPr>
    </w:p>
    <w:p>
      <w:pPr>
        <w:snapToGrid/>
        <w:ind w:firstLine="1606" w:firstLineChars="500"/>
        <w:jc w:val="left"/>
        <w:rPr>
          <w:rFonts w:ascii="仿宋" w:hAnsi="仿宋" w:eastAsia="仿宋"/>
          <w:color w:val="auto"/>
          <w:kern w:val="2"/>
          <w:lang w:val="en-US"/>
        </w:rPr>
      </w:pPr>
      <w:r>
        <w:rPr>
          <w:rFonts w:ascii="仿宋" w:hAnsi="仿宋" w:eastAsia="仿宋"/>
          <w:color w:val="auto"/>
          <w:kern w:val="2"/>
          <w:lang w:val="en-US"/>
        </w:rPr>
        <w:t>投标人名称：</w:t>
      </w:r>
      <w:r>
        <w:rPr>
          <w:rFonts w:ascii="仿宋" w:hAnsi="仿宋" w:eastAsia="仿宋"/>
          <w:color w:val="auto"/>
          <w:kern w:val="2"/>
          <w:u w:val="single"/>
          <w:lang w:val="en-US"/>
        </w:rPr>
        <w:t xml:space="preserve">                </w:t>
      </w:r>
    </w:p>
    <w:p>
      <w:pPr>
        <w:rPr>
          <w:rFonts w:ascii="仿宋" w:hAnsi="仿宋" w:eastAsia="仿宋"/>
          <w:lang w:val="en-US"/>
        </w:rPr>
      </w:pPr>
    </w:p>
    <w:p>
      <w:pPr>
        <w:snapToGrid/>
        <w:ind w:firstLine="0" w:firstLineChars="0"/>
        <w:rPr>
          <w:rFonts w:ascii="仿宋" w:hAnsi="仿宋" w:eastAsia="仿宋"/>
          <w:color w:val="auto"/>
          <w:kern w:val="2"/>
          <w:sz w:val="28"/>
          <w:szCs w:val="28"/>
          <w:lang w:val="en-US"/>
        </w:rPr>
      </w:pPr>
      <w:r>
        <w:rPr>
          <w:rFonts w:ascii="仿宋" w:hAnsi="仿宋" w:eastAsia="仿宋"/>
          <w:color w:val="auto"/>
          <w:kern w:val="2"/>
          <w:sz w:val="28"/>
          <w:szCs w:val="28"/>
          <w:lang w:val="en-US"/>
        </w:rPr>
        <w:t>温馨提示：</w:t>
      </w:r>
    </w:p>
    <w:p>
      <w:pPr>
        <w:snapToGrid/>
        <w:ind w:firstLine="551" w:firstLineChars="196"/>
        <w:rPr>
          <w:rFonts w:ascii="仿宋" w:hAnsi="仿宋" w:eastAsia="仿宋"/>
          <w:color w:val="auto"/>
          <w:kern w:val="2"/>
          <w:sz w:val="28"/>
          <w:szCs w:val="28"/>
          <w:lang w:val="en-US"/>
        </w:rPr>
      </w:pPr>
      <w:r>
        <w:rPr>
          <w:rFonts w:ascii="仿宋" w:hAnsi="仿宋" w:eastAsia="仿宋"/>
          <w:color w:val="auto"/>
          <w:kern w:val="2"/>
          <w:sz w:val="28"/>
          <w:szCs w:val="28"/>
          <w:lang w:val="en-US"/>
        </w:rPr>
        <w:t>一、其他投标文件正本一份、副本二份；</w:t>
      </w:r>
    </w:p>
    <w:p>
      <w:pPr>
        <w:snapToGrid/>
        <w:ind w:firstLine="551" w:firstLineChars="196"/>
        <w:rPr>
          <w:rFonts w:ascii="仿宋" w:hAnsi="仿宋" w:eastAsia="仿宋"/>
          <w:color w:val="auto"/>
          <w:kern w:val="2"/>
          <w:sz w:val="28"/>
          <w:szCs w:val="28"/>
          <w:lang w:val="en-US"/>
        </w:rPr>
      </w:pPr>
      <w:r>
        <w:rPr>
          <w:rFonts w:ascii="仿宋" w:hAnsi="仿宋" w:eastAsia="仿宋"/>
          <w:color w:val="auto"/>
          <w:kern w:val="2"/>
          <w:sz w:val="28"/>
          <w:szCs w:val="28"/>
          <w:lang w:val="en-US"/>
        </w:rPr>
        <w:t>二、其他投标文件应密封包装；</w:t>
      </w:r>
    </w:p>
    <w:p>
      <w:pPr>
        <w:snapToGrid/>
        <w:ind w:firstLine="551" w:firstLineChars="196"/>
        <w:rPr>
          <w:rFonts w:ascii="仿宋" w:hAnsi="仿宋" w:eastAsia="仿宋"/>
          <w:color w:val="auto"/>
          <w:kern w:val="2"/>
          <w:sz w:val="28"/>
          <w:szCs w:val="28"/>
          <w:lang w:val="en-US"/>
        </w:rPr>
      </w:pPr>
      <w:r>
        <w:rPr>
          <w:rFonts w:ascii="仿宋" w:hAnsi="仿宋" w:eastAsia="仿宋"/>
          <w:color w:val="auto"/>
          <w:kern w:val="2"/>
          <w:sz w:val="28"/>
          <w:szCs w:val="28"/>
          <w:lang w:val="en-US"/>
        </w:rPr>
        <w:t>三、供应商提供的资格证明材料如发证机关有年检要求的则应通过年检，如有有效期的则应提供在有效期内的证明材料。</w:t>
      </w:r>
    </w:p>
    <w:p>
      <w:pPr>
        <w:keepNext/>
        <w:keepLines/>
        <w:numPr>
          <w:ilvl w:val="2"/>
          <w:numId w:val="17"/>
        </w:numPr>
        <w:tabs>
          <w:tab w:val="left" w:pos="360"/>
        </w:tabs>
        <w:snapToGrid/>
        <w:spacing w:line="520" w:lineRule="exact"/>
        <w:ind w:left="0" w:firstLine="0" w:firstLineChars="0"/>
        <w:jc w:val="left"/>
        <w:outlineLvl w:val="2"/>
        <w:rPr>
          <w:rFonts w:ascii="仿宋" w:hAnsi="仿宋" w:eastAsia="仿宋"/>
          <w:bCs/>
          <w:color w:val="auto"/>
          <w:kern w:val="2"/>
          <w:sz w:val="24"/>
          <w:szCs w:val="24"/>
          <w:lang w:val="en-US"/>
        </w:rPr>
      </w:pPr>
      <w:r>
        <w:rPr>
          <w:rFonts w:ascii="仿宋" w:hAnsi="仿宋" w:eastAsia="仿宋"/>
          <w:bCs/>
          <w:color w:val="auto"/>
          <w:kern w:val="2"/>
          <w:sz w:val="24"/>
          <w:szCs w:val="24"/>
          <w:lang w:val="en-US"/>
        </w:rPr>
        <w:t>其他投标文件组成材料</w:t>
      </w:r>
    </w:p>
    <w:p>
      <w:pPr>
        <w:keepNext/>
        <w:keepLines/>
        <w:numPr>
          <w:ilvl w:val="3"/>
          <w:numId w:val="17"/>
        </w:numPr>
        <w:tabs>
          <w:tab w:val="left" w:pos="360"/>
        </w:tabs>
        <w:spacing w:line="520" w:lineRule="exact"/>
        <w:ind w:left="0" w:firstLine="0" w:firstLineChars="0"/>
        <w:outlineLvl w:val="3"/>
        <w:rPr>
          <w:rFonts w:ascii="仿宋" w:hAnsi="仿宋" w:eastAsia="仿宋"/>
          <w:bCs/>
          <w:color w:val="auto"/>
          <w:kern w:val="2"/>
          <w:sz w:val="24"/>
          <w:szCs w:val="24"/>
          <w:lang w:val="en-US"/>
        </w:rPr>
      </w:pPr>
      <w:r>
        <w:rPr>
          <w:rFonts w:ascii="仿宋" w:hAnsi="仿宋" w:eastAsia="仿宋"/>
          <w:bCs/>
          <w:color w:val="auto"/>
          <w:kern w:val="2"/>
          <w:sz w:val="24"/>
          <w:szCs w:val="24"/>
          <w:lang w:val="en-US"/>
        </w:rPr>
        <w:t xml:space="preserve"> </w:t>
      </w:r>
      <w:bookmarkStart w:id="373" w:name="_Toc494198602"/>
      <w:r>
        <w:rPr>
          <w:rFonts w:ascii="仿宋" w:hAnsi="仿宋" w:eastAsia="仿宋"/>
          <w:bCs/>
          <w:color w:val="auto"/>
          <w:kern w:val="2"/>
          <w:sz w:val="24"/>
          <w:szCs w:val="24"/>
          <w:lang w:val="en-US"/>
        </w:rPr>
        <w:t>投标</w:t>
      </w:r>
      <w:bookmarkEnd w:id="335"/>
      <w:bookmarkEnd w:id="336"/>
      <w:bookmarkEnd w:id="337"/>
      <w:bookmarkEnd w:id="338"/>
      <w:bookmarkEnd w:id="339"/>
      <w:bookmarkEnd w:id="340"/>
      <w:bookmarkEnd w:id="341"/>
      <w:bookmarkEnd w:id="342"/>
      <w:bookmarkEnd w:id="343"/>
      <w:bookmarkEnd w:id="344"/>
      <w:bookmarkEnd w:id="345"/>
      <w:r>
        <w:rPr>
          <w:rFonts w:ascii="仿宋" w:hAnsi="仿宋" w:eastAsia="仿宋"/>
          <w:bCs/>
          <w:color w:val="auto"/>
          <w:kern w:val="2"/>
          <w:sz w:val="24"/>
          <w:szCs w:val="24"/>
          <w:lang w:val="en-US"/>
        </w:rPr>
        <w:t>函</w:t>
      </w:r>
      <w:bookmarkEnd w:id="346"/>
      <w:bookmarkEnd w:id="347"/>
      <w:bookmarkEnd w:id="348"/>
      <w:bookmarkEnd w:id="349"/>
      <w:bookmarkEnd w:id="350"/>
      <w:bookmarkEnd w:id="351"/>
      <w:bookmarkEnd w:id="373"/>
    </w:p>
    <w:p>
      <w:pPr>
        <w:spacing w:line="420" w:lineRule="exact"/>
        <w:ind w:firstLine="0" w:firstLineChars="0"/>
        <w:rPr>
          <w:rFonts w:ascii="仿宋" w:hAnsi="仿宋" w:eastAsia="仿宋"/>
          <w:b w:val="0"/>
          <w:bCs/>
          <w:color w:val="auto"/>
          <w:kern w:val="2"/>
          <w:sz w:val="24"/>
          <w:szCs w:val="24"/>
          <w:lang w:val="en-US"/>
        </w:rPr>
      </w:pPr>
      <w:r>
        <w:rPr>
          <w:rFonts w:ascii="仿宋" w:hAnsi="仿宋" w:eastAsia="仿宋"/>
          <w:b w:val="0"/>
          <w:bCs/>
          <w:color w:val="auto"/>
          <w:kern w:val="2"/>
          <w:sz w:val="24"/>
          <w:szCs w:val="24"/>
          <w:lang w:val="en-US"/>
        </w:rPr>
        <w:t>四川中志招标代理有限公司：</w:t>
      </w:r>
    </w:p>
    <w:p>
      <w:pPr>
        <w:spacing w:line="420" w:lineRule="exact"/>
        <w:ind w:firstLine="480"/>
        <w:rPr>
          <w:rFonts w:ascii="仿宋" w:hAnsi="仿宋" w:eastAsia="仿宋"/>
          <w:b w:val="0"/>
          <w:color w:val="auto"/>
          <w:kern w:val="2"/>
          <w:sz w:val="24"/>
          <w:szCs w:val="24"/>
          <w:lang w:val="en-US"/>
        </w:rPr>
      </w:pPr>
      <w:bookmarkStart w:id="374" w:name="_Toc320622601"/>
      <w:bookmarkEnd w:id="374"/>
      <w:bookmarkStart w:id="375" w:name="_Toc320622612"/>
      <w:bookmarkEnd w:id="375"/>
      <w:bookmarkStart w:id="376" w:name="_Toc320622619"/>
      <w:bookmarkEnd w:id="376"/>
      <w:bookmarkStart w:id="377" w:name="_Toc320622600"/>
      <w:bookmarkEnd w:id="377"/>
      <w:bookmarkStart w:id="378" w:name="_Toc320622598"/>
      <w:bookmarkEnd w:id="378"/>
      <w:bookmarkStart w:id="379" w:name="_Toc320622620"/>
      <w:bookmarkEnd w:id="379"/>
      <w:bookmarkStart w:id="380" w:name="_Toc320622625"/>
      <w:bookmarkEnd w:id="380"/>
      <w:bookmarkStart w:id="381" w:name="_Toc320622614"/>
      <w:bookmarkEnd w:id="381"/>
      <w:bookmarkStart w:id="382" w:name="_Toc320622604"/>
      <w:bookmarkEnd w:id="382"/>
      <w:bookmarkStart w:id="383" w:name="_Toc320622605"/>
      <w:bookmarkEnd w:id="383"/>
      <w:bookmarkStart w:id="384" w:name="_Toc320622616"/>
      <w:bookmarkEnd w:id="384"/>
      <w:bookmarkStart w:id="385" w:name="_Toc320622603"/>
      <w:bookmarkEnd w:id="385"/>
      <w:bookmarkStart w:id="386" w:name="_Toc320622623"/>
      <w:bookmarkEnd w:id="386"/>
      <w:bookmarkStart w:id="387" w:name="_Toc320622609"/>
      <w:bookmarkEnd w:id="387"/>
      <w:bookmarkStart w:id="388" w:name="_Toc320622593"/>
      <w:bookmarkEnd w:id="388"/>
      <w:bookmarkStart w:id="389" w:name="_Toc320622617"/>
      <w:bookmarkEnd w:id="389"/>
      <w:bookmarkStart w:id="390" w:name="_Toc320622610"/>
      <w:bookmarkEnd w:id="390"/>
      <w:bookmarkStart w:id="391" w:name="_Toc320622594"/>
      <w:bookmarkEnd w:id="391"/>
      <w:bookmarkStart w:id="392" w:name="_Toc320622626"/>
      <w:bookmarkEnd w:id="392"/>
      <w:bookmarkStart w:id="393" w:name="_Toc320622622"/>
      <w:bookmarkEnd w:id="393"/>
      <w:bookmarkStart w:id="394" w:name="_Toc320622613"/>
      <w:bookmarkEnd w:id="394"/>
      <w:bookmarkStart w:id="395" w:name="_Toc320622618"/>
      <w:bookmarkEnd w:id="395"/>
      <w:bookmarkStart w:id="396" w:name="_Toc320622597"/>
      <w:bookmarkEnd w:id="396"/>
      <w:bookmarkStart w:id="397" w:name="_Toc320622627"/>
      <w:bookmarkEnd w:id="397"/>
      <w:bookmarkStart w:id="398" w:name="_Toc320622606"/>
      <w:bookmarkEnd w:id="398"/>
      <w:bookmarkStart w:id="399" w:name="_Toc320622602"/>
      <w:bookmarkEnd w:id="399"/>
      <w:bookmarkStart w:id="400" w:name="_Toc320622615"/>
      <w:bookmarkEnd w:id="400"/>
      <w:bookmarkStart w:id="401" w:name="_Toc320622596"/>
      <w:bookmarkEnd w:id="401"/>
      <w:bookmarkStart w:id="402" w:name="_Toc320622599"/>
      <w:bookmarkEnd w:id="402"/>
      <w:bookmarkStart w:id="403" w:name="_Toc320622624"/>
      <w:bookmarkEnd w:id="403"/>
      <w:bookmarkStart w:id="404" w:name="_Toc320622607"/>
      <w:bookmarkEnd w:id="404"/>
      <w:bookmarkStart w:id="405" w:name="_Toc320622608"/>
      <w:bookmarkEnd w:id="405"/>
      <w:bookmarkStart w:id="406" w:name="_Toc320622595"/>
      <w:bookmarkEnd w:id="406"/>
      <w:bookmarkStart w:id="407" w:name="_Toc320622611"/>
      <w:bookmarkEnd w:id="407"/>
      <w:bookmarkStart w:id="408" w:name="_Toc320622621"/>
      <w:bookmarkEnd w:id="408"/>
      <w:r>
        <w:rPr>
          <w:rFonts w:ascii="仿宋" w:hAnsi="仿宋" w:eastAsia="仿宋"/>
          <w:b w:val="0"/>
          <w:color w:val="auto"/>
          <w:kern w:val="2"/>
          <w:sz w:val="24"/>
          <w:szCs w:val="24"/>
          <w:lang w:val="en-US"/>
        </w:rPr>
        <w:t>我方全面研究了“</w:t>
      </w:r>
      <w:r>
        <w:rPr>
          <w:rFonts w:ascii="仿宋" w:hAnsi="仿宋" w:eastAsia="仿宋"/>
          <w:b w:val="0"/>
          <w:color w:val="auto"/>
          <w:kern w:val="2"/>
          <w:sz w:val="24"/>
          <w:szCs w:val="24"/>
          <w:u w:val="single"/>
          <w:lang w:val="en-US"/>
        </w:rPr>
        <w:t xml:space="preserve">             项目</w:t>
      </w:r>
      <w:r>
        <w:rPr>
          <w:rFonts w:ascii="仿宋" w:hAnsi="仿宋" w:eastAsia="仿宋"/>
          <w:b w:val="0"/>
          <w:color w:val="auto"/>
          <w:kern w:val="2"/>
          <w:sz w:val="24"/>
          <w:szCs w:val="24"/>
          <w:lang w:val="en-US"/>
        </w:rPr>
        <w:t>”的招标文件（采购项目编号：</w:t>
      </w:r>
      <w:r>
        <w:rPr>
          <w:rFonts w:ascii="仿宋" w:hAnsi="仿宋" w:eastAsia="仿宋"/>
          <w:b w:val="0"/>
          <w:color w:val="auto"/>
          <w:kern w:val="2"/>
          <w:sz w:val="24"/>
          <w:szCs w:val="24"/>
          <w:u w:val="single"/>
          <w:lang w:val="en-US"/>
        </w:rPr>
        <w:t xml:space="preserve">         </w:t>
      </w:r>
      <w:r>
        <w:rPr>
          <w:rFonts w:ascii="仿宋" w:hAnsi="仿宋" w:eastAsia="仿宋"/>
          <w:b w:val="0"/>
          <w:color w:val="auto"/>
          <w:kern w:val="2"/>
          <w:sz w:val="24"/>
          <w:szCs w:val="24"/>
          <w:lang w:val="en-US"/>
        </w:rPr>
        <w:t>），决定参加贵单位组织的本项目的投标。我方授权</w:t>
      </w:r>
      <w:r>
        <w:rPr>
          <w:rFonts w:ascii="仿宋" w:hAnsi="仿宋" w:eastAsia="仿宋"/>
          <w:b w:val="0"/>
          <w:color w:val="auto"/>
          <w:kern w:val="2"/>
          <w:sz w:val="24"/>
          <w:szCs w:val="24"/>
          <w:u w:val="single"/>
          <w:lang w:val="en-US"/>
        </w:rPr>
        <w:t xml:space="preserve">    （姓名、职务）</w:t>
      </w:r>
      <w:r>
        <w:rPr>
          <w:rFonts w:hint="eastAsia" w:ascii="仿宋" w:hAnsi="仿宋" w:eastAsia="仿宋"/>
          <w:b w:val="0"/>
          <w:color w:val="auto"/>
          <w:kern w:val="2"/>
          <w:sz w:val="24"/>
          <w:szCs w:val="24"/>
          <w:u w:val="single"/>
          <w:lang w:val="en-US"/>
        </w:rPr>
        <w:t xml:space="preserve">  </w:t>
      </w:r>
      <w:r>
        <w:rPr>
          <w:rFonts w:ascii="仿宋" w:hAnsi="仿宋" w:eastAsia="仿宋"/>
          <w:b w:val="0"/>
          <w:color w:val="auto"/>
          <w:kern w:val="2"/>
          <w:sz w:val="24"/>
          <w:szCs w:val="24"/>
          <w:lang w:val="en-US"/>
        </w:rPr>
        <w:t>代表我方</w:t>
      </w:r>
      <w:r>
        <w:rPr>
          <w:rFonts w:ascii="仿宋" w:hAnsi="仿宋" w:eastAsia="仿宋"/>
          <w:b w:val="0"/>
          <w:color w:val="auto"/>
          <w:kern w:val="2"/>
          <w:sz w:val="24"/>
          <w:szCs w:val="24"/>
          <w:u w:val="single"/>
          <w:lang w:val="en-US"/>
        </w:rPr>
        <w:t xml:space="preserve">  （投标单位的名称）</w:t>
      </w:r>
      <w:r>
        <w:rPr>
          <w:rFonts w:hint="eastAsia" w:ascii="仿宋" w:hAnsi="仿宋" w:eastAsia="仿宋"/>
          <w:b w:val="0"/>
          <w:color w:val="auto"/>
          <w:kern w:val="2"/>
          <w:sz w:val="24"/>
          <w:szCs w:val="24"/>
          <w:u w:val="single"/>
          <w:lang w:val="en-US"/>
        </w:rPr>
        <w:t xml:space="preserve">  </w:t>
      </w:r>
      <w:r>
        <w:rPr>
          <w:rFonts w:ascii="仿宋" w:hAnsi="仿宋" w:eastAsia="仿宋"/>
          <w:b w:val="0"/>
          <w:color w:val="auto"/>
          <w:kern w:val="2"/>
          <w:sz w:val="24"/>
          <w:szCs w:val="24"/>
          <w:lang w:val="en-US"/>
        </w:rPr>
        <w:t>全权处理本项目投标的有关事宜。</w:t>
      </w:r>
    </w:p>
    <w:p>
      <w:pPr>
        <w:spacing w:line="420" w:lineRule="exact"/>
        <w:ind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1．我方自愿按照招标文件规定的各项要求向甲方提供所需服务，投标总价见开标一览表。</w:t>
      </w:r>
    </w:p>
    <w:p>
      <w:pPr>
        <w:spacing w:line="420" w:lineRule="exact"/>
        <w:ind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2．一旦我方中标，我方将严格履行合同规定的责任和义务，并完成项目的供货、安装、调试、并交付采购人验收、使用。</w:t>
      </w:r>
    </w:p>
    <w:p>
      <w:pPr>
        <w:spacing w:line="420" w:lineRule="exact"/>
        <w:ind w:firstLine="480"/>
        <w:rPr>
          <w:rFonts w:ascii="仿宋" w:hAnsi="仿宋" w:eastAsia="仿宋"/>
          <w:b w:val="0"/>
          <w:color w:val="auto"/>
          <w:kern w:val="2"/>
          <w:sz w:val="24"/>
          <w:szCs w:val="24"/>
          <w:lang w:val="en-US"/>
        </w:rPr>
      </w:pPr>
      <w:r>
        <w:rPr>
          <w:rFonts w:hint="eastAsia" w:ascii="仿宋" w:hAnsi="仿宋" w:eastAsia="仿宋"/>
          <w:b w:val="0"/>
          <w:color w:val="auto"/>
          <w:kern w:val="2"/>
          <w:sz w:val="24"/>
          <w:szCs w:val="24"/>
          <w:lang w:val="en-US"/>
        </w:rPr>
        <w:t>3</w:t>
      </w:r>
      <w:r>
        <w:rPr>
          <w:rFonts w:ascii="仿宋" w:hAnsi="仿宋" w:eastAsia="仿宋"/>
          <w:b w:val="0"/>
          <w:color w:val="auto"/>
          <w:kern w:val="2"/>
          <w:sz w:val="24"/>
          <w:szCs w:val="24"/>
          <w:lang w:val="en-US"/>
        </w:rPr>
        <w:t>．本项目投标有效期为投标截止之日起90天。</w:t>
      </w:r>
    </w:p>
    <w:p>
      <w:pPr>
        <w:spacing w:line="420" w:lineRule="exact"/>
        <w:ind w:firstLine="480"/>
        <w:rPr>
          <w:rFonts w:hint="eastAsia" w:ascii="仿宋" w:hAnsi="仿宋" w:eastAsia="仿宋"/>
          <w:b w:val="0"/>
          <w:color w:val="auto"/>
          <w:kern w:val="2"/>
          <w:sz w:val="24"/>
          <w:szCs w:val="24"/>
          <w:lang w:val="en-US"/>
        </w:rPr>
      </w:pPr>
      <w:r>
        <w:rPr>
          <w:rFonts w:hint="eastAsia" w:ascii="仿宋" w:hAnsi="仿宋" w:eastAsia="仿宋"/>
          <w:b w:val="0"/>
          <w:color w:val="auto"/>
          <w:kern w:val="2"/>
          <w:sz w:val="24"/>
          <w:szCs w:val="24"/>
          <w:lang w:val="en-US"/>
        </w:rPr>
        <w:t>4</w:t>
      </w:r>
      <w:r>
        <w:rPr>
          <w:rFonts w:ascii="仿宋" w:hAnsi="仿宋" w:eastAsia="仿宋"/>
          <w:b w:val="0"/>
          <w:color w:val="auto"/>
          <w:kern w:val="2"/>
          <w:sz w:val="24"/>
          <w:szCs w:val="24"/>
          <w:lang w:val="en-US"/>
        </w:rPr>
        <w:t>．我方已详细阅读和审查了全部招标文件，包括修改文件（如有）以及全部相关资料和有关附件，并对上述文件均无异议。如对招标文件有异议，已经在投标截止时间届满前依法进行了维权救济，不存在对招标文件有异议的同时又参加投标以求侥幸中标或者为实现其他非法目的的行为。</w:t>
      </w:r>
    </w:p>
    <w:p>
      <w:pPr>
        <w:tabs>
          <w:tab w:val="left" w:pos="709"/>
        </w:tabs>
        <w:snapToGrid/>
        <w:spacing w:line="400" w:lineRule="exact"/>
        <w:ind w:firstLine="480"/>
        <w:rPr>
          <w:rFonts w:ascii="仿宋" w:hAnsi="仿宋" w:eastAsia="仿宋" w:cs="仿宋"/>
          <w:b w:val="0"/>
          <w:color w:val="auto"/>
          <w:kern w:val="2"/>
          <w:sz w:val="24"/>
          <w:szCs w:val="24"/>
          <w:lang w:val="en-US"/>
        </w:rPr>
      </w:pPr>
      <w:r>
        <w:rPr>
          <w:rFonts w:hint="eastAsia" w:ascii="仿宋" w:hAnsi="仿宋" w:eastAsia="仿宋" w:cs="仿宋"/>
          <w:b w:val="0"/>
          <w:color w:val="auto"/>
          <w:kern w:val="2"/>
          <w:sz w:val="24"/>
          <w:szCs w:val="24"/>
          <w:lang w:val="en-US"/>
        </w:rPr>
        <w:t>5．与我方存在直接控股关系的单位为：</w:t>
      </w:r>
      <w:r>
        <w:rPr>
          <w:rFonts w:hint="eastAsia" w:ascii="仿宋" w:hAnsi="仿宋" w:eastAsia="仿宋" w:cs="仿宋"/>
          <w:b w:val="0"/>
          <w:color w:val="auto"/>
          <w:kern w:val="2"/>
          <w:sz w:val="24"/>
          <w:szCs w:val="24"/>
          <w:u w:val="single"/>
          <w:lang w:val="en-US"/>
        </w:rPr>
        <w:t xml:space="preserve">    </w:t>
      </w:r>
      <w:r>
        <w:rPr>
          <w:rFonts w:hint="eastAsia" w:ascii="仿宋" w:hAnsi="仿宋" w:eastAsia="仿宋" w:cs="仿宋"/>
          <w:color w:val="auto"/>
          <w:kern w:val="2"/>
          <w:sz w:val="24"/>
          <w:szCs w:val="24"/>
          <w:lang w:val="en-US"/>
        </w:rPr>
        <w:t>或</w:t>
      </w:r>
      <w:r>
        <w:rPr>
          <w:rFonts w:hint="eastAsia" w:ascii="仿宋" w:hAnsi="仿宋" w:eastAsia="仿宋" w:cs="仿宋"/>
          <w:b w:val="0"/>
          <w:color w:val="auto"/>
          <w:kern w:val="2"/>
          <w:sz w:val="24"/>
          <w:szCs w:val="24"/>
          <w:u w:val="single"/>
          <w:lang w:val="en-US"/>
        </w:rPr>
        <w:t>无</w:t>
      </w:r>
      <w:r>
        <w:rPr>
          <w:rFonts w:hint="eastAsia" w:ascii="仿宋" w:hAnsi="仿宋" w:eastAsia="仿宋" w:cs="仿宋"/>
          <w:b w:val="0"/>
          <w:color w:val="auto"/>
          <w:kern w:val="2"/>
          <w:sz w:val="24"/>
          <w:szCs w:val="24"/>
          <w:lang w:val="en-US"/>
        </w:rPr>
        <w:t>；存在管理关系单位为：</w:t>
      </w:r>
      <w:r>
        <w:rPr>
          <w:rFonts w:hint="eastAsia" w:ascii="仿宋" w:hAnsi="仿宋" w:eastAsia="仿宋" w:cs="仿宋"/>
          <w:b w:val="0"/>
          <w:color w:val="auto"/>
          <w:kern w:val="2"/>
          <w:sz w:val="24"/>
          <w:szCs w:val="24"/>
          <w:u w:val="single"/>
          <w:lang w:val="en-US"/>
        </w:rPr>
        <w:t xml:space="preserve">      </w:t>
      </w:r>
      <w:r>
        <w:rPr>
          <w:rFonts w:hint="eastAsia" w:ascii="仿宋" w:hAnsi="仿宋" w:eastAsia="仿宋" w:cs="仿宋"/>
          <w:color w:val="auto"/>
          <w:kern w:val="2"/>
          <w:sz w:val="24"/>
          <w:szCs w:val="24"/>
          <w:lang w:val="en-US"/>
        </w:rPr>
        <w:t>或</w:t>
      </w:r>
      <w:r>
        <w:rPr>
          <w:rFonts w:hint="eastAsia" w:ascii="仿宋" w:hAnsi="仿宋" w:eastAsia="仿宋" w:cs="仿宋"/>
          <w:b w:val="0"/>
          <w:color w:val="auto"/>
          <w:kern w:val="2"/>
          <w:sz w:val="24"/>
          <w:szCs w:val="24"/>
          <w:u w:val="single"/>
          <w:lang w:val="en-US"/>
        </w:rPr>
        <w:t>无</w:t>
      </w:r>
      <w:r>
        <w:rPr>
          <w:rFonts w:hint="eastAsia" w:ascii="仿宋" w:hAnsi="仿宋" w:eastAsia="仿宋" w:cs="仿宋"/>
          <w:b w:val="0"/>
          <w:color w:val="auto"/>
          <w:kern w:val="2"/>
          <w:sz w:val="24"/>
          <w:szCs w:val="24"/>
          <w:lang w:val="en-US"/>
        </w:rPr>
        <w:t>。</w:t>
      </w:r>
    </w:p>
    <w:p>
      <w:pPr>
        <w:tabs>
          <w:tab w:val="left" w:pos="851"/>
        </w:tabs>
        <w:snapToGrid/>
        <w:spacing w:line="400" w:lineRule="exact"/>
        <w:ind w:firstLine="480"/>
        <w:rPr>
          <w:rFonts w:ascii="仿宋" w:hAnsi="仿宋" w:eastAsia="仿宋" w:cs="仿宋"/>
          <w:b w:val="0"/>
          <w:color w:val="auto"/>
          <w:kern w:val="2"/>
          <w:sz w:val="24"/>
          <w:szCs w:val="24"/>
          <w:lang w:val="en-US"/>
        </w:rPr>
      </w:pPr>
      <w:r>
        <w:rPr>
          <w:rFonts w:hint="eastAsia" w:ascii="仿宋" w:hAnsi="仿宋" w:eastAsia="仿宋"/>
          <w:b w:val="0"/>
          <w:color w:val="auto"/>
          <w:kern w:val="2"/>
          <w:sz w:val="24"/>
          <w:szCs w:val="24"/>
          <w:lang w:val="en-US"/>
        </w:rPr>
        <w:t>6．为采购项目提供整体设计、规范编制或者项目管理、监理、检测等服务的供应</w:t>
      </w:r>
      <w:r>
        <w:rPr>
          <w:rFonts w:hint="eastAsia" w:ascii="仿宋" w:hAnsi="仿宋" w:eastAsia="仿宋" w:cs="仿宋"/>
          <w:b w:val="0"/>
          <w:color w:val="auto"/>
          <w:kern w:val="2"/>
          <w:sz w:val="24"/>
          <w:szCs w:val="24"/>
          <w:lang w:val="en-US"/>
        </w:rPr>
        <w:t>商，不得再参加该采购项目的其他采购活动，我方承诺不属于此类禁止参加本项目的供应商。</w:t>
      </w:r>
    </w:p>
    <w:p>
      <w:pPr>
        <w:tabs>
          <w:tab w:val="left" w:pos="851"/>
          <w:tab w:val="left" w:pos="993"/>
        </w:tabs>
        <w:snapToGrid/>
        <w:spacing w:line="400" w:lineRule="exact"/>
        <w:ind w:firstLine="480"/>
        <w:rPr>
          <w:rFonts w:ascii="仿宋" w:hAnsi="仿宋" w:eastAsia="仿宋" w:cs="仿宋"/>
          <w:b w:val="0"/>
          <w:color w:val="auto"/>
          <w:kern w:val="2"/>
          <w:sz w:val="24"/>
          <w:szCs w:val="24"/>
          <w:lang w:val="en-US"/>
        </w:rPr>
      </w:pPr>
      <w:r>
        <w:rPr>
          <w:rFonts w:hint="eastAsia" w:ascii="仿宋" w:hAnsi="仿宋" w:eastAsia="仿宋" w:cs="仿宋"/>
          <w:b w:val="0"/>
          <w:color w:val="auto"/>
          <w:kern w:val="2"/>
          <w:sz w:val="24"/>
          <w:szCs w:val="24"/>
          <w:lang w:val="en-US"/>
        </w:rPr>
        <w:t>7．在参加本次采购活动中，不存在和其他供应商在同一合同项下的采购项目中，同时委托同一个自然人、同一家庭的人员、同一单位的人员作为代理人的行为。</w:t>
      </w:r>
    </w:p>
    <w:p>
      <w:pPr>
        <w:tabs>
          <w:tab w:val="left" w:pos="709"/>
          <w:tab w:val="left" w:pos="851"/>
          <w:tab w:val="left" w:pos="993"/>
        </w:tabs>
        <w:snapToGrid/>
        <w:spacing w:line="400" w:lineRule="exact"/>
        <w:ind w:firstLine="480"/>
        <w:rPr>
          <w:rFonts w:ascii="仿宋" w:hAnsi="仿宋" w:eastAsia="仿宋" w:cs="仿宋"/>
          <w:b w:val="0"/>
          <w:color w:val="auto"/>
          <w:kern w:val="2"/>
          <w:sz w:val="24"/>
          <w:szCs w:val="24"/>
          <w:lang w:val="en-US"/>
        </w:rPr>
      </w:pPr>
      <w:r>
        <w:rPr>
          <w:rFonts w:hint="eastAsia" w:ascii="仿宋" w:hAnsi="仿宋" w:eastAsia="仿宋" w:cs="仿宋"/>
          <w:b w:val="0"/>
          <w:color w:val="auto"/>
          <w:kern w:val="2"/>
          <w:sz w:val="24"/>
          <w:szCs w:val="24"/>
          <w:lang w:val="en-US"/>
        </w:rPr>
        <w:t>8．我方实际控制人或者中高级管理人员或者其他工作人员，不存在同时是采购代理机构工作人员的情形。</w:t>
      </w:r>
    </w:p>
    <w:p>
      <w:pPr>
        <w:tabs>
          <w:tab w:val="left" w:pos="993"/>
        </w:tabs>
        <w:snapToGrid/>
        <w:spacing w:line="400" w:lineRule="exact"/>
        <w:ind w:firstLine="480"/>
        <w:rPr>
          <w:rFonts w:ascii="仿宋" w:hAnsi="仿宋" w:eastAsia="仿宋" w:cs="仿宋"/>
          <w:b w:val="0"/>
          <w:color w:val="auto"/>
          <w:kern w:val="2"/>
          <w:sz w:val="24"/>
          <w:szCs w:val="24"/>
          <w:lang w:val="en-US"/>
        </w:rPr>
      </w:pPr>
      <w:r>
        <w:rPr>
          <w:rFonts w:hint="eastAsia" w:ascii="仿宋" w:hAnsi="仿宋" w:eastAsia="仿宋" w:cs="仿宋"/>
          <w:b w:val="0"/>
          <w:color w:val="auto"/>
          <w:kern w:val="2"/>
          <w:sz w:val="24"/>
          <w:szCs w:val="24"/>
          <w:lang w:val="en-US"/>
        </w:rPr>
        <w:t>9．不存在同一母公司的两家以上的子公司，以不同供应商身份同时参加本项目同一合同项下的采购活动的情形。</w:t>
      </w:r>
    </w:p>
    <w:p>
      <w:pPr>
        <w:tabs>
          <w:tab w:val="left" w:pos="993"/>
        </w:tabs>
        <w:snapToGrid/>
        <w:spacing w:line="400" w:lineRule="exact"/>
        <w:ind w:firstLine="480"/>
        <w:rPr>
          <w:rFonts w:ascii="仿宋" w:hAnsi="仿宋" w:eastAsia="仿宋" w:cs="仿宋"/>
          <w:b w:val="0"/>
          <w:color w:val="auto"/>
          <w:kern w:val="2"/>
          <w:sz w:val="24"/>
          <w:szCs w:val="24"/>
          <w:lang w:val="en-US"/>
        </w:rPr>
      </w:pPr>
      <w:r>
        <w:rPr>
          <w:rFonts w:hint="eastAsia" w:ascii="仿宋" w:hAnsi="仿宋" w:eastAsia="仿宋" w:cs="仿宋"/>
          <w:b w:val="0"/>
          <w:color w:val="auto"/>
          <w:kern w:val="2"/>
          <w:sz w:val="24"/>
          <w:szCs w:val="24"/>
          <w:lang w:val="en-US"/>
        </w:rPr>
        <w:t>10．我方与采购代理机构不存在关联关系，也不是采购代理机构的母公司或子公司。</w:t>
      </w:r>
    </w:p>
    <w:p>
      <w:pPr>
        <w:spacing w:line="420" w:lineRule="exact"/>
        <w:ind w:firstLine="480"/>
        <w:rPr>
          <w:rFonts w:ascii="仿宋" w:hAnsi="仿宋" w:eastAsia="仿宋"/>
          <w:b w:val="0"/>
          <w:color w:val="000000"/>
          <w:kern w:val="2"/>
          <w:sz w:val="24"/>
          <w:szCs w:val="24"/>
          <w:lang w:val="en-US"/>
        </w:rPr>
      </w:pPr>
      <w:r>
        <w:rPr>
          <w:rFonts w:hint="eastAsia" w:ascii="仿宋" w:hAnsi="仿宋" w:eastAsia="仿宋"/>
          <w:b w:val="0"/>
          <w:color w:val="000000"/>
          <w:kern w:val="2"/>
          <w:sz w:val="24"/>
          <w:szCs w:val="24"/>
          <w:lang w:val="en-US"/>
        </w:rPr>
        <w:t>11</w:t>
      </w:r>
      <w:r>
        <w:rPr>
          <w:rFonts w:ascii="仿宋" w:hAnsi="仿宋" w:eastAsia="仿宋"/>
          <w:b w:val="0"/>
          <w:color w:val="000000"/>
          <w:kern w:val="2"/>
          <w:sz w:val="24"/>
          <w:szCs w:val="24"/>
          <w:lang w:val="en-US"/>
        </w:rPr>
        <w:t>．国家或行业主管部门对投标人和采购服务的服务标准、质量标准和资格资质条件等有强制性规定的，我方符合其要求。</w:t>
      </w:r>
    </w:p>
    <w:p>
      <w:pPr>
        <w:spacing w:line="420" w:lineRule="exact"/>
        <w:ind w:firstLine="480"/>
        <w:rPr>
          <w:rFonts w:ascii="仿宋" w:hAnsi="仿宋" w:eastAsia="仿宋"/>
          <w:b w:val="0"/>
          <w:color w:val="auto"/>
          <w:kern w:val="2"/>
          <w:sz w:val="24"/>
          <w:szCs w:val="24"/>
          <w:lang w:val="en-US"/>
        </w:rPr>
      </w:pPr>
      <w:r>
        <w:rPr>
          <w:rFonts w:hint="eastAsia" w:ascii="仿宋" w:hAnsi="仿宋" w:eastAsia="仿宋"/>
          <w:b w:val="0"/>
          <w:color w:val="000000"/>
          <w:kern w:val="2"/>
          <w:sz w:val="24"/>
          <w:szCs w:val="24"/>
          <w:lang w:val="en-US"/>
        </w:rPr>
        <w:t>12</w:t>
      </w:r>
      <w:r>
        <w:rPr>
          <w:rFonts w:ascii="仿宋" w:hAnsi="仿宋" w:eastAsia="仿宋"/>
          <w:b w:val="0"/>
          <w:color w:val="000000"/>
          <w:kern w:val="2"/>
          <w:sz w:val="24"/>
          <w:szCs w:val="24"/>
          <w:lang w:val="en-US"/>
        </w:rPr>
        <w:t>．我方愿意提供贵单位可能另外要求的，与投标有关的文件资料，并保证我方已提</w:t>
      </w:r>
      <w:r>
        <w:rPr>
          <w:rFonts w:ascii="仿宋" w:hAnsi="仿宋" w:eastAsia="仿宋"/>
          <w:b w:val="0"/>
          <w:color w:val="auto"/>
          <w:kern w:val="2"/>
          <w:sz w:val="24"/>
          <w:szCs w:val="24"/>
          <w:lang w:val="en-US"/>
        </w:rPr>
        <w:t>供和将要提供的文件资料是真实、准确的。如本项目需要提供样品，则我方提供的样品即为中标后将要提供的中标产品，我方对样品的性能和质量负责，因样品存在缺陷或者不符合招标文件要求导致未能中标的，我方愿意承担相应不利后果。</w:t>
      </w:r>
    </w:p>
    <w:p>
      <w:pPr>
        <w:spacing w:line="440" w:lineRule="exact"/>
        <w:ind w:firstLine="480"/>
        <w:rPr>
          <w:rFonts w:hint="eastAsia" w:ascii="仿宋" w:hAnsi="仿宋" w:eastAsia="仿宋"/>
          <w:b w:val="0"/>
          <w:color w:val="auto"/>
          <w:kern w:val="2"/>
          <w:sz w:val="24"/>
          <w:szCs w:val="24"/>
          <w:lang w:val="en-US"/>
        </w:rPr>
      </w:pPr>
      <w:r>
        <w:rPr>
          <w:rFonts w:hint="eastAsia" w:ascii="仿宋" w:hAnsi="仿宋" w:eastAsia="仿宋"/>
          <w:b w:val="0"/>
          <w:color w:val="auto"/>
          <w:kern w:val="2"/>
          <w:sz w:val="24"/>
          <w:szCs w:val="24"/>
          <w:lang w:val="en-US"/>
        </w:rPr>
        <w:t>13</w:t>
      </w:r>
      <w:r>
        <w:rPr>
          <w:rFonts w:ascii="仿宋" w:hAnsi="仿宋" w:eastAsia="仿宋"/>
          <w:b w:val="0"/>
          <w:color w:val="auto"/>
          <w:kern w:val="2"/>
          <w:sz w:val="24"/>
          <w:szCs w:val="24"/>
          <w:lang w:val="en-US"/>
        </w:rPr>
        <w:t>．我方完全理解采购人不一定将合同授予最低报价的投标人的行为。</w:t>
      </w:r>
    </w:p>
    <w:p>
      <w:pPr>
        <w:spacing w:line="440" w:lineRule="exact"/>
        <w:ind w:firstLine="480"/>
        <w:rPr>
          <w:rFonts w:ascii="仿宋" w:hAnsi="仿宋" w:eastAsia="仿宋"/>
          <w:b w:val="0"/>
          <w:color w:val="auto"/>
          <w:kern w:val="2"/>
          <w:sz w:val="24"/>
          <w:szCs w:val="24"/>
          <w:lang w:val="en-US"/>
        </w:rPr>
      </w:pPr>
      <w:r>
        <w:rPr>
          <w:rFonts w:hint="eastAsia" w:ascii="仿宋" w:hAnsi="仿宋" w:eastAsia="仿宋"/>
          <w:b w:val="0"/>
          <w:color w:val="auto"/>
          <w:kern w:val="2"/>
          <w:sz w:val="24"/>
          <w:szCs w:val="24"/>
          <w:lang w:val="en-US"/>
        </w:rPr>
        <w:t>14</w:t>
      </w:r>
      <w:r>
        <w:rPr>
          <w:rFonts w:ascii="仿宋" w:hAnsi="仿宋" w:eastAsia="仿宋"/>
          <w:b w:val="0"/>
          <w:color w:val="auto"/>
          <w:kern w:val="2"/>
          <w:sz w:val="24"/>
          <w:szCs w:val="24"/>
          <w:lang w:val="en-US"/>
        </w:rPr>
        <w:t>．</w:t>
      </w:r>
      <w:r>
        <w:rPr>
          <w:rFonts w:hint="eastAsia" w:ascii="仿宋" w:hAnsi="仿宋" w:eastAsia="仿宋"/>
          <w:b w:val="0"/>
          <w:color w:val="auto"/>
          <w:kern w:val="2"/>
          <w:sz w:val="24"/>
          <w:szCs w:val="24"/>
          <w:lang w:val="en-US"/>
        </w:rPr>
        <w:t>我单位及其现任法定代表人、主要负责人不存在行贿犯罪记录。</w:t>
      </w:r>
    </w:p>
    <w:p>
      <w:pPr>
        <w:spacing w:line="420" w:lineRule="exact"/>
        <w:ind w:firstLine="480"/>
        <w:rPr>
          <w:rFonts w:ascii="仿宋" w:hAnsi="仿宋" w:eastAsia="仿宋"/>
          <w:b w:val="0"/>
          <w:color w:val="auto"/>
          <w:kern w:val="2"/>
          <w:sz w:val="24"/>
          <w:szCs w:val="24"/>
          <w:lang w:val="en-US"/>
        </w:rPr>
      </w:pPr>
      <w:r>
        <w:rPr>
          <w:rFonts w:hint="eastAsia" w:ascii="仿宋" w:hAnsi="仿宋" w:eastAsia="仿宋"/>
          <w:b w:val="0"/>
          <w:color w:val="auto"/>
          <w:kern w:val="2"/>
          <w:sz w:val="24"/>
          <w:szCs w:val="24"/>
          <w:lang w:val="en-US"/>
        </w:rPr>
        <w:t>15</w:t>
      </w:r>
      <w:r>
        <w:rPr>
          <w:rFonts w:ascii="仿宋" w:hAnsi="仿宋" w:eastAsia="仿宋"/>
          <w:b w:val="0"/>
          <w:color w:val="auto"/>
          <w:kern w:val="2"/>
          <w:sz w:val="24"/>
          <w:szCs w:val="24"/>
          <w:lang w:val="en-US"/>
        </w:rPr>
        <w:t>．若我方中标，我方承诺按照本招标文件约定支付招标代理服务费，否则视为虚假应标并承担由此带来的一切后果。</w:t>
      </w:r>
    </w:p>
    <w:p>
      <w:pPr>
        <w:spacing w:line="420" w:lineRule="exact"/>
        <w:ind w:firstLine="480"/>
        <w:rPr>
          <w:rFonts w:hint="eastAsia" w:ascii="仿宋" w:hAnsi="仿宋" w:eastAsia="仿宋"/>
          <w:b w:val="0"/>
          <w:color w:val="auto"/>
          <w:kern w:val="2"/>
          <w:sz w:val="24"/>
          <w:szCs w:val="24"/>
          <w:lang w:val="en-US"/>
        </w:rPr>
      </w:pPr>
    </w:p>
    <w:p>
      <w:pPr>
        <w:spacing w:line="420" w:lineRule="exact"/>
        <w:ind w:firstLine="480"/>
        <w:rPr>
          <w:rFonts w:hint="eastAsia" w:ascii="仿宋" w:hAnsi="仿宋" w:eastAsia="仿宋"/>
          <w:b w:val="0"/>
          <w:color w:val="auto"/>
          <w:kern w:val="2"/>
          <w:sz w:val="24"/>
          <w:szCs w:val="24"/>
          <w:lang w:val="en-US"/>
        </w:rPr>
      </w:pPr>
    </w:p>
    <w:p>
      <w:pPr>
        <w:spacing w:line="420" w:lineRule="exact"/>
        <w:ind w:firstLine="480"/>
        <w:rPr>
          <w:rFonts w:ascii="仿宋" w:hAnsi="仿宋" w:eastAsia="仿宋"/>
          <w:b w:val="0"/>
          <w:color w:val="auto"/>
          <w:kern w:val="2"/>
          <w:sz w:val="24"/>
          <w:szCs w:val="24"/>
          <w:lang w:val="en-US"/>
        </w:rPr>
      </w:pPr>
    </w:p>
    <w:p>
      <w:pPr>
        <w:spacing w:line="360" w:lineRule="exact"/>
        <w:ind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投标人名称（公章）：</w:t>
      </w:r>
    </w:p>
    <w:p>
      <w:pPr>
        <w:spacing w:line="360" w:lineRule="exact"/>
        <w:ind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法定代表人</w:t>
      </w:r>
      <w:r>
        <w:rPr>
          <w:rFonts w:hint="eastAsia" w:ascii="仿宋" w:hAnsi="仿宋" w:eastAsia="仿宋"/>
          <w:b w:val="0"/>
          <w:color w:val="auto"/>
          <w:kern w:val="2"/>
          <w:sz w:val="24"/>
          <w:szCs w:val="24"/>
          <w:lang w:val="en-US"/>
        </w:rPr>
        <w:t>（主要负责人）</w:t>
      </w:r>
      <w:r>
        <w:rPr>
          <w:rFonts w:ascii="仿宋" w:hAnsi="仿宋" w:eastAsia="仿宋"/>
          <w:b w:val="0"/>
          <w:color w:val="auto"/>
          <w:kern w:val="2"/>
          <w:sz w:val="24"/>
          <w:szCs w:val="24"/>
          <w:lang w:val="en-US"/>
        </w:rPr>
        <w:t>或代理人签字或加盖印章：</w:t>
      </w:r>
    </w:p>
    <w:p>
      <w:pPr>
        <w:spacing w:line="360" w:lineRule="exact"/>
        <w:ind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通讯地址：</w:t>
      </w:r>
    </w:p>
    <w:p>
      <w:pPr>
        <w:spacing w:line="360" w:lineRule="exact"/>
        <w:ind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联系电话：</w:t>
      </w:r>
    </w:p>
    <w:p>
      <w:pPr>
        <w:spacing w:line="360" w:lineRule="exact"/>
        <w:ind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传    真：</w:t>
      </w:r>
    </w:p>
    <w:p>
      <w:pPr>
        <w:spacing w:line="360" w:lineRule="exact"/>
        <w:ind w:firstLine="480"/>
        <w:rPr>
          <w:rFonts w:hint="eastAsia" w:ascii="仿宋" w:hAnsi="仿宋" w:eastAsia="仿宋"/>
          <w:b w:val="0"/>
          <w:color w:val="auto"/>
          <w:kern w:val="2"/>
          <w:sz w:val="24"/>
          <w:szCs w:val="24"/>
          <w:lang w:val="en-US"/>
        </w:rPr>
      </w:pPr>
      <w:r>
        <w:rPr>
          <w:rFonts w:ascii="仿宋" w:hAnsi="仿宋" w:eastAsia="仿宋"/>
          <w:b w:val="0"/>
          <w:color w:val="auto"/>
          <w:kern w:val="2"/>
          <w:sz w:val="24"/>
          <w:szCs w:val="24"/>
          <w:lang w:val="en-US"/>
        </w:rPr>
        <w:t>日    期：</w:t>
      </w:r>
      <w:bookmarkStart w:id="409" w:name="_Toc256175375"/>
      <w:bookmarkEnd w:id="409"/>
      <w:bookmarkStart w:id="410" w:name="_Toc256175381"/>
      <w:bookmarkEnd w:id="410"/>
      <w:bookmarkStart w:id="411" w:name="_Toc256175373"/>
      <w:bookmarkEnd w:id="411"/>
      <w:bookmarkStart w:id="412" w:name="_Toc256175380"/>
      <w:bookmarkEnd w:id="412"/>
      <w:bookmarkStart w:id="413" w:name="_Toc318203503"/>
      <w:bookmarkEnd w:id="413"/>
      <w:bookmarkStart w:id="414" w:name="_Toc318203504"/>
      <w:bookmarkEnd w:id="414"/>
      <w:bookmarkStart w:id="415" w:name="_Toc256175345"/>
      <w:bookmarkEnd w:id="415"/>
      <w:bookmarkStart w:id="416" w:name="_Toc256175378"/>
      <w:bookmarkEnd w:id="416"/>
      <w:bookmarkStart w:id="417" w:name="_Toc256175376"/>
      <w:bookmarkEnd w:id="417"/>
      <w:bookmarkStart w:id="418" w:name="_Toc256175379"/>
      <w:bookmarkEnd w:id="418"/>
      <w:bookmarkStart w:id="419" w:name="_Toc256175377"/>
      <w:bookmarkEnd w:id="419"/>
      <w:bookmarkStart w:id="420" w:name="_Toc256175374"/>
      <w:bookmarkEnd w:id="420"/>
      <w:bookmarkStart w:id="421" w:name="_Toc256175372"/>
      <w:bookmarkEnd w:id="421"/>
    </w:p>
    <w:p>
      <w:pPr>
        <w:spacing w:line="360" w:lineRule="exact"/>
        <w:ind w:firstLine="480"/>
        <w:rPr>
          <w:rFonts w:hint="eastAsia" w:ascii="仿宋" w:hAnsi="仿宋" w:eastAsia="仿宋"/>
          <w:b w:val="0"/>
          <w:color w:val="auto"/>
          <w:kern w:val="2"/>
          <w:sz w:val="24"/>
          <w:szCs w:val="24"/>
          <w:lang w:val="en-US"/>
        </w:rPr>
      </w:pPr>
    </w:p>
    <w:p>
      <w:pPr>
        <w:spacing w:line="360" w:lineRule="exact"/>
        <w:ind w:firstLine="480"/>
        <w:rPr>
          <w:rFonts w:hint="eastAsia" w:ascii="仿宋" w:hAnsi="仿宋" w:eastAsia="仿宋"/>
          <w:b w:val="0"/>
          <w:color w:val="auto"/>
          <w:kern w:val="2"/>
          <w:sz w:val="24"/>
          <w:szCs w:val="24"/>
          <w:lang w:val="en-US"/>
        </w:rPr>
      </w:pPr>
    </w:p>
    <w:p>
      <w:pPr>
        <w:spacing w:line="360" w:lineRule="exact"/>
        <w:ind w:firstLine="480"/>
        <w:rPr>
          <w:rFonts w:hint="eastAsia" w:ascii="仿宋" w:hAnsi="仿宋" w:eastAsia="仿宋"/>
          <w:b w:val="0"/>
          <w:color w:val="auto"/>
          <w:kern w:val="2"/>
          <w:sz w:val="24"/>
          <w:szCs w:val="24"/>
          <w:lang w:val="en-US"/>
        </w:rPr>
      </w:pPr>
    </w:p>
    <w:p>
      <w:pPr>
        <w:spacing w:line="360" w:lineRule="exact"/>
        <w:ind w:firstLine="480"/>
        <w:rPr>
          <w:rFonts w:hint="eastAsia" w:ascii="仿宋" w:hAnsi="仿宋" w:eastAsia="仿宋"/>
          <w:b w:val="0"/>
          <w:color w:val="auto"/>
          <w:kern w:val="2"/>
          <w:sz w:val="24"/>
          <w:szCs w:val="24"/>
          <w:lang w:val="en-US"/>
        </w:rPr>
      </w:pPr>
    </w:p>
    <w:p>
      <w:pPr>
        <w:spacing w:line="360" w:lineRule="exact"/>
        <w:ind w:firstLine="480"/>
        <w:rPr>
          <w:rFonts w:hint="eastAsia" w:ascii="仿宋" w:hAnsi="仿宋" w:eastAsia="仿宋"/>
          <w:b w:val="0"/>
          <w:color w:val="auto"/>
          <w:kern w:val="2"/>
          <w:sz w:val="24"/>
          <w:szCs w:val="24"/>
          <w:lang w:val="en-US"/>
        </w:rPr>
      </w:pPr>
    </w:p>
    <w:p>
      <w:pPr>
        <w:spacing w:line="360" w:lineRule="exact"/>
        <w:ind w:firstLine="480"/>
        <w:rPr>
          <w:rFonts w:hint="eastAsia" w:ascii="仿宋" w:hAnsi="仿宋" w:eastAsia="仿宋"/>
          <w:b w:val="0"/>
          <w:color w:val="auto"/>
          <w:kern w:val="2"/>
          <w:sz w:val="24"/>
          <w:szCs w:val="24"/>
          <w:lang w:val="en-US"/>
        </w:rPr>
      </w:pPr>
    </w:p>
    <w:p>
      <w:pPr>
        <w:spacing w:line="360" w:lineRule="exact"/>
        <w:ind w:firstLine="480"/>
        <w:rPr>
          <w:rFonts w:hint="eastAsia" w:ascii="仿宋" w:hAnsi="仿宋" w:eastAsia="仿宋"/>
          <w:b w:val="0"/>
          <w:color w:val="auto"/>
          <w:kern w:val="2"/>
          <w:sz w:val="24"/>
          <w:szCs w:val="24"/>
          <w:lang w:val="en-US"/>
        </w:rPr>
      </w:pPr>
    </w:p>
    <w:p>
      <w:pPr>
        <w:spacing w:line="360" w:lineRule="exact"/>
        <w:ind w:firstLine="480"/>
        <w:rPr>
          <w:rFonts w:hint="eastAsia" w:ascii="仿宋" w:hAnsi="仿宋" w:eastAsia="仿宋"/>
          <w:b w:val="0"/>
          <w:color w:val="auto"/>
          <w:kern w:val="2"/>
          <w:sz w:val="24"/>
          <w:szCs w:val="24"/>
          <w:lang w:val="en-US"/>
        </w:rPr>
      </w:pPr>
    </w:p>
    <w:p>
      <w:pPr>
        <w:spacing w:line="360" w:lineRule="exact"/>
        <w:ind w:firstLine="480"/>
        <w:rPr>
          <w:rFonts w:hint="eastAsia" w:ascii="仿宋" w:hAnsi="仿宋" w:eastAsia="仿宋"/>
          <w:b w:val="0"/>
          <w:color w:val="auto"/>
          <w:kern w:val="2"/>
          <w:sz w:val="24"/>
          <w:szCs w:val="24"/>
          <w:lang w:val="en-US"/>
        </w:rPr>
      </w:pPr>
    </w:p>
    <w:p>
      <w:pPr>
        <w:spacing w:line="360" w:lineRule="exact"/>
        <w:ind w:firstLine="480"/>
        <w:rPr>
          <w:rFonts w:hint="eastAsia" w:ascii="仿宋" w:hAnsi="仿宋" w:eastAsia="仿宋"/>
          <w:b w:val="0"/>
          <w:color w:val="auto"/>
          <w:kern w:val="2"/>
          <w:sz w:val="24"/>
          <w:szCs w:val="24"/>
          <w:lang w:val="en-US"/>
        </w:rPr>
      </w:pPr>
    </w:p>
    <w:p>
      <w:pPr>
        <w:spacing w:line="360" w:lineRule="exact"/>
        <w:ind w:firstLine="480"/>
        <w:rPr>
          <w:rFonts w:hint="eastAsia" w:ascii="仿宋" w:hAnsi="仿宋" w:eastAsia="仿宋"/>
          <w:b w:val="0"/>
          <w:color w:val="auto"/>
          <w:kern w:val="2"/>
          <w:sz w:val="24"/>
          <w:szCs w:val="24"/>
          <w:lang w:val="en-US"/>
        </w:rPr>
      </w:pPr>
    </w:p>
    <w:p>
      <w:pPr>
        <w:spacing w:line="360" w:lineRule="exact"/>
        <w:ind w:firstLine="480"/>
        <w:rPr>
          <w:rFonts w:hint="eastAsia" w:ascii="仿宋" w:hAnsi="仿宋" w:eastAsia="仿宋"/>
          <w:b w:val="0"/>
          <w:color w:val="auto"/>
          <w:kern w:val="2"/>
          <w:sz w:val="24"/>
          <w:szCs w:val="24"/>
          <w:lang w:val="en-US"/>
        </w:rPr>
      </w:pPr>
    </w:p>
    <w:p>
      <w:pPr>
        <w:spacing w:line="360" w:lineRule="exact"/>
        <w:ind w:firstLine="480"/>
        <w:rPr>
          <w:rFonts w:hint="eastAsia" w:ascii="仿宋" w:hAnsi="仿宋" w:eastAsia="仿宋"/>
          <w:b w:val="0"/>
          <w:color w:val="auto"/>
          <w:kern w:val="2"/>
          <w:sz w:val="24"/>
          <w:szCs w:val="24"/>
          <w:lang w:val="en-US"/>
        </w:rPr>
      </w:pPr>
    </w:p>
    <w:p>
      <w:pPr>
        <w:spacing w:line="360" w:lineRule="exact"/>
        <w:ind w:firstLine="480"/>
        <w:rPr>
          <w:rFonts w:hint="eastAsia" w:ascii="仿宋" w:hAnsi="仿宋" w:eastAsia="仿宋"/>
          <w:b w:val="0"/>
          <w:color w:val="auto"/>
          <w:kern w:val="2"/>
          <w:sz w:val="24"/>
          <w:szCs w:val="24"/>
          <w:lang w:val="en-US"/>
        </w:rPr>
      </w:pPr>
    </w:p>
    <w:p>
      <w:pPr>
        <w:spacing w:line="360" w:lineRule="exact"/>
        <w:ind w:firstLine="480"/>
        <w:rPr>
          <w:rFonts w:hint="eastAsia" w:ascii="仿宋" w:hAnsi="仿宋" w:eastAsia="仿宋"/>
          <w:b w:val="0"/>
          <w:color w:val="auto"/>
          <w:kern w:val="2"/>
          <w:sz w:val="24"/>
          <w:szCs w:val="24"/>
          <w:lang w:val="en-US"/>
        </w:rPr>
      </w:pPr>
    </w:p>
    <w:p>
      <w:pPr>
        <w:spacing w:line="360" w:lineRule="exact"/>
        <w:ind w:firstLine="480"/>
        <w:rPr>
          <w:rFonts w:hint="eastAsia" w:ascii="仿宋" w:hAnsi="仿宋" w:eastAsia="仿宋"/>
          <w:b w:val="0"/>
          <w:color w:val="auto"/>
          <w:kern w:val="2"/>
          <w:sz w:val="24"/>
          <w:szCs w:val="24"/>
          <w:lang w:val="en-US"/>
        </w:rPr>
      </w:pPr>
    </w:p>
    <w:p>
      <w:pPr>
        <w:spacing w:line="360" w:lineRule="exact"/>
        <w:ind w:firstLine="480"/>
        <w:rPr>
          <w:rFonts w:hint="eastAsia" w:ascii="仿宋" w:hAnsi="仿宋" w:eastAsia="仿宋"/>
          <w:b w:val="0"/>
          <w:color w:val="auto"/>
          <w:kern w:val="2"/>
          <w:sz w:val="24"/>
          <w:szCs w:val="24"/>
          <w:lang w:val="en-US"/>
        </w:rPr>
      </w:pPr>
    </w:p>
    <w:p>
      <w:pPr>
        <w:spacing w:line="360" w:lineRule="exact"/>
        <w:ind w:firstLine="480"/>
        <w:rPr>
          <w:rFonts w:hint="eastAsia" w:ascii="仿宋" w:hAnsi="仿宋" w:eastAsia="仿宋"/>
          <w:b w:val="0"/>
          <w:color w:val="auto"/>
          <w:kern w:val="2"/>
          <w:sz w:val="24"/>
          <w:szCs w:val="24"/>
          <w:lang w:val="en-US"/>
        </w:rPr>
      </w:pPr>
    </w:p>
    <w:p>
      <w:pPr>
        <w:spacing w:line="360" w:lineRule="exact"/>
        <w:ind w:firstLine="480"/>
        <w:rPr>
          <w:rFonts w:hint="eastAsia" w:ascii="仿宋" w:hAnsi="仿宋" w:eastAsia="仿宋"/>
          <w:b w:val="0"/>
          <w:color w:val="auto"/>
          <w:kern w:val="2"/>
          <w:sz w:val="24"/>
          <w:szCs w:val="24"/>
          <w:lang w:val="en-US"/>
        </w:rPr>
      </w:pPr>
    </w:p>
    <w:p>
      <w:pPr>
        <w:spacing w:line="360" w:lineRule="exact"/>
        <w:ind w:firstLine="480"/>
        <w:rPr>
          <w:rFonts w:hint="eastAsia" w:ascii="仿宋" w:hAnsi="仿宋" w:eastAsia="仿宋"/>
          <w:b w:val="0"/>
          <w:color w:val="auto"/>
          <w:kern w:val="2"/>
          <w:sz w:val="24"/>
          <w:szCs w:val="24"/>
          <w:lang w:val="en-US"/>
        </w:rPr>
      </w:pPr>
    </w:p>
    <w:p>
      <w:pPr>
        <w:spacing w:line="360" w:lineRule="exact"/>
        <w:ind w:firstLine="480"/>
        <w:rPr>
          <w:rFonts w:hint="eastAsia" w:ascii="仿宋" w:hAnsi="仿宋" w:eastAsia="仿宋"/>
          <w:b w:val="0"/>
          <w:color w:val="auto"/>
          <w:kern w:val="2"/>
          <w:sz w:val="24"/>
          <w:szCs w:val="24"/>
          <w:lang w:val="en-US"/>
        </w:rPr>
      </w:pPr>
    </w:p>
    <w:p>
      <w:pPr>
        <w:spacing w:line="360" w:lineRule="exact"/>
        <w:ind w:firstLine="480"/>
        <w:rPr>
          <w:rFonts w:hint="eastAsia" w:ascii="仿宋" w:hAnsi="仿宋" w:eastAsia="仿宋"/>
          <w:b w:val="0"/>
          <w:color w:val="auto"/>
          <w:kern w:val="2"/>
          <w:sz w:val="24"/>
          <w:szCs w:val="24"/>
          <w:lang w:val="en-US"/>
        </w:rPr>
      </w:pPr>
    </w:p>
    <w:p>
      <w:pPr>
        <w:spacing w:line="360" w:lineRule="exact"/>
        <w:ind w:firstLine="480"/>
        <w:rPr>
          <w:rFonts w:hint="eastAsia" w:ascii="仿宋" w:hAnsi="仿宋" w:eastAsia="仿宋"/>
          <w:b w:val="0"/>
          <w:color w:val="auto"/>
          <w:kern w:val="2"/>
          <w:sz w:val="24"/>
          <w:szCs w:val="24"/>
          <w:lang w:val="en-US"/>
        </w:rPr>
      </w:pPr>
    </w:p>
    <w:p>
      <w:pPr>
        <w:spacing w:line="360" w:lineRule="exact"/>
        <w:ind w:firstLine="480"/>
        <w:rPr>
          <w:rFonts w:ascii="仿宋" w:hAnsi="仿宋" w:eastAsia="仿宋"/>
          <w:b w:val="0"/>
          <w:color w:val="auto"/>
          <w:kern w:val="2"/>
          <w:sz w:val="24"/>
          <w:szCs w:val="24"/>
          <w:lang w:val="en-US"/>
        </w:rPr>
      </w:pPr>
    </w:p>
    <w:p>
      <w:pPr>
        <w:keepNext/>
        <w:keepLines/>
        <w:numPr>
          <w:ilvl w:val="3"/>
          <w:numId w:val="17"/>
        </w:numPr>
        <w:tabs>
          <w:tab w:val="left" w:pos="360"/>
        </w:tabs>
        <w:spacing w:line="520" w:lineRule="exact"/>
        <w:ind w:left="0" w:firstLine="0" w:firstLineChars="0"/>
        <w:outlineLvl w:val="3"/>
        <w:rPr>
          <w:rFonts w:ascii="仿宋" w:hAnsi="仿宋" w:eastAsia="仿宋"/>
          <w:bCs/>
          <w:color w:val="auto"/>
          <w:kern w:val="2"/>
          <w:sz w:val="24"/>
          <w:szCs w:val="24"/>
          <w:lang w:val="en-US"/>
        </w:rPr>
      </w:pPr>
      <w:bookmarkStart w:id="422" w:name="_Toc494198605"/>
      <w:r>
        <w:rPr>
          <w:rFonts w:ascii="仿宋" w:hAnsi="仿宋" w:eastAsia="仿宋"/>
          <w:bCs/>
          <w:color w:val="auto"/>
          <w:kern w:val="2"/>
          <w:sz w:val="24"/>
          <w:szCs w:val="24"/>
          <w:lang w:val="en-US"/>
        </w:rPr>
        <w:t xml:space="preserve"> 服务偏离表</w:t>
      </w:r>
      <w:bookmarkEnd w:id="422"/>
    </w:p>
    <w:p>
      <w:pPr>
        <w:spacing w:line="520" w:lineRule="exact"/>
        <w:ind w:firstLine="480"/>
        <w:rPr>
          <w:rFonts w:ascii="仿宋" w:hAnsi="仿宋" w:eastAsia="仿宋"/>
          <w:b w:val="0"/>
          <w:color w:val="auto"/>
          <w:kern w:val="2"/>
          <w:sz w:val="24"/>
          <w:szCs w:val="24"/>
          <w:lang w:val="en-US"/>
        </w:rPr>
      </w:pPr>
    </w:p>
    <w:p>
      <w:pPr>
        <w:adjustRightInd w:val="0"/>
        <w:ind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采购项目名称：</w:t>
      </w:r>
    </w:p>
    <w:p>
      <w:pPr>
        <w:adjustRightInd w:val="0"/>
        <w:ind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采购项目编号：</w:t>
      </w:r>
    </w:p>
    <w:p>
      <w:pPr>
        <w:adjustRightInd w:val="0"/>
        <w:ind w:firstLine="480"/>
        <w:rPr>
          <w:rFonts w:hint="eastAsia" w:ascii="仿宋" w:hAnsi="仿宋" w:eastAsia="仿宋"/>
          <w:b w:val="0"/>
          <w:kern w:val="2"/>
          <w:sz w:val="24"/>
          <w:szCs w:val="24"/>
          <w:lang w:val="en-US"/>
        </w:rPr>
      </w:pPr>
    </w:p>
    <w:tbl>
      <w:tblPr>
        <w:tblStyle w:val="76"/>
        <w:tblW w:w="500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0"/>
        <w:gridCol w:w="2082"/>
        <w:gridCol w:w="3215"/>
        <w:gridCol w:w="2144"/>
        <w:gridCol w:w="1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462" w:type="pct"/>
            <w:vAlign w:val="center"/>
          </w:tcPr>
          <w:p>
            <w:pPr>
              <w:snapToGrid/>
              <w:spacing w:line="520" w:lineRule="exact"/>
              <w:ind w:firstLine="0" w:firstLineChars="0"/>
              <w:jc w:val="center"/>
              <w:rPr>
                <w:rFonts w:ascii="仿宋" w:hAnsi="仿宋" w:eastAsia="仿宋"/>
                <w:color w:val="auto"/>
                <w:kern w:val="2"/>
                <w:sz w:val="24"/>
                <w:szCs w:val="24"/>
                <w:lang w:val="en-US"/>
              </w:rPr>
            </w:pPr>
            <w:r>
              <w:rPr>
                <w:rFonts w:ascii="仿宋" w:hAnsi="仿宋" w:eastAsia="仿宋"/>
                <w:color w:val="auto"/>
                <w:kern w:val="2"/>
                <w:sz w:val="24"/>
                <w:szCs w:val="24"/>
                <w:lang w:val="en-US"/>
              </w:rPr>
              <w:t>序号</w:t>
            </w:r>
          </w:p>
        </w:tc>
        <w:tc>
          <w:tcPr>
            <w:tcW w:w="1119" w:type="pct"/>
            <w:vAlign w:val="center"/>
          </w:tcPr>
          <w:p>
            <w:pPr>
              <w:snapToGrid/>
              <w:spacing w:line="520" w:lineRule="exact"/>
              <w:ind w:firstLine="0" w:firstLineChars="0"/>
              <w:jc w:val="center"/>
              <w:rPr>
                <w:rFonts w:ascii="仿宋" w:hAnsi="仿宋" w:eastAsia="仿宋"/>
                <w:color w:val="auto"/>
                <w:kern w:val="2"/>
                <w:sz w:val="24"/>
                <w:szCs w:val="24"/>
                <w:lang w:val="en-US"/>
              </w:rPr>
            </w:pPr>
            <w:r>
              <w:rPr>
                <w:rFonts w:ascii="仿宋" w:hAnsi="仿宋" w:eastAsia="仿宋"/>
                <w:color w:val="auto"/>
                <w:kern w:val="2"/>
                <w:sz w:val="24"/>
                <w:szCs w:val="24"/>
                <w:lang w:val="en-US"/>
              </w:rPr>
              <w:t>招标文件要求</w:t>
            </w:r>
          </w:p>
        </w:tc>
        <w:tc>
          <w:tcPr>
            <w:tcW w:w="1728" w:type="pct"/>
            <w:vAlign w:val="center"/>
          </w:tcPr>
          <w:p>
            <w:pPr>
              <w:snapToGrid/>
              <w:spacing w:line="520" w:lineRule="exact"/>
              <w:ind w:firstLine="0" w:firstLineChars="0"/>
              <w:jc w:val="center"/>
              <w:rPr>
                <w:rFonts w:ascii="仿宋" w:hAnsi="仿宋" w:eastAsia="仿宋"/>
                <w:color w:val="auto"/>
                <w:kern w:val="2"/>
                <w:sz w:val="24"/>
                <w:szCs w:val="24"/>
                <w:lang w:val="en-US"/>
              </w:rPr>
            </w:pPr>
            <w:r>
              <w:rPr>
                <w:rFonts w:ascii="仿宋" w:hAnsi="仿宋" w:eastAsia="仿宋"/>
                <w:color w:val="auto"/>
                <w:kern w:val="2"/>
                <w:sz w:val="24"/>
                <w:szCs w:val="24"/>
                <w:lang w:val="en-US"/>
              </w:rPr>
              <w:t>投标文件的应答</w:t>
            </w:r>
          </w:p>
        </w:tc>
        <w:tc>
          <w:tcPr>
            <w:tcW w:w="1152" w:type="pct"/>
            <w:vAlign w:val="center"/>
          </w:tcPr>
          <w:p>
            <w:pPr>
              <w:snapToGrid/>
              <w:spacing w:line="520" w:lineRule="exact"/>
              <w:ind w:firstLine="0" w:firstLineChars="0"/>
              <w:jc w:val="center"/>
              <w:rPr>
                <w:rFonts w:ascii="仿宋" w:hAnsi="仿宋" w:eastAsia="仿宋"/>
                <w:color w:val="auto"/>
                <w:kern w:val="2"/>
                <w:sz w:val="24"/>
                <w:szCs w:val="24"/>
                <w:lang w:val="en-US"/>
              </w:rPr>
            </w:pPr>
            <w:r>
              <w:rPr>
                <w:rFonts w:ascii="仿宋" w:hAnsi="仿宋" w:eastAsia="仿宋"/>
                <w:color w:val="auto"/>
                <w:kern w:val="2"/>
                <w:sz w:val="24"/>
                <w:szCs w:val="24"/>
                <w:lang w:val="en-US"/>
              </w:rPr>
              <w:t>偏离说明</w:t>
            </w:r>
          </w:p>
        </w:tc>
        <w:tc>
          <w:tcPr>
            <w:tcW w:w="538" w:type="pct"/>
            <w:vAlign w:val="center"/>
          </w:tcPr>
          <w:p>
            <w:pPr>
              <w:snapToGrid/>
              <w:spacing w:line="520" w:lineRule="exact"/>
              <w:ind w:firstLine="0" w:firstLineChars="0"/>
              <w:jc w:val="center"/>
              <w:rPr>
                <w:rFonts w:ascii="仿宋" w:hAnsi="仿宋" w:eastAsia="仿宋"/>
                <w:color w:val="auto"/>
                <w:kern w:val="2"/>
                <w:sz w:val="24"/>
                <w:szCs w:val="24"/>
                <w:lang w:val="en-US"/>
              </w:rPr>
            </w:pPr>
            <w:r>
              <w:rPr>
                <w:rFonts w:ascii="仿宋" w:hAnsi="仿宋" w:eastAsia="仿宋"/>
                <w:color w:val="auto"/>
                <w:kern w:val="2"/>
                <w:sz w:val="24"/>
                <w:szCs w:val="24"/>
                <w:lang w:val="en-U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462" w:type="pct"/>
            <w:vAlign w:val="center"/>
          </w:tcPr>
          <w:p>
            <w:pPr>
              <w:snapToGrid/>
              <w:spacing w:line="520" w:lineRule="exact"/>
              <w:ind w:firstLine="0" w:firstLineChars="0"/>
              <w:jc w:val="center"/>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1</w:t>
            </w:r>
          </w:p>
        </w:tc>
        <w:tc>
          <w:tcPr>
            <w:tcW w:w="1119" w:type="pct"/>
            <w:vAlign w:val="center"/>
          </w:tcPr>
          <w:p>
            <w:pPr>
              <w:snapToGrid/>
              <w:spacing w:line="520" w:lineRule="exact"/>
              <w:ind w:firstLine="0" w:firstLineChars="0"/>
              <w:jc w:val="left"/>
              <w:rPr>
                <w:rFonts w:ascii="仿宋" w:hAnsi="仿宋" w:eastAsia="仿宋"/>
                <w:b w:val="0"/>
                <w:color w:val="auto"/>
                <w:kern w:val="2"/>
                <w:sz w:val="24"/>
                <w:szCs w:val="24"/>
                <w:lang w:val="en-US"/>
              </w:rPr>
            </w:pPr>
          </w:p>
        </w:tc>
        <w:tc>
          <w:tcPr>
            <w:tcW w:w="1728" w:type="pct"/>
            <w:vAlign w:val="center"/>
          </w:tcPr>
          <w:p>
            <w:pPr>
              <w:snapToGrid/>
              <w:spacing w:line="520" w:lineRule="exact"/>
              <w:ind w:firstLine="0" w:firstLineChars="0"/>
              <w:jc w:val="left"/>
              <w:rPr>
                <w:rFonts w:ascii="仿宋" w:hAnsi="仿宋" w:eastAsia="仿宋"/>
                <w:b w:val="0"/>
                <w:color w:val="auto"/>
                <w:kern w:val="2"/>
                <w:sz w:val="24"/>
                <w:szCs w:val="24"/>
                <w:lang w:val="en-US"/>
              </w:rPr>
            </w:pPr>
          </w:p>
        </w:tc>
        <w:tc>
          <w:tcPr>
            <w:tcW w:w="1152" w:type="pct"/>
            <w:vAlign w:val="center"/>
          </w:tcPr>
          <w:p>
            <w:pPr>
              <w:snapToGrid/>
              <w:spacing w:line="520" w:lineRule="exact"/>
              <w:ind w:firstLine="0" w:firstLineChars="0"/>
              <w:jc w:val="left"/>
              <w:rPr>
                <w:rFonts w:ascii="仿宋" w:hAnsi="仿宋" w:eastAsia="仿宋"/>
                <w:b w:val="0"/>
                <w:color w:val="auto"/>
                <w:kern w:val="2"/>
                <w:sz w:val="24"/>
                <w:szCs w:val="24"/>
                <w:lang w:val="en-US"/>
              </w:rPr>
            </w:pPr>
          </w:p>
        </w:tc>
        <w:tc>
          <w:tcPr>
            <w:tcW w:w="538" w:type="pct"/>
          </w:tcPr>
          <w:p>
            <w:pPr>
              <w:snapToGrid/>
              <w:spacing w:line="520" w:lineRule="exact"/>
              <w:ind w:firstLine="0" w:firstLineChars="0"/>
              <w:jc w:val="left"/>
              <w:rPr>
                <w:rFonts w:ascii="仿宋" w:hAnsi="仿宋" w:eastAsia="仿宋"/>
                <w:b w:val="0"/>
                <w:color w:val="auto"/>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462" w:type="pct"/>
            <w:vAlign w:val="center"/>
          </w:tcPr>
          <w:p>
            <w:pPr>
              <w:snapToGrid/>
              <w:spacing w:line="520" w:lineRule="exact"/>
              <w:ind w:firstLine="0" w:firstLineChars="0"/>
              <w:jc w:val="center"/>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2</w:t>
            </w:r>
          </w:p>
        </w:tc>
        <w:tc>
          <w:tcPr>
            <w:tcW w:w="1119" w:type="pct"/>
            <w:vAlign w:val="center"/>
          </w:tcPr>
          <w:p>
            <w:pPr>
              <w:snapToGrid/>
              <w:spacing w:line="520" w:lineRule="exact"/>
              <w:ind w:firstLine="0" w:firstLineChars="0"/>
              <w:jc w:val="left"/>
              <w:rPr>
                <w:rFonts w:ascii="仿宋" w:hAnsi="仿宋" w:eastAsia="仿宋"/>
                <w:b w:val="0"/>
                <w:color w:val="auto"/>
                <w:kern w:val="2"/>
                <w:sz w:val="24"/>
                <w:szCs w:val="24"/>
                <w:lang w:val="en-US"/>
              </w:rPr>
            </w:pPr>
          </w:p>
        </w:tc>
        <w:tc>
          <w:tcPr>
            <w:tcW w:w="1728" w:type="pct"/>
            <w:vAlign w:val="center"/>
          </w:tcPr>
          <w:p>
            <w:pPr>
              <w:snapToGrid/>
              <w:spacing w:line="520" w:lineRule="exact"/>
              <w:ind w:firstLine="0" w:firstLineChars="0"/>
              <w:jc w:val="left"/>
              <w:rPr>
                <w:rFonts w:ascii="仿宋" w:hAnsi="仿宋" w:eastAsia="仿宋"/>
                <w:b w:val="0"/>
                <w:color w:val="auto"/>
                <w:kern w:val="2"/>
                <w:sz w:val="24"/>
                <w:szCs w:val="24"/>
                <w:lang w:val="en-US"/>
              </w:rPr>
            </w:pPr>
          </w:p>
        </w:tc>
        <w:tc>
          <w:tcPr>
            <w:tcW w:w="1152" w:type="pct"/>
            <w:vAlign w:val="center"/>
          </w:tcPr>
          <w:p>
            <w:pPr>
              <w:snapToGrid/>
              <w:spacing w:line="520" w:lineRule="exact"/>
              <w:ind w:firstLine="0" w:firstLineChars="0"/>
              <w:jc w:val="left"/>
              <w:rPr>
                <w:rFonts w:ascii="仿宋" w:hAnsi="仿宋" w:eastAsia="仿宋"/>
                <w:b w:val="0"/>
                <w:color w:val="auto"/>
                <w:kern w:val="2"/>
                <w:sz w:val="24"/>
                <w:szCs w:val="24"/>
                <w:lang w:val="en-US"/>
              </w:rPr>
            </w:pPr>
          </w:p>
        </w:tc>
        <w:tc>
          <w:tcPr>
            <w:tcW w:w="538" w:type="pct"/>
          </w:tcPr>
          <w:p>
            <w:pPr>
              <w:snapToGrid/>
              <w:spacing w:line="520" w:lineRule="exact"/>
              <w:ind w:firstLine="0" w:firstLineChars="0"/>
              <w:jc w:val="left"/>
              <w:rPr>
                <w:rFonts w:ascii="仿宋" w:hAnsi="仿宋" w:eastAsia="仿宋"/>
                <w:b w:val="0"/>
                <w:color w:val="auto"/>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462" w:type="pct"/>
            <w:vAlign w:val="center"/>
          </w:tcPr>
          <w:p>
            <w:pPr>
              <w:snapToGrid/>
              <w:spacing w:line="520" w:lineRule="exact"/>
              <w:ind w:firstLine="0" w:firstLineChars="0"/>
              <w:jc w:val="center"/>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3</w:t>
            </w:r>
          </w:p>
        </w:tc>
        <w:tc>
          <w:tcPr>
            <w:tcW w:w="1119" w:type="pct"/>
            <w:vAlign w:val="center"/>
          </w:tcPr>
          <w:p>
            <w:pPr>
              <w:snapToGrid/>
              <w:spacing w:line="520" w:lineRule="exact"/>
              <w:ind w:firstLine="0" w:firstLineChars="0"/>
              <w:jc w:val="left"/>
              <w:rPr>
                <w:rFonts w:ascii="仿宋" w:hAnsi="仿宋" w:eastAsia="仿宋"/>
                <w:b w:val="0"/>
                <w:color w:val="auto"/>
                <w:kern w:val="2"/>
                <w:sz w:val="24"/>
                <w:szCs w:val="24"/>
                <w:lang w:val="en-US"/>
              </w:rPr>
            </w:pPr>
          </w:p>
        </w:tc>
        <w:tc>
          <w:tcPr>
            <w:tcW w:w="1728" w:type="pct"/>
            <w:vAlign w:val="center"/>
          </w:tcPr>
          <w:p>
            <w:pPr>
              <w:snapToGrid/>
              <w:spacing w:line="520" w:lineRule="exact"/>
              <w:ind w:firstLine="0" w:firstLineChars="0"/>
              <w:jc w:val="left"/>
              <w:rPr>
                <w:rFonts w:ascii="仿宋" w:hAnsi="仿宋" w:eastAsia="仿宋"/>
                <w:b w:val="0"/>
                <w:color w:val="auto"/>
                <w:kern w:val="2"/>
                <w:sz w:val="24"/>
                <w:szCs w:val="24"/>
                <w:lang w:val="en-US"/>
              </w:rPr>
            </w:pPr>
          </w:p>
        </w:tc>
        <w:tc>
          <w:tcPr>
            <w:tcW w:w="1152" w:type="pct"/>
            <w:vAlign w:val="center"/>
          </w:tcPr>
          <w:p>
            <w:pPr>
              <w:snapToGrid/>
              <w:spacing w:line="520" w:lineRule="exact"/>
              <w:ind w:firstLine="0" w:firstLineChars="0"/>
              <w:jc w:val="left"/>
              <w:rPr>
                <w:rFonts w:ascii="仿宋" w:hAnsi="仿宋" w:eastAsia="仿宋"/>
                <w:b w:val="0"/>
                <w:color w:val="auto"/>
                <w:kern w:val="2"/>
                <w:sz w:val="24"/>
                <w:szCs w:val="24"/>
                <w:lang w:val="en-US"/>
              </w:rPr>
            </w:pPr>
          </w:p>
        </w:tc>
        <w:tc>
          <w:tcPr>
            <w:tcW w:w="538" w:type="pct"/>
          </w:tcPr>
          <w:p>
            <w:pPr>
              <w:snapToGrid/>
              <w:spacing w:line="520" w:lineRule="exact"/>
              <w:ind w:firstLine="0" w:firstLineChars="0"/>
              <w:jc w:val="left"/>
              <w:rPr>
                <w:rFonts w:ascii="仿宋" w:hAnsi="仿宋" w:eastAsia="仿宋"/>
                <w:b w:val="0"/>
                <w:color w:val="auto"/>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462" w:type="pct"/>
            <w:vAlign w:val="center"/>
          </w:tcPr>
          <w:p>
            <w:pPr>
              <w:snapToGrid/>
              <w:spacing w:line="520" w:lineRule="exact"/>
              <w:ind w:firstLine="0" w:firstLineChars="0"/>
              <w:jc w:val="center"/>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4</w:t>
            </w:r>
          </w:p>
        </w:tc>
        <w:tc>
          <w:tcPr>
            <w:tcW w:w="1119" w:type="pct"/>
            <w:vAlign w:val="center"/>
          </w:tcPr>
          <w:p>
            <w:pPr>
              <w:snapToGrid/>
              <w:spacing w:line="520" w:lineRule="exact"/>
              <w:ind w:firstLine="0" w:firstLineChars="0"/>
              <w:jc w:val="left"/>
              <w:rPr>
                <w:rFonts w:ascii="仿宋" w:hAnsi="仿宋" w:eastAsia="仿宋"/>
                <w:b w:val="0"/>
                <w:color w:val="auto"/>
                <w:kern w:val="2"/>
                <w:sz w:val="24"/>
                <w:szCs w:val="24"/>
                <w:lang w:val="en-US"/>
              </w:rPr>
            </w:pPr>
          </w:p>
        </w:tc>
        <w:tc>
          <w:tcPr>
            <w:tcW w:w="1728" w:type="pct"/>
            <w:vAlign w:val="center"/>
          </w:tcPr>
          <w:p>
            <w:pPr>
              <w:snapToGrid/>
              <w:spacing w:line="520" w:lineRule="exact"/>
              <w:ind w:firstLine="0" w:firstLineChars="0"/>
              <w:jc w:val="left"/>
              <w:rPr>
                <w:rFonts w:ascii="仿宋" w:hAnsi="仿宋" w:eastAsia="仿宋"/>
                <w:b w:val="0"/>
                <w:color w:val="auto"/>
                <w:kern w:val="2"/>
                <w:sz w:val="24"/>
                <w:szCs w:val="24"/>
                <w:lang w:val="en-US"/>
              </w:rPr>
            </w:pPr>
          </w:p>
        </w:tc>
        <w:tc>
          <w:tcPr>
            <w:tcW w:w="1152" w:type="pct"/>
            <w:vAlign w:val="center"/>
          </w:tcPr>
          <w:p>
            <w:pPr>
              <w:snapToGrid/>
              <w:spacing w:line="520" w:lineRule="exact"/>
              <w:ind w:firstLine="0" w:firstLineChars="0"/>
              <w:jc w:val="left"/>
              <w:rPr>
                <w:rFonts w:ascii="仿宋" w:hAnsi="仿宋" w:eastAsia="仿宋"/>
                <w:b w:val="0"/>
                <w:color w:val="auto"/>
                <w:kern w:val="2"/>
                <w:sz w:val="24"/>
                <w:szCs w:val="24"/>
                <w:lang w:val="en-US"/>
              </w:rPr>
            </w:pPr>
          </w:p>
        </w:tc>
        <w:tc>
          <w:tcPr>
            <w:tcW w:w="538" w:type="pct"/>
          </w:tcPr>
          <w:p>
            <w:pPr>
              <w:snapToGrid/>
              <w:spacing w:line="520" w:lineRule="exact"/>
              <w:ind w:firstLine="0" w:firstLineChars="0"/>
              <w:jc w:val="left"/>
              <w:rPr>
                <w:rFonts w:ascii="仿宋" w:hAnsi="仿宋" w:eastAsia="仿宋"/>
                <w:b w:val="0"/>
                <w:color w:val="auto"/>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462" w:type="pct"/>
            <w:vAlign w:val="center"/>
          </w:tcPr>
          <w:p>
            <w:pPr>
              <w:snapToGrid/>
              <w:spacing w:line="520" w:lineRule="exact"/>
              <w:ind w:firstLine="0" w:firstLineChars="0"/>
              <w:jc w:val="center"/>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w:t>
            </w:r>
          </w:p>
        </w:tc>
        <w:tc>
          <w:tcPr>
            <w:tcW w:w="1119" w:type="pct"/>
            <w:vAlign w:val="center"/>
          </w:tcPr>
          <w:p>
            <w:pPr>
              <w:snapToGrid/>
              <w:spacing w:line="520" w:lineRule="exact"/>
              <w:ind w:firstLine="0" w:firstLineChars="0"/>
              <w:jc w:val="left"/>
              <w:rPr>
                <w:rFonts w:ascii="仿宋" w:hAnsi="仿宋" w:eastAsia="仿宋"/>
                <w:b w:val="0"/>
                <w:color w:val="auto"/>
                <w:kern w:val="2"/>
                <w:sz w:val="24"/>
                <w:szCs w:val="24"/>
                <w:lang w:val="en-US"/>
              </w:rPr>
            </w:pPr>
          </w:p>
        </w:tc>
        <w:tc>
          <w:tcPr>
            <w:tcW w:w="1728" w:type="pct"/>
            <w:vAlign w:val="center"/>
          </w:tcPr>
          <w:p>
            <w:pPr>
              <w:snapToGrid/>
              <w:spacing w:line="520" w:lineRule="exact"/>
              <w:ind w:firstLine="0" w:firstLineChars="0"/>
              <w:jc w:val="left"/>
              <w:rPr>
                <w:rFonts w:ascii="仿宋" w:hAnsi="仿宋" w:eastAsia="仿宋"/>
                <w:b w:val="0"/>
                <w:color w:val="auto"/>
                <w:kern w:val="2"/>
                <w:sz w:val="24"/>
                <w:szCs w:val="24"/>
                <w:lang w:val="en-US"/>
              </w:rPr>
            </w:pPr>
          </w:p>
        </w:tc>
        <w:tc>
          <w:tcPr>
            <w:tcW w:w="1152" w:type="pct"/>
            <w:vAlign w:val="center"/>
          </w:tcPr>
          <w:p>
            <w:pPr>
              <w:snapToGrid/>
              <w:spacing w:line="520" w:lineRule="exact"/>
              <w:ind w:firstLine="0" w:firstLineChars="0"/>
              <w:jc w:val="left"/>
              <w:rPr>
                <w:rFonts w:ascii="仿宋" w:hAnsi="仿宋" w:eastAsia="仿宋"/>
                <w:b w:val="0"/>
                <w:color w:val="auto"/>
                <w:kern w:val="2"/>
                <w:sz w:val="24"/>
                <w:szCs w:val="24"/>
                <w:lang w:val="en-US"/>
              </w:rPr>
            </w:pPr>
          </w:p>
        </w:tc>
        <w:tc>
          <w:tcPr>
            <w:tcW w:w="538" w:type="pct"/>
          </w:tcPr>
          <w:p>
            <w:pPr>
              <w:snapToGrid/>
              <w:spacing w:line="520" w:lineRule="exact"/>
              <w:ind w:firstLine="0" w:firstLineChars="0"/>
              <w:jc w:val="left"/>
              <w:rPr>
                <w:rFonts w:ascii="仿宋" w:hAnsi="仿宋" w:eastAsia="仿宋"/>
                <w:b w:val="0"/>
                <w:color w:val="auto"/>
                <w:kern w:val="2"/>
                <w:sz w:val="24"/>
                <w:szCs w:val="24"/>
                <w:lang w:val="en-US"/>
              </w:rPr>
            </w:pPr>
          </w:p>
        </w:tc>
      </w:tr>
    </w:tbl>
    <w:p>
      <w:pPr>
        <w:snapToGrid/>
        <w:spacing w:line="520" w:lineRule="exact"/>
        <w:ind w:firstLine="480"/>
        <w:jc w:val="left"/>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注：以上表格格式行可增减。</w:t>
      </w:r>
    </w:p>
    <w:p>
      <w:pPr>
        <w:snapToGrid/>
        <w:spacing w:line="520" w:lineRule="exact"/>
        <w:ind w:firstLine="480"/>
        <w:jc w:val="left"/>
        <w:rPr>
          <w:rFonts w:ascii="仿宋" w:hAnsi="仿宋" w:eastAsia="仿宋"/>
          <w:b w:val="0"/>
          <w:color w:val="auto"/>
          <w:kern w:val="2"/>
          <w:sz w:val="24"/>
          <w:szCs w:val="24"/>
          <w:lang w:val="en-US"/>
        </w:rPr>
      </w:pPr>
    </w:p>
    <w:p>
      <w:pPr>
        <w:snapToGrid/>
        <w:spacing w:line="520" w:lineRule="exact"/>
        <w:ind w:firstLine="480"/>
        <w:jc w:val="left"/>
        <w:rPr>
          <w:rFonts w:ascii="仿宋" w:hAnsi="仿宋" w:eastAsia="仿宋"/>
          <w:b w:val="0"/>
          <w:color w:val="auto"/>
          <w:kern w:val="2"/>
          <w:sz w:val="24"/>
          <w:szCs w:val="24"/>
          <w:lang w:val="en-US"/>
        </w:rPr>
      </w:pPr>
    </w:p>
    <w:p>
      <w:pPr>
        <w:snapToGrid/>
        <w:spacing w:line="520" w:lineRule="exact"/>
        <w:ind w:firstLine="480"/>
        <w:jc w:val="left"/>
        <w:rPr>
          <w:rFonts w:ascii="仿宋" w:hAnsi="仿宋" w:eastAsia="仿宋"/>
          <w:b w:val="0"/>
          <w:color w:val="auto"/>
          <w:kern w:val="2"/>
          <w:sz w:val="24"/>
          <w:szCs w:val="24"/>
          <w:lang w:val="en-US"/>
        </w:rPr>
      </w:pPr>
    </w:p>
    <w:p>
      <w:pPr>
        <w:snapToGrid/>
        <w:spacing w:line="520" w:lineRule="exact"/>
        <w:ind w:firstLine="480"/>
        <w:jc w:val="left"/>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投标人名称（公章）：</w:t>
      </w:r>
    </w:p>
    <w:p>
      <w:pPr>
        <w:snapToGrid/>
        <w:spacing w:line="520" w:lineRule="exact"/>
        <w:ind w:firstLine="480"/>
        <w:jc w:val="left"/>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法定代表人</w:t>
      </w:r>
      <w:r>
        <w:rPr>
          <w:rFonts w:hint="eastAsia" w:ascii="仿宋" w:hAnsi="仿宋" w:eastAsia="仿宋"/>
          <w:b w:val="0"/>
          <w:color w:val="auto"/>
          <w:kern w:val="2"/>
          <w:sz w:val="24"/>
          <w:szCs w:val="24"/>
          <w:lang w:val="en-US"/>
        </w:rPr>
        <w:t>（主要负责人）</w:t>
      </w:r>
      <w:r>
        <w:rPr>
          <w:rFonts w:ascii="仿宋" w:hAnsi="仿宋" w:eastAsia="仿宋"/>
          <w:b w:val="0"/>
          <w:color w:val="auto"/>
          <w:kern w:val="2"/>
          <w:sz w:val="24"/>
          <w:szCs w:val="24"/>
          <w:lang w:val="en-US"/>
        </w:rPr>
        <w:t>或代理人（签字或加盖印章）：</w:t>
      </w:r>
    </w:p>
    <w:p>
      <w:pPr>
        <w:snapToGrid/>
        <w:spacing w:line="520" w:lineRule="exact"/>
        <w:ind w:firstLine="480"/>
        <w:jc w:val="left"/>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日  期:</w:t>
      </w:r>
    </w:p>
    <w:p>
      <w:pPr>
        <w:snapToGrid/>
        <w:spacing w:line="520" w:lineRule="exact"/>
        <w:jc w:val="left"/>
        <w:rPr>
          <w:rFonts w:ascii="仿宋" w:hAnsi="仿宋" w:eastAsia="仿宋"/>
        </w:rPr>
      </w:pPr>
    </w:p>
    <w:p>
      <w:pPr>
        <w:snapToGrid/>
        <w:spacing w:line="520" w:lineRule="exact"/>
        <w:jc w:val="left"/>
        <w:rPr>
          <w:rFonts w:ascii="仿宋" w:hAnsi="仿宋" w:eastAsia="仿宋"/>
        </w:rPr>
      </w:pPr>
    </w:p>
    <w:p>
      <w:pPr>
        <w:snapToGrid/>
        <w:spacing w:line="520" w:lineRule="exact"/>
        <w:jc w:val="left"/>
        <w:rPr>
          <w:rFonts w:ascii="仿宋" w:hAnsi="仿宋" w:eastAsia="仿宋"/>
        </w:rPr>
      </w:pPr>
    </w:p>
    <w:p>
      <w:pPr>
        <w:snapToGrid/>
        <w:spacing w:line="520" w:lineRule="exact"/>
        <w:jc w:val="left"/>
        <w:rPr>
          <w:rFonts w:ascii="仿宋" w:hAnsi="仿宋" w:eastAsia="仿宋"/>
        </w:rPr>
      </w:pPr>
    </w:p>
    <w:p>
      <w:pPr>
        <w:snapToGrid/>
        <w:spacing w:line="520" w:lineRule="exact"/>
        <w:jc w:val="left"/>
        <w:rPr>
          <w:rFonts w:ascii="仿宋" w:hAnsi="仿宋" w:eastAsia="仿宋"/>
        </w:rPr>
      </w:pPr>
    </w:p>
    <w:p>
      <w:pPr>
        <w:snapToGrid/>
        <w:spacing w:line="520" w:lineRule="exact"/>
        <w:jc w:val="left"/>
        <w:rPr>
          <w:rFonts w:ascii="仿宋" w:hAnsi="仿宋" w:eastAsia="仿宋"/>
        </w:rPr>
      </w:pPr>
    </w:p>
    <w:p>
      <w:pPr>
        <w:snapToGrid/>
        <w:spacing w:line="520" w:lineRule="exact"/>
        <w:jc w:val="left"/>
        <w:rPr>
          <w:rFonts w:ascii="仿宋" w:hAnsi="仿宋" w:eastAsia="仿宋"/>
        </w:rPr>
      </w:pPr>
    </w:p>
    <w:p>
      <w:pPr>
        <w:keepNext/>
        <w:keepLines/>
        <w:numPr>
          <w:ilvl w:val="3"/>
          <w:numId w:val="17"/>
        </w:numPr>
        <w:tabs>
          <w:tab w:val="left" w:pos="360"/>
        </w:tabs>
        <w:spacing w:line="520" w:lineRule="exact"/>
        <w:ind w:left="0" w:firstLine="0" w:firstLineChars="0"/>
        <w:outlineLvl w:val="3"/>
        <w:rPr>
          <w:rFonts w:ascii="仿宋" w:hAnsi="仿宋" w:eastAsia="仿宋"/>
          <w:bCs/>
          <w:color w:val="auto"/>
          <w:kern w:val="2"/>
          <w:sz w:val="24"/>
          <w:szCs w:val="24"/>
          <w:lang w:val="en-US"/>
        </w:rPr>
      </w:pPr>
      <w:r>
        <w:rPr>
          <w:rFonts w:ascii="仿宋" w:hAnsi="仿宋" w:eastAsia="仿宋"/>
          <w:bCs/>
          <w:color w:val="auto"/>
          <w:kern w:val="2"/>
          <w:sz w:val="24"/>
          <w:szCs w:val="24"/>
          <w:lang w:val="en-US"/>
        </w:rPr>
        <w:t xml:space="preserve"> </w:t>
      </w:r>
      <w:bookmarkStart w:id="423" w:name="_Toc494198606"/>
      <w:r>
        <w:rPr>
          <w:rFonts w:ascii="仿宋" w:hAnsi="仿宋" w:eastAsia="仿宋"/>
          <w:bCs/>
          <w:color w:val="auto"/>
          <w:kern w:val="2"/>
          <w:sz w:val="24"/>
          <w:szCs w:val="24"/>
          <w:lang w:val="en-US"/>
        </w:rPr>
        <w:t>商务应答表</w:t>
      </w:r>
      <w:bookmarkEnd w:id="423"/>
    </w:p>
    <w:p>
      <w:pPr>
        <w:ind w:firstLine="480"/>
        <w:rPr>
          <w:rFonts w:ascii="仿宋" w:hAnsi="仿宋" w:eastAsia="仿宋"/>
          <w:b w:val="0"/>
          <w:color w:val="auto"/>
          <w:kern w:val="2"/>
          <w:sz w:val="24"/>
          <w:szCs w:val="24"/>
          <w:lang w:val="en-US"/>
        </w:rPr>
      </w:pPr>
    </w:p>
    <w:p>
      <w:pPr>
        <w:ind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采购项目名称：</w:t>
      </w:r>
    </w:p>
    <w:p>
      <w:pPr>
        <w:ind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采购项目编号：</w:t>
      </w:r>
    </w:p>
    <w:p>
      <w:pPr>
        <w:ind w:firstLine="480"/>
        <w:rPr>
          <w:rFonts w:hint="eastAsia" w:ascii="仿宋" w:hAnsi="仿宋" w:eastAsia="仿宋"/>
          <w:b w:val="0"/>
          <w:kern w:val="2"/>
          <w:sz w:val="24"/>
          <w:szCs w:val="24"/>
          <w:lang w:val="en-US"/>
        </w:rPr>
      </w:pPr>
    </w:p>
    <w:tbl>
      <w:tblPr>
        <w:tblStyle w:val="7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9"/>
        <w:gridCol w:w="3230"/>
        <w:gridCol w:w="2032"/>
        <w:gridCol w:w="3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exact"/>
        </w:trPr>
        <w:tc>
          <w:tcPr>
            <w:tcW w:w="527" w:type="pct"/>
            <w:vAlign w:val="center"/>
          </w:tcPr>
          <w:p>
            <w:pPr>
              <w:snapToGrid/>
              <w:spacing w:line="240" w:lineRule="auto"/>
              <w:ind w:firstLine="0" w:firstLineChars="0"/>
              <w:jc w:val="center"/>
              <w:rPr>
                <w:rFonts w:ascii="仿宋" w:hAnsi="仿宋" w:eastAsia="仿宋"/>
                <w:bCs/>
                <w:color w:val="auto"/>
                <w:kern w:val="2"/>
                <w:sz w:val="24"/>
                <w:szCs w:val="24"/>
                <w:lang w:val="en-US"/>
              </w:rPr>
            </w:pPr>
            <w:r>
              <w:rPr>
                <w:rFonts w:ascii="仿宋" w:hAnsi="仿宋" w:eastAsia="仿宋"/>
                <w:bCs/>
                <w:color w:val="auto"/>
                <w:kern w:val="2"/>
                <w:sz w:val="24"/>
                <w:szCs w:val="24"/>
                <w:lang w:val="en-US"/>
              </w:rPr>
              <w:t>序号</w:t>
            </w:r>
          </w:p>
        </w:tc>
        <w:tc>
          <w:tcPr>
            <w:tcW w:w="1739" w:type="pct"/>
            <w:vAlign w:val="center"/>
          </w:tcPr>
          <w:p>
            <w:pPr>
              <w:snapToGrid/>
              <w:spacing w:line="240" w:lineRule="auto"/>
              <w:ind w:firstLine="0" w:firstLineChars="0"/>
              <w:jc w:val="center"/>
              <w:rPr>
                <w:rFonts w:ascii="仿宋" w:hAnsi="仿宋" w:eastAsia="仿宋"/>
                <w:bCs/>
                <w:color w:val="auto"/>
                <w:kern w:val="2"/>
                <w:sz w:val="24"/>
                <w:szCs w:val="24"/>
                <w:lang w:val="en-US"/>
              </w:rPr>
            </w:pPr>
            <w:r>
              <w:rPr>
                <w:rFonts w:ascii="仿宋" w:hAnsi="仿宋" w:eastAsia="仿宋"/>
                <w:bCs/>
                <w:color w:val="auto"/>
                <w:kern w:val="2"/>
                <w:sz w:val="24"/>
                <w:szCs w:val="24"/>
                <w:lang w:val="en-US"/>
              </w:rPr>
              <w:t>商务要求</w:t>
            </w:r>
          </w:p>
        </w:tc>
        <w:tc>
          <w:tcPr>
            <w:tcW w:w="1094" w:type="pct"/>
            <w:vAlign w:val="center"/>
          </w:tcPr>
          <w:p>
            <w:pPr>
              <w:snapToGrid/>
              <w:spacing w:line="240" w:lineRule="auto"/>
              <w:ind w:firstLine="0" w:firstLineChars="0"/>
              <w:jc w:val="center"/>
              <w:rPr>
                <w:rFonts w:ascii="仿宋" w:hAnsi="仿宋" w:eastAsia="仿宋"/>
                <w:bCs/>
                <w:color w:val="auto"/>
                <w:kern w:val="2"/>
                <w:sz w:val="24"/>
                <w:szCs w:val="24"/>
                <w:lang w:val="en-US"/>
              </w:rPr>
            </w:pPr>
            <w:r>
              <w:rPr>
                <w:rFonts w:ascii="仿宋" w:hAnsi="仿宋" w:eastAsia="仿宋"/>
                <w:bCs/>
                <w:color w:val="auto"/>
                <w:kern w:val="2"/>
                <w:sz w:val="24"/>
                <w:szCs w:val="24"/>
                <w:lang w:val="en-US"/>
              </w:rPr>
              <w:t>详细说明</w:t>
            </w:r>
          </w:p>
        </w:tc>
        <w:tc>
          <w:tcPr>
            <w:tcW w:w="1640" w:type="pct"/>
            <w:vAlign w:val="center"/>
          </w:tcPr>
          <w:p>
            <w:pPr>
              <w:snapToGrid/>
              <w:spacing w:line="240" w:lineRule="auto"/>
              <w:ind w:firstLine="0" w:firstLineChars="0"/>
              <w:jc w:val="center"/>
              <w:rPr>
                <w:rFonts w:ascii="仿宋" w:hAnsi="仿宋" w:eastAsia="仿宋"/>
                <w:bCs/>
                <w:color w:val="auto"/>
                <w:kern w:val="2"/>
                <w:sz w:val="24"/>
                <w:szCs w:val="24"/>
                <w:lang w:val="en-US"/>
              </w:rPr>
            </w:pPr>
            <w:r>
              <w:rPr>
                <w:rFonts w:ascii="仿宋" w:hAnsi="仿宋" w:eastAsia="仿宋"/>
                <w:bCs/>
                <w:color w:val="auto"/>
                <w:kern w:val="2"/>
                <w:sz w:val="24"/>
                <w:szCs w:val="24"/>
                <w:lang w:val="en-US"/>
              </w:rPr>
              <w:t>投标应答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exact"/>
        </w:trPr>
        <w:tc>
          <w:tcPr>
            <w:tcW w:w="527" w:type="pct"/>
            <w:vAlign w:val="center"/>
          </w:tcPr>
          <w:p>
            <w:pPr>
              <w:snapToGrid/>
              <w:spacing w:line="240" w:lineRule="auto"/>
              <w:ind w:firstLine="0" w:firstLineChars="0"/>
              <w:jc w:val="center"/>
              <w:rPr>
                <w:rFonts w:ascii="仿宋" w:hAnsi="仿宋" w:eastAsia="仿宋"/>
                <w:b w:val="0"/>
                <w:bCs/>
                <w:color w:val="auto"/>
                <w:kern w:val="2"/>
                <w:sz w:val="24"/>
                <w:szCs w:val="24"/>
                <w:lang w:val="en-US"/>
              </w:rPr>
            </w:pPr>
            <w:r>
              <w:rPr>
                <w:rFonts w:ascii="仿宋" w:hAnsi="仿宋" w:eastAsia="仿宋"/>
                <w:b w:val="0"/>
                <w:bCs/>
                <w:color w:val="auto"/>
                <w:kern w:val="2"/>
                <w:sz w:val="24"/>
                <w:szCs w:val="24"/>
                <w:lang w:val="en-US"/>
              </w:rPr>
              <w:t>1</w:t>
            </w:r>
          </w:p>
        </w:tc>
        <w:tc>
          <w:tcPr>
            <w:tcW w:w="1739" w:type="pct"/>
            <w:vAlign w:val="center"/>
          </w:tcPr>
          <w:p>
            <w:pPr>
              <w:snapToGrid/>
              <w:spacing w:line="240" w:lineRule="auto"/>
              <w:ind w:firstLine="0" w:firstLineChars="0"/>
              <w:jc w:val="center"/>
              <w:rPr>
                <w:rFonts w:ascii="仿宋" w:hAnsi="仿宋" w:eastAsia="仿宋"/>
                <w:b w:val="0"/>
                <w:bCs/>
                <w:kern w:val="2"/>
                <w:sz w:val="24"/>
                <w:szCs w:val="24"/>
                <w:lang w:val="en-US"/>
              </w:rPr>
            </w:pPr>
          </w:p>
        </w:tc>
        <w:tc>
          <w:tcPr>
            <w:tcW w:w="1094" w:type="pct"/>
            <w:vMerge w:val="restart"/>
            <w:vAlign w:val="center"/>
          </w:tcPr>
          <w:p>
            <w:pPr>
              <w:snapToGrid/>
              <w:spacing w:line="240" w:lineRule="auto"/>
              <w:ind w:firstLine="0" w:firstLineChars="0"/>
              <w:jc w:val="center"/>
              <w:rPr>
                <w:rFonts w:ascii="仿宋" w:hAnsi="仿宋" w:eastAsia="仿宋"/>
                <w:b w:val="0"/>
                <w:bCs/>
                <w:color w:val="auto"/>
                <w:kern w:val="2"/>
                <w:sz w:val="24"/>
                <w:szCs w:val="24"/>
                <w:lang w:val="en-US"/>
              </w:rPr>
            </w:pPr>
            <w:r>
              <w:rPr>
                <w:rFonts w:ascii="仿宋" w:hAnsi="仿宋" w:eastAsia="仿宋"/>
                <w:b w:val="0"/>
                <w:bCs/>
                <w:color w:val="auto"/>
                <w:kern w:val="2"/>
                <w:sz w:val="24"/>
                <w:szCs w:val="24"/>
                <w:lang w:val="en-US"/>
              </w:rPr>
              <w:t>详见招标文件</w:t>
            </w:r>
          </w:p>
          <w:p>
            <w:pPr>
              <w:snapToGrid/>
              <w:spacing w:line="240" w:lineRule="auto"/>
              <w:ind w:firstLine="0" w:firstLineChars="0"/>
              <w:jc w:val="center"/>
              <w:rPr>
                <w:rFonts w:ascii="仿宋" w:hAnsi="仿宋" w:eastAsia="仿宋"/>
                <w:bCs/>
                <w:color w:val="auto"/>
                <w:kern w:val="2"/>
                <w:sz w:val="24"/>
                <w:szCs w:val="24"/>
                <w:lang w:val="en-US"/>
              </w:rPr>
            </w:pPr>
            <w:r>
              <w:rPr>
                <w:rFonts w:ascii="仿宋" w:hAnsi="仿宋" w:eastAsia="仿宋"/>
                <w:b w:val="0"/>
                <w:bCs/>
                <w:color w:val="auto"/>
                <w:kern w:val="2"/>
                <w:sz w:val="24"/>
                <w:szCs w:val="24"/>
                <w:lang w:val="en-US"/>
              </w:rPr>
              <w:t>第6章</w:t>
            </w:r>
          </w:p>
        </w:tc>
        <w:tc>
          <w:tcPr>
            <w:tcW w:w="1640" w:type="pct"/>
            <w:vAlign w:val="center"/>
          </w:tcPr>
          <w:p>
            <w:pPr>
              <w:snapToGrid/>
              <w:spacing w:line="240" w:lineRule="auto"/>
              <w:ind w:firstLine="0" w:firstLineChars="0"/>
              <w:jc w:val="center"/>
              <w:rPr>
                <w:rFonts w:ascii="仿宋" w:hAnsi="仿宋" w:eastAsia="仿宋"/>
                <w:bCs/>
                <w:color w:val="auto"/>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exact"/>
        </w:trPr>
        <w:tc>
          <w:tcPr>
            <w:tcW w:w="527" w:type="pct"/>
            <w:vAlign w:val="center"/>
          </w:tcPr>
          <w:p>
            <w:pPr>
              <w:snapToGrid/>
              <w:spacing w:line="240" w:lineRule="auto"/>
              <w:ind w:firstLine="0" w:firstLineChars="0"/>
              <w:jc w:val="center"/>
              <w:rPr>
                <w:rFonts w:ascii="仿宋" w:hAnsi="仿宋" w:eastAsia="仿宋"/>
                <w:b w:val="0"/>
                <w:bCs/>
                <w:color w:val="auto"/>
                <w:kern w:val="2"/>
                <w:sz w:val="24"/>
                <w:szCs w:val="24"/>
                <w:lang w:val="en-US"/>
              </w:rPr>
            </w:pPr>
            <w:r>
              <w:rPr>
                <w:rFonts w:ascii="仿宋" w:hAnsi="仿宋" w:eastAsia="仿宋"/>
                <w:b w:val="0"/>
                <w:bCs/>
                <w:color w:val="auto"/>
                <w:kern w:val="2"/>
                <w:sz w:val="24"/>
                <w:szCs w:val="24"/>
                <w:lang w:val="en-US"/>
              </w:rPr>
              <w:t>2</w:t>
            </w:r>
          </w:p>
        </w:tc>
        <w:tc>
          <w:tcPr>
            <w:tcW w:w="1739" w:type="pct"/>
            <w:vAlign w:val="center"/>
          </w:tcPr>
          <w:p>
            <w:pPr>
              <w:snapToGrid/>
              <w:spacing w:line="240" w:lineRule="auto"/>
              <w:ind w:firstLine="0" w:firstLineChars="0"/>
              <w:jc w:val="center"/>
              <w:rPr>
                <w:rFonts w:ascii="仿宋" w:hAnsi="仿宋" w:eastAsia="仿宋"/>
                <w:b w:val="0"/>
                <w:bCs/>
                <w:kern w:val="2"/>
                <w:sz w:val="24"/>
                <w:szCs w:val="24"/>
                <w:lang w:val="en-US"/>
              </w:rPr>
            </w:pPr>
          </w:p>
        </w:tc>
        <w:tc>
          <w:tcPr>
            <w:tcW w:w="1094" w:type="pct"/>
            <w:vMerge w:val="continue"/>
            <w:vAlign w:val="center"/>
          </w:tcPr>
          <w:p>
            <w:pPr>
              <w:snapToGrid/>
              <w:spacing w:line="240" w:lineRule="auto"/>
              <w:ind w:firstLine="0" w:firstLineChars="0"/>
              <w:jc w:val="center"/>
              <w:rPr>
                <w:rFonts w:ascii="仿宋" w:hAnsi="仿宋" w:eastAsia="仿宋"/>
                <w:bCs/>
                <w:color w:val="auto"/>
                <w:kern w:val="2"/>
                <w:sz w:val="24"/>
                <w:szCs w:val="24"/>
                <w:lang w:val="en-US"/>
              </w:rPr>
            </w:pPr>
          </w:p>
        </w:tc>
        <w:tc>
          <w:tcPr>
            <w:tcW w:w="1640" w:type="pct"/>
            <w:vAlign w:val="center"/>
          </w:tcPr>
          <w:p>
            <w:pPr>
              <w:snapToGrid/>
              <w:spacing w:line="240" w:lineRule="auto"/>
              <w:ind w:firstLine="0" w:firstLineChars="0"/>
              <w:jc w:val="center"/>
              <w:rPr>
                <w:rFonts w:ascii="仿宋" w:hAnsi="仿宋" w:eastAsia="仿宋"/>
                <w:bCs/>
                <w:color w:val="auto"/>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exact"/>
        </w:trPr>
        <w:tc>
          <w:tcPr>
            <w:tcW w:w="527" w:type="pct"/>
            <w:vAlign w:val="center"/>
          </w:tcPr>
          <w:p>
            <w:pPr>
              <w:snapToGrid/>
              <w:spacing w:line="240" w:lineRule="auto"/>
              <w:ind w:firstLine="0" w:firstLineChars="0"/>
              <w:jc w:val="center"/>
              <w:rPr>
                <w:rFonts w:ascii="仿宋" w:hAnsi="仿宋" w:eastAsia="仿宋"/>
                <w:b w:val="0"/>
                <w:bCs/>
                <w:color w:val="auto"/>
                <w:kern w:val="2"/>
                <w:sz w:val="24"/>
                <w:szCs w:val="24"/>
                <w:lang w:val="en-US"/>
              </w:rPr>
            </w:pPr>
            <w:r>
              <w:rPr>
                <w:rFonts w:ascii="仿宋" w:hAnsi="仿宋" w:eastAsia="仿宋"/>
                <w:b w:val="0"/>
                <w:bCs/>
                <w:color w:val="auto"/>
                <w:kern w:val="2"/>
                <w:sz w:val="24"/>
                <w:szCs w:val="24"/>
                <w:lang w:val="en-US"/>
              </w:rPr>
              <w:t>3</w:t>
            </w:r>
          </w:p>
        </w:tc>
        <w:tc>
          <w:tcPr>
            <w:tcW w:w="1739" w:type="pct"/>
            <w:vAlign w:val="center"/>
          </w:tcPr>
          <w:p>
            <w:pPr>
              <w:snapToGrid/>
              <w:spacing w:line="240" w:lineRule="auto"/>
              <w:ind w:firstLine="0" w:firstLineChars="0"/>
              <w:jc w:val="center"/>
              <w:rPr>
                <w:rFonts w:ascii="仿宋" w:hAnsi="仿宋" w:eastAsia="仿宋"/>
                <w:b w:val="0"/>
                <w:bCs/>
                <w:kern w:val="2"/>
                <w:sz w:val="24"/>
                <w:szCs w:val="24"/>
                <w:lang w:val="en-US"/>
              </w:rPr>
            </w:pPr>
          </w:p>
        </w:tc>
        <w:tc>
          <w:tcPr>
            <w:tcW w:w="1094" w:type="pct"/>
            <w:vMerge w:val="continue"/>
            <w:vAlign w:val="center"/>
          </w:tcPr>
          <w:p>
            <w:pPr>
              <w:snapToGrid/>
              <w:spacing w:line="240" w:lineRule="auto"/>
              <w:ind w:firstLine="0" w:firstLineChars="0"/>
              <w:jc w:val="center"/>
              <w:rPr>
                <w:rFonts w:ascii="仿宋" w:hAnsi="仿宋" w:eastAsia="仿宋"/>
                <w:bCs/>
                <w:color w:val="auto"/>
                <w:kern w:val="2"/>
                <w:sz w:val="24"/>
                <w:szCs w:val="24"/>
                <w:lang w:val="en-US"/>
              </w:rPr>
            </w:pPr>
          </w:p>
        </w:tc>
        <w:tc>
          <w:tcPr>
            <w:tcW w:w="1640" w:type="pct"/>
            <w:vAlign w:val="center"/>
          </w:tcPr>
          <w:p>
            <w:pPr>
              <w:snapToGrid/>
              <w:spacing w:line="240" w:lineRule="auto"/>
              <w:ind w:firstLine="0" w:firstLineChars="0"/>
              <w:jc w:val="center"/>
              <w:rPr>
                <w:rFonts w:ascii="仿宋" w:hAnsi="仿宋" w:eastAsia="仿宋"/>
                <w:bCs/>
                <w:color w:val="auto"/>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exact"/>
        </w:trPr>
        <w:tc>
          <w:tcPr>
            <w:tcW w:w="527" w:type="pct"/>
            <w:vAlign w:val="center"/>
          </w:tcPr>
          <w:p>
            <w:pPr>
              <w:snapToGrid/>
              <w:spacing w:line="240" w:lineRule="auto"/>
              <w:ind w:firstLine="0" w:firstLineChars="0"/>
              <w:jc w:val="center"/>
              <w:rPr>
                <w:rFonts w:ascii="仿宋" w:hAnsi="仿宋" w:eastAsia="仿宋"/>
                <w:b w:val="0"/>
                <w:bCs/>
                <w:color w:val="auto"/>
                <w:kern w:val="2"/>
                <w:sz w:val="24"/>
                <w:szCs w:val="24"/>
                <w:lang w:val="en-US"/>
              </w:rPr>
            </w:pPr>
            <w:r>
              <w:rPr>
                <w:rFonts w:ascii="仿宋" w:hAnsi="仿宋" w:eastAsia="仿宋"/>
                <w:b w:val="0"/>
                <w:bCs/>
                <w:color w:val="auto"/>
                <w:kern w:val="2"/>
                <w:sz w:val="24"/>
                <w:szCs w:val="24"/>
                <w:lang w:val="en-US"/>
              </w:rPr>
              <w:t>…</w:t>
            </w:r>
          </w:p>
        </w:tc>
        <w:tc>
          <w:tcPr>
            <w:tcW w:w="1739" w:type="pct"/>
            <w:vAlign w:val="center"/>
          </w:tcPr>
          <w:p>
            <w:pPr>
              <w:snapToGrid/>
              <w:spacing w:line="240" w:lineRule="auto"/>
              <w:ind w:firstLine="0" w:firstLineChars="0"/>
              <w:jc w:val="center"/>
              <w:rPr>
                <w:rFonts w:ascii="仿宋" w:hAnsi="仿宋" w:eastAsia="仿宋"/>
                <w:b w:val="0"/>
                <w:bCs/>
                <w:kern w:val="2"/>
                <w:sz w:val="24"/>
                <w:szCs w:val="24"/>
                <w:lang w:val="en-US"/>
              </w:rPr>
            </w:pPr>
          </w:p>
        </w:tc>
        <w:tc>
          <w:tcPr>
            <w:tcW w:w="1094" w:type="pct"/>
            <w:vMerge w:val="continue"/>
            <w:vAlign w:val="center"/>
          </w:tcPr>
          <w:p>
            <w:pPr>
              <w:snapToGrid/>
              <w:spacing w:line="240" w:lineRule="auto"/>
              <w:ind w:firstLine="0" w:firstLineChars="0"/>
              <w:jc w:val="center"/>
              <w:rPr>
                <w:rFonts w:ascii="仿宋" w:hAnsi="仿宋" w:eastAsia="仿宋"/>
                <w:bCs/>
                <w:color w:val="auto"/>
                <w:kern w:val="2"/>
                <w:sz w:val="24"/>
                <w:szCs w:val="24"/>
                <w:lang w:val="en-US"/>
              </w:rPr>
            </w:pPr>
          </w:p>
        </w:tc>
        <w:tc>
          <w:tcPr>
            <w:tcW w:w="1640" w:type="pct"/>
            <w:vAlign w:val="center"/>
          </w:tcPr>
          <w:p>
            <w:pPr>
              <w:snapToGrid/>
              <w:spacing w:line="240" w:lineRule="auto"/>
              <w:ind w:firstLine="0" w:firstLineChars="0"/>
              <w:jc w:val="center"/>
              <w:rPr>
                <w:rFonts w:ascii="仿宋" w:hAnsi="仿宋" w:eastAsia="仿宋"/>
                <w:bCs/>
                <w:color w:val="auto"/>
                <w:kern w:val="2"/>
                <w:sz w:val="24"/>
                <w:szCs w:val="24"/>
                <w:lang w:val="en-US"/>
              </w:rPr>
            </w:pPr>
          </w:p>
        </w:tc>
      </w:tr>
    </w:tbl>
    <w:p>
      <w:pPr>
        <w:rPr>
          <w:rFonts w:ascii="仿宋" w:hAnsi="仿宋" w:eastAsia="仿宋"/>
          <w:lang w:val="en-US"/>
        </w:rPr>
      </w:pPr>
    </w:p>
    <w:p>
      <w:pPr>
        <w:rPr>
          <w:rFonts w:ascii="仿宋" w:hAnsi="仿宋" w:eastAsia="仿宋"/>
          <w:lang w:val="en-US"/>
        </w:rPr>
      </w:pPr>
    </w:p>
    <w:p>
      <w:pPr>
        <w:snapToGrid/>
        <w:spacing w:line="520" w:lineRule="exact"/>
        <w:ind w:firstLine="480"/>
        <w:jc w:val="left"/>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投标人名称（公章）：</w:t>
      </w:r>
    </w:p>
    <w:p>
      <w:pPr>
        <w:snapToGrid/>
        <w:spacing w:line="520" w:lineRule="exact"/>
        <w:ind w:firstLine="480"/>
        <w:jc w:val="left"/>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法定代表人</w:t>
      </w:r>
      <w:r>
        <w:rPr>
          <w:rFonts w:hint="eastAsia" w:ascii="仿宋" w:hAnsi="仿宋" w:eastAsia="仿宋"/>
          <w:b w:val="0"/>
          <w:color w:val="auto"/>
          <w:kern w:val="2"/>
          <w:sz w:val="24"/>
          <w:szCs w:val="24"/>
          <w:lang w:val="en-US"/>
        </w:rPr>
        <w:t>（主要负责人）</w:t>
      </w:r>
      <w:r>
        <w:rPr>
          <w:rFonts w:ascii="仿宋" w:hAnsi="仿宋" w:eastAsia="仿宋"/>
          <w:b w:val="0"/>
          <w:color w:val="auto"/>
          <w:kern w:val="2"/>
          <w:sz w:val="24"/>
          <w:szCs w:val="24"/>
          <w:lang w:val="en-US"/>
        </w:rPr>
        <w:t>或代理人（签字或加盖印章）：</w:t>
      </w:r>
    </w:p>
    <w:p>
      <w:pPr>
        <w:snapToGrid/>
        <w:spacing w:line="520" w:lineRule="exact"/>
        <w:ind w:firstLine="480"/>
        <w:jc w:val="left"/>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 xml:space="preserve">日  期:   </w:t>
      </w:r>
    </w:p>
    <w:p>
      <w:pPr>
        <w:snapToGrid/>
        <w:spacing w:line="520" w:lineRule="exact"/>
        <w:ind w:firstLine="480"/>
        <w:jc w:val="left"/>
        <w:rPr>
          <w:rFonts w:ascii="仿宋" w:hAnsi="仿宋" w:eastAsia="仿宋"/>
          <w:b w:val="0"/>
          <w:color w:val="auto"/>
          <w:kern w:val="2"/>
          <w:sz w:val="24"/>
          <w:szCs w:val="24"/>
          <w:lang w:val="en-US"/>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keepNext/>
        <w:keepLines/>
        <w:numPr>
          <w:ilvl w:val="3"/>
          <w:numId w:val="17"/>
        </w:numPr>
        <w:tabs>
          <w:tab w:val="left" w:pos="360"/>
        </w:tabs>
        <w:spacing w:afterLines="50" w:line="520" w:lineRule="exact"/>
        <w:ind w:left="0" w:firstLine="0" w:firstLineChars="0"/>
        <w:outlineLvl w:val="3"/>
        <w:rPr>
          <w:rFonts w:ascii="仿宋" w:hAnsi="仿宋" w:eastAsia="仿宋"/>
          <w:bCs/>
          <w:color w:val="auto"/>
          <w:kern w:val="2"/>
          <w:sz w:val="24"/>
          <w:szCs w:val="24"/>
          <w:lang w:val="en-US"/>
        </w:rPr>
      </w:pPr>
      <w:bookmarkStart w:id="424" w:name="_Toc217446088"/>
      <w:bookmarkStart w:id="425" w:name="_Toc346010016"/>
      <w:r>
        <w:rPr>
          <w:rFonts w:ascii="仿宋" w:hAnsi="仿宋" w:eastAsia="仿宋"/>
          <w:bCs/>
          <w:color w:val="auto"/>
          <w:kern w:val="2"/>
          <w:sz w:val="24"/>
          <w:szCs w:val="24"/>
          <w:lang w:val="en-US"/>
        </w:rPr>
        <w:t xml:space="preserve"> </w:t>
      </w:r>
      <w:bookmarkStart w:id="426" w:name="_Toc494198607"/>
      <w:r>
        <w:rPr>
          <w:rFonts w:ascii="仿宋" w:hAnsi="仿宋" w:eastAsia="仿宋"/>
          <w:bCs/>
          <w:color w:val="auto"/>
          <w:kern w:val="2"/>
          <w:sz w:val="24"/>
          <w:szCs w:val="24"/>
          <w:lang w:val="en-US"/>
        </w:rPr>
        <w:t>投标人基本情况表</w:t>
      </w:r>
      <w:bookmarkEnd w:id="424"/>
      <w:bookmarkEnd w:id="425"/>
      <w:bookmarkEnd w:id="426"/>
    </w:p>
    <w:tbl>
      <w:tblPr>
        <w:tblStyle w:val="7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9"/>
        <w:gridCol w:w="1096"/>
        <w:gridCol w:w="1133"/>
        <w:gridCol w:w="1341"/>
        <w:gridCol w:w="1425"/>
        <w:gridCol w:w="598"/>
        <w:gridCol w:w="661"/>
        <w:gridCol w:w="1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17" w:type="pct"/>
            <w:vAlign w:val="center"/>
          </w:tcPr>
          <w:p>
            <w:pPr>
              <w:autoSpaceDE w:val="0"/>
              <w:autoSpaceDN w:val="0"/>
              <w:adjustRightInd w:val="0"/>
              <w:spacing w:line="400" w:lineRule="exact"/>
              <w:ind w:firstLine="0" w:firstLineChars="0"/>
              <w:jc w:val="center"/>
              <w:rPr>
                <w:rFonts w:ascii="仿宋" w:hAnsi="仿宋" w:eastAsia="仿宋"/>
                <w:b w:val="0"/>
                <w:bCs/>
                <w:color w:val="auto"/>
                <w:sz w:val="24"/>
              </w:rPr>
            </w:pPr>
            <w:r>
              <w:rPr>
                <w:rFonts w:ascii="仿宋" w:hAnsi="仿宋" w:eastAsia="仿宋"/>
                <w:b w:val="0"/>
                <w:bCs/>
                <w:color w:val="auto"/>
                <w:sz w:val="24"/>
              </w:rPr>
              <w:t>投标人名称</w:t>
            </w:r>
          </w:p>
        </w:tc>
        <w:tc>
          <w:tcPr>
            <w:tcW w:w="3983" w:type="pct"/>
            <w:gridSpan w:val="7"/>
            <w:vAlign w:val="center"/>
          </w:tcPr>
          <w:p>
            <w:pPr>
              <w:autoSpaceDE w:val="0"/>
              <w:autoSpaceDN w:val="0"/>
              <w:adjustRightInd w:val="0"/>
              <w:spacing w:line="400" w:lineRule="exact"/>
              <w:ind w:firstLine="480"/>
              <w:jc w:val="center"/>
              <w:rPr>
                <w:rFonts w:ascii="仿宋" w:hAnsi="仿宋" w:eastAsia="仿宋"/>
                <w:b w:val="0"/>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17" w:type="pct"/>
            <w:vAlign w:val="center"/>
          </w:tcPr>
          <w:p>
            <w:pPr>
              <w:autoSpaceDE w:val="0"/>
              <w:autoSpaceDN w:val="0"/>
              <w:adjustRightInd w:val="0"/>
              <w:spacing w:line="400" w:lineRule="exact"/>
              <w:ind w:firstLine="0" w:firstLineChars="0"/>
              <w:jc w:val="center"/>
              <w:rPr>
                <w:rFonts w:ascii="仿宋" w:hAnsi="仿宋" w:eastAsia="仿宋"/>
                <w:b w:val="0"/>
                <w:bCs/>
                <w:color w:val="auto"/>
                <w:sz w:val="24"/>
              </w:rPr>
            </w:pPr>
            <w:r>
              <w:rPr>
                <w:rFonts w:ascii="仿宋" w:hAnsi="仿宋" w:eastAsia="仿宋"/>
                <w:b w:val="0"/>
                <w:bCs/>
                <w:color w:val="auto"/>
                <w:sz w:val="24"/>
              </w:rPr>
              <w:t>注册地址</w:t>
            </w:r>
          </w:p>
        </w:tc>
        <w:tc>
          <w:tcPr>
            <w:tcW w:w="1922" w:type="pct"/>
            <w:gridSpan w:val="3"/>
            <w:vAlign w:val="center"/>
          </w:tcPr>
          <w:p>
            <w:pPr>
              <w:autoSpaceDE w:val="0"/>
              <w:autoSpaceDN w:val="0"/>
              <w:adjustRightInd w:val="0"/>
              <w:spacing w:line="400" w:lineRule="exact"/>
              <w:ind w:firstLine="480"/>
              <w:jc w:val="center"/>
              <w:rPr>
                <w:rFonts w:ascii="仿宋" w:hAnsi="仿宋" w:eastAsia="仿宋"/>
                <w:b w:val="0"/>
                <w:bCs/>
                <w:color w:val="auto"/>
                <w:sz w:val="24"/>
              </w:rPr>
            </w:pPr>
          </w:p>
        </w:tc>
        <w:tc>
          <w:tcPr>
            <w:tcW w:w="767" w:type="pct"/>
            <w:vAlign w:val="center"/>
          </w:tcPr>
          <w:p>
            <w:pPr>
              <w:autoSpaceDE w:val="0"/>
              <w:autoSpaceDN w:val="0"/>
              <w:adjustRightInd w:val="0"/>
              <w:spacing w:line="400" w:lineRule="exact"/>
              <w:ind w:firstLine="0" w:firstLineChars="0"/>
              <w:jc w:val="center"/>
              <w:rPr>
                <w:rFonts w:ascii="仿宋" w:hAnsi="仿宋" w:eastAsia="仿宋"/>
                <w:b w:val="0"/>
                <w:bCs/>
                <w:color w:val="auto"/>
                <w:sz w:val="24"/>
              </w:rPr>
            </w:pPr>
            <w:r>
              <w:rPr>
                <w:rFonts w:ascii="仿宋" w:hAnsi="仿宋" w:eastAsia="仿宋"/>
                <w:b w:val="0"/>
                <w:bCs/>
                <w:color w:val="auto"/>
                <w:sz w:val="24"/>
              </w:rPr>
              <w:t>邮政编码</w:t>
            </w:r>
          </w:p>
        </w:tc>
        <w:tc>
          <w:tcPr>
            <w:tcW w:w="1294" w:type="pct"/>
            <w:gridSpan w:val="3"/>
            <w:vAlign w:val="center"/>
          </w:tcPr>
          <w:p>
            <w:pPr>
              <w:autoSpaceDE w:val="0"/>
              <w:autoSpaceDN w:val="0"/>
              <w:adjustRightInd w:val="0"/>
              <w:spacing w:line="400" w:lineRule="exact"/>
              <w:ind w:firstLine="480"/>
              <w:jc w:val="center"/>
              <w:rPr>
                <w:rFonts w:ascii="仿宋" w:hAnsi="仿宋" w:eastAsia="仿宋"/>
                <w:b w:val="0"/>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17" w:type="pct"/>
            <w:vMerge w:val="restart"/>
            <w:vAlign w:val="center"/>
          </w:tcPr>
          <w:p>
            <w:pPr>
              <w:autoSpaceDE w:val="0"/>
              <w:autoSpaceDN w:val="0"/>
              <w:adjustRightInd w:val="0"/>
              <w:spacing w:line="400" w:lineRule="exact"/>
              <w:ind w:firstLine="0" w:firstLineChars="0"/>
              <w:jc w:val="center"/>
              <w:rPr>
                <w:rFonts w:ascii="仿宋" w:hAnsi="仿宋" w:eastAsia="仿宋"/>
                <w:b w:val="0"/>
                <w:bCs/>
                <w:color w:val="auto"/>
                <w:sz w:val="24"/>
              </w:rPr>
            </w:pPr>
            <w:r>
              <w:rPr>
                <w:rFonts w:ascii="仿宋" w:hAnsi="仿宋" w:eastAsia="仿宋"/>
                <w:b w:val="0"/>
                <w:bCs/>
                <w:color w:val="auto"/>
                <w:sz w:val="24"/>
              </w:rPr>
              <w:t>联系方式</w:t>
            </w:r>
          </w:p>
        </w:tc>
        <w:tc>
          <w:tcPr>
            <w:tcW w:w="590" w:type="pct"/>
            <w:vAlign w:val="center"/>
          </w:tcPr>
          <w:p>
            <w:pPr>
              <w:autoSpaceDE w:val="0"/>
              <w:autoSpaceDN w:val="0"/>
              <w:adjustRightInd w:val="0"/>
              <w:spacing w:line="400" w:lineRule="exact"/>
              <w:ind w:firstLine="0" w:firstLineChars="0"/>
              <w:jc w:val="center"/>
              <w:rPr>
                <w:rFonts w:ascii="仿宋" w:hAnsi="仿宋" w:eastAsia="仿宋"/>
                <w:b w:val="0"/>
                <w:bCs/>
                <w:color w:val="auto"/>
                <w:sz w:val="24"/>
              </w:rPr>
            </w:pPr>
            <w:r>
              <w:rPr>
                <w:rFonts w:ascii="仿宋" w:hAnsi="仿宋" w:eastAsia="仿宋"/>
                <w:b w:val="0"/>
                <w:bCs/>
                <w:color w:val="auto"/>
                <w:sz w:val="24"/>
              </w:rPr>
              <w:t>联系人</w:t>
            </w:r>
          </w:p>
        </w:tc>
        <w:tc>
          <w:tcPr>
            <w:tcW w:w="1332" w:type="pct"/>
            <w:gridSpan w:val="2"/>
            <w:vAlign w:val="center"/>
          </w:tcPr>
          <w:p>
            <w:pPr>
              <w:autoSpaceDE w:val="0"/>
              <w:autoSpaceDN w:val="0"/>
              <w:adjustRightInd w:val="0"/>
              <w:spacing w:line="400" w:lineRule="exact"/>
              <w:ind w:firstLine="480"/>
              <w:jc w:val="center"/>
              <w:rPr>
                <w:rFonts w:ascii="仿宋" w:hAnsi="仿宋" w:eastAsia="仿宋"/>
                <w:b w:val="0"/>
                <w:bCs/>
                <w:color w:val="auto"/>
                <w:sz w:val="24"/>
              </w:rPr>
            </w:pPr>
          </w:p>
        </w:tc>
        <w:tc>
          <w:tcPr>
            <w:tcW w:w="767" w:type="pct"/>
            <w:vAlign w:val="center"/>
          </w:tcPr>
          <w:p>
            <w:pPr>
              <w:autoSpaceDE w:val="0"/>
              <w:autoSpaceDN w:val="0"/>
              <w:adjustRightInd w:val="0"/>
              <w:spacing w:line="400" w:lineRule="exact"/>
              <w:ind w:firstLine="0" w:firstLineChars="0"/>
              <w:jc w:val="center"/>
              <w:rPr>
                <w:rFonts w:ascii="仿宋" w:hAnsi="仿宋" w:eastAsia="仿宋"/>
                <w:b w:val="0"/>
                <w:bCs/>
                <w:color w:val="auto"/>
                <w:sz w:val="24"/>
              </w:rPr>
            </w:pPr>
            <w:r>
              <w:rPr>
                <w:rFonts w:ascii="仿宋" w:hAnsi="仿宋" w:eastAsia="仿宋"/>
                <w:b w:val="0"/>
                <w:bCs/>
                <w:color w:val="auto"/>
                <w:sz w:val="24"/>
              </w:rPr>
              <w:t>电话</w:t>
            </w:r>
          </w:p>
        </w:tc>
        <w:tc>
          <w:tcPr>
            <w:tcW w:w="1294" w:type="pct"/>
            <w:gridSpan w:val="3"/>
            <w:vAlign w:val="center"/>
          </w:tcPr>
          <w:p>
            <w:pPr>
              <w:autoSpaceDE w:val="0"/>
              <w:autoSpaceDN w:val="0"/>
              <w:adjustRightInd w:val="0"/>
              <w:spacing w:line="400" w:lineRule="exact"/>
              <w:ind w:firstLine="480"/>
              <w:jc w:val="center"/>
              <w:rPr>
                <w:rFonts w:ascii="仿宋" w:hAnsi="仿宋" w:eastAsia="仿宋"/>
                <w:b w:val="0"/>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17" w:type="pct"/>
            <w:vMerge w:val="continue"/>
            <w:vAlign w:val="center"/>
          </w:tcPr>
          <w:p>
            <w:pPr>
              <w:autoSpaceDE w:val="0"/>
              <w:autoSpaceDN w:val="0"/>
              <w:adjustRightInd w:val="0"/>
              <w:spacing w:line="400" w:lineRule="exact"/>
              <w:ind w:firstLine="480"/>
              <w:jc w:val="center"/>
              <w:rPr>
                <w:rFonts w:ascii="仿宋" w:hAnsi="仿宋" w:eastAsia="仿宋"/>
                <w:b w:val="0"/>
                <w:bCs/>
                <w:color w:val="auto"/>
                <w:sz w:val="24"/>
              </w:rPr>
            </w:pPr>
          </w:p>
        </w:tc>
        <w:tc>
          <w:tcPr>
            <w:tcW w:w="590" w:type="pct"/>
            <w:vAlign w:val="center"/>
          </w:tcPr>
          <w:p>
            <w:pPr>
              <w:autoSpaceDE w:val="0"/>
              <w:autoSpaceDN w:val="0"/>
              <w:adjustRightInd w:val="0"/>
              <w:spacing w:line="400" w:lineRule="exact"/>
              <w:ind w:firstLine="0" w:firstLineChars="0"/>
              <w:jc w:val="center"/>
              <w:rPr>
                <w:rFonts w:ascii="仿宋" w:hAnsi="仿宋" w:eastAsia="仿宋"/>
                <w:b w:val="0"/>
                <w:bCs/>
                <w:color w:val="auto"/>
                <w:sz w:val="24"/>
              </w:rPr>
            </w:pPr>
            <w:r>
              <w:rPr>
                <w:rFonts w:ascii="仿宋" w:hAnsi="仿宋" w:eastAsia="仿宋"/>
                <w:b w:val="0"/>
                <w:bCs/>
                <w:color w:val="auto"/>
                <w:sz w:val="24"/>
              </w:rPr>
              <w:t>传真</w:t>
            </w:r>
          </w:p>
        </w:tc>
        <w:tc>
          <w:tcPr>
            <w:tcW w:w="1332" w:type="pct"/>
            <w:gridSpan w:val="2"/>
            <w:vAlign w:val="center"/>
          </w:tcPr>
          <w:p>
            <w:pPr>
              <w:autoSpaceDE w:val="0"/>
              <w:autoSpaceDN w:val="0"/>
              <w:adjustRightInd w:val="0"/>
              <w:spacing w:line="400" w:lineRule="exact"/>
              <w:ind w:firstLine="480"/>
              <w:jc w:val="center"/>
              <w:rPr>
                <w:rFonts w:ascii="仿宋" w:hAnsi="仿宋" w:eastAsia="仿宋"/>
                <w:b w:val="0"/>
                <w:bCs/>
                <w:color w:val="auto"/>
                <w:sz w:val="24"/>
              </w:rPr>
            </w:pPr>
          </w:p>
        </w:tc>
        <w:tc>
          <w:tcPr>
            <w:tcW w:w="767" w:type="pct"/>
            <w:vAlign w:val="center"/>
          </w:tcPr>
          <w:p>
            <w:pPr>
              <w:autoSpaceDE w:val="0"/>
              <w:autoSpaceDN w:val="0"/>
              <w:adjustRightInd w:val="0"/>
              <w:spacing w:line="400" w:lineRule="exact"/>
              <w:ind w:firstLine="0" w:firstLineChars="0"/>
              <w:jc w:val="center"/>
              <w:rPr>
                <w:rFonts w:ascii="仿宋" w:hAnsi="仿宋" w:eastAsia="仿宋"/>
                <w:b w:val="0"/>
                <w:bCs/>
                <w:color w:val="auto"/>
                <w:sz w:val="24"/>
              </w:rPr>
            </w:pPr>
            <w:r>
              <w:rPr>
                <w:rFonts w:ascii="仿宋" w:hAnsi="仿宋" w:eastAsia="仿宋"/>
                <w:b w:val="0"/>
                <w:bCs/>
                <w:color w:val="auto"/>
                <w:sz w:val="24"/>
              </w:rPr>
              <w:t>网址</w:t>
            </w:r>
          </w:p>
        </w:tc>
        <w:tc>
          <w:tcPr>
            <w:tcW w:w="1294" w:type="pct"/>
            <w:gridSpan w:val="3"/>
            <w:vAlign w:val="center"/>
          </w:tcPr>
          <w:p>
            <w:pPr>
              <w:autoSpaceDE w:val="0"/>
              <w:autoSpaceDN w:val="0"/>
              <w:adjustRightInd w:val="0"/>
              <w:spacing w:line="400" w:lineRule="exact"/>
              <w:ind w:firstLine="480"/>
              <w:jc w:val="center"/>
              <w:rPr>
                <w:rFonts w:ascii="仿宋" w:hAnsi="仿宋" w:eastAsia="仿宋"/>
                <w:b w:val="0"/>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17" w:type="pct"/>
            <w:vAlign w:val="center"/>
          </w:tcPr>
          <w:p>
            <w:pPr>
              <w:autoSpaceDE w:val="0"/>
              <w:autoSpaceDN w:val="0"/>
              <w:adjustRightInd w:val="0"/>
              <w:spacing w:line="400" w:lineRule="exact"/>
              <w:ind w:firstLine="0" w:firstLineChars="0"/>
              <w:jc w:val="center"/>
              <w:rPr>
                <w:rFonts w:hint="eastAsia" w:ascii="仿宋" w:hAnsi="仿宋" w:eastAsia="仿宋"/>
                <w:b w:val="0"/>
                <w:bCs/>
                <w:color w:val="auto"/>
                <w:sz w:val="24"/>
              </w:rPr>
            </w:pPr>
            <w:r>
              <w:rPr>
                <w:rFonts w:ascii="仿宋" w:hAnsi="仿宋" w:eastAsia="仿宋"/>
                <w:b w:val="0"/>
                <w:bCs/>
                <w:color w:val="auto"/>
                <w:sz w:val="24"/>
              </w:rPr>
              <w:t>法定代表人</w:t>
            </w:r>
          </w:p>
          <w:p>
            <w:pPr>
              <w:autoSpaceDE w:val="0"/>
              <w:autoSpaceDN w:val="0"/>
              <w:adjustRightInd w:val="0"/>
              <w:spacing w:line="400" w:lineRule="exact"/>
              <w:ind w:firstLine="0" w:firstLineChars="0"/>
              <w:jc w:val="center"/>
              <w:rPr>
                <w:rFonts w:ascii="仿宋" w:hAnsi="仿宋" w:eastAsia="仿宋"/>
                <w:b w:val="0"/>
                <w:bCs/>
                <w:color w:val="auto"/>
                <w:sz w:val="24"/>
              </w:rPr>
            </w:pPr>
            <w:r>
              <w:rPr>
                <w:rFonts w:hint="eastAsia" w:ascii="仿宋" w:hAnsi="仿宋" w:eastAsia="仿宋"/>
                <w:b w:val="0"/>
                <w:color w:val="auto"/>
                <w:kern w:val="2"/>
                <w:sz w:val="24"/>
                <w:szCs w:val="24"/>
                <w:lang w:val="en-US"/>
              </w:rPr>
              <w:t>（主要负责人）</w:t>
            </w:r>
          </w:p>
        </w:tc>
        <w:tc>
          <w:tcPr>
            <w:tcW w:w="590" w:type="pct"/>
            <w:vAlign w:val="center"/>
          </w:tcPr>
          <w:p>
            <w:pPr>
              <w:autoSpaceDE w:val="0"/>
              <w:autoSpaceDN w:val="0"/>
              <w:adjustRightInd w:val="0"/>
              <w:spacing w:line="400" w:lineRule="exact"/>
              <w:ind w:firstLine="0" w:firstLineChars="0"/>
              <w:jc w:val="center"/>
              <w:rPr>
                <w:rFonts w:ascii="仿宋" w:hAnsi="仿宋" w:eastAsia="仿宋"/>
                <w:b w:val="0"/>
                <w:bCs/>
                <w:color w:val="auto"/>
                <w:sz w:val="24"/>
              </w:rPr>
            </w:pPr>
            <w:r>
              <w:rPr>
                <w:rFonts w:ascii="仿宋" w:hAnsi="仿宋" w:eastAsia="仿宋"/>
                <w:b w:val="0"/>
                <w:bCs/>
                <w:color w:val="auto"/>
                <w:sz w:val="24"/>
              </w:rPr>
              <w:t>姓名</w:t>
            </w:r>
          </w:p>
        </w:tc>
        <w:tc>
          <w:tcPr>
            <w:tcW w:w="610" w:type="pct"/>
            <w:vAlign w:val="center"/>
          </w:tcPr>
          <w:p>
            <w:pPr>
              <w:autoSpaceDE w:val="0"/>
              <w:autoSpaceDN w:val="0"/>
              <w:adjustRightInd w:val="0"/>
              <w:spacing w:line="400" w:lineRule="exact"/>
              <w:ind w:firstLine="480"/>
              <w:jc w:val="center"/>
              <w:rPr>
                <w:rFonts w:ascii="仿宋" w:hAnsi="仿宋" w:eastAsia="仿宋"/>
                <w:b w:val="0"/>
                <w:bCs/>
                <w:color w:val="auto"/>
                <w:sz w:val="24"/>
              </w:rPr>
            </w:pPr>
          </w:p>
        </w:tc>
        <w:tc>
          <w:tcPr>
            <w:tcW w:w="722" w:type="pct"/>
            <w:vAlign w:val="center"/>
          </w:tcPr>
          <w:p>
            <w:pPr>
              <w:autoSpaceDE w:val="0"/>
              <w:autoSpaceDN w:val="0"/>
              <w:adjustRightInd w:val="0"/>
              <w:spacing w:line="400" w:lineRule="exact"/>
              <w:ind w:firstLine="0" w:firstLineChars="0"/>
              <w:jc w:val="center"/>
              <w:rPr>
                <w:rFonts w:ascii="仿宋" w:hAnsi="仿宋" w:eastAsia="仿宋"/>
                <w:b w:val="0"/>
                <w:bCs/>
                <w:color w:val="auto"/>
                <w:sz w:val="24"/>
              </w:rPr>
            </w:pPr>
            <w:r>
              <w:rPr>
                <w:rFonts w:ascii="仿宋" w:hAnsi="仿宋" w:eastAsia="仿宋"/>
                <w:b w:val="0"/>
                <w:bCs/>
                <w:color w:val="auto"/>
                <w:sz w:val="24"/>
              </w:rPr>
              <w:t>技术职称</w:t>
            </w:r>
          </w:p>
        </w:tc>
        <w:tc>
          <w:tcPr>
            <w:tcW w:w="767" w:type="pct"/>
            <w:vAlign w:val="center"/>
          </w:tcPr>
          <w:p>
            <w:pPr>
              <w:autoSpaceDE w:val="0"/>
              <w:autoSpaceDN w:val="0"/>
              <w:adjustRightInd w:val="0"/>
              <w:spacing w:line="400" w:lineRule="exact"/>
              <w:ind w:firstLine="480"/>
              <w:jc w:val="center"/>
              <w:rPr>
                <w:rFonts w:ascii="仿宋" w:hAnsi="仿宋" w:eastAsia="仿宋"/>
                <w:b w:val="0"/>
                <w:bCs/>
                <w:color w:val="auto"/>
                <w:sz w:val="24"/>
              </w:rPr>
            </w:pPr>
          </w:p>
        </w:tc>
        <w:tc>
          <w:tcPr>
            <w:tcW w:w="678" w:type="pct"/>
            <w:gridSpan w:val="2"/>
            <w:vAlign w:val="center"/>
          </w:tcPr>
          <w:p>
            <w:pPr>
              <w:autoSpaceDE w:val="0"/>
              <w:autoSpaceDN w:val="0"/>
              <w:adjustRightInd w:val="0"/>
              <w:spacing w:line="400" w:lineRule="exact"/>
              <w:ind w:firstLine="0" w:firstLineChars="0"/>
              <w:jc w:val="center"/>
              <w:rPr>
                <w:rFonts w:ascii="仿宋" w:hAnsi="仿宋" w:eastAsia="仿宋"/>
                <w:b w:val="0"/>
                <w:bCs/>
                <w:color w:val="auto"/>
                <w:sz w:val="24"/>
              </w:rPr>
            </w:pPr>
            <w:r>
              <w:rPr>
                <w:rFonts w:ascii="仿宋" w:hAnsi="仿宋" w:eastAsia="仿宋"/>
                <w:b w:val="0"/>
                <w:bCs/>
                <w:color w:val="auto"/>
                <w:sz w:val="24"/>
              </w:rPr>
              <w:t>电话</w:t>
            </w:r>
          </w:p>
        </w:tc>
        <w:tc>
          <w:tcPr>
            <w:tcW w:w="616" w:type="pct"/>
            <w:vAlign w:val="center"/>
          </w:tcPr>
          <w:p>
            <w:pPr>
              <w:autoSpaceDE w:val="0"/>
              <w:autoSpaceDN w:val="0"/>
              <w:adjustRightInd w:val="0"/>
              <w:spacing w:line="400" w:lineRule="exact"/>
              <w:ind w:firstLine="480"/>
              <w:jc w:val="center"/>
              <w:rPr>
                <w:rFonts w:ascii="仿宋" w:hAnsi="仿宋" w:eastAsia="仿宋"/>
                <w:b w:val="0"/>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17" w:type="pct"/>
            <w:vAlign w:val="center"/>
          </w:tcPr>
          <w:p>
            <w:pPr>
              <w:autoSpaceDE w:val="0"/>
              <w:autoSpaceDN w:val="0"/>
              <w:adjustRightInd w:val="0"/>
              <w:spacing w:line="400" w:lineRule="exact"/>
              <w:ind w:firstLine="0" w:firstLineChars="0"/>
              <w:jc w:val="center"/>
              <w:rPr>
                <w:rFonts w:ascii="仿宋" w:hAnsi="仿宋" w:eastAsia="仿宋"/>
                <w:b w:val="0"/>
                <w:bCs/>
                <w:color w:val="auto"/>
                <w:sz w:val="24"/>
              </w:rPr>
            </w:pPr>
            <w:r>
              <w:rPr>
                <w:rFonts w:ascii="仿宋" w:hAnsi="仿宋" w:eastAsia="仿宋"/>
                <w:b w:val="0"/>
                <w:bCs/>
                <w:color w:val="auto"/>
                <w:sz w:val="24"/>
              </w:rPr>
              <w:t>技术负责人</w:t>
            </w:r>
          </w:p>
        </w:tc>
        <w:tc>
          <w:tcPr>
            <w:tcW w:w="590" w:type="pct"/>
            <w:vAlign w:val="center"/>
          </w:tcPr>
          <w:p>
            <w:pPr>
              <w:autoSpaceDE w:val="0"/>
              <w:autoSpaceDN w:val="0"/>
              <w:adjustRightInd w:val="0"/>
              <w:spacing w:line="400" w:lineRule="exact"/>
              <w:ind w:firstLine="0" w:firstLineChars="0"/>
              <w:jc w:val="center"/>
              <w:rPr>
                <w:rFonts w:ascii="仿宋" w:hAnsi="仿宋" w:eastAsia="仿宋"/>
                <w:b w:val="0"/>
                <w:bCs/>
                <w:color w:val="auto"/>
                <w:sz w:val="24"/>
              </w:rPr>
            </w:pPr>
            <w:r>
              <w:rPr>
                <w:rFonts w:ascii="仿宋" w:hAnsi="仿宋" w:eastAsia="仿宋"/>
                <w:b w:val="0"/>
                <w:bCs/>
                <w:color w:val="auto"/>
                <w:sz w:val="24"/>
              </w:rPr>
              <w:t>姓名</w:t>
            </w:r>
          </w:p>
        </w:tc>
        <w:tc>
          <w:tcPr>
            <w:tcW w:w="610" w:type="pct"/>
            <w:vAlign w:val="center"/>
          </w:tcPr>
          <w:p>
            <w:pPr>
              <w:autoSpaceDE w:val="0"/>
              <w:autoSpaceDN w:val="0"/>
              <w:adjustRightInd w:val="0"/>
              <w:spacing w:line="400" w:lineRule="exact"/>
              <w:ind w:firstLine="480"/>
              <w:jc w:val="center"/>
              <w:rPr>
                <w:rFonts w:ascii="仿宋" w:hAnsi="仿宋" w:eastAsia="仿宋"/>
                <w:b w:val="0"/>
                <w:bCs/>
                <w:color w:val="auto"/>
                <w:sz w:val="24"/>
              </w:rPr>
            </w:pPr>
          </w:p>
        </w:tc>
        <w:tc>
          <w:tcPr>
            <w:tcW w:w="722" w:type="pct"/>
            <w:vAlign w:val="center"/>
          </w:tcPr>
          <w:p>
            <w:pPr>
              <w:autoSpaceDE w:val="0"/>
              <w:autoSpaceDN w:val="0"/>
              <w:adjustRightInd w:val="0"/>
              <w:spacing w:line="400" w:lineRule="exact"/>
              <w:ind w:firstLine="0" w:firstLineChars="0"/>
              <w:jc w:val="center"/>
              <w:rPr>
                <w:rFonts w:ascii="仿宋" w:hAnsi="仿宋" w:eastAsia="仿宋"/>
                <w:b w:val="0"/>
                <w:bCs/>
                <w:color w:val="auto"/>
                <w:sz w:val="24"/>
              </w:rPr>
            </w:pPr>
            <w:r>
              <w:rPr>
                <w:rFonts w:ascii="仿宋" w:hAnsi="仿宋" w:eastAsia="仿宋"/>
                <w:b w:val="0"/>
                <w:bCs/>
                <w:color w:val="auto"/>
                <w:sz w:val="24"/>
              </w:rPr>
              <w:t>技术职称</w:t>
            </w:r>
          </w:p>
        </w:tc>
        <w:tc>
          <w:tcPr>
            <w:tcW w:w="767" w:type="pct"/>
            <w:vAlign w:val="center"/>
          </w:tcPr>
          <w:p>
            <w:pPr>
              <w:autoSpaceDE w:val="0"/>
              <w:autoSpaceDN w:val="0"/>
              <w:adjustRightInd w:val="0"/>
              <w:spacing w:line="400" w:lineRule="exact"/>
              <w:ind w:firstLine="480"/>
              <w:jc w:val="center"/>
              <w:rPr>
                <w:rFonts w:ascii="仿宋" w:hAnsi="仿宋" w:eastAsia="仿宋"/>
                <w:b w:val="0"/>
                <w:bCs/>
                <w:color w:val="auto"/>
                <w:sz w:val="24"/>
              </w:rPr>
            </w:pPr>
          </w:p>
        </w:tc>
        <w:tc>
          <w:tcPr>
            <w:tcW w:w="678" w:type="pct"/>
            <w:gridSpan w:val="2"/>
            <w:vAlign w:val="center"/>
          </w:tcPr>
          <w:p>
            <w:pPr>
              <w:autoSpaceDE w:val="0"/>
              <w:autoSpaceDN w:val="0"/>
              <w:adjustRightInd w:val="0"/>
              <w:spacing w:line="400" w:lineRule="exact"/>
              <w:ind w:firstLine="0" w:firstLineChars="0"/>
              <w:jc w:val="center"/>
              <w:rPr>
                <w:rFonts w:ascii="仿宋" w:hAnsi="仿宋" w:eastAsia="仿宋"/>
                <w:b w:val="0"/>
                <w:bCs/>
                <w:color w:val="auto"/>
                <w:sz w:val="24"/>
              </w:rPr>
            </w:pPr>
            <w:r>
              <w:rPr>
                <w:rFonts w:ascii="仿宋" w:hAnsi="仿宋" w:eastAsia="仿宋"/>
                <w:b w:val="0"/>
                <w:bCs/>
                <w:color w:val="auto"/>
                <w:sz w:val="24"/>
              </w:rPr>
              <w:t>电话</w:t>
            </w:r>
          </w:p>
        </w:tc>
        <w:tc>
          <w:tcPr>
            <w:tcW w:w="616" w:type="pct"/>
            <w:vAlign w:val="center"/>
          </w:tcPr>
          <w:p>
            <w:pPr>
              <w:autoSpaceDE w:val="0"/>
              <w:autoSpaceDN w:val="0"/>
              <w:adjustRightInd w:val="0"/>
              <w:spacing w:line="400" w:lineRule="exact"/>
              <w:ind w:firstLine="480"/>
              <w:jc w:val="center"/>
              <w:rPr>
                <w:rFonts w:ascii="仿宋" w:hAnsi="仿宋" w:eastAsia="仿宋"/>
                <w:b w:val="0"/>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17" w:type="pct"/>
            <w:vAlign w:val="center"/>
          </w:tcPr>
          <w:p>
            <w:pPr>
              <w:autoSpaceDE w:val="0"/>
              <w:autoSpaceDN w:val="0"/>
              <w:adjustRightInd w:val="0"/>
              <w:spacing w:line="400" w:lineRule="exact"/>
              <w:ind w:firstLine="0" w:firstLineChars="0"/>
              <w:jc w:val="center"/>
              <w:rPr>
                <w:rFonts w:ascii="仿宋" w:hAnsi="仿宋" w:eastAsia="仿宋"/>
                <w:b w:val="0"/>
                <w:bCs/>
                <w:color w:val="auto"/>
                <w:sz w:val="24"/>
              </w:rPr>
            </w:pPr>
            <w:r>
              <w:rPr>
                <w:rFonts w:ascii="仿宋" w:hAnsi="仿宋" w:eastAsia="仿宋"/>
                <w:b w:val="0"/>
                <w:bCs/>
                <w:color w:val="auto"/>
                <w:sz w:val="24"/>
              </w:rPr>
              <w:t>成立时间</w:t>
            </w:r>
          </w:p>
        </w:tc>
        <w:tc>
          <w:tcPr>
            <w:tcW w:w="1200" w:type="pct"/>
            <w:gridSpan w:val="2"/>
            <w:vAlign w:val="center"/>
          </w:tcPr>
          <w:p>
            <w:pPr>
              <w:autoSpaceDE w:val="0"/>
              <w:autoSpaceDN w:val="0"/>
              <w:adjustRightInd w:val="0"/>
              <w:spacing w:line="400" w:lineRule="exact"/>
              <w:ind w:firstLine="480"/>
              <w:jc w:val="center"/>
              <w:rPr>
                <w:rFonts w:ascii="仿宋" w:hAnsi="仿宋" w:eastAsia="仿宋"/>
                <w:b w:val="0"/>
                <w:bCs/>
                <w:color w:val="auto"/>
                <w:sz w:val="24"/>
              </w:rPr>
            </w:pPr>
          </w:p>
        </w:tc>
        <w:tc>
          <w:tcPr>
            <w:tcW w:w="2783" w:type="pct"/>
            <w:gridSpan w:val="5"/>
            <w:vAlign w:val="center"/>
          </w:tcPr>
          <w:p>
            <w:pPr>
              <w:autoSpaceDE w:val="0"/>
              <w:autoSpaceDN w:val="0"/>
              <w:adjustRightInd w:val="0"/>
              <w:spacing w:line="400" w:lineRule="exact"/>
              <w:ind w:firstLine="0" w:firstLineChars="0"/>
              <w:jc w:val="center"/>
              <w:rPr>
                <w:rFonts w:ascii="仿宋" w:hAnsi="仿宋" w:eastAsia="仿宋"/>
                <w:b w:val="0"/>
                <w:bCs/>
                <w:color w:val="auto"/>
                <w:sz w:val="24"/>
              </w:rPr>
            </w:pPr>
            <w:r>
              <w:rPr>
                <w:rFonts w:ascii="仿宋" w:hAnsi="仿宋" w:eastAsia="仿宋"/>
                <w:b w:val="0"/>
                <w:bCs/>
                <w:color w:val="auto"/>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17" w:type="pct"/>
            <w:vAlign w:val="center"/>
          </w:tcPr>
          <w:p>
            <w:pPr>
              <w:autoSpaceDE w:val="0"/>
              <w:autoSpaceDN w:val="0"/>
              <w:adjustRightInd w:val="0"/>
              <w:spacing w:line="400" w:lineRule="exact"/>
              <w:ind w:firstLine="0" w:firstLineChars="0"/>
              <w:jc w:val="center"/>
              <w:rPr>
                <w:rFonts w:ascii="仿宋" w:hAnsi="仿宋" w:eastAsia="仿宋"/>
                <w:b w:val="0"/>
                <w:bCs/>
                <w:color w:val="auto"/>
                <w:sz w:val="24"/>
              </w:rPr>
            </w:pPr>
            <w:r>
              <w:rPr>
                <w:rFonts w:ascii="仿宋" w:hAnsi="仿宋" w:eastAsia="仿宋"/>
                <w:b w:val="0"/>
                <w:bCs/>
                <w:color w:val="auto"/>
                <w:sz w:val="24"/>
              </w:rPr>
              <w:t>企业资质等级</w:t>
            </w:r>
          </w:p>
        </w:tc>
        <w:tc>
          <w:tcPr>
            <w:tcW w:w="1200" w:type="pct"/>
            <w:gridSpan w:val="2"/>
            <w:vAlign w:val="center"/>
          </w:tcPr>
          <w:p>
            <w:pPr>
              <w:autoSpaceDE w:val="0"/>
              <w:autoSpaceDN w:val="0"/>
              <w:adjustRightInd w:val="0"/>
              <w:spacing w:line="400" w:lineRule="exact"/>
              <w:ind w:firstLine="480"/>
              <w:jc w:val="center"/>
              <w:rPr>
                <w:rFonts w:ascii="仿宋" w:hAnsi="仿宋" w:eastAsia="仿宋"/>
                <w:b w:val="0"/>
                <w:bCs/>
                <w:color w:val="auto"/>
                <w:sz w:val="24"/>
              </w:rPr>
            </w:pPr>
          </w:p>
        </w:tc>
        <w:tc>
          <w:tcPr>
            <w:tcW w:w="722" w:type="pct"/>
            <w:vMerge w:val="restart"/>
            <w:vAlign w:val="center"/>
          </w:tcPr>
          <w:p>
            <w:pPr>
              <w:autoSpaceDE w:val="0"/>
              <w:autoSpaceDN w:val="0"/>
              <w:adjustRightInd w:val="0"/>
              <w:spacing w:line="400" w:lineRule="exact"/>
              <w:ind w:firstLine="0" w:firstLineChars="0"/>
              <w:jc w:val="center"/>
              <w:rPr>
                <w:rFonts w:ascii="仿宋" w:hAnsi="仿宋" w:eastAsia="仿宋"/>
                <w:b w:val="0"/>
                <w:bCs/>
                <w:color w:val="auto"/>
                <w:sz w:val="24"/>
              </w:rPr>
            </w:pPr>
            <w:r>
              <w:rPr>
                <w:rFonts w:ascii="仿宋" w:hAnsi="仿宋" w:eastAsia="仿宋"/>
                <w:b w:val="0"/>
                <w:bCs/>
                <w:color w:val="auto"/>
                <w:sz w:val="24"/>
              </w:rPr>
              <w:t>其 中</w:t>
            </w:r>
          </w:p>
        </w:tc>
        <w:tc>
          <w:tcPr>
            <w:tcW w:w="1089" w:type="pct"/>
            <w:gridSpan w:val="2"/>
            <w:vAlign w:val="center"/>
          </w:tcPr>
          <w:p>
            <w:pPr>
              <w:autoSpaceDE w:val="0"/>
              <w:autoSpaceDN w:val="0"/>
              <w:adjustRightInd w:val="0"/>
              <w:spacing w:line="400" w:lineRule="exact"/>
              <w:ind w:firstLine="0" w:firstLineChars="0"/>
              <w:jc w:val="center"/>
              <w:rPr>
                <w:rFonts w:ascii="仿宋" w:hAnsi="仿宋" w:eastAsia="仿宋"/>
                <w:b w:val="0"/>
                <w:bCs/>
                <w:color w:val="auto"/>
                <w:sz w:val="24"/>
              </w:rPr>
            </w:pPr>
            <w:r>
              <w:rPr>
                <w:rFonts w:ascii="仿宋" w:hAnsi="仿宋" w:eastAsia="仿宋"/>
                <w:b w:val="0"/>
                <w:bCs/>
                <w:color w:val="auto"/>
                <w:sz w:val="24"/>
              </w:rPr>
              <w:t>项目经理</w:t>
            </w:r>
          </w:p>
        </w:tc>
        <w:tc>
          <w:tcPr>
            <w:tcW w:w="972" w:type="pct"/>
            <w:gridSpan w:val="2"/>
            <w:vAlign w:val="center"/>
          </w:tcPr>
          <w:p>
            <w:pPr>
              <w:autoSpaceDE w:val="0"/>
              <w:autoSpaceDN w:val="0"/>
              <w:adjustRightInd w:val="0"/>
              <w:spacing w:line="400" w:lineRule="exact"/>
              <w:ind w:firstLine="480"/>
              <w:jc w:val="center"/>
              <w:rPr>
                <w:rFonts w:ascii="仿宋" w:hAnsi="仿宋" w:eastAsia="仿宋"/>
                <w:b w:val="0"/>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17" w:type="pct"/>
            <w:vAlign w:val="center"/>
          </w:tcPr>
          <w:p>
            <w:pPr>
              <w:autoSpaceDE w:val="0"/>
              <w:autoSpaceDN w:val="0"/>
              <w:adjustRightInd w:val="0"/>
              <w:spacing w:line="400" w:lineRule="exact"/>
              <w:ind w:firstLine="0" w:firstLineChars="0"/>
              <w:jc w:val="center"/>
              <w:rPr>
                <w:rFonts w:ascii="仿宋" w:hAnsi="仿宋" w:eastAsia="仿宋"/>
                <w:b w:val="0"/>
                <w:bCs/>
                <w:color w:val="auto"/>
                <w:sz w:val="24"/>
              </w:rPr>
            </w:pPr>
            <w:r>
              <w:rPr>
                <w:rFonts w:ascii="仿宋" w:hAnsi="仿宋" w:eastAsia="仿宋"/>
                <w:b w:val="0"/>
                <w:bCs/>
                <w:color w:val="auto"/>
                <w:sz w:val="24"/>
              </w:rPr>
              <w:t>营业执照（法人证书）号</w:t>
            </w:r>
          </w:p>
        </w:tc>
        <w:tc>
          <w:tcPr>
            <w:tcW w:w="1200" w:type="pct"/>
            <w:gridSpan w:val="2"/>
            <w:vAlign w:val="center"/>
          </w:tcPr>
          <w:p>
            <w:pPr>
              <w:autoSpaceDE w:val="0"/>
              <w:autoSpaceDN w:val="0"/>
              <w:adjustRightInd w:val="0"/>
              <w:spacing w:line="400" w:lineRule="exact"/>
              <w:ind w:firstLine="480"/>
              <w:jc w:val="center"/>
              <w:rPr>
                <w:rFonts w:ascii="仿宋" w:hAnsi="仿宋" w:eastAsia="仿宋"/>
                <w:b w:val="0"/>
                <w:bCs/>
                <w:color w:val="auto"/>
                <w:sz w:val="24"/>
              </w:rPr>
            </w:pPr>
          </w:p>
        </w:tc>
        <w:tc>
          <w:tcPr>
            <w:tcW w:w="722" w:type="pct"/>
            <w:vMerge w:val="continue"/>
            <w:vAlign w:val="center"/>
          </w:tcPr>
          <w:p>
            <w:pPr>
              <w:autoSpaceDE w:val="0"/>
              <w:autoSpaceDN w:val="0"/>
              <w:adjustRightInd w:val="0"/>
              <w:spacing w:line="400" w:lineRule="exact"/>
              <w:ind w:firstLine="480"/>
              <w:jc w:val="center"/>
              <w:rPr>
                <w:rFonts w:ascii="仿宋" w:hAnsi="仿宋" w:eastAsia="仿宋"/>
                <w:b w:val="0"/>
                <w:bCs/>
                <w:color w:val="auto"/>
                <w:sz w:val="24"/>
              </w:rPr>
            </w:pPr>
          </w:p>
        </w:tc>
        <w:tc>
          <w:tcPr>
            <w:tcW w:w="1089" w:type="pct"/>
            <w:gridSpan w:val="2"/>
            <w:vAlign w:val="center"/>
          </w:tcPr>
          <w:p>
            <w:pPr>
              <w:autoSpaceDE w:val="0"/>
              <w:autoSpaceDN w:val="0"/>
              <w:adjustRightInd w:val="0"/>
              <w:spacing w:line="400" w:lineRule="exact"/>
              <w:ind w:firstLine="0" w:firstLineChars="0"/>
              <w:jc w:val="center"/>
              <w:rPr>
                <w:rFonts w:ascii="仿宋" w:hAnsi="仿宋" w:eastAsia="仿宋"/>
                <w:b w:val="0"/>
                <w:bCs/>
                <w:color w:val="auto"/>
                <w:sz w:val="24"/>
              </w:rPr>
            </w:pPr>
            <w:r>
              <w:rPr>
                <w:rFonts w:ascii="仿宋" w:hAnsi="仿宋" w:eastAsia="仿宋"/>
                <w:b w:val="0"/>
                <w:bCs/>
                <w:color w:val="auto"/>
                <w:sz w:val="24"/>
              </w:rPr>
              <w:t>高级职称人员</w:t>
            </w:r>
          </w:p>
        </w:tc>
        <w:tc>
          <w:tcPr>
            <w:tcW w:w="972" w:type="pct"/>
            <w:gridSpan w:val="2"/>
            <w:vAlign w:val="center"/>
          </w:tcPr>
          <w:p>
            <w:pPr>
              <w:autoSpaceDE w:val="0"/>
              <w:autoSpaceDN w:val="0"/>
              <w:adjustRightInd w:val="0"/>
              <w:spacing w:line="400" w:lineRule="exact"/>
              <w:ind w:firstLine="480"/>
              <w:jc w:val="center"/>
              <w:rPr>
                <w:rFonts w:ascii="仿宋" w:hAnsi="仿宋" w:eastAsia="仿宋"/>
                <w:b w:val="0"/>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17" w:type="pct"/>
            <w:vAlign w:val="center"/>
          </w:tcPr>
          <w:p>
            <w:pPr>
              <w:autoSpaceDE w:val="0"/>
              <w:autoSpaceDN w:val="0"/>
              <w:adjustRightInd w:val="0"/>
              <w:spacing w:line="400" w:lineRule="exact"/>
              <w:ind w:firstLine="0" w:firstLineChars="0"/>
              <w:jc w:val="center"/>
              <w:rPr>
                <w:rFonts w:ascii="仿宋" w:hAnsi="仿宋" w:eastAsia="仿宋"/>
                <w:b w:val="0"/>
                <w:bCs/>
                <w:color w:val="auto"/>
                <w:sz w:val="24"/>
              </w:rPr>
            </w:pPr>
            <w:r>
              <w:rPr>
                <w:rFonts w:ascii="仿宋" w:hAnsi="仿宋" w:eastAsia="仿宋"/>
                <w:b w:val="0"/>
                <w:bCs/>
                <w:color w:val="auto"/>
                <w:sz w:val="24"/>
              </w:rPr>
              <w:t>注册资金</w:t>
            </w:r>
          </w:p>
        </w:tc>
        <w:tc>
          <w:tcPr>
            <w:tcW w:w="1200" w:type="pct"/>
            <w:gridSpan w:val="2"/>
            <w:vAlign w:val="center"/>
          </w:tcPr>
          <w:p>
            <w:pPr>
              <w:autoSpaceDE w:val="0"/>
              <w:autoSpaceDN w:val="0"/>
              <w:adjustRightInd w:val="0"/>
              <w:spacing w:line="400" w:lineRule="exact"/>
              <w:ind w:firstLine="480"/>
              <w:jc w:val="center"/>
              <w:rPr>
                <w:rFonts w:ascii="仿宋" w:hAnsi="仿宋" w:eastAsia="仿宋"/>
                <w:b w:val="0"/>
                <w:bCs/>
                <w:color w:val="auto"/>
                <w:sz w:val="24"/>
              </w:rPr>
            </w:pPr>
          </w:p>
        </w:tc>
        <w:tc>
          <w:tcPr>
            <w:tcW w:w="722" w:type="pct"/>
            <w:vMerge w:val="continue"/>
            <w:vAlign w:val="center"/>
          </w:tcPr>
          <w:p>
            <w:pPr>
              <w:autoSpaceDE w:val="0"/>
              <w:autoSpaceDN w:val="0"/>
              <w:adjustRightInd w:val="0"/>
              <w:spacing w:line="400" w:lineRule="exact"/>
              <w:ind w:firstLine="480"/>
              <w:jc w:val="center"/>
              <w:rPr>
                <w:rFonts w:ascii="仿宋" w:hAnsi="仿宋" w:eastAsia="仿宋"/>
                <w:b w:val="0"/>
                <w:bCs/>
                <w:color w:val="auto"/>
                <w:sz w:val="24"/>
              </w:rPr>
            </w:pPr>
          </w:p>
        </w:tc>
        <w:tc>
          <w:tcPr>
            <w:tcW w:w="1089" w:type="pct"/>
            <w:gridSpan w:val="2"/>
            <w:vAlign w:val="center"/>
          </w:tcPr>
          <w:p>
            <w:pPr>
              <w:autoSpaceDE w:val="0"/>
              <w:autoSpaceDN w:val="0"/>
              <w:adjustRightInd w:val="0"/>
              <w:spacing w:line="400" w:lineRule="exact"/>
              <w:ind w:firstLine="0" w:firstLineChars="0"/>
              <w:jc w:val="center"/>
              <w:rPr>
                <w:rFonts w:ascii="仿宋" w:hAnsi="仿宋" w:eastAsia="仿宋"/>
                <w:b w:val="0"/>
                <w:bCs/>
                <w:color w:val="auto"/>
                <w:sz w:val="24"/>
              </w:rPr>
            </w:pPr>
            <w:r>
              <w:rPr>
                <w:rFonts w:ascii="仿宋" w:hAnsi="仿宋" w:eastAsia="仿宋"/>
                <w:b w:val="0"/>
                <w:bCs/>
                <w:color w:val="auto"/>
                <w:sz w:val="24"/>
              </w:rPr>
              <w:t>中级职称人员</w:t>
            </w:r>
          </w:p>
        </w:tc>
        <w:tc>
          <w:tcPr>
            <w:tcW w:w="972" w:type="pct"/>
            <w:gridSpan w:val="2"/>
            <w:vAlign w:val="center"/>
          </w:tcPr>
          <w:p>
            <w:pPr>
              <w:autoSpaceDE w:val="0"/>
              <w:autoSpaceDN w:val="0"/>
              <w:adjustRightInd w:val="0"/>
              <w:spacing w:line="400" w:lineRule="exact"/>
              <w:ind w:firstLine="480"/>
              <w:jc w:val="center"/>
              <w:rPr>
                <w:rFonts w:ascii="仿宋" w:hAnsi="仿宋" w:eastAsia="仿宋"/>
                <w:b w:val="0"/>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17" w:type="pct"/>
            <w:vAlign w:val="center"/>
          </w:tcPr>
          <w:p>
            <w:pPr>
              <w:autoSpaceDE w:val="0"/>
              <w:autoSpaceDN w:val="0"/>
              <w:adjustRightInd w:val="0"/>
              <w:spacing w:line="400" w:lineRule="exact"/>
              <w:ind w:firstLine="0" w:firstLineChars="0"/>
              <w:jc w:val="center"/>
              <w:rPr>
                <w:rFonts w:ascii="仿宋" w:hAnsi="仿宋" w:eastAsia="仿宋"/>
                <w:b w:val="0"/>
                <w:bCs/>
                <w:color w:val="auto"/>
                <w:sz w:val="24"/>
              </w:rPr>
            </w:pPr>
            <w:r>
              <w:rPr>
                <w:rFonts w:ascii="仿宋" w:hAnsi="仿宋" w:eastAsia="仿宋"/>
                <w:b w:val="0"/>
                <w:bCs/>
                <w:color w:val="auto"/>
                <w:sz w:val="24"/>
              </w:rPr>
              <w:t>开户银行</w:t>
            </w:r>
          </w:p>
        </w:tc>
        <w:tc>
          <w:tcPr>
            <w:tcW w:w="1200" w:type="pct"/>
            <w:gridSpan w:val="2"/>
            <w:vAlign w:val="center"/>
          </w:tcPr>
          <w:p>
            <w:pPr>
              <w:autoSpaceDE w:val="0"/>
              <w:autoSpaceDN w:val="0"/>
              <w:adjustRightInd w:val="0"/>
              <w:spacing w:line="400" w:lineRule="exact"/>
              <w:ind w:firstLine="480"/>
              <w:jc w:val="center"/>
              <w:rPr>
                <w:rFonts w:ascii="仿宋" w:hAnsi="仿宋" w:eastAsia="仿宋"/>
                <w:b w:val="0"/>
                <w:bCs/>
                <w:color w:val="auto"/>
                <w:sz w:val="24"/>
              </w:rPr>
            </w:pPr>
          </w:p>
        </w:tc>
        <w:tc>
          <w:tcPr>
            <w:tcW w:w="722" w:type="pct"/>
            <w:vMerge w:val="continue"/>
            <w:vAlign w:val="center"/>
          </w:tcPr>
          <w:p>
            <w:pPr>
              <w:autoSpaceDE w:val="0"/>
              <w:autoSpaceDN w:val="0"/>
              <w:adjustRightInd w:val="0"/>
              <w:spacing w:line="400" w:lineRule="exact"/>
              <w:ind w:firstLine="480"/>
              <w:jc w:val="center"/>
              <w:rPr>
                <w:rFonts w:ascii="仿宋" w:hAnsi="仿宋" w:eastAsia="仿宋"/>
                <w:b w:val="0"/>
                <w:bCs/>
                <w:color w:val="auto"/>
                <w:sz w:val="24"/>
              </w:rPr>
            </w:pPr>
          </w:p>
        </w:tc>
        <w:tc>
          <w:tcPr>
            <w:tcW w:w="1089" w:type="pct"/>
            <w:gridSpan w:val="2"/>
            <w:vAlign w:val="center"/>
          </w:tcPr>
          <w:p>
            <w:pPr>
              <w:autoSpaceDE w:val="0"/>
              <w:autoSpaceDN w:val="0"/>
              <w:adjustRightInd w:val="0"/>
              <w:spacing w:line="400" w:lineRule="exact"/>
              <w:ind w:firstLine="0" w:firstLineChars="0"/>
              <w:jc w:val="center"/>
              <w:rPr>
                <w:rFonts w:ascii="仿宋" w:hAnsi="仿宋" w:eastAsia="仿宋"/>
                <w:b w:val="0"/>
                <w:bCs/>
                <w:color w:val="auto"/>
                <w:sz w:val="24"/>
              </w:rPr>
            </w:pPr>
            <w:r>
              <w:rPr>
                <w:rFonts w:ascii="仿宋" w:hAnsi="仿宋" w:eastAsia="仿宋"/>
                <w:b w:val="0"/>
                <w:bCs/>
                <w:color w:val="auto"/>
                <w:sz w:val="24"/>
              </w:rPr>
              <w:t>初级职称人员</w:t>
            </w:r>
          </w:p>
        </w:tc>
        <w:tc>
          <w:tcPr>
            <w:tcW w:w="972" w:type="pct"/>
            <w:gridSpan w:val="2"/>
            <w:vAlign w:val="center"/>
          </w:tcPr>
          <w:p>
            <w:pPr>
              <w:autoSpaceDE w:val="0"/>
              <w:autoSpaceDN w:val="0"/>
              <w:adjustRightInd w:val="0"/>
              <w:spacing w:line="400" w:lineRule="exact"/>
              <w:ind w:firstLine="480"/>
              <w:jc w:val="center"/>
              <w:rPr>
                <w:rFonts w:ascii="仿宋" w:hAnsi="仿宋" w:eastAsia="仿宋"/>
                <w:b w:val="0"/>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17" w:type="pct"/>
            <w:vAlign w:val="center"/>
          </w:tcPr>
          <w:p>
            <w:pPr>
              <w:autoSpaceDE w:val="0"/>
              <w:autoSpaceDN w:val="0"/>
              <w:adjustRightInd w:val="0"/>
              <w:spacing w:line="400" w:lineRule="exact"/>
              <w:ind w:firstLine="0" w:firstLineChars="0"/>
              <w:jc w:val="center"/>
              <w:rPr>
                <w:rFonts w:ascii="仿宋" w:hAnsi="仿宋" w:eastAsia="仿宋"/>
                <w:b w:val="0"/>
                <w:bCs/>
                <w:color w:val="auto"/>
                <w:sz w:val="24"/>
              </w:rPr>
            </w:pPr>
            <w:r>
              <w:rPr>
                <w:rFonts w:ascii="仿宋" w:hAnsi="仿宋" w:eastAsia="仿宋"/>
                <w:b w:val="0"/>
                <w:bCs/>
                <w:color w:val="auto"/>
                <w:sz w:val="24"/>
              </w:rPr>
              <w:t>账号</w:t>
            </w:r>
          </w:p>
        </w:tc>
        <w:tc>
          <w:tcPr>
            <w:tcW w:w="1200" w:type="pct"/>
            <w:gridSpan w:val="2"/>
            <w:vAlign w:val="center"/>
          </w:tcPr>
          <w:p>
            <w:pPr>
              <w:autoSpaceDE w:val="0"/>
              <w:autoSpaceDN w:val="0"/>
              <w:adjustRightInd w:val="0"/>
              <w:spacing w:line="400" w:lineRule="exact"/>
              <w:ind w:firstLine="480"/>
              <w:jc w:val="center"/>
              <w:rPr>
                <w:rFonts w:ascii="仿宋" w:hAnsi="仿宋" w:eastAsia="仿宋"/>
                <w:b w:val="0"/>
                <w:bCs/>
                <w:color w:val="auto"/>
                <w:sz w:val="24"/>
              </w:rPr>
            </w:pPr>
          </w:p>
        </w:tc>
        <w:tc>
          <w:tcPr>
            <w:tcW w:w="722" w:type="pct"/>
            <w:vMerge w:val="continue"/>
            <w:vAlign w:val="center"/>
          </w:tcPr>
          <w:p>
            <w:pPr>
              <w:autoSpaceDE w:val="0"/>
              <w:autoSpaceDN w:val="0"/>
              <w:adjustRightInd w:val="0"/>
              <w:spacing w:line="400" w:lineRule="exact"/>
              <w:ind w:firstLine="480"/>
              <w:jc w:val="center"/>
              <w:rPr>
                <w:rFonts w:ascii="仿宋" w:hAnsi="仿宋" w:eastAsia="仿宋"/>
                <w:b w:val="0"/>
                <w:bCs/>
                <w:color w:val="auto"/>
                <w:sz w:val="24"/>
              </w:rPr>
            </w:pPr>
          </w:p>
        </w:tc>
        <w:tc>
          <w:tcPr>
            <w:tcW w:w="1089" w:type="pct"/>
            <w:gridSpan w:val="2"/>
            <w:vAlign w:val="center"/>
          </w:tcPr>
          <w:p>
            <w:pPr>
              <w:autoSpaceDE w:val="0"/>
              <w:autoSpaceDN w:val="0"/>
              <w:adjustRightInd w:val="0"/>
              <w:spacing w:line="400" w:lineRule="exact"/>
              <w:ind w:firstLine="0" w:firstLineChars="0"/>
              <w:jc w:val="center"/>
              <w:rPr>
                <w:rFonts w:ascii="仿宋" w:hAnsi="仿宋" w:eastAsia="仿宋"/>
                <w:b w:val="0"/>
                <w:bCs/>
                <w:color w:val="auto"/>
                <w:sz w:val="24"/>
              </w:rPr>
            </w:pPr>
            <w:r>
              <w:rPr>
                <w:rFonts w:ascii="仿宋" w:hAnsi="仿宋" w:eastAsia="仿宋"/>
                <w:b w:val="0"/>
                <w:bCs/>
                <w:color w:val="auto"/>
                <w:sz w:val="24"/>
              </w:rPr>
              <w:t>技工</w:t>
            </w:r>
          </w:p>
        </w:tc>
        <w:tc>
          <w:tcPr>
            <w:tcW w:w="972" w:type="pct"/>
            <w:gridSpan w:val="2"/>
            <w:vAlign w:val="center"/>
          </w:tcPr>
          <w:p>
            <w:pPr>
              <w:autoSpaceDE w:val="0"/>
              <w:autoSpaceDN w:val="0"/>
              <w:adjustRightInd w:val="0"/>
              <w:spacing w:line="400" w:lineRule="exact"/>
              <w:ind w:firstLine="480"/>
              <w:jc w:val="center"/>
              <w:rPr>
                <w:rFonts w:ascii="仿宋" w:hAnsi="仿宋" w:eastAsia="仿宋"/>
                <w:b w:val="0"/>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4" w:hRule="atLeast"/>
          <w:jc w:val="center"/>
        </w:trPr>
        <w:tc>
          <w:tcPr>
            <w:tcW w:w="1017" w:type="pct"/>
            <w:vAlign w:val="center"/>
          </w:tcPr>
          <w:p>
            <w:pPr>
              <w:autoSpaceDE w:val="0"/>
              <w:autoSpaceDN w:val="0"/>
              <w:adjustRightInd w:val="0"/>
              <w:spacing w:line="400" w:lineRule="exact"/>
              <w:ind w:firstLine="0" w:firstLineChars="0"/>
              <w:jc w:val="center"/>
              <w:rPr>
                <w:rFonts w:ascii="仿宋" w:hAnsi="仿宋" w:eastAsia="仿宋"/>
                <w:b w:val="0"/>
                <w:bCs/>
                <w:color w:val="auto"/>
                <w:sz w:val="24"/>
              </w:rPr>
            </w:pPr>
            <w:r>
              <w:rPr>
                <w:rFonts w:ascii="仿宋" w:hAnsi="仿宋" w:eastAsia="仿宋"/>
                <w:b w:val="0"/>
                <w:bCs/>
                <w:color w:val="auto"/>
                <w:sz w:val="24"/>
              </w:rPr>
              <w:t>经营范围</w:t>
            </w:r>
          </w:p>
        </w:tc>
        <w:tc>
          <w:tcPr>
            <w:tcW w:w="3983" w:type="pct"/>
            <w:gridSpan w:val="7"/>
            <w:vAlign w:val="center"/>
          </w:tcPr>
          <w:p>
            <w:pPr>
              <w:autoSpaceDE w:val="0"/>
              <w:autoSpaceDN w:val="0"/>
              <w:adjustRightInd w:val="0"/>
              <w:spacing w:line="400" w:lineRule="exact"/>
              <w:ind w:firstLine="480"/>
              <w:jc w:val="center"/>
              <w:rPr>
                <w:rFonts w:ascii="仿宋" w:hAnsi="仿宋" w:eastAsia="仿宋"/>
                <w:b w:val="0"/>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6" w:hRule="atLeast"/>
          <w:jc w:val="center"/>
        </w:trPr>
        <w:tc>
          <w:tcPr>
            <w:tcW w:w="1017" w:type="pct"/>
            <w:vAlign w:val="center"/>
          </w:tcPr>
          <w:p>
            <w:pPr>
              <w:autoSpaceDE w:val="0"/>
              <w:autoSpaceDN w:val="0"/>
              <w:adjustRightInd w:val="0"/>
              <w:spacing w:line="400" w:lineRule="exact"/>
              <w:ind w:firstLine="0" w:firstLineChars="0"/>
              <w:jc w:val="center"/>
              <w:rPr>
                <w:rFonts w:ascii="仿宋" w:hAnsi="仿宋" w:eastAsia="仿宋"/>
                <w:b w:val="0"/>
                <w:bCs/>
                <w:color w:val="auto"/>
                <w:sz w:val="24"/>
              </w:rPr>
            </w:pPr>
            <w:r>
              <w:rPr>
                <w:rFonts w:ascii="仿宋" w:hAnsi="仿宋" w:eastAsia="仿宋"/>
                <w:b w:val="0"/>
                <w:bCs/>
                <w:color w:val="auto"/>
                <w:sz w:val="24"/>
              </w:rPr>
              <w:t>备注</w:t>
            </w:r>
          </w:p>
        </w:tc>
        <w:tc>
          <w:tcPr>
            <w:tcW w:w="3983" w:type="pct"/>
            <w:gridSpan w:val="7"/>
            <w:vAlign w:val="center"/>
          </w:tcPr>
          <w:p>
            <w:pPr>
              <w:autoSpaceDE w:val="0"/>
              <w:autoSpaceDN w:val="0"/>
              <w:adjustRightInd w:val="0"/>
              <w:spacing w:line="400" w:lineRule="exact"/>
              <w:ind w:firstLine="480"/>
              <w:jc w:val="center"/>
              <w:rPr>
                <w:rFonts w:ascii="仿宋" w:hAnsi="仿宋" w:eastAsia="仿宋"/>
                <w:b w:val="0"/>
                <w:bCs/>
                <w:color w:val="auto"/>
                <w:sz w:val="24"/>
              </w:rPr>
            </w:pPr>
          </w:p>
        </w:tc>
      </w:tr>
    </w:tbl>
    <w:p>
      <w:pPr>
        <w:snapToGrid/>
        <w:spacing w:beforeLines="100" w:line="520" w:lineRule="exact"/>
        <w:ind w:firstLine="480"/>
        <w:jc w:val="left"/>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投标人名称（公章）：</w:t>
      </w:r>
    </w:p>
    <w:p>
      <w:pPr>
        <w:snapToGrid/>
        <w:spacing w:line="520" w:lineRule="exact"/>
        <w:ind w:firstLine="480"/>
        <w:jc w:val="left"/>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法定代表人</w:t>
      </w:r>
      <w:r>
        <w:rPr>
          <w:rFonts w:hint="eastAsia" w:ascii="仿宋" w:hAnsi="仿宋" w:eastAsia="仿宋"/>
          <w:b w:val="0"/>
          <w:color w:val="auto"/>
          <w:kern w:val="2"/>
          <w:sz w:val="24"/>
          <w:szCs w:val="24"/>
          <w:lang w:val="en-US"/>
        </w:rPr>
        <w:t>（主要负责人）</w:t>
      </w:r>
      <w:r>
        <w:rPr>
          <w:rFonts w:ascii="仿宋" w:hAnsi="仿宋" w:eastAsia="仿宋"/>
          <w:b w:val="0"/>
          <w:color w:val="auto"/>
          <w:kern w:val="2"/>
          <w:sz w:val="24"/>
          <w:szCs w:val="24"/>
          <w:lang w:val="en-US"/>
        </w:rPr>
        <w:t>或代理人（签字或加盖印章）：</w:t>
      </w:r>
    </w:p>
    <w:p>
      <w:pPr>
        <w:snapToGrid/>
        <w:spacing w:line="520" w:lineRule="exact"/>
        <w:ind w:firstLine="480"/>
        <w:jc w:val="left"/>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日  期:</w:t>
      </w:r>
    </w:p>
    <w:p>
      <w:pPr>
        <w:keepNext/>
        <w:keepLines/>
        <w:numPr>
          <w:ilvl w:val="3"/>
          <w:numId w:val="17"/>
        </w:numPr>
        <w:tabs>
          <w:tab w:val="left" w:pos="360"/>
        </w:tabs>
        <w:spacing w:line="520" w:lineRule="exact"/>
        <w:ind w:left="0" w:firstLine="0" w:firstLineChars="0"/>
        <w:outlineLvl w:val="3"/>
        <w:rPr>
          <w:rFonts w:ascii="仿宋" w:hAnsi="仿宋" w:eastAsia="仿宋"/>
          <w:bCs/>
          <w:color w:val="auto"/>
          <w:kern w:val="2"/>
          <w:sz w:val="24"/>
          <w:szCs w:val="24"/>
          <w:lang w:val="en-US"/>
        </w:rPr>
      </w:pPr>
      <w:r>
        <w:rPr>
          <w:rFonts w:ascii="仿宋" w:hAnsi="仿宋" w:eastAsia="仿宋"/>
          <w:bCs/>
          <w:color w:val="auto"/>
          <w:kern w:val="2"/>
          <w:sz w:val="24"/>
          <w:szCs w:val="24"/>
          <w:lang w:val="en-US"/>
        </w:rPr>
        <w:t xml:space="preserve"> </w:t>
      </w:r>
      <w:bookmarkStart w:id="427" w:name="_Toc494198609"/>
      <w:r>
        <w:rPr>
          <w:rFonts w:ascii="仿宋" w:hAnsi="仿宋" w:eastAsia="仿宋"/>
          <w:bCs/>
          <w:color w:val="auto"/>
          <w:kern w:val="2"/>
          <w:sz w:val="24"/>
          <w:szCs w:val="24"/>
          <w:lang w:val="en-US"/>
        </w:rPr>
        <w:t>实施本项目的主要人员情况表</w:t>
      </w:r>
      <w:bookmarkEnd w:id="427"/>
    </w:p>
    <w:p>
      <w:pPr>
        <w:ind w:firstLine="480"/>
        <w:rPr>
          <w:rFonts w:ascii="仿宋" w:hAnsi="仿宋" w:eastAsia="仿宋"/>
          <w:b w:val="0"/>
          <w:color w:val="auto"/>
          <w:kern w:val="2"/>
          <w:sz w:val="24"/>
          <w:szCs w:val="24"/>
          <w:lang w:val="en-US"/>
        </w:rPr>
      </w:pPr>
    </w:p>
    <w:p>
      <w:pPr>
        <w:ind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采购项目名称：</w:t>
      </w:r>
    </w:p>
    <w:p>
      <w:pPr>
        <w:ind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采购项目编号：</w:t>
      </w:r>
    </w:p>
    <w:p>
      <w:pPr>
        <w:ind w:firstLine="480"/>
        <w:rPr>
          <w:rFonts w:hint="eastAsia" w:ascii="仿宋" w:hAnsi="仿宋" w:eastAsia="仿宋"/>
          <w:b w:val="0"/>
          <w:kern w:val="2"/>
          <w:sz w:val="24"/>
          <w:szCs w:val="24"/>
          <w:lang w:val="en-US"/>
        </w:rPr>
      </w:pPr>
    </w:p>
    <w:tbl>
      <w:tblPr>
        <w:tblStyle w:val="7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0"/>
        <w:gridCol w:w="1205"/>
        <w:gridCol w:w="851"/>
        <w:gridCol w:w="914"/>
        <w:gridCol w:w="1283"/>
        <w:gridCol w:w="1402"/>
        <w:gridCol w:w="778"/>
        <w:gridCol w:w="788"/>
        <w:gridCol w:w="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630" w:type="pct"/>
            <w:vMerge w:val="restart"/>
            <w:vAlign w:val="center"/>
          </w:tcPr>
          <w:p>
            <w:pPr>
              <w:snapToGrid/>
              <w:spacing w:line="400" w:lineRule="exact"/>
              <w:ind w:firstLine="0" w:firstLineChars="0"/>
              <w:jc w:val="center"/>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类别</w:t>
            </w:r>
          </w:p>
        </w:tc>
        <w:tc>
          <w:tcPr>
            <w:tcW w:w="649" w:type="pct"/>
            <w:vMerge w:val="restart"/>
            <w:vAlign w:val="center"/>
          </w:tcPr>
          <w:p>
            <w:pPr>
              <w:snapToGrid/>
              <w:spacing w:line="400" w:lineRule="exact"/>
              <w:ind w:firstLine="0" w:firstLineChars="0"/>
              <w:jc w:val="center"/>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职务</w:t>
            </w:r>
          </w:p>
        </w:tc>
        <w:tc>
          <w:tcPr>
            <w:tcW w:w="458" w:type="pct"/>
            <w:vMerge w:val="restart"/>
            <w:vAlign w:val="center"/>
          </w:tcPr>
          <w:p>
            <w:pPr>
              <w:snapToGrid/>
              <w:spacing w:line="400" w:lineRule="exact"/>
              <w:ind w:firstLine="0" w:firstLineChars="0"/>
              <w:jc w:val="center"/>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姓名</w:t>
            </w:r>
          </w:p>
        </w:tc>
        <w:tc>
          <w:tcPr>
            <w:tcW w:w="492" w:type="pct"/>
            <w:vMerge w:val="restart"/>
            <w:vAlign w:val="center"/>
          </w:tcPr>
          <w:p>
            <w:pPr>
              <w:snapToGrid/>
              <w:spacing w:line="400" w:lineRule="exact"/>
              <w:ind w:firstLine="0" w:firstLineChars="0"/>
              <w:jc w:val="center"/>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职称</w:t>
            </w:r>
          </w:p>
        </w:tc>
        <w:tc>
          <w:tcPr>
            <w:tcW w:w="691" w:type="pct"/>
            <w:vMerge w:val="restart"/>
            <w:vAlign w:val="center"/>
          </w:tcPr>
          <w:p>
            <w:pPr>
              <w:snapToGrid/>
              <w:spacing w:line="400" w:lineRule="exact"/>
              <w:ind w:firstLine="0" w:firstLineChars="0"/>
              <w:jc w:val="center"/>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常住地</w:t>
            </w:r>
          </w:p>
        </w:tc>
        <w:tc>
          <w:tcPr>
            <w:tcW w:w="2080" w:type="pct"/>
            <w:gridSpan w:val="4"/>
            <w:vAlign w:val="center"/>
          </w:tcPr>
          <w:p>
            <w:pPr>
              <w:snapToGrid/>
              <w:spacing w:line="400" w:lineRule="exact"/>
              <w:ind w:firstLine="0" w:firstLineChars="0"/>
              <w:jc w:val="center"/>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相关资料（无可不提供）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630" w:type="pct"/>
            <w:vMerge w:val="continue"/>
            <w:vAlign w:val="center"/>
          </w:tcPr>
          <w:p>
            <w:pPr>
              <w:snapToGrid/>
              <w:spacing w:line="400" w:lineRule="exact"/>
              <w:ind w:firstLine="0" w:firstLineChars="0"/>
              <w:jc w:val="center"/>
              <w:rPr>
                <w:rFonts w:ascii="仿宋" w:hAnsi="仿宋" w:eastAsia="仿宋"/>
                <w:b w:val="0"/>
                <w:color w:val="auto"/>
                <w:kern w:val="2"/>
                <w:sz w:val="24"/>
                <w:szCs w:val="24"/>
                <w:lang w:val="en-US"/>
              </w:rPr>
            </w:pPr>
          </w:p>
        </w:tc>
        <w:tc>
          <w:tcPr>
            <w:tcW w:w="649" w:type="pct"/>
            <w:vMerge w:val="continue"/>
            <w:vAlign w:val="center"/>
          </w:tcPr>
          <w:p>
            <w:pPr>
              <w:snapToGrid/>
              <w:spacing w:line="400" w:lineRule="exact"/>
              <w:ind w:firstLine="0" w:firstLineChars="0"/>
              <w:jc w:val="center"/>
              <w:rPr>
                <w:rFonts w:ascii="仿宋" w:hAnsi="仿宋" w:eastAsia="仿宋"/>
                <w:b w:val="0"/>
                <w:color w:val="auto"/>
                <w:kern w:val="2"/>
                <w:sz w:val="24"/>
                <w:szCs w:val="24"/>
                <w:lang w:val="en-US"/>
              </w:rPr>
            </w:pPr>
          </w:p>
        </w:tc>
        <w:tc>
          <w:tcPr>
            <w:tcW w:w="458" w:type="pct"/>
            <w:vMerge w:val="continue"/>
            <w:vAlign w:val="center"/>
          </w:tcPr>
          <w:p>
            <w:pPr>
              <w:snapToGrid/>
              <w:spacing w:line="400" w:lineRule="exact"/>
              <w:ind w:firstLine="0" w:firstLineChars="0"/>
              <w:jc w:val="center"/>
              <w:rPr>
                <w:rFonts w:ascii="仿宋" w:hAnsi="仿宋" w:eastAsia="仿宋"/>
                <w:b w:val="0"/>
                <w:color w:val="auto"/>
                <w:kern w:val="2"/>
                <w:sz w:val="24"/>
                <w:szCs w:val="24"/>
                <w:lang w:val="en-US"/>
              </w:rPr>
            </w:pPr>
          </w:p>
        </w:tc>
        <w:tc>
          <w:tcPr>
            <w:tcW w:w="492" w:type="pct"/>
            <w:vMerge w:val="continue"/>
            <w:vAlign w:val="center"/>
          </w:tcPr>
          <w:p>
            <w:pPr>
              <w:snapToGrid/>
              <w:spacing w:line="400" w:lineRule="exact"/>
              <w:ind w:firstLine="0" w:firstLineChars="0"/>
              <w:jc w:val="center"/>
              <w:rPr>
                <w:rFonts w:ascii="仿宋" w:hAnsi="仿宋" w:eastAsia="仿宋"/>
                <w:b w:val="0"/>
                <w:color w:val="auto"/>
                <w:kern w:val="2"/>
                <w:sz w:val="24"/>
                <w:szCs w:val="24"/>
                <w:lang w:val="en-US"/>
              </w:rPr>
            </w:pPr>
          </w:p>
        </w:tc>
        <w:tc>
          <w:tcPr>
            <w:tcW w:w="691" w:type="pct"/>
            <w:vMerge w:val="continue"/>
            <w:vAlign w:val="center"/>
          </w:tcPr>
          <w:p>
            <w:pPr>
              <w:snapToGrid/>
              <w:spacing w:line="400" w:lineRule="exact"/>
              <w:ind w:firstLine="0" w:firstLineChars="0"/>
              <w:jc w:val="center"/>
              <w:rPr>
                <w:rFonts w:ascii="仿宋" w:hAnsi="仿宋" w:eastAsia="仿宋"/>
                <w:b w:val="0"/>
                <w:color w:val="auto"/>
                <w:kern w:val="2"/>
                <w:sz w:val="24"/>
                <w:szCs w:val="24"/>
                <w:lang w:val="en-US"/>
              </w:rPr>
            </w:pPr>
          </w:p>
        </w:tc>
        <w:tc>
          <w:tcPr>
            <w:tcW w:w="755" w:type="pct"/>
            <w:vAlign w:val="center"/>
          </w:tcPr>
          <w:p>
            <w:pPr>
              <w:snapToGrid/>
              <w:spacing w:line="400" w:lineRule="exact"/>
              <w:ind w:firstLine="0" w:firstLineChars="0"/>
              <w:jc w:val="center"/>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证书名称</w:t>
            </w:r>
          </w:p>
        </w:tc>
        <w:tc>
          <w:tcPr>
            <w:tcW w:w="419" w:type="pct"/>
            <w:vAlign w:val="center"/>
          </w:tcPr>
          <w:p>
            <w:pPr>
              <w:snapToGrid/>
              <w:spacing w:line="400" w:lineRule="exact"/>
              <w:ind w:firstLine="0" w:firstLineChars="0"/>
              <w:jc w:val="center"/>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级别</w:t>
            </w:r>
          </w:p>
        </w:tc>
        <w:tc>
          <w:tcPr>
            <w:tcW w:w="424" w:type="pct"/>
            <w:vAlign w:val="center"/>
          </w:tcPr>
          <w:p>
            <w:pPr>
              <w:snapToGrid/>
              <w:spacing w:line="400" w:lineRule="exact"/>
              <w:ind w:firstLine="0" w:firstLineChars="0"/>
              <w:jc w:val="center"/>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证号</w:t>
            </w:r>
          </w:p>
        </w:tc>
        <w:tc>
          <w:tcPr>
            <w:tcW w:w="482" w:type="pct"/>
            <w:vAlign w:val="center"/>
          </w:tcPr>
          <w:p>
            <w:pPr>
              <w:snapToGrid/>
              <w:spacing w:line="400" w:lineRule="exact"/>
              <w:ind w:firstLine="0" w:firstLineChars="0"/>
              <w:jc w:val="center"/>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630" w:type="pct"/>
            <w:vMerge w:val="restart"/>
            <w:vAlign w:val="center"/>
          </w:tcPr>
          <w:p>
            <w:pPr>
              <w:snapToGrid/>
              <w:spacing w:line="400" w:lineRule="exact"/>
              <w:ind w:firstLine="0" w:firstLineChars="0"/>
              <w:jc w:val="center"/>
              <w:rPr>
                <w:rFonts w:ascii="仿宋" w:hAnsi="仿宋" w:eastAsia="仿宋"/>
                <w:b w:val="0"/>
                <w:color w:val="auto"/>
                <w:kern w:val="2"/>
                <w:sz w:val="24"/>
                <w:szCs w:val="24"/>
                <w:lang w:val="en-US"/>
              </w:rPr>
            </w:pPr>
            <w:r>
              <w:rPr>
                <w:rFonts w:hint="eastAsia" w:ascii="仿宋" w:hAnsi="仿宋" w:eastAsia="仿宋"/>
                <w:b w:val="0"/>
                <w:color w:val="auto"/>
                <w:kern w:val="2"/>
                <w:sz w:val="24"/>
                <w:szCs w:val="24"/>
                <w:lang w:val="en-US"/>
              </w:rPr>
              <w:t>项目管理成员</w:t>
            </w:r>
          </w:p>
        </w:tc>
        <w:tc>
          <w:tcPr>
            <w:tcW w:w="649" w:type="pct"/>
            <w:vAlign w:val="center"/>
          </w:tcPr>
          <w:p>
            <w:pPr>
              <w:snapToGrid/>
              <w:spacing w:line="400" w:lineRule="exact"/>
              <w:ind w:firstLine="0" w:firstLineChars="0"/>
              <w:jc w:val="center"/>
              <w:rPr>
                <w:rFonts w:ascii="仿宋" w:hAnsi="仿宋" w:eastAsia="仿宋"/>
                <w:b w:val="0"/>
                <w:color w:val="auto"/>
                <w:kern w:val="2"/>
                <w:sz w:val="24"/>
                <w:szCs w:val="24"/>
                <w:lang w:val="en-US"/>
              </w:rPr>
            </w:pPr>
            <w:r>
              <w:rPr>
                <w:rFonts w:hint="eastAsia" w:ascii="仿宋" w:hAnsi="仿宋" w:eastAsia="仿宋"/>
                <w:b w:val="0"/>
                <w:color w:val="auto"/>
                <w:kern w:val="2"/>
                <w:sz w:val="24"/>
                <w:szCs w:val="24"/>
                <w:lang w:val="en-US"/>
              </w:rPr>
              <w:t>项目经理</w:t>
            </w:r>
          </w:p>
        </w:tc>
        <w:tc>
          <w:tcPr>
            <w:tcW w:w="458" w:type="pct"/>
            <w:vAlign w:val="center"/>
          </w:tcPr>
          <w:p>
            <w:pPr>
              <w:snapToGrid/>
              <w:spacing w:line="400" w:lineRule="exact"/>
              <w:ind w:firstLine="0" w:firstLineChars="0"/>
              <w:jc w:val="center"/>
              <w:rPr>
                <w:rFonts w:ascii="仿宋" w:hAnsi="仿宋" w:eastAsia="仿宋"/>
                <w:b w:val="0"/>
                <w:color w:val="auto"/>
                <w:kern w:val="2"/>
                <w:sz w:val="24"/>
                <w:szCs w:val="24"/>
                <w:lang w:val="en-US"/>
              </w:rPr>
            </w:pPr>
          </w:p>
        </w:tc>
        <w:tc>
          <w:tcPr>
            <w:tcW w:w="492" w:type="pct"/>
            <w:vAlign w:val="center"/>
          </w:tcPr>
          <w:p>
            <w:pPr>
              <w:snapToGrid/>
              <w:spacing w:line="400" w:lineRule="exact"/>
              <w:ind w:firstLine="0" w:firstLineChars="0"/>
              <w:jc w:val="center"/>
              <w:rPr>
                <w:rFonts w:ascii="仿宋" w:hAnsi="仿宋" w:eastAsia="仿宋"/>
                <w:b w:val="0"/>
                <w:color w:val="auto"/>
                <w:kern w:val="2"/>
                <w:sz w:val="24"/>
                <w:szCs w:val="24"/>
                <w:lang w:val="en-US"/>
              </w:rPr>
            </w:pPr>
          </w:p>
        </w:tc>
        <w:tc>
          <w:tcPr>
            <w:tcW w:w="691" w:type="pct"/>
            <w:vAlign w:val="center"/>
          </w:tcPr>
          <w:p>
            <w:pPr>
              <w:snapToGrid/>
              <w:spacing w:line="400" w:lineRule="exact"/>
              <w:ind w:firstLine="0" w:firstLineChars="0"/>
              <w:jc w:val="center"/>
              <w:rPr>
                <w:rFonts w:ascii="仿宋" w:hAnsi="仿宋" w:eastAsia="仿宋"/>
                <w:b w:val="0"/>
                <w:color w:val="auto"/>
                <w:kern w:val="2"/>
                <w:sz w:val="24"/>
                <w:szCs w:val="24"/>
                <w:lang w:val="en-US"/>
              </w:rPr>
            </w:pPr>
          </w:p>
        </w:tc>
        <w:tc>
          <w:tcPr>
            <w:tcW w:w="755" w:type="pct"/>
            <w:vAlign w:val="center"/>
          </w:tcPr>
          <w:p>
            <w:pPr>
              <w:snapToGrid/>
              <w:spacing w:line="400" w:lineRule="exact"/>
              <w:ind w:firstLine="0" w:firstLineChars="0"/>
              <w:jc w:val="center"/>
              <w:rPr>
                <w:rFonts w:ascii="仿宋" w:hAnsi="仿宋" w:eastAsia="仿宋"/>
                <w:b w:val="0"/>
                <w:color w:val="auto"/>
                <w:kern w:val="2"/>
                <w:sz w:val="24"/>
                <w:szCs w:val="24"/>
                <w:lang w:val="en-US"/>
              </w:rPr>
            </w:pPr>
          </w:p>
        </w:tc>
        <w:tc>
          <w:tcPr>
            <w:tcW w:w="419" w:type="pct"/>
            <w:vAlign w:val="center"/>
          </w:tcPr>
          <w:p>
            <w:pPr>
              <w:snapToGrid/>
              <w:spacing w:line="400" w:lineRule="exact"/>
              <w:ind w:firstLine="0" w:firstLineChars="0"/>
              <w:jc w:val="center"/>
              <w:rPr>
                <w:rFonts w:ascii="仿宋" w:hAnsi="仿宋" w:eastAsia="仿宋"/>
                <w:b w:val="0"/>
                <w:color w:val="auto"/>
                <w:kern w:val="2"/>
                <w:sz w:val="24"/>
                <w:szCs w:val="24"/>
                <w:lang w:val="en-US"/>
              </w:rPr>
            </w:pPr>
          </w:p>
        </w:tc>
        <w:tc>
          <w:tcPr>
            <w:tcW w:w="424" w:type="pct"/>
            <w:vAlign w:val="center"/>
          </w:tcPr>
          <w:p>
            <w:pPr>
              <w:snapToGrid/>
              <w:spacing w:line="400" w:lineRule="exact"/>
              <w:ind w:firstLine="0" w:firstLineChars="0"/>
              <w:jc w:val="center"/>
              <w:rPr>
                <w:rFonts w:ascii="仿宋" w:hAnsi="仿宋" w:eastAsia="仿宋"/>
                <w:b w:val="0"/>
                <w:color w:val="auto"/>
                <w:kern w:val="2"/>
                <w:sz w:val="24"/>
                <w:szCs w:val="24"/>
                <w:lang w:val="en-US"/>
              </w:rPr>
            </w:pPr>
          </w:p>
        </w:tc>
        <w:tc>
          <w:tcPr>
            <w:tcW w:w="482" w:type="pct"/>
            <w:vAlign w:val="center"/>
          </w:tcPr>
          <w:p>
            <w:pPr>
              <w:snapToGrid/>
              <w:spacing w:line="400" w:lineRule="exact"/>
              <w:ind w:firstLine="0" w:firstLineChars="0"/>
              <w:jc w:val="center"/>
              <w:rPr>
                <w:rFonts w:ascii="仿宋" w:hAnsi="仿宋" w:eastAsia="仿宋"/>
                <w:b w:val="0"/>
                <w:color w:val="auto"/>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630" w:type="pct"/>
            <w:vMerge w:val="continue"/>
            <w:vAlign w:val="center"/>
          </w:tcPr>
          <w:p>
            <w:pPr>
              <w:rPr>
                <w:rFonts w:ascii="仿宋" w:hAnsi="仿宋" w:eastAsia="仿宋"/>
              </w:rPr>
            </w:pPr>
          </w:p>
        </w:tc>
        <w:tc>
          <w:tcPr>
            <w:tcW w:w="649" w:type="pct"/>
            <w:vAlign w:val="center"/>
          </w:tcPr>
          <w:p>
            <w:pPr>
              <w:jc w:val="center"/>
              <w:rPr>
                <w:rFonts w:ascii="仿宋" w:hAnsi="仿宋" w:eastAsia="仿宋"/>
              </w:rPr>
            </w:pPr>
          </w:p>
        </w:tc>
        <w:tc>
          <w:tcPr>
            <w:tcW w:w="458" w:type="pct"/>
            <w:vAlign w:val="center"/>
          </w:tcPr>
          <w:p>
            <w:pPr>
              <w:jc w:val="center"/>
              <w:rPr>
                <w:rFonts w:ascii="仿宋" w:hAnsi="仿宋" w:eastAsia="仿宋"/>
              </w:rPr>
            </w:pPr>
          </w:p>
        </w:tc>
        <w:tc>
          <w:tcPr>
            <w:tcW w:w="492" w:type="pct"/>
            <w:vAlign w:val="center"/>
          </w:tcPr>
          <w:p>
            <w:pPr>
              <w:jc w:val="center"/>
              <w:rPr>
                <w:rFonts w:ascii="仿宋" w:hAnsi="仿宋" w:eastAsia="仿宋"/>
              </w:rPr>
            </w:pPr>
          </w:p>
        </w:tc>
        <w:tc>
          <w:tcPr>
            <w:tcW w:w="691" w:type="pct"/>
            <w:vAlign w:val="center"/>
          </w:tcPr>
          <w:p>
            <w:pPr>
              <w:jc w:val="center"/>
              <w:rPr>
                <w:rFonts w:ascii="仿宋" w:hAnsi="仿宋" w:eastAsia="仿宋"/>
              </w:rPr>
            </w:pPr>
          </w:p>
        </w:tc>
        <w:tc>
          <w:tcPr>
            <w:tcW w:w="755" w:type="pct"/>
            <w:vAlign w:val="center"/>
          </w:tcPr>
          <w:p>
            <w:pPr>
              <w:jc w:val="center"/>
              <w:rPr>
                <w:rFonts w:ascii="仿宋" w:hAnsi="仿宋" w:eastAsia="仿宋"/>
              </w:rPr>
            </w:pPr>
          </w:p>
        </w:tc>
        <w:tc>
          <w:tcPr>
            <w:tcW w:w="419" w:type="pct"/>
            <w:vAlign w:val="center"/>
          </w:tcPr>
          <w:p>
            <w:pPr>
              <w:jc w:val="center"/>
              <w:rPr>
                <w:rFonts w:ascii="仿宋" w:hAnsi="仿宋" w:eastAsia="仿宋"/>
              </w:rPr>
            </w:pPr>
          </w:p>
        </w:tc>
        <w:tc>
          <w:tcPr>
            <w:tcW w:w="424" w:type="pct"/>
            <w:vAlign w:val="center"/>
          </w:tcPr>
          <w:p>
            <w:pPr>
              <w:jc w:val="center"/>
              <w:rPr>
                <w:rFonts w:ascii="仿宋" w:hAnsi="仿宋" w:eastAsia="仿宋"/>
              </w:rPr>
            </w:pPr>
          </w:p>
        </w:tc>
        <w:tc>
          <w:tcPr>
            <w:tcW w:w="482" w:type="pct"/>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jc w:val="center"/>
        </w:trPr>
        <w:tc>
          <w:tcPr>
            <w:tcW w:w="630" w:type="pct"/>
            <w:vMerge w:val="continue"/>
            <w:vAlign w:val="center"/>
          </w:tcPr>
          <w:p>
            <w:pPr>
              <w:rPr>
                <w:rFonts w:ascii="仿宋" w:hAnsi="仿宋" w:eastAsia="仿宋"/>
              </w:rPr>
            </w:pPr>
          </w:p>
        </w:tc>
        <w:tc>
          <w:tcPr>
            <w:tcW w:w="649" w:type="pct"/>
            <w:vAlign w:val="center"/>
          </w:tcPr>
          <w:p>
            <w:pPr>
              <w:jc w:val="center"/>
              <w:rPr>
                <w:rFonts w:ascii="仿宋" w:hAnsi="仿宋" w:eastAsia="仿宋"/>
              </w:rPr>
            </w:pPr>
          </w:p>
        </w:tc>
        <w:tc>
          <w:tcPr>
            <w:tcW w:w="458" w:type="pct"/>
            <w:vAlign w:val="center"/>
          </w:tcPr>
          <w:p>
            <w:pPr>
              <w:jc w:val="center"/>
              <w:rPr>
                <w:rFonts w:ascii="仿宋" w:hAnsi="仿宋" w:eastAsia="仿宋"/>
              </w:rPr>
            </w:pPr>
          </w:p>
        </w:tc>
        <w:tc>
          <w:tcPr>
            <w:tcW w:w="492" w:type="pct"/>
            <w:vAlign w:val="center"/>
          </w:tcPr>
          <w:p>
            <w:pPr>
              <w:jc w:val="center"/>
              <w:rPr>
                <w:rFonts w:ascii="仿宋" w:hAnsi="仿宋" w:eastAsia="仿宋"/>
              </w:rPr>
            </w:pPr>
          </w:p>
        </w:tc>
        <w:tc>
          <w:tcPr>
            <w:tcW w:w="691" w:type="pct"/>
            <w:vAlign w:val="center"/>
          </w:tcPr>
          <w:p>
            <w:pPr>
              <w:jc w:val="center"/>
              <w:rPr>
                <w:rFonts w:ascii="仿宋" w:hAnsi="仿宋" w:eastAsia="仿宋"/>
              </w:rPr>
            </w:pPr>
          </w:p>
        </w:tc>
        <w:tc>
          <w:tcPr>
            <w:tcW w:w="755" w:type="pct"/>
            <w:vAlign w:val="center"/>
          </w:tcPr>
          <w:p>
            <w:pPr>
              <w:jc w:val="center"/>
              <w:rPr>
                <w:rFonts w:ascii="仿宋" w:hAnsi="仿宋" w:eastAsia="仿宋"/>
              </w:rPr>
            </w:pPr>
          </w:p>
        </w:tc>
        <w:tc>
          <w:tcPr>
            <w:tcW w:w="419" w:type="pct"/>
            <w:vAlign w:val="center"/>
          </w:tcPr>
          <w:p>
            <w:pPr>
              <w:jc w:val="center"/>
              <w:rPr>
                <w:rFonts w:ascii="仿宋" w:hAnsi="仿宋" w:eastAsia="仿宋"/>
              </w:rPr>
            </w:pPr>
          </w:p>
        </w:tc>
        <w:tc>
          <w:tcPr>
            <w:tcW w:w="424" w:type="pct"/>
            <w:vAlign w:val="center"/>
          </w:tcPr>
          <w:p>
            <w:pPr>
              <w:jc w:val="center"/>
              <w:rPr>
                <w:rFonts w:ascii="仿宋" w:hAnsi="仿宋" w:eastAsia="仿宋"/>
              </w:rPr>
            </w:pPr>
          </w:p>
        </w:tc>
        <w:tc>
          <w:tcPr>
            <w:tcW w:w="482" w:type="pct"/>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630" w:type="pct"/>
            <w:vMerge w:val="restart"/>
            <w:vAlign w:val="center"/>
          </w:tcPr>
          <w:p>
            <w:pPr>
              <w:rPr>
                <w:rFonts w:ascii="仿宋" w:hAnsi="仿宋" w:eastAsia="仿宋"/>
              </w:rPr>
            </w:pPr>
          </w:p>
        </w:tc>
        <w:tc>
          <w:tcPr>
            <w:tcW w:w="649" w:type="pct"/>
            <w:vAlign w:val="center"/>
          </w:tcPr>
          <w:p>
            <w:pPr>
              <w:jc w:val="center"/>
              <w:rPr>
                <w:rFonts w:ascii="仿宋" w:hAnsi="仿宋" w:eastAsia="仿宋"/>
              </w:rPr>
            </w:pPr>
          </w:p>
        </w:tc>
        <w:tc>
          <w:tcPr>
            <w:tcW w:w="458" w:type="pct"/>
            <w:vAlign w:val="center"/>
          </w:tcPr>
          <w:p>
            <w:pPr>
              <w:jc w:val="center"/>
              <w:rPr>
                <w:rFonts w:ascii="仿宋" w:hAnsi="仿宋" w:eastAsia="仿宋"/>
              </w:rPr>
            </w:pPr>
          </w:p>
        </w:tc>
        <w:tc>
          <w:tcPr>
            <w:tcW w:w="492" w:type="pct"/>
            <w:vAlign w:val="center"/>
          </w:tcPr>
          <w:p>
            <w:pPr>
              <w:jc w:val="center"/>
              <w:rPr>
                <w:rFonts w:ascii="仿宋" w:hAnsi="仿宋" w:eastAsia="仿宋"/>
              </w:rPr>
            </w:pPr>
          </w:p>
        </w:tc>
        <w:tc>
          <w:tcPr>
            <w:tcW w:w="691" w:type="pct"/>
            <w:vAlign w:val="center"/>
          </w:tcPr>
          <w:p>
            <w:pPr>
              <w:jc w:val="center"/>
              <w:rPr>
                <w:rFonts w:ascii="仿宋" w:hAnsi="仿宋" w:eastAsia="仿宋"/>
              </w:rPr>
            </w:pPr>
          </w:p>
        </w:tc>
        <w:tc>
          <w:tcPr>
            <w:tcW w:w="755" w:type="pct"/>
            <w:vAlign w:val="center"/>
          </w:tcPr>
          <w:p>
            <w:pPr>
              <w:jc w:val="center"/>
              <w:rPr>
                <w:rFonts w:ascii="仿宋" w:hAnsi="仿宋" w:eastAsia="仿宋"/>
              </w:rPr>
            </w:pPr>
          </w:p>
        </w:tc>
        <w:tc>
          <w:tcPr>
            <w:tcW w:w="419" w:type="pct"/>
            <w:vAlign w:val="center"/>
          </w:tcPr>
          <w:p>
            <w:pPr>
              <w:jc w:val="center"/>
              <w:rPr>
                <w:rFonts w:ascii="仿宋" w:hAnsi="仿宋" w:eastAsia="仿宋"/>
              </w:rPr>
            </w:pPr>
          </w:p>
        </w:tc>
        <w:tc>
          <w:tcPr>
            <w:tcW w:w="424" w:type="pct"/>
            <w:vAlign w:val="center"/>
          </w:tcPr>
          <w:p>
            <w:pPr>
              <w:jc w:val="center"/>
              <w:rPr>
                <w:rFonts w:ascii="仿宋" w:hAnsi="仿宋" w:eastAsia="仿宋"/>
              </w:rPr>
            </w:pPr>
          </w:p>
        </w:tc>
        <w:tc>
          <w:tcPr>
            <w:tcW w:w="482" w:type="pct"/>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630" w:type="pct"/>
            <w:vMerge w:val="continue"/>
            <w:vAlign w:val="center"/>
          </w:tcPr>
          <w:p>
            <w:pPr>
              <w:rPr>
                <w:rFonts w:ascii="仿宋" w:hAnsi="仿宋" w:eastAsia="仿宋"/>
              </w:rPr>
            </w:pPr>
          </w:p>
        </w:tc>
        <w:tc>
          <w:tcPr>
            <w:tcW w:w="649" w:type="pct"/>
            <w:vAlign w:val="center"/>
          </w:tcPr>
          <w:p>
            <w:pPr>
              <w:jc w:val="center"/>
              <w:rPr>
                <w:rFonts w:ascii="仿宋" w:hAnsi="仿宋" w:eastAsia="仿宋"/>
              </w:rPr>
            </w:pPr>
          </w:p>
        </w:tc>
        <w:tc>
          <w:tcPr>
            <w:tcW w:w="458" w:type="pct"/>
            <w:vAlign w:val="center"/>
          </w:tcPr>
          <w:p>
            <w:pPr>
              <w:jc w:val="center"/>
              <w:rPr>
                <w:rFonts w:ascii="仿宋" w:hAnsi="仿宋" w:eastAsia="仿宋"/>
              </w:rPr>
            </w:pPr>
          </w:p>
        </w:tc>
        <w:tc>
          <w:tcPr>
            <w:tcW w:w="492" w:type="pct"/>
            <w:vAlign w:val="center"/>
          </w:tcPr>
          <w:p>
            <w:pPr>
              <w:jc w:val="center"/>
              <w:rPr>
                <w:rFonts w:ascii="仿宋" w:hAnsi="仿宋" w:eastAsia="仿宋"/>
              </w:rPr>
            </w:pPr>
          </w:p>
        </w:tc>
        <w:tc>
          <w:tcPr>
            <w:tcW w:w="691" w:type="pct"/>
            <w:vAlign w:val="center"/>
          </w:tcPr>
          <w:p>
            <w:pPr>
              <w:jc w:val="center"/>
              <w:rPr>
                <w:rFonts w:ascii="仿宋" w:hAnsi="仿宋" w:eastAsia="仿宋"/>
              </w:rPr>
            </w:pPr>
          </w:p>
        </w:tc>
        <w:tc>
          <w:tcPr>
            <w:tcW w:w="755" w:type="pct"/>
            <w:vAlign w:val="center"/>
          </w:tcPr>
          <w:p>
            <w:pPr>
              <w:jc w:val="center"/>
              <w:rPr>
                <w:rFonts w:ascii="仿宋" w:hAnsi="仿宋" w:eastAsia="仿宋"/>
              </w:rPr>
            </w:pPr>
          </w:p>
        </w:tc>
        <w:tc>
          <w:tcPr>
            <w:tcW w:w="419" w:type="pct"/>
            <w:vAlign w:val="center"/>
          </w:tcPr>
          <w:p>
            <w:pPr>
              <w:jc w:val="center"/>
              <w:rPr>
                <w:rFonts w:ascii="仿宋" w:hAnsi="仿宋" w:eastAsia="仿宋"/>
              </w:rPr>
            </w:pPr>
          </w:p>
        </w:tc>
        <w:tc>
          <w:tcPr>
            <w:tcW w:w="424" w:type="pct"/>
            <w:vAlign w:val="center"/>
          </w:tcPr>
          <w:p>
            <w:pPr>
              <w:jc w:val="center"/>
              <w:rPr>
                <w:rFonts w:ascii="仿宋" w:hAnsi="仿宋" w:eastAsia="仿宋"/>
              </w:rPr>
            </w:pPr>
          </w:p>
        </w:tc>
        <w:tc>
          <w:tcPr>
            <w:tcW w:w="482" w:type="pct"/>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630" w:type="pct"/>
            <w:vMerge w:val="continue"/>
            <w:vAlign w:val="center"/>
          </w:tcPr>
          <w:p>
            <w:pPr>
              <w:rPr>
                <w:rFonts w:ascii="仿宋" w:hAnsi="仿宋" w:eastAsia="仿宋"/>
              </w:rPr>
            </w:pPr>
          </w:p>
        </w:tc>
        <w:tc>
          <w:tcPr>
            <w:tcW w:w="649" w:type="pct"/>
            <w:vAlign w:val="center"/>
          </w:tcPr>
          <w:p>
            <w:pPr>
              <w:jc w:val="center"/>
              <w:rPr>
                <w:rFonts w:ascii="仿宋" w:hAnsi="仿宋" w:eastAsia="仿宋"/>
              </w:rPr>
            </w:pPr>
          </w:p>
        </w:tc>
        <w:tc>
          <w:tcPr>
            <w:tcW w:w="458" w:type="pct"/>
            <w:vAlign w:val="center"/>
          </w:tcPr>
          <w:p>
            <w:pPr>
              <w:jc w:val="center"/>
              <w:rPr>
                <w:rFonts w:ascii="仿宋" w:hAnsi="仿宋" w:eastAsia="仿宋"/>
              </w:rPr>
            </w:pPr>
          </w:p>
        </w:tc>
        <w:tc>
          <w:tcPr>
            <w:tcW w:w="492" w:type="pct"/>
            <w:vAlign w:val="center"/>
          </w:tcPr>
          <w:p>
            <w:pPr>
              <w:jc w:val="center"/>
              <w:rPr>
                <w:rFonts w:ascii="仿宋" w:hAnsi="仿宋" w:eastAsia="仿宋"/>
              </w:rPr>
            </w:pPr>
          </w:p>
        </w:tc>
        <w:tc>
          <w:tcPr>
            <w:tcW w:w="691" w:type="pct"/>
            <w:vAlign w:val="center"/>
          </w:tcPr>
          <w:p>
            <w:pPr>
              <w:jc w:val="center"/>
              <w:rPr>
                <w:rFonts w:ascii="仿宋" w:hAnsi="仿宋" w:eastAsia="仿宋"/>
              </w:rPr>
            </w:pPr>
          </w:p>
        </w:tc>
        <w:tc>
          <w:tcPr>
            <w:tcW w:w="755" w:type="pct"/>
            <w:vAlign w:val="center"/>
          </w:tcPr>
          <w:p>
            <w:pPr>
              <w:jc w:val="center"/>
              <w:rPr>
                <w:rFonts w:ascii="仿宋" w:hAnsi="仿宋" w:eastAsia="仿宋"/>
              </w:rPr>
            </w:pPr>
          </w:p>
        </w:tc>
        <w:tc>
          <w:tcPr>
            <w:tcW w:w="419" w:type="pct"/>
            <w:vAlign w:val="center"/>
          </w:tcPr>
          <w:p>
            <w:pPr>
              <w:jc w:val="center"/>
              <w:rPr>
                <w:rFonts w:ascii="仿宋" w:hAnsi="仿宋" w:eastAsia="仿宋"/>
              </w:rPr>
            </w:pPr>
          </w:p>
        </w:tc>
        <w:tc>
          <w:tcPr>
            <w:tcW w:w="424" w:type="pct"/>
            <w:vAlign w:val="center"/>
          </w:tcPr>
          <w:p>
            <w:pPr>
              <w:jc w:val="center"/>
              <w:rPr>
                <w:rFonts w:ascii="仿宋" w:hAnsi="仿宋" w:eastAsia="仿宋"/>
              </w:rPr>
            </w:pPr>
          </w:p>
        </w:tc>
        <w:tc>
          <w:tcPr>
            <w:tcW w:w="482" w:type="pct"/>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630" w:type="pct"/>
            <w:vMerge w:val="restart"/>
            <w:vAlign w:val="center"/>
          </w:tcPr>
          <w:p>
            <w:pPr>
              <w:rPr>
                <w:rFonts w:ascii="仿宋" w:hAnsi="仿宋" w:eastAsia="仿宋"/>
              </w:rPr>
            </w:pPr>
          </w:p>
        </w:tc>
        <w:tc>
          <w:tcPr>
            <w:tcW w:w="649" w:type="pct"/>
            <w:vAlign w:val="center"/>
          </w:tcPr>
          <w:p>
            <w:pPr>
              <w:jc w:val="center"/>
              <w:rPr>
                <w:rFonts w:ascii="仿宋" w:hAnsi="仿宋" w:eastAsia="仿宋"/>
              </w:rPr>
            </w:pPr>
          </w:p>
        </w:tc>
        <w:tc>
          <w:tcPr>
            <w:tcW w:w="458" w:type="pct"/>
            <w:vAlign w:val="center"/>
          </w:tcPr>
          <w:p>
            <w:pPr>
              <w:jc w:val="center"/>
              <w:rPr>
                <w:rFonts w:ascii="仿宋" w:hAnsi="仿宋" w:eastAsia="仿宋"/>
              </w:rPr>
            </w:pPr>
          </w:p>
        </w:tc>
        <w:tc>
          <w:tcPr>
            <w:tcW w:w="492" w:type="pct"/>
            <w:vAlign w:val="center"/>
          </w:tcPr>
          <w:p>
            <w:pPr>
              <w:jc w:val="center"/>
              <w:rPr>
                <w:rFonts w:ascii="仿宋" w:hAnsi="仿宋" w:eastAsia="仿宋"/>
              </w:rPr>
            </w:pPr>
          </w:p>
        </w:tc>
        <w:tc>
          <w:tcPr>
            <w:tcW w:w="691" w:type="pct"/>
            <w:vAlign w:val="center"/>
          </w:tcPr>
          <w:p>
            <w:pPr>
              <w:jc w:val="center"/>
              <w:rPr>
                <w:rFonts w:ascii="仿宋" w:hAnsi="仿宋" w:eastAsia="仿宋"/>
              </w:rPr>
            </w:pPr>
          </w:p>
        </w:tc>
        <w:tc>
          <w:tcPr>
            <w:tcW w:w="755" w:type="pct"/>
            <w:vAlign w:val="center"/>
          </w:tcPr>
          <w:p>
            <w:pPr>
              <w:jc w:val="center"/>
              <w:rPr>
                <w:rFonts w:ascii="仿宋" w:hAnsi="仿宋" w:eastAsia="仿宋"/>
              </w:rPr>
            </w:pPr>
          </w:p>
        </w:tc>
        <w:tc>
          <w:tcPr>
            <w:tcW w:w="419" w:type="pct"/>
            <w:vAlign w:val="center"/>
          </w:tcPr>
          <w:p>
            <w:pPr>
              <w:jc w:val="center"/>
              <w:rPr>
                <w:rFonts w:ascii="仿宋" w:hAnsi="仿宋" w:eastAsia="仿宋"/>
              </w:rPr>
            </w:pPr>
          </w:p>
        </w:tc>
        <w:tc>
          <w:tcPr>
            <w:tcW w:w="424" w:type="pct"/>
            <w:vAlign w:val="center"/>
          </w:tcPr>
          <w:p>
            <w:pPr>
              <w:jc w:val="center"/>
              <w:rPr>
                <w:rFonts w:ascii="仿宋" w:hAnsi="仿宋" w:eastAsia="仿宋"/>
              </w:rPr>
            </w:pPr>
          </w:p>
        </w:tc>
        <w:tc>
          <w:tcPr>
            <w:tcW w:w="482" w:type="pct"/>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630" w:type="pct"/>
            <w:vMerge w:val="continue"/>
            <w:vAlign w:val="center"/>
          </w:tcPr>
          <w:p>
            <w:pPr>
              <w:rPr>
                <w:rFonts w:ascii="仿宋" w:hAnsi="仿宋" w:eastAsia="仿宋"/>
              </w:rPr>
            </w:pPr>
          </w:p>
        </w:tc>
        <w:tc>
          <w:tcPr>
            <w:tcW w:w="649" w:type="pct"/>
            <w:vAlign w:val="center"/>
          </w:tcPr>
          <w:p>
            <w:pPr>
              <w:jc w:val="center"/>
              <w:rPr>
                <w:rFonts w:ascii="仿宋" w:hAnsi="仿宋" w:eastAsia="仿宋"/>
              </w:rPr>
            </w:pPr>
          </w:p>
        </w:tc>
        <w:tc>
          <w:tcPr>
            <w:tcW w:w="458" w:type="pct"/>
            <w:vAlign w:val="center"/>
          </w:tcPr>
          <w:p>
            <w:pPr>
              <w:jc w:val="center"/>
              <w:rPr>
                <w:rFonts w:ascii="仿宋" w:hAnsi="仿宋" w:eastAsia="仿宋"/>
              </w:rPr>
            </w:pPr>
          </w:p>
        </w:tc>
        <w:tc>
          <w:tcPr>
            <w:tcW w:w="492" w:type="pct"/>
            <w:vAlign w:val="center"/>
          </w:tcPr>
          <w:p>
            <w:pPr>
              <w:jc w:val="center"/>
              <w:rPr>
                <w:rFonts w:ascii="仿宋" w:hAnsi="仿宋" w:eastAsia="仿宋"/>
              </w:rPr>
            </w:pPr>
          </w:p>
        </w:tc>
        <w:tc>
          <w:tcPr>
            <w:tcW w:w="691" w:type="pct"/>
            <w:vAlign w:val="center"/>
          </w:tcPr>
          <w:p>
            <w:pPr>
              <w:jc w:val="center"/>
              <w:rPr>
                <w:rFonts w:ascii="仿宋" w:hAnsi="仿宋" w:eastAsia="仿宋"/>
              </w:rPr>
            </w:pPr>
          </w:p>
        </w:tc>
        <w:tc>
          <w:tcPr>
            <w:tcW w:w="755" w:type="pct"/>
            <w:vAlign w:val="center"/>
          </w:tcPr>
          <w:p>
            <w:pPr>
              <w:jc w:val="center"/>
              <w:rPr>
                <w:rFonts w:ascii="仿宋" w:hAnsi="仿宋" w:eastAsia="仿宋"/>
              </w:rPr>
            </w:pPr>
          </w:p>
        </w:tc>
        <w:tc>
          <w:tcPr>
            <w:tcW w:w="419" w:type="pct"/>
            <w:vAlign w:val="center"/>
          </w:tcPr>
          <w:p>
            <w:pPr>
              <w:jc w:val="center"/>
              <w:rPr>
                <w:rFonts w:ascii="仿宋" w:hAnsi="仿宋" w:eastAsia="仿宋"/>
              </w:rPr>
            </w:pPr>
          </w:p>
        </w:tc>
        <w:tc>
          <w:tcPr>
            <w:tcW w:w="424" w:type="pct"/>
            <w:vAlign w:val="center"/>
          </w:tcPr>
          <w:p>
            <w:pPr>
              <w:jc w:val="center"/>
              <w:rPr>
                <w:rFonts w:ascii="仿宋" w:hAnsi="仿宋" w:eastAsia="仿宋"/>
              </w:rPr>
            </w:pPr>
          </w:p>
        </w:tc>
        <w:tc>
          <w:tcPr>
            <w:tcW w:w="482" w:type="pct"/>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630" w:type="pct"/>
            <w:vMerge w:val="continue"/>
            <w:vAlign w:val="center"/>
          </w:tcPr>
          <w:p>
            <w:pPr>
              <w:rPr>
                <w:rFonts w:ascii="仿宋" w:hAnsi="仿宋" w:eastAsia="仿宋"/>
              </w:rPr>
            </w:pPr>
          </w:p>
        </w:tc>
        <w:tc>
          <w:tcPr>
            <w:tcW w:w="649" w:type="pct"/>
            <w:vAlign w:val="center"/>
          </w:tcPr>
          <w:p>
            <w:pPr>
              <w:jc w:val="center"/>
              <w:rPr>
                <w:rFonts w:ascii="仿宋" w:hAnsi="仿宋" w:eastAsia="仿宋"/>
              </w:rPr>
            </w:pPr>
          </w:p>
        </w:tc>
        <w:tc>
          <w:tcPr>
            <w:tcW w:w="458" w:type="pct"/>
            <w:vAlign w:val="center"/>
          </w:tcPr>
          <w:p>
            <w:pPr>
              <w:jc w:val="center"/>
              <w:rPr>
                <w:rFonts w:ascii="仿宋" w:hAnsi="仿宋" w:eastAsia="仿宋"/>
              </w:rPr>
            </w:pPr>
          </w:p>
        </w:tc>
        <w:tc>
          <w:tcPr>
            <w:tcW w:w="492" w:type="pct"/>
            <w:vAlign w:val="center"/>
          </w:tcPr>
          <w:p>
            <w:pPr>
              <w:jc w:val="center"/>
              <w:rPr>
                <w:rFonts w:ascii="仿宋" w:hAnsi="仿宋" w:eastAsia="仿宋"/>
              </w:rPr>
            </w:pPr>
          </w:p>
        </w:tc>
        <w:tc>
          <w:tcPr>
            <w:tcW w:w="691" w:type="pct"/>
            <w:vAlign w:val="center"/>
          </w:tcPr>
          <w:p>
            <w:pPr>
              <w:jc w:val="center"/>
              <w:rPr>
                <w:rFonts w:ascii="仿宋" w:hAnsi="仿宋" w:eastAsia="仿宋"/>
              </w:rPr>
            </w:pPr>
          </w:p>
        </w:tc>
        <w:tc>
          <w:tcPr>
            <w:tcW w:w="755" w:type="pct"/>
            <w:vAlign w:val="center"/>
          </w:tcPr>
          <w:p>
            <w:pPr>
              <w:jc w:val="center"/>
              <w:rPr>
                <w:rFonts w:ascii="仿宋" w:hAnsi="仿宋" w:eastAsia="仿宋"/>
              </w:rPr>
            </w:pPr>
          </w:p>
        </w:tc>
        <w:tc>
          <w:tcPr>
            <w:tcW w:w="419" w:type="pct"/>
            <w:vAlign w:val="center"/>
          </w:tcPr>
          <w:p>
            <w:pPr>
              <w:jc w:val="center"/>
              <w:rPr>
                <w:rFonts w:ascii="仿宋" w:hAnsi="仿宋" w:eastAsia="仿宋"/>
              </w:rPr>
            </w:pPr>
          </w:p>
        </w:tc>
        <w:tc>
          <w:tcPr>
            <w:tcW w:w="424" w:type="pct"/>
            <w:vAlign w:val="center"/>
          </w:tcPr>
          <w:p>
            <w:pPr>
              <w:jc w:val="center"/>
              <w:rPr>
                <w:rFonts w:ascii="仿宋" w:hAnsi="仿宋" w:eastAsia="仿宋"/>
              </w:rPr>
            </w:pPr>
          </w:p>
        </w:tc>
        <w:tc>
          <w:tcPr>
            <w:tcW w:w="482" w:type="pct"/>
            <w:vAlign w:val="center"/>
          </w:tcPr>
          <w:p>
            <w:pPr>
              <w:jc w:val="center"/>
              <w:rPr>
                <w:rFonts w:ascii="仿宋" w:hAnsi="仿宋" w:eastAsia="仿宋"/>
              </w:rPr>
            </w:pPr>
          </w:p>
        </w:tc>
      </w:tr>
    </w:tbl>
    <w:p>
      <w:pPr>
        <w:ind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注：</w:t>
      </w:r>
    </w:p>
    <w:p>
      <w:pPr>
        <w:ind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1．以上表格格式行可增减。</w:t>
      </w:r>
    </w:p>
    <w:p>
      <w:pPr>
        <w:ind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2．详见综合评分明细表。</w:t>
      </w:r>
    </w:p>
    <w:p>
      <w:pPr>
        <w:ind w:firstLine="480"/>
        <w:rPr>
          <w:rFonts w:ascii="仿宋" w:hAnsi="仿宋" w:eastAsia="仿宋"/>
          <w:b w:val="0"/>
          <w:color w:val="auto"/>
          <w:kern w:val="2"/>
          <w:sz w:val="24"/>
          <w:szCs w:val="24"/>
          <w:lang w:val="en-US"/>
        </w:rPr>
      </w:pPr>
    </w:p>
    <w:p>
      <w:pPr>
        <w:ind w:firstLine="480"/>
        <w:rPr>
          <w:rFonts w:ascii="仿宋" w:hAnsi="仿宋" w:eastAsia="仿宋"/>
          <w:b w:val="0"/>
          <w:color w:val="auto"/>
          <w:kern w:val="2"/>
          <w:sz w:val="24"/>
          <w:szCs w:val="24"/>
          <w:lang w:val="en-US"/>
        </w:rPr>
      </w:pPr>
    </w:p>
    <w:p>
      <w:pPr>
        <w:ind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投标人名称（公章）：</w:t>
      </w:r>
    </w:p>
    <w:p>
      <w:pPr>
        <w:ind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法定代表人</w:t>
      </w:r>
      <w:r>
        <w:rPr>
          <w:rFonts w:hint="eastAsia" w:ascii="仿宋" w:hAnsi="仿宋" w:eastAsia="仿宋"/>
          <w:b w:val="0"/>
          <w:color w:val="auto"/>
          <w:kern w:val="2"/>
          <w:sz w:val="24"/>
          <w:szCs w:val="24"/>
          <w:lang w:val="en-US"/>
        </w:rPr>
        <w:t>（主要负责人）</w:t>
      </w:r>
      <w:r>
        <w:rPr>
          <w:rFonts w:ascii="仿宋" w:hAnsi="仿宋" w:eastAsia="仿宋"/>
          <w:b w:val="0"/>
          <w:color w:val="auto"/>
          <w:kern w:val="2"/>
          <w:sz w:val="24"/>
          <w:szCs w:val="24"/>
          <w:lang w:val="en-US"/>
        </w:rPr>
        <w:t>或代理人（签字或加盖印章）：</w:t>
      </w:r>
    </w:p>
    <w:p>
      <w:pPr>
        <w:ind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日  期:</w:t>
      </w:r>
    </w:p>
    <w:p>
      <w:pPr>
        <w:ind w:firstLine="480"/>
        <w:rPr>
          <w:rFonts w:ascii="仿宋" w:hAnsi="仿宋" w:eastAsia="仿宋"/>
          <w:b w:val="0"/>
          <w:color w:val="auto"/>
          <w:kern w:val="2"/>
          <w:sz w:val="24"/>
          <w:szCs w:val="24"/>
          <w:lang w:val="en-US"/>
        </w:rPr>
      </w:pPr>
    </w:p>
    <w:p>
      <w:pPr>
        <w:ind w:firstLine="480"/>
        <w:rPr>
          <w:rFonts w:ascii="仿宋" w:hAnsi="仿宋" w:eastAsia="仿宋"/>
          <w:b w:val="0"/>
          <w:color w:val="auto"/>
          <w:kern w:val="2"/>
          <w:sz w:val="24"/>
          <w:szCs w:val="24"/>
          <w:lang w:val="en-US"/>
        </w:rPr>
      </w:pPr>
    </w:p>
    <w:p>
      <w:pPr>
        <w:keepNext/>
        <w:keepLines/>
        <w:numPr>
          <w:ilvl w:val="3"/>
          <w:numId w:val="17"/>
        </w:numPr>
        <w:tabs>
          <w:tab w:val="left" w:pos="360"/>
        </w:tabs>
        <w:spacing w:line="520" w:lineRule="exact"/>
        <w:ind w:left="0" w:firstLine="0" w:firstLineChars="0"/>
        <w:outlineLvl w:val="3"/>
        <w:rPr>
          <w:rFonts w:ascii="仿宋" w:hAnsi="仿宋" w:eastAsia="仿宋"/>
          <w:bCs/>
          <w:color w:val="auto"/>
          <w:kern w:val="2"/>
          <w:sz w:val="24"/>
          <w:szCs w:val="24"/>
          <w:lang w:val="en-US"/>
        </w:rPr>
      </w:pPr>
      <w:r>
        <w:rPr>
          <w:rFonts w:ascii="仿宋" w:hAnsi="仿宋" w:eastAsia="仿宋"/>
          <w:bCs/>
          <w:color w:val="auto"/>
          <w:kern w:val="2"/>
          <w:sz w:val="24"/>
          <w:szCs w:val="24"/>
          <w:lang w:val="en-US"/>
        </w:rPr>
        <w:t xml:space="preserve"> </w:t>
      </w:r>
      <w:bookmarkStart w:id="428" w:name="_Toc494198610"/>
      <w:r>
        <w:rPr>
          <w:rFonts w:ascii="仿宋" w:hAnsi="仿宋" w:eastAsia="仿宋"/>
          <w:bCs/>
          <w:color w:val="auto"/>
          <w:kern w:val="2"/>
          <w:sz w:val="24"/>
          <w:szCs w:val="24"/>
          <w:lang w:val="en-US"/>
        </w:rPr>
        <w:t>项目实施方案</w:t>
      </w:r>
      <w:bookmarkEnd w:id="428"/>
    </w:p>
    <w:p>
      <w:pPr>
        <w:ind w:firstLine="480"/>
        <w:rPr>
          <w:rFonts w:ascii="仿宋" w:hAnsi="仿宋" w:eastAsia="仿宋"/>
          <w:b w:val="0"/>
          <w:color w:val="auto"/>
          <w:kern w:val="2"/>
          <w:sz w:val="24"/>
          <w:szCs w:val="24"/>
          <w:lang w:val="en-US"/>
        </w:rPr>
      </w:pPr>
    </w:p>
    <w:p>
      <w:pPr>
        <w:ind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 xml:space="preserve">采购项目名称： </w:t>
      </w:r>
    </w:p>
    <w:p>
      <w:pPr>
        <w:ind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采购项目编号：</w:t>
      </w:r>
    </w:p>
    <w:p>
      <w:pPr>
        <w:ind w:firstLine="480"/>
        <w:rPr>
          <w:rFonts w:hint="eastAsia" w:ascii="仿宋" w:hAnsi="仿宋" w:eastAsia="仿宋"/>
          <w:b w:val="0"/>
          <w:kern w:val="2"/>
          <w:sz w:val="24"/>
          <w:szCs w:val="24"/>
          <w:lang w:val="en-US"/>
        </w:rPr>
      </w:pPr>
    </w:p>
    <w:p>
      <w:pPr>
        <w:ind w:firstLine="0" w:firstLineChars="0"/>
        <w:rPr>
          <w:rFonts w:ascii="仿宋" w:hAnsi="仿宋" w:eastAsia="仿宋"/>
        </w:rPr>
      </w:pPr>
      <w:r>
        <w:rPr>
          <w:rFonts w:ascii="仿宋" w:hAnsi="仿宋" w:eastAsia="仿宋"/>
        </w:rPr>
        <w:t xml:space="preserve">   </w:t>
      </w:r>
    </w:p>
    <w:p>
      <w:pPr>
        <w:rPr>
          <w:rFonts w:ascii="仿宋" w:hAnsi="仿宋" w:eastAsia="仿宋"/>
        </w:rPr>
      </w:pPr>
    </w:p>
    <w:p>
      <w:pPr>
        <w:ind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由投标人自行编写，格式不限。但应包含且不限于：综合评分明细表涉及内容。</w:t>
      </w: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ind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投标人名称（公章）：</w:t>
      </w:r>
    </w:p>
    <w:p>
      <w:pPr>
        <w:ind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法定代表人</w:t>
      </w:r>
      <w:r>
        <w:rPr>
          <w:rFonts w:hint="eastAsia" w:ascii="仿宋" w:hAnsi="仿宋" w:eastAsia="仿宋"/>
          <w:b w:val="0"/>
          <w:color w:val="auto"/>
          <w:kern w:val="2"/>
          <w:sz w:val="24"/>
          <w:szCs w:val="24"/>
          <w:lang w:val="en-US"/>
        </w:rPr>
        <w:t>（主要负责人）</w:t>
      </w:r>
      <w:r>
        <w:rPr>
          <w:rFonts w:ascii="仿宋" w:hAnsi="仿宋" w:eastAsia="仿宋"/>
          <w:b w:val="0"/>
          <w:color w:val="auto"/>
          <w:kern w:val="2"/>
          <w:sz w:val="24"/>
          <w:szCs w:val="24"/>
          <w:lang w:val="en-US"/>
        </w:rPr>
        <w:t>或代理人（签字或加盖印章）：</w:t>
      </w:r>
    </w:p>
    <w:p>
      <w:pPr>
        <w:ind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日    期:</w:t>
      </w: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r>
        <w:rPr>
          <w:rFonts w:ascii="仿宋" w:hAnsi="仿宋" w:eastAsia="仿宋"/>
        </w:rPr>
        <w:tab/>
      </w:r>
    </w:p>
    <w:p>
      <w:pPr>
        <w:rPr>
          <w:rFonts w:ascii="仿宋" w:hAnsi="仿宋" w:eastAsia="仿宋"/>
        </w:rPr>
      </w:pPr>
    </w:p>
    <w:p>
      <w:pPr>
        <w:rPr>
          <w:rFonts w:hint="eastAsia"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keepNext/>
        <w:keepLines/>
        <w:numPr>
          <w:ilvl w:val="3"/>
          <w:numId w:val="17"/>
        </w:numPr>
        <w:tabs>
          <w:tab w:val="left" w:pos="360"/>
        </w:tabs>
        <w:spacing w:line="520" w:lineRule="exact"/>
        <w:ind w:left="0" w:firstLine="0" w:firstLineChars="0"/>
        <w:outlineLvl w:val="3"/>
        <w:rPr>
          <w:rFonts w:ascii="仿宋" w:hAnsi="仿宋" w:eastAsia="仿宋"/>
          <w:bCs/>
          <w:color w:val="auto"/>
          <w:kern w:val="2"/>
          <w:sz w:val="24"/>
          <w:szCs w:val="24"/>
          <w:lang w:val="en-US"/>
        </w:rPr>
      </w:pPr>
      <w:r>
        <w:rPr>
          <w:rFonts w:ascii="仿宋" w:hAnsi="仿宋" w:eastAsia="仿宋"/>
          <w:bCs/>
          <w:color w:val="auto"/>
          <w:kern w:val="2"/>
          <w:sz w:val="24"/>
          <w:szCs w:val="24"/>
          <w:lang w:val="en-US"/>
        </w:rPr>
        <w:t xml:space="preserve"> </w:t>
      </w:r>
      <w:bookmarkStart w:id="429" w:name="_Toc494198611"/>
      <w:r>
        <w:rPr>
          <w:rFonts w:ascii="仿宋" w:hAnsi="仿宋" w:eastAsia="仿宋"/>
          <w:bCs/>
          <w:color w:val="auto"/>
          <w:kern w:val="2"/>
          <w:sz w:val="24"/>
          <w:szCs w:val="24"/>
          <w:lang w:val="en-US"/>
        </w:rPr>
        <w:t>中小企业声明函</w:t>
      </w:r>
      <w:bookmarkEnd w:id="429"/>
    </w:p>
    <w:p>
      <w:pPr>
        <w:snapToGrid/>
        <w:spacing w:beforeLines="100" w:afterLines="100" w:line="520" w:lineRule="exact"/>
        <w:ind w:firstLine="0" w:firstLineChars="0"/>
        <w:jc w:val="center"/>
        <w:rPr>
          <w:rFonts w:ascii="仿宋" w:hAnsi="仿宋" w:eastAsia="仿宋"/>
          <w:color w:val="auto"/>
          <w:spacing w:val="6"/>
          <w:kern w:val="2"/>
          <w:sz w:val="24"/>
          <w:szCs w:val="24"/>
          <w:lang w:val="en-US"/>
        </w:rPr>
      </w:pPr>
      <w:r>
        <w:rPr>
          <w:rFonts w:ascii="仿宋" w:hAnsi="仿宋" w:eastAsia="仿宋"/>
          <w:color w:val="auto"/>
          <w:spacing w:val="6"/>
          <w:kern w:val="2"/>
          <w:sz w:val="24"/>
          <w:szCs w:val="24"/>
          <w:lang w:val="en-US"/>
        </w:rPr>
        <w:t>中小企业声明函</w:t>
      </w:r>
    </w:p>
    <w:p>
      <w:pPr>
        <w:ind w:firstLine="480"/>
        <w:rPr>
          <w:rFonts w:ascii="仿宋" w:hAnsi="仿宋" w:eastAsia="仿宋"/>
          <w:b w:val="0"/>
          <w:color w:val="auto"/>
          <w:sz w:val="24"/>
          <w:szCs w:val="24"/>
        </w:rPr>
      </w:pPr>
      <w:r>
        <w:rPr>
          <w:rFonts w:ascii="仿宋" w:hAnsi="仿宋" w:eastAsia="仿宋"/>
          <w:b w:val="0"/>
          <w:color w:val="auto"/>
          <w:sz w:val="24"/>
          <w:szCs w:val="24"/>
          <w:lang w:val="en-US"/>
        </w:rPr>
        <w:t>本公司（联合体）郑重声明，根据《政府采购促进中小</w:t>
      </w:r>
      <w:r>
        <w:rPr>
          <w:rFonts w:hint="eastAsia" w:ascii="仿宋" w:hAnsi="仿宋" w:eastAsia="仿宋"/>
          <w:b w:val="0"/>
          <w:color w:val="auto"/>
          <w:sz w:val="24"/>
          <w:szCs w:val="24"/>
          <w:lang w:val="en-US"/>
        </w:rPr>
        <w:t>企业发展管理办法》（财库﹝2020﹞46 号）的规定，本公司（联合体）参加</w:t>
      </w:r>
      <w:r>
        <w:rPr>
          <w:rFonts w:hint="eastAsia" w:ascii="仿宋" w:hAnsi="仿宋" w:eastAsia="仿宋"/>
          <w:b w:val="0"/>
          <w:color w:val="auto"/>
          <w:sz w:val="24"/>
          <w:szCs w:val="24"/>
          <w:u w:val="single"/>
          <w:lang w:val="en-US"/>
        </w:rPr>
        <w:t>（单位名称）</w:t>
      </w:r>
      <w:r>
        <w:rPr>
          <w:rFonts w:hint="eastAsia" w:ascii="仿宋" w:hAnsi="仿宋" w:eastAsia="仿宋"/>
          <w:b w:val="0"/>
          <w:color w:val="auto"/>
          <w:sz w:val="24"/>
          <w:szCs w:val="24"/>
          <w:lang w:val="en-US"/>
        </w:rPr>
        <w:t>的</w:t>
      </w:r>
      <w:r>
        <w:rPr>
          <w:rFonts w:hint="eastAsia" w:ascii="仿宋" w:hAnsi="仿宋" w:eastAsia="仿宋"/>
          <w:b w:val="0"/>
          <w:color w:val="auto"/>
          <w:sz w:val="24"/>
          <w:szCs w:val="24"/>
          <w:u w:val="single"/>
          <w:lang w:val="en-US"/>
        </w:rPr>
        <w:t>（项目名称）</w:t>
      </w:r>
      <w:r>
        <w:rPr>
          <w:rFonts w:hint="eastAsia" w:ascii="仿宋" w:hAnsi="仿宋" w:eastAsia="仿宋"/>
          <w:b w:val="0"/>
          <w:color w:val="auto"/>
          <w:sz w:val="24"/>
          <w:szCs w:val="24"/>
          <w:lang w:val="en-US"/>
        </w:rPr>
        <w:t>采购活动，服务全部由符合政策要求的中小企业承接。相关企业（含联合体中的中小企业、签订分包意向协议的中小企业）的具体情况如下：</w:t>
      </w:r>
    </w:p>
    <w:p>
      <w:pPr>
        <w:ind w:firstLine="480"/>
        <w:rPr>
          <w:rFonts w:ascii="仿宋" w:hAnsi="仿宋" w:eastAsia="仿宋"/>
          <w:b w:val="0"/>
          <w:color w:val="auto"/>
          <w:sz w:val="24"/>
          <w:szCs w:val="24"/>
        </w:rPr>
      </w:pPr>
      <w:r>
        <w:rPr>
          <w:rFonts w:hint="eastAsia" w:ascii="仿宋" w:hAnsi="仿宋" w:eastAsia="仿宋"/>
          <w:b w:val="0"/>
          <w:color w:val="auto"/>
          <w:sz w:val="24"/>
          <w:szCs w:val="24"/>
          <w:lang w:val="en-US"/>
        </w:rPr>
        <w:t xml:space="preserve">1. </w:t>
      </w:r>
      <w:r>
        <w:rPr>
          <w:rFonts w:hint="eastAsia" w:ascii="仿宋" w:hAnsi="仿宋" w:eastAsia="仿宋"/>
          <w:b w:val="0"/>
          <w:color w:val="auto"/>
          <w:sz w:val="24"/>
          <w:szCs w:val="24"/>
          <w:u w:val="single"/>
          <w:lang w:val="en-US"/>
        </w:rPr>
        <w:t>（标的名称）</w:t>
      </w:r>
      <w:r>
        <w:rPr>
          <w:rFonts w:hint="eastAsia" w:ascii="仿宋" w:hAnsi="仿宋" w:eastAsia="仿宋"/>
          <w:b w:val="0"/>
          <w:color w:val="auto"/>
          <w:sz w:val="24"/>
          <w:szCs w:val="24"/>
          <w:lang w:val="en-US"/>
        </w:rPr>
        <w:t xml:space="preserve"> ，属于</w:t>
      </w:r>
      <w:r>
        <w:rPr>
          <w:rFonts w:hint="eastAsia" w:ascii="仿宋" w:hAnsi="仿宋" w:eastAsia="仿宋"/>
          <w:b w:val="0"/>
          <w:color w:val="auto"/>
          <w:sz w:val="24"/>
          <w:szCs w:val="24"/>
          <w:u w:val="single"/>
          <w:lang w:val="en-US"/>
        </w:rPr>
        <w:t>（采购文件中明确的所属行业）</w:t>
      </w:r>
      <w:r>
        <w:rPr>
          <w:rFonts w:hint="eastAsia" w:ascii="仿宋" w:hAnsi="仿宋" w:eastAsia="仿宋"/>
          <w:b w:val="0"/>
          <w:color w:val="auto"/>
          <w:sz w:val="24"/>
          <w:szCs w:val="24"/>
          <w:lang w:val="en-US"/>
        </w:rPr>
        <w:t>；承接企业为</w:t>
      </w:r>
      <w:r>
        <w:rPr>
          <w:rFonts w:hint="eastAsia" w:ascii="仿宋" w:hAnsi="仿宋" w:eastAsia="仿宋"/>
          <w:b w:val="0"/>
          <w:color w:val="auto"/>
          <w:sz w:val="24"/>
          <w:szCs w:val="24"/>
          <w:u w:val="single"/>
          <w:lang w:val="en-US"/>
        </w:rPr>
        <w:t>（企业名称）</w:t>
      </w:r>
      <w:r>
        <w:rPr>
          <w:rFonts w:hint="eastAsia" w:ascii="仿宋" w:hAnsi="仿宋" w:eastAsia="仿宋"/>
          <w:b w:val="0"/>
          <w:color w:val="auto"/>
          <w:sz w:val="24"/>
          <w:szCs w:val="24"/>
          <w:lang w:val="en-US"/>
        </w:rPr>
        <w:t>，从业人员</w:t>
      </w:r>
      <w:r>
        <w:rPr>
          <w:rFonts w:hint="eastAsia" w:ascii="仿宋" w:hAnsi="仿宋" w:eastAsia="仿宋"/>
          <w:b w:val="0"/>
          <w:color w:val="auto"/>
          <w:sz w:val="24"/>
          <w:szCs w:val="24"/>
          <w:u w:val="single"/>
          <w:lang w:val="en-US"/>
        </w:rPr>
        <w:t xml:space="preserve">    </w:t>
      </w:r>
      <w:r>
        <w:rPr>
          <w:rFonts w:hint="eastAsia" w:ascii="仿宋" w:hAnsi="仿宋" w:eastAsia="仿宋"/>
          <w:b w:val="0"/>
          <w:color w:val="auto"/>
          <w:sz w:val="24"/>
          <w:szCs w:val="24"/>
          <w:lang w:val="en-US"/>
        </w:rPr>
        <w:t>人，营业收入为</w:t>
      </w:r>
      <w:r>
        <w:rPr>
          <w:rFonts w:hint="eastAsia" w:ascii="仿宋" w:hAnsi="仿宋" w:eastAsia="仿宋"/>
          <w:b w:val="0"/>
          <w:color w:val="auto"/>
          <w:sz w:val="24"/>
          <w:szCs w:val="24"/>
          <w:u w:val="single"/>
          <w:lang w:val="en-US"/>
        </w:rPr>
        <w:t xml:space="preserve">    </w:t>
      </w:r>
      <w:r>
        <w:rPr>
          <w:rFonts w:hint="eastAsia" w:ascii="仿宋" w:hAnsi="仿宋" w:eastAsia="仿宋"/>
          <w:b w:val="0"/>
          <w:color w:val="auto"/>
          <w:sz w:val="24"/>
          <w:szCs w:val="24"/>
          <w:lang w:val="en-US"/>
        </w:rPr>
        <w:t>万元，资产总额为</w:t>
      </w:r>
      <w:r>
        <w:rPr>
          <w:rFonts w:hint="eastAsia" w:ascii="仿宋" w:hAnsi="仿宋" w:eastAsia="仿宋"/>
          <w:b w:val="0"/>
          <w:color w:val="auto"/>
          <w:sz w:val="24"/>
          <w:szCs w:val="24"/>
          <w:u w:val="single"/>
          <w:lang w:val="en-US"/>
        </w:rPr>
        <w:t xml:space="preserve">    </w:t>
      </w:r>
      <w:r>
        <w:rPr>
          <w:rFonts w:hint="eastAsia" w:ascii="仿宋" w:hAnsi="仿宋" w:eastAsia="仿宋"/>
          <w:b w:val="0"/>
          <w:color w:val="auto"/>
          <w:sz w:val="24"/>
          <w:szCs w:val="24"/>
          <w:lang w:val="en-US"/>
        </w:rPr>
        <w:t>万元，属于</w:t>
      </w:r>
      <w:r>
        <w:rPr>
          <w:rFonts w:hint="eastAsia" w:ascii="仿宋" w:hAnsi="仿宋" w:eastAsia="仿宋"/>
          <w:b w:val="0"/>
          <w:color w:val="auto"/>
          <w:sz w:val="24"/>
          <w:szCs w:val="24"/>
          <w:u w:val="single"/>
          <w:lang w:val="en-US"/>
        </w:rPr>
        <w:t>（中型企业、小型企业、微型企业）</w:t>
      </w:r>
      <w:r>
        <w:rPr>
          <w:rFonts w:hint="eastAsia" w:ascii="仿宋" w:hAnsi="仿宋" w:eastAsia="仿宋"/>
          <w:b w:val="0"/>
          <w:color w:val="auto"/>
          <w:sz w:val="24"/>
          <w:szCs w:val="24"/>
          <w:lang w:val="en-US"/>
        </w:rPr>
        <w:t xml:space="preserve">； </w:t>
      </w:r>
    </w:p>
    <w:p>
      <w:pPr>
        <w:ind w:firstLine="480"/>
        <w:rPr>
          <w:rFonts w:ascii="仿宋" w:hAnsi="仿宋" w:eastAsia="仿宋"/>
          <w:b w:val="0"/>
          <w:color w:val="auto"/>
          <w:sz w:val="24"/>
          <w:szCs w:val="24"/>
        </w:rPr>
      </w:pPr>
      <w:r>
        <w:rPr>
          <w:rFonts w:hint="eastAsia" w:ascii="仿宋" w:hAnsi="仿宋" w:eastAsia="仿宋"/>
          <w:b w:val="0"/>
          <w:color w:val="auto"/>
          <w:sz w:val="24"/>
          <w:szCs w:val="24"/>
          <w:lang w:val="en-US"/>
        </w:rPr>
        <w:t xml:space="preserve">2. </w:t>
      </w:r>
      <w:r>
        <w:rPr>
          <w:rFonts w:hint="eastAsia" w:ascii="仿宋" w:hAnsi="仿宋" w:eastAsia="仿宋"/>
          <w:b w:val="0"/>
          <w:color w:val="auto"/>
          <w:sz w:val="24"/>
          <w:szCs w:val="24"/>
          <w:u w:val="single"/>
          <w:lang w:val="en-US"/>
        </w:rPr>
        <w:t>（标的名称）</w:t>
      </w:r>
      <w:r>
        <w:rPr>
          <w:rFonts w:hint="eastAsia" w:ascii="仿宋" w:hAnsi="仿宋" w:eastAsia="仿宋"/>
          <w:b w:val="0"/>
          <w:color w:val="auto"/>
          <w:sz w:val="24"/>
          <w:szCs w:val="24"/>
          <w:lang w:val="en-US"/>
        </w:rPr>
        <w:t xml:space="preserve"> ，属于</w:t>
      </w:r>
      <w:r>
        <w:rPr>
          <w:rFonts w:hint="eastAsia" w:ascii="仿宋" w:hAnsi="仿宋" w:eastAsia="仿宋"/>
          <w:b w:val="0"/>
          <w:color w:val="auto"/>
          <w:sz w:val="24"/>
          <w:szCs w:val="24"/>
          <w:u w:val="single"/>
          <w:lang w:val="en-US"/>
        </w:rPr>
        <w:t>（采购文件中明确的所属行业）</w:t>
      </w:r>
      <w:r>
        <w:rPr>
          <w:rFonts w:hint="eastAsia" w:ascii="仿宋" w:hAnsi="仿宋" w:eastAsia="仿宋"/>
          <w:b w:val="0"/>
          <w:color w:val="auto"/>
          <w:sz w:val="24"/>
          <w:szCs w:val="24"/>
          <w:lang w:val="en-US"/>
        </w:rPr>
        <w:t>；承接企业为</w:t>
      </w:r>
      <w:r>
        <w:rPr>
          <w:rFonts w:hint="eastAsia" w:ascii="仿宋" w:hAnsi="仿宋" w:eastAsia="仿宋"/>
          <w:b w:val="0"/>
          <w:color w:val="auto"/>
          <w:sz w:val="24"/>
          <w:szCs w:val="24"/>
          <w:u w:val="single"/>
          <w:lang w:val="en-US"/>
        </w:rPr>
        <w:t>（企业名称）</w:t>
      </w:r>
      <w:r>
        <w:rPr>
          <w:rFonts w:hint="eastAsia" w:ascii="仿宋" w:hAnsi="仿宋" w:eastAsia="仿宋"/>
          <w:b w:val="0"/>
          <w:color w:val="auto"/>
          <w:sz w:val="24"/>
          <w:szCs w:val="24"/>
          <w:lang w:val="en-US"/>
        </w:rPr>
        <w:t>，从业人员</w:t>
      </w:r>
      <w:r>
        <w:rPr>
          <w:rFonts w:hint="eastAsia" w:ascii="仿宋" w:hAnsi="仿宋" w:eastAsia="仿宋"/>
          <w:b w:val="0"/>
          <w:color w:val="auto"/>
          <w:sz w:val="24"/>
          <w:szCs w:val="24"/>
          <w:u w:val="single"/>
          <w:lang w:val="en-US"/>
        </w:rPr>
        <w:t xml:space="preserve">    </w:t>
      </w:r>
      <w:r>
        <w:rPr>
          <w:rFonts w:hint="eastAsia" w:ascii="仿宋" w:hAnsi="仿宋" w:eastAsia="仿宋"/>
          <w:b w:val="0"/>
          <w:color w:val="auto"/>
          <w:sz w:val="24"/>
          <w:szCs w:val="24"/>
          <w:lang w:val="en-US"/>
        </w:rPr>
        <w:t>人，营业收入为</w:t>
      </w:r>
      <w:r>
        <w:rPr>
          <w:rFonts w:hint="eastAsia" w:ascii="仿宋" w:hAnsi="仿宋" w:eastAsia="仿宋"/>
          <w:b w:val="0"/>
          <w:color w:val="auto"/>
          <w:sz w:val="24"/>
          <w:szCs w:val="24"/>
          <w:u w:val="single"/>
          <w:lang w:val="en-US"/>
        </w:rPr>
        <w:t xml:space="preserve">    </w:t>
      </w:r>
      <w:r>
        <w:rPr>
          <w:rFonts w:hint="eastAsia" w:ascii="仿宋" w:hAnsi="仿宋" w:eastAsia="仿宋"/>
          <w:b w:val="0"/>
          <w:color w:val="auto"/>
          <w:sz w:val="24"/>
          <w:szCs w:val="24"/>
          <w:lang w:val="en-US"/>
        </w:rPr>
        <w:t>万元，资产总额为</w:t>
      </w:r>
      <w:r>
        <w:rPr>
          <w:rFonts w:hint="eastAsia" w:ascii="仿宋" w:hAnsi="仿宋" w:eastAsia="仿宋"/>
          <w:b w:val="0"/>
          <w:color w:val="auto"/>
          <w:sz w:val="24"/>
          <w:szCs w:val="24"/>
          <w:u w:val="single"/>
          <w:lang w:val="en-US"/>
        </w:rPr>
        <w:t xml:space="preserve">    </w:t>
      </w:r>
      <w:r>
        <w:rPr>
          <w:rFonts w:hint="eastAsia" w:ascii="仿宋" w:hAnsi="仿宋" w:eastAsia="仿宋"/>
          <w:b w:val="0"/>
          <w:color w:val="auto"/>
          <w:sz w:val="24"/>
          <w:szCs w:val="24"/>
          <w:lang w:val="en-US"/>
        </w:rPr>
        <w:t>万元，属于</w:t>
      </w:r>
      <w:r>
        <w:rPr>
          <w:rFonts w:hint="eastAsia" w:ascii="仿宋" w:hAnsi="仿宋" w:eastAsia="仿宋"/>
          <w:b w:val="0"/>
          <w:color w:val="auto"/>
          <w:sz w:val="24"/>
          <w:szCs w:val="24"/>
          <w:u w:val="single"/>
          <w:lang w:val="en-US"/>
        </w:rPr>
        <w:t>（中型企业、小型企业、微型企业）</w:t>
      </w:r>
      <w:r>
        <w:rPr>
          <w:rFonts w:hint="eastAsia" w:ascii="仿宋" w:hAnsi="仿宋" w:eastAsia="仿宋"/>
          <w:b w:val="0"/>
          <w:color w:val="auto"/>
          <w:sz w:val="24"/>
          <w:szCs w:val="24"/>
          <w:lang w:val="en-US"/>
        </w:rPr>
        <w:t xml:space="preserve">； </w:t>
      </w:r>
    </w:p>
    <w:p>
      <w:pPr>
        <w:ind w:firstLine="480"/>
        <w:rPr>
          <w:rFonts w:ascii="仿宋" w:hAnsi="仿宋" w:eastAsia="仿宋"/>
          <w:b w:val="0"/>
          <w:color w:val="auto"/>
          <w:sz w:val="24"/>
          <w:szCs w:val="24"/>
        </w:rPr>
      </w:pPr>
      <w:r>
        <w:rPr>
          <w:rFonts w:hint="eastAsia" w:ascii="仿宋" w:hAnsi="仿宋" w:eastAsia="仿宋"/>
          <w:b w:val="0"/>
          <w:color w:val="auto"/>
          <w:sz w:val="24"/>
          <w:szCs w:val="24"/>
          <w:lang w:val="en-US"/>
        </w:rPr>
        <w:t>……</w:t>
      </w:r>
    </w:p>
    <w:p>
      <w:pPr>
        <w:ind w:firstLine="480"/>
        <w:rPr>
          <w:rFonts w:ascii="仿宋" w:hAnsi="仿宋" w:eastAsia="仿宋"/>
          <w:b w:val="0"/>
          <w:color w:val="auto"/>
          <w:sz w:val="24"/>
          <w:szCs w:val="24"/>
        </w:rPr>
      </w:pPr>
      <w:r>
        <w:rPr>
          <w:rFonts w:hint="eastAsia" w:ascii="仿宋" w:hAnsi="仿宋" w:eastAsia="仿宋"/>
          <w:b w:val="0"/>
          <w:color w:val="auto"/>
          <w:sz w:val="24"/>
          <w:szCs w:val="24"/>
          <w:lang w:val="en-US"/>
        </w:rPr>
        <w:t>以上企业，不属于大企业的分支机构，不存在控股股东为大企业的情形，也不存在与大企业的负责人为同一人的情形。</w:t>
      </w:r>
    </w:p>
    <w:p>
      <w:pPr>
        <w:ind w:firstLine="480"/>
        <w:rPr>
          <w:rFonts w:ascii="仿宋" w:hAnsi="仿宋" w:eastAsia="仿宋"/>
          <w:b w:val="0"/>
          <w:color w:val="auto"/>
          <w:sz w:val="24"/>
          <w:szCs w:val="24"/>
        </w:rPr>
      </w:pPr>
      <w:r>
        <w:rPr>
          <w:rFonts w:hint="eastAsia" w:ascii="仿宋" w:hAnsi="仿宋" w:eastAsia="仿宋"/>
          <w:b w:val="0"/>
          <w:color w:val="auto"/>
          <w:sz w:val="24"/>
          <w:szCs w:val="24"/>
          <w:lang w:val="en-US"/>
        </w:rPr>
        <w:t xml:space="preserve">本企业对上述声明内容的真实性负责。如有虚假，将依法承担相应责任。 </w:t>
      </w:r>
    </w:p>
    <w:p>
      <w:pPr>
        <w:ind w:firstLine="480"/>
        <w:rPr>
          <w:rFonts w:hint="eastAsia" w:ascii="仿宋" w:hAnsi="仿宋" w:eastAsia="仿宋"/>
          <w:b w:val="0"/>
          <w:color w:val="auto"/>
          <w:sz w:val="24"/>
          <w:szCs w:val="24"/>
          <w:lang w:val="en-US"/>
        </w:rPr>
      </w:pPr>
      <w:r>
        <w:rPr>
          <w:rFonts w:hint="eastAsia" w:ascii="仿宋" w:hAnsi="仿宋" w:eastAsia="仿宋"/>
          <w:b w:val="0"/>
          <w:color w:val="auto"/>
          <w:sz w:val="24"/>
          <w:szCs w:val="24"/>
          <w:lang w:val="en-US"/>
        </w:rPr>
        <w:t xml:space="preserve">                       </w:t>
      </w:r>
    </w:p>
    <w:p>
      <w:pPr>
        <w:ind w:firstLine="5760" w:firstLineChars="2400"/>
        <w:jc w:val="left"/>
        <w:rPr>
          <w:rFonts w:ascii="仿宋" w:hAnsi="仿宋" w:eastAsia="仿宋"/>
          <w:b w:val="0"/>
          <w:color w:val="auto"/>
          <w:sz w:val="24"/>
          <w:szCs w:val="24"/>
        </w:rPr>
      </w:pPr>
      <w:r>
        <w:rPr>
          <w:rFonts w:hint="eastAsia" w:ascii="仿宋" w:hAnsi="仿宋" w:eastAsia="仿宋"/>
          <w:b w:val="0"/>
          <w:color w:val="auto"/>
          <w:sz w:val="24"/>
          <w:szCs w:val="24"/>
          <w:lang w:val="en-US"/>
        </w:rPr>
        <w:t xml:space="preserve">企业名称（盖章）： </w:t>
      </w:r>
    </w:p>
    <w:p>
      <w:pPr>
        <w:ind w:firstLine="480"/>
        <w:jc w:val="left"/>
        <w:rPr>
          <w:rFonts w:hint="eastAsia" w:ascii="仿宋" w:hAnsi="仿宋" w:eastAsia="仿宋"/>
          <w:b w:val="0"/>
          <w:color w:val="auto"/>
          <w:sz w:val="24"/>
          <w:szCs w:val="24"/>
          <w:lang w:val="en-US"/>
        </w:rPr>
      </w:pPr>
      <w:r>
        <w:rPr>
          <w:rFonts w:hint="eastAsia" w:ascii="仿宋" w:hAnsi="仿宋" w:eastAsia="仿宋"/>
          <w:b w:val="0"/>
          <w:color w:val="auto"/>
          <w:sz w:val="24"/>
          <w:szCs w:val="24"/>
          <w:lang w:val="en-US"/>
        </w:rPr>
        <w:t xml:space="preserve">                                            日 期：</w:t>
      </w:r>
    </w:p>
    <w:p>
      <w:pPr>
        <w:ind w:firstLine="480"/>
        <w:rPr>
          <w:rFonts w:ascii="仿宋" w:hAnsi="仿宋" w:eastAsia="仿宋"/>
          <w:b w:val="0"/>
          <w:color w:val="auto"/>
          <w:sz w:val="24"/>
          <w:szCs w:val="24"/>
        </w:rPr>
      </w:pPr>
    </w:p>
    <w:p>
      <w:pPr>
        <w:ind w:firstLine="480"/>
        <w:rPr>
          <w:rFonts w:ascii="仿宋" w:hAnsi="仿宋" w:eastAsia="仿宋"/>
          <w:b w:val="0"/>
          <w:color w:val="auto"/>
          <w:sz w:val="24"/>
          <w:szCs w:val="24"/>
        </w:rPr>
      </w:pPr>
    </w:p>
    <w:p>
      <w:pPr>
        <w:adjustRightInd w:val="0"/>
        <w:ind w:firstLine="0" w:firstLineChars="0"/>
        <w:rPr>
          <w:rFonts w:ascii="仿宋" w:hAnsi="仿宋" w:eastAsia="仿宋"/>
          <w:b w:val="0"/>
          <w:color w:val="auto"/>
          <w:kern w:val="2"/>
          <w:sz w:val="24"/>
          <w:szCs w:val="24"/>
          <w:lang w:val="en-US"/>
        </w:rPr>
      </w:pPr>
      <w:r>
        <w:rPr>
          <w:rFonts w:hint="eastAsia" w:ascii="仿宋" w:hAnsi="仿宋" w:eastAsia="仿宋" w:cs="仿宋"/>
          <w:b w:val="0"/>
          <w:color w:val="auto"/>
          <w:kern w:val="2"/>
          <w:sz w:val="24"/>
          <w:szCs w:val="24"/>
          <w:lang w:val="en-US"/>
        </w:rPr>
        <w:t>注：</w:t>
      </w:r>
    </w:p>
    <w:p>
      <w:pPr>
        <w:adjustRightInd w:val="0"/>
        <w:spacing w:line="288" w:lineRule="auto"/>
        <w:ind w:firstLine="420"/>
        <w:rPr>
          <w:rFonts w:hint="eastAsia" w:ascii="仿宋" w:hAnsi="仿宋" w:eastAsia="仿宋"/>
          <w:b w:val="0"/>
          <w:bCs/>
          <w:color w:val="auto"/>
          <w:sz w:val="21"/>
          <w:szCs w:val="21"/>
          <w:lang w:val="en-US"/>
        </w:rPr>
      </w:pPr>
      <w:r>
        <w:rPr>
          <w:rFonts w:hint="eastAsia" w:ascii="仿宋" w:hAnsi="仿宋" w:eastAsia="仿宋"/>
          <w:b w:val="0"/>
          <w:bCs/>
          <w:color w:val="auto"/>
          <w:sz w:val="21"/>
          <w:szCs w:val="21"/>
          <w:lang w:val="en-US"/>
        </w:rPr>
        <w:t>从业人员、营业收入、资产总额填报上一年度数据，无上一年度数据的新成立企业可不填报。</w:t>
      </w:r>
    </w:p>
    <w:p>
      <w:pPr>
        <w:adjustRightInd w:val="0"/>
        <w:spacing w:line="288" w:lineRule="auto"/>
        <w:ind w:firstLine="420"/>
        <w:rPr>
          <w:rFonts w:ascii="仿宋" w:hAnsi="仿宋" w:eastAsia="仿宋"/>
          <w:b w:val="0"/>
          <w:color w:val="auto"/>
          <w:sz w:val="21"/>
          <w:szCs w:val="21"/>
          <w:lang w:val="en-US"/>
        </w:rPr>
      </w:pPr>
    </w:p>
    <w:p>
      <w:pPr>
        <w:adjustRightInd w:val="0"/>
        <w:spacing w:line="288" w:lineRule="auto"/>
        <w:ind w:firstLine="420"/>
        <w:rPr>
          <w:rFonts w:ascii="仿宋" w:hAnsi="仿宋" w:eastAsia="仿宋"/>
          <w:b w:val="0"/>
          <w:color w:val="auto"/>
          <w:sz w:val="21"/>
          <w:szCs w:val="21"/>
          <w:lang w:val="en-US"/>
        </w:rPr>
      </w:pPr>
    </w:p>
    <w:p>
      <w:pPr>
        <w:adjustRightInd w:val="0"/>
        <w:spacing w:line="288" w:lineRule="auto"/>
        <w:ind w:firstLine="420"/>
        <w:rPr>
          <w:rFonts w:ascii="仿宋" w:hAnsi="仿宋" w:eastAsia="仿宋"/>
          <w:b w:val="0"/>
          <w:color w:val="auto"/>
          <w:sz w:val="21"/>
          <w:szCs w:val="21"/>
          <w:lang w:val="en-US"/>
        </w:rPr>
      </w:pPr>
    </w:p>
    <w:p>
      <w:pPr>
        <w:adjustRightInd w:val="0"/>
        <w:spacing w:line="288" w:lineRule="auto"/>
        <w:ind w:firstLine="420"/>
        <w:rPr>
          <w:rFonts w:ascii="仿宋" w:hAnsi="仿宋" w:eastAsia="仿宋"/>
          <w:b w:val="0"/>
          <w:color w:val="auto"/>
          <w:sz w:val="21"/>
          <w:szCs w:val="21"/>
          <w:lang w:val="en-US"/>
        </w:rPr>
      </w:pPr>
    </w:p>
    <w:p>
      <w:pPr>
        <w:adjustRightInd w:val="0"/>
        <w:spacing w:line="288" w:lineRule="auto"/>
        <w:ind w:firstLine="420"/>
        <w:rPr>
          <w:rFonts w:ascii="仿宋" w:hAnsi="仿宋" w:eastAsia="仿宋"/>
          <w:b w:val="0"/>
          <w:color w:val="auto"/>
          <w:sz w:val="21"/>
          <w:szCs w:val="21"/>
          <w:lang w:val="en-US"/>
        </w:rPr>
      </w:pPr>
    </w:p>
    <w:p>
      <w:pPr>
        <w:keepNext/>
        <w:keepLines/>
        <w:numPr>
          <w:ilvl w:val="3"/>
          <w:numId w:val="17"/>
        </w:numPr>
        <w:tabs>
          <w:tab w:val="left" w:pos="360"/>
        </w:tabs>
        <w:spacing w:line="520" w:lineRule="exact"/>
        <w:ind w:left="0" w:firstLine="0" w:firstLineChars="0"/>
        <w:outlineLvl w:val="3"/>
        <w:rPr>
          <w:rFonts w:ascii="仿宋" w:hAnsi="仿宋" w:eastAsia="仿宋"/>
          <w:bCs/>
          <w:color w:val="auto"/>
          <w:kern w:val="2"/>
          <w:sz w:val="24"/>
          <w:szCs w:val="24"/>
          <w:lang w:val="en-US"/>
        </w:rPr>
      </w:pPr>
      <w:r>
        <w:rPr>
          <w:rFonts w:ascii="仿宋" w:hAnsi="仿宋" w:eastAsia="仿宋"/>
          <w:bCs/>
          <w:color w:val="auto"/>
          <w:kern w:val="2"/>
          <w:sz w:val="24"/>
          <w:szCs w:val="24"/>
          <w:lang w:val="en-US"/>
        </w:rPr>
        <w:t xml:space="preserve"> </w:t>
      </w:r>
      <w:bookmarkStart w:id="430" w:name="_Toc494198612"/>
      <w:r>
        <w:rPr>
          <w:rFonts w:ascii="仿宋" w:hAnsi="仿宋" w:eastAsia="仿宋"/>
          <w:bCs/>
          <w:color w:val="auto"/>
          <w:kern w:val="2"/>
          <w:sz w:val="24"/>
          <w:szCs w:val="24"/>
          <w:lang w:val="en-US"/>
        </w:rPr>
        <w:t>监狱企业证明材料</w:t>
      </w:r>
      <w:bookmarkEnd w:id="430"/>
    </w:p>
    <w:p>
      <w:pPr>
        <w:rPr>
          <w:rFonts w:ascii="仿宋" w:hAnsi="仿宋" w:eastAsia="仿宋"/>
          <w:color w:val="auto"/>
        </w:rPr>
      </w:pPr>
    </w:p>
    <w:p>
      <w:pPr>
        <w:rPr>
          <w:rFonts w:ascii="仿宋" w:hAnsi="仿宋" w:eastAsia="仿宋"/>
          <w:color w:val="auto"/>
        </w:rPr>
      </w:pPr>
    </w:p>
    <w:p>
      <w:pPr>
        <w:ind w:firstLine="480"/>
        <w:rPr>
          <w:rFonts w:ascii="仿宋" w:hAnsi="仿宋" w:eastAsia="仿宋"/>
          <w:b w:val="0"/>
          <w:color w:val="auto"/>
          <w:sz w:val="24"/>
          <w:szCs w:val="24"/>
        </w:rPr>
      </w:pPr>
      <w:r>
        <w:rPr>
          <w:rFonts w:hint="eastAsia" w:ascii="仿宋" w:hAnsi="仿宋" w:eastAsia="仿宋"/>
          <w:b w:val="0"/>
          <w:color w:val="auto"/>
          <w:sz w:val="24"/>
          <w:szCs w:val="24"/>
        </w:rPr>
        <w:t>参加政府采购活动的监狱企业应当提供省级以上监狱管理局、戒毒管理局（含新疆生产建设兵团）出具的属于监狱企业的证明文件复印件加盖投标人公章</w:t>
      </w:r>
      <w:r>
        <w:rPr>
          <w:rFonts w:ascii="仿宋" w:hAnsi="仿宋" w:eastAsia="仿宋"/>
          <w:b w:val="0"/>
          <w:color w:val="auto"/>
          <w:sz w:val="24"/>
          <w:szCs w:val="24"/>
        </w:rPr>
        <w:t>。</w:t>
      </w:r>
    </w:p>
    <w:p>
      <w:pPr>
        <w:rPr>
          <w:rFonts w:hint="eastAsia" w:ascii="仿宋" w:hAnsi="仿宋" w:eastAsia="仿宋"/>
          <w:color w:val="auto"/>
        </w:rPr>
      </w:pPr>
    </w:p>
    <w:p>
      <w:pPr>
        <w:rPr>
          <w:rFonts w:ascii="仿宋" w:hAnsi="仿宋" w:eastAsia="仿宋"/>
          <w:color w:val="auto"/>
        </w:rPr>
      </w:pPr>
    </w:p>
    <w:p>
      <w:pPr>
        <w:adjustRightInd w:val="0"/>
        <w:spacing w:line="288" w:lineRule="auto"/>
        <w:ind w:firstLine="420"/>
        <w:rPr>
          <w:rFonts w:ascii="仿宋" w:hAnsi="仿宋" w:eastAsia="仿宋"/>
          <w:b w:val="0"/>
          <w:color w:val="auto"/>
          <w:sz w:val="21"/>
          <w:szCs w:val="21"/>
          <w:lang w:val="en-US"/>
        </w:rPr>
      </w:pPr>
      <w:r>
        <w:rPr>
          <w:rFonts w:hint="eastAsia" w:ascii="仿宋" w:hAnsi="仿宋" w:eastAsia="仿宋"/>
          <w:b w:val="0"/>
          <w:color w:val="auto"/>
          <w:sz w:val="21"/>
          <w:szCs w:val="21"/>
          <w:lang w:val="en-US"/>
        </w:rPr>
        <w:t>说明：</w:t>
      </w:r>
    </w:p>
    <w:p>
      <w:pPr>
        <w:adjustRightInd w:val="0"/>
        <w:spacing w:line="288" w:lineRule="auto"/>
        <w:ind w:firstLine="420"/>
        <w:rPr>
          <w:rFonts w:ascii="仿宋" w:hAnsi="仿宋" w:eastAsia="仿宋"/>
          <w:b w:val="0"/>
          <w:color w:val="auto"/>
          <w:sz w:val="21"/>
          <w:szCs w:val="21"/>
          <w:lang w:val="en-US"/>
        </w:rPr>
      </w:pPr>
      <w:r>
        <w:rPr>
          <w:rFonts w:ascii="仿宋" w:hAnsi="仿宋" w:eastAsia="仿宋"/>
          <w:b w:val="0"/>
          <w:color w:val="auto"/>
          <w:sz w:val="21"/>
          <w:szCs w:val="21"/>
          <w:lang w:val="en-US"/>
        </w:rPr>
        <w:t>1.监狱企业视同小型、微型企业，享受预留份额等促进中小企业发展的政府采购政策。</w:t>
      </w:r>
    </w:p>
    <w:p>
      <w:pPr>
        <w:adjustRightInd w:val="0"/>
        <w:spacing w:line="288" w:lineRule="auto"/>
        <w:ind w:firstLine="420"/>
        <w:rPr>
          <w:rFonts w:ascii="仿宋" w:hAnsi="仿宋" w:eastAsia="仿宋"/>
          <w:b w:val="0"/>
          <w:color w:val="auto"/>
          <w:sz w:val="21"/>
          <w:szCs w:val="21"/>
          <w:lang w:val="en-US"/>
        </w:rPr>
      </w:pPr>
      <w:r>
        <w:rPr>
          <w:rFonts w:ascii="仿宋" w:hAnsi="仿宋" w:eastAsia="仿宋"/>
          <w:b w:val="0"/>
          <w:color w:val="auto"/>
          <w:sz w:val="21"/>
          <w:szCs w:val="21"/>
          <w:lang w:val="en-US"/>
        </w:rPr>
        <w:t>2.</w:t>
      </w:r>
      <w:r>
        <w:rPr>
          <w:rFonts w:hint="eastAsia" w:ascii="仿宋" w:hAnsi="仿宋" w:eastAsia="仿宋"/>
          <w:b w:val="0"/>
          <w:color w:val="auto"/>
          <w:sz w:val="21"/>
          <w:szCs w:val="21"/>
          <w:lang w:val="en-US"/>
        </w:rPr>
        <w:t>投标人</w:t>
      </w:r>
      <w:r>
        <w:rPr>
          <w:rFonts w:ascii="仿宋" w:hAnsi="仿宋" w:eastAsia="仿宋"/>
          <w:b w:val="0"/>
          <w:color w:val="auto"/>
          <w:sz w:val="21"/>
          <w:szCs w:val="21"/>
          <w:lang w:val="en-US"/>
        </w:rPr>
        <w:t>为非监狱企业的，不得提供此声明，提供此声明的，声明无效。</w:t>
      </w:r>
    </w:p>
    <w:p>
      <w:pPr>
        <w:rPr>
          <w:rFonts w:ascii="仿宋" w:hAnsi="仿宋" w:eastAsia="仿宋"/>
          <w:color w:val="auto"/>
        </w:rPr>
      </w:pPr>
    </w:p>
    <w:p>
      <w:pPr>
        <w:rPr>
          <w:rFonts w:ascii="仿宋" w:hAnsi="仿宋" w:eastAsia="仿宋"/>
          <w:color w:val="auto"/>
        </w:rPr>
      </w:pPr>
    </w:p>
    <w:p>
      <w:pPr>
        <w:rPr>
          <w:rFonts w:ascii="仿宋" w:hAnsi="仿宋" w:eastAsia="仿宋"/>
          <w:color w:val="auto"/>
        </w:rPr>
      </w:pPr>
    </w:p>
    <w:p>
      <w:pPr>
        <w:rPr>
          <w:rFonts w:ascii="仿宋" w:hAnsi="仿宋" w:eastAsia="仿宋"/>
          <w:color w:val="auto"/>
        </w:rPr>
      </w:pPr>
    </w:p>
    <w:p>
      <w:pPr>
        <w:rPr>
          <w:rFonts w:ascii="仿宋" w:hAnsi="仿宋" w:eastAsia="仿宋"/>
          <w:color w:val="auto"/>
        </w:rPr>
      </w:pPr>
    </w:p>
    <w:p>
      <w:pPr>
        <w:rPr>
          <w:rFonts w:ascii="仿宋" w:hAnsi="仿宋" w:eastAsia="仿宋"/>
          <w:color w:val="auto"/>
        </w:rPr>
      </w:pPr>
    </w:p>
    <w:p>
      <w:pPr>
        <w:rPr>
          <w:rFonts w:ascii="仿宋" w:hAnsi="仿宋" w:eastAsia="仿宋"/>
          <w:color w:val="auto"/>
        </w:rPr>
      </w:pPr>
    </w:p>
    <w:p>
      <w:pPr>
        <w:rPr>
          <w:rFonts w:ascii="仿宋" w:hAnsi="仿宋" w:eastAsia="仿宋"/>
          <w:color w:val="auto"/>
        </w:rPr>
      </w:pPr>
    </w:p>
    <w:p>
      <w:pPr>
        <w:rPr>
          <w:rFonts w:ascii="仿宋" w:hAnsi="仿宋" w:eastAsia="仿宋"/>
          <w:color w:val="auto"/>
        </w:rPr>
      </w:pPr>
    </w:p>
    <w:p>
      <w:pPr>
        <w:rPr>
          <w:rFonts w:ascii="仿宋" w:hAnsi="仿宋" w:eastAsia="仿宋"/>
          <w:color w:val="auto"/>
        </w:rPr>
      </w:pPr>
    </w:p>
    <w:p>
      <w:pPr>
        <w:rPr>
          <w:rFonts w:ascii="仿宋" w:hAnsi="仿宋" w:eastAsia="仿宋"/>
          <w:color w:val="auto"/>
        </w:rPr>
      </w:pPr>
    </w:p>
    <w:p>
      <w:pPr>
        <w:rPr>
          <w:rFonts w:ascii="仿宋" w:hAnsi="仿宋" w:eastAsia="仿宋"/>
          <w:color w:val="auto"/>
        </w:rPr>
      </w:pPr>
    </w:p>
    <w:p>
      <w:pPr>
        <w:rPr>
          <w:rFonts w:ascii="仿宋" w:hAnsi="仿宋" w:eastAsia="仿宋"/>
          <w:color w:val="auto"/>
        </w:rPr>
      </w:pPr>
    </w:p>
    <w:p>
      <w:pPr>
        <w:rPr>
          <w:rFonts w:hint="eastAsia" w:ascii="仿宋" w:hAnsi="仿宋" w:eastAsia="仿宋"/>
          <w:color w:val="auto"/>
        </w:rPr>
      </w:pPr>
    </w:p>
    <w:p>
      <w:pPr>
        <w:keepNext/>
        <w:keepLines/>
        <w:numPr>
          <w:ilvl w:val="3"/>
          <w:numId w:val="17"/>
        </w:numPr>
        <w:tabs>
          <w:tab w:val="left" w:pos="360"/>
        </w:tabs>
        <w:spacing w:line="520" w:lineRule="exact"/>
        <w:ind w:left="0" w:firstLine="0" w:firstLineChars="0"/>
        <w:outlineLvl w:val="3"/>
        <w:rPr>
          <w:rFonts w:ascii="仿宋" w:hAnsi="仿宋" w:eastAsia="仿宋"/>
          <w:bCs/>
          <w:color w:val="auto"/>
          <w:kern w:val="2"/>
          <w:sz w:val="24"/>
          <w:szCs w:val="24"/>
          <w:lang w:val="en-US"/>
        </w:rPr>
      </w:pPr>
      <w:bookmarkStart w:id="431" w:name="_Toc494198613"/>
      <w:bookmarkStart w:id="432" w:name="OLE_LINK14"/>
      <w:bookmarkStart w:id="433" w:name="OLE_LINK13"/>
      <w:r>
        <w:rPr>
          <w:rFonts w:ascii="仿宋" w:hAnsi="仿宋" w:eastAsia="仿宋"/>
          <w:bCs/>
          <w:color w:val="auto"/>
          <w:kern w:val="2"/>
          <w:sz w:val="24"/>
          <w:szCs w:val="24"/>
          <w:lang w:val="en-US"/>
        </w:rPr>
        <w:t xml:space="preserve"> 残疾人福利性单位声明函</w:t>
      </w:r>
      <w:bookmarkEnd w:id="431"/>
    </w:p>
    <w:bookmarkEnd w:id="432"/>
    <w:bookmarkEnd w:id="433"/>
    <w:p>
      <w:pPr>
        <w:spacing w:beforeLines="100" w:afterLines="100"/>
        <w:ind w:firstLine="562"/>
        <w:jc w:val="center"/>
        <w:rPr>
          <w:rFonts w:ascii="仿宋" w:hAnsi="仿宋" w:eastAsia="仿宋"/>
          <w:color w:val="auto"/>
          <w:sz w:val="28"/>
        </w:rPr>
      </w:pPr>
      <w:r>
        <w:rPr>
          <w:rFonts w:ascii="仿宋" w:hAnsi="仿宋" w:eastAsia="仿宋"/>
          <w:color w:val="auto"/>
          <w:sz w:val="28"/>
        </w:rPr>
        <w:t>残疾人福利性单位声明函</w:t>
      </w:r>
    </w:p>
    <w:p>
      <w:pPr>
        <w:ind w:firstLine="480"/>
        <w:rPr>
          <w:rFonts w:ascii="仿宋" w:hAnsi="仿宋" w:eastAsia="仿宋"/>
          <w:b w:val="0"/>
          <w:color w:val="auto"/>
          <w:sz w:val="24"/>
          <w:szCs w:val="24"/>
        </w:rPr>
      </w:pPr>
      <w:r>
        <w:rPr>
          <w:rFonts w:ascii="仿宋" w:hAnsi="仿宋" w:eastAsia="仿宋"/>
          <w:b w:val="0"/>
          <w:color w:val="auto"/>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141号）的规定，本单位为符合条件的残疾人福利性单位，且本单位参加______单位的______项目采购活动，由本单位提供服务。</w:t>
      </w:r>
    </w:p>
    <w:p>
      <w:pPr>
        <w:ind w:firstLine="480"/>
        <w:rPr>
          <w:rFonts w:ascii="仿宋" w:hAnsi="仿宋" w:eastAsia="仿宋"/>
          <w:b w:val="0"/>
          <w:color w:val="auto"/>
          <w:sz w:val="24"/>
          <w:szCs w:val="24"/>
        </w:rPr>
      </w:pPr>
      <w:r>
        <w:rPr>
          <w:rFonts w:ascii="仿宋" w:hAnsi="仿宋" w:eastAsia="仿宋"/>
          <w:b w:val="0"/>
          <w:color w:val="auto"/>
          <w:sz w:val="24"/>
          <w:szCs w:val="24"/>
        </w:rPr>
        <w:t>本单位对上述声明的真实性负责。如有虚假，将依法承担相应责任。</w:t>
      </w:r>
    </w:p>
    <w:p>
      <w:pPr>
        <w:ind w:firstLine="480"/>
        <w:rPr>
          <w:rFonts w:ascii="仿宋" w:hAnsi="仿宋" w:eastAsia="仿宋"/>
          <w:b w:val="0"/>
          <w:color w:val="auto"/>
          <w:sz w:val="24"/>
          <w:szCs w:val="24"/>
        </w:rPr>
      </w:pPr>
    </w:p>
    <w:p>
      <w:pPr>
        <w:ind w:firstLine="480"/>
        <w:rPr>
          <w:rFonts w:ascii="仿宋" w:hAnsi="仿宋" w:eastAsia="仿宋"/>
          <w:b w:val="0"/>
          <w:color w:val="auto"/>
          <w:sz w:val="24"/>
          <w:szCs w:val="24"/>
        </w:rPr>
      </w:pPr>
    </w:p>
    <w:p>
      <w:pPr>
        <w:ind w:firstLine="480"/>
        <w:rPr>
          <w:rFonts w:ascii="仿宋" w:hAnsi="仿宋" w:eastAsia="仿宋"/>
          <w:b w:val="0"/>
          <w:color w:val="auto"/>
          <w:sz w:val="24"/>
          <w:szCs w:val="24"/>
        </w:rPr>
      </w:pPr>
      <w:r>
        <w:rPr>
          <w:rFonts w:ascii="仿宋" w:hAnsi="仿宋" w:eastAsia="仿宋"/>
          <w:b w:val="0"/>
          <w:color w:val="auto"/>
          <w:sz w:val="24"/>
          <w:szCs w:val="24"/>
        </w:rPr>
        <w:t>单位名称（盖章）：</w:t>
      </w:r>
    </w:p>
    <w:p>
      <w:pPr>
        <w:ind w:firstLine="480"/>
        <w:rPr>
          <w:rFonts w:ascii="仿宋" w:hAnsi="仿宋" w:eastAsia="仿宋"/>
          <w:b w:val="0"/>
          <w:color w:val="auto"/>
          <w:sz w:val="24"/>
          <w:szCs w:val="24"/>
        </w:rPr>
      </w:pPr>
      <w:r>
        <w:rPr>
          <w:rFonts w:ascii="仿宋" w:hAnsi="仿宋" w:eastAsia="仿宋"/>
          <w:b w:val="0"/>
          <w:color w:val="auto"/>
          <w:sz w:val="24"/>
          <w:szCs w:val="24"/>
        </w:rPr>
        <w:t>日    期：</w:t>
      </w:r>
    </w:p>
    <w:p>
      <w:pPr>
        <w:rPr>
          <w:rFonts w:ascii="仿宋" w:hAnsi="仿宋" w:eastAsia="仿宋"/>
        </w:rPr>
      </w:pPr>
    </w:p>
    <w:p>
      <w:pPr>
        <w:rPr>
          <w:rFonts w:ascii="仿宋" w:hAnsi="仿宋" w:eastAsia="仿宋"/>
        </w:rPr>
      </w:pPr>
    </w:p>
    <w:p>
      <w:pPr>
        <w:ind w:firstLine="420"/>
        <w:rPr>
          <w:rFonts w:hint="eastAsia" w:ascii="仿宋" w:hAnsi="仿宋" w:eastAsia="仿宋"/>
          <w:b w:val="0"/>
          <w:color w:val="auto"/>
          <w:sz w:val="21"/>
          <w:szCs w:val="21"/>
        </w:rPr>
      </w:pPr>
      <w:r>
        <w:rPr>
          <w:rFonts w:ascii="仿宋" w:hAnsi="仿宋" w:eastAsia="仿宋"/>
          <w:b w:val="0"/>
          <w:color w:val="auto"/>
          <w:sz w:val="21"/>
          <w:szCs w:val="21"/>
        </w:rPr>
        <w:t>说明：</w:t>
      </w:r>
    </w:p>
    <w:p>
      <w:pPr>
        <w:adjustRightInd w:val="0"/>
        <w:ind w:firstLine="0" w:firstLineChars="0"/>
        <w:rPr>
          <w:rFonts w:ascii="仿宋" w:hAnsi="仿宋" w:eastAsia="仿宋" w:cs="仿宋"/>
          <w:b w:val="0"/>
          <w:color w:val="auto"/>
          <w:kern w:val="2"/>
          <w:sz w:val="24"/>
          <w:szCs w:val="24"/>
          <w:lang w:val="en-US"/>
        </w:rPr>
      </w:pPr>
      <w:r>
        <w:rPr>
          <w:rFonts w:hint="eastAsia" w:ascii="仿宋" w:hAnsi="仿宋" w:eastAsia="仿宋" w:cs="仿宋"/>
          <w:b w:val="0"/>
          <w:color w:val="auto"/>
          <w:kern w:val="2"/>
          <w:sz w:val="24"/>
          <w:szCs w:val="24"/>
          <w:lang w:val="en-US"/>
        </w:rPr>
        <w:t>注：</w:t>
      </w:r>
    </w:p>
    <w:p>
      <w:pPr>
        <w:adjustRightInd w:val="0"/>
        <w:ind w:firstLine="420"/>
        <w:rPr>
          <w:rFonts w:ascii="仿宋" w:hAnsi="仿宋" w:eastAsia="仿宋" w:cs="仿宋"/>
          <w:b w:val="0"/>
          <w:color w:val="auto"/>
          <w:kern w:val="2"/>
          <w:sz w:val="21"/>
          <w:szCs w:val="21"/>
          <w:lang w:val="en-US"/>
        </w:rPr>
      </w:pPr>
      <w:r>
        <w:rPr>
          <w:rFonts w:hint="eastAsia" w:ascii="仿宋" w:hAnsi="仿宋" w:eastAsia="仿宋" w:cs="仿宋"/>
          <w:b w:val="0"/>
          <w:color w:val="auto"/>
          <w:kern w:val="2"/>
          <w:sz w:val="21"/>
          <w:szCs w:val="21"/>
          <w:lang w:val="en-US"/>
        </w:rPr>
        <w:t>1.残疾人福利性单位视同小型、微型企业，享受预留份额等促进中小企业发展的政府采购政策。</w:t>
      </w:r>
    </w:p>
    <w:p>
      <w:pPr>
        <w:ind w:firstLine="420"/>
        <w:rPr>
          <w:rFonts w:ascii="仿宋" w:hAnsi="仿宋" w:eastAsia="仿宋"/>
        </w:rPr>
      </w:pPr>
      <w:r>
        <w:rPr>
          <w:rFonts w:hint="eastAsia" w:ascii="仿宋" w:hAnsi="仿宋" w:eastAsia="仿宋" w:cs="仿宋"/>
          <w:b w:val="0"/>
          <w:color w:val="auto"/>
          <w:kern w:val="2"/>
          <w:sz w:val="21"/>
          <w:szCs w:val="21"/>
          <w:lang w:val="en-US"/>
        </w:rPr>
        <w:t>2.投标人为非残疾人福利性单位的，不得提供此声明，提供此声明的，声明无效。</w:t>
      </w: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lang w:val="en-US"/>
        </w:rPr>
      </w:pPr>
    </w:p>
    <w:p>
      <w:pPr>
        <w:keepNext/>
        <w:keepLines/>
        <w:numPr>
          <w:ilvl w:val="3"/>
          <w:numId w:val="17"/>
        </w:numPr>
        <w:tabs>
          <w:tab w:val="left" w:pos="360"/>
        </w:tabs>
        <w:spacing w:line="520" w:lineRule="exact"/>
        <w:ind w:left="0" w:firstLine="0" w:firstLineChars="0"/>
        <w:outlineLvl w:val="3"/>
        <w:rPr>
          <w:rFonts w:ascii="仿宋" w:hAnsi="仿宋" w:eastAsia="仿宋"/>
          <w:bCs/>
          <w:color w:val="auto"/>
          <w:kern w:val="2"/>
          <w:sz w:val="24"/>
          <w:szCs w:val="24"/>
          <w:lang w:val="en-US"/>
        </w:rPr>
      </w:pPr>
      <w:r>
        <w:rPr>
          <w:rFonts w:ascii="仿宋" w:hAnsi="仿宋" w:eastAsia="仿宋"/>
          <w:bCs/>
          <w:color w:val="auto"/>
          <w:kern w:val="2"/>
          <w:sz w:val="24"/>
          <w:szCs w:val="24"/>
          <w:lang w:val="en-US"/>
        </w:rPr>
        <w:br w:type="page"/>
      </w:r>
      <w:r>
        <w:rPr>
          <w:rFonts w:ascii="仿宋" w:hAnsi="仿宋" w:eastAsia="仿宋"/>
          <w:bCs/>
          <w:color w:val="auto"/>
          <w:kern w:val="2"/>
          <w:sz w:val="24"/>
          <w:szCs w:val="24"/>
          <w:lang w:val="en-US"/>
        </w:rPr>
        <w:t>知识产权承诺函</w:t>
      </w:r>
    </w:p>
    <w:p>
      <w:pPr>
        <w:widowControl/>
        <w:snapToGrid/>
        <w:spacing w:line="400" w:lineRule="exact"/>
        <w:ind w:firstLine="0" w:firstLineChars="0"/>
        <w:jc w:val="left"/>
        <w:rPr>
          <w:rFonts w:ascii="仿宋" w:hAnsi="仿宋" w:eastAsia="仿宋"/>
          <w:b w:val="0"/>
          <w:color w:val="auto"/>
          <w:sz w:val="24"/>
          <w:szCs w:val="24"/>
          <w:lang w:val="en-US"/>
        </w:rPr>
      </w:pPr>
    </w:p>
    <w:p>
      <w:pPr>
        <w:ind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 xml:space="preserve">采购项目名称： </w:t>
      </w:r>
    </w:p>
    <w:p>
      <w:pPr>
        <w:ind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采购项目编号：</w:t>
      </w:r>
    </w:p>
    <w:p>
      <w:pPr>
        <w:ind w:firstLine="480"/>
        <w:rPr>
          <w:rFonts w:hint="eastAsia" w:ascii="仿宋" w:hAnsi="仿宋" w:eastAsia="仿宋"/>
          <w:b w:val="0"/>
          <w:color w:val="auto"/>
          <w:kern w:val="2"/>
          <w:sz w:val="24"/>
          <w:szCs w:val="24"/>
          <w:lang w:val="en-US"/>
        </w:rPr>
      </w:pPr>
    </w:p>
    <w:p>
      <w:pPr>
        <w:snapToGrid/>
        <w:spacing w:line="400" w:lineRule="exact"/>
        <w:ind w:firstLine="0" w:firstLineChars="0"/>
        <w:rPr>
          <w:rFonts w:ascii="仿宋" w:hAnsi="仿宋" w:eastAsia="仿宋"/>
          <w:b w:val="0"/>
          <w:color w:val="auto"/>
          <w:kern w:val="2"/>
          <w:sz w:val="24"/>
          <w:szCs w:val="20"/>
          <w:lang w:val="en-US"/>
        </w:rPr>
      </w:pPr>
    </w:p>
    <w:p>
      <w:pPr>
        <w:widowControl/>
        <w:snapToGrid/>
        <w:spacing w:line="520" w:lineRule="exact"/>
        <w:ind w:firstLine="0" w:firstLineChars="0"/>
        <w:jc w:val="left"/>
        <w:rPr>
          <w:rFonts w:ascii="仿宋" w:hAnsi="仿宋" w:eastAsia="仿宋"/>
          <w:b w:val="0"/>
          <w:bCs/>
          <w:color w:val="auto"/>
          <w:sz w:val="24"/>
          <w:szCs w:val="24"/>
          <w:lang w:val="en-US"/>
        </w:rPr>
      </w:pPr>
      <w:r>
        <w:rPr>
          <w:rFonts w:hint="eastAsia" w:ascii="仿宋" w:hAnsi="仿宋" w:eastAsia="仿宋"/>
          <w:b w:val="0"/>
          <w:bCs/>
          <w:color w:val="auto"/>
          <w:sz w:val="24"/>
          <w:szCs w:val="24"/>
          <w:lang w:val="en-US"/>
        </w:rPr>
        <w:t>成都市交通运输综合行政执法总队</w:t>
      </w:r>
      <w:r>
        <w:rPr>
          <w:rFonts w:ascii="仿宋" w:hAnsi="仿宋" w:eastAsia="仿宋"/>
          <w:b w:val="0"/>
          <w:bCs/>
          <w:color w:val="auto"/>
          <w:sz w:val="24"/>
          <w:szCs w:val="24"/>
          <w:lang w:val="en-US"/>
        </w:rPr>
        <w:t>：</w:t>
      </w:r>
    </w:p>
    <w:p>
      <w:pPr>
        <w:snapToGrid/>
        <w:spacing w:line="400" w:lineRule="exact"/>
        <w:ind w:firstLine="480"/>
        <w:rPr>
          <w:rFonts w:ascii="仿宋" w:hAnsi="仿宋" w:eastAsia="仿宋"/>
          <w:b w:val="0"/>
          <w:color w:val="auto"/>
          <w:kern w:val="2"/>
          <w:sz w:val="24"/>
          <w:szCs w:val="20"/>
          <w:lang w:val="en-US"/>
        </w:rPr>
      </w:pPr>
      <w:r>
        <w:rPr>
          <w:rFonts w:ascii="仿宋" w:hAnsi="仿宋" w:eastAsia="仿宋"/>
          <w:b w:val="0"/>
          <w:color w:val="auto"/>
          <w:kern w:val="2"/>
          <w:sz w:val="24"/>
          <w:szCs w:val="20"/>
          <w:lang w:val="en-US"/>
        </w:rPr>
        <w:t>针对以下内容，我方承诺：</w:t>
      </w:r>
    </w:p>
    <w:p>
      <w:pPr>
        <w:snapToGrid/>
        <w:spacing w:line="400" w:lineRule="exact"/>
        <w:ind w:firstLine="480"/>
        <w:rPr>
          <w:rFonts w:ascii="仿宋" w:hAnsi="仿宋" w:eastAsia="仿宋"/>
          <w:b w:val="0"/>
          <w:color w:val="auto"/>
          <w:kern w:val="2"/>
          <w:sz w:val="24"/>
          <w:szCs w:val="24"/>
          <w:lang w:val="en-US"/>
        </w:rPr>
      </w:pPr>
      <w:r>
        <w:rPr>
          <w:rFonts w:ascii="仿宋" w:hAnsi="仿宋" w:eastAsia="仿宋"/>
          <w:b w:val="0"/>
          <w:color w:val="auto"/>
          <w:kern w:val="2"/>
          <w:sz w:val="24"/>
          <w:szCs w:val="20"/>
          <w:lang w:val="en-US"/>
        </w:rPr>
        <w:t>我方</w:t>
      </w:r>
      <w:r>
        <w:rPr>
          <w:rFonts w:ascii="仿宋" w:hAnsi="仿宋" w:eastAsia="仿宋"/>
          <w:b w:val="0"/>
          <w:color w:val="auto"/>
          <w:kern w:val="2"/>
          <w:sz w:val="24"/>
          <w:szCs w:val="24"/>
          <w:lang w:val="en-US"/>
        </w:rPr>
        <w:t>保证在本项目中使用的任何产品和服务（包括部分使用），不会产生因第三方提出侵犯其专利权、商标权或其它知识产权而引起的法律和经济纠纷，如因专利权、商标权或其它知识产权而引起法律和经济纠纷，由</w:t>
      </w:r>
      <w:r>
        <w:rPr>
          <w:rFonts w:ascii="仿宋" w:hAnsi="仿宋" w:eastAsia="仿宋"/>
          <w:b w:val="0"/>
          <w:color w:val="auto"/>
          <w:kern w:val="2"/>
          <w:sz w:val="24"/>
          <w:szCs w:val="20"/>
          <w:lang w:val="en-US"/>
        </w:rPr>
        <w:t>我方</w:t>
      </w:r>
      <w:r>
        <w:rPr>
          <w:rFonts w:ascii="仿宋" w:hAnsi="仿宋" w:eastAsia="仿宋"/>
          <w:b w:val="0"/>
          <w:color w:val="auto"/>
          <w:kern w:val="2"/>
          <w:sz w:val="24"/>
          <w:szCs w:val="24"/>
          <w:lang w:val="en-US"/>
        </w:rPr>
        <w:t>承担所有相关责任。</w:t>
      </w:r>
    </w:p>
    <w:p>
      <w:pPr>
        <w:snapToGrid/>
        <w:spacing w:line="400" w:lineRule="exact"/>
        <w:ind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除非招标文件特别规定，采购人享有本项目实施过程中产生的知识成果及知识产权。</w:t>
      </w:r>
    </w:p>
    <w:p>
      <w:pPr>
        <w:snapToGrid/>
        <w:spacing w:line="400" w:lineRule="exact"/>
        <w:ind w:firstLine="480"/>
        <w:rPr>
          <w:rFonts w:ascii="仿宋" w:hAnsi="仿宋" w:eastAsia="仿宋"/>
          <w:b w:val="0"/>
          <w:color w:val="auto"/>
          <w:kern w:val="2"/>
          <w:lang w:val="en-US"/>
        </w:rPr>
      </w:pPr>
      <w:r>
        <w:rPr>
          <w:rFonts w:ascii="仿宋" w:hAnsi="仿宋" w:eastAsia="仿宋"/>
          <w:b w:val="0"/>
          <w:color w:val="auto"/>
          <w:kern w:val="2"/>
          <w:sz w:val="24"/>
          <w:szCs w:val="24"/>
          <w:lang w:val="en-US"/>
        </w:rPr>
        <w:t>我方如在采购项目实施过程中采用自有或者第三方知识成果的，使用该知识成果后，我方需提供开发接口和开发手册等技术资料，并承诺提供无限期支持，采购人享有使用权（含采购人委托第三方在该项目后续开发的使用权）</w:t>
      </w:r>
      <w:r>
        <w:rPr>
          <w:rFonts w:hint="eastAsia" w:ascii="仿宋" w:hAnsi="仿宋" w:eastAsia="仿宋"/>
          <w:b w:val="0"/>
          <w:color w:val="auto"/>
          <w:kern w:val="2"/>
          <w:sz w:val="24"/>
          <w:szCs w:val="24"/>
          <w:lang w:val="en-US"/>
        </w:rPr>
        <w:t>，</w:t>
      </w:r>
      <w:r>
        <w:rPr>
          <w:rFonts w:ascii="仿宋" w:hAnsi="仿宋" w:eastAsia="仿宋"/>
          <w:b w:val="0"/>
          <w:color w:val="auto"/>
          <w:kern w:val="2"/>
          <w:sz w:val="24"/>
          <w:szCs w:val="24"/>
          <w:lang w:val="en-US"/>
        </w:rPr>
        <w:t>同时将在投标文件中声明并提供相关知识产权证明文件。</w:t>
      </w:r>
    </w:p>
    <w:p>
      <w:pPr>
        <w:snapToGrid/>
        <w:spacing w:line="400" w:lineRule="exact"/>
        <w:ind w:firstLine="460" w:firstLineChars="192"/>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我方如采用所不拥有的知识产权，则在报价中必须包括合法获取该知识产权的相关费用，</w:t>
      </w:r>
      <w:r>
        <w:rPr>
          <w:rFonts w:ascii="仿宋" w:hAnsi="仿宋" w:eastAsia="仿宋"/>
          <w:b w:val="0"/>
          <w:bCs/>
          <w:color w:val="auto"/>
          <w:kern w:val="2"/>
          <w:sz w:val="24"/>
          <w:szCs w:val="24"/>
          <w:lang w:val="en-US"/>
        </w:rPr>
        <w:t>采购人不再因</w:t>
      </w:r>
      <w:r>
        <w:rPr>
          <w:rFonts w:hint="eastAsia" w:ascii="仿宋" w:hAnsi="仿宋" w:eastAsia="仿宋"/>
          <w:b w:val="0"/>
          <w:color w:val="auto"/>
          <w:kern w:val="2"/>
          <w:sz w:val="24"/>
          <w:szCs w:val="24"/>
          <w:lang w:val="en-US"/>
        </w:rPr>
        <w:t>我方</w:t>
      </w:r>
      <w:r>
        <w:rPr>
          <w:rFonts w:ascii="仿宋" w:hAnsi="仿宋" w:eastAsia="仿宋"/>
          <w:b w:val="0"/>
          <w:color w:val="auto"/>
          <w:kern w:val="2"/>
          <w:sz w:val="24"/>
          <w:szCs w:val="24"/>
          <w:lang w:val="en-US"/>
        </w:rPr>
        <w:t>采用所不拥有的知识产权而另行支付任何费用。</w:t>
      </w:r>
    </w:p>
    <w:p>
      <w:pPr>
        <w:snapToGrid/>
        <w:spacing w:line="400" w:lineRule="exact"/>
        <w:ind w:firstLine="460" w:firstLineChars="192"/>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根据《中华人民共和国政府采购法实施条例》第四十三条的规定，公告内容应当包括主要</w:t>
      </w:r>
      <w:r>
        <w:rPr>
          <w:rFonts w:hint="eastAsia" w:ascii="仿宋" w:hAnsi="仿宋" w:eastAsia="仿宋"/>
          <w:b w:val="0"/>
          <w:color w:val="auto"/>
          <w:kern w:val="2"/>
          <w:sz w:val="24"/>
          <w:szCs w:val="24"/>
          <w:lang w:val="en-US"/>
        </w:rPr>
        <w:t>中标</w:t>
      </w:r>
      <w:r>
        <w:rPr>
          <w:rFonts w:ascii="仿宋" w:hAnsi="仿宋" w:eastAsia="仿宋"/>
          <w:b w:val="0"/>
          <w:color w:val="auto"/>
          <w:kern w:val="2"/>
          <w:sz w:val="24"/>
          <w:szCs w:val="24"/>
          <w:lang w:val="en-US"/>
        </w:rPr>
        <w:t>标的的名称、规格型号、数量、单价、服务要求以及评审专家名单。我方已将投标文件中涉及商业秘密和知识产权的内容进行了标注和说明。若未进行标注和说明的，视为全部内容均可公布，采购人或者采购代理机构对此不承担任何责任。</w:t>
      </w:r>
    </w:p>
    <w:p>
      <w:pPr>
        <w:snapToGrid/>
        <w:spacing w:line="240" w:lineRule="auto"/>
        <w:ind w:firstLine="480"/>
        <w:rPr>
          <w:rFonts w:ascii="仿宋" w:hAnsi="仿宋" w:eastAsia="仿宋"/>
          <w:b w:val="0"/>
          <w:color w:val="auto"/>
          <w:kern w:val="2"/>
          <w:sz w:val="24"/>
          <w:szCs w:val="24"/>
          <w:lang w:val="en-US"/>
        </w:rPr>
      </w:pPr>
    </w:p>
    <w:p>
      <w:pPr>
        <w:snapToGrid/>
        <w:spacing w:line="240" w:lineRule="auto"/>
        <w:ind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我方对上述承诺的内容事项真实性负责。如经查实上述承诺的内容事项存在虚假，愿意接受以提供虚假材料谋取成交的法律责任。</w:t>
      </w:r>
    </w:p>
    <w:p>
      <w:pPr>
        <w:spacing w:line="560" w:lineRule="atLeast"/>
        <w:rPr>
          <w:rFonts w:ascii="仿宋" w:hAnsi="仿宋" w:eastAsia="仿宋"/>
          <w:lang w:val="en-US"/>
        </w:rPr>
      </w:pPr>
    </w:p>
    <w:p>
      <w:pPr>
        <w:ind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投标人名称（公章）：</w:t>
      </w:r>
    </w:p>
    <w:p>
      <w:pPr>
        <w:ind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法定代表人</w:t>
      </w:r>
      <w:r>
        <w:rPr>
          <w:rFonts w:hint="eastAsia" w:ascii="仿宋" w:hAnsi="仿宋" w:eastAsia="仿宋"/>
          <w:b w:val="0"/>
          <w:color w:val="auto"/>
          <w:kern w:val="2"/>
          <w:sz w:val="24"/>
          <w:szCs w:val="24"/>
          <w:lang w:val="en-US"/>
        </w:rPr>
        <w:t>（主要负责人）</w:t>
      </w:r>
      <w:r>
        <w:rPr>
          <w:rFonts w:ascii="仿宋" w:hAnsi="仿宋" w:eastAsia="仿宋"/>
          <w:b w:val="0"/>
          <w:color w:val="auto"/>
          <w:kern w:val="2"/>
          <w:sz w:val="24"/>
          <w:szCs w:val="24"/>
          <w:lang w:val="en-US"/>
        </w:rPr>
        <w:t>或代理人（签字或加盖印章）：</w:t>
      </w:r>
    </w:p>
    <w:p>
      <w:pPr>
        <w:ind w:firstLine="48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日  期</w:t>
      </w:r>
      <w:r>
        <w:rPr>
          <w:rFonts w:hint="eastAsia" w:ascii="仿宋" w:hAnsi="仿宋" w:eastAsia="仿宋"/>
          <w:b w:val="0"/>
          <w:color w:val="auto"/>
          <w:kern w:val="2"/>
          <w:sz w:val="24"/>
          <w:szCs w:val="24"/>
          <w:lang w:val="en-US"/>
        </w:rPr>
        <w:t>：</w:t>
      </w:r>
    </w:p>
    <w:p>
      <w:pPr>
        <w:spacing w:line="560" w:lineRule="atLeast"/>
        <w:rPr>
          <w:rFonts w:ascii="仿宋" w:hAnsi="仿宋" w:eastAsia="仿宋"/>
        </w:rPr>
      </w:pPr>
    </w:p>
    <w:p>
      <w:pPr>
        <w:pStyle w:val="3"/>
        <w:numPr>
          <w:ilvl w:val="0"/>
          <w:numId w:val="17"/>
        </w:numPr>
        <w:spacing w:beforeLines="50" w:after="0" w:line="360" w:lineRule="auto"/>
        <w:ind w:left="0" w:firstLine="0"/>
        <w:rPr>
          <w:rFonts w:ascii="仿宋" w:hAnsi="仿宋" w:eastAsia="仿宋"/>
          <w:b/>
        </w:rPr>
      </w:pPr>
      <w:bookmarkStart w:id="434" w:name="_Toc325356170"/>
      <w:bookmarkStart w:id="435" w:name="_Toc494198616"/>
      <w:bookmarkStart w:id="436" w:name="_Toc36029482"/>
      <w:r>
        <w:rPr>
          <w:rFonts w:hint="eastAsia" w:ascii="仿宋" w:hAnsi="仿宋" w:eastAsia="仿宋"/>
          <w:b/>
        </w:rPr>
        <w:t xml:space="preserve"> </w:t>
      </w:r>
      <w:bookmarkStart w:id="437" w:name="_Toc40703451"/>
      <w:r>
        <w:rPr>
          <w:rFonts w:ascii="仿宋" w:hAnsi="仿宋" w:eastAsia="仿宋"/>
          <w:b/>
        </w:rPr>
        <w:t>投标人和投标产品的资格、资质性及其他具有类似效力的 要求</w:t>
      </w:r>
      <w:bookmarkEnd w:id="434"/>
      <w:bookmarkEnd w:id="435"/>
      <w:bookmarkEnd w:id="436"/>
      <w:bookmarkEnd w:id="437"/>
    </w:p>
    <w:p>
      <w:pPr>
        <w:numPr>
          <w:ilvl w:val="0"/>
          <w:numId w:val="48"/>
        </w:numPr>
        <w:snapToGrid/>
        <w:spacing w:line="240" w:lineRule="auto"/>
        <w:ind w:firstLineChars="0"/>
        <w:rPr>
          <w:rFonts w:hint="eastAsia" w:ascii="仿宋" w:hAnsi="仿宋" w:eastAsia="仿宋"/>
          <w:color w:val="auto"/>
          <w:sz w:val="24"/>
          <w:szCs w:val="24"/>
        </w:rPr>
      </w:pPr>
      <w:r>
        <w:rPr>
          <w:rFonts w:ascii="仿宋" w:hAnsi="仿宋" w:eastAsia="仿宋"/>
          <w:color w:val="auto"/>
          <w:sz w:val="24"/>
          <w:szCs w:val="24"/>
        </w:rPr>
        <w:t>投标人的资格、资质性要求</w:t>
      </w:r>
    </w:p>
    <w:p>
      <w:pPr>
        <w:snapToGrid/>
        <w:spacing w:line="240" w:lineRule="auto"/>
        <w:ind w:firstLine="360" w:firstLineChars="150"/>
        <w:rPr>
          <w:rFonts w:ascii="仿宋" w:hAnsi="仿宋" w:eastAsia="仿宋"/>
          <w:b w:val="0"/>
          <w:color w:val="auto"/>
          <w:sz w:val="24"/>
          <w:szCs w:val="24"/>
        </w:rPr>
      </w:pPr>
      <w:r>
        <w:rPr>
          <w:rFonts w:hint="eastAsia" w:ascii="仿宋" w:hAnsi="仿宋" w:eastAsia="仿宋"/>
          <w:b w:val="0"/>
          <w:color w:val="auto"/>
          <w:sz w:val="24"/>
          <w:szCs w:val="24"/>
        </w:rPr>
        <w:t>（一）《中华人民共和国政府采购法》第二十二条规定的条件：</w:t>
      </w:r>
    </w:p>
    <w:p>
      <w:pPr>
        <w:snapToGrid/>
        <w:spacing w:line="240" w:lineRule="auto"/>
        <w:ind w:firstLine="480"/>
        <w:rPr>
          <w:rFonts w:ascii="仿宋" w:hAnsi="仿宋" w:eastAsia="仿宋"/>
          <w:b w:val="0"/>
          <w:color w:val="auto"/>
          <w:sz w:val="24"/>
          <w:szCs w:val="24"/>
        </w:rPr>
      </w:pPr>
      <w:r>
        <w:rPr>
          <w:rFonts w:ascii="仿宋" w:hAnsi="仿宋" w:eastAsia="仿宋"/>
          <w:b w:val="0"/>
          <w:color w:val="auto"/>
          <w:sz w:val="24"/>
          <w:szCs w:val="24"/>
        </w:rPr>
        <w:t>1．具有独立承担民事责任能力；</w:t>
      </w:r>
    </w:p>
    <w:p>
      <w:pPr>
        <w:snapToGrid/>
        <w:spacing w:line="240" w:lineRule="auto"/>
        <w:ind w:firstLine="480"/>
        <w:rPr>
          <w:rFonts w:ascii="仿宋" w:hAnsi="仿宋" w:eastAsia="仿宋"/>
          <w:b w:val="0"/>
          <w:color w:val="auto"/>
          <w:sz w:val="24"/>
          <w:szCs w:val="24"/>
        </w:rPr>
      </w:pPr>
      <w:r>
        <w:rPr>
          <w:rFonts w:ascii="仿宋" w:hAnsi="仿宋" w:eastAsia="仿宋"/>
          <w:b w:val="0"/>
          <w:color w:val="auto"/>
          <w:sz w:val="24"/>
          <w:szCs w:val="24"/>
        </w:rPr>
        <w:t>2．具有良好的商业信誉和健全的财务会计制度；</w:t>
      </w:r>
    </w:p>
    <w:p>
      <w:pPr>
        <w:snapToGrid/>
        <w:spacing w:line="240" w:lineRule="auto"/>
        <w:ind w:firstLine="480"/>
        <w:rPr>
          <w:rFonts w:ascii="仿宋" w:hAnsi="仿宋" w:eastAsia="仿宋"/>
          <w:b w:val="0"/>
          <w:color w:val="auto"/>
          <w:sz w:val="24"/>
          <w:szCs w:val="24"/>
        </w:rPr>
      </w:pPr>
      <w:r>
        <w:rPr>
          <w:rFonts w:ascii="仿宋" w:hAnsi="仿宋" w:eastAsia="仿宋"/>
          <w:b w:val="0"/>
          <w:color w:val="auto"/>
          <w:sz w:val="24"/>
          <w:szCs w:val="24"/>
        </w:rPr>
        <w:t>3．具有履行合同所必需的设备和专业技术能力；</w:t>
      </w:r>
    </w:p>
    <w:p>
      <w:pPr>
        <w:snapToGrid/>
        <w:spacing w:line="240" w:lineRule="auto"/>
        <w:ind w:firstLine="480"/>
        <w:rPr>
          <w:rFonts w:ascii="仿宋" w:hAnsi="仿宋" w:eastAsia="仿宋"/>
          <w:b w:val="0"/>
          <w:color w:val="auto"/>
          <w:sz w:val="24"/>
          <w:szCs w:val="24"/>
        </w:rPr>
      </w:pPr>
      <w:r>
        <w:rPr>
          <w:rFonts w:ascii="仿宋" w:hAnsi="仿宋" w:eastAsia="仿宋"/>
          <w:b w:val="0"/>
          <w:color w:val="auto"/>
          <w:sz w:val="24"/>
          <w:szCs w:val="24"/>
        </w:rPr>
        <w:t>4．有依法缴纳税收和社会保障资金的良好记录；</w:t>
      </w:r>
    </w:p>
    <w:p>
      <w:pPr>
        <w:snapToGrid/>
        <w:spacing w:line="240" w:lineRule="auto"/>
        <w:ind w:firstLine="480"/>
        <w:rPr>
          <w:rFonts w:ascii="仿宋" w:hAnsi="仿宋" w:eastAsia="仿宋"/>
          <w:b w:val="0"/>
          <w:color w:val="auto"/>
          <w:sz w:val="24"/>
          <w:szCs w:val="24"/>
        </w:rPr>
      </w:pPr>
      <w:r>
        <w:rPr>
          <w:rFonts w:ascii="仿宋" w:hAnsi="仿宋" w:eastAsia="仿宋"/>
          <w:b w:val="0"/>
          <w:color w:val="auto"/>
          <w:sz w:val="24"/>
          <w:szCs w:val="24"/>
        </w:rPr>
        <w:t>5．参加政府采购活动前三年内，在经营活动中没有重大违法记录；</w:t>
      </w:r>
    </w:p>
    <w:p>
      <w:pPr>
        <w:snapToGrid/>
        <w:spacing w:line="240" w:lineRule="auto"/>
        <w:ind w:firstLine="480"/>
        <w:rPr>
          <w:rFonts w:ascii="仿宋" w:hAnsi="仿宋" w:eastAsia="仿宋"/>
          <w:b w:val="0"/>
          <w:color w:val="auto"/>
          <w:sz w:val="24"/>
          <w:szCs w:val="24"/>
        </w:rPr>
      </w:pPr>
      <w:r>
        <w:rPr>
          <w:rFonts w:ascii="仿宋" w:hAnsi="仿宋" w:eastAsia="仿宋"/>
          <w:b w:val="0"/>
          <w:color w:val="auto"/>
          <w:sz w:val="24"/>
          <w:szCs w:val="24"/>
        </w:rPr>
        <w:t>6．具备法律、行政法规规定的其他条件；</w:t>
      </w:r>
    </w:p>
    <w:p>
      <w:pPr>
        <w:tabs>
          <w:tab w:val="left" w:pos="1134"/>
        </w:tabs>
        <w:snapToGrid/>
        <w:spacing w:line="240" w:lineRule="auto"/>
        <w:ind w:firstLine="480"/>
        <w:jc w:val="left"/>
        <w:rPr>
          <w:rFonts w:hint="eastAsia" w:ascii="仿宋" w:hAnsi="仿宋" w:eastAsia="仿宋"/>
          <w:b w:val="0"/>
          <w:color w:val="auto"/>
          <w:kern w:val="2"/>
          <w:sz w:val="24"/>
          <w:szCs w:val="24"/>
          <w:lang w:val="en-US"/>
        </w:rPr>
      </w:pPr>
      <w:r>
        <w:rPr>
          <w:rFonts w:ascii="仿宋" w:hAnsi="仿宋" w:eastAsia="仿宋"/>
          <w:b w:val="0"/>
          <w:color w:val="auto"/>
          <w:kern w:val="2"/>
          <w:sz w:val="24"/>
          <w:szCs w:val="24"/>
          <w:lang w:val="en-US"/>
        </w:rPr>
        <w:t>7．采购人根据采购项目提出的特殊条件：</w:t>
      </w:r>
      <w:r>
        <w:rPr>
          <w:rFonts w:hint="eastAsia" w:ascii="仿宋" w:hAnsi="仿宋" w:eastAsia="仿宋"/>
          <w:b w:val="0"/>
          <w:color w:val="auto"/>
          <w:kern w:val="2"/>
          <w:sz w:val="24"/>
          <w:szCs w:val="24"/>
          <w:lang w:val="en-US"/>
        </w:rPr>
        <w:t>投标人须具备有效的《劳务派遣经营许可证》。</w:t>
      </w:r>
    </w:p>
    <w:p>
      <w:pPr>
        <w:tabs>
          <w:tab w:val="left" w:pos="1134"/>
        </w:tabs>
        <w:snapToGrid/>
        <w:spacing w:line="240" w:lineRule="auto"/>
        <w:ind w:firstLine="480"/>
        <w:jc w:val="left"/>
        <w:rPr>
          <w:rFonts w:hint="eastAsia" w:ascii="仿宋" w:hAnsi="仿宋" w:eastAsia="仿宋"/>
          <w:b w:val="0"/>
          <w:color w:val="auto"/>
          <w:kern w:val="2"/>
          <w:sz w:val="24"/>
          <w:szCs w:val="24"/>
          <w:lang w:val="en-US"/>
        </w:rPr>
      </w:pPr>
      <w:r>
        <w:rPr>
          <w:rFonts w:hint="eastAsia" w:ascii="仿宋" w:hAnsi="仿宋" w:eastAsia="仿宋"/>
          <w:b w:val="0"/>
          <w:bCs/>
          <w:color w:val="auto"/>
          <w:sz w:val="24"/>
          <w:szCs w:val="24"/>
          <w:lang w:val="en-US"/>
        </w:rPr>
        <w:t>8</w:t>
      </w:r>
      <w:r>
        <w:rPr>
          <w:rFonts w:ascii="仿宋" w:hAnsi="仿宋" w:eastAsia="仿宋"/>
          <w:b w:val="0"/>
          <w:bCs/>
          <w:color w:val="auto"/>
          <w:sz w:val="24"/>
          <w:szCs w:val="24"/>
        </w:rPr>
        <w:t>.</w:t>
      </w:r>
      <w:r>
        <w:rPr>
          <w:rFonts w:hint="eastAsia" w:ascii="仿宋" w:hAnsi="仿宋" w:eastAsia="仿宋"/>
          <w:b w:val="0"/>
          <w:bCs/>
          <w:color w:val="auto"/>
          <w:sz w:val="24"/>
          <w:szCs w:val="24"/>
        </w:rPr>
        <w:t>按照规定获取了招标文件。</w:t>
      </w:r>
    </w:p>
    <w:p>
      <w:pPr>
        <w:tabs>
          <w:tab w:val="left" w:pos="1134"/>
        </w:tabs>
        <w:snapToGrid/>
        <w:spacing w:line="470" w:lineRule="exact"/>
        <w:ind w:firstLine="480"/>
        <w:jc w:val="left"/>
        <w:rPr>
          <w:rFonts w:ascii="仿宋" w:hAnsi="仿宋" w:eastAsia="仿宋"/>
          <w:b w:val="0"/>
          <w:color w:val="auto"/>
          <w:kern w:val="2"/>
          <w:sz w:val="24"/>
          <w:szCs w:val="24"/>
          <w:lang w:val="en-US"/>
        </w:rPr>
      </w:pPr>
      <w:r>
        <w:rPr>
          <w:rFonts w:hint="eastAsia" w:ascii="仿宋" w:hAnsi="仿宋" w:eastAsia="仿宋"/>
          <w:b w:val="0"/>
          <w:color w:val="auto"/>
          <w:kern w:val="2"/>
          <w:sz w:val="24"/>
          <w:szCs w:val="24"/>
          <w:lang w:val="en-US"/>
        </w:rPr>
        <w:t>9</w:t>
      </w:r>
      <w:r>
        <w:rPr>
          <w:rFonts w:ascii="仿宋" w:hAnsi="仿宋" w:eastAsia="仿宋"/>
          <w:b w:val="0"/>
          <w:color w:val="auto"/>
          <w:kern w:val="2"/>
          <w:sz w:val="24"/>
          <w:szCs w:val="24"/>
          <w:lang w:val="en-US"/>
        </w:rPr>
        <w:t>．</w:t>
      </w:r>
      <w:r>
        <w:rPr>
          <w:rFonts w:hint="eastAsia" w:ascii="仿宋" w:hAnsi="仿宋" w:eastAsia="仿宋"/>
          <w:b w:val="0"/>
          <w:color w:val="auto"/>
          <w:kern w:val="2"/>
          <w:sz w:val="24"/>
          <w:szCs w:val="24"/>
          <w:lang w:val="en-US"/>
        </w:rPr>
        <w:t>本项目不允许联合体参加。</w:t>
      </w:r>
    </w:p>
    <w:p>
      <w:pPr>
        <w:snapToGrid/>
        <w:spacing w:line="240" w:lineRule="auto"/>
        <w:ind w:firstLine="360" w:firstLineChars="150"/>
        <w:rPr>
          <w:rFonts w:hint="eastAsia" w:ascii="仿宋" w:hAnsi="仿宋" w:eastAsia="仿宋"/>
          <w:b w:val="0"/>
          <w:color w:val="auto"/>
          <w:sz w:val="24"/>
          <w:szCs w:val="24"/>
        </w:rPr>
      </w:pPr>
      <w:r>
        <w:rPr>
          <w:rFonts w:hint="eastAsia" w:ascii="仿宋" w:hAnsi="仿宋" w:eastAsia="仿宋"/>
          <w:b w:val="0"/>
          <w:color w:val="auto"/>
          <w:sz w:val="24"/>
          <w:szCs w:val="24"/>
        </w:rPr>
        <w:t>（二）落实政府采购政策需满足的资格要求：本项目不属于专门面向中小企业采购的项目。</w:t>
      </w:r>
    </w:p>
    <w:p>
      <w:pPr>
        <w:snapToGrid/>
        <w:spacing w:line="240" w:lineRule="auto"/>
        <w:ind w:firstLine="360" w:firstLineChars="150"/>
        <w:rPr>
          <w:rFonts w:ascii="仿宋" w:hAnsi="仿宋" w:eastAsia="仿宋"/>
          <w:b w:val="0"/>
          <w:color w:val="auto"/>
          <w:sz w:val="24"/>
          <w:szCs w:val="24"/>
        </w:rPr>
      </w:pPr>
      <w:r>
        <w:rPr>
          <w:rFonts w:hint="eastAsia" w:ascii="仿宋" w:hAnsi="仿宋" w:eastAsia="仿宋"/>
          <w:b w:val="0"/>
          <w:color w:val="auto"/>
          <w:sz w:val="24"/>
          <w:szCs w:val="24"/>
        </w:rPr>
        <w:t>（三）</w:t>
      </w:r>
      <w:r>
        <w:rPr>
          <w:rFonts w:ascii="仿宋" w:hAnsi="仿宋" w:eastAsia="仿宋"/>
          <w:b w:val="0"/>
          <w:color w:val="auto"/>
          <w:sz w:val="24"/>
          <w:szCs w:val="24"/>
        </w:rPr>
        <w:t>其他类似效力要求：</w:t>
      </w:r>
    </w:p>
    <w:p>
      <w:pPr>
        <w:snapToGrid/>
        <w:spacing w:line="240" w:lineRule="auto"/>
        <w:ind w:firstLine="480"/>
        <w:rPr>
          <w:rFonts w:ascii="仿宋" w:hAnsi="仿宋" w:eastAsia="仿宋"/>
          <w:b w:val="0"/>
          <w:color w:val="auto"/>
          <w:sz w:val="24"/>
          <w:szCs w:val="24"/>
        </w:rPr>
      </w:pPr>
      <w:r>
        <w:rPr>
          <w:rFonts w:ascii="仿宋" w:hAnsi="仿宋" w:eastAsia="仿宋"/>
          <w:b w:val="0"/>
          <w:color w:val="auto"/>
          <w:sz w:val="24"/>
          <w:szCs w:val="24"/>
        </w:rPr>
        <w:t>授权参加本次投标活动的投标人代表。</w:t>
      </w:r>
    </w:p>
    <w:p>
      <w:pPr>
        <w:snapToGrid/>
        <w:spacing w:beforeLines="50" w:line="240" w:lineRule="auto"/>
        <w:ind w:firstLine="542" w:firstLineChars="225"/>
        <w:rPr>
          <w:rFonts w:hint="eastAsia" w:ascii="仿宋" w:hAnsi="仿宋" w:eastAsia="仿宋" w:cs="仿宋"/>
          <w:color w:val="auto"/>
          <w:kern w:val="2"/>
          <w:sz w:val="24"/>
          <w:szCs w:val="24"/>
          <w:lang w:val="en-US"/>
        </w:rPr>
      </w:pPr>
      <w:r>
        <w:rPr>
          <w:rFonts w:hint="eastAsia" w:ascii="仿宋" w:hAnsi="仿宋" w:eastAsia="仿宋" w:cs="仿宋"/>
          <w:color w:val="auto"/>
          <w:kern w:val="2"/>
          <w:sz w:val="24"/>
          <w:szCs w:val="24"/>
          <w:lang w:val="en-US"/>
        </w:rPr>
        <w:t>二、不属于禁止参加本次采购活动的供应商</w:t>
      </w:r>
    </w:p>
    <w:p>
      <w:pPr>
        <w:snapToGrid/>
        <w:spacing w:line="240" w:lineRule="auto"/>
        <w:ind w:firstLine="480"/>
        <w:rPr>
          <w:rFonts w:hint="eastAsia" w:ascii="仿宋" w:hAnsi="仿宋" w:eastAsia="仿宋" w:cs="仿宋"/>
          <w:b w:val="0"/>
          <w:color w:val="auto"/>
          <w:kern w:val="2"/>
          <w:sz w:val="24"/>
          <w:szCs w:val="24"/>
          <w:lang w:val="en-US"/>
        </w:rPr>
      </w:pPr>
      <w:r>
        <w:rPr>
          <w:rFonts w:hint="eastAsia" w:ascii="仿宋" w:hAnsi="仿宋" w:eastAsia="仿宋" w:cs="仿宋"/>
          <w:b w:val="0"/>
          <w:color w:val="auto"/>
          <w:kern w:val="2"/>
          <w:sz w:val="24"/>
          <w:szCs w:val="24"/>
          <w:lang w:val="en-US"/>
        </w:rPr>
        <w:t>根据《关于在政府采购活动中查询及使用信用记录有关问题的通知》（财库〔</w:t>
      </w:r>
      <w:r>
        <w:rPr>
          <w:rFonts w:ascii="仿宋" w:hAnsi="仿宋" w:eastAsia="仿宋" w:cs="仿宋"/>
          <w:b w:val="0"/>
          <w:color w:val="auto"/>
          <w:kern w:val="2"/>
          <w:sz w:val="24"/>
          <w:szCs w:val="24"/>
          <w:lang w:val="en-US"/>
        </w:rPr>
        <w:t>2016〕125号）的要求，采购代理机构将通过“信用中国”网站（www.creditchina.gov.cn）、“中国政府采购网”网站（www.ccgp.gov.cn）等渠道查询供应商在开标当日之前的信用信息记录并保存信用记录结果网页截图，拒绝列入失信被执行人、重大税收违法案件当事人名单、政府采购严重违法失信行为记录名单及其他不符合《中华人民共和国政府采购法》第二十二条规定条件的供应商参加本项目的采购活动</w:t>
      </w:r>
      <w:r>
        <w:rPr>
          <w:rFonts w:hint="eastAsia" w:ascii="仿宋" w:hAnsi="仿宋" w:eastAsia="仿宋" w:cs="仿宋"/>
          <w:b w:val="0"/>
          <w:color w:val="auto"/>
          <w:kern w:val="2"/>
          <w:sz w:val="24"/>
          <w:szCs w:val="24"/>
          <w:lang w:val="en-US"/>
        </w:rPr>
        <w:t>。</w:t>
      </w:r>
    </w:p>
    <w:p>
      <w:pPr>
        <w:snapToGrid/>
        <w:spacing w:line="240" w:lineRule="auto"/>
        <w:ind w:firstLine="540" w:firstLineChars="225"/>
        <w:rPr>
          <w:rFonts w:hint="eastAsia" w:ascii="仿宋" w:hAnsi="仿宋" w:eastAsia="仿宋"/>
          <w:b w:val="0"/>
          <w:color w:val="auto"/>
          <w:kern w:val="2"/>
          <w:sz w:val="24"/>
          <w:szCs w:val="24"/>
          <w:lang w:val="en-US"/>
        </w:rPr>
      </w:pPr>
    </w:p>
    <w:p>
      <w:pPr>
        <w:snapToGrid/>
        <w:spacing w:line="240" w:lineRule="auto"/>
        <w:ind w:firstLine="540" w:firstLineChars="225"/>
        <w:rPr>
          <w:rFonts w:hint="eastAsia" w:ascii="仿宋" w:hAnsi="仿宋" w:eastAsia="仿宋" w:cs="仿宋"/>
          <w:b w:val="0"/>
          <w:color w:val="auto"/>
          <w:kern w:val="2"/>
          <w:sz w:val="24"/>
          <w:szCs w:val="24"/>
          <w:lang w:val="en-US"/>
        </w:rPr>
      </w:pPr>
      <w:r>
        <w:rPr>
          <w:rFonts w:hint="eastAsia" w:ascii="仿宋" w:hAnsi="仿宋" w:eastAsia="仿宋" w:cs="仿宋"/>
          <w:b w:val="0"/>
          <w:color w:val="auto"/>
          <w:kern w:val="2"/>
          <w:sz w:val="24"/>
          <w:szCs w:val="24"/>
          <w:lang w:val="en-US"/>
        </w:rPr>
        <w:t>注：</w:t>
      </w:r>
    </w:p>
    <w:p>
      <w:pPr>
        <w:snapToGrid/>
        <w:spacing w:line="240" w:lineRule="auto"/>
        <w:ind w:firstLine="540" w:firstLineChars="225"/>
        <w:rPr>
          <w:rFonts w:ascii="仿宋" w:hAnsi="仿宋" w:eastAsia="仿宋"/>
          <w:b w:val="0"/>
          <w:color w:val="auto"/>
          <w:kern w:val="2"/>
          <w:sz w:val="24"/>
          <w:szCs w:val="24"/>
          <w:lang w:val="en-US"/>
        </w:rPr>
      </w:pPr>
      <w:r>
        <w:rPr>
          <w:rFonts w:hint="eastAsia" w:ascii="仿宋" w:hAnsi="仿宋" w:eastAsia="仿宋" w:cs="仿宋"/>
          <w:b w:val="0"/>
          <w:color w:val="auto"/>
          <w:kern w:val="2"/>
          <w:sz w:val="24"/>
          <w:szCs w:val="24"/>
          <w:lang w:val="en-US"/>
        </w:rPr>
        <w:t>资格要求中“</w:t>
      </w:r>
      <w:r>
        <w:rPr>
          <w:rFonts w:ascii="仿宋" w:hAnsi="仿宋" w:eastAsia="仿宋" w:cs="仿宋"/>
          <w:b w:val="0"/>
          <w:color w:val="auto"/>
          <w:kern w:val="2"/>
          <w:sz w:val="24"/>
          <w:szCs w:val="24"/>
          <w:lang w:val="en-US"/>
        </w:rPr>
        <w:t>5.</w:t>
      </w:r>
      <w:r>
        <w:rPr>
          <w:rFonts w:hint="eastAsia" w:ascii="仿宋" w:hAnsi="仿宋" w:eastAsia="仿宋" w:cs="仿宋"/>
          <w:b w:val="0"/>
          <w:color w:val="auto"/>
          <w:kern w:val="2"/>
          <w:sz w:val="24"/>
          <w:szCs w:val="24"/>
          <w:lang w:val="en-US"/>
        </w:rPr>
        <w:t>参加本次政府采购活动前三年内，在经营活动中没有重大违法记录”中的重大违法记录，即因违法经营受到刑事处罚或者责令停产停业、吊销许可证或者执照、较大数额罚款等行政处罚，其中较大数额罚款的具体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具体金额标准详见《附件一  各行政监管领域“较大数额罚款"标准一览表》。</w:t>
      </w:r>
    </w:p>
    <w:p>
      <w:pPr>
        <w:spacing w:line="560" w:lineRule="exact"/>
        <w:ind w:firstLine="0" w:firstLineChars="0"/>
        <w:rPr>
          <w:rFonts w:hint="eastAsia" w:ascii="仿宋" w:hAnsi="仿宋" w:eastAsia="仿宋"/>
          <w:color w:val="0000CC"/>
          <w:sz w:val="24"/>
          <w:szCs w:val="24"/>
        </w:rPr>
      </w:pPr>
    </w:p>
    <w:p>
      <w:pPr>
        <w:ind w:firstLine="482"/>
        <w:rPr>
          <w:rFonts w:ascii="仿宋" w:hAnsi="仿宋" w:eastAsia="仿宋"/>
          <w:color w:val="auto"/>
          <w:sz w:val="24"/>
          <w:szCs w:val="24"/>
        </w:rPr>
      </w:pPr>
    </w:p>
    <w:p>
      <w:pPr>
        <w:ind w:firstLine="482"/>
        <w:rPr>
          <w:rFonts w:ascii="仿宋" w:hAnsi="仿宋" w:eastAsia="仿宋"/>
          <w:color w:val="auto"/>
          <w:sz w:val="24"/>
          <w:szCs w:val="24"/>
        </w:rPr>
        <w:sectPr>
          <w:pgSz w:w="11906" w:h="16838"/>
          <w:pgMar w:top="1418" w:right="1134" w:bottom="1418" w:left="1701" w:header="907" w:footer="850" w:gutter="0"/>
          <w:cols w:space="720" w:num="1"/>
          <w:titlePg/>
          <w:docGrid w:type="lines" w:linePitch="437" w:charSpace="0"/>
        </w:sectPr>
      </w:pPr>
      <w:r>
        <w:rPr>
          <w:rFonts w:ascii="仿宋" w:hAnsi="仿宋" w:eastAsia="仿宋"/>
          <w:color w:val="auto"/>
          <w:sz w:val="24"/>
          <w:szCs w:val="24"/>
        </w:rPr>
        <w:t>投标人的资格及其他具有类似效力的要求的证明材料详见招标文件第5章。</w:t>
      </w:r>
    </w:p>
    <w:p>
      <w:pPr>
        <w:ind w:firstLine="40"/>
        <w:rPr>
          <w:rFonts w:ascii="仿宋" w:hAnsi="仿宋" w:eastAsia="仿宋"/>
          <w:color w:val="auto"/>
          <w:sz w:val="2"/>
          <w:szCs w:val="2"/>
        </w:rPr>
      </w:pPr>
    </w:p>
    <w:p>
      <w:pPr>
        <w:pStyle w:val="3"/>
        <w:numPr>
          <w:ilvl w:val="0"/>
          <w:numId w:val="17"/>
        </w:numPr>
        <w:spacing w:beforeLines="50" w:after="0" w:line="360" w:lineRule="auto"/>
        <w:ind w:left="0" w:firstLine="0"/>
        <w:rPr>
          <w:rFonts w:ascii="仿宋" w:hAnsi="仿宋" w:eastAsia="仿宋"/>
          <w:b/>
          <w:color w:val="auto"/>
        </w:rPr>
      </w:pPr>
      <w:bookmarkStart w:id="438" w:name="_Toc36029483"/>
      <w:bookmarkStart w:id="439" w:name="_Toc325356173"/>
      <w:bookmarkStart w:id="440" w:name="_Toc353972070"/>
      <w:bookmarkStart w:id="441" w:name="_Toc494198617"/>
      <w:r>
        <w:rPr>
          <w:rFonts w:hint="eastAsia" w:ascii="仿宋" w:hAnsi="仿宋" w:eastAsia="仿宋"/>
          <w:b/>
          <w:color w:val="auto"/>
        </w:rPr>
        <w:t xml:space="preserve"> </w:t>
      </w:r>
      <w:bookmarkStart w:id="442" w:name="_Toc40703452"/>
      <w:r>
        <w:rPr>
          <w:rFonts w:ascii="仿宋" w:hAnsi="仿宋" w:eastAsia="仿宋"/>
          <w:b/>
          <w:color w:val="auto"/>
        </w:rPr>
        <w:t>投标人应当提供的资格、资质性及其他具有类似效力要求的相关证明材料</w:t>
      </w:r>
      <w:bookmarkEnd w:id="438"/>
      <w:bookmarkEnd w:id="439"/>
      <w:bookmarkEnd w:id="440"/>
      <w:bookmarkEnd w:id="441"/>
      <w:bookmarkEnd w:id="442"/>
      <w:bookmarkStart w:id="443" w:name="_Toc353972071"/>
      <w:r>
        <w:rPr>
          <w:rFonts w:ascii="仿宋" w:hAnsi="仿宋" w:eastAsia="仿宋"/>
          <w:b/>
          <w:color w:val="auto"/>
        </w:rPr>
        <w:t xml:space="preserve"> </w:t>
      </w:r>
    </w:p>
    <w:bookmarkEnd w:id="443"/>
    <w:p>
      <w:pPr>
        <w:numPr>
          <w:ilvl w:val="0"/>
          <w:numId w:val="48"/>
        </w:numPr>
        <w:ind w:firstLineChars="0"/>
        <w:rPr>
          <w:rFonts w:hint="eastAsia" w:ascii="仿宋" w:hAnsi="仿宋" w:eastAsia="仿宋"/>
          <w:color w:val="auto"/>
          <w:sz w:val="24"/>
          <w:szCs w:val="24"/>
        </w:rPr>
      </w:pPr>
      <w:r>
        <w:rPr>
          <w:rFonts w:ascii="仿宋" w:hAnsi="仿宋" w:eastAsia="仿宋"/>
          <w:color w:val="auto"/>
          <w:sz w:val="24"/>
          <w:szCs w:val="24"/>
        </w:rPr>
        <w:t>投标人的资格、资质性要求相关证明材料：</w:t>
      </w:r>
    </w:p>
    <w:p>
      <w:pPr>
        <w:ind w:firstLine="354" w:firstLineChars="147"/>
        <w:rPr>
          <w:rFonts w:ascii="仿宋" w:hAnsi="仿宋" w:eastAsia="仿宋"/>
          <w:color w:val="auto"/>
          <w:sz w:val="24"/>
          <w:szCs w:val="24"/>
        </w:rPr>
      </w:pPr>
      <w:r>
        <w:rPr>
          <w:rFonts w:hint="eastAsia" w:ascii="仿宋" w:hAnsi="仿宋" w:eastAsia="仿宋"/>
          <w:color w:val="auto"/>
          <w:sz w:val="24"/>
          <w:szCs w:val="24"/>
        </w:rPr>
        <w:t>（一）资格要求相关证明材料：</w:t>
      </w:r>
    </w:p>
    <w:p>
      <w:pPr>
        <w:ind w:firstLine="480"/>
        <w:rPr>
          <w:rFonts w:ascii="仿宋" w:hAnsi="仿宋" w:eastAsia="仿宋"/>
          <w:b w:val="0"/>
          <w:color w:val="auto"/>
          <w:sz w:val="24"/>
          <w:szCs w:val="24"/>
        </w:rPr>
      </w:pPr>
      <w:r>
        <w:rPr>
          <w:rFonts w:ascii="仿宋" w:hAnsi="仿宋" w:eastAsia="仿宋"/>
          <w:b w:val="0"/>
          <w:color w:val="auto"/>
          <w:sz w:val="24"/>
          <w:szCs w:val="24"/>
        </w:rPr>
        <w:t>1．具有独立承担民事责任能力的证明材料复印件（</w:t>
      </w:r>
      <w:r>
        <w:rPr>
          <w:rFonts w:hint="eastAsia" w:ascii="仿宋" w:hAnsi="仿宋" w:eastAsia="仿宋" w:cs="宋体"/>
          <w:b w:val="0"/>
          <w:color w:val="auto"/>
          <w:sz w:val="24"/>
          <w:szCs w:val="24"/>
        </w:rPr>
        <w:t>①</w:t>
      </w:r>
      <w:r>
        <w:rPr>
          <w:rFonts w:ascii="仿宋" w:hAnsi="仿宋" w:eastAsia="仿宋"/>
          <w:b w:val="0"/>
          <w:color w:val="auto"/>
          <w:sz w:val="24"/>
          <w:szCs w:val="24"/>
        </w:rPr>
        <w:t>法人或其他组织的营业执照（或法人证书）或执业许可证明材料；自然人的则为身份证</w:t>
      </w:r>
      <w:r>
        <w:rPr>
          <w:rFonts w:hint="eastAsia" w:ascii="仿宋" w:hAnsi="仿宋" w:eastAsia="仿宋"/>
          <w:b w:val="0"/>
          <w:color w:val="auto"/>
          <w:sz w:val="24"/>
          <w:szCs w:val="24"/>
          <w:lang w:val="en-US"/>
        </w:rPr>
        <w:t>明材料</w:t>
      </w:r>
      <w:r>
        <w:rPr>
          <w:rFonts w:ascii="仿宋" w:hAnsi="仿宋" w:eastAsia="仿宋"/>
          <w:b w:val="0"/>
          <w:color w:val="auto"/>
          <w:sz w:val="24"/>
          <w:szCs w:val="24"/>
        </w:rPr>
        <w:t>；</w:t>
      </w:r>
      <w:r>
        <w:rPr>
          <w:rFonts w:hint="eastAsia" w:ascii="仿宋" w:hAnsi="仿宋" w:eastAsia="仿宋" w:cs="宋体"/>
          <w:b w:val="0"/>
          <w:color w:val="auto"/>
          <w:sz w:val="24"/>
          <w:szCs w:val="24"/>
        </w:rPr>
        <w:t>②</w:t>
      </w:r>
      <w:r>
        <w:rPr>
          <w:rFonts w:ascii="仿宋" w:hAnsi="仿宋" w:eastAsia="仿宋"/>
          <w:b w:val="0"/>
          <w:color w:val="auto"/>
          <w:sz w:val="24"/>
          <w:szCs w:val="24"/>
        </w:rPr>
        <w:t>加盖投标人公章。）；</w:t>
      </w:r>
    </w:p>
    <w:p>
      <w:pPr>
        <w:ind w:firstLine="480"/>
        <w:rPr>
          <w:rFonts w:ascii="仿宋" w:hAnsi="仿宋" w:eastAsia="仿宋"/>
          <w:b w:val="0"/>
          <w:color w:val="auto"/>
          <w:sz w:val="24"/>
          <w:szCs w:val="24"/>
        </w:rPr>
      </w:pPr>
      <w:r>
        <w:rPr>
          <w:rFonts w:ascii="仿宋" w:hAnsi="仿宋" w:eastAsia="仿宋"/>
          <w:b w:val="0"/>
          <w:color w:val="auto"/>
          <w:sz w:val="24"/>
          <w:szCs w:val="24"/>
        </w:rPr>
        <w:t>2．具有良好的商业信誉和健全的财务会计制度的证明材料（加盖投标人公章。)：</w:t>
      </w:r>
    </w:p>
    <w:p>
      <w:pPr>
        <w:ind w:firstLine="360" w:firstLineChars="150"/>
        <w:rPr>
          <w:rFonts w:ascii="仿宋" w:hAnsi="仿宋" w:eastAsia="仿宋"/>
          <w:b w:val="0"/>
          <w:color w:val="auto"/>
          <w:sz w:val="24"/>
          <w:szCs w:val="24"/>
        </w:rPr>
      </w:pPr>
      <w:r>
        <w:rPr>
          <w:rFonts w:ascii="仿宋" w:hAnsi="仿宋" w:eastAsia="仿宋"/>
          <w:b w:val="0"/>
          <w:color w:val="auto"/>
          <w:sz w:val="24"/>
          <w:szCs w:val="24"/>
        </w:rPr>
        <w:t>（1）提供具有良好的商业信誉承诺函原件；</w:t>
      </w:r>
    </w:p>
    <w:p>
      <w:pPr>
        <w:ind w:firstLine="360" w:firstLineChars="150"/>
        <w:rPr>
          <w:rFonts w:ascii="仿宋" w:hAnsi="仿宋" w:eastAsia="仿宋"/>
          <w:b w:val="0"/>
          <w:color w:val="auto"/>
          <w:sz w:val="24"/>
          <w:szCs w:val="24"/>
        </w:rPr>
      </w:pPr>
      <w:r>
        <w:rPr>
          <w:rFonts w:ascii="仿宋" w:hAnsi="仿宋" w:eastAsia="仿宋"/>
          <w:b w:val="0"/>
          <w:color w:val="auto"/>
          <w:sz w:val="24"/>
          <w:szCs w:val="24"/>
        </w:rPr>
        <w:t>（2）财务状况报告：</w:t>
      </w:r>
      <w:r>
        <w:rPr>
          <w:rFonts w:hint="eastAsia" w:ascii="仿宋" w:hAnsi="仿宋" w:eastAsia="仿宋" w:cs="宋体"/>
          <w:b w:val="0"/>
          <w:color w:val="auto"/>
          <w:sz w:val="24"/>
          <w:szCs w:val="24"/>
        </w:rPr>
        <w:t>①</w:t>
      </w:r>
      <w:r>
        <w:rPr>
          <w:rFonts w:ascii="仿宋" w:hAnsi="仿宋" w:eastAsia="仿宋"/>
          <w:b w:val="0"/>
          <w:color w:val="auto"/>
          <w:sz w:val="24"/>
          <w:szCs w:val="24"/>
        </w:rPr>
        <w:t>2019年度</w:t>
      </w:r>
      <w:r>
        <w:rPr>
          <w:rFonts w:hint="eastAsia" w:ascii="仿宋" w:hAnsi="仿宋" w:eastAsia="仿宋"/>
          <w:b w:val="0"/>
          <w:color w:val="auto"/>
          <w:sz w:val="24"/>
          <w:szCs w:val="24"/>
        </w:rPr>
        <w:t>或</w:t>
      </w:r>
      <w:r>
        <w:rPr>
          <w:rFonts w:hint="eastAsia" w:ascii="仿宋" w:hAnsi="仿宋" w:eastAsia="仿宋"/>
          <w:b w:val="0"/>
          <w:color w:val="auto"/>
          <w:sz w:val="24"/>
          <w:szCs w:val="24"/>
          <w:lang w:val="en-US"/>
        </w:rPr>
        <w:t>2020年度</w:t>
      </w:r>
      <w:r>
        <w:rPr>
          <w:rFonts w:ascii="仿宋" w:hAnsi="仿宋" w:eastAsia="仿宋"/>
          <w:b w:val="0"/>
          <w:color w:val="auto"/>
          <w:sz w:val="24"/>
          <w:szCs w:val="24"/>
        </w:rPr>
        <w:t>经审计的财务报告</w:t>
      </w:r>
      <w:r>
        <w:rPr>
          <w:rFonts w:hint="eastAsia" w:ascii="仿宋" w:hAnsi="仿宋" w:eastAsia="仿宋"/>
          <w:b w:val="0"/>
          <w:color w:val="auto"/>
          <w:sz w:val="24"/>
          <w:szCs w:val="24"/>
        </w:rPr>
        <w:t>（</w:t>
      </w:r>
      <w:r>
        <w:rPr>
          <w:rFonts w:ascii="仿宋" w:hAnsi="仿宋" w:eastAsia="仿宋"/>
          <w:b w:val="0"/>
          <w:color w:val="auto"/>
          <w:sz w:val="24"/>
          <w:szCs w:val="24"/>
        </w:rPr>
        <w:t>包含审计报告和审计报告中所涉及的财务报表、报表附注和出具报告机构、人员的证照</w:t>
      </w:r>
      <w:r>
        <w:rPr>
          <w:rFonts w:hint="eastAsia" w:ascii="仿宋" w:hAnsi="仿宋" w:eastAsia="仿宋"/>
          <w:b w:val="0"/>
          <w:color w:val="auto"/>
          <w:sz w:val="24"/>
          <w:szCs w:val="24"/>
        </w:rPr>
        <w:t>）</w:t>
      </w:r>
      <w:r>
        <w:rPr>
          <w:rFonts w:ascii="仿宋" w:hAnsi="仿宋" w:eastAsia="仿宋"/>
          <w:b w:val="0"/>
          <w:color w:val="auto"/>
          <w:sz w:val="24"/>
          <w:szCs w:val="24"/>
        </w:rPr>
        <w:t>复印件</w:t>
      </w:r>
      <w:r>
        <w:rPr>
          <w:rFonts w:hint="eastAsia" w:ascii="仿宋" w:hAnsi="仿宋" w:eastAsia="仿宋" w:cs="宋体"/>
          <w:b w:val="0"/>
          <w:color w:val="auto"/>
          <w:sz w:val="24"/>
          <w:szCs w:val="24"/>
        </w:rPr>
        <w:t>②</w:t>
      </w:r>
      <w:r>
        <w:rPr>
          <w:rFonts w:ascii="仿宋" w:hAnsi="仿宋" w:eastAsia="仿宋"/>
          <w:b w:val="0"/>
          <w:color w:val="auto"/>
          <w:sz w:val="24"/>
          <w:szCs w:val="24"/>
        </w:rPr>
        <w:t>供应商内部出具的2019年度</w:t>
      </w:r>
      <w:r>
        <w:rPr>
          <w:rFonts w:hint="eastAsia" w:ascii="仿宋" w:hAnsi="仿宋" w:eastAsia="仿宋"/>
          <w:color w:val="auto"/>
          <w:sz w:val="24"/>
          <w:szCs w:val="24"/>
        </w:rPr>
        <w:t>或</w:t>
      </w:r>
      <w:r>
        <w:rPr>
          <w:rFonts w:hint="eastAsia" w:ascii="仿宋" w:hAnsi="仿宋" w:eastAsia="仿宋"/>
          <w:b w:val="0"/>
          <w:color w:val="auto"/>
          <w:sz w:val="24"/>
          <w:szCs w:val="24"/>
          <w:lang w:val="en-US"/>
        </w:rPr>
        <w:t>2020年度</w:t>
      </w:r>
      <w:r>
        <w:rPr>
          <w:rFonts w:ascii="仿宋" w:hAnsi="仿宋" w:eastAsia="仿宋"/>
          <w:b w:val="0"/>
          <w:color w:val="auto"/>
          <w:sz w:val="24"/>
          <w:szCs w:val="24"/>
        </w:rPr>
        <w:t>财务报表复印件（至少包含资产负债表）</w:t>
      </w:r>
      <w:r>
        <w:rPr>
          <w:rFonts w:hint="eastAsia" w:ascii="仿宋" w:hAnsi="仿宋" w:eastAsia="仿宋" w:cs="宋体"/>
          <w:b w:val="0"/>
          <w:color w:val="auto"/>
          <w:sz w:val="24"/>
          <w:szCs w:val="24"/>
        </w:rPr>
        <w:t>③</w:t>
      </w:r>
      <w:r>
        <w:rPr>
          <w:rFonts w:ascii="仿宋" w:hAnsi="仿宋" w:eastAsia="仿宋"/>
          <w:b w:val="0"/>
          <w:color w:val="auto"/>
          <w:sz w:val="24"/>
          <w:szCs w:val="24"/>
        </w:rPr>
        <w:t>银行出具的资信证明复印件</w:t>
      </w:r>
    </w:p>
    <w:p>
      <w:pPr>
        <w:ind w:firstLine="480"/>
        <w:rPr>
          <w:rFonts w:ascii="仿宋" w:hAnsi="仿宋" w:eastAsia="仿宋"/>
          <w:b w:val="0"/>
          <w:color w:val="auto"/>
          <w:sz w:val="24"/>
          <w:szCs w:val="24"/>
        </w:rPr>
      </w:pPr>
      <w:r>
        <w:rPr>
          <w:rFonts w:ascii="仿宋" w:hAnsi="仿宋" w:eastAsia="仿宋"/>
          <w:b w:val="0"/>
          <w:color w:val="auto"/>
          <w:sz w:val="24"/>
          <w:szCs w:val="24"/>
        </w:rPr>
        <w:t>注：a．以上</w:t>
      </w:r>
      <w:r>
        <w:rPr>
          <w:rFonts w:hint="eastAsia" w:ascii="仿宋" w:hAnsi="仿宋" w:eastAsia="仿宋" w:cs="宋体"/>
          <w:b w:val="0"/>
          <w:color w:val="auto"/>
          <w:sz w:val="24"/>
          <w:szCs w:val="24"/>
        </w:rPr>
        <w:t>①②③</w:t>
      </w:r>
      <w:r>
        <w:rPr>
          <w:rFonts w:ascii="仿宋" w:hAnsi="仿宋" w:eastAsia="仿宋"/>
          <w:b w:val="0"/>
          <w:color w:val="auto"/>
          <w:sz w:val="24"/>
          <w:szCs w:val="24"/>
        </w:rPr>
        <w:t>提供任意一项即可；b．供应商成立时间至递交投标文件截止时间为止不足一年的，提供任意时间段的资产负债表复印件或银行出具的资信证明复印件即可；c．供应商为事业单位或其他组织的提供其具有健全的财务会计制度的承诺函原件即可；</w:t>
      </w:r>
      <w:r>
        <w:rPr>
          <w:rFonts w:hint="eastAsia" w:ascii="仿宋" w:hAnsi="仿宋" w:eastAsia="仿宋"/>
          <w:b w:val="0"/>
          <w:color w:val="auto"/>
          <w:sz w:val="24"/>
          <w:szCs w:val="24"/>
        </w:rPr>
        <w:t>d</w:t>
      </w:r>
      <w:r>
        <w:rPr>
          <w:rFonts w:ascii="仿宋" w:hAnsi="仿宋" w:eastAsia="仿宋"/>
          <w:b w:val="0"/>
          <w:color w:val="auto"/>
          <w:sz w:val="24"/>
          <w:szCs w:val="24"/>
        </w:rPr>
        <w:t>．</w:t>
      </w:r>
      <w:r>
        <w:rPr>
          <w:rFonts w:hint="eastAsia" w:ascii="仿宋" w:hAnsi="仿宋" w:eastAsia="仿宋"/>
          <w:b w:val="0"/>
          <w:color w:val="auto"/>
          <w:sz w:val="24"/>
          <w:szCs w:val="24"/>
        </w:rPr>
        <w:t>供应商为自然人的提供承诺函（格式自拟）；</w:t>
      </w:r>
    </w:p>
    <w:p>
      <w:pPr>
        <w:ind w:firstLine="480"/>
        <w:rPr>
          <w:rFonts w:ascii="仿宋" w:hAnsi="仿宋" w:eastAsia="仿宋"/>
          <w:b w:val="0"/>
          <w:color w:val="auto"/>
          <w:sz w:val="24"/>
          <w:szCs w:val="24"/>
        </w:rPr>
      </w:pPr>
      <w:r>
        <w:rPr>
          <w:rFonts w:ascii="仿宋" w:hAnsi="仿宋" w:eastAsia="仿宋"/>
          <w:b w:val="0"/>
          <w:color w:val="auto"/>
          <w:sz w:val="24"/>
          <w:szCs w:val="24"/>
        </w:rPr>
        <w:t>3．具备履行合同所必需的设备和专业技术能力的证明材料</w:t>
      </w:r>
      <w:r>
        <w:rPr>
          <w:rFonts w:hint="eastAsia" w:ascii="仿宋" w:hAnsi="仿宋" w:eastAsia="仿宋"/>
          <w:b w:val="0"/>
          <w:color w:val="auto"/>
          <w:sz w:val="24"/>
          <w:szCs w:val="24"/>
        </w:rPr>
        <w:t>（承诺函原件加盖投标人公章。）</w:t>
      </w:r>
      <w:r>
        <w:rPr>
          <w:rFonts w:ascii="仿宋" w:hAnsi="仿宋" w:eastAsia="仿宋"/>
          <w:b w:val="0"/>
          <w:color w:val="auto"/>
          <w:sz w:val="24"/>
          <w:szCs w:val="24"/>
        </w:rPr>
        <w:t>；</w:t>
      </w:r>
    </w:p>
    <w:p>
      <w:pPr>
        <w:ind w:firstLine="480"/>
        <w:rPr>
          <w:rFonts w:ascii="仿宋" w:hAnsi="仿宋" w:eastAsia="仿宋"/>
          <w:b w:val="0"/>
          <w:color w:val="auto"/>
          <w:sz w:val="24"/>
          <w:szCs w:val="24"/>
        </w:rPr>
      </w:pPr>
      <w:r>
        <w:rPr>
          <w:rFonts w:ascii="仿宋" w:hAnsi="仿宋" w:eastAsia="仿宋"/>
          <w:b w:val="0"/>
          <w:color w:val="auto"/>
          <w:sz w:val="24"/>
          <w:szCs w:val="24"/>
        </w:rPr>
        <w:t>4．具有依法缴纳税收和社会保障资金的良好记录的相关材料</w:t>
      </w:r>
      <w:r>
        <w:rPr>
          <w:rFonts w:hint="eastAsia" w:ascii="仿宋" w:hAnsi="仿宋" w:eastAsia="仿宋"/>
          <w:b w:val="0"/>
          <w:color w:val="auto"/>
          <w:sz w:val="24"/>
          <w:szCs w:val="24"/>
        </w:rPr>
        <w:t>（</w:t>
      </w:r>
      <w:r>
        <w:rPr>
          <w:rFonts w:hint="eastAsia" w:ascii="仿宋" w:hAnsi="仿宋" w:eastAsia="仿宋" w:cs="宋体"/>
          <w:b w:val="0"/>
          <w:color w:val="auto"/>
          <w:sz w:val="24"/>
          <w:szCs w:val="24"/>
        </w:rPr>
        <w:t>①</w:t>
      </w:r>
      <w:r>
        <w:rPr>
          <w:rFonts w:ascii="仿宋" w:hAnsi="仿宋" w:eastAsia="仿宋"/>
          <w:b w:val="0"/>
          <w:color w:val="auto"/>
          <w:sz w:val="24"/>
          <w:szCs w:val="24"/>
        </w:rPr>
        <w:t>加盖投标人公章</w:t>
      </w:r>
      <w:r>
        <w:rPr>
          <w:rFonts w:hint="eastAsia" w:ascii="仿宋" w:hAnsi="仿宋" w:eastAsia="仿宋"/>
          <w:b w:val="0"/>
          <w:color w:val="auto"/>
          <w:sz w:val="24"/>
          <w:szCs w:val="24"/>
        </w:rPr>
        <w:t>；</w:t>
      </w:r>
      <w:r>
        <w:rPr>
          <w:rFonts w:hint="eastAsia" w:ascii="仿宋" w:hAnsi="仿宋" w:eastAsia="仿宋" w:cs="宋体"/>
          <w:color w:val="auto"/>
          <w:sz w:val="24"/>
          <w:szCs w:val="24"/>
        </w:rPr>
        <w:t>②</w:t>
      </w:r>
      <w:r>
        <w:rPr>
          <w:rFonts w:hint="eastAsia" w:ascii="仿宋" w:hAnsi="仿宋" w:eastAsia="仿宋"/>
          <w:b w:val="0"/>
          <w:color w:val="auto"/>
          <w:sz w:val="24"/>
          <w:szCs w:val="24"/>
        </w:rPr>
        <w:t>采购活动结束后，采购代理机构将通过信用中国等网站核实投标人所作承诺真实性</w:t>
      </w:r>
      <w:r>
        <w:rPr>
          <w:rFonts w:ascii="仿宋" w:hAnsi="仿宋" w:eastAsia="仿宋"/>
          <w:b w:val="0"/>
          <w:color w:val="auto"/>
          <w:sz w:val="24"/>
          <w:szCs w:val="24"/>
        </w:rPr>
        <w:t>。</w:t>
      </w:r>
      <w:r>
        <w:rPr>
          <w:rFonts w:hint="eastAsia" w:ascii="仿宋" w:hAnsi="仿宋" w:eastAsia="仿宋"/>
          <w:b w:val="0"/>
          <w:color w:val="auto"/>
          <w:sz w:val="24"/>
          <w:szCs w:val="24"/>
        </w:rPr>
        <w:t>）</w:t>
      </w:r>
      <w:r>
        <w:rPr>
          <w:rFonts w:ascii="仿宋" w:hAnsi="仿宋" w:eastAsia="仿宋"/>
          <w:b w:val="0"/>
          <w:color w:val="auto"/>
          <w:sz w:val="24"/>
          <w:szCs w:val="24"/>
        </w:rPr>
        <w:t>：</w:t>
      </w:r>
    </w:p>
    <w:p>
      <w:pPr>
        <w:ind w:firstLine="480"/>
        <w:rPr>
          <w:rFonts w:ascii="仿宋" w:hAnsi="仿宋" w:eastAsia="仿宋"/>
          <w:b w:val="0"/>
          <w:color w:val="auto"/>
          <w:sz w:val="24"/>
          <w:szCs w:val="24"/>
        </w:rPr>
      </w:pPr>
      <w:r>
        <w:rPr>
          <w:rFonts w:ascii="仿宋" w:hAnsi="仿宋" w:eastAsia="仿宋"/>
          <w:b w:val="0"/>
          <w:color w:val="auto"/>
          <w:sz w:val="24"/>
          <w:szCs w:val="24"/>
        </w:rPr>
        <w:t>（1）20</w:t>
      </w:r>
      <w:r>
        <w:rPr>
          <w:rFonts w:hint="eastAsia" w:ascii="仿宋" w:hAnsi="仿宋" w:eastAsia="仿宋"/>
          <w:b w:val="0"/>
          <w:color w:val="auto"/>
          <w:sz w:val="24"/>
          <w:szCs w:val="24"/>
          <w:lang w:val="en-US"/>
        </w:rPr>
        <w:t>20</w:t>
      </w:r>
      <w:r>
        <w:rPr>
          <w:rFonts w:ascii="仿宋" w:hAnsi="仿宋" w:eastAsia="仿宋"/>
          <w:b w:val="0"/>
          <w:color w:val="auto"/>
          <w:sz w:val="24"/>
          <w:szCs w:val="24"/>
        </w:rPr>
        <w:t>年以来任意1个月的税收缴纳证明材料复印件或税收缴纳的承诺函原件（注：证明材料可为银行电子回单或者税务部门出具的纳税证明或完税证明或有效票据的复印件）；</w:t>
      </w:r>
    </w:p>
    <w:p>
      <w:pPr>
        <w:ind w:firstLine="480"/>
        <w:rPr>
          <w:rFonts w:ascii="仿宋" w:hAnsi="仿宋" w:eastAsia="仿宋"/>
          <w:b w:val="0"/>
          <w:color w:val="auto"/>
          <w:sz w:val="24"/>
          <w:szCs w:val="24"/>
        </w:rPr>
      </w:pPr>
      <w:r>
        <w:rPr>
          <w:rFonts w:ascii="仿宋" w:hAnsi="仿宋" w:eastAsia="仿宋"/>
          <w:b w:val="0"/>
          <w:color w:val="auto"/>
          <w:sz w:val="24"/>
          <w:szCs w:val="24"/>
        </w:rPr>
        <w:t>（2）20</w:t>
      </w:r>
      <w:r>
        <w:rPr>
          <w:rFonts w:hint="eastAsia" w:ascii="仿宋" w:hAnsi="仿宋" w:eastAsia="仿宋"/>
          <w:b w:val="0"/>
          <w:color w:val="auto"/>
          <w:sz w:val="24"/>
          <w:szCs w:val="24"/>
          <w:lang w:val="en-US"/>
        </w:rPr>
        <w:t>20</w:t>
      </w:r>
      <w:r>
        <w:rPr>
          <w:rFonts w:ascii="仿宋" w:hAnsi="仿宋" w:eastAsia="仿宋"/>
          <w:b w:val="0"/>
          <w:color w:val="auto"/>
          <w:sz w:val="24"/>
          <w:szCs w:val="24"/>
        </w:rPr>
        <w:t>年以来任意1个月的社保缴纳证明材料复印件或社保缴纳的承诺函原件（注：证明材料可为银行电子回单或社保部门出具的社保缴纳证明材料或有效票据复印件）；</w:t>
      </w:r>
    </w:p>
    <w:p>
      <w:pPr>
        <w:ind w:firstLine="480"/>
        <w:rPr>
          <w:rFonts w:ascii="仿宋" w:hAnsi="仿宋" w:eastAsia="仿宋"/>
          <w:b w:val="0"/>
          <w:color w:val="auto"/>
          <w:sz w:val="24"/>
          <w:szCs w:val="24"/>
        </w:rPr>
      </w:pPr>
      <w:r>
        <w:rPr>
          <w:rFonts w:ascii="仿宋" w:hAnsi="仿宋" w:eastAsia="仿宋"/>
          <w:b w:val="0"/>
          <w:color w:val="auto"/>
          <w:sz w:val="24"/>
          <w:szCs w:val="24"/>
        </w:rPr>
        <w:t>5．参加本次政府采购活动前三年内，在经营活动中没有重大违法记录的证明材料</w:t>
      </w:r>
      <w:r>
        <w:rPr>
          <w:rFonts w:hint="eastAsia" w:ascii="仿宋" w:hAnsi="仿宋" w:eastAsia="仿宋"/>
          <w:b w:val="0"/>
          <w:color w:val="auto"/>
          <w:sz w:val="24"/>
          <w:szCs w:val="24"/>
        </w:rPr>
        <w:t>（</w:t>
      </w:r>
      <w:r>
        <w:rPr>
          <w:rFonts w:ascii="仿宋" w:hAnsi="仿宋" w:eastAsia="仿宋"/>
          <w:b w:val="0"/>
          <w:color w:val="auto"/>
          <w:sz w:val="24"/>
          <w:szCs w:val="24"/>
        </w:rPr>
        <w:t>承诺函原件加盖投标人公章。</w:t>
      </w:r>
      <w:r>
        <w:rPr>
          <w:rFonts w:hint="eastAsia" w:ascii="仿宋" w:hAnsi="仿宋" w:eastAsia="仿宋"/>
          <w:b w:val="0"/>
          <w:color w:val="auto"/>
          <w:sz w:val="24"/>
          <w:szCs w:val="24"/>
        </w:rPr>
        <w:t>）</w:t>
      </w:r>
      <w:r>
        <w:rPr>
          <w:rFonts w:ascii="仿宋" w:hAnsi="仿宋" w:eastAsia="仿宋"/>
          <w:b w:val="0"/>
          <w:color w:val="auto"/>
          <w:sz w:val="24"/>
          <w:szCs w:val="24"/>
        </w:rPr>
        <w:t>；</w:t>
      </w:r>
    </w:p>
    <w:p>
      <w:pPr>
        <w:ind w:firstLine="480"/>
        <w:rPr>
          <w:rFonts w:ascii="仿宋" w:hAnsi="仿宋" w:eastAsia="仿宋"/>
          <w:b w:val="0"/>
          <w:color w:val="auto"/>
          <w:sz w:val="24"/>
          <w:szCs w:val="24"/>
        </w:rPr>
      </w:pPr>
      <w:r>
        <w:rPr>
          <w:rFonts w:ascii="仿宋" w:hAnsi="仿宋" w:eastAsia="仿宋"/>
          <w:b w:val="0"/>
          <w:color w:val="auto"/>
          <w:sz w:val="24"/>
          <w:szCs w:val="24"/>
        </w:rPr>
        <w:t>6．具备法律、行政法规规定的其他条件的证明材料复印件或承诺函原件（加盖投标人公章。）；</w:t>
      </w:r>
    </w:p>
    <w:p>
      <w:pPr>
        <w:ind w:firstLine="480"/>
        <w:rPr>
          <w:rFonts w:hint="eastAsia" w:ascii="仿宋" w:hAnsi="仿宋" w:eastAsia="仿宋"/>
          <w:b w:val="0"/>
          <w:color w:val="auto"/>
          <w:sz w:val="24"/>
          <w:szCs w:val="24"/>
        </w:rPr>
      </w:pPr>
      <w:r>
        <w:rPr>
          <w:rFonts w:ascii="仿宋" w:hAnsi="仿宋" w:eastAsia="仿宋"/>
          <w:b w:val="0"/>
          <w:color w:val="auto"/>
          <w:sz w:val="24"/>
          <w:szCs w:val="24"/>
        </w:rPr>
        <w:t>7．采购人根据采购项目提出的特殊条件证明材料：</w:t>
      </w:r>
    </w:p>
    <w:p>
      <w:pPr>
        <w:ind w:firstLine="480"/>
        <w:rPr>
          <w:rFonts w:ascii="仿宋" w:hAnsi="仿宋" w:eastAsia="仿宋"/>
          <w:b w:val="0"/>
          <w:color w:val="auto"/>
          <w:sz w:val="24"/>
          <w:szCs w:val="24"/>
        </w:rPr>
      </w:pPr>
      <w:r>
        <w:rPr>
          <w:rFonts w:hint="eastAsia" w:ascii="仿宋" w:hAnsi="仿宋" w:eastAsia="仿宋"/>
          <w:b w:val="0"/>
          <w:color w:val="auto"/>
          <w:kern w:val="2"/>
          <w:sz w:val="24"/>
          <w:szCs w:val="24"/>
          <w:lang w:val="en-US"/>
        </w:rPr>
        <w:t>提供有效的《劳务派遣经营许可证》证书复印件</w:t>
      </w:r>
      <w:r>
        <w:rPr>
          <w:rFonts w:hint="eastAsia" w:ascii="仿宋" w:hAnsi="仿宋" w:eastAsia="仿宋"/>
          <w:b w:val="0"/>
          <w:color w:val="auto"/>
          <w:sz w:val="24"/>
          <w:szCs w:val="24"/>
        </w:rPr>
        <w:t>。</w:t>
      </w:r>
    </w:p>
    <w:p>
      <w:pPr>
        <w:ind w:firstLine="480"/>
        <w:rPr>
          <w:rFonts w:ascii="仿宋" w:hAnsi="仿宋" w:eastAsia="仿宋"/>
          <w:b w:val="0"/>
          <w:color w:val="auto"/>
          <w:sz w:val="24"/>
          <w:szCs w:val="24"/>
        </w:rPr>
      </w:pPr>
      <w:r>
        <w:rPr>
          <w:rFonts w:hint="eastAsia" w:ascii="仿宋" w:hAnsi="仿宋" w:eastAsia="仿宋"/>
          <w:b w:val="0"/>
          <w:color w:val="auto"/>
          <w:sz w:val="24"/>
          <w:szCs w:val="24"/>
          <w:lang w:val="en-US"/>
        </w:rPr>
        <w:t>8</w:t>
      </w:r>
      <w:r>
        <w:rPr>
          <w:rFonts w:hint="eastAsia" w:ascii="仿宋" w:hAnsi="仿宋" w:eastAsia="仿宋"/>
          <w:b w:val="0"/>
          <w:color w:val="auto"/>
          <w:sz w:val="24"/>
          <w:szCs w:val="24"/>
        </w:rPr>
        <w:t>．按招标文件要求报名成功（代理机构出具的报名登记表即可，投标人无须提供）；</w:t>
      </w:r>
    </w:p>
    <w:p>
      <w:pPr>
        <w:ind w:firstLine="480"/>
        <w:rPr>
          <w:rFonts w:hint="eastAsia" w:ascii="仿宋" w:hAnsi="仿宋" w:eastAsia="仿宋"/>
          <w:b w:val="0"/>
          <w:color w:val="auto"/>
          <w:sz w:val="24"/>
          <w:szCs w:val="24"/>
        </w:rPr>
      </w:pPr>
      <w:r>
        <w:rPr>
          <w:rFonts w:hint="eastAsia" w:ascii="仿宋" w:hAnsi="仿宋" w:eastAsia="仿宋"/>
          <w:b w:val="0"/>
          <w:color w:val="auto"/>
          <w:sz w:val="24"/>
          <w:szCs w:val="24"/>
          <w:lang w:val="en-US"/>
        </w:rPr>
        <w:t>9</w:t>
      </w:r>
      <w:r>
        <w:rPr>
          <w:rFonts w:hint="eastAsia" w:ascii="仿宋" w:hAnsi="仿宋" w:eastAsia="仿宋"/>
          <w:b w:val="0"/>
          <w:color w:val="auto"/>
          <w:sz w:val="24"/>
          <w:szCs w:val="24"/>
        </w:rPr>
        <w:t>．本项目不接受联合体参与投标，联合体参与投标的，作无效处理。</w:t>
      </w:r>
    </w:p>
    <w:p>
      <w:pPr>
        <w:ind w:firstLine="361" w:firstLineChars="150"/>
        <w:rPr>
          <w:rFonts w:hint="eastAsia" w:ascii="仿宋" w:hAnsi="仿宋" w:eastAsia="仿宋"/>
          <w:color w:val="auto"/>
          <w:sz w:val="24"/>
          <w:szCs w:val="24"/>
        </w:rPr>
      </w:pPr>
      <w:r>
        <w:rPr>
          <w:rFonts w:hint="eastAsia" w:ascii="仿宋" w:hAnsi="仿宋" w:eastAsia="仿宋"/>
          <w:color w:val="auto"/>
          <w:sz w:val="24"/>
          <w:szCs w:val="24"/>
        </w:rPr>
        <w:t>（二）落实政府采购政策需满足的资格要求证明材料</w:t>
      </w:r>
    </w:p>
    <w:p>
      <w:pPr>
        <w:ind w:firstLine="480"/>
        <w:rPr>
          <w:rFonts w:hint="eastAsia" w:ascii="仿宋" w:hAnsi="仿宋" w:eastAsia="仿宋"/>
          <w:b w:val="0"/>
          <w:bCs/>
          <w:color w:val="auto"/>
          <w:sz w:val="24"/>
          <w:szCs w:val="24"/>
        </w:rPr>
      </w:pPr>
      <w:r>
        <w:rPr>
          <w:rFonts w:hint="eastAsia" w:ascii="仿宋" w:hAnsi="仿宋" w:eastAsia="仿宋"/>
          <w:b w:val="0"/>
          <w:bCs/>
          <w:color w:val="auto"/>
          <w:sz w:val="24"/>
          <w:szCs w:val="24"/>
        </w:rPr>
        <w:t>无。</w:t>
      </w:r>
    </w:p>
    <w:p>
      <w:pPr>
        <w:ind w:firstLine="361" w:firstLineChars="150"/>
        <w:rPr>
          <w:rFonts w:ascii="仿宋" w:hAnsi="仿宋" w:eastAsia="仿宋"/>
          <w:color w:val="auto"/>
          <w:sz w:val="24"/>
          <w:szCs w:val="24"/>
        </w:rPr>
      </w:pPr>
      <w:r>
        <w:rPr>
          <w:rFonts w:hint="eastAsia" w:ascii="仿宋" w:hAnsi="仿宋" w:eastAsia="仿宋"/>
          <w:color w:val="auto"/>
          <w:sz w:val="24"/>
          <w:szCs w:val="24"/>
        </w:rPr>
        <w:t>（三）</w:t>
      </w:r>
      <w:r>
        <w:rPr>
          <w:rFonts w:ascii="仿宋" w:hAnsi="仿宋" w:eastAsia="仿宋"/>
          <w:color w:val="auto"/>
          <w:sz w:val="24"/>
          <w:szCs w:val="24"/>
        </w:rPr>
        <w:t>其他类似效力要求相关证明材料：</w:t>
      </w:r>
    </w:p>
    <w:p>
      <w:pPr>
        <w:ind w:firstLine="480"/>
        <w:rPr>
          <w:rFonts w:ascii="仿宋" w:hAnsi="仿宋" w:eastAsia="仿宋"/>
          <w:b w:val="0"/>
          <w:color w:val="auto"/>
          <w:sz w:val="24"/>
          <w:szCs w:val="24"/>
        </w:rPr>
      </w:pPr>
      <w:r>
        <w:rPr>
          <w:rFonts w:ascii="仿宋" w:hAnsi="仿宋" w:eastAsia="仿宋"/>
          <w:b w:val="0"/>
          <w:color w:val="auto"/>
          <w:sz w:val="24"/>
          <w:szCs w:val="24"/>
        </w:rPr>
        <w:t>法定代表人</w:t>
      </w:r>
      <w:r>
        <w:rPr>
          <w:rFonts w:hint="eastAsia" w:ascii="仿宋" w:hAnsi="仿宋" w:eastAsia="仿宋"/>
          <w:b w:val="0"/>
          <w:color w:val="auto"/>
          <w:kern w:val="2"/>
          <w:sz w:val="24"/>
          <w:szCs w:val="24"/>
          <w:lang w:val="en-US"/>
        </w:rPr>
        <w:t>（主要负责人）</w:t>
      </w:r>
      <w:r>
        <w:rPr>
          <w:rFonts w:ascii="仿宋" w:hAnsi="仿宋" w:eastAsia="仿宋"/>
          <w:b w:val="0"/>
          <w:color w:val="auto"/>
          <w:sz w:val="24"/>
          <w:szCs w:val="24"/>
        </w:rPr>
        <w:t>授权委托书原件及法定代表人</w:t>
      </w:r>
      <w:r>
        <w:rPr>
          <w:rFonts w:hint="eastAsia" w:ascii="仿宋" w:hAnsi="仿宋" w:eastAsia="仿宋"/>
          <w:b w:val="0"/>
          <w:color w:val="auto"/>
          <w:kern w:val="2"/>
          <w:sz w:val="24"/>
          <w:szCs w:val="24"/>
          <w:lang w:val="en-US"/>
        </w:rPr>
        <w:t>（主要负责人）</w:t>
      </w:r>
      <w:r>
        <w:rPr>
          <w:rFonts w:ascii="仿宋" w:hAnsi="仿宋" w:eastAsia="仿宋"/>
          <w:b w:val="0"/>
          <w:color w:val="auto"/>
          <w:sz w:val="24"/>
          <w:szCs w:val="24"/>
        </w:rPr>
        <w:t>身份证、代理人身份证复印件（注：</w:t>
      </w:r>
      <w:r>
        <w:rPr>
          <w:rFonts w:hint="eastAsia" w:ascii="仿宋" w:hAnsi="仿宋" w:eastAsia="仿宋" w:cs="宋体"/>
          <w:b w:val="0"/>
          <w:color w:val="auto"/>
          <w:sz w:val="24"/>
          <w:szCs w:val="24"/>
        </w:rPr>
        <w:t>①</w:t>
      </w:r>
      <w:r>
        <w:rPr>
          <w:rFonts w:ascii="仿宋" w:hAnsi="仿宋" w:eastAsia="仿宋"/>
          <w:b w:val="0"/>
          <w:color w:val="auto"/>
          <w:sz w:val="24"/>
          <w:szCs w:val="24"/>
        </w:rPr>
        <w:t>授权书按本招标文件第3章“法定代表人</w:t>
      </w:r>
      <w:r>
        <w:rPr>
          <w:rFonts w:hint="eastAsia" w:ascii="仿宋" w:hAnsi="仿宋" w:eastAsia="仿宋"/>
          <w:b w:val="0"/>
          <w:color w:val="auto"/>
          <w:kern w:val="2"/>
          <w:sz w:val="24"/>
          <w:szCs w:val="24"/>
          <w:lang w:val="en-US"/>
        </w:rPr>
        <w:t>（主要负责人）</w:t>
      </w:r>
      <w:r>
        <w:rPr>
          <w:rFonts w:ascii="仿宋" w:hAnsi="仿宋" w:eastAsia="仿宋"/>
          <w:b w:val="0"/>
          <w:color w:val="auto"/>
          <w:sz w:val="24"/>
          <w:szCs w:val="24"/>
        </w:rPr>
        <w:t>授权委托书及代理人身份证复印件”格式提供，并按格式要求签字或加盖印章；</w:t>
      </w:r>
      <w:r>
        <w:rPr>
          <w:rFonts w:hint="eastAsia" w:ascii="仿宋" w:hAnsi="仿宋" w:eastAsia="仿宋" w:cs="宋体"/>
          <w:b w:val="0"/>
          <w:color w:val="auto"/>
          <w:sz w:val="24"/>
          <w:szCs w:val="24"/>
        </w:rPr>
        <w:t>②</w:t>
      </w:r>
      <w:r>
        <w:rPr>
          <w:rFonts w:ascii="仿宋" w:hAnsi="仿宋" w:eastAsia="仿宋"/>
          <w:b w:val="0"/>
          <w:color w:val="auto"/>
          <w:sz w:val="24"/>
          <w:szCs w:val="24"/>
        </w:rPr>
        <w:t>如投标文件均由投标人法定代表人</w:t>
      </w:r>
      <w:r>
        <w:rPr>
          <w:rFonts w:hint="eastAsia" w:ascii="仿宋" w:hAnsi="仿宋" w:eastAsia="仿宋"/>
          <w:b w:val="0"/>
          <w:color w:val="auto"/>
          <w:kern w:val="2"/>
          <w:sz w:val="24"/>
          <w:szCs w:val="24"/>
          <w:lang w:val="en-US"/>
        </w:rPr>
        <w:t>（主要负责人）</w:t>
      </w:r>
      <w:r>
        <w:rPr>
          <w:rFonts w:ascii="仿宋" w:hAnsi="仿宋" w:eastAsia="仿宋"/>
          <w:b w:val="0"/>
          <w:color w:val="auto"/>
          <w:sz w:val="24"/>
          <w:szCs w:val="24"/>
        </w:rPr>
        <w:t>签字</w:t>
      </w:r>
      <w:r>
        <w:rPr>
          <w:rFonts w:ascii="仿宋" w:hAnsi="仿宋" w:eastAsia="仿宋"/>
          <w:b w:val="0"/>
          <w:color w:val="auto"/>
          <w:kern w:val="2"/>
          <w:sz w:val="24"/>
          <w:szCs w:val="24"/>
          <w:lang w:val="en-US"/>
        </w:rPr>
        <w:t>或加盖印章</w:t>
      </w:r>
      <w:r>
        <w:rPr>
          <w:rFonts w:ascii="仿宋" w:hAnsi="仿宋" w:eastAsia="仿宋"/>
          <w:b w:val="0"/>
          <w:color w:val="auto"/>
          <w:sz w:val="24"/>
          <w:szCs w:val="24"/>
        </w:rPr>
        <w:t>的，则可不提供法定代表人</w:t>
      </w:r>
      <w:r>
        <w:rPr>
          <w:rFonts w:hint="eastAsia" w:ascii="仿宋" w:hAnsi="仿宋" w:eastAsia="仿宋"/>
          <w:b w:val="0"/>
          <w:color w:val="auto"/>
          <w:kern w:val="2"/>
          <w:sz w:val="24"/>
          <w:szCs w:val="24"/>
          <w:lang w:val="en-US"/>
        </w:rPr>
        <w:t>（主要负责人）</w:t>
      </w:r>
      <w:r>
        <w:rPr>
          <w:rFonts w:ascii="仿宋" w:hAnsi="仿宋" w:eastAsia="仿宋"/>
          <w:b w:val="0"/>
          <w:color w:val="auto"/>
          <w:sz w:val="24"/>
          <w:szCs w:val="24"/>
        </w:rPr>
        <w:t>授权委托书及代理人身份证复印件但必须提供法定代表人</w:t>
      </w:r>
      <w:r>
        <w:rPr>
          <w:rFonts w:hint="eastAsia" w:ascii="仿宋" w:hAnsi="仿宋" w:eastAsia="仿宋"/>
          <w:b w:val="0"/>
          <w:color w:val="auto"/>
          <w:kern w:val="2"/>
          <w:sz w:val="24"/>
          <w:szCs w:val="24"/>
          <w:lang w:val="en-US"/>
        </w:rPr>
        <w:t>（主要负责人）</w:t>
      </w:r>
      <w:r>
        <w:rPr>
          <w:rFonts w:ascii="仿宋" w:hAnsi="仿宋" w:eastAsia="仿宋"/>
          <w:b w:val="0"/>
          <w:color w:val="auto"/>
          <w:sz w:val="24"/>
          <w:szCs w:val="24"/>
        </w:rPr>
        <w:t>身份证复印件。）。</w:t>
      </w:r>
    </w:p>
    <w:p>
      <w:pPr>
        <w:snapToGrid/>
        <w:spacing w:beforeLines="50"/>
        <w:ind w:firstLine="482"/>
        <w:rPr>
          <w:rFonts w:ascii="仿宋" w:hAnsi="仿宋" w:eastAsia="仿宋" w:cs="仿宋"/>
          <w:color w:val="auto"/>
          <w:kern w:val="2"/>
          <w:sz w:val="24"/>
          <w:szCs w:val="24"/>
          <w:lang w:val="en-US"/>
        </w:rPr>
      </w:pPr>
      <w:r>
        <w:rPr>
          <w:rFonts w:ascii="仿宋" w:hAnsi="仿宋" w:eastAsia="仿宋" w:cs="仿宋"/>
          <w:color w:val="auto"/>
          <w:kern w:val="2"/>
          <w:sz w:val="24"/>
          <w:szCs w:val="24"/>
          <w:lang w:val="en-US"/>
        </w:rPr>
        <w:t>二</w:t>
      </w:r>
      <w:r>
        <w:rPr>
          <w:rFonts w:hint="eastAsia" w:ascii="仿宋" w:hAnsi="仿宋" w:eastAsia="仿宋" w:cs="仿宋"/>
          <w:color w:val="auto"/>
          <w:kern w:val="2"/>
          <w:sz w:val="24"/>
          <w:szCs w:val="24"/>
          <w:lang w:val="en-US"/>
        </w:rPr>
        <w:t>、不属于禁止参加本次采购活动的供应商</w:t>
      </w:r>
    </w:p>
    <w:p>
      <w:pPr>
        <w:ind w:firstLine="360" w:firstLineChars="15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根据《关于在政府采购活动中查询及使用信用记录有关问题的通知》（财库〔2016〕125号）的要求，采购代理机构将通过“信用中国”网站（www.creditchina.gov.cn）、“中国政府采购网”网站（www.ccgp.gov.cn）等渠道查询供应商在开标当日之前的信用信息记录并保存信用记录结果网页截图，拒绝列入失信被执行人、重大税收违法案件当事人名单、政府采购严重违法失信行为记录名单及其他不符合《中华人民共和国政府采购法》第二十二条规定条件的供应商参加本项目的采购活动（采购代理机构出具的信用记录结果网页截图即可，供应商无须提供）；</w:t>
      </w:r>
    </w:p>
    <w:p>
      <w:pPr>
        <w:ind w:firstLine="0" w:firstLineChars="0"/>
        <w:rPr>
          <w:rFonts w:hint="eastAsia" w:ascii="仿宋" w:hAnsi="仿宋" w:eastAsia="仿宋"/>
          <w:b w:val="0"/>
          <w:color w:val="auto"/>
          <w:sz w:val="24"/>
          <w:szCs w:val="24"/>
          <w:lang w:val="en-US"/>
        </w:rPr>
      </w:pPr>
    </w:p>
    <w:p>
      <w:pPr>
        <w:ind w:firstLine="0" w:firstLineChars="0"/>
        <w:rPr>
          <w:rFonts w:hint="eastAsia" w:ascii="仿宋" w:hAnsi="仿宋" w:eastAsia="仿宋"/>
          <w:b w:val="0"/>
          <w:color w:val="auto"/>
          <w:sz w:val="24"/>
          <w:szCs w:val="24"/>
          <w:lang w:val="en-US"/>
        </w:rPr>
      </w:pPr>
    </w:p>
    <w:p>
      <w:pPr>
        <w:ind w:firstLine="0" w:firstLineChars="0"/>
        <w:rPr>
          <w:rFonts w:ascii="仿宋" w:hAnsi="仿宋" w:eastAsia="仿宋"/>
          <w:b w:val="0"/>
          <w:color w:val="auto"/>
          <w:sz w:val="24"/>
          <w:szCs w:val="24"/>
          <w:lang w:val="en-US"/>
        </w:rPr>
      </w:pPr>
    </w:p>
    <w:p>
      <w:pPr>
        <w:ind w:firstLine="0" w:firstLineChars="0"/>
        <w:rPr>
          <w:rFonts w:ascii="仿宋" w:hAnsi="仿宋" w:eastAsia="仿宋"/>
          <w:b w:val="0"/>
          <w:color w:val="auto"/>
          <w:sz w:val="24"/>
          <w:szCs w:val="24"/>
          <w:lang w:val="en-US"/>
        </w:rPr>
      </w:pPr>
      <w:r>
        <w:rPr>
          <w:rFonts w:ascii="仿宋" w:hAnsi="仿宋" w:eastAsia="仿宋"/>
          <w:b w:val="0"/>
          <w:color w:val="auto"/>
          <w:sz w:val="24"/>
          <w:szCs w:val="24"/>
        </w:rPr>
        <w:t>注意</w:t>
      </w:r>
      <w:r>
        <w:rPr>
          <w:rFonts w:ascii="仿宋" w:hAnsi="仿宋" w:eastAsia="仿宋"/>
          <w:b w:val="0"/>
          <w:color w:val="auto"/>
          <w:sz w:val="24"/>
          <w:szCs w:val="24"/>
          <w:lang w:val="en-US"/>
        </w:rPr>
        <w:t>：</w:t>
      </w:r>
    </w:p>
    <w:p>
      <w:pPr>
        <w:ind w:firstLine="480"/>
        <w:rPr>
          <w:rFonts w:ascii="仿宋" w:hAnsi="仿宋" w:eastAsia="仿宋"/>
          <w:b w:val="0"/>
          <w:color w:val="auto"/>
          <w:sz w:val="24"/>
          <w:szCs w:val="24"/>
        </w:rPr>
      </w:pPr>
      <w:r>
        <w:rPr>
          <w:rFonts w:ascii="仿宋" w:hAnsi="仿宋" w:eastAsia="仿宋"/>
          <w:b w:val="0"/>
          <w:color w:val="auto"/>
          <w:sz w:val="24"/>
          <w:szCs w:val="24"/>
        </w:rPr>
        <w:t>1．招标文件要求相关证明材料签字或盖章的，应签字或盖章，否则视为无效证明材料；</w:t>
      </w:r>
    </w:p>
    <w:p>
      <w:pPr>
        <w:ind w:firstLine="480"/>
        <w:rPr>
          <w:rFonts w:ascii="仿宋" w:hAnsi="仿宋" w:eastAsia="仿宋"/>
          <w:b w:val="0"/>
          <w:color w:val="auto"/>
          <w:sz w:val="24"/>
          <w:szCs w:val="24"/>
        </w:rPr>
      </w:pPr>
      <w:r>
        <w:rPr>
          <w:rFonts w:ascii="仿宋" w:hAnsi="仿宋" w:eastAsia="仿宋"/>
          <w:b w:val="0"/>
          <w:color w:val="auto"/>
          <w:sz w:val="24"/>
          <w:szCs w:val="24"/>
        </w:rPr>
        <w:t>2．上述内容中涉及承诺函的，投标人可以单独提供，也可以一并进行承诺。</w:t>
      </w:r>
    </w:p>
    <w:p>
      <w:pPr>
        <w:ind w:firstLine="480"/>
        <w:rPr>
          <w:rFonts w:ascii="仿宋" w:hAnsi="仿宋" w:eastAsia="仿宋"/>
          <w:b w:val="0"/>
          <w:color w:val="auto"/>
          <w:sz w:val="24"/>
          <w:szCs w:val="24"/>
        </w:rPr>
      </w:pPr>
      <w:r>
        <w:rPr>
          <w:rFonts w:ascii="仿宋" w:hAnsi="仿宋" w:eastAsia="仿宋"/>
          <w:b w:val="0"/>
          <w:color w:val="auto"/>
          <w:sz w:val="24"/>
          <w:szCs w:val="24"/>
        </w:rPr>
        <w:t>3．本章要求提供的相关证明材料应当与第4章的规定要求对应，除投标人自愿以外，不能要求投标人提供额外的证明材料。如果要求提供额外的证明材料，投标人有权不予提供，且不影响投标文件的有效性和完整性。</w:t>
      </w:r>
    </w:p>
    <w:p>
      <w:pPr>
        <w:ind w:firstLine="482"/>
        <w:rPr>
          <w:rFonts w:ascii="仿宋" w:hAnsi="仿宋" w:eastAsia="仿宋"/>
          <w:bCs/>
          <w:color w:val="auto"/>
          <w:sz w:val="24"/>
          <w:szCs w:val="24"/>
          <w:lang w:val="en-US"/>
        </w:rPr>
        <w:sectPr>
          <w:pgSz w:w="11906" w:h="16838"/>
          <w:pgMar w:top="1418" w:right="1134" w:bottom="1418" w:left="1701" w:header="907" w:footer="850" w:gutter="0"/>
          <w:cols w:space="720" w:num="1"/>
          <w:titlePg/>
          <w:docGrid w:type="lines" w:linePitch="437" w:charSpace="0"/>
        </w:sectPr>
      </w:pPr>
      <w:r>
        <w:rPr>
          <w:rFonts w:ascii="仿宋" w:hAnsi="仿宋" w:eastAsia="仿宋"/>
          <w:bCs/>
          <w:color w:val="auto"/>
          <w:sz w:val="24"/>
          <w:szCs w:val="24"/>
          <w:lang w:val="en-US"/>
        </w:rPr>
        <w:t>4．投标人若未将用于资格审查的证明材料装订入资格性投标文件的，视为未提供相应资格证明材料，资格审查将不予通过。</w:t>
      </w:r>
    </w:p>
    <w:p>
      <w:pPr>
        <w:ind w:firstLine="40"/>
        <w:rPr>
          <w:rFonts w:ascii="仿宋" w:hAnsi="仿宋" w:eastAsia="仿宋"/>
          <w:sz w:val="2"/>
          <w:szCs w:val="2"/>
        </w:rPr>
      </w:pPr>
    </w:p>
    <w:p>
      <w:pPr>
        <w:pStyle w:val="3"/>
        <w:numPr>
          <w:ilvl w:val="0"/>
          <w:numId w:val="17"/>
        </w:numPr>
        <w:spacing w:beforeLines="50" w:after="0" w:line="360" w:lineRule="auto"/>
        <w:ind w:left="0" w:firstLine="0"/>
        <w:rPr>
          <w:rFonts w:ascii="仿宋" w:hAnsi="仿宋" w:eastAsia="仿宋"/>
          <w:b/>
          <w:color w:val="auto"/>
        </w:rPr>
      </w:pPr>
      <w:bookmarkStart w:id="444" w:name="_Toc36029484"/>
      <w:bookmarkStart w:id="445" w:name="_Toc494198618"/>
      <w:r>
        <w:rPr>
          <w:rFonts w:hint="eastAsia" w:ascii="仿宋" w:hAnsi="仿宋" w:eastAsia="仿宋"/>
          <w:b/>
          <w:color w:val="auto"/>
        </w:rPr>
        <w:t xml:space="preserve"> </w:t>
      </w:r>
      <w:bookmarkStart w:id="446" w:name="_Toc40703453"/>
      <w:r>
        <w:rPr>
          <w:rFonts w:ascii="仿宋" w:hAnsi="仿宋" w:eastAsia="仿宋"/>
          <w:b/>
          <w:color w:val="auto"/>
        </w:rPr>
        <w:t>技术、商务及其他要求</w:t>
      </w:r>
      <w:bookmarkEnd w:id="444"/>
      <w:bookmarkEnd w:id="445"/>
      <w:bookmarkEnd w:id="446"/>
    </w:p>
    <w:p>
      <w:pPr>
        <w:spacing w:beforeLines="50"/>
        <w:ind w:firstLine="482"/>
        <w:rPr>
          <w:rFonts w:ascii="仿宋" w:hAnsi="仿宋" w:eastAsia="仿宋"/>
          <w:color w:val="auto"/>
          <w:kern w:val="44"/>
          <w:sz w:val="24"/>
          <w:szCs w:val="24"/>
        </w:rPr>
      </w:pPr>
      <w:bookmarkStart w:id="447" w:name="_Toc494198619"/>
      <w:r>
        <w:rPr>
          <w:rFonts w:ascii="仿宋" w:hAnsi="仿宋" w:eastAsia="仿宋"/>
          <w:color w:val="auto"/>
          <w:kern w:val="44"/>
          <w:sz w:val="24"/>
          <w:szCs w:val="24"/>
        </w:rPr>
        <w:t xml:space="preserve">一、项目概况 </w:t>
      </w:r>
    </w:p>
    <w:p>
      <w:pPr>
        <w:ind w:firstLine="480"/>
        <w:rPr>
          <w:rFonts w:ascii="仿宋" w:hAnsi="仿宋" w:eastAsia="仿宋"/>
          <w:b w:val="0"/>
          <w:color w:val="auto"/>
          <w:sz w:val="24"/>
          <w:szCs w:val="24"/>
          <w:lang w:val="en-US"/>
        </w:rPr>
      </w:pPr>
      <w:r>
        <w:rPr>
          <w:rFonts w:hint="eastAsia" w:ascii="仿宋" w:hAnsi="仿宋" w:eastAsia="仿宋"/>
          <w:b w:val="0"/>
          <w:color w:val="auto"/>
          <w:sz w:val="24"/>
          <w:szCs w:val="24"/>
          <w:lang w:val="en-US"/>
        </w:rPr>
        <w:t>成都市交通运输综合行政执法总队因工作需要拟采购</w:t>
      </w:r>
      <w:r>
        <w:rPr>
          <w:rFonts w:hint="eastAsia" w:ascii="仿宋" w:hAnsi="仿宋" w:eastAsia="仿宋"/>
          <w:color w:val="auto"/>
          <w:sz w:val="24"/>
          <w:szCs w:val="24"/>
          <w:lang w:val="en-US"/>
        </w:rPr>
        <w:t>执法</w:t>
      </w:r>
      <w:r>
        <w:rPr>
          <w:rFonts w:hint="eastAsia" w:ascii="仿宋" w:hAnsi="仿宋" w:eastAsia="仿宋"/>
          <w:b w:val="0"/>
          <w:color w:val="auto"/>
          <w:sz w:val="24"/>
          <w:szCs w:val="24"/>
          <w:lang w:val="en-US"/>
        </w:rPr>
        <w:t>辅助、内勤工作劳务服务。项目预算为127万元，分为管理服务费用和不可竞争费用两部分。</w:t>
      </w:r>
    </w:p>
    <w:p>
      <w:pPr>
        <w:ind w:firstLine="482"/>
        <w:rPr>
          <w:rFonts w:ascii="仿宋" w:hAnsi="仿宋" w:eastAsia="仿宋"/>
          <w:color w:val="auto"/>
          <w:kern w:val="44"/>
          <w:sz w:val="24"/>
          <w:szCs w:val="24"/>
        </w:rPr>
      </w:pPr>
      <w:bookmarkStart w:id="448" w:name="_Toc427148985"/>
      <w:bookmarkStart w:id="449" w:name="_Toc9553"/>
      <w:bookmarkStart w:id="450" w:name="_Toc414614595"/>
      <w:bookmarkStart w:id="451" w:name="_Toc269717608"/>
      <w:bookmarkStart w:id="452" w:name="_Toc421277691"/>
      <w:bookmarkStart w:id="453" w:name="_Toc414266429"/>
      <w:bookmarkStart w:id="454" w:name="_Toc414266275"/>
      <w:r>
        <w:rPr>
          <w:rFonts w:ascii="仿宋" w:hAnsi="仿宋" w:eastAsia="仿宋"/>
          <w:color w:val="auto"/>
          <w:kern w:val="44"/>
          <w:sz w:val="24"/>
          <w:szCs w:val="24"/>
        </w:rPr>
        <w:t>二、</w:t>
      </w:r>
      <w:bookmarkEnd w:id="448"/>
      <w:bookmarkEnd w:id="449"/>
      <w:bookmarkEnd w:id="450"/>
      <w:bookmarkEnd w:id="451"/>
      <w:bookmarkEnd w:id="452"/>
      <w:bookmarkEnd w:id="453"/>
      <w:bookmarkEnd w:id="454"/>
      <w:r>
        <w:rPr>
          <w:rFonts w:hint="eastAsia" w:ascii="仿宋" w:hAnsi="仿宋" w:eastAsia="仿宋"/>
          <w:color w:val="auto"/>
          <w:kern w:val="44"/>
          <w:sz w:val="24"/>
          <w:szCs w:val="24"/>
        </w:rPr>
        <w:t>服务要求</w:t>
      </w:r>
    </w:p>
    <w:p>
      <w:pPr>
        <w:ind w:firstLine="482"/>
        <w:rPr>
          <w:rFonts w:ascii="仿宋" w:hAnsi="仿宋" w:eastAsia="仿宋" w:cs="仿宋"/>
          <w:color w:val="auto"/>
          <w:sz w:val="24"/>
          <w:szCs w:val="24"/>
        </w:rPr>
      </w:pPr>
      <w:bookmarkStart w:id="455" w:name="_Toc414614596"/>
      <w:bookmarkStart w:id="456" w:name="_Toc13620"/>
      <w:bookmarkStart w:id="457" w:name="_Toc269717613"/>
      <w:bookmarkStart w:id="458" w:name="_Toc421277692"/>
      <w:bookmarkStart w:id="459" w:name="_Toc427148986"/>
      <w:bookmarkStart w:id="460" w:name="_Toc414266276"/>
      <w:bookmarkStart w:id="461" w:name="_Toc414266430"/>
      <w:r>
        <w:rPr>
          <w:rFonts w:hint="eastAsia" w:ascii="仿宋" w:hAnsi="仿宋" w:eastAsia="仿宋" w:cs="仿宋"/>
          <w:color w:val="auto"/>
          <w:sz w:val="24"/>
          <w:szCs w:val="24"/>
        </w:rPr>
        <w:t>（一）人员要求</w:t>
      </w:r>
    </w:p>
    <w:p>
      <w:pPr>
        <w:pStyle w:val="19"/>
        <w:ind w:firstLine="480"/>
        <w:rPr>
          <w:rFonts w:ascii="仿宋" w:hAnsi="仿宋" w:eastAsia="仿宋"/>
          <w:sz w:val="24"/>
        </w:rPr>
      </w:pPr>
      <w:r>
        <w:rPr>
          <w:rFonts w:hint="eastAsia" w:ascii="仿宋" w:hAnsi="仿宋" w:eastAsia="仿宋"/>
          <w:sz w:val="24"/>
        </w:rPr>
        <w:t>采购人预计服务人员24名。投标人根据采购人服务内容及要求，适时调整人员数量。</w:t>
      </w:r>
    </w:p>
    <w:tbl>
      <w:tblPr>
        <w:tblStyle w:val="76"/>
        <w:tblW w:w="92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1"/>
        <w:gridCol w:w="1223"/>
        <w:gridCol w:w="743"/>
        <w:gridCol w:w="3717"/>
        <w:gridCol w:w="3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31" w:type="dxa"/>
            <w:vAlign w:val="center"/>
          </w:tcPr>
          <w:p>
            <w:pPr>
              <w:pStyle w:val="19"/>
              <w:ind w:firstLine="0" w:firstLineChars="0"/>
              <w:jc w:val="center"/>
              <w:rPr>
                <w:rFonts w:ascii="仿宋" w:hAnsi="仿宋" w:eastAsia="仿宋"/>
                <w:sz w:val="24"/>
              </w:rPr>
            </w:pPr>
            <w:r>
              <w:rPr>
                <w:rFonts w:hint="eastAsia" w:ascii="仿宋" w:hAnsi="仿宋" w:eastAsia="仿宋"/>
                <w:sz w:val="24"/>
              </w:rPr>
              <w:t>序号</w:t>
            </w:r>
          </w:p>
        </w:tc>
        <w:tc>
          <w:tcPr>
            <w:tcW w:w="1223" w:type="dxa"/>
            <w:vAlign w:val="center"/>
          </w:tcPr>
          <w:p>
            <w:pPr>
              <w:pStyle w:val="19"/>
              <w:ind w:firstLine="0" w:firstLineChars="0"/>
              <w:jc w:val="center"/>
              <w:rPr>
                <w:rFonts w:ascii="仿宋" w:hAnsi="仿宋" w:eastAsia="仿宋"/>
                <w:sz w:val="24"/>
              </w:rPr>
            </w:pPr>
            <w:r>
              <w:rPr>
                <w:rFonts w:hint="eastAsia" w:ascii="仿宋" w:hAnsi="仿宋" w:eastAsia="仿宋"/>
                <w:sz w:val="24"/>
              </w:rPr>
              <w:t>服务类别</w:t>
            </w:r>
          </w:p>
        </w:tc>
        <w:tc>
          <w:tcPr>
            <w:tcW w:w="743" w:type="dxa"/>
            <w:vAlign w:val="center"/>
          </w:tcPr>
          <w:p>
            <w:pPr>
              <w:pStyle w:val="19"/>
              <w:ind w:firstLine="0" w:firstLineChars="0"/>
              <w:jc w:val="center"/>
              <w:rPr>
                <w:rFonts w:ascii="仿宋" w:hAnsi="仿宋" w:eastAsia="仿宋"/>
                <w:sz w:val="24"/>
              </w:rPr>
            </w:pPr>
            <w:r>
              <w:rPr>
                <w:rFonts w:ascii="仿宋" w:hAnsi="仿宋" w:eastAsia="仿宋"/>
                <w:sz w:val="24"/>
              </w:rPr>
              <w:t>人数</w:t>
            </w:r>
          </w:p>
        </w:tc>
        <w:tc>
          <w:tcPr>
            <w:tcW w:w="3717" w:type="dxa"/>
            <w:vAlign w:val="center"/>
          </w:tcPr>
          <w:p>
            <w:pPr>
              <w:pStyle w:val="19"/>
              <w:ind w:firstLine="0" w:firstLineChars="0"/>
              <w:jc w:val="center"/>
              <w:rPr>
                <w:rFonts w:ascii="仿宋" w:hAnsi="仿宋" w:eastAsia="仿宋"/>
                <w:sz w:val="24"/>
              </w:rPr>
            </w:pPr>
            <w:r>
              <w:rPr>
                <w:rFonts w:hint="eastAsia" w:ascii="仿宋" w:hAnsi="仿宋" w:eastAsia="仿宋"/>
                <w:sz w:val="24"/>
              </w:rPr>
              <w:t>派驻人员</w:t>
            </w:r>
            <w:r>
              <w:rPr>
                <w:rFonts w:ascii="仿宋" w:hAnsi="仿宋" w:eastAsia="仿宋"/>
                <w:sz w:val="24"/>
              </w:rPr>
              <w:t>要求</w:t>
            </w:r>
          </w:p>
        </w:tc>
        <w:tc>
          <w:tcPr>
            <w:tcW w:w="3070" w:type="dxa"/>
            <w:vAlign w:val="center"/>
          </w:tcPr>
          <w:p>
            <w:pPr>
              <w:pStyle w:val="19"/>
              <w:ind w:firstLine="0" w:firstLineChars="0"/>
              <w:jc w:val="center"/>
              <w:rPr>
                <w:rFonts w:ascii="仿宋" w:hAnsi="仿宋" w:eastAsia="仿宋"/>
                <w:sz w:val="24"/>
              </w:rPr>
            </w:pPr>
            <w:r>
              <w:rPr>
                <w:rFonts w:hint="eastAsia" w:ascii="仿宋" w:hAnsi="仿宋" w:eastAsia="仿宋"/>
                <w:sz w:val="24"/>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1" w:type="dxa"/>
            <w:vAlign w:val="center"/>
          </w:tcPr>
          <w:p>
            <w:pPr>
              <w:pStyle w:val="19"/>
              <w:ind w:firstLine="0" w:firstLineChars="0"/>
              <w:jc w:val="center"/>
              <w:rPr>
                <w:rFonts w:ascii="仿宋" w:hAnsi="仿宋" w:eastAsia="仿宋"/>
                <w:sz w:val="24"/>
              </w:rPr>
            </w:pPr>
            <w:r>
              <w:rPr>
                <w:rFonts w:hint="eastAsia" w:ascii="仿宋" w:hAnsi="仿宋" w:eastAsia="仿宋"/>
                <w:sz w:val="24"/>
              </w:rPr>
              <w:t>1</w:t>
            </w:r>
          </w:p>
        </w:tc>
        <w:tc>
          <w:tcPr>
            <w:tcW w:w="1223" w:type="dxa"/>
            <w:vAlign w:val="center"/>
          </w:tcPr>
          <w:p>
            <w:pPr>
              <w:pStyle w:val="19"/>
              <w:ind w:firstLine="0" w:firstLineChars="0"/>
              <w:jc w:val="center"/>
              <w:rPr>
                <w:rFonts w:ascii="仿宋" w:hAnsi="仿宋" w:eastAsia="仿宋"/>
                <w:sz w:val="24"/>
              </w:rPr>
            </w:pPr>
            <w:r>
              <w:rPr>
                <w:rFonts w:ascii="仿宋" w:hAnsi="仿宋" w:eastAsia="仿宋"/>
                <w:sz w:val="24"/>
              </w:rPr>
              <w:t>执法辅助</w:t>
            </w:r>
          </w:p>
        </w:tc>
        <w:tc>
          <w:tcPr>
            <w:tcW w:w="743" w:type="dxa"/>
            <w:vAlign w:val="center"/>
          </w:tcPr>
          <w:p>
            <w:pPr>
              <w:pStyle w:val="19"/>
              <w:ind w:firstLine="0" w:firstLineChars="0"/>
              <w:jc w:val="center"/>
              <w:rPr>
                <w:rFonts w:ascii="仿宋" w:hAnsi="仿宋" w:eastAsia="仿宋"/>
                <w:sz w:val="24"/>
              </w:rPr>
            </w:pPr>
            <w:r>
              <w:rPr>
                <w:rFonts w:hint="eastAsia" w:ascii="仿宋" w:hAnsi="仿宋" w:eastAsia="仿宋"/>
                <w:sz w:val="24"/>
              </w:rPr>
              <w:t>13</w:t>
            </w:r>
          </w:p>
        </w:tc>
        <w:tc>
          <w:tcPr>
            <w:tcW w:w="3717" w:type="dxa"/>
            <w:vAlign w:val="center"/>
          </w:tcPr>
          <w:p>
            <w:pPr>
              <w:pStyle w:val="19"/>
              <w:ind w:firstLine="0" w:firstLineChars="0"/>
              <w:jc w:val="left"/>
              <w:rPr>
                <w:rFonts w:ascii="仿宋" w:hAnsi="仿宋" w:eastAsia="仿宋"/>
                <w:sz w:val="24"/>
              </w:rPr>
            </w:pPr>
            <w:r>
              <w:rPr>
                <w:rFonts w:hint="eastAsia" w:ascii="仿宋" w:hAnsi="仿宋" w:eastAsia="仿宋"/>
                <w:sz w:val="24"/>
              </w:rPr>
              <w:t>政治思想、身体素质、工作能力过硬、无违法犯罪史，高中及以上学历，年龄</w:t>
            </w:r>
            <w:r>
              <w:rPr>
                <w:rFonts w:ascii="仿宋" w:hAnsi="仿宋" w:eastAsia="仿宋"/>
                <w:sz w:val="24"/>
              </w:rPr>
              <w:t>18周岁以上，60</w:t>
            </w:r>
            <w:r>
              <w:rPr>
                <w:rFonts w:hint="eastAsia" w:ascii="仿宋" w:hAnsi="仿宋" w:eastAsia="仿宋"/>
                <w:sz w:val="24"/>
              </w:rPr>
              <w:t>周岁以下。有相关从业经验者优先。</w:t>
            </w:r>
          </w:p>
        </w:tc>
        <w:tc>
          <w:tcPr>
            <w:tcW w:w="3070" w:type="dxa"/>
            <w:vAlign w:val="center"/>
          </w:tcPr>
          <w:p>
            <w:pPr>
              <w:pStyle w:val="19"/>
              <w:ind w:firstLine="0" w:firstLineChars="0"/>
              <w:jc w:val="left"/>
              <w:rPr>
                <w:rFonts w:ascii="仿宋" w:hAnsi="仿宋" w:eastAsia="仿宋"/>
                <w:sz w:val="24"/>
              </w:rPr>
            </w:pPr>
            <w:r>
              <w:rPr>
                <w:rFonts w:hint="eastAsia" w:ascii="仿宋" w:hAnsi="仿宋" w:eastAsia="仿宋"/>
                <w:sz w:val="24"/>
              </w:rPr>
              <w:t>行政执法过程、执法案卷整理归档等事项提供辅助服务。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1" w:type="dxa"/>
            <w:vAlign w:val="center"/>
          </w:tcPr>
          <w:p>
            <w:pPr>
              <w:pStyle w:val="19"/>
              <w:ind w:firstLine="0" w:firstLineChars="0"/>
              <w:jc w:val="center"/>
              <w:rPr>
                <w:rFonts w:ascii="仿宋" w:hAnsi="仿宋" w:eastAsia="仿宋"/>
                <w:sz w:val="24"/>
              </w:rPr>
            </w:pPr>
            <w:r>
              <w:rPr>
                <w:rFonts w:hint="eastAsia" w:ascii="仿宋" w:hAnsi="仿宋" w:eastAsia="仿宋"/>
                <w:sz w:val="24"/>
              </w:rPr>
              <w:t>2</w:t>
            </w:r>
          </w:p>
        </w:tc>
        <w:tc>
          <w:tcPr>
            <w:tcW w:w="1223" w:type="dxa"/>
            <w:vAlign w:val="center"/>
          </w:tcPr>
          <w:p>
            <w:pPr>
              <w:pStyle w:val="19"/>
              <w:ind w:firstLine="0" w:firstLineChars="0"/>
              <w:jc w:val="center"/>
              <w:rPr>
                <w:rFonts w:ascii="仿宋" w:hAnsi="仿宋" w:eastAsia="仿宋"/>
                <w:sz w:val="24"/>
              </w:rPr>
            </w:pPr>
            <w:r>
              <w:rPr>
                <w:rFonts w:ascii="仿宋" w:hAnsi="仿宋" w:eastAsia="仿宋"/>
                <w:sz w:val="24"/>
              </w:rPr>
              <w:t>内勤工作</w:t>
            </w:r>
          </w:p>
        </w:tc>
        <w:tc>
          <w:tcPr>
            <w:tcW w:w="743" w:type="dxa"/>
            <w:vAlign w:val="center"/>
          </w:tcPr>
          <w:p>
            <w:pPr>
              <w:pStyle w:val="19"/>
              <w:ind w:firstLine="0" w:firstLineChars="0"/>
              <w:jc w:val="center"/>
              <w:rPr>
                <w:rFonts w:ascii="仿宋" w:hAnsi="仿宋" w:eastAsia="仿宋"/>
                <w:sz w:val="24"/>
              </w:rPr>
            </w:pPr>
            <w:r>
              <w:rPr>
                <w:rFonts w:hint="eastAsia" w:ascii="仿宋" w:hAnsi="仿宋" w:eastAsia="仿宋"/>
                <w:sz w:val="24"/>
              </w:rPr>
              <w:t>11</w:t>
            </w:r>
          </w:p>
        </w:tc>
        <w:tc>
          <w:tcPr>
            <w:tcW w:w="3717" w:type="dxa"/>
            <w:vAlign w:val="center"/>
          </w:tcPr>
          <w:p>
            <w:pPr>
              <w:pStyle w:val="19"/>
              <w:ind w:firstLine="0" w:firstLineChars="0"/>
              <w:jc w:val="left"/>
              <w:rPr>
                <w:rFonts w:ascii="仿宋" w:hAnsi="仿宋" w:eastAsia="仿宋"/>
                <w:sz w:val="24"/>
              </w:rPr>
            </w:pPr>
            <w:r>
              <w:rPr>
                <w:rFonts w:hint="eastAsia" w:ascii="仿宋" w:hAnsi="仿宋" w:eastAsia="仿宋"/>
                <w:sz w:val="24"/>
              </w:rPr>
              <w:t>政治思想、身体素质好，诚实守信，品行兼优，身体健康，体貌端庄，口齿清楚，无违法犯罪史。</w:t>
            </w:r>
          </w:p>
        </w:tc>
        <w:tc>
          <w:tcPr>
            <w:tcW w:w="3070" w:type="dxa"/>
            <w:vAlign w:val="center"/>
          </w:tcPr>
          <w:p>
            <w:pPr>
              <w:pStyle w:val="19"/>
              <w:ind w:firstLine="0" w:firstLineChars="0"/>
              <w:jc w:val="left"/>
              <w:rPr>
                <w:rFonts w:ascii="仿宋" w:hAnsi="仿宋" w:eastAsia="仿宋"/>
                <w:sz w:val="24"/>
              </w:rPr>
            </w:pPr>
            <w:r>
              <w:rPr>
                <w:rFonts w:hint="eastAsia" w:ascii="仿宋" w:hAnsi="仿宋" w:eastAsia="仿宋"/>
                <w:sz w:val="24"/>
              </w:rPr>
              <w:t>日常事务工作，包括政务服务、办证服务、驾培考试管理服务等。</w:t>
            </w:r>
          </w:p>
        </w:tc>
      </w:tr>
    </w:tbl>
    <w:p>
      <w:pPr>
        <w:numPr>
          <w:ilvl w:val="0"/>
          <w:numId w:val="49"/>
        </w:numPr>
        <w:ind w:firstLine="482"/>
        <w:rPr>
          <w:rFonts w:ascii="仿宋" w:hAnsi="仿宋" w:eastAsia="仿宋"/>
          <w:color w:val="auto"/>
          <w:kern w:val="44"/>
          <w:sz w:val="24"/>
          <w:szCs w:val="24"/>
        </w:rPr>
      </w:pPr>
      <w:r>
        <w:rPr>
          <w:rFonts w:hint="eastAsia" w:ascii="仿宋" w:hAnsi="仿宋" w:eastAsia="仿宋"/>
          <w:color w:val="auto"/>
          <w:kern w:val="44"/>
          <w:sz w:val="24"/>
          <w:szCs w:val="24"/>
        </w:rPr>
        <w:t>服务要求</w:t>
      </w:r>
    </w:p>
    <w:p>
      <w:pPr>
        <w:pStyle w:val="19"/>
        <w:ind w:firstLine="480"/>
        <w:rPr>
          <w:rFonts w:ascii="仿宋" w:hAnsi="仿宋" w:eastAsia="仿宋"/>
          <w:sz w:val="24"/>
        </w:rPr>
      </w:pPr>
      <w:r>
        <w:rPr>
          <w:rFonts w:hint="eastAsia" w:ascii="仿宋" w:hAnsi="仿宋" w:eastAsia="仿宋"/>
          <w:sz w:val="24"/>
        </w:rPr>
        <w:t>1</w:t>
      </w:r>
      <w:r>
        <w:rPr>
          <w:rFonts w:ascii="仿宋" w:hAnsi="仿宋" w:eastAsia="仿宋"/>
          <w:sz w:val="24"/>
        </w:rPr>
        <w:t>.</w:t>
      </w:r>
      <w:r>
        <w:rPr>
          <w:rFonts w:hint="eastAsia" w:ascii="仿宋" w:hAnsi="仿宋" w:eastAsia="仿宋"/>
          <w:sz w:val="24"/>
        </w:rPr>
        <w:t>投标人全面负责派出人员的劳务用工管理，必须与派出工人签订书面的用工合同并满足国家法律法规相关规定。派出工人离职时，需填写乙方的离职申请单，采购人审批、中标人确认，中标人协助办理离职交接手续及为派出员工提供解除/（终止）劳动关系证明。</w:t>
      </w:r>
    </w:p>
    <w:p>
      <w:pPr>
        <w:pStyle w:val="19"/>
        <w:ind w:firstLine="480"/>
        <w:rPr>
          <w:rFonts w:ascii="仿宋" w:hAnsi="仿宋" w:eastAsia="仿宋"/>
          <w:sz w:val="24"/>
        </w:rPr>
      </w:pPr>
      <w:r>
        <w:rPr>
          <w:rFonts w:hint="eastAsia" w:ascii="仿宋" w:hAnsi="仿宋" w:eastAsia="仿宋"/>
          <w:sz w:val="24"/>
        </w:rPr>
        <w:t>2．每月按照采购人的要求组织派出人员业务培训一次，并将培训档案报采购人备案。</w:t>
      </w:r>
    </w:p>
    <w:p>
      <w:pPr>
        <w:pStyle w:val="19"/>
        <w:ind w:firstLine="480"/>
        <w:rPr>
          <w:rFonts w:ascii="仿宋" w:hAnsi="仿宋" w:eastAsia="仿宋"/>
          <w:sz w:val="24"/>
        </w:rPr>
      </w:pPr>
      <w:r>
        <w:rPr>
          <w:rFonts w:hint="eastAsia" w:ascii="仿宋" w:hAnsi="仿宋" w:eastAsia="仿宋"/>
          <w:sz w:val="24"/>
        </w:rPr>
        <w:t>3</w:t>
      </w:r>
      <w:r>
        <w:rPr>
          <w:rFonts w:ascii="仿宋" w:hAnsi="仿宋" w:eastAsia="仿宋"/>
          <w:sz w:val="24"/>
        </w:rPr>
        <w:t>.</w:t>
      </w:r>
      <w:r>
        <w:rPr>
          <w:rFonts w:hint="eastAsia" w:ascii="仿宋" w:hAnsi="仿宋" w:eastAsia="仿宋"/>
          <w:sz w:val="24"/>
        </w:rPr>
        <w:t>投标人以收取服务费形式派出工人到采购人指定地点工作。</w:t>
      </w:r>
    </w:p>
    <w:p>
      <w:pPr>
        <w:pStyle w:val="19"/>
        <w:ind w:firstLine="480"/>
        <w:rPr>
          <w:rFonts w:ascii="仿宋" w:hAnsi="仿宋" w:eastAsia="仿宋"/>
          <w:sz w:val="24"/>
        </w:rPr>
      </w:pPr>
      <w:r>
        <w:rPr>
          <w:rFonts w:hint="eastAsia" w:ascii="仿宋" w:hAnsi="仿宋" w:eastAsia="仿宋"/>
          <w:sz w:val="24"/>
        </w:rPr>
        <w:t>4</w:t>
      </w:r>
      <w:r>
        <w:rPr>
          <w:rFonts w:ascii="仿宋" w:hAnsi="仿宋" w:eastAsia="仿宋"/>
          <w:sz w:val="24"/>
        </w:rPr>
        <w:t>.</w:t>
      </w:r>
      <w:r>
        <w:rPr>
          <w:rFonts w:hint="eastAsia" w:ascii="仿宋" w:hAnsi="仿宋" w:eastAsia="仿宋"/>
          <w:sz w:val="24"/>
        </w:rPr>
        <w:t>每月向采购人报送处理派出人员的一切劳务、劳动纠纷的所有相关事宜，承担所有因此产生的一切责任。</w:t>
      </w:r>
    </w:p>
    <w:p>
      <w:pPr>
        <w:pStyle w:val="19"/>
        <w:ind w:firstLine="480"/>
        <w:rPr>
          <w:rFonts w:ascii="仿宋" w:hAnsi="仿宋" w:eastAsia="仿宋"/>
          <w:sz w:val="24"/>
        </w:rPr>
      </w:pPr>
      <w:r>
        <w:rPr>
          <w:rFonts w:hint="eastAsia" w:ascii="仿宋" w:hAnsi="仿宋" w:eastAsia="仿宋"/>
          <w:sz w:val="24"/>
        </w:rPr>
        <w:t>5</w:t>
      </w:r>
      <w:r>
        <w:rPr>
          <w:rFonts w:ascii="仿宋" w:hAnsi="仿宋" w:eastAsia="仿宋"/>
          <w:sz w:val="24"/>
        </w:rPr>
        <w:t>.</w:t>
      </w:r>
      <w:r>
        <w:rPr>
          <w:rFonts w:hint="eastAsia" w:ascii="仿宋" w:hAnsi="仿宋" w:eastAsia="仿宋"/>
          <w:sz w:val="24"/>
        </w:rPr>
        <w:t>投标人需承担派出人员在派出期间伤残、死亡及所有法律及经济责任。</w:t>
      </w:r>
    </w:p>
    <w:p>
      <w:pPr>
        <w:pStyle w:val="19"/>
        <w:ind w:firstLine="480"/>
        <w:rPr>
          <w:rFonts w:ascii="仿宋" w:hAnsi="仿宋" w:eastAsia="仿宋"/>
          <w:sz w:val="24"/>
        </w:rPr>
      </w:pPr>
      <w:r>
        <w:rPr>
          <w:rFonts w:hint="eastAsia" w:ascii="仿宋" w:hAnsi="仿宋" w:eastAsia="仿宋"/>
          <w:sz w:val="24"/>
        </w:rPr>
        <w:t>6</w:t>
      </w:r>
      <w:r>
        <w:rPr>
          <w:rFonts w:ascii="仿宋" w:hAnsi="仿宋" w:eastAsia="仿宋"/>
          <w:sz w:val="24"/>
        </w:rPr>
        <w:t>.</w:t>
      </w:r>
      <w:r>
        <w:rPr>
          <w:rFonts w:hint="eastAsia" w:ascii="仿宋" w:hAnsi="仿宋" w:eastAsia="仿宋"/>
          <w:sz w:val="24"/>
        </w:rPr>
        <w:t>投标人必须把与采购人之间建立的是劳务服务关系告知派出人员，并且作为劳务派出单位和劳务派出人员签定劳动合同的其中一项条款。</w:t>
      </w:r>
    </w:p>
    <w:p>
      <w:pPr>
        <w:pStyle w:val="19"/>
        <w:ind w:firstLine="480"/>
        <w:rPr>
          <w:rFonts w:ascii="仿宋" w:hAnsi="仿宋" w:eastAsia="仿宋"/>
          <w:sz w:val="24"/>
        </w:rPr>
      </w:pPr>
      <w:r>
        <w:rPr>
          <w:rFonts w:hint="eastAsia" w:ascii="仿宋" w:hAnsi="仿宋" w:eastAsia="仿宋"/>
          <w:sz w:val="24"/>
        </w:rPr>
        <w:t>7</w:t>
      </w:r>
      <w:r>
        <w:rPr>
          <w:rFonts w:ascii="仿宋" w:hAnsi="仿宋" w:eastAsia="仿宋"/>
          <w:sz w:val="24"/>
        </w:rPr>
        <w:t>.</w:t>
      </w:r>
      <w:r>
        <w:rPr>
          <w:rFonts w:hint="eastAsia" w:ascii="仿宋" w:hAnsi="仿宋" w:eastAsia="仿宋"/>
          <w:sz w:val="24"/>
        </w:rPr>
        <w:t>应根据采购人的管理要求制定劳务派出人员的管理规定，并将该管理规定报经采购人审查备案，派出人员应遵守该管理规定。</w:t>
      </w:r>
    </w:p>
    <w:p>
      <w:pPr>
        <w:pStyle w:val="19"/>
        <w:ind w:firstLine="480"/>
        <w:rPr>
          <w:rFonts w:ascii="仿宋" w:hAnsi="仿宋" w:eastAsia="仿宋"/>
          <w:sz w:val="24"/>
        </w:rPr>
      </w:pPr>
      <w:r>
        <w:rPr>
          <w:rFonts w:hint="eastAsia" w:ascii="仿宋" w:hAnsi="仿宋" w:eastAsia="仿宋"/>
          <w:sz w:val="24"/>
        </w:rPr>
        <w:t>8</w:t>
      </w:r>
      <w:r>
        <w:rPr>
          <w:rFonts w:ascii="仿宋" w:hAnsi="仿宋" w:eastAsia="仿宋"/>
          <w:sz w:val="24"/>
        </w:rPr>
        <w:t>.</w:t>
      </w:r>
      <w:r>
        <w:rPr>
          <w:rFonts w:hint="eastAsia" w:ascii="仿宋" w:hAnsi="仿宋" w:eastAsia="仿宋"/>
          <w:sz w:val="24"/>
        </w:rPr>
        <w:t>负责按照合同约定时间，经采购人核准的工资发放标准向全体劳务派出人员按时发放工资和其他薪酬。非经采购人书面通知不得扣发劳务派出人员工资和其他薪酬。</w:t>
      </w:r>
    </w:p>
    <w:p>
      <w:pPr>
        <w:pStyle w:val="19"/>
        <w:ind w:firstLine="480"/>
        <w:rPr>
          <w:rFonts w:ascii="仿宋" w:hAnsi="仿宋" w:eastAsia="仿宋"/>
          <w:sz w:val="24"/>
        </w:rPr>
      </w:pPr>
      <w:r>
        <w:rPr>
          <w:rFonts w:hint="eastAsia" w:ascii="仿宋" w:hAnsi="仿宋" w:eastAsia="仿宋"/>
          <w:sz w:val="24"/>
        </w:rPr>
        <w:t>9</w:t>
      </w:r>
      <w:r>
        <w:rPr>
          <w:rFonts w:ascii="仿宋" w:hAnsi="仿宋" w:eastAsia="仿宋"/>
          <w:sz w:val="24"/>
        </w:rPr>
        <w:t>.</w:t>
      </w:r>
      <w:r>
        <w:rPr>
          <w:rFonts w:hint="eastAsia" w:ascii="仿宋" w:hAnsi="仿宋" w:eastAsia="仿宋"/>
          <w:sz w:val="24"/>
        </w:rPr>
        <w:t>按照采购人要求及时更换不能胜任工作的劳务派出人员，负责接收并处理派出人员之间的劳务、劳动关系纠纷和调解管理纠纷等后续工作，保证采购人的工作正常运转。</w:t>
      </w:r>
    </w:p>
    <w:p>
      <w:pPr>
        <w:pStyle w:val="19"/>
        <w:ind w:firstLine="480"/>
        <w:rPr>
          <w:rFonts w:ascii="仿宋" w:hAnsi="仿宋" w:eastAsia="仿宋"/>
          <w:sz w:val="24"/>
        </w:rPr>
      </w:pPr>
      <w:r>
        <w:rPr>
          <w:rFonts w:hint="eastAsia" w:ascii="仿宋" w:hAnsi="仿宋" w:eastAsia="仿宋"/>
          <w:sz w:val="24"/>
        </w:rPr>
        <w:t>10</w:t>
      </w:r>
      <w:r>
        <w:rPr>
          <w:rFonts w:ascii="仿宋" w:hAnsi="仿宋" w:eastAsia="仿宋"/>
          <w:sz w:val="24"/>
        </w:rPr>
        <w:t>.</w:t>
      </w:r>
      <w:r>
        <w:rPr>
          <w:rFonts w:hint="eastAsia" w:ascii="仿宋" w:hAnsi="仿宋" w:eastAsia="仿宋"/>
          <w:sz w:val="24"/>
        </w:rPr>
        <w:t>投标人对劳务派出人员给采购人造成的经济损失，应积极帮助采购人向派出人员索赔。</w:t>
      </w:r>
    </w:p>
    <w:p>
      <w:pPr>
        <w:pStyle w:val="19"/>
        <w:ind w:firstLine="480"/>
        <w:rPr>
          <w:rFonts w:ascii="仿宋" w:hAnsi="仿宋" w:eastAsia="仿宋"/>
          <w:sz w:val="24"/>
        </w:rPr>
      </w:pPr>
      <w:r>
        <w:rPr>
          <w:rFonts w:ascii="仿宋" w:hAnsi="仿宋" w:eastAsia="仿宋"/>
          <w:sz w:val="24"/>
        </w:rPr>
        <w:t>1</w:t>
      </w:r>
      <w:r>
        <w:rPr>
          <w:rFonts w:hint="eastAsia" w:ascii="仿宋" w:hAnsi="仿宋" w:eastAsia="仿宋"/>
          <w:sz w:val="24"/>
        </w:rPr>
        <w:t>1</w:t>
      </w:r>
      <w:r>
        <w:rPr>
          <w:rFonts w:ascii="仿宋" w:hAnsi="仿宋" w:eastAsia="仿宋"/>
          <w:sz w:val="24"/>
        </w:rPr>
        <w:t>.</w:t>
      </w:r>
      <w:r>
        <w:rPr>
          <w:rFonts w:hint="eastAsia" w:ascii="仿宋" w:hAnsi="仿宋" w:eastAsia="仿宋"/>
          <w:sz w:val="24"/>
        </w:rPr>
        <w:t>投标人负责劳务派出人员的日常生活、工作的协调处理工作。</w:t>
      </w:r>
    </w:p>
    <w:p>
      <w:pPr>
        <w:pStyle w:val="19"/>
        <w:ind w:firstLine="480"/>
        <w:rPr>
          <w:rFonts w:ascii="仿宋" w:hAnsi="仿宋" w:eastAsia="仿宋"/>
          <w:sz w:val="24"/>
        </w:rPr>
      </w:pPr>
      <w:r>
        <w:rPr>
          <w:rFonts w:hint="eastAsia" w:ascii="仿宋" w:hAnsi="仿宋" w:eastAsia="仿宋"/>
          <w:sz w:val="24"/>
        </w:rPr>
        <w:t>12</w:t>
      </w:r>
      <w:r>
        <w:rPr>
          <w:rFonts w:ascii="仿宋" w:hAnsi="仿宋" w:eastAsia="仿宋"/>
          <w:sz w:val="24"/>
        </w:rPr>
        <w:t>.</w:t>
      </w:r>
      <w:r>
        <w:rPr>
          <w:rFonts w:hint="eastAsia" w:ascii="仿宋" w:hAnsi="仿宋" w:eastAsia="仿宋"/>
          <w:sz w:val="24"/>
        </w:rPr>
        <w:t>采购人将对中标人的派出人员工资支付情况、服务质量等进行监督检查。若发现投标人违规抽取人头费等违法行为，采购人有权利随时单方终止本采购合同。</w:t>
      </w:r>
    </w:p>
    <w:p>
      <w:pPr>
        <w:pStyle w:val="19"/>
        <w:ind w:firstLine="480"/>
        <w:rPr>
          <w:rFonts w:ascii="仿宋" w:hAnsi="仿宋" w:eastAsia="仿宋"/>
          <w:sz w:val="24"/>
        </w:rPr>
      </w:pPr>
      <w:r>
        <w:rPr>
          <w:rFonts w:ascii="仿宋" w:hAnsi="仿宋" w:eastAsia="仿宋"/>
          <w:sz w:val="24"/>
        </w:rPr>
        <w:t>1</w:t>
      </w:r>
      <w:r>
        <w:rPr>
          <w:rFonts w:hint="eastAsia" w:ascii="仿宋" w:hAnsi="仿宋" w:eastAsia="仿宋"/>
          <w:sz w:val="24"/>
        </w:rPr>
        <w:t>3</w:t>
      </w:r>
      <w:r>
        <w:rPr>
          <w:rFonts w:ascii="仿宋" w:hAnsi="仿宋" w:eastAsia="仿宋"/>
          <w:sz w:val="24"/>
        </w:rPr>
        <w:t>.</w:t>
      </w:r>
      <w:r>
        <w:rPr>
          <w:rFonts w:hint="eastAsia" w:ascii="仿宋" w:hAnsi="仿宋" w:eastAsia="仿宋"/>
          <w:sz w:val="24"/>
        </w:rPr>
        <w:t>投标人需协调派出人员办理工资卡，工资通过银行转账的方式进行发放。</w:t>
      </w:r>
    </w:p>
    <w:p>
      <w:pPr>
        <w:ind w:firstLine="480"/>
        <w:rPr>
          <w:rFonts w:ascii="仿宋" w:hAnsi="仿宋" w:eastAsia="仿宋" w:cs="仿宋"/>
          <w:b w:val="0"/>
          <w:bCs/>
          <w:color w:val="auto"/>
          <w:sz w:val="24"/>
        </w:rPr>
      </w:pPr>
      <w:r>
        <w:rPr>
          <w:rFonts w:hint="eastAsia" w:ascii="仿宋" w:hAnsi="仿宋" w:eastAsia="仿宋" w:cs="仿宋"/>
          <w:b w:val="0"/>
          <w:bCs/>
          <w:color w:val="auto"/>
          <w:sz w:val="24"/>
        </w:rPr>
        <w:t>（三）其他要求</w:t>
      </w:r>
    </w:p>
    <w:p>
      <w:pPr>
        <w:ind w:firstLine="480"/>
        <w:rPr>
          <w:rFonts w:ascii="仿宋" w:hAnsi="仿宋" w:eastAsia="仿宋" w:cs="仿宋"/>
          <w:b w:val="0"/>
          <w:bCs/>
          <w:color w:val="auto"/>
          <w:sz w:val="24"/>
          <w:shd w:val="clear" w:color="auto" w:fill="FFFFFF"/>
        </w:rPr>
      </w:pPr>
      <w:r>
        <w:rPr>
          <w:rFonts w:hint="eastAsia" w:ascii="仿宋" w:hAnsi="仿宋" w:eastAsia="仿宋" w:cs="仿宋"/>
          <w:b w:val="0"/>
          <w:bCs/>
          <w:color w:val="auto"/>
          <w:sz w:val="24"/>
        </w:rPr>
        <w:t>★</w:t>
      </w:r>
      <w:r>
        <w:rPr>
          <w:rFonts w:hint="eastAsia" w:ascii="仿宋" w:hAnsi="仿宋" w:eastAsia="仿宋" w:cs="仿宋"/>
          <w:b w:val="0"/>
          <w:bCs/>
          <w:color w:val="auto"/>
          <w:sz w:val="24"/>
          <w:shd w:val="clear" w:color="auto" w:fill="FFFFFF"/>
        </w:rPr>
        <w:t>1.投标人</w:t>
      </w:r>
      <w:r>
        <w:rPr>
          <w:rFonts w:hint="eastAsia" w:ascii="仿宋" w:hAnsi="仿宋" w:eastAsia="仿宋" w:cs="仿宋"/>
          <w:b w:val="0"/>
          <w:bCs/>
          <w:color w:val="auto"/>
          <w:sz w:val="24"/>
        </w:rPr>
        <w:t>须承诺若取得中标资格后</w:t>
      </w:r>
      <w:r>
        <w:rPr>
          <w:rFonts w:hint="eastAsia" w:ascii="仿宋" w:hAnsi="仿宋" w:eastAsia="仿宋" w:cs="仿宋"/>
          <w:b w:val="0"/>
          <w:bCs/>
          <w:color w:val="auto"/>
          <w:sz w:val="24"/>
          <w:shd w:val="clear" w:color="auto" w:fill="FFFFFF"/>
        </w:rPr>
        <w:t>能严格遵守和执行各级政府关于劳动工资和社会保障管理有关规定。</w:t>
      </w:r>
      <w:r>
        <w:rPr>
          <w:rFonts w:hint="eastAsia" w:ascii="仿宋" w:hAnsi="仿宋" w:eastAsia="仿宋" w:cs="仿宋"/>
          <w:color w:val="auto"/>
          <w:sz w:val="24"/>
          <w:shd w:val="clear" w:color="auto" w:fill="FFFFFF"/>
        </w:rPr>
        <w:t>（须提供承诺函原件，格式自拟）</w:t>
      </w:r>
    </w:p>
    <w:p>
      <w:pPr>
        <w:ind w:firstLine="480"/>
        <w:rPr>
          <w:rFonts w:ascii="仿宋" w:hAnsi="仿宋" w:eastAsia="仿宋" w:cs="仿宋"/>
          <w:b w:val="0"/>
          <w:bCs/>
          <w:color w:val="auto"/>
          <w:sz w:val="24"/>
          <w:shd w:val="clear" w:color="auto" w:fill="FFFFFF"/>
        </w:rPr>
      </w:pPr>
      <w:r>
        <w:rPr>
          <w:rFonts w:hint="eastAsia" w:ascii="仿宋" w:hAnsi="仿宋" w:eastAsia="仿宋" w:cs="仿宋"/>
          <w:b w:val="0"/>
          <w:bCs/>
          <w:color w:val="auto"/>
          <w:sz w:val="24"/>
        </w:rPr>
        <w:t>★</w:t>
      </w:r>
      <w:r>
        <w:rPr>
          <w:rFonts w:hint="eastAsia" w:ascii="仿宋" w:hAnsi="仿宋" w:eastAsia="仿宋" w:cs="仿宋"/>
          <w:b w:val="0"/>
          <w:bCs/>
          <w:color w:val="auto"/>
          <w:sz w:val="24"/>
          <w:shd w:val="clear" w:color="auto" w:fill="FFFFFF"/>
        </w:rPr>
        <w:t>2.投标人</w:t>
      </w:r>
      <w:r>
        <w:rPr>
          <w:rFonts w:hint="eastAsia" w:ascii="仿宋" w:hAnsi="仿宋" w:eastAsia="仿宋" w:cs="仿宋"/>
          <w:b w:val="0"/>
          <w:bCs/>
          <w:color w:val="auto"/>
          <w:sz w:val="24"/>
          <w:shd w:val="clear" w:color="auto" w:fill="FFFFFF"/>
          <w:lang w:val="en-US"/>
        </w:rPr>
        <w:t>须承诺</w:t>
      </w:r>
      <w:r>
        <w:rPr>
          <w:rFonts w:hint="eastAsia" w:ascii="仿宋" w:hAnsi="仿宋" w:eastAsia="仿宋" w:cs="仿宋"/>
          <w:b w:val="0"/>
          <w:bCs/>
          <w:color w:val="auto"/>
          <w:sz w:val="24"/>
          <w:shd w:val="clear" w:color="auto" w:fill="FFFFFF"/>
        </w:rPr>
        <w:t>需优先接受经采购人确认的原劳务人员。</w:t>
      </w:r>
      <w:r>
        <w:rPr>
          <w:rFonts w:hint="eastAsia" w:ascii="仿宋" w:hAnsi="仿宋" w:eastAsia="仿宋" w:cs="仿宋"/>
          <w:color w:val="auto"/>
          <w:sz w:val="24"/>
          <w:shd w:val="clear" w:color="auto" w:fill="FFFFFF"/>
        </w:rPr>
        <w:t>（须提供承诺函原件，格式自拟）</w:t>
      </w:r>
    </w:p>
    <w:p>
      <w:pPr>
        <w:ind w:firstLine="480"/>
        <w:rPr>
          <w:rFonts w:ascii="仿宋" w:hAnsi="仿宋" w:eastAsia="仿宋" w:cs="仿宋"/>
          <w:b w:val="0"/>
          <w:bCs/>
          <w:color w:val="auto"/>
          <w:sz w:val="24"/>
        </w:rPr>
      </w:pPr>
      <w:r>
        <w:rPr>
          <w:rFonts w:hint="eastAsia" w:ascii="仿宋" w:hAnsi="仿宋" w:eastAsia="仿宋" w:cs="仿宋"/>
          <w:b w:val="0"/>
          <w:bCs/>
          <w:color w:val="auto"/>
          <w:sz w:val="24"/>
        </w:rPr>
        <w:t>★</w:t>
      </w:r>
      <w:r>
        <w:rPr>
          <w:rFonts w:hint="eastAsia" w:ascii="仿宋" w:hAnsi="仿宋" w:eastAsia="仿宋" w:cs="仿宋"/>
          <w:b w:val="0"/>
          <w:bCs/>
          <w:color w:val="auto"/>
          <w:sz w:val="24"/>
          <w:shd w:val="clear" w:color="auto" w:fill="FFFFFF"/>
        </w:rPr>
        <w:t>3.</w:t>
      </w:r>
      <w:r>
        <w:rPr>
          <w:rFonts w:hint="eastAsia" w:ascii="仿宋" w:hAnsi="仿宋" w:eastAsia="仿宋" w:cs="仿宋"/>
          <w:b w:val="0"/>
          <w:bCs/>
          <w:color w:val="auto"/>
          <w:sz w:val="24"/>
        </w:rPr>
        <w:t>投标人应承诺在收到</w:t>
      </w:r>
      <w:r>
        <w:rPr>
          <w:rFonts w:hint="eastAsia" w:ascii="仿宋" w:hAnsi="仿宋" w:eastAsia="仿宋" w:cs="仿宋"/>
          <w:b w:val="0"/>
          <w:bCs/>
          <w:color w:val="auto"/>
          <w:sz w:val="24"/>
          <w:lang w:val="en-US"/>
        </w:rPr>
        <w:t>采购人支付的</w:t>
      </w:r>
      <w:r>
        <w:rPr>
          <w:rFonts w:hint="eastAsia" w:ascii="仿宋" w:hAnsi="仿宋" w:eastAsia="仿宋" w:cs="仿宋"/>
          <w:b w:val="0"/>
          <w:bCs/>
          <w:color w:val="auto"/>
          <w:sz w:val="24"/>
        </w:rPr>
        <w:t>款项后3日内，按照采购人核准的发放标准向劳务派出人员发放劳动报酬；并于当月完成社会保险和住房公积金的缴纳；投标人应简化流程、提供便捷的渠道，支付劳务派出人员的培训费、差旅费、体检费、团体拓展费、商业保险费、节假日慰问、工作服装费等相关费用。非经采购人书面通知，投标人不得以任何形式扣发（缓发）劳务派出人员劳动报酬，不得缩减或变更劳务派出人员社会保险、住房公积金缴付比例、金额，不得缩减缴付险种（类别）。</w:t>
      </w:r>
      <w:r>
        <w:rPr>
          <w:rFonts w:hint="eastAsia" w:ascii="仿宋" w:hAnsi="仿宋" w:eastAsia="仿宋" w:cs="仿宋"/>
          <w:color w:val="auto"/>
          <w:sz w:val="24"/>
        </w:rPr>
        <w:t>（提供承诺函原件，格式自拟）</w:t>
      </w:r>
    </w:p>
    <w:p>
      <w:pPr>
        <w:ind w:firstLine="480"/>
        <w:rPr>
          <w:rFonts w:ascii="仿宋" w:hAnsi="仿宋" w:eastAsia="仿宋" w:cs="仿宋"/>
          <w:b w:val="0"/>
          <w:bCs/>
          <w:color w:val="auto"/>
          <w:sz w:val="24"/>
        </w:rPr>
      </w:pPr>
      <w:r>
        <w:rPr>
          <w:rFonts w:hint="eastAsia" w:ascii="仿宋" w:hAnsi="仿宋" w:eastAsia="仿宋" w:cs="仿宋"/>
          <w:b w:val="0"/>
          <w:bCs/>
          <w:color w:val="auto"/>
          <w:sz w:val="24"/>
        </w:rPr>
        <w:t>★4</w:t>
      </w:r>
      <w:r>
        <w:rPr>
          <w:rFonts w:hint="eastAsia" w:ascii="仿宋" w:hAnsi="仿宋" w:eastAsia="仿宋" w:cs="仿宋"/>
          <w:b w:val="0"/>
          <w:bCs/>
          <w:color w:val="auto"/>
          <w:sz w:val="24"/>
          <w:lang w:val="en-US"/>
        </w:rPr>
        <w:t>.</w:t>
      </w:r>
      <w:r>
        <w:rPr>
          <w:rFonts w:hint="eastAsia" w:ascii="仿宋" w:hAnsi="仿宋" w:eastAsia="仿宋" w:cs="仿宋"/>
          <w:b w:val="0"/>
          <w:bCs/>
          <w:color w:val="auto"/>
          <w:sz w:val="24"/>
        </w:rPr>
        <w:t>投标人应对劳务派出人员加强安全保密教育，并签订保密协议。由于劳务派出人员泄露、冒用、误用或违法使用工作中所接触到的信息而造成的一切责任和损失，投标人有义务协助采购人向劳务</w:t>
      </w:r>
      <w:r>
        <w:rPr>
          <w:rFonts w:hint="eastAsia" w:ascii="仿宋" w:hAnsi="仿宋" w:eastAsia="仿宋" w:cs="仿宋"/>
          <w:b w:val="0"/>
          <w:bCs/>
          <w:color w:val="auto"/>
          <w:sz w:val="24"/>
          <w:lang w:val="en-US"/>
        </w:rPr>
        <w:t>派出人员</w:t>
      </w:r>
      <w:r>
        <w:rPr>
          <w:rFonts w:hint="eastAsia" w:ascii="仿宋" w:hAnsi="仿宋" w:eastAsia="仿宋" w:cs="仿宋"/>
          <w:b w:val="0"/>
          <w:bCs/>
          <w:color w:val="auto"/>
          <w:sz w:val="24"/>
        </w:rPr>
        <w:t>索赔，并追究当事人法律责任。由于劳务</w:t>
      </w:r>
      <w:r>
        <w:rPr>
          <w:rFonts w:hint="eastAsia" w:ascii="仿宋" w:hAnsi="仿宋" w:eastAsia="仿宋" w:cs="仿宋"/>
          <w:b w:val="0"/>
          <w:bCs/>
          <w:color w:val="auto"/>
          <w:sz w:val="24"/>
          <w:lang w:val="en-US"/>
        </w:rPr>
        <w:t>派出人员</w:t>
      </w:r>
      <w:r>
        <w:rPr>
          <w:rFonts w:hint="eastAsia" w:ascii="仿宋" w:hAnsi="仿宋" w:eastAsia="仿宋" w:cs="仿宋"/>
          <w:b w:val="0"/>
          <w:bCs/>
          <w:color w:val="auto"/>
          <w:sz w:val="24"/>
        </w:rPr>
        <w:t>利用工作便利构成犯罪给采购人或第三方造成损失的，投标人与采购人应共同向司法机关提供证据并追究当事人的法律责任，并向当事人追偿。（</w:t>
      </w:r>
      <w:r>
        <w:rPr>
          <w:rFonts w:hint="eastAsia" w:ascii="仿宋" w:hAnsi="仿宋" w:eastAsia="仿宋" w:cs="仿宋"/>
          <w:color w:val="auto"/>
          <w:sz w:val="24"/>
        </w:rPr>
        <w:t>提供承诺函原件，格式自拟）</w:t>
      </w:r>
    </w:p>
    <w:p>
      <w:pPr>
        <w:numPr>
          <w:ilvl w:val="0"/>
          <w:numId w:val="50"/>
        </w:numPr>
        <w:ind w:firstLine="482"/>
        <w:rPr>
          <w:rFonts w:ascii="仿宋" w:hAnsi="仿宋" w:eastAsia="仿宋"/>
          <w:color w:val="auto"/>
          <w:kern w:val="44"/>
          <w:sz w:val="24"/>
          <w:szCs w:val="24"/>
        </w:rPr>
      </w:pPr>
      <w:r>
        <w:rPr>
          <w:rFonts w:hint="eastAsia" w:ascii="仿宋" w:hAnsi="仿宋" w:eastAsia="仿宋"/>
          <w:color w:val="auto"/>
          <w:kern w:val="44"/>
          <w:sz w:val="24"/>
          <w:szCs w:val="24"/>
        </w:rPr>
        <w:t>考核办法</w:t>
      </w:r>
    </w:p>
    <w:p>
      <w:pPr>
        <w:ind w:firstLine="480"/>
        <w:rPr>
          <w:rFonts w:ascii="仿宋" w:hAnsi="仿宋" w:eastAsia="仿宋"/>
          <w:b w:val="0"/>
          <w:bCs/>
          <w:color w:val="auto"/>
          <w:kern w:val="44"/>
          <w:sz w:val="24"/>
          <w:szCs w:val="24"/>
        </w:rPr>
      </w:pPr>
      <w:r>
        <w:rPr>
          <w:rFonts w:hint="eastAsia" w:ascii="仿宋" w:hAnsi="仿宋" w:eastAsia="仿宋"/>
          <w:b w:val="0"/>
          <w:bCs/>
          <w:color w:val="auto"/>
          <w:kern w:val="44"/>
          <w:sz w:val="24"/>
          <w:szCs w:val="24"/>
        </w:rPr>
        <w:t>（一）考核方式：</w:t>
      </w:r>
    </w:p>
    <w:p>
      <w:pPr>
        <w:ind w:firstLine="480"/>
        <w:rPr>
          <w:rFonts w:ascii="仿宋" w:hAnsi="仿宋" w:eastAsia="仿宋"/>
          <w:b w:val="0"/>
          <w:bCs/>
          <w:color w:val="auto"/>
          <w:kern w:val="44"/>
          <w:sz w:val="24"/>
          <w:szCs w:val="24"/>
          <w:lang w:val="en-US"/>
        </w:rPr>
      </w:pPr>
      <w:r>
        <w:rPr>
          <w:rFonts w:hint="eastAsia" w:ascii="仿宋" w:hAnsi="仿宋" w:eastAsia="仿宋"/>
          <w:b w:val="0"/>
          <w:bCs/>
          <w:color w:val="auto"/>
          <w:kern w:val="44"/>
          <w:sz w:val="24"/>
          <w:szCs w:val="24"/>
        </w:rPr>
        <w:t>采用年度考核形式，由采购人对中标人执行相关标准和服务要求等情况进行考核。当年年度考评得分低于</w:t>
      </w:r>
      <w:r>
        <w:rPr>
          <w:rFonts w:hint="eastAsia" w:ascii="仿宋" w:hAnsi="仿宋" w:eastAsia="仿宋"/>
          <w:b w:val="0"/>
          <w:bCs/>
          <w:color w:val="auto"/>
          <w:kern w:val="44"/>
          <w:sz w:val="24"/>
          <w:szCs w:val="24"/>
          <w:lang w:val="en-US"/>
        </w:rPr>
        <w:t>60分的采购人有权不再续签下一年度服务协议。</w:t>
      </w:r>
    </w:p>
    <w:p>
      <w:pPr>
        <w:pStyle w:val="2"/>
        <w:ind w:firstLine="480"/>
        <w:rPr>
          <w:rFonts w:ascii="仿宋" w:hAnsi="仿宋" w:eastAsia="仿宋"/>
          <w:bCs/>
          <w:kern w:val="44"/>
          <w:sz w:val="24"/>
        </w:rPr>
      </w:pPr>
      <w:r>
        <w:rPr>
          <w:rFonts w:hint="eastAsia" w:ascii="仿宋" w:hAnsi="仿宋" w:eastAsia="仿宋" w:cs="仿宋"/>
          <w:sz w:val="24"/>
        </w:rPr>
        <w:t>（二）考核表</w:t>
      </w:r>
    </w:p>
    <w:p>
      <w:pPr>
        <w:ind w:firstLine="480"/>
        <w:rPr>
          <w:rFonts w:eastAsia="仿宋"/>
          <w:color w:val="auto"/>
          <w:lang w:val="en-US"/>
        </w:rPr>
      </w:pPr>
      <w:r>
        <w:rPr>
          <w:rFonts w:hint="eastAsia" w:ascii="仿宋" w:hAnsi="仿宋" w:eastAsia="仿宋"/>
          <w:b w:val="0"/>
          <w:bCs/>
          <w:color w:val="auto"/>
          <w:kern w:val="44"/>
          <w:sz w:val="24"/>
          <w:szCs w:val="24"/>
          <w:lang w:val="en-US"/>
        </w:rPr>
        <w:t xml:space="preserve"> 详见附件《劳务派出单位考评表》。</w:t>
      </w:r>
    </w:p>
    <w:p>
      <w:pPr>
        <w:ind w:firstLine="480"/>
        <w:rPr>
          <w:rFonts w:ascii="仿宋" w:hAnsi="仿宋" w:eastAsia="仿宋"/>
          <w:color w:val="auto"/>
          <w:kern w:val="44"/>
          <w:sz w:val="24"/>
          <w:szCs w:val="24"/>
        </w:rPr>
      </w:pPr>
      <w:r>
        <w:rPr>
          <w:rFonts w:hint="eastAsia" w:ascii="仿宋" w:hAnsi="仿宋" w:eastAsia="仿宋" w:cs="宋体"/>
          <w:b w:val="0"/>
          <w:color w:val="auto"/>
          <w:sz w:val="24"/>
          <w:szCs w:val="24"/>
        </w:rPr>
        <w:t>★</w:t>
      </w:r>
      <w:r>
        <w:rPr>
          <w:rFonts w:hint="eastAsia" w:ascii="仿宋" w:hAnsi="仿宋" w:eastAsia="仿宋"/>
          <w:color w:val="auto"/>
          <w:kern w:val="44"/>
          <w:sz w:val="24"/>
          <w:szCs w:val="24"/>
        </w:rPr>
        <w:t>四</w:t>
      </w:r>
      <w:r>
        <w:rPr>
          <w:rFonts w:ascii="仿宋" w:hAnsi="仿宋" w:eastAsia="仿宋"/>
          <w:color w:val="auto"/>
          <w:kern w:val="44"/>
          <w:sz w:val="24"/>
          <w:szCs w:val="24"/>
        </w:rPr>
        <w:t>、商务要求</w:t>
      </w:r>
      <w:bookmarkEnd w:id="455"/>
      <w:bookmarkEnd w:id="456"/>
      <w:bookmarkEnd w:id="457"/>
      <w:bookmarkEnd w:id="458"/>
      <w:bookmarkEnd w:id="459"/>
      <w:bookmarkEnd w:id="460"/>
      <w:bookmarkEnd w:id="461"/>
    </w:p>
    <w:p>
      <w:pPr>
        <w:ind w:firstLine="480"/>
        <w:rPr>
          <w:rFonts w:ascii="仿宋" w:hAnsi="仿宋" w:eastAsia="仿宋"/>
          <w:b w:val="0"/>
          <w:color w:val="auto"/>
          <w:sz w:val="24"/>
          <w:szCs w:val="24"/>
        </w:rPr>
      </w:pPr>
      <w:r>
        <w:rPr>
          <w:rFonts w:hint="eastAsia" w:ascii="仿宋" w:hAnsi="仿宋" w:eastAsia="仿宋"/>
          <w:b w:val="0"/>
          <w:color w:val="auto"/>
          <w:sz w:val="24"/>
          <w:szCs w:val="24"/>
        </w:rPr>
        <w:t>（一）服务时间</w:t>
      </w:r>
      <w:r>
        <w:rPr>
          <w:rFonts w:ascii="仿宋" w:hAnsi="仿宋" w:eastAsia="仿宋"/>
          <w:b w:val="0"/>
          <w:color w:val="auto"/>
          <w:sz w:val="24"/>
          <w:szCs w:val="24"/>
        </w:rPr>
        <w:t>：一</w:t>
      </w:r>
      <w:r>
        <w:rPr>
          <w:rFonts w:hint="eastAsia" w:ascii="仿宋" w:hAnsi="仿宋" w:eastAsia="仿宋"/>
          <w:b w:val="0"/>
          <w:color w:val="auto"/>
          <w:sz w:val="24"/>
          <w:szCs w:val="24"/>
        </w:rPr>
        <w:t>采</w:t>
      </w:r>
      <w:r>
        <w:rPr>
          <w:rFonts w:ascii="仿宋" w:hAnsi="仿宋" w:eastAsia="仿宋"/>
          <w:b w:val="0"/>
          <w:color w:val="auto"/>
          <w:sz w:val="24"/>
          <w:szCs w:val="24"/>
        </w:rPr>
        <w:t>三年</w:t>
      </w:r>
      <w:r>
        <w:rPr>
          <w:rFonts w:hint="eastAsia" w:ascii="仿宋" w:hAnsi="仿宋" w:eastAsia="仿宋"/>
          <w:b w:val="0"/>
          <w:color w:val="auto"/>
          <w:sz w:val="24"/>
          <w:szCs w:val="24"/>
        </w:rPr>
        <w:t>，</w:t>
      </w:r>
      <w:r>
        <w:rPr>
          <w:rFonts w:ascii="仿宋" w:hAnsi="仿宋" w:eastAsia="仿宋"/>
          <w:b w:val="0"/>
          <w:color w:val="auto"/>
          <w:sz w:val="24"/>
          <w:szCs w:val="24"/>
        </w:rPr>
        <w:t>每年一签</w:t>
      </w:r>
      <w:r>
        <w:rPr>
          <w:rFonts w:hint="eastAsia" w:ascii="仿宋" w:hAnsi="仿宋" w:eastAsia="仿宋"/>
          <w:b w:val="0"/>
          <w:color w:val="auto"/>
          <w:sz w:val="24"/>
          <w:szCs w:val="24"/>
        </w:rPr>
        <w:t>，</w:t>
      </w:r>
      <w:r>
        <w:rPr>
          <w:rFonts w:ascii="仿宋" w:hAnsi="仿宋" w:eastAsia="仿宋"/>
          <w:b w:val="0"/>
          <w:color w:val="auto"/>
          <w:sz w:val="24"/>
          <w:szCs w:val="24"/>
        </w:rPr>
        <w:t>至合同签订之日算起</w:t>
      </w:r>
      <w:r>
        <w:rPr>
          <w:rFonts w:hint="eastAsia" w:ascii="仿宋" w:hAnsi="仿宋" w:eastAsia="仿宋"/>
          <w:b w:val="0"/>
          <w:color w:val="auto"/>
          <w:sz w:val="24"/>
          <w:szCs w:val="24"/>
        </w:rPr>
        <w:t>。</w:t>
      </w:r>
    </w:p>
    <w:p>
      <w:pPr>
        <w:ind w:firstLine="480"/>
        <w:rPr>
          <w:rFonts w:ascii="仿宋" w:hAnsi="仿宋" w:eastAsia="仿宋"/>
          <w:b w:val="0"/>
          <w:color w:val="auto"/>
          <w:sz w:val="24"/>
          <w:szCs w:val="24"/>
        </w:rPr>
      </w:pPr>
      <w:r>
        <w:rPr>
          <w:rFonts w:hint="eastAsia" w:ascii="仿宋" w:hAnsi="仿宋" w:eastAsia="仿宋"/>
          <w:b w:val="0"/>
          <w:color w:val="auto"/>
          <w:sz w:val="24"/>
          <w:szCs w:val="24"/>
        </w:rPr>
        <w:t>（二）服务</w:t>
      </w:r>
      <w:r>
        <w:rPr>
          <w:rFonts w:ascii="仿宋" w:hAnsi="仿宋" w:eastAsia="仿宋"/>
          <w:b w:val="0"/>
          <w:color w:val="auto"/>
          <w:sz w:val="24"/>
          <w:szCs w:val="24"/>
        </w:rPr>
        <w:t>地点：</w:t>
      </w:r>
      <w:r>
        <w:rPr>
          <w:rFonts w:hint="eastAsia" w:ascii="仿宋" w:hAnsi="仿宋" w:eastAsia="仿宋"/>
          <w:b w:val="0"/>
          <w:color w:val="auto"/>
          <w:sz w:val="24"/>
          <w:szCs w:val="24"/>
        </w:rPr>
        <w:t>采购人指定地点。</w:t>
      </w:r>
    </w:p>
    <w:p>
      <w:pPr>
        <w:ind w:firstLine="480"/>
        <w:rPr>
          <w:rFonts w:ascii="仿宋" w:hAnsi="仿宋" w:eastAsia="仿宋"/>
          <w:b w:val="0"/>
          <w:color w:val="auto"/>
          <w:sz w:val="24"/>
          <w:szCs w:val="24"/>
        </w:rPr>
      </w:pPr>
      <w:r>
        <w:rPr>
          <w:rFonts w:hint="eastAsia" w:ascii="仿宋" w:hAnsi="仿宋" w:eastAsia="仿宋"/>
          <w:b w:val="0"/>
          <w:color w:val="auto"/>
          <w:sz w:val="24"/>
          <w:szCs w:val="24"/>
        </w:rPr>
        <w:t>（三）</w:t>
      </w:r>
      <w:r>
        <w:rPr>
          <w:rFonts w:ascii="仿宋" w:hAnsi="仿宋" w:eastAsia="仿宋"/>
          <w:b w:val="0"/>
          <w:color w:val="auto"/>
          <w:sz w:val="24"/>
          <w:szCs w:val="24"/>
        </w:rPr>
        <w:t>付款方式：</w:t>
      </w:r>
    </w:p>
    <w:p>
      <w:pPr>
        <w:ind w:firstLine="480"/>
        <w:rPr>
          <w:rFonts w:ascii="仿宋" w:hAnsi="仿宋" w:eastAsia="仿宋"/>
          <w:b w:val="0"/>
          <w:color w:val="auto"/>
          <w:sz w:val="24"/>
          <w:szCs w:val="24"/>
        </w:rPr>
      </w:pPr>
      <w:r>
        <w:rPr>
          <w:rFonts w:hint="eastAsia" w:ascii="仿宋" w:hAnsi="仿宋" w:eastAsia="仿宋"/>
          <w:b w:val="0"/>
          <w:color w:val="auto"/>
          <w:sz w:val="24"/>
          <w:szCs w:val="24"/>
          <w:lang w:val="en-US"/>
        </w:rPr>
        <w:t>1、派出</w:t>
      </w:r>
      <w:r>
        <w:rPr>
          <w:rFonts w:hint="eastAsia" w:ascii="仿宋" w:hAnsi="仿宋" w:eastAsia="仿宋"/>
          <w:b w:val="0"/>
          <w:color w:val="auto"/>
          <w:sz w:val="24"/>
          <w:szCs w:val="24"/>
        </w:rPr>
        <w:t>员工工资：采购人与中标人在每个自然月月初统计上月实际派出人员，投标人按照采购人提供的工资花名册、采购人相关负责人签字确认的月考核表，经双方再次审核确定后，采购人3日内拨付本月对应的工资给投标人，投标人在收到款项后3日内按照双方审核确定后的工资花名册，按时足额支付派出人员工资；</w:t>
      </w:r>
    </w:p>
    <w:p>
      <w:pPr>
        <w:ind w:firstLine="480"/>
        <w:rPr>
          <w:rFonts w:ascii="仿宋" w:hAnsi="仿宋" w:eastAsia="仿宋"/>
          <w:b w:val="0"/>
          <w:color w:val="auto"/>
          <w:sz w:val="24"/>
          <w:szCs w:val="24"/>
        </w:rPr>
      </w:pPr>
      <w:r>
        <w:rPr>
          <w:rFonts w:hint="eastAsia" w:ascii="仿宋" w:hAnsi="仿宋" w:eastAsia="仿宋"/>
          <w:b w:val="0"/>
          <w:color w:val="auto"/>
          <w:sz w:val="24"/>
          <w:szCs w:val="24"/>
          <w:lang w:val="en-US"/>
        </w:rPr>
        <w:t>2、</w:t>
      </w:r>
      <w:r>
        <w:rPr>
          <w:rFonts w:hint="eastAsia" w:ascii="仿宋" w:hAnsi="仿宋" w:eastAsia="仿宋"/>
          <w:b w:val="0"/>
          <w:color w:val="auto"/>
          <w:sz w:val="24"/>
          <w:szCs w:val="24"/>
        </w:rPr>
        <w:t>投标人服务管理费支付：投标人每月将派出人员的工资发放银行凭证提交采购人备案，经采购人确认无误后，双方结算当月服务费并确认签字，采购人按月支付对应的服务费。</w:t>
      </w:r>
    </w:p>
    <w:p>
      <w:pPr>
        <w:ind w:firstLine="480"/>
        <w:rPr>
          <w:rFonts w:ascii="仿宋" w:hAnsi="仿宋" w:eastAsia="仿宋"/>
          <w:b w:val="0"/>
          <w:color w:val="auto"/>
          <w:sz w:val="24"/>
          <w:szCs w:val="24"/>
          <w:lang w:val="en-US"/>
        </w:rPr>
      </w:pPr>
      <w:r>
        <w:rPr>
          <w:rFonts w:hint="eastAsia" w:ascii="仿宋" w:hAnsi="仿宋" w:eastAsia="仿宋"/>
          <w:b w:val="0"/>
          <w:color w:val="auto"/>
          <w:sz w:val="24"/>
          <w:szCs w:val="24"/>
          <w:lang w:val="en-US"/>
        </w:rPr>
        <w:t>（四）费用组成</w:t>
      </w:r>
    </w:p>
    <w:p>
      <w:pPr>
        <w:ind w:firstLine="482"/>
        <w:rPr>
          <w:rFonts w:ascii="仿宋" w:hAnsi="仿宋" w:eastAsia="仿宋"/>
          <w:bCs/>
          <w:color w:val="auto"/>
          <w:sz w:val="24"/>
          <w:szCs w:val="24"/>
          <w:lang w:val="en-US"/>
        </w:rPr>
      </w:pPr>
      <w:r>
        <w:rPr>
          <w:rFonts w:hint="eastAsia" w:ascii="仿宋" w:hAnsi="仿宋" w:eastAsia="仿宋"/>
          <w:bCs/>
          <w:color w:val="auto"/>
          <w:sz w:val="24"/>
          <w:szCs w:val="24"/>
          <w:lang w:val="en-US"/>
        </w:rPr>
        <w:t>1、投标人管理服务费，最高限价不得超过不可竞争费用的8%。</w:t>
      </w:r>
    </w:p>
    <w:p>
      <w:pPr>
        <w:ind w:firstLine="482"/>
        <w:rPr>
          <w:rFonts w:ascii="仿宋" w:hAnsi="仿宋" w:eastAsia="仿宋"/>
          <w:bCs/>
          <w:color w:val="auto"/>
          <w:sz w:val="24"/>
          <w:szCs w:val="24"/>
          <w:lang w:val="en-US"/>
        </w:rPr>
      </w:pPr>
      <w:r>
        <w:rPr>
          <w:rFonts w:hint="eastAsia" w:ascii="仿宋" w:hAnsi="仿宋" w:eastAsia="仿宋"/>
          <w:bCs/>
          <w:color w:val="auto"/>
          <w:sz w:val="24"/>
          <w:szCs w:val="24"/>
          <w:lang w:val="en-US"/>
        </w:rPr>
        <w:t>2、不可竞争费用。不可竞争费用是采购人支付中标人，由中标人代发（代缴）的劳务派出人员的劳动报酬(含个税、个人承担的五险一金、）、残疾人就业保障资金、单位承担的五险一金，以及劳务派出人员的教育培训费、差旅费、体检费、团体拓展费、商业保险费、生日（节日）慰问礼品（金）费、工作服装费以及其他应由采购人（雇主）承担的相关费用。</w:t>
      </w:r>
    </w:p>
    <w:p>
      <w:pPr>
        <w:ind w:firstLine="482"/>
        <w:rPr>
          <w:color w:val="auto"/>
        </w:rPr>
      </w:pPr>
      <w:r>
        <w:rPr>
          <w:rFonts w:hint="eastAsia" w:ascii="仿宋" w:hAnsi="仿宋" w:eastAsia="仿宋"/>
          <w:bCs/>
          <w:color w:val="auto"/>
          <w:sz w:val="24"/>
          <w:szCs w:val="24"/>
        </w:rPr>
        <w:t>五、其他未尽事宜详见合同</w:t>
      </w:r>
    </w:p>
    <w:p>
      <w:pPr>
        <w:ind w:firstLine="482"/>
        <w:rPr>
          <w:rFonts w:ascii="仿宋" w:hAnsi="仿宋" w:eastAsia="仿宋"/>
          <w:bCs/>
          <w:color w:val="auto"/>
          <w:sz w:val="24"/>
          <w:szCs w:val="24"/>
        </w:rPr>
      </w:pPr>
      <w:r>
        <w:rPr>
          <w:rFonts w:ascii="仿宋" w:hAnsi="仿宋" w:eastAsia="仿宋"/>
          <w:bCs/>
          <w:color w:val="auto"/>
          <w:sz w:val="24"/>
          <w:szCs w:val="24"/>
        </w:rPr>
        <w:t>注：</w:t>
      </w:r>
    </w:p>
    <w:p>
      <w:pPr>
        <w:ind w:firstLine="482"/>
        <w:rPr>
          <w:rFonts w:ascii="仿宋" w:hAnsi="仿宋" w:eastAsia="仿宋"/>
          <w:bCs/>
          <w:color w:val="auto"/>
          <w:sz w:val="24"/>
          <w:szCs w:val="24"/>
        </w:rPr>
      </w:pPr>
      <w:r>
        <w:rPr>
          <w:rFonts w:ascii="仿宋" w:hAnsi="仿宋" w:eastAsia="仿宋"/>
          <w:bCs/>
          <w:color w:val="auto"/>
          <w:sz w:val="24"/>
          <w:szCs w:val="24"/>
        </w:rPr>
        <w:t>本章中上述打</w:t>
      </w:r>
      <w:r>
        <w:rPr>
          <w:rFonts w:hint="eastAsia" w:ascii="仿宋" w:hAnsi="仿宋" w:eastAsia="仿宋" w:cs="宋体"/>
          <w:bCs/>
          <w:color w:val="auto"/>
          <w:sz w:val="24"/>
          <w:szCs w:val="24"/>
        </w:rPr>
        <w:t>★</w:t>
      </w:r>
      <w:r>
        <w:rPr>
          <w:rFonts w:ascii="仿宋" w:hAnsi="仿宋" w:eastAsia="仿宋"/>
          <w:bCs/>
          <w:color w:val="auto"/>
          <w:sz w:val="24"/>
          <w:szCs w:val="24"/>
        </w:rPr>
        <w:t>号的为本次招标项目的实质性要求，不允许有负偏离，否则作无效投标处理。</w:t>
      </w:r>
    </w:p>
    <w:p>
      <w:pPr>
        <w:pStyle w:val="2"/>
        <w:ind w:firstLine="482"/>
        <w:rPr>
          <w:rFonts w:ascii="仿宋" w:hAnsi="仿宋" w:eastAsia="仿宋" w:cs="仿宋"/>
          <w:b/>
          <w:bCs/>
          <w:sz w:val="24"/>
          <w:lang w:val="en-US"/>
        </w:rPr>
      </w:pPr>
      <w:r>
        <w:rPr>
          <w:rFonts w:hint="eastAsia" w:ascii="仿宋" w:hAnsi="仿宋" w:eastAsia="仿宋" w:cs="仿宋"/>
          <w:b/>
          <w:bCs/>
          <w:sz w:val="24"/>
        </w:rPr>
        <w:t>附件</w:t>
      </w:r>
      <w:r>
        <w:rPr>
          <w:rFonts w:hint="eastAsia" w:ascii="仿宋" w:hAnsi="仿宋" w:eastAsia="仿宋" w:cs="仿宋"/>
          <w:b/>
          <w:bCs/>
          <w:sz w:val="24"/>
          <w:lang w:val="en-US"/>
        </w:rPr>
        <w:t>：</w:t>
      </w:r>
    </w:p>
    <w:p>
      <w:pPr>
        <w:ind w:firstLine="482"/>
        <w:jc w:val="center"/>
        <w:rPr>
          <w:color w:val="auto"/>
          <w:lang w:val="en-US"/>
        </w:rPr>
      </w:pPr>
      <w:r>
        <w:rPr>
          <w:rFonts w:hint="eastAsia" w:cs="宋体"/>
          <w:bCs/>
          <w:color w:val="auto"/>
          <w:sz w:val="24"/>
          <w:szCs w:val="24"/>
        </w:rPr>
        <w:t>劳务</w:t>
      </w:r>
      <w:r>
        <w:rPr>
          <w:rFonts w:hint="eastAsia" w:cs="宋体"/>
          <w:bCs/>
          <w:color w:val="auto"/>
          <w:sz w:val="24"/>
          <w:szCs w:val="24"/>
          <w:lang w:val="en-US"/>
        </w:rPr>
        <w:t>派出</w:t>
      </w:r>
      <w:r>
        <w:rPr>
          <w:rFonts w:hint="eastAsia" w:cs="宋体"/>
          <w:bCs/>
          <w:color w:val="auto"/>
          <w:sz w:val="24"/>
          <w:szCs w:val="24"/>
        </w:rPr>
        <w:t>单位考评表</w:t>
      </w:r>
    </w:p>
    <w:tbl>
      <w:tblPr>
        <w:tblStyle w:val="76"/>
        <w:tblpPr w:leftFromText="180" w:rightFromText="180" w:vertAnchor="text" w:horzAnchor="page" w:tblpX="1471" w:tblpY="24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8"/>
        <w:gridCol w:w="670"/>
        <w:gridCol w:w="761"/>
        <w:gridCol w:w="3909"/>
        <w:gridCol w:w="1503"/>
        <w:gridCol w:w="458"/>
        <w:gridCol w:w="1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458" w:type="dxa"/>
            <w:vAlign w:val="center"/>
          </w:tcPr>
          <w:p>
            <w:pPr>
              <w:widowControl/>
              <w:snapToGrid/>
              <w:spacing w:line="240" w:lineRule="auto"/>
              <w:ind w:firstLine="0" w:firstLineChars="0"/>
              <w:jc w:val="center"/>
              <w:rPr>
                <w:rFonts w:ascii="仿宋" w:hAnsi="仿宋" w:eastAsia="仿宋" w:cs="仿宋"/>
                <w:bCs/>
                <w:color w:val="auto"/>
                <w:sz w:val="24"/>
                <w:szCs w:val="24"/>
                <w:lang w:val="en-US"/>
              </w:rPr>
            </w:pPr>
            <w:r>
              <w:rPr>
                <w:rFonts w:hint="eastAsia" w:ascii="仿宋" w:hAnsi="仿宋" w:eastAsia="仿宋" w:cs="仿宋"/>
                <w:bCs/>
                <w:color w:val="auto"/>
                <w:sz w:val="24"/>
                <w:szCs w:val="24"/>
                <w:lang w:val="en-US"/>
              </w:rPr>
              <w:t>序号</w:t>
            </w:r>
          </w:p>
        </w:tc>
        <w:tc>
          <w:tcPr>
            <w:tcW w:w="670" w:type="dxa"/>
            <w:vAlign w:val="center"/>
          </w:tcPr>
          <w:p>
            <w:pPr>
              <w:widowControl/>
              <w:snapToGrid/>
              <w:spacing w:line="240" w:lineRule="auto"/>
              <w:ind w:firstLine="0" w:firstLineChars="0"/>
              <w:jc w:val="center"/>
              <w:rPr>
                <w:rFonts w:ascii="仿宋" w:hAnsi="仿宋" w:eastAsia="仿宋" w:cs="仿宋"/>
                <w:bCs/>
                <w:color w:val="auto"/>
                <w:sz w:val="24"/>
                <w:szCs w:val="24"/>
                <w:lang w:val="en-US"/>
              </w:rPr>
            </w:pPr>
            <w:r>
              <w:rPr>
                <w:rFonts w:hint="eastAsia" w:ascii="仿宋" w:hAnsi="仿宋" w:eastAsia="仿宋" w:cs="仿宋"/>
                <w:bCs/>
                <w:color w:val="auto"/>
                <w:sz w:val="24"/>
                <w:szCs w:val="24"/>
                <w:lang w:val="en-US"/>
              </w:rPr>
              <w:t>项目</w:t>
            </w:r>
          </w:p>
        </w:tc>
        <w:tc>
          <w:tcPr>
            <w:tcW w:w="761" w:type="dxa"/>
            <w:vAlign w:val="center"/>
          </w:tcPr>
          <w:p>
            <w:pPr>
              <w:widowControl/>
              <w:snapToGrid/>
              <w:spacing w:line="240" w:lineRule="auto"/>
              <w:ind w:firstLine="0" w:firstLineChars="0"/>
              <w:jc w:val="center"/>
              <w:rPr>
                <w:rFonts w:ascii="仿宋" w:hAnsi="仿宋" w:eastAsia="仿宋" w:cs="仿宋"/>
                <w:bCs/>
                <w:color w:val="auto"/>
                <w:sz w:val="24"/>
                <w:szCs w:val="24"/>
                <w:lang w:val="en-US"/>
              </w:rPr>
            </w:pPr>
            <w:r>
              <w:rPr>
                <w:rFonts w:hint="eastAsia" w:ascii="仿宋" w:hAnsi="仿宋" w:eastAsia="仿宋" w:cs="仿宋"/>
                <w:bCs/>
                <w:color w:val="auto"/>
                <w:sz w:val="24"/>
                <w:szCs w:val="24"/>
                <w:lang w:val="en-US"/>
              </w:rPr>
              <w:t>关键</w:t>
            </w:r>
          </w:p>
          <w:p>
            <w:pPr>
              <w:widowControl/>
              <w:snapToGrid/>
              <w:spacing w:line="240" w:lineRule="auto"/>
              <w:ind w:firstLine="0" w:firstLineChars="0"/>
              <w:jc w:val="center"/>
              <w:rPr>
                <w:rFonts w:ascii="仿宋" w:hAnsi="仿宋" w:eastAsia="仿宋" w:cs="仿宋"/>
                <w:bCs/>
                <w:color w:val="auto"/>
                <w:sz w:val="24"/>
                <w:szCs w:val="24"/>
                <w:lang w:val="en-US"/>
              </w:rPr>
            </w:pPr>
            <w:r>
              <w:rPr>
                <w:rFonts w:hint="eastAsia" w:ascii="仿宋" w:hAnsi="仿宋" w:eastAsia="仿宋" w:cs="仿宋"/>
                <w:bCs/>
                <w:color w:val="auto"/>
                <w:sz w:val="24"/>
                <w:szCs w:val="24"/>
                <w:lang w:val="en-US"/>
              </w:rPr>
              <w:t>指标</w:t>
            </w:r>
          </w:p>
        </w:tc>
        <w:tc>
          <w:tcPr>
            <w:tcW w:w="3909" w:type="dxa"/>
            <w:vAlign w:val="center"/>
          </w:tcPr>
          <w:p>
            <w:pPr>
              <w:widowControl/>
              <w:snapToGrid/>
              <w:spacing w:line="240" w:lineRule="auto"/>
              <w:ind w:firstLine="0" w:firstLineChars="0"/>
              <w:jc w:val="center"/>
              <w:rPr>
                <w:rFonts w:ascii="仿宋" w:hAnsi="仿宋" w:eastAsia="仿宋" w:cs="仿宋"/>
                <w:bCs/>
                <w:color w:val="auto"/>
                <w:sz w:val="24"/>
                <w:szCs w:val="24"/>
                <w:lang w:val="en-US"/>
              </w:rPr>
            </w:pPr>
            <w:r>
              <w:rPr>
                <w:rFonts w:hint="eastAsia" w:ascii="仿宋" w:hAnsi="仿宋" w:eastAsia="仿宋" w:cs="仿宋"/>
                <w:bCs/>
                <w:color w:val="auto"/>
                <w:sz w:val="24"/>
                <w:szCs w:val="24"/>
                <w:lang w:val="en-US"/>
              </w:rPr>
              <w:t>考评标准</w:t>
            </w:r>
          </w:p>
        </w:tc>
        <w:tc>
          <w:tcPr>
            <w:tcW w:w="1503" w:type="dxa"/>
            <w:vAlign w:val="center"/>
          </w:tcPr>
          <w:p>
            <w:pPr>
              <w:widowControl/>
              <w:snapToGrid/>
              <w:spacing w:line="240" w:lineRule="auto"/>
              <w:ind w:firstLine="0" w:firstLineChars="0"/>
              <w:jc w:val="center"/>
              <w:rPr>
                <w:rFonts w:ascii="仿宋" w:hAnsi="仿宋" w:eastAsia="仿宋" w:cs="仿宋"/>
                <w:bCs/>
                <w:color w:val="auto"/>
                <w:sz w:val="24"/>
                <w:szCs w:val="24"/>
                <w:lang w:val="en-US"/>
              </w:rPr>
            </w:pPr>
            <w:r>
              <w:rPr>
                <w:rFonts w:hint="eastAsia" w:ascii="仿宋" w:hAnsi="仿宋" w:eastAsia="仿宋" w:cs="仿宋"/>
                <w:bCs/>
                <w:color w:val="auto"/>
                <w:sz w:val="24"/>
                <w:szCs w:val="24"/>
                <w:lang w:val="en-US"/>
              </w:rPr>
              <w:t>考评界定</w:t>
            </w:r>
          </w:p>
          <w:p>
            <w:pPr>
              <w:widowControl/>
              <w:snapToGrid/>
              <w:spacing w:line="240" w:lineRule="auto"/>
              <w:ind w:firstLine="0" w:firstLineChars="0"/>
              <w:jc w:val="center"/>
              <w:rPr>
                <w:rFonts w:ascii="仿宋" w:hAnsi="仿宋" w:eastAsia="仿宋" w:cs="仿宋"/>
                <w:bCs/>
                <w:color w:val="auto"/>
                <w:sz w:val="24"/>
                <w:szCs w:val="24"/>
                <w:lang w:val="en-US"/>
              </w:rPr>
            </w:pPr>
            <w:r>
              <w:rPr>
                <w:rFonts w:hint="eastAsia" w:ascii="仿宋" w:hAnsi="仿宋" w:eastAsia="仿宋" w:cs="仿宋"/>
                <w:bCs/>
                <w:color w:val="auto"/>
                <w:sz w:val="24"/>
                <w:szCs w:val="24"/>
                <w:lang w:val="en-US"/>
              </w:rPr>
              <w:t>（特别说明）</w:t>
            </w:r>
          </w:p>
        </w:tc>
        <w:tc>
          <w:tcPr>
            <w:tcW w:w="458" w:type="dxa"/>
            <w:vAlign w:val="center"/>
          </w:tcPr>
          <w:p>
            <w:pPr>
              <w:widowControl/>
              <w:snapToGrid/>
              <w:spacing w:line="240" w:lineRule="auto"/>
              <w:ind w:firstLine="0" w:firstLineChars="0"/>
              <w:jc w:val="center"/>
              <w:rPr>
                <w:rFonts w:ascii="仿宋" w:hAnsi="仿宋" w:eastAsia="仿宋" w:cs="仿宋"/>
                <w:bCs/>
                <w:color w:val="auto"/>
                <w:sz w:val="24"/>
                <w:szCs w:val="24"/>
                <w:lang w:val="en-US"/>
              </w:rPr>
            </w:pPr>
            <w:r>
              <w:rPr>
                <w:rFonts w:hint="eastAsia" w:ascii="仿宋" w:hAnsi="仿宋" w:eastAsia="仿宋" w:cs="仿宋"/>
                <w:bCs/>
                <w:color w:val="auto"/>
                <w:sz w:val="24"/>
                <w:szCs w:val="24"/>
                <w:lang w:val="en-US"/>
              </w:rPr>
              <w:t>分值</w:t>
            </w:r>
          </w:p>
        </w:tc>
        <w:tc>
          <w:tcPr>
            <w:tcW w:w="1670" w:type="dxa"/>
            <w:vAlign w:val="center"/>
          </w:tcPr>
          <w:p>
            <w:pPr>
              <w:widowControl/>
              <w:snapToGrid/>
              <w:spacing w:line="240" w:lineRule="auto"/>
              <w:ind w:firstLine="0" w:firstLineChars="0"/>
              <w:jc w:val="center"/>
              <w:rPr>
                <w:rFonts w:ascii="仿宋" w:hAnsi="仿宋" w:eastAsia="仿宋" w:cs="仿宋"/>
                <w:bCs/>
                <w:color w:val="auto"/>
                <w:sz w:val="24"/>
                <w:szCs w:val="24"/>
                <w:lang w:val="en-US"/>
              </w:rPr>
            </w:pPr>
            <w:r>
              <w:rPr>
                <w:rFonts w:hint="eastAsia" w:ascii="仿宋" w:hAnsi="仿宋" w:eastAsia="仿宋" w:cs="仿宋"/>
                <w:bCs/>
                <w:color w:val="auto"/>
                <w:sz w:val="24"/>
                <w:szCs w:val="24"/>
                <w:lang w:val="en-US"/>
              </w:rPr>
              <w:t>提供数据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458" w:type="dxa"/>
            <w:vAlign w:val="center"/>
          </w:tcPr>
          <w:p>
            <w:pPr>
              <w:widowControl/>
              <w:snapToGrid/>
              <w:spacing w:line="240" w:lineRule="auto"/>
              <w:ind w:firstLine="0" w:firstLineChars="0"/>
              <w:jc w:val="left"/>
              <w:rPr>
                <w:rFonts w:ascii="仿宋" w:hAnsi="仿宋" w:eastAsia="仿宋" w:cs="仿宋"/>
                <w:b w:val="0"/>
                <w:color w:val="auto"/>
                <w:sz w:val="24"/>
                <w:szCs w:val="24"/>
                <w:lang w:val="en-US"/>
              </w:rPr>
            </w:pPr>
            <w:r>
              <w:rPr>
                <w:rFonts w:hint="eastAsia" w:ascii="仿宋" w:hAnsi="仿宋" w:eastAsia="仿宋" w:cs="仿宋"/>
                <w:b w:val="0"/>
                <w:color w:val="auto"/>
                <w:sz w:val="24"/>
                <w:szCs w:val="24"/>
                <w:lang w:val="en-US"/>
              </w:rPr>
              <w:t>1</w:t>
            </w:r>
          </w:p>
        </w:tc>
        <w:tc>
          <w:tcPr>
            <w:tcW w:w="670" w:type="dxa"/>
            <w:vMerge w:val="restart"/>
            <w:vAlign w:val="center"/>
          </w:tcPr>
          <w:p>
            <w:pPr>
              <w:widowControl/>
              <w:snapToGrid/>
              <w:spacing w:line="240" w:lineRule="auto"/>
              <w:ind w:firstLine="0" w:firstLineChars="0"/>
              <w:jc w:val="left"/>
              <w:rPr>
                <w:rFonts w:ascii="仿宋" w:hAnsi="仿宋" w:eastAsia="仿宋" w:cs="仿宋"/>
                <w:b w:val="0"/>
                <w:color w:val="auto"/>
                <w:sz w:val="24"/>
                <w:szCs w:val="24"/>
                <w:lang w:val="en-US"/>
              </w:rPr>
            </w:pPr>
            <w:r>
              <w:rPr>
                <w:rFonts w:hint="eastAsia" w:ascii="仿宋" w:hAnsi="仿宋" w:eastAsia="仿宋" w:cs="仿宋"/>
                <w:b w:val="0"/>
                <w:color w:val="auto"/>
                <w:sz w:val="24"/>
                <w:szCs w:val="24"/>
                <w:lang w:val="en-US"/>
              </w:rPr>
              <w:t>服务管理</w:t>
            </w:r>
          </w:p>
        </w:tc>
        <w:tc>
          <w:tcPr>
            <w:tcW w:w="761" w:type="dxa"/>
            <w:vAlign w:val="center"/>
          </w:tcPr>
          <w:p>
            <w:pPr>
              <w:widowControl/>
              <w:snapToGrid/>
              <w:spacing w:line="240" w:lineRule="auto"/>
              <w:ind w:firstLine="0" w:firstLineChars="0"/>
              <w:jc w:val="left"/>
              <w:rPr>
                <w:rFonts w:ascii="仿宋" w:hAnsi="仿宋" w:eastAsia="仿宋" w:cs="仿宋"/>
                <w:b w:val="0"/>
                <w:color w:val="auto"/>
                <w:sz w:val="24"/>
                <w:szCs w:val="24"/>
                <w:lang w:val="en-US"/>
              </w:rPr>
            </w:pPr>
            <w:r>
              <w:rPr>
                <w:rFonts w:hint="eastAsia" w:ascii="仿宋" w:hAnsi="仿宋" w:eastAsia="仿宋" w:cs="仿宋"/>
                <w:b w:val="0"/>
                <w:color w:val="auto"/>
                <w:sz w:val="24"/>
                <w:szCs w:val="24"/>
                <w:lang w:val="en-US"/>
              </w:rPr>
              <w:t>政策咨询</w:t>
            </w:r>
          </w:p>
        </w:tc>
        <w:tc>
          <w:tcPr>
            <w:tcW w:w="3909" w:type="dxa"/>
            <w:vAlign w:val="center"/>
          </w:tcPr>
          <w:p>
            <w:pPr>
              <w:widowControl/>
              <w:snapToGrid/>
              <w:spacing w:line="240" w:lineRule="auto"/>
              <w:ind w:firstLine="0" w:firstLineChars="0"/>
              <w:jc w:val="left"/>
              <w:rPr>
                <w:rFonts w:ascii="仿宋" w:hAnsi="仿宋" w:eastAsia="仿宋" w:cs="仿宋"/>
                <w:b w:val="0"/>
                <w:color w:val="auto"/>
                <w:sz w:val="24"/>
                <w:szCs w:val="24"/>
                <w:lang w:val="en-US"/>
              </w:rPr>
            </w:pPr>
            <w:r>
              <w:rPr>
                <w:rFonts w:hint="eastAsia" w:ascii="仿宋" w:hAnsi="仿宋" w:eastAsia="仿宋" w:cs="仿宋"/>
                <w:b w:val="0"/>
                <w:color w:val="auto"/>
                <w:sz w:val="24"/>
                <w:szCs w:val="24"/>
                <w:lang w:val="en-US"/>
              </w:rPr>
              <w:t>接到使用单位劳动政策法规咨询需求时，没有在规定时间内提供必要的用工建议和指导或反馈政策错误的每次扣0.5分，扣完为止</w:t>
            </w:r>
          </w:p>
        </w:tc>
        <w:tc>
          <w:tcPr>
            <w:tcW w:w="1503" w:type="dxa"/>
            <w:vAlign w:val="center"/>
          </w:tcPr>
          <w:p>
            <w:pPr>
              <w:widowControl/>
              <w:snapToGrid/>
              <w:spacing w:line="240" w:lineRule="auto"/>
              <w:ind w:firstLine="0" w:firstLineChars="0"/>
              <w:jc w:val="left"/>
              <w:rPr>
                <w:rFonts w:ascii="仿宋" w:hAnsi="仿宋" w:eastAsia="仿宋" w:cs="仿宋"/>
                <w:b w:val="0"/>
                <w:color w:val="auto"/>
                <w:sz w:val="24"/>
                <w:szCs w:val="24"/>
                <w:lang w:val="en-US"/>
              </w:rPr>
            </w:pPr>
            <w:r>
              <w:rPr>
                <w:rFonts w:hint="eastAsia" w:ascii="仿宋" w:hAnsi="仿宋" w:eastAsia="仿宋" w:cs="仿宋"/>
                <w:b w:val="0"/>
                <w:color w:val="auto"/>
                <w:sz w:val="24"/>
                <w:szCs w:val="24"/>
                <w:lang w:val="en-US"/>
              </w:rPr>
              <w:t>2小时内提供电话咨询</w:t>
            </w:r>
          </w:p>
        </w:tc>
        <w:tc>
          <w:tcPr>
            <w:tcW w:w="458" w:type="dxa"/>
            <w:vAlign w:val="center"/>
          </w:tcPr>
          <w:p>
            <w:pPr>
              <w:widowControl/>
              <w:snapToGrid/>
              <w:spacing w:line="240" w:lineRule="auto"/>
              <w:ind w:firstLine="0" w:firstLineChars="0"/>
              <w:jc w:val="center"/>
              <w:rPr>
                <w:rFonts w:ascii="仿宋" w:hAnsi="仿宋" w:eastAsia="仿宋" w:cs="仿宋"/>
                <w:b w:val="0"/>
                <w:color w:val="auto"/>
                <w:sz w:val="24"/>
                <w:szCs w:val="24"/>
                <w:lang w:val="en-US"/>
              </w:rPr>
            </w:pPr>
            <w:r>
              <w:rPr>
                <w:rFonts w:hint="eastAsia" w:ascii="仿宋" w:hAnsi="仿宋" w:eastAsia="仿宋" w:cs="仿宋"/>
                <w:b w:val="0"/>
                <w:color w:val="auto"/>
                <w:sz w:val="24"/>
                <w:szCs w:val="24"/>
                <w:lang w:val="en-US"/>
              </w:rPr>
              <w:t>4</w:t>
            </w:r>
          </w:p>
        </w:tc>
        <w:tc>
          <w:tcPr>
            <w:tcW w:w="1670" w:type="dxa"/>
            <w:vAlign w:val="center"/>
          </w:tcPr>
          <w:p>
            <w:pPr>
              <w:widowControl/>
              <w:snapToGrid/>
              <w:spacing w:line="240" w:lineRule="auto"/>
              <w:ind w:firstLine="0" w:firstLineChars="0"/>
              <w:jc w:val="left"/>
              <w:rPr>
                <w:rFonts w:ascii="仿宋" w:hAnsi="仿宋" w:eastAsia="仿宋" w:cs="仿宋"/>
                <w:b w:val="0"/>
                <w:color w:val="auto"/>
                <w:sz w:val="24"/>
                <w:szCs w:val="24"/>
                <w:lang w:val="en-US"/>
              </w:rPr>
            </w:pPr>
            <w:r>
              <w:rPr>
                <w:rFonts w:hint="eastAsia" w:ascii="仿宋" w:hAnsi="仿宋" w:eastAsia="仿宋" w:cs="仿宋"/>
                <w:b w:val="0"/>
                <w:color w:val="auto"/>
                <w:sz w:val="24"/>
                <w:szCs w:val="24"/>
                <w:lang w:val="en-US"/>
              </w:rPr>
              <w:t>以回复时间为准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458" w:type="dxa"/>
            <w:vAlign w:val="center"/>
          </w:tcPr>
          <w:p>
            <w:pPr>
              <w:widowControl/>
              <w:snapToGrid/>
              <w:spacing w:line="240" w:lineRule="auto"/>
              <w:ind w:firstLine="0" w:firstLineChars="0"/>
              <w:jc w:val="left"/>
              <w:rPr>
                <w:rFonts w:ascii="仿宋" w:hAnsi="仿宋" w:eastAsia="仿宋" w:cs="仿宋"/>
                <w:b w:val="0"/>
                <w:color w:val="auto"/>
                <w:sz w:val="24"/>
                <w:szCs w:val="24"/>
                <w:lang w:val="en-US"/>
              </w:rPr>
            </w:pPr>
            <w:r>
              <w:rPr>
                <w:rFonts w:hint="eastAsia" w:ascii="仿宋" w:hAnsi="仿宋" w:eastAsia="仿宋" w:cs="仿宋"/>
                <w:b w:val="0"/>
                <w:color w:val="auto"/>
                <w:sz w:val="24"/>
                <w:szCs w:val="24"/>
                <w:lang w:val="en-US"/>
              </w:rPr>
              <w:t>2</w:t>
            </w:r>
          </w:p>
        </w:tc>
        <w:tc>
          <w:tcPr>
            <w:tcW w:w="670" w:type="dxa"/>
            <w:vMerge w:val="continue"/>
            <w:vAlign w:val="center"/>
          </w:tcPr>
          <w:p>
            <w:pPr>
              <w:widowControl/>
              <w:snapToGrid/>
              <w:spacing w:line="240" w:lineRule="auto"/>
              <w:ind w:firstLine="0" w:firstLineChars="0"/>
              <w:jc w:val="left"/>
              <w:rPr>
                <w:rFonts w:ascii="仿宋" w:hAnsi="仿宋" w:eastAsia="仿宋" w:cs="仿宋"/>
                <w:b w:val="0"/>
                <w:color w:val="auto"/>
                <w:sz w:val="24"/>
                <w:szCs w:val="24"/>
                <w:lang w:val="en-US"/>
              </w:rPr>
            </w:pPr>
          </w:p>
        </w:tc>
        <w:tc>
          <w:tcPr>
            <w:tcW w:w="761" w:type="dxa"/>
            <w:vAlign w:val="center"/>
          </w:tcPr>
          <w:p>
            <w:pPr>
              <w:widowControl/>
              <w:snapToGrid/>
              <w:spacing w:line="240" w:lineRule="auto"/>
              <w:ind w:firstLine="0" w:firstLineChars="0"/>
              <w:jc w:val="left"/>
              <w:rPr>
                <w:rFonts w:ascii="仿宋" w:hAnsi="仿宋" w:eastAsia="仿宋" w:cs="仿宋"/>
                <w:b w:val="0"/>
                <w:color w:val="auto"/>
                <w:sz w:val="24"/>
                <w:szCs w:val="24"/>
                <w:lang w:val="en-US"/>
              </w:rPr>
            </w:pPr>
            <w:r>
              <w:rPr>
                <w:rFonts w:hint="eastAsia" w:ascii="仿宋" w:hAnsi="仿宋" w:eastAsia="仿宋" w:cs="仿宋"/>
                <w:b w:val="0"/>
                <w:color w:val="auto"/>
                <w:sz w:val="24"/>
                <w:szCs w:val="24"/>
                <w:lang w:val="en-US"/>
              </w:rPr>
              <w:t>上门时效</w:t>
            </w:r>
          </w:p>
        </w:tc>
        <w:tc>
          <w:tcPr>
            <w:tcW w:w="3909" w:type="dxa"/>
            <w:vAlign w:val="center"/>
          </w:tcPr>
          <w:p>
            <w:pPr>
              <w:widowControl/>
              <w:snapToGrid/>
              <w:spacing w:line="240" w:lineRule="auto"/>
              <w:ind w:firstLine="0" w:firstLineChars="0"/>
              <w:jc w:val="left"/>
              <w:rPr>
                <w:rFonts w:ascii="仿宋" w:hAnsi="仿宋" w:eastAsia="仿宋" w:cs="仿宋"/>
                <w:b w:val="0"/>
                <w:color w:val="auto"/>
                <w:sz w:val="24"/>
                <w:szCs w:val="24"/>
                <w:lang w:val="en-US"/>
              </w:rPr>
            </w:pPr>
            <w:r>
              <w:rPr>
                <w:rFonts w:hint="eastAsia" w:ascii="仿宋" w:hAnsi="仿宋" w:eastAsia="仿宋" w:cs="仿宋"/>
                <w:b w:val="0"/>
                <w:color w:val="auto"/>
                <w:sz w:val="24"/>
                <w:szCs w:val="24"/>
                <w:lang w:val="en-US"/>
              </w:rPr>
              <w:t>有突发事情需要中标人到现场处理的，未在规定时间内派人现场处理的一次扣0.5分，扣完为止</w:t>
            </w:r>
          </w:p>
        </w:tc>
        <w:tc>
          <w:tcPr>
            <w:tcW w:w="1503" w:type="dxa"/>
            <w:vAlign w:val="center"/>
          </w:tcPr>
          <w:p>
            <w:pPr>
              <w:widowControl/>
              <w:snapToGrid/>
              <w:spacing w:line="240" w:lineRule="auto"/>
              <w:ind w:firstLine="0" w:firstLineChars="0"/>
              <w:jc w:val="left"/>
              <w:rPr>
                <w:rFonts w:ascii="仿宋" w:hAnsi="仿宋" w:eastAsia="仿宋" w:cs="仿宋"/>
                <w:b w:val="0"/>
                <w:color w:val="auto"/>
                <w:sz w:val="24"/>
                <w:szCs w:val="24"/>
                <w:lang w:val="en-US"/>
              </w:rPr>
            </w:pPr>
            <w:r>
              <w:rPr>
                <w:rFonts w:hint="eastAsia" w:ascii="仿宋" w:hAnsi="仿宋" w:eastAsia="仿宋" w:cs="仿宋"/>
                <w:b w:val="0"/>
                <w:color w:val="auto"/>
                <w:sz w:val="24"/>
                <w:szCs w:val="24"/>
                <w:lang w:val="en-US"/>
              </w:rPr>
              <w:t>市内1小时</w:t>
            </w:r>
          </w:p>
        </w:tc>
        <w:tc>
          <w:tcPr>
            <w:tcW w:w="458" w:type="dxa"/>
            <w:vAlign w:val="center"/>
          </w:tcPr>
          <w:p>
            <w:pPr>
              <w:widowControl/>
              <w:snapToGrid/>
              <w:spacing w:line="240" w:lineRule="auto"/>
              <w:ind w:firstLine="0" w:firstLineChars="0"/>
              <w:jc w:val="center"/>
              <w:rPr>
                <w:rFonts w:ascii="仿宋" w:hAnsi="仿宋" w:eastAsia="仿宋" w:cs="仿宋"/>
                <w:b w:val="0"/>
                <w:color w:val="auto"/>
                <w:sz w:val="24"/>
                <w:szCs w:val="24"/>
                <w:lang w:val="en-US"/>
              </w:rPr>
            </w:pPr>
            <w:r>
              <w:rPr>
                <w:rFonts w:hint="eastAsia" w:ascii="仿宋" w:hAnsi="仿宋" w:eastAsia="仿宋" w:cs="仿宋"/>
                <w:b w:val="0"/>
                <w:color w:val="auto"/>
                <w:sz w:val="24"/>
                <w:szCs w:val="24"/>
                <w:lang w:val="en-US"/>
              </w:rPr>
              <w:t>5</w:t>
            </w:r>
          </w:p>
        </w:tc>
        <w:tc>
          <w:tcPr>
            <w:tcW w:w="1670" w:type="dxa"/>
            <w:vAlign w:val="center"/>
          </w:tcPr>
          <w:p>
            <w:pPr>
              <w:widowControl/>
              <w:snapToGrid/>
              <w:spacing w:line="240" w:lineRule="auto"/>
              <w:ind w:firstLine="0" w:firstLineChars="0"/>
              <w:jc w:val="left"/>
              <w:rPr>
                <w:rFonts w:ascii="仿宋" w:hAnsi="仿宋" w:eastAsia="仿宋" w:cs="仿宋"/>
                <w:b w:val="0"/>
                <w:color w:val="auto"/>
                <w:sz w:val="24"/>
                <w:szCs w:val="24"/>
                <w:lang w:val="en-US"/>
              </w:rPr>
            </w:pPr>
            <w:r>
              <w:rPr>
                <w:rFonts w:hint="eastAsia" w:ascii="仿宋" w:hAnsi="仿宋" w:eastAsia="仿宋" w:cs="仿宋"/>
                <w:b w:val="0"/>
                <w:color w:val="auto"/>
                <w:sz w:val="24"/>
                <w:szCs w:val="24"/>
                <w:lang w:val="en-US"/>
              </w:rPr>
              <w:t>采购人通知时间及中标人到场时间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458" w:type="dxa"/>
            <w:vAlign w:val="center"/>
          </w:tcPr>
          <w:p>
            <w:pPr>
              <w:widowControl/>
              <w:snapToGrid/>
              <w:spacing w:line="240" w:lineRule="auto"/>
              <w:ind w:firstLine="0" w:firstLineChars="0"/>
              <w:jc w:val="left"/>
              <w:rPr>
                <w:rFonts w:ascii="仿宋" w:hAnsi="仿宋" w:eastAsia="仿宋" w:cs="仿宋"/>
                <w:b w:val="0"/>
                <w:color w:val="auto"/>
                <w:sz w:val="24"/>
                <w:szCs w:val="24"/>
                <w:lang w:val="en-US"/>
              </w:rPr>
            </w:pPr>
            <w:r>
              <w:rPr>
                <w:rFonts w:hint="eastAsia" w:ascii="仿宋" w:hAnsi="仿宋" w:eastAsia="仿宋" w:cs="仿宋"/>
                <w:b w:val="0"/>
                <w:color w:val="auto"/>
                <w:sz w:val="24"/>
                <w:szCs w:val="24"/>
                <w:lang w:val="en-US"/>
              </w:rPr>
              <w:t>3</w:t>
            </w:r>
          </w:p>
        </w:tc>
        <w:tc>
          <w:tcPr>
            <w:tcW w:w="670" w:type="dxa"/>
            <w:vMerge w:val="continue"/>
            <w:vAlign w:val="center"/>
          </w:tcPr>
          <w:p>
            <w:pPr>
              <w:widowControl/>
              <w:snapToGrid/>
              <w:spacing w:line="240" w:lineRule="auto"/>
              <w:ind w:firstLine="0" w:firstLineChars="0"/>
              <w:jc w:val="left"/>
              <w:rPr>
                <w:rFonts w:ascii="仿宋" w:hAnsi="仿宋" w:eastAsia="仿宋" w:cs="仿宋"/>
                <w:b w:val="0"/>
                <w:color w:val="auto"/>
                <w:sz w:val="24"/>
                <w:szCs w:val="24"/>
                <w:lang w:val="en-US"/>
              </w:rPr>
            </w:pPr>
          </w:p>
        </w:tc>
        <w:tc>
          <w:tcPr>
            <w:tcW w:w="761" w:type="dxa"/>
            <w:vAlign w:val="center"/>
          </w:tcPr>
          <w:p>
            <w:pPr>
              <w:widowControl/>
              <w:snapToGrid/>
              <w:spacing w:line="240" w:lineRule="auto"/>
              <w:ind w:firstLine="0" w:firstLineChars="0"/>
              <w:jc w:val="left"/>
              <w:rPr>
                <w:rFonts w:ascii="仿宋" w:hAnsi="仿宋" w:eastAsia="仿宋" w:cs="仿宋"/>
                <w:b w:val="0"/>
                <w:color w:val="auto"/>
                <w:sz w:val="24"/>
                <w:szCs w:val="24"/>
                <w:lang w:val="en-US"/>
              </w:rPr>
            </w:pPr>
            <w:r>
              <w:rPr>
                <w:rFonts w:hint="eastAsia" w:ascii="仿宋" w:hAnsi="仿宋" w:eastAsia="仿宋" w:cs="仿宋"/>
                <w:b w:val="0"/>
                <w:color w:val="auto"/>
                <w:sz w:val="24"/>
                <w:szCs w:val="24"/>
                <w:lang w:val="en-US"/>
              </w:rPr>
              <w:t>后勤管理</w:t>
            </w:r>
          </w:p>
        </w:tc>
        <w:tc>
          <w:tcPr>
            <w:tcW w:w="3909" w:type="dxa"/>
            <w:vAlign w:val="center"/>
          </w:tcPr>
          <w:p>
            <w:pPr>
              <w:widowControl/>
              <w:snapToGrid/>
              <w:spacing w:line="240" w:lineRule="auto"/>
              <w:ind w:firstLine="0" w:firstLineChars="0"/>
              <w:jc w:val="left"/>
              <w:rPr>
                <w:rFonts w:ascii="仿宋" w:hAnsi="仿宋" w:eastAsia="仿宋" w:cs="仿宋"/>
                <w:b w:val="0"/>
                <w:color w:val="auto"/>
                <w:sz w:val="24"/>
                <w:szCs w:val="24"/>
                <w:lang w:val="en-US"/>
              </w:rPr>
            </w:pPr>
            <w:r>
              <w:rPr>
                <w:rFonts w:hint="eastAsia" w:ascii="仿宋" w:hAnsi="仿宋" w:eastAsia="仿宋" w:cs="仿宋"/>
                <w:b w:val="0"/>
                <w:color w:val="auto"/>
                <w:sz w:val="24"/>
                <w:szCs w:val="24"/>
                <w:lang w:val="en-US"/>
              </w:rPr>
              <w:t>每出现一次对账单、工资表制作错误的扣0.5分，扣完为止</w:t>
            </w:r>
          </w:p>
        </w:tc>
        <w:tc>
          <w:tcPr>
            <w:tcW w:w="1503" w:type="dxa"/>
            <w:vAlign w:val="center"/>
          </w:tcPr>
          <w:p>
            <w:pPr>
              <w:widowControl/>
              <w:snapToGrid/>
              <w:spacing w:line="240" w:lineRule="auto"/>
              <w:ind w:firstLine="0" w:firstLineChars="0"/>
              <w:jc w:val="center"/>
              <w:rPr>
                <w:rFonts w:ascii="仿宋" w:hAnsi="仿宋" w:eastAsia="仿宋" w:cs="仿宋"/>
                <w:b w:val="0"/>
                <w:color w:val="auto"/>
                <w:sz w:val="24"/>
                <w:szCs w:val="24"/>
                <w:lang w:val="en-US"/>
              </w:rPr>
            </w:pPr>
            <w:r>
              <w:rPr>
                <w:rFonts w:hint="eastAsia" w:ascii="仿宋" w:hAnsi="仿宋" w:eastAsia="仿宋" w:cs="仿宋"/>
                <w:b w:val="0"/>
                <w:color w:val="auto"/>
                <w:sz w:val="24"/>
                <w:szCs w:val="24"/>
                <w:lang w:val="en-US"/>
              </w:rPr>
              <w:t>属于中标人原因造成的情况</w:t>
            </w:r>
          </w:p>
        </w:tc>
        <w:tc>
          <w:tcPr>
            <w:tcW w:w="458" w:type="dxa"/>
            <w:vAlign w:val="center"/>
          </w:tcPr>
          <w:p>
            <w:pPr>
              <w:widowControl/>
              <w:snapToGrid/>
              <w:spacing w:line="240" w:lineRule="auto"/>
              <w:ind w:firstLine="0" w:firstLineChars="0"/>
              <w:jc w:val="center"/>
              <w:rPr>
                <w:rFonts w:ascii="仿宋" w:hAnsi="仿宋" w:eastAsia="仿宋" w:cs="仿宋"/>
                <w:b w:val="0"/>
                <w:color w:val="auto"/>
                <w:sz w:val="24"/>
                <w:szCs w:val="24"/>
                <w:lang w:val="en-US"/>
              </w:rPr>
            </w:pPr>
            <w:r>
              <w:rPr>
                <w:rFonts w:hint="eastAsia" w:ascii="仿宋" w:hAnsi="仿宋" w:eastAsia="仿宋" w:cs="仿宋"/>
                <w:b w:val="0"/>
                <w:color w:val="auto"/>
                <w:sz w:val="24"/>
                <w:szCs w:val="24"/>
                <w:lang w:val="en-US"/>
              </w:rPr>
              <w:t>3</w:t>
            </w:r>
          </w:p>
        </w:tc>
        <w:tc>
          <w:tcPr>
            <w:tcW w:w="1670" w:type="dxa"/>
            <w:vAlign w:val="center"/>
          </w:tcPr>
          <w:p>
            <w:pPr>
              <w:widowControl/>
              <w:snapToGrid/>
              <w:spacing w:line="240" w:lineRule="auto"/>
              <w:ind w:firstLine="0" w:firstLineChars="0"/>
              <w:jc w:val="left"/>
              <w:rPr>
                <w:rFonts w:ascii="仿宋" w:hAnsi="仿宋" w:eastAsia="仿宋" w:cs="仿宋"/>
                <w:b w:val="0"/>
                <w:color w:val="auto"/>
                <w:sz w:val="24"/>
                <w:szCs w:val="24"/>
                <w:lang w:val="en-US"/>
              </w:rPr>
            </w:pPr>
            <w:r>
              <w:rPr>
                <w:rFonts w:hint="eastAsia" w:ascii="仿宋" w:hAnsi="仿宋" w:eastAsia="仿宋" w:cs="仿宋"/>
                <w:b w:val="0"/>
                <w:color w:val="auto"/>
                <w:sz w:val="24"/>
                <w:szCs w:val="24"/>
                <w:lang w:val="en-US"/>
              </w:rPr>
              <w:t>核查每月数据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trPr>
        <w:tc>
          <w:tcPr>
            <w:tcW w:w="458" w:type="dxa"/>
            <w:vAlign w:val="center"/>
          </w:tcPr>
          <w:p>
            <w:pPr>
              <w:widowControl/>
              <w:snapToGrid/>
              <w:spacing w:line="240" w:lineRule="auto"/>
              <w:ind w:firstLine="0" w:firstLineChars="0"/>
              <w:jc w:val="left"/>
              <w:rPr>
                <w:rFonts w:ascii="仿宋" w:hAnsi="仿宋" w:eastAsia="仿宋" w:cs="仿宋"/>
                <w:b w:val="0"/>
                <w:color w:val="auto"/>
                <w:sz w:val="24"/>
                <w:szCs w:val="24"/>
                <w:lang w:val="en-US"/>
              </w:rPr>
            </w:pPr>
            <w:r>
              <w:rPr>
                <w:rFonts w:hint="eastAsia" w:ascii="仿宋" w:hAnsi="仿宋" w:eastAsia="仿宋" w:cs="仿宋"/>
                <w:b w:val="0"/>
                <w:color w:val="auto"/>
                <w:sz w:val="24"/>
                <w:szCs w:val="24"/>
                <w:lang w:val="en-US"/>
              </w:rPr>
              <w:t>4</w:t>
            </w:r>
          </w:p>
        </w:tc>
        <w:tc>
          <w:tcPr>
            <w:tcW w:w="670" w:type="dxa"/>
            <w:vMerge w:val="restart"/>
            <w:vAlign w:val="center"/>
          </w:tcPr>
          <w:p>
            <w:pPr>
              <w:widowControl/>
              <w:snapToGrid/>
              <w:spacing w:line="240" w:lineRule="auto"/>
              <w:ind w:firstLine="0" w:firstLineChars="0"/>
              <w:jc w:val="left"/>
              <w:rPr>
                <w:rFonts w:ascii="仿宋" w:hAnsi="仿宋" w:eastAsia="仿宋" w:cs="仿宋"/>
                <w:b w:val="0"/>
                <w:color w:val="auto"/>
                <w:sz w:val="24"/>
                <w:szCs w:val="24"/>
                <w:lang w:val="en-US"/>
              </w:rPr>
            </w:pPr>
            <w:r>
              <w:rPr>
                <w:rFonts w:hint="eastAsia" w:ascii="仿宋" w:hAnsi="仿宋" w:eastAsia="仿宋" w:cs="仿宋"/>
                <w:b w:val="0"/>
                <w:color w:val="auto"/>
                <w:sz w:val="24"/>
                <w:szCs w:val="24"/>
                <w:lang w:val="en-US"/>
              </w:rPr>
              <w:t>招聘</w:t>
            </w:r>
          </w:p>
          <w:p>
            <w:pPr>
              <w:widowControl/>
              <w:snapToGrid/>
              <w:spacing w:line="240" w:lineRule="auto"/>
              <w:ind w:firstLine="0" w:firstLineChars="0"/>
              <w:jc w:val="left"/>
              <w:rPr>
                <w:rFonts w:ascii="仿宋" w:hAnsi="仿宋" w:eastAsia="仿宋" w:cs="仿宋"/>
                <w:b w:val="0"/>
                <w:color w:val="auto"/>
                <w:sz w:val="24"/>
                <w:szCs w:val="24"/>
                <w:lang w:val="en-US"/>
              </w:rPr>
            </w:pPr>
            <w:r>
              <w:rPr>
                <w:rFonts w:hint="eastAsia" w:ascii="仿宋" w:hAnsi="仿宋" w:eastAsia="仿宋" w:cs="仿宋"/>
                <w:b w:val="0"/>
                <w:color w:val="auto"/>
                <w:sz w:val="24"/>
                <w:szCs w:val="24"/>
                <w:lang w:val="en-US"/>
              </w:rPr>
              <w:t>培训</w:t>
            </w:r>
          </w:p>
        </w:tc>
        <w:tc>
          <w:tcPr>
            <w:tcW w:w="761" w:type="dxa"/>
            <w:vAlign w:val="center"/>
          </w:tcPr>
          <w:p>
            <w:pPr>
              <w:widowControl/>
              <w:snapToGrid/>
              <w:spacing w:line="240" w:lineRule="auto"/>
              <w:ind w:firstLine="0" w:firstLineChars="0"/>
              <w:jc w:val="left"/>
              <w:rPr>
                <w:rFonts w:ascii="仿宋" w:hAnsi="仿宋" w:eastAsia="仿宋" w:cs="仿宋"/>
                <w:b w:val="0"/>
                <w:color w:val="auto"/>
                <w:sz w:val="24"/>
                <w:szCs w:val="24"/>
                <w:lang w:val="en-US"/>
              </w:rPr>
            </w:pPr>
            <w:r>
              <w:rPr>
                <w:rFonts w:hint="eastAsia" w:ascii="仿宋" w:hAnsi="仿宋" w:eastAsia="仿宋" w:cs="仿宋"/>
                <w:b w:val="0"/>
                <w:color w:val="auto"/>
                <w:sz w:val="24"/>
                <w:szCs w:val="24"/>
                <w:lang w:val="en-US"/>
              </w:rPr>
              <w:t>招聘    到位率</w:t>
            </w:r>
          </w:p>
        </w:tc>
        <w:tc>
          <w:tcPr>
            <w:tcW w:w="3909" w:type="dxa"/>
            <w:vAlign w:val="center"/>
          </w:tcPr>
          <w:p>
            <w:pPr>
              <w:widowControl/>
              <w:snapToGrid/>
              <w:spacing w:line="240" w:lineRule="auto"/>
              <w:ind w:firstLine="0" w:firstLineChars="0"/>
              <w:jc w:val="left"/>
              <w:rPr>
                <w:rFonts w:ascii="仿宋" w:hAnsi="仿宋" w:eastAsia="仿宋" w:cs="仿宋"/>
                <w:b w:val="0"/>
                <w:color w:val="auto"/>
                <w:sz w:val="24"/>
                <w:szCs w:val="24"/>
                <w:lang w:val="en-US"/>
              </w:rPr>
            </w:pPr>
            <w:r>
              <w:rPr>
                <w:rFonts w:hint="eastAsia" w:ascii="仿宋" w:hAnsi="仿宋" w:eastAsia="仿宋" w:cs="仿宋"/>
                <w:b w:val="0"/>
                <w:color w:val="auto"/>
                <w:sz w:val="24"/>
                <w:szCs w:val="24"/>
                <w:lang w:val="en-US"/>
              </w:rPr>
              <w:t>在规定的时间内及时调整到位得4分，拖延5天以内调整到位的每次扣0.5分，扣完为止；拖延5天以上调整到位的每次扣1分，扣完为止；超过15天调整到位的得0分。</w:t>
            </w:r>
          </w:p>
        </w:tc>
        <w:tc>
          <w:tcPr>
            <w:tcW w:w="1503" w:type="dxa"/>
            <w:vAlign w:val="center"/>
          </w:tcPr>
          <w:p>
            <w:pPr>
              <w:widowControl/>
              <w:snapToGrid/>
              <w:spacing w:line="240" w:lineRule="auto"/>
              <w:ind w:firstLine="0" w:firstLineChars="0"/>
              <w:jc w:val="left"/>
              <w:rPr>
                <w:rFonts w:ascii="仿宋" w:hAnsi="仿宋" w:eastAsia="仿宋" w:cs="仿宋"/>
                <w:b w:val="0"/>
                <w:color w:val="auto"/>
                <w:sz w:val="24"/>
                <w:szCs w:val="24"/>
                <w:lang w:val="en-US"/>
              </w:rPr>
            </w:pPr>
            <w:r>
              <w:rPr>
                <w:rFonts w:hint="eastAsia" w:ascii="仿宋" w:hAnsi="仿宋" w:eastAsia="仿宋" w:cs="仿宋"/>
                <w:b w:val="0"/>
                <w:color w:val="auto"/>
                <w:sz w:val="24"/>
                <w:szCs w:val="24"/>
                <w:lang w:val="en-US"/>
              </w:rPr>
              <w:t>到位：以采购人认可的报到手续为准；</w:t>
            </w:r>
          </w:p>
        </w:tc>
        <w:tc>
          <w:tcPr>
            <w:tcW w:w="458" w:type="dxa"/>
            <w:vAlign w:val="center"/>
          </w:tcPr>
          <w:p>
            <w:pPr>
              <w:widowControl/>
              <w:snapToGrid/>
              <w:spacing w:line="240" w:lineRule="auto"/>
              <w:ind w:firstLine="0" w:firstLineChars="0"/>
              <w:jc w:val="center"/>
              <w:rPr>
                <w:rFonts w:ascii="仿宋" w:hAnsi="仿宋" w:eastAsia="仿宋" w:cs="仿宋"/>
                <w:b w:val="0"/>
                <w:color w:val="auto"/>
                <w:sz w:val="24"/>
                <w:szCs w:val="24"/>
                <w:lang w:val="en-US"/>
              </w:rPr>
            </w:pPr>
            <w:r>
              <w:rPr>
                <w:rFonts w:hint="eastAsia" w:ascii="仿宋" w:hAnsi="仿宋" w:eastAsia="仿宋" w:cs="仿宋"/>
                <w:b w:val="0"/>
                <w:color w:val="auto"/>
                <w:sz w:val="24"/>
                <w:szCs w:val="24"/>
                <w:lang w:val="en-US"/>
              </w:rPr>
              <w:t>4</w:t>
            </w:r>
          </w:p>
        </w:tc>
        <w:tc>
          <w:tcPr>
            <w:tcW w:w="1670" w:type="dxa"/>
            <w:vAlign w:val="center"/>
          </w:tcPr>
          <w:p>
            <w:pPr>
              <w:widowControl/>
              <w:snapToGrid/>
              <w:spacing w:line="240" w:lineRule="auto"/>
              <w:ind w:firstLine="0" w:firstLineChars="0"/>
              <w:jc w:val="left"/>
              <w:rPr>
                <w:rFonts w:ascii="仿宋" w:hAnsi="仿宋" w:eastAsia="仿宋" w:cs="仿宋"/>
                <w:b w:val="0"/>
                <w:color w:val="auto"/>
                <w:sz w:val="24"/>
                <w:szCs w:val="24"/>
                <w:lang w:val="en-US"/>
              </w:rPr>
            </w:pPr>
            <w:r>
              <w:rPr>
                <w:rFonts w:hint="eastAsia" w:ascii="仿宋" w:hAnsi="仿宋" w:eastAsia="仿宋" w:cs="仿宋"/>
                <w:b w:val="0"/>
                <w:color w:val="auto"/>
                <w:sz w:val="24"/>
                <w:szCs w:val="24"/>
                <w:lang w:val="en-US"/>
              </w:rPr>
              <w:t>采购人发出需求时间与到位时间一致性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458" w:type="dxa"/>
            <w:vAlign w:val="center"/>
          </w:tcPr>
          <w:p>
            <w:pPr>
              <w:widowControl/>
              <w:snapToGrid/>
              <w:spacing w:line="240" w:lineRule="auto"/>
              <w:ind w:firstLine="0" w:firstLineChars="0"/>
              <w:jc w:val="left"/>
              <w:rPr>
                <w:rFonts w:ascii="仿宋" w:hAnsi="仿宋" w:eastAsia="仿宋" w:cs="仿宋"/>
                <w:b w:val="0"/>
                <w:color w:val="auto"/>
                <w:sz w:val="24"/>
                <w:szCs w:val="24"/>
                <w:lang w:val="en-US"/>
              </w:rPr>
            </w:pPr>
            <w:r>
              <w:rPr>
                <w:rFonts w:hint="eastAsia" w:ascii="仿宋" w:hAnsi="仿宋" w:eastAsia="仿宋" w:cs="仿宋"/>
                <w:b w:val="0"/>
                <w:color w:val="auto"/>
                <w:sz w:val="24"/>
                <w:szCs w:val="24"/>
                <w:lang w:val="en-US"/>
              </w:rPr>
              <w:t>5</w:t>
            </w:r>
          </w:p>
        </w:tc>
        <w:tc>
          <w:tcPr>
            <w:tcW w:w="670" w:type="dxa"/>
            <w:vMerge w:val="continue"/>
            <w:vAlign w:val="center"/>
          </w:tcPr>
          <w:p>
            <w:pPr>
              <w:widowControl/>
              <w:snapToGrid/>
              <w:spacing w:line="240" w:lineRule="auto"/>
              <w:ind w:firstLine="0" w:firstLineChars="0"/>
              <w:jc w:val="left"/>
              <w:rPr>
                <w:rFonts w:ascii="仿宋" w:hAnsi="仿宋" w:eastAsia="仿宋" w:cs="仿宋"/>
                <w:b w:val="0"/>
                <w:color w:val="auto"/>
                <w:sz w:val="24"/>
                <w:szCs w:val="24"/>
                <w:lang w:val="en-US"/>
              </w:rPr>
            </w:pPr>
          </w:p>
        </w:tc>
        <w:tc>
          <w:tcPr>
            <w:tcW w:w="761" w:type="dxa"/>
            <w:vAlign w:val="center"/>
          </w:tcPr>
          <w:p>
            <w:pPr>
              <w:widowControl/>
              <w:snapToGrid/>
              <w:spacing w:line="240" w:lineRule="auto"/>
              <w:ind w:firstLine="0" w:firstLineChars="0"/>
              <w:jc w:val="left"/>
              <w:rPr>
                <w:rFonts w:ascii="仿宋" w:hAnsi="仿宋" w:eastAsia="仿宋" w:cs="仿宋"/>
                <w:b w:val="0"/>
                <w:color w:val="auto"/>
                <w:sz w:val="24"/>
                <w:szCs w:val="24"/>
                <w:lang w:val="en-US"/>
              </w:rPr>
            </w:pPr>
            <w:r>
              <w:rPr>
                <w:rFonts w:hint="eastAsia" w:ascii="仿宋" w:hAnsi="仿宋" w:eastAsia="仿宋" w:cs="仿宋"/>
                <w:b w:val="0"/>
                <w:color w:val="auto"/>
                <w:sz w:val="24"/>
                <w:szCs w:val="24"/>
                <w:lang w:val="en-US"/>
              </w:rPr>
              <w:t>招聘   质量</w:t>
            </w:r>
          </w:p>
        </w:tc>
        <w:tc>
          <w:tcPr>
            <w:tcW w:w="3909" w:type="dxa"/>
            <w:vAlign w:val="center"/>
          </w:tcPr>
          <w:p>
            <w:pPr>
              <w:widowControl/>
              <w:snapToGrid/>
              <w:spacing w:line="240" w:lineRule="auto"/>
              <w:ind w:firstLine="0" w:firstLineChars="0"/>
              <w:jc w:val="left"/>
              <w:rPr>
                <w:rFonts w:ascii="仿宋" w:hAnsi="仿宋" w:eastAsia="仿宋" w:cs="仿宋"/>
                <w:b w:val="0"/>
                <w:color w:val="auto"/>
                <w:sz w:val="24"/>
                <w:szCs w:val="24"/>
                <w:lang w:val="en-US"/>
              </w:rPr>
            </w:pPr>
            <w:r>
              <w:rPr>
                <w:rFonts w:hint="eastAsia" w:ascii="仿宋" w:hAnsi="仿宋" w:eastAsia="仿宋" w:cs="仿宋"/>
                <w:b w:val="0"/>
                <w:color w:val="auto"/>
                <w:sz w:val="24"/>
                <w:szCs w:val="24"/>
                <w:lang w:val="en-US"/>
              </w:rPr>
              <w:t>全年无退回人员得5分，退回人员达到1-5人得3分，达到6-10人得2分，达到11人及以上得0分。</w:t>
            </w:r>
          </w:p>
        </w:tc>
        <w:tc>
          <w:tcPr>
            <w:tcW w:w="1503" w:type="dxa"/>
            <w:vAlign w:val="center"/>
          </w:tcPr>
          <w:p>
            <w:pPr>
              <w:widowControl/>
              <w:snapToGrid/>
              <w:spacing w:line="240" w:lineRule="auto"/>
              <w:ind w:firstLine="0" w:firstLineChars="0"/>
              <w:jc w:val="left"/>
              <w:rPr>
                <w:rFonts w:ascii="仿宋" w:hAnsi="仿宋" w:eastAsia="仿宋" w:cs="仿宋"/>
                <w:b w:val="0"/>
                <w:color w:val="auto"/>
                <w:sz w:val="24"/>
                <w:szCs w:val="24"/>
                <w:lang w:val="en-US"/>
              </w:rPr>
            </w:pPr>
            <w:r>
              <w:rPr>
                <w:rFonts w:hint="eastAsia" w:ascii="仿宋" w:hAnsi="仿宋" w:eastAsia="仿宋" w:cs="仿宋"/>
                <w:b w:val="0"/>
                <w:color w:val="auto"/>
                <w:sz w:val="24"/>
                <w:szCs w:val="24"/>
                <w:lang w:val="en-US"/>
              </w:rPr>
              <w:t>指被采购人要求退回的人员的数量</w:t>
            </w:r>
          </w:p>
        </w:tc>
        <w:tc>
          <w:tcPr>
            <w:tcW w:w="458" w:type="dxa"/>
            <w:vAlign w:val="center"/>
          </w:tcPr>
          <w:p>
            <w:pPr>
              <w:widowControl/>
              <w:snapToGrid/>
              <w:spacing w:line="240" w:lineRule="auto"/>
              <w:ind w:firstLine="0" w:firstLineChars="0"/>
              <w:jc w:val="center"/>
              <w:rPr>
                <w:rFonts w:ascii="仿宋" w:hAnsi="仿宋" w:eastAsia="仿宋" w:cs="仿宋"/>
                <w:b w:val="0"/>
                <w:color w:val="auto"/>
                <w:sz w:val="24"/>
                <w:szCs w:val="24"/>
                <w:lang w:val="en-US"/>
              </w:rPr>
            </w:pPr>
            <w:r>
              <w:rPr>
                <w:rFonts w:hint="eastAsia" w:ascii="仿宋" w:hAnsi="仿宋" w:eastAsia="仿宋" w:cs="仿宋"/>
                <w:b w:val="0"/>
                <w:color w:val="auto"/>
                <w:sz w:val="24"/>
                <w:szCs w:val="24"/>
                <w:lang w:val="en-US"/>
              </w:rPr>
              <w:t>5</w:t>
            </w:r>
          </w:p>
        </w:tc>
        <w:tc>
          <w:tcPr>
            <w:tcW w:w="1670" w:type="dxa"/>
            <w:vAlign w:val="center"/>
          </w:tcPr>
          <w:p>
            <w:pPr>
              <w:widowControl/>
              <w:snapToGrid/>
              <w:spacing w:line="240" w:lineRule="auto"/>
              <w:ind w:firstLine="0" w:firstLineChars="0"/>
              <w:jc w:val="left"/>
              <w:rPr>
                <w:rFonts w:ascii="仿宋" w:hAnsi="仿宋" w:eastAsia="仿宋" w:cs="仿宋"/>
                <w:b w:val="0"/>
                <w:color w:val="auto"/>
                <w:sz w:val="24"/>
                <w:szCs w:val="24"/>
                <w:lang w:val="en-US"/>
              </w:rPr>
            </w:pPr>
            <w:r>
              <w:rPr>
                <w:rFonts w:hint="eastAsia" w:ascii="仿宋" w:hAnsi="仿宋" w:eastAsia="仿宋" w:cs="仿宋"/>
                <w:b w:val="0"/>
                <w:color w:val="auto"/>
                <w:sz w:val="24"/>
                <w:szCs w:val="24"/>
                <w:lang w:val="en-US"/>
              </w:rPr>
              <w:t>检查统计退回人数。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458" w:type="dxa"/>
            <w:vAlign w:val="center"/>
          </w:tcPr>
          <w:p>
            <w:pPr>
              <w:widowControl/>
              <w:snapToGrid/>
              <w:spacing w:line="240" w:lineRule="auto"/>
              <w:ind w:firstLine="0" w:firstLineChars="0"/>
              <w:jc w:val="left"/>
              <w:rPr>
                <w:rFonts w:ascii="仿宋" w:hAnsi="仿宋" w:eastAsia="仿宋" w:cs="仿宋"/>
                <w:b w:val="0"/>
                <w:color w:val="auto"/>
                <w:sz w:val="24"/>
                <w:szCs w:val="24"/>
                <w:lang w:val="en-US"/>
              </w:rPr>
            </w:pPr>
            <w:r>
              <w:rPr>
                <w:rFonts w:hint="eastAsia" w:ascii="仿宋" w:hAnsi="仿宋" w:eastAsia="仿宋" w:cs="仿宋"/>
                <w:b w:val="0"/>
                <w:color w:val="auto"/>
                <w:sz w:val="24"/>
                <w:szCs w:val="24"/>
                <w:lang w:val="en-US"/>
              </w:rPr>
              <w:t>6</w:t>
            </w:r>
          </w:p>
        </w:tc>
        <w:tc>
          <w:tcPr>
            <w:tcW w:w="670" w:type="dxa"/>
            <w:vMerge w:val="continue"/>
            <w:vAlign w:val="center"/>
          </w:tcPr>
          <w:p>
            <w:pPr>
              <w:widowControl/>
              <w:snapToGrid/>
              <w:spacing w:line="240" w:lineRule="auto"/>
              <w:ind w:firstLine="0" w:firstLineChars="0"/>
              <w:jc w:val="left"/>
              <w:rPr>
                <w:rFonts w:ascii="仿宋" w:hAnsi="仿宋" w:eastAsia="仿宋" w:cs="仿宋"/>
                <w:b w:val="0"/>
                <w:color w:val="auto"/>
                <w:sz w:val="24"/>
                <w:szCs w:val="24"/>
                <w:lang w:val="en-US"/>
              </w:rPr>
            </w:pPr>
          </w:p>
        </w:tc>
        <w:tc>
          <w:tcPr>
            <w:tcW w:w="761" w:type="dxa"/>
            <w:vAlign w:val="center"/>
          </w:tcPr>
          <w:p>
            <w:pPr>
              <w:widowControl/>
              <w:snapToGrid/>
              <w:spacing w:line="240" w:lineRule="auto"/>
              <w:ind w:firstLine="0" w:firstLineChars="0"/>
              <w:jc w:val="left"/>
              <w:rPr>
                <w:rFonts w:ascii="仿宋" w:hAnsi="仿宋" w:eastAsia="仿宋" w:cs="仿宋"/>
                <w:b w:val="0"/>
                <w:color w:val="auto"/>
                <w:sz w:val="24"/>
                <w:szCs w:val="24"/>
                <w:lang w:val="en-US"/>
              </w:rPr>
            </w:pPr>
            <w:r>
              <w:rPr>
                <w:rFonts w:hint="eastAsia" w:ascii="仿宋" w:hAnsi="仿宋" w:eastAsia="仿宋" w:cs="仿宋"/>
                <w:b w:val="0"/>
                <w:color w:val="auto"/>
                <w:sz w:val="24"/>
                <w:szCs w:val="24"/>
                <w:lang w:val="en-US"/>
              </w:rPr>
              <w:t>培训管理</w:t>
            </w:r>
          </w:p>
        </w:tc>
        <w:tc>
          <w:tcPr>
            <w:tcW w:w="3909" w:type="dxa"/>
            <w:vAlign w:val="center"/>
          </w:tcPr>
          <w:p>
            <w:pPr>
              <w:widowControl/>
              <w:snapToGrid/>
              <w:spacing w:line="240" w:lineRule="auto"/>
              <w:ind w:firstLine="0" w:firstLineChars="0"/>
              <w:jc w:val="left"/>
              <w:rPr>
                <w:rFonts w:ascii="仿宋" w:hAnsi="仿宋" w:eastAsia="仿宋" w:cs="仿宋"/>
                <w:b w:val="0"/>
                <w:color w:val="auto"/>
                <w:sz w:val="24"/>
                <w:szCs w:val="24"/>
                <w:lang w:val="en-US"/>
              </w:rPr>
            </w:pPr>
            <w:r>
              <w:rPr>
                <w:rFonts w:hint="eastAsia" w:ascii="仿宋" w:hAnsi="仿宋" w:eastAsia="仿宋" w:cs="仿宋"/>
                <w:b w:val="0"/>
                <w:color w:val="auto"/>
                <w:sz w:val="24"/>
                <w:szCs w:val="24"/>
                <w:lang w:val="en-US"/>
              </w:rPr>
              <w:t>按采购人要求，能按时组织培训的得5分，拖延1-5天以上得3分，6-10天及以上得0分</w:t>
            </w:r>
          </w:p>
        </w:tc>
        <w:tc>
          <w:tcPr>
            <w:tcW w:w="1503" w:type="dxa"/>
            <w:vAlign w:val="center"/>
          </w:tcPr>
          <w:p>
            <w:pPr>
              <w:widowControl/>
              <w:snapToGrid/>
              <w:spacing w:line="240" w:lineRule="auto"/>
              <w:ind w:firstLine="0" w:firstLineChars="0"/>
              <w:jc w:val="left"/>
              <w:rPr>
                <w:rFonts w:ascii="仿宋" w:hAnsi="仿宋" w:eastAsia="仿宋" w:cs="仿宋"/>
                <w:b w:val="0"/>
                <w:color w:val="auto"/>
                <w:sz w:val="24"/>
                <w:szCs w:val="24"/>
                <w:lang w:val="en-US"/>
              </w:rPr>
            </w:pPr>
            <w:r>
              <w:rPr>
                <w:rFonts w:hint="eastAsia" w:ascii="仿宋" w:hAnsi="仿宋" w:eastAsia="仿宋" w:cs="仿宋"/>
                <w:b w:val="0"/>
                <w:color w:val="auto"/>
                <w:sz w:val="24"/>
                <w:szCs w:val="24"/>
                <w:lang w:val="en-US"/>
              </w:rPr>
              <w:t>是否按照采购人规定时间内对派出人员进行培训</w:t>
            </w:r>
          </w:p>
        </w:tc>
        <w:tc>
          <w:tcPr>
            <w:tcW w:w="458" w:type="dxa"/>
            <w:vAlign w:val="center"/>
          </w:tcPr>
          <w:p>
            <w:pPr>
              <w:widowControl/>
              <w:snapToGrid/>
              <w:spacing w:line="240" w:lineRule="auto"/>
              <w:ind w:firstLine="0" w:firstLineChars="0"/>
              <w:jc w:val="center"/>
              <w:rPr>
                <w:rFonts w:ascii="仿宋" w:hAnsi="仿宋" w:eastAsia="仿宋" w:cs="仿宋"/>
                <w:b w:val="0"/>
                <w:color w:val="auto"/>
                <w:sz w:val="24"/>
                <w:szCs w:val="24"/>
                <w:lang w:val="en-US"/>
              </w:rPr>
            </w:pPr>
            <w:r>
              <w:rPr>
                <w:rFonts w:hint="eastAsia" w:ascii="仿宋" w:hAnsi="仿宋" w:eastAsia="仿宋" w:cs="仿宋"/>
                <w:b w:val="0"/>
                <w:color w:val="auto"/>
                <w:sz w:val="24"/>
                <w:szCs w:val="24"/>
                <w:lang w:val="en-US"/>
              </w:rPr>
              <w:t>5</w:t>
            </w:r>
          </w:p>
        </w:tc>
        <w:tc>
          <w:tcPr>
            <w:tcW w:w="1670" w:type="dxa"/>
            <w:vAlign w:val="center"/>
          </w:tcPr>
          <w:p>
            <w:pPr>
              <w:widowControl/>
              <w:snapToGrid/>
              <w:spacing w:line="240" w:lineRule="auto"/>
              <w:ind w:firstLine="0" w:firstLineChars="0"/>
              <w:jc w:val="left"/>
              <w:rPr>
                <w:rFonts w:ascii="仿宋" w:hAnsi="仿宋" w:eastAsia="仿宋" w:cs="仿宋"/>
                <w:b w:val="0"/>
                <w:color w:val="auto"/>
                <w:sz w:val="24"/>
                <w:szCs w:val="24"/>
                <w:lang w:val="en-US"/>
              </w:rPr>
            </w:pPr>
            <w:r>
              <w:rPr>
                <w:rFonts w:hint="eastAsia" w:ascii="仿宋" w:hAnsi="仿宋" w:eastAsia="仿宋" w:cs="仿宋"/>
                <w:b w:val="0"/>
                <w:color w:val="auto"/>
                <w:sz w:val="24"/>
                <w:szCs w:val="24"/>
                <w:lang w:val="en-US"/>
              </w:rPr>
              <w:t>采购人通知培训时间及实际培训开展时间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458" w:type="dxa"/>
            <w:vAlign w:val="center"/>
          </w:tcPr>
          <w:p>
            <w:pPr>
              <w:widowControl/>
              <w:snapToGrid/>
              <w:spacing w:line="240" w:lineRule="auto"/>
              <w:ind w:firstLine="0" w:firstLineChars="0"/>
              <w:jc w:val="left"/>
              <w:rPr>
                <w:rFonts w:ascii="仿宋" w:hAnsi="仿宋" w:eastAsia="仿宋" w:cs="仿宋"/>
                <w:b w:val="0"/>
                <w:color w:val="auto"/>
                <w:sz w:val="24"/>
                <w:szCs w:val="24"/>
                <w:lang w:val="en-US"/>
              </w:rPr>
            </w:pPr>
            <w:r>
              <w:rPr>
                <w:rFonts w:hint="eastAsia" w:ascii="仿宋" w:hAnsi="仿宋" w:eastAsia="仿宋" w:cs="仿宋"/>
                <w:b w:val="0"/>
                <w:color w:val="auto"/>
                <w:sz w:val="24"/>
                <w:szCs w:val="24"/>
                <w:lang w:val="en-US"/>
              </w:rPr>
              <w:t>7</w:t>
            </w:r>
          </w:p>
        </w:tc>
        <w:tc>
          <w:tcPr>
            <w:tcW w:w="670" w:type="dxa"/>
            <w:vMerge w:val="restart"/>
            <w:vAlign w:val="center"/>
          </w:tcPr>
          <w:p>
            <w:pPr>
              <w:widowControl/>
              <w:snapToGrid/>
              <w:spacing w:line="240" w:lineRule="auto"/>
              <w:ind w:firstLine="0" w:firstLineChars="0"/>
              <w:jc w:val="left"/>
              <w:rPr>
                <w:rFonts w:ascii="仿宋" w:hAnsi="仿宋" w:eastAsia="仿宋" w:cs="仿宋"/>
                <w:b w:val="0"/>
                <w:color w:val="auto"/>
                <w:sz w:val="24"/>
                <w:szCs w:val="24"/>
                <w:lang w:val="en-US"/>
              </w:rPr>
            </w:pPr>
            <w:r>
              <w:rPr>
                <w:rFonts w:hint="eastAsia" w:ascii="仿宋" w:hAnsi="仿宋" w:eastAsia="仿宋" w:cs="仿宋"/>
                <w:b w:val="0"/>
                <w:color w:val="auto"/>
                <w:sz w:val="24"/>
                <w:szCs w:val="24"/>
                <w:lang w:val="en-US"/>
              </w:rPr>
              <w:t>员工</w:t>
            </w:r>
          </w:p>
          <w:p>
            <w:pPr>
              <w:widowControl/>
              <w:snapToGrid/>
              <w:spacing w:line="240" w:lineRule="auto"/>
              <w:ind w:firstLine="0" w:firstLineChars="0"/>
              <w:jc w:val="left"/>
              <w:rPr>
                <w:rFonts w:ascii="仿宋" w:hAnsi="仿宋" w:eastAsia="仿宋" w:cs="仿宋"/>
                <w:b w:val="0"/>
                <w:color w:val="auto"/>
                <w:sz w:val="24"/>
                <w:szCs w:val="24"/>
                <w:lang w:val="en-US"/>
              </w:rPr>
            </w:pPr>
            <w:r>
              <w:rPr>
                <w:rFonts w:hint="eastAsia" w:ascii="仿宋" w:hAnsi="仿宋" w:eastAsia="仿宋" w:cs="仿宋"/>
                <w:b w:val="0"/>
                <w:color w:val="auto"/>
                <w:sz w:val="24"/>
                <w:szCs w:val="24"/>
                <w:lang w:val="en-US"/>
              </w:rPr>
              <w:t>管理</w:t>
            </w:r>
          </w:p>
        </w:tc>
        <w:tc>
          <w:tcPr>
            <w:tcW w:w="761" w:type="dxa"/>
            <w:vAlign w:val="center"/>
          </w:tcPr>
          <w:p>
            <w:pPr>
              <w:widowControl/>
              <w:snapToGrid/>
              <w:spacing w:line="240" w:lineRule="auto"/>
              <w:ind w:firstLine="0" w:firstLineChars="0"/>
              <w:jc w:val="left"/>
              <w:rPr>
                <w:rFonts w:ascii="仿宋" w:hAnsi="仿宋" w:eastAsia="仿宋" w:cs="仿宋"/>
                <w:b w:val="0"/>
                <w:color w:val="auto"/>
                <w:sz w:val="24"/>
                <w:szCs w:val="24"/>
                <w:lang w:val="en-US"/>
              </w:rPr>
            </w:pPr>
            <w:r>
              <w:rPr>
                <w:rFonts w:hint="eastAsia" w:ascii="仿宋" w:hAnsi="仿宋" w:eastAsia="仿宋" w:cs="仿宋"/>
                <w:b w:val="0"/>
                <w:color w:val="auto"/>
                <w:sz w:val="24"/>
                <w:szCs w:val="24"/>
                <w:lang w:val="en-US"/>
              </w:rPr>
              <w:t>员工   流失率</w:t>
            </w:r>
          </w:p>
        </w:tc>
        <w:tc>
          <w:tcPr>
            <w:tcW w:w="3909" w:type="dxa"/>
            <w:vAlign w:val="center"/>
          </w:tcPr>
          <w:p>
            <w:pPr>
              <w:widowControl/>
              <w:snapToGrid/>
              <w:spacing w:line="240" w:lineRule="auto"/>
              <w:ind w:firstLine="0" w:firstLineChars="0"/>
              <w:jc w:val="left"/>
              <w:rPr>
                <w:rFonts w:ascii="仿宋" w:hAnsi="仿宋" w:eastAsia="仿宋" w:cs="仿宋"/>
                <w:b w:val="0"/>
                <w:color w:val="auto"/>
                <w:sz w:val="24"/>
                <w:szCs w:val="24"/>
                <w:lang w:val="en-US"/>
              </w:rPr>
            </w:pPr>
            <w:r>
              <w:rPr>
                <w:rFonts w:hint="eastAsia" w:ascii="仿宋" w:hAnsi="仿宋" w:eastAsia="仿宋" w:cs="仿宋"/>
                <w:b w:val="0"/>
                <w:color w:val="auto"/>
                <w:sz w:val="24"/>
                <w:szCs w:val="24"/>
                <w:lang w:val="en-US"/>
              </w:rPr>
              <w:t>由于中标人过错造成的员工主动流失，每流失1个员工扣1分，扣完为止</w:t>
            </w:r>
          </w:p>
        </w:tc>
        <w:tc>
          <w:tcPr>
            <w:tcW w:w="1503" w:type="dxa"/>
            <w:vAlign w:val="center"/>
          </w:tcPr>
          <w:p>
            <w:pPr>
              <w:widowControl/>
              <w:snapToGrid/>
              <w:spacing w:line="240" w:lineRule="auto"/>
              <w:ind w:firstLine="0" w:firstLineChars="0"/>
              <w:jc w:val="left"/>
              <w:rPr>
                <w:rFonts w:ascii="仿宋" w:hAnsi="仿宋" w:eastAsia="仿宋" w:cs="仿宋"/>
                <w:b w:val="0"/>
                <w:color w:val="auto"/>
                <w:sz w:val="24"/>
                <w:szCs w:val="24"/>
                <w:lang w:val="en-US"/>
              </w:rPr>
            </w:pPr>
            <w:r>
              <w:rPr>
                <w:rFonts w:hint="eastAsia" w:ascii="仿宋" w:hAnsi="仿宋" w:eastAsia="仿宋" w:cs="仿宋"/>
                <w:b w:val="0"/>
                <w:color w:val="auto"/>
                <w:sz w:val="24"/>
                <w:szCs w:val="24"/>
                <w:lang w:val="en-US"/>
              </w:rPr>
              <w:t>流失：指主动辞职的人员</w:t>
            </w:r>
          </w:p>
        </w:tc>
        <w:tc>
          <w:tcPr>
            <w:tcW w:w="458" w:type="dxa"/>
            <w:vAlign w:val="center"/>
          </w:tcPr>
          <w:p>
            <w:pPr>
              <w:widowControl/>
              <w:snapToGrid/>
              <w:spacing w:line="240" w:lineRule="auto"/>
              <w:ind w:firstLine="0" w:firstLineChars="0"/>
              <w:jc w:val="center"/>
              <w:rPr>
                <w:rFonts w:ascii="仿宋" w:hAnsi="仿宋" w:eastAsia="仿宋" w:cs="仿宋"/>
                <w:b w:val="0"/>
                <w:color w:val="auto"/>
                <w:sz w:val="24"/>
                <w:szCs w:val="24"/>
                <w:lang w:val="en-US"/>
              </w:rPr>
            </w:pPr>
            <w:r>
              <w:rPr>
                <w:rFonts w:hint="eastAsia" w:ascii="仿宋" w:hAnsi="仿宋" w:eastAsia="仿宋" w:cs="仿宋"/>
                <w:b w:val="0"/>
                <w:color w:val="auto"/>
                <w:sz w:val="24"/>
                <w:szCs w:val="24"/>
                <w:lang w:val="en-US"/>
              </w:rPr>
              <w:t>5</w:t>
            </w:r>
          </w:p>
        </w:tc>
        <w:tc>
          <w:tcPr>
            <w:tcW w:w="1670" w:type="dxa"/>
            <w:vAlign w:val="center"/>
          </w:tcPr>
          <w:p>
            <w:pPr>
              <w:widowControl/>
              <w:snapToGrid/>
              <w:spacing w:line="240" w:lineRule="auto"/>
              <w:ind w:firstLine="0" w:firstLineChars="0"/>
              <w:jc w:val="left"/>
              <w:rPr>
                <w:rFonts w:ascii="仿宋" w:hAnsi="仿宋" w:eastAsia="仿宋" w:cs="仿宋"/>
                <w:b w:val="0"/>
                <w:color w:val="auto"/>
                <w:sz w:val="24"/>
                <w:szCs w:val="24"/>
                <w:lang w:val="en-US"/>
              </w:rPr>
            </w:pPr>
            <w:r>
              <w:rPr>
                <w:rFonts w:hint="eastAsia" w:ascii="仿宋" w:hAnsi="仿宋" w:eastAsia="仿宋" w:cs="仿宋"/>
                <w:b w:val="0"/>
                <w:color w:val="auto"/>
                <w:sz w:val="24"/>
                <w:szCs w:val="24"/>
                <w:lang w:val="en-US"/>
              </w:rPr>
              <w:t>检查主动辞职员工名单及离职原因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58" w:type="dxa"/>
            <w:vAlign w:val="center"/>
          </w:tcPr>
          <w:p>
            <w:pPr>
              <w:widowControl/>
              <w:snapToGrid/>
              <w:spacing w:line="240" w:lineRule="auto"/>
              <w:ind w:firstLine="0" w:firstLineChars="0"/>
              <w:jc w:val="left"/>
              <w:rPr>
                <w:rFonts w:ascii="仿宋" w:hAnsi="仿宋" w:eastAsia="仿宋" w:cs="仿宋"/>
                <w:b w:val="0"/>
                <w:color w:val="auto"/>
                <w:sz w:val="24"/>
                <w:szCs w:val="24"/>
                <w:lang w:val="en-US"/>
              </w:rPr>
            </w:pPr>
            <w:r>
              <w:rPr>
                <w:rFonts w:hint="eastAsia" w:ascii="仿宋" w:hAnsi="仿宋" w:eastAsia="仿宋" w:cs="仿宋"/>
                <w:b w:val="0"/>
                <w:color w:val="auto"/>
                <w:sz w:val="24"/>
                <w:szCs w:val="24"/>
                <w:lang w:val="en-US"/>
              </w:rPr>
              <w:t>8</w:t>
            </w:r>
          </w:p>
        </w:tc>
        <w:tc>
          <w:tcPr>
            <w:tcW w:w="670" w:type="dxa"/>
            <w:vMerge w:val="continue"/>
            <w:vAlign w:val="center"/>
          </w:tcPr>
          <w:p>
            <w:pPr>
              <w:widowControl/>
              <w:snapToGrid/>
              <w:spacing w:line="240" w:lineRule="auto"/>
              <w:ind w:firstLine="0" w:firstLineChars="0"/>
              <w:jc w:val="left"/>
              <w:rPr>
                <w:rFonts w:ascii="仿宋" w:hAnsi="仿宋" w:eastAsia="仿宋" w:cs="仿宋"/>
                <w:b w:val="0"/>
                <w:color w:val="auto"/>
                <w:sz w:val="24"/>
                <w:szCs w:val="24"/>
                <w:lang w:val="en-US"/>
              </w:rPr>
            </w:pPr>
          </w:p>
        </w:tc>
        <w:tc>
          <w:tcPr>
            <w:tcW w:w="761" w:type="dxa"/>
            <w:vAlign w:val="center"/>
          </w:tcPr>
          <w:p>
            <w:pPr>
              <w:widowControl/>
              <w:snapToGrid/>
              <w:spacing w:line="240" w:lineRule="auto"/>
              <w:ind w:firstLine="0" w:firstLineChars="0"/>
              <w:jc w:val="left"/>
              <w:rPr>
                <w:rFonts w:ascii="仿宋" w:hAnsi="仿宋" w:eastAsia="仿宋" w:cs="仿宋"/>
                <w:b w:val="0"/>
                <w:color w:val="auto"/>
                <w:sz w:val="24"/>
                <w:szCs w:val="24"/>
                <w:lang w:val="en-US"/>
              </w:rPr>
            </w:pPr>
            <w:r>
              <w:rPr>
                <w:rFonts w:hint="eastAsia" w:ascii="仿宋" w:hAnsi="仿宋" w:eastAsia="仿宋" w:cs="仿宋"/>
                <w:b w:val="0"/>
                <w:color w:val="auto"/>
                <w:sz w:val="24"/>
                <w:szCs w:val="24"/>
                <w:lang w:val="en-US"/>
              </w:rPr>
              <w:t>薪酬发放和社保缴纳及时率</w:t>
            </w:r>
          </w:p>
        </w:tc>
        <w:tc>
          <w:tcPr>
            <w:tcW w:w="3909" w:type="dxa"/>
            <w:vAlign w:val="center"/>
          </w:tcPr>
          <w:p>
            <w:pPr>
              <w:widowControl/>
              <w:snapToGrid/>
              <w:spacing w:line="240" w:lineRule="auto"/>
              <w:ind w:firstLine="0" w:firstLineChars="0"/>
              <w:jc w:val="left"/>
              <w:rPr>
                <w:rFonts w:ascii="仿宋" w:hAnsi="仿宋" w:eastAsia="仿宋" w:cs="仿宋"/>
                <w:b w:val="0"/>
                <w:color w:val="auto"/>
                <w:sz w:val="24"/>
                <w:szCs w:val="24"/>
                <w:lang w:val="en-US"/>
              </w:rPr>
            </w:pPr>
            <w:r>
              <w:rPr>
                <w:rFonts w:hint="eastAsia" w:ascii="仿宋" w:hAnsi="仿宋" w:eastAsia="仿宋" w:cs="仿宋"/>
                <w:b w:val="0"/>
                <w:color w:val="auto"/>
                <w:sz w:val="24"/>
                <w:szCs w:val="24"/>
                <w:lang w:val="en-US"/>
              </w:rPr>
              <w:t>每月按时发放工资及缴纳五险一金得8分；出现拖延时间3天（不含3天）以内的，每出现一次得4分；出现拖延达到3天及以上得0分；出现一人未购买五险一金扣4分，扣完为止。</w:t>
            </w:r>
          </w:p>
        </w:tc>
        <w:tc>
          <w:tcPr>
            <w:tcW w:w="1503" w:type="dxa"/>
            <w:vAlign w:val="center"/>
          </w:tcPr>
          <w:p>
            <w:pPr>
              <w:widowControl/>
              <w:snapToGrid/>
              <w:spacing w:line="240" w:lineRule="auto"/>
              <w:ind w:firstLine="0" w:firstLineChars="0"/>
              <w:jc w:val="left"/>
              <w:rPr>
                <w:rFonts w:ascii="仿宋" w:hAnsi="仿宋" w:eastAsia="仿宋" w:cs="仿宋"/>
                <w:b w:val="0"/>
                <w:color w:val="auto"/>
                <w:sz w:val="24"/>
                <w:szCs w:val="24"/>
                <w:lang w:val="en-US"/>
              </w:rPr>
            </w:pPr>
            <w:r>
              <w:rPr>
                <w:rFonts w:hint="eastAsia" w:ascii="仿宋" w:hAnsi="仿宋" w:eastAsia="仿宋" w:cs="仿宋"/>
                <w:b w:val="0"/>
                <w:color w:val="auto"/>
                <w:sz w:val="24"/>
                <w:szCs w:val="24"/>
                <w:lang w:val="en-US"/>
              </w:rPr>
              <w:t>　</w:t>
            </w:r>
          </w:p>
        </w:tc>
        <w:tc>
          <w:tcPr>
            <w:tcW w:w="458" w:type="dxa"/>
            <w:vAlign w:val="center"/>
          </w:tcPr>
          <w:p>
            <w:pPr>
              <w:widowControl/>
              <w:snapToGrid/>
              <w:spacing w:line="240" w:lineRule="auto"/>
              <w:ind w:firstLine="0" w:firstLineChars="0"/>
              <w:jc w:val="center"/>
              <w:rPr>
                <w:rFonts w:ascii="仿宋" w:hAnsi="仿宋" w:eastAsia="仿宋" w:cs="仿宋"/>
                <w:b w:val="0"/>
                <w:color w:val="auto"/>
                <w:sz w:val="24"/>
                <w:szCs w:val="24"/>
                <w:lang w:val="en-US"/>
              </w:rPr>
            </w:pPr>
            <w:r>
              <w:rPr>
                <w:rFonts w:hint="eastAsia" w:ascii="仿宋" w:hAnsi="仿宋" w:eastAsia="仿宋" w:cs="仿宋"/>
                <w:b w:val="0"/>
                <w:color w:val="auto"/>
                <w:sz w:val="24"/>
                <w:szCs w:val="24"/>
                <w:lang w:val="en-US"/>
              </w:rPr>
              <w:t>8</w:t>
            </w:r>
          </w:p>
        </w:tc>
        <w:tc>
          <w:tcPr>
            <w:tcW w:w="1670" w:type="dxa"/>
            <w:vAlign w:val="center"/>
          </w:tcPr>
          <w:p>
            <w:pPr>
              <w:widowControl/>
              <w:snapToGrid/>
              <w:spacing w:line="240" w:lineRule="auto"/>
              <w:ind w:firstLine="0" w:firstLineChars="0"/>
              <w:jc w:val="left"/>
              <w:rPr>
                <w:rFonts w:ascii="仿宋" w:hAnsi="仿宋" w:eastAsia="仿宋" w:cs="仿宋"/>
                <w:b w:val="0"/>
                <w:color w:val="auto"/>
                <w:sz w:val="24"/>
                <w:szCs w:val="24"/>
                <w:lang w:val="en-US"/>
              </w:rPr>
            </w:pPr>
            <w:r>
              <w:rPr>
                <w:rFonts w:hint="eastAsia" w:ascii="仿宋" w:hAnsi="仿宋" w:eastAsia="仿宋" w:cs="仿宋"/>
                <w:b w:val="0"/>
                <w:color w:val="auto"/>
                <w:sz w:val="24"/>
                <w:szCs w:val="24"/>
                <w:lang w:val="en-US"/>
              </w:rPr>
              <w:t>抽查社保清单、工资发放记录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58" w:type="dxa"/>
            <w:vAlign w:val="center"/>
          </w:tcPr>
          <w:p>
            <w:pPr>
              <w:widowControl/>
              <w:snapToGrid/>
              <w:spacing w:line="240" w:lineRule="auto"/>
              <w:ind w:firstLine="0" w:firstLineChars="0"/>
              <w:jc w:val="left"/>
              <w:rPr>
                <w:rFonts w:ascii="仿宋" w:hAnsi="仿宋" w:eastAsia="仿宋" w:cs="仿宋"/>
                <w:b w:val="0"/>
                <w:color w:val="auto"/>
                <w:sz w:val="24"/>
                <w:szCs w:val="24"/>
                <w:lang w:val="en-US"/>
              </w:rPr>
            </w:pPr>
            <w:r>
              <w:rPr>
                <w:rFonts w:hint="eastAsia" w:ascii="仿宋" w:hAnsi="仿宋" w:eastAsia="仿宋" w:cs="仿宋"/>
                <w:b w:val="0"/>
                <w:color w:val="auto"/>
                <w:sz w:val="24"/>
                <w:szCs w:val="24"/>
                <w:lang w:val="en-US"/>
              </w:rPr>
              <w:t>9</w:t>
            </w:r>
          </w:p>
        </w:tc>
        <w:tc>
          <w:tcPr>
            <w:tcW w:w="670" w:type="dxa"/>
            <w:vMerge w:val="continue"/>
            <w:vAlign w:val="center"/>
          </w:tcPr>
          <w:p>
            <w:pPr>
              <w:widowControl/>
              <w:snapToGrid/>
              <w:spacing w:line="240" w:lineRule="auto"/>
              <w:ind w:firstLine="0" w:firstLineChars="0"/>
              <w:jc w:val="left"/>
              <w:rPr>
                <w:rFonts w:ascii="仿宋" w:hAnsi="仿宋" w:eastAsia="仿宋" w:cs="仿宋"/>
                <w:b w:val="0"/>
                <w:color w:val="auto"/>
                <w:sz w:val="24"/>
                <w:szCs w:val="24"/>
                <w:lang w:val="en-US"/>
              </w:rPr>
            </w:pPr>
          </w:p>
        </w:tc>
        <w:tc>
          <w:tcPr>
            <w:tcW w:w="761" w:type="dxa"/>
            <w:vAlign w:val="center"/>
          </w:tcPr>
          <w:p>
            <w:pPr>
              <w:widowControl/>
              <w:snapToGrid/>
              <w:spacing w:line="240" w:lineRule="auto"/>
              <w:ind w:firstLine="0" w:firstLineChars="0"/>
              <w:jc w:val="left"/>
              <w:rPr>
                <w:rFonts w:ascii="仿宋" w:hAnsi="仿宋" w:eastAsia="仿宋" w:cs="仿宋"/>
                <w:b w:val="0"/>
                <w:color w:val="auto"/>
                <w:sz w:val="24"/>
                <w:szCs w:val="24"/>
                <w:lang w:val="en-US"/>
              </w:rPr>
            </w:pPr>
            <w:r>
              <w:rPr>
                <w:rFonts w:hint="eastAsia" w:ascii="仿宋" w:hAnsi="仿宋" w:eastAsia="仿宋" w:cs="仿宋"/>
                <w:b w:val="0"/>
                <w:color w:val="auto"/>
                <w:sz w:val="24"/>
                <w:szCs w:val="24"/>
                <w:lang w:val="en-US"/>
              </w:rPr>
              <w:t>员工劳动合同签订覆盖率</w:t>
            </w:r>
          </w:p>
        </w:tc>
        <w:tc>
          <w:tcPr>
            <w:tcW w:w="3909" w:type="dxa"/>
            <w:vAlign w:val="center"/>
          </w:tcPr>
          <w:p>
            <w:pPr>
              <w:widowControl/>
              <w:snapToGrid/>
              <w:spacing w:line="240" w:lineRule="auto"/>
              <w:ind w:firstLine="0" w:firstLineChars="0"/>
              <w:jc w:val="left"/>
              <w:rPr>
                <w:rFonts w:ascii="仿宋" w:hAnsi="仿宋" w:eastAsia="仿宋" w:cs="仿宋"/>
                <w:b w:val="0"/>
                <w:color w:val="auto"/>
                <w:sz w:val="24"/>
                <w:szCs w:val="24"/>
                <w:lang w:val="en-US"/>
              </w:rPr>
            </w:pPr>
            <w:r>
              <w:rPr>
                <w:rFonts w:hint="eastAsia" w:ascii="仿宋" w:hAnsi="仿宋" w:eastAsia="仿宋" w:cs="仿宋"/>
                <w:b w:val="0"/>
                <w:color w:val="auto"/>
                <w:sz w:val="24"/>
                <w:szCs w:val="24"/>
                <w:lang w:val="en-US"/>
              </w:rPr>
              <w:t>劳动合同签约率100%，劳动合同到期及时签约率100%，每出现一人未及时签约扣2分，扣完为止。</w:t>
            </w:r>
          </w:p>
        </w:tc>
        <w:tc>
          <w:tcPr>
            <w:tcW w:w="1503" w:type="dxa"/>
            <w:vAlign w:val="center"/>
          </w:tcPr>
          <w:p>
            <w:pPr>
              <w:widowControl/>
              <w:snapToGrid/>
              <w:spacing w:line="240" w:lineRule="auto"/>
              <w:ind w:firstLine="0" w:firstLineChars="0"/>
              <w:jc w:val="left"/>
              <w:rPr>
                <w:rFonts w:ascii="仿宋" w:hAnsi="仿宋" w:eastAsia="仿宋" w:cs="仿宋"/>
                <w:b w:val="0"/>
                <w:color w:val="auto"/>
                <w:sz w:val="24"/>
                <w:szCs w:val="24"/>
                <w:lang w:val="en-US"/>
              </w:rPr>
            </w:pPr>
            <w:r>
              <w:rPr>
                <w:rFonts w:hint="eastAsia" w:ascii="仿宋" w:hAnsi="仿宋" w:eastAsia="仿宋" w:cs="仿宋"/>
                <w:b w:val="0"/>
                <w:color w:val="auto"/>
                <w:sz w:val="24"/>
                <w:szCs w:val="24"/>
                <w:lang w:val="en-US"/>
              </w:rPr>
              <w:t>合同覆盖率：实签劳动合同人数/应签劳动合同*100%</w:t>
            </w:r>
          </w:p>
        </w:tc>
        <w:tc>
          <w:tcPr>
            <w:tcW w:w="458" w:type="dxa"/>
            <w:vAlign w:val="center"/>
          </w:tcPr>
          <w:p>
            <w:pPr>
              <w:widowControl/>
              <w:snapToGrid/>
              <w:spacing w:line="240" w:lineRule="auto"/>
              <w:ind w:firstLine="0" w:firstLineChars="0"/>
              <w:jc w:val="center"/>
              <w:rPr>
                <w:rFonts w:ascii="仿宋" w:hAnsi="仿宋" w:eastAsia="仿宋" w:cs="仿宋"/>
                <w:b w:val="0"/>
                <w:color w:val="auto"/>
                <w:sz w:val="24"/>
                <w:szCs w:val="24"/>
                <w:lang w:val="en-US"/>
              </w:rPr>
            </w:pPr>
            <w:r>
              <w:rPr>
                <w:rFonts w:hint="eastAsia" w:ascii="仿宋" w:hAnsi="仿宋" w:eastAsia="仿宋" w:cs="仿宋"/>
                <w:b w:val="0"/>
                <w:color w:val="auto"/>
                <w:sz w:val="24"/>
                <w:szCs w:val="24"/>
                <w:lang w:val="en-US"/>
              </w:rPr>
              <w:t>6</w:t>
            </w:r>
          </w:p>
        </w:tc>
        <w:tc>
          <w:tcPr>
            <w:tcW w:w="1670" w:type="dxa"/>
            <w:vAlign w:val="center"/>
          </w:tcPr>
          <w:p>
            <w:pPr>
              <w:widowControl/>
              <w:snapToGrid/>
              <w:spacing w:line="240" w:lineRule="auto"/>
              <w:ind w:firstLine="0" w:firstLineChars="0"/>
              <w:jc w:val="left"/>
              <w:rPr>
                <w:rFonts w:ascii="仿宋" w:hAnsi="仿宋" w:eastAsia="仿宋" w:cs="仿宋"/>
                <w:b w:val="0"/>
                <w:color w:val="auto"/>
                <w:sz w:val="24"/>
                <w:szCs w:val="24"/>
                <w:lang w:val="en-US"/>
              </w:rPr>
            </w:pPr>
            <w:r>
              <w:rPr>
                <w:rFonts w:hint="eastAsia" w:ascii="仿宋" w:hAnsi="仿宋" w:eastAsia="仿宋" w:cs="仿宋"/>
                <w:b w:val="0"/>
                <w:color w:val="auto"/>
                <w:sz w:val="24"/>
                <w:szCs w:val="24"/>
                <w:lang w:val="en-US"/>
              </w:rPr>
              <w:t>核对人员花名册与实际签订劳动合同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458" w:type="dxa"/>
            <w:vAlign w:val="center"/>
          </w:tcPr>
          <w:p>
            <w:pPr>
              <w:widowControl/>
              <w:snapToGrid/>
              <w:spacing w:line="240" w:lineRule="auto"/>
              <w:ind w:firstLine="0" w:firstLineChars="0"/>
              <w:jc w:val="left"/>
              <w:rPr>
                <w:rFonts w:ascii="仿宋" w:hAnsi="仿宋" w:eastAsia="仿宋" w:cs="仿宋"/>
                <w:b w:val="0"/>
                <w:color w:val="auto"/>
                <w:sz w:val="24"/>
                <w:szCs w:val="24"/>
                <w:lang w:val="en-US"/>
              </w:rPr>
            </w:pPr>
            <w:r>
              <w:rPr>
                <w:rFonts w:hint="eastAsia" w:ascii="仿宋" w:hAnsi="仿宋" w:eastAsia="仿宋" w:cs="仿宋"/>
                <w:b w:val="0"/>
                <w:color w:val="auto"/>
                <w:sz w:val="24"/>
                <w:szCs w:val="24"/>
                <w:lang w:val="en-US"/>
              </w:rPr>
              <w:t>10</w:t>
            </w:r>
          </w:p>
        </w:tc>
        <w:tc>
          <w:tcPr>
            <w:tcW w:w="670" w:type="dxa"/>
            <w:vMerge w:val="continue"/>
            <w:vAlign w:val="center"/>
          </w:tcPr>
          <w:p>
            <w:pPr>
              <w:widowControl/>
              <w:snapToGrid/>
              <w:spacing w:line="240" w:lineRule="auto"/>
              <w:ind w:firstLine="0" w:firstLineChars="0"/>
              <w:jc w:val="left"/>
              <w:rPr>
                <w:rFonts w:ascii="仿宋" w:hAnsi="仿宋" w:eastAsia="仿宋" w:cs="仿宋"/>
                <w:b w:val="0"/>
                <w:color w:val="auto"/>
                <w:sz w:val="24"/>
                <w:szCs w:val="24"/>
                <w:lang w:val="en-US"/>
              </w:rPr>
            </w:pPr>
          </w:p>
        </w:tc>
        <w:tc>
          <w:tcPr>
            <w:tcW w:w="761" w:type="dxa"/>
            <w:vAlign w:val="center"/>
          </w:tcPr>
          <w:p>
            <w:pPr>
              <w:widowControl/>
              <w:snapToGrid/>
              <w:spacing w:line="240" w:lineRule="auto"/>
              <w:ind w:firstLine="0" w:firstLineChars="0"/>
              <w:jc w:val="left"/>
              <w:rPr>
                <w:rFonts w:ascii="仿宋" w:hAnsi="仿宋" w:eastAsia="仿宋" w:cs="仿宋"/>
                <w:b w:val="0"/>
                <w:color w:val="auto"/>
                <w:sz w:val="24"/>
                <w:szCs w:val="24"/>
                <w:lang w:val="en-US"/>
              </w:rPr>
            </w:pPr>
            <w:r>
              <w:rPr>
                <w:rFonts w:hint="eastAsia" w:ascii="仿宋" w:hAnsi="仿宋" w:eastAsia="仿宋" w:cs="仿宋"/>
                <w:b w:val="0"/>
                <w:color w:val="auto"/>
                <w:sz w:val="24"/>
                <w:szCs w:val="24"/>
                <w:lang w:val="en-US"/>
              </w:rPr>
              <w:t>员工体检</w:t>
            </w:r>
          </w:p>
          <w:p>
            <w:pPr>
              <w:widowControl/>
              <w:snapToGrid/>
              <w:spacing w:line="240" w:lineRule="auto"/>
              <w:ind w:firstLine="0" w:firstLineChars="0"/>
              <w:jc w:val="left"/>
              <w:rPr>
                <w:rFonts w:ascii="仿宋" w:hAnsi="仿宋" w:eastAsia="仿宋" w:cs="仿宋"/>
                <w:b w:val="0"/>
                <w:color w:val="auto"/>
                <w:sz w:val="24"/>
                <w:szCs w:val="24"/>
                <w:lang w:val="en-US"/>
              </w:rPr>
            </w:pPr>
            <w:r>
              <w:rPr>
                <w:rFonts w:hint="eastAsia" w:ascii="仿宋" w:hAnsi="仿宋" w:eastAsia="仿宋" w:cs="仿宋"/>
                <w:b w:val="0"/>
                <w:color w:val="auto"/>
                <w:sz w:val="24"/>
                <w:szCs w:val="24"/>
                <w:lang w:val="en-US"/>
              </w:rPr>
              <w:t>管理</w:t>
            </w:r>
          </w:p>
        </w:tc>
        <w:tc>
          <w:tcPr>
            <w:tcW w:w="3909" w:type="dxa"/>
            <w:vAlign w:val="center"/>
          </w:tcPr>
          <w:p>
            <w:pPr>
              <w:widowControl/>
              <w:snapToGrid/>
              <w:spacing w:line="240" w:lineRule="auto"/>
              <w:ind w:firstLine="0" w:firstLineChars="0"/>
              <w:jc w:val="left"/>
              <w:rPr>
                <w:rFonts w:ascii="仿宋" w:hAnsi="仿宋" w:eastAsia="仿宋" w:cs="仿宋"/>
                <w:b w:val="0"/>
                <w:color w:val="auto"/>
                <w:sz w:val="24"/>
                <w:szCs w:val="24"/>
                <w:lang w:val="en-US"/>
              </w:rPr>
            </w:pPr>
            <w:r>
              <w:rPr>
                <w:rFonts w:hint="eastAsia" w:ascii="仿宋" w:hAnsi="仿宋" w:eastAsia="仿宋" w:cs="仿宋"/>
                <w:b w:val="0"/>
                <w:color w:val="auto"/>
                <w:sz w:val="24"/>
                <w:szCs w:val="24"/>
                <w:lang w:val="en-US"/>
              </w:rPr>
              <w:t>员工入职体检率100%，每有一人未入职体检的扣1分，直至扣完为止</w:t>
            </w:r>
          </w:p>
        </w:tc>
        <w:tc>
          <w:tcPr>
            <w:tcW w:w="1503" w:type="dxa"/>
            <w:vAlign w:val="center"/>
          </w:tcPr>
          <w:p>
            <w:pPr>
              <w:widowControl/>
              <w:snapToGrid/>
              <w:spacing w:line="240" w:lineRule="auto"/>
              <w:ind w:firstLine="0" w:firstLineChars="0"/>
              <w:jc w:val="left"/>
              <w:rPr>
                <w:rFonts w:ascii="仿宋" w:hAnsi="仿宋" w:eastAsia="仿宋" w:cs="仿宋"/>
                <w:b w:val="0"/>
                <w:color w:val="auto"/>
                <w:sz w:val="24"/>
                <w:szCs w:val="24"/>
                <w:lang w:val="en-US"/>
              </w:rPr>
            </w:pPr>
            <w:r>
              <w:rPr>
                <w:rFonts w:hint="eastAsia" w:ascii="仿宋" w:hAnsi="仿宋" w:eastAsia="仿宋" w:cs="仿宋"/>
                <w:b w:val="0"/>
                <w:color w:val="auto"/>
                <w:sz w:val="24"/>
                <w:szCs w:val="24"/>
                <w:lang w:val="en-US"/>
              </w:rPr>
              <w:t>　</w:t>
            </w:r>
          </w:p>
        </w:tc>
        <w:tc>
          <w:tcPr>
            <w:tcW w:w="458" w:type="dxa"/>
            <w:vAlign w:val="center"/>
          </w:tcPr>
          <w:p>
            <w:pPr>
              <w:widowControl/>
              <w:snapToGrid/>
              <w:spacing w:line="240" w:lineRule="auto"/>
              <w:ind w:firstLine="0" w:firstLineChars="0"/>
              <w:jc w:val="center"/>
              <w:rPr>
                <w:rFonts w:ascii="仿宋" w:hAnsi="仿宋" w:eastAsia="仿宋" w:cs="仿宋"/>
                <w:b w:val="0"/>
                <w:color w:val="auto"/>
                <w:sz w:val="24"/>
                <w:szCs w:val="24"/>
                <w:lang w:val="en-US"/>
              </w:rPr>
            </w:pPr>
            <w:r>
              <w:rPr>
                <w:rFonts w:hint="eastAsia" w:ascii="仿宋" w:hAnsi="仿宋" w:eastAsia="仿宋" w:cs="仿宋"/>
                <w:b w:val="0"/>
                <w:color w:val="auto"/>
                <w:sz w:val="24"/>
                <w:szCs w:val="24"/>
                <w:lang w:val="en-US"/>
              </w:rPr>
              <w:t>3</w:t>
            </w:r>
          </w:p>
        </w:tc>
        <w:tc>
          <w:tcPr>
            <w:tcW w:w="1670" w:type="dxa"/>
            <w:vAlign w:val="center"/>
          </w:tcPr>
          <w:p>
            <w:pPr>
              <w:widowControl/>
              <w:snapToGrid/>
              <w:spacing w:line="240" w:lineRule="auto"/>
              <w:ind w:firstLine="0" w:firstLineChars="0"/>
              <w:jc w:val="left"/>
              <w:rPr>
                <w:rFonts w:ascii="仿宋" w:hAnsi="仿宋" w:eastAsia="仿宋" w:cs="仿宋"/>
                <w:b w:val="0"/>
                <w:color w:val="auto"/>
                <w:sz w:val="24"/>
                <w:szCs w:val="24"/>
                <w:lang w:val="en-US"/>
              </w:rPr>
            </w:pPr>
            <w:r>
              <w:rPr>
                <w:rFonts w:hint="eastAsia" w:ascii="仿宋" w:hAnsi="仿宋" w:eastAsia="仿宋" w:cs="仿宋"/>
                <w:b w:val="0"/>
                <w:color w:val="auto"/>
                <w:sz w:val="24"/>
                <w:szCs w:val="24"/>
                <w:lang w:val="en-US"/>
              </w:rPr>
              <w:t>抽查体检报告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trPr>
        <w:tc>
          <w:tcPr>
            <w:tcW w:w="458" w:type="dxa"/>
            <w:vAlign w:val="center"/>
          </w:tcPr>
          <w:p>
            <w:pPr>
              <w:widowControl/>
              <w:snapToGrid/>
              <w:spacing w:line="240" w:lineRule="auto"/>
              <w:ind w:firstLine="0" w:firstLineChars="0"/>
              <w:jc w:val="left"/>
              <w:rPr>
                <w:rFonts w:ascii="仿宋" w:hAnsi="仿宋" w:eastAsia="仿宋" w:cs="仿宋"/>
                <w:b w:val="0"/>
                <w:color w:val="auto"/>
                <w:sz w:val="24"/>
                <w:szCs w:val="24"/>
                <w:lang w:val="en-US"/>
              </w:rPr>
            </w:pPr>
            <w:r>
              <w:rPr>
                <w:rFonts w:hint="eastAsia" w:ascii="仿宋" w:hAnsi="仿宋" w:eastAsia="仿宋" w:cs="仿宋"/>
                <w:b w:val="0"/>
                <w:color w:val="auto"/>
                <w:sz w:val="24"/>
                <w:szCs w:val="24"/>
                <w:lang w:val="en-US"/>
              </w:rPr>
              <w:t>11</w:t>
            </w:r>
          </w:p>
        </w:tc>
        <w:tc>
          <w:tcPr>
            <w:tcW w:w="670" w:type="dxa"/>
            <w:vAlign w:val="center"/>
          </w:tcPr>
          <w:p>
            <w:pPr>
              <w:widowControl/>
              <w:snapToGrid/>
              <w:spacing w:line="240" w:lineRule="auto"/>
              <w:ind w:firstLine="0" w:firstLineChars="0"/>
              <w:jc w:val="left"/>
              <w:rPr>
                <w:rFonts w:ascii="仿宋" w:hAnsi="仿宋" w:eastAsia="仿宋" w:cs="仿宋"/>
                <w:b w:val="0"/>
                <w:color w:val="auto"/>
                <w:sz w:val="24"/>
                <w:szCs w:val="24"/>
                <w:lang w:val="en-US"/>
              </w:rPr>
            </w:pPr>
            <w:r>
              <w:rPr>
                <w:rFonts w:hint="eastAsia" w:ascii="仿宋" w:hAnsi="仿宋" w:eastAsia="仿宋" w:cs="仿宋"/>
                <w:b w:val="0"/>
                <w:color w:val="auto"/>
                <w:sz w:val="24"/>
                <w:szCs w:val="24"/>
                <w:lang w:val="en-US"/>
              </w:rPr>
              <w:t>服务质量</w:t>
            </w:r>
          </w:p>
        </w:tc>
        <w:tc>
          <w:tcPr>
            <w:tcW w:w="761" w:type="dxa"/>
            <w:vAlign w:val="center"/>
          </w:tcPr>
          <w:p>
            <w:pPr>
              <w:widowControl/>
              <w:snapToGrid/>
              <w:spacing w:line="240" w:lineRule="auto"/>
              <w:ind w:firstLine="0" w:firstLineChars="0"/>
              <w:jc w:val="left"/>
              <w:rPr>
                <w:rFonts w:ascii="仿宋" w:hAnsi="仿宋" w:eastAsia="仿宋" w:cs="仿宋"/>
                <w:b w:val="0"/>
                <w:color w:val="auto"/>
                <w:sz w:val="24"/>
                <w:szCs w:val="24"/>
                <w:lang w:val="en-US"/>
              </w:rPr>
            </w:pPr>
            <w:r>
              <w:rPr>
                <w:rFonts w:hint="eastAsia" w:ascii="仿宋" w:hAnsi="仿宋" w:eastAsia="仿宋" w:cs="仿宋"/>
                <w:b w:val="0"/>
                <w:color w:val="auto"/>
                <w:sz w:val="24"/>
                <w:szCs w:val="24"/>
                <w:lang w:val="en-US"/>
              </w:rPr>
              <w:t>客户</w:t>
            </w:r>
          </w:p>
          <w:p>
            <w:pPr>
              <w:widowControl/>
              <w:snapToGrid/>
              <w:spacing w:line="240" w:lineRule="auto"/>
              <w:ind w:firstLine="0" w:firstLineChars="0"/>
              <w:jc w:val="left"/>
              <w:rPr>
                <w:rFonts w:ascii="仿宋" w:hAnsi="仿宋" w:eastAsia="仿宋" w:cs="仿宋"/>
                <w:b w:val="0"/>
                <w:color w:val="auto"/>
                <w:sz w:val="24"/>
                <w:szCs w:val="24"/>
                <w:lang w:val="en-US"/>
              </w:rPr>
            </w:pPr>
            <w:r>
              <w:rPr>
                <w:rFonts w:hint="eastAsia" w:ascii="仿宋" w:hAnsi="仿宋" w:eastAsia="仿宋" w:cs="仿宋"/>
                <w:b w:val="0"/>
                <w:color w:val="auto"/>
                <w:sz w:val="24"/>
                <w:szCs w:val="24"/>
                <w:lang w:val="en-US"/>
              </w:rPr>
              <w:t>服务质量</w:t>
            </w:r>
          </w:p>
        </w:tc>
        <w:tc>
          <w:tcPr>
            <w:tcW w:w="3909" w:type="dxa"/>
            <w:vAlign w:val="center"/>
          </w:tcPr>
          <w:p>
            <w:pPr>
              <w:widowControl/>
              <w:snapToGrid/>
              <w:spacing w:line="240" w:lineRule="auto"/>
              <w:ind w:firstLine="0" w:firstLineChars="0"/>
              <w:jc w:val="left"/>
              <w:rPr>
                <w:rFonts w:ascii="仿宋" w:hAnsi="仿宋" w:eastAsia="仿宋" w:cs="仿宋"/>
                <w:b w:val="0"/>
                <w:color w:val="auto"/>
                <w:sz w:val="24"/>
                <w:szCs w:val="24"/>
                <w:lang w:val="en-US"/>
              </w:rPr>
            </w:pPr>
            <w:r>
              <w:rPr>
                <w:rFonts w:hint="eastAsia" w:ascii="仿宋" w:hAnsi="仿宋" w:eastAsia="仿宋" w:cs="仿宋"/>
                <w:b w:val="0"/>
                <w:color w:val="auto"/>
                <w:sz w:val="24"/>
                <w:szCs w:val="24"/>
                <w:lang w:val="en-US"/>
              </w:rPr>
              <w:t>全年无投诉得12分，出现投诉一次扣1分；投诉在3个工作日内予以有效解决不再继续扣分；一次投诉在3个工作日以上10个工作日以内予以有效解决每次扣4分；一次投诉在10个工作日以上仍未得到解决直接得0分。</w:t>
            </w:r>
          </w:p>
        </w:tc>
        <w:tc>
          <w:tcPr>
            <w:tcW w:w="1503" w:type="dxa"/>
            <w:vAlign w:val="center"/>
          </w:tcPr>
          <w:p>
            <w:pPr>
              <w:widowControl/>
              <w:snapToGrid/>
              <w:spacing w:line="240" w:lineRule="auto"/>
              <w:ind w:firstLine="0" w:firstLineChars="0"/>
              <w:jc w:val="left"/>
              <w:rPr>
                <w:rFonts w:ascii="仿宋" w:hAnsi="仿宋" w:eastAsia="仿宋" w:cs="仿宋"/>
                <w:b w:val="0"/>
                <w:color w:val="auto"/>
                <w:sz w:val="24"/>
                <w:szCs w:val="24"/>
                <w:lang w:val="en-US"/>
              </w:rPr>
            </w:pPr>
            <w:r>
              <w:rPr>
                <w:rFonts w:hint="eastAsia" w:ascii="仿宋" w:hAnsi="仿宋" w:eastAsia="仿宋" w:cs="仿宋"/>
                <w:b w:val="0"/>
                <w:color w:val="auto"/>
                <w:sz w:val="24"/>
                <w:szCs w:val="24"/>
                <w:lang w:val="en-US"/>
              </w:rPr>
              <w:t>　</w:t>
            </w:r>
          </w:p>
        </w:tc>
        <w:tc>
          <w:tcPr>
            <w:tcW w:w="458" w:type="dxa"/>
            <w:vAlign w:val="center"/>
          </w:tcPr>
          <w:p>
            <w:pPr>
              <w:widowControl/>
              <w:snapToGrid/>
              <w:spacing w:line="240" w:lineRule="auto"/>
              <w:ind w:firstLine="0" w:firstLineChars="0"/>
              <w:jc w:val="center"/>
              <w:rPr>
                <w:rFonts w:ascii="仿宋" w:hAnsi="仿宋" w:eastAsia="仿宋" w:cs="仿宋"/>
                <w:b w:val="0"/>
                <w:color w:val="auto"/>
                <w:sz w:val="24"/>
                <w:szCs w:val="24"/>
                <w:lang w:val="en-US"/>
              </w:rPr>
            </w:pPr>
            <w:r>
              <w:rPr>
                <w:rFonts w:hint="eastAsia" w:ascii="仿宋" w:hAnsi="仿宋" w:eastAsia="仿宋" w:cs="仿宋"/>
                <w:b w:val="0"/>
                <w:color w:val="auto"/>
                <w:sz w:val="24"/>
                <w:szCs w:val="24"/>
                <w:lang w:val="en-US"/>
              </w:rPr>
              <w:t>12</w:t>
            </w:r>
          </w:p>
        </w:tc>
        <w:tc>
          <w:tcPr>
            <w:tcW w:w="1670" w:type="dxa"/>
            <w:vAlign w:val="center"/>
          </w:tcPr>
          <w:p>
            <w:pPr>
              <w:widowControl/>
              <w:snapToGrid/>
              <w:spacing w:line="240" w:lineRule="auto"/>
              <w:ind w:firstLine="0" w:firstLineChars="0"/>
              <w:jc w:val="left"/>
              <w:rPr>
                <w:rFonts w:ascii="仿宋" w:hAnsi="仿宋" w:eastAsia="仿宋" w:cs="仿宋"/>
                <w:b w:val="0"/>
                <w:color w:val="auto"/>
                <w:sz w:val="24"/>
                <w:szCs w:val="24"/>
                <w:lang w:val="en-US"/>
              </w:rPr>
            </w:pPr>
            <w:r>
              <w:rPr>
                <w:rFonts w:hint="eastAsia" w:ascii="仿宋" w:hAnsi="仿宋" w:eastAsia="仿宋" w:cs="仿宋"/>
                <w:b w:val="0"/>
                <w:color w:val="auto"/>
                <w:sz w:val="24"/>
                <w:szCs w:val="24"/>
                <w:lang w:val="en-US"/>
              </w:rPr>
              <w:t>使用单位投诉情况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 w:hRule="atLeast"/>
        </w:trPr>
        <w:tc>
          <w:tcPr>
            <w:tcW w:w="458" w:type="dxa"/>
            <w:vAlign w:val="center"/>
          </w:tcPr>
          <w:p>
            <w:pPr>
              <w:widowControl/>
              <w:snapToGrid/>
              <w:spacing w:line="240" w:lineRule="auto"/>
              <w:ind w:firstLine="0" w:firstLineChars="0"/>
              <w:jc w:val="left"/>
              <w:rPr>
                <w:rFonts w:ascii="仿宋" w:hAnsi="仿宋" w:eastAsia="仿宋" w:cs="仿宋"/>
                <w:b w:val="0"/>
                <w:color w:val="auto"/>
                <w:sz w:val="24"/>
                <w:szCs w:val="24"/>
                <w:lang w:val="en-US"/>
              </w:rPr>
            </w:pPr>
            <w:r>
              <w:rPr>
                <w:rFonts w:hint="eastAsia" w:ascii="仿宋" w:hAnsi="仿宋" w:eastAsia="仿宋" w:cs="仿宋"/>
                <w:b w:val="0"/>
                <w:color w:val="auto"/>
                <w:sz w:val="24"/>
                <w:szCs w:val="24"/>
                <w:lang w:val="en-US"/>
              </w:rPr>
              <w:t>12</w:t>
            </w:r>
          </w:p>
        </w:tc>
        <w:tc>
          <w:tcPr>
            <w:tcW w:w="670" w:type="dxa"/>
            <w:vAlign w:val="center"/>
          </w:tcPr>
          <w:p>
            <w:pPr>
              <w:widowControl/>
              <w:snapToGrid/>
              <w:spacing w:line="240" w:lineRule="auto"/>
              <w:ind w:firstLine="0" w:firstLineChars="0"/>
              <w:jc w:val="left"/>
              <w:rPr>
                <w:rFonts w:ascii="仿宋" w:hAnsi="仿宋" w:eastAsia="仿宋" w:cs="仿宋"/>
                <w:b w:val="0"/>
                <w:color w:val="auto"/>
                <w:sz w:val="24"/>
                <w:szCs w:val="24"/>
                <w:lang w:val="en-US"/>
              </w:rPr>
            </w:pPr>
            <w:r>
              <w:rPr>
                <w:rFonts w:hint="eastAsia" w:ascii="仿宋" w:hAnsi="仿宋" w:eastAsia="仿宋" w:cs="仿宋"/>
                <w:b w:val="0"/>
                <w:color w:val="auto"/>
                <w:sz w:val="24"/>
                <w:szCs w:val="24"/>
                <w:lang w:val="en-US"/>
              </w:rPr>
              <w:t>单位评价</w:t>
            </w:r>
          </w:p>
        </w:tc>
        <w:tc>
          <w:tcPr>
            <w:tcW w:w="761" w:type="dxa"/>
            <w:vAlign w:val="center"/>
          </w:tcPr>
          <w:p>
            <w:pPr>
              <w:widowControl/>
              <w:snapToGrid/>
              <w:spacing w:line="240" w:lineRule="auto"/>
              <w:ind w:firstLine="0" w:firstLineChars="0"/>
              <w:jc w:val="left"/>
              <w:rPr>
                <w:rFonts w:ascii="仿宋" w:hAnsi="仿宋" w:eastAsia="仿宋" w:cs="仿宋"/>
                <w:b w:val="0"/>
                <w:color w:val="auto"/>
                <w:sz w:val="24"/>
                <w:szCs w:val="24"/>
                <w:lang w:val="en-US"/>
              </w:rPr>
            </w:pPr>
            <w:r>
              <w:rPr>
                <w:rFonts w:hint="eastAsia" w:ascii="仿宋" w:hAnsi="仿宋" w:eastAsia="仿宋" w:cs="仿宋"/>
                <w:b w:val="0"/>
                <w:color w:val="auto"/>
                <w:sz w:val="24"/>
                <w:szCs w:val="24"/>
                <w:lang w:val="en-US"/>
              </w:rPr>
              <w:t>使用单位整体评价</w:t>
            </w:r>
          </w:p>
        </w:tc>
        <w:tc>
          <w:tcPr>
            <w:tcW w:w="3909" w:type="dxa"/>
            <w:vAlign w:val="center"/>
          </w:tcPr>
          <w:p>
            <w:pPr>
              <w:widowControl/>
              <w:snapToGrid/>
              <w:spacing w:line="240" w:lineRule="auto"/>
              <w:ind w:firstLine="0" w:firstLineChars="0"/>
              <w:jc w:val="left"/>
              <w:rPr>
                <w:rFonts w:ascii="仿宋" w:hAnsi="仿宋" w:eastAsia="仿宋" w:cs="仿宋"/>
                <w:b w:val="0"/>
                <w:color w:val="auto"/>
                <w:sz w:val="24"/>
                <w:szCs w:val="24"/>
                <w:lang w:val="en-US"/>
              </w:rPr>
            </w:pPr>
            <w:r>
              <w:rPr>
                <w:rFonts w:hint="eastAsia" w:ascii="仿宋" w:hAnsi="仿宋" w:eastAsia="仿宋" w:cs="仿宋"/>
                <w:b w:val="0"/>
                <w:color w:val="auto"/>
                <w:sz w:val="24"/>
                <w:szCs w:val="24"/>
                <w:lang w:val="en-US"/>
              </w:rPr>
              <w:t>征询使用单位意见，全部评价为“好”得40分；出现一项为一般得30分；出现两项为一般得20分；评价为“一般”的出现3个的得10分；出现评价一般超过6个得0分；出现一项评价为“差”得0分。</w:t>
            </w:r>
          </w:p>
        </w:tc>
        <w:tc>
          <w:tcPr>
            <w:tcW w:w="1503" w:type="dxa"/>
            <w:vAlign w:val="center"/>
          </w:tcPr>
          <w:p>
            <w:pPr>
              <w:widowControl/>
              <w:snapToGrid/>
              <w:spacing w:line="240" w:lineRule="auto"/>
              <w:ind w:firstLine="0" w:firstLineChars="0"/>
              <w:jc w:val="left"/>
              <w:rPr>
                <w:rFonts w:ascii="仿宋" w:hAnsi="仿宋" w:eastAsia="仿宋" w:cs="仿宋"/>
                <w:b w:val="0"/>
                <w:color w:val="auto"/>
                <w:sz w:val="24"/>
                <w:szCs w:val="24"/>
                <w:lang w:val="en-US"/>
              </w:rPr>
            </w:pPr>
            <w:r>
              <w:rPr>
                <w:rFonts w:hint="eastAsia" w:ascii="仿宋" w:hAnsi="仿宋" w:eastAsia="仿宋" w:cs="仿宋"/>
                <w:b w:val="0"/>
                <w:color w:val="auto"/>
                <w:sz w:val="24"/>
                <w:szCs w:val="24"/>
                <w:lang w:val="en-US"/>
              </w:rPr>
              <w:t>　</w:t>
            </w:r>
          </w:p>
        </w:tc>
        <w:tc>
          <w:tcPr>
            <w:tcW w:w="458" w:type="dxa"/>
            <w:vAlign w:val="center"/>
          </w:tcPr>
          <w:p>
            <w:pPr>
              <w:widowControl/>
              <w:snapToGrid/>
              <w:spacing w:line="240" w:lineRule="auto"/>
              <w:ind w:firstLine="0" w:firstLineChars="0"/>
              <w:jc w:val="center"/>
              <w:rPr>
                <w:rFonts w:ascii="仿宋" w:hAnsi="仿宋" w:eastAsia="仿宋" w:cs="仿宋"/>
                <w:b w:val="0"/>
                <w:color w:val="auto"/>
                <w:sz w:val="24"/>
                <w:szCs w:val="24"/>
                <w:lang w:val="en-US"/>
              </w:rPr>
            </w:pPr>
            <w:r>
              <w:rPr>
                <w:rFonts w:hint="eastAsia" w:ascii="仿宋" w:hAnsi="仿宋" w:eastAsia="仿宋" w:cs="仿宋"/>
                <w:b w:val="0"/>
                <w:color w:val="auto"/>
                <w:sz w:val="24"/>
                <w:szCs w:val="24"/>
                <w:lang w:val="en-US"/>
              </w:rPr>
              <w:t>40</w:t>
            </w:r>
          </w:p>
        </w:tc>
        <w:tc>
          <w:tcPr>
            <w:tcW w:w="1670" w:type="dxa"/>
            <w:vAlign w:val="center"/>
          </w:tcPr>
          <w:p>
            <w:pPr>
              <w:widowControl/>
              <w:snapToGrid/>
              <w:spacing w:line="240" w:lineRule="auto"/>
              <w:ind w:firstLine="0" w:firstLineChars="0"/>
              <w:jc w:val="left"/>
              <w:rPr>
                <w:rFonts w:ascii="仿宋" w:hAnsi="仿宋" w:eastAsia="仿宋" w:cs="仿宋"/>
                <w:b w:val="0"/>
                <w:color w:val="auto"/>
                <w:sz w:val="24"/>
                <w:szCs w:val="24"/>
                <w:lang w:val="en-US"/>
              </w:rPr>
            </w:pPr>
            <w:r>
              <w:rPr>
                <w:rFonts w:hint="eastAsia" w:ascii="仿宋" w:hAnsi="仿宋" w:eastAsia="仿宋" w:cs="仿宋"/>
                <w:b w:val="0"/>
                <w:color w:val="auto"/>
                <w:sz w:val="24"/>
                <w:szCs w:val="24"/>
                <w:lang w:val="en-US"/>
              </w:rPr>
              <w:t>问卷调查形式</w:t>
            </w:r>
          </w:p>
        </w:tc>
      </w:tr>
    </w:tbl>
    <w:p>
      <w:pPr>
        <w:pStyle w:val="3"/>
        <w:keepNext w:val="0"/>
        <w:keepLines w:val="0"/>
        <w:numPr>
          <w:ilvl w:val="0"/>
          <w:numId w:val="17"/>
        </w:numPr>
        <w:spacing w:beforeLines="50" w:after="0" w:line="360" w:lineRule="auto"/>
        <w:ind w:left="0" w:firstLine="0"/>
        <w:rPr>
          <w:rFonts w:ascii="仿宋" w:hAnsi="仿宋" w:eastAsia="仿宋"/>
          <w:b/>
          <w:color w:val="auto"/>
        </w:rPr>
      </w:pPr>
      <w:r>
        <w:rPr>
          <w:rFonts w:ascii="仿宋" w:hAnsi="仿宋" w:eastAsia="仿宋"/>
          <w:b/>
          <w:color w:val="auto"/>
        </w:rPr>
        <w:br w:type="page"/>
      </w:r>
      <w:r>
        <w:rPr>
          <w:rFonts w:ascii="仿宋" w:hAnsi="仿宋" w:eastAsia="仿宋"/>
          <w:b/>
          <w:color w:val="auto"/>
        </w:rPr>
        <w:t xml:space="preserve"> </w:t>
      </w:r>
      <w:bookmarkStart w:id="462" w:name="_Toc40703454"/>
      <w:bookmarkStart w:id="463" w:name="_Toc36029485"/>
      <w:r>
        <w:rPr>
          <w:rFonts w:ascii="仿宋" w:hAnsi="仿宋" w:eastAsia="仿宋"/>
          <w:b/>
          <w:color w:val="auto"/>
        </w:rPr>
        <w:t>评标办法</w:t>
      </w:r>
      <w:bookmarkEnd w:id="447"/>
      <w:bookmarkEnd w:id="462"/>
      <w:bookmarkEnd w:id="463"/>
      <w:bookmarkStart w:id="464" w:name="_Hlt101846155"/>
      <w:bookmarkEnd w:id="464"/>
      <w:bookmarkStart w:id="465" w:name="_Toc183582280"/>
      <w:bookmarkStart w:id="466" w:name="_Toc183682415"/>
      <w:bookmarkStart w:id="467" w:name="_Toc208849007"/>
      <w:bookmarkStart w:id="468" w:name="_Toc217446097"/>
    </w:p>
    <w:bookmarkEnd w:id="465"/>
    <w:bookmarkEnd w:id="466"/>
    <w:bookmarkEnd w:id="467"/>
    <w:bookmarkEnd w:id="468"/>
    <w:p>
      <w:pPr>
        <w:keepNext/>
        <w:numPr>
          <w:ilvl w:val="1"/>
          <w:numId w:val="17"/>
        </w:numPr>
        <w:tabs>
          <w:tab w:val="left" w:pos="360"/>
        </w:tabs>
        <w:spacing w:line="540" w:lineRule="exact"/>
        <w:ind w:left="0" w:firstLine="0" w:firstLineChars="0"/>
        <w:jc w:val="left"/>
        <w:outlineLvl w:val="1"/>
        <w:rPr>
          <w:rFonts w:ascii="仿宋" w:hAnsi="仿宋" w:eastAsia="仿宋"/>
          <w:bCs/>
          <w:color w:val="auto"/>
          <w:kern w:val="2"/>
          <w:sz w:val="24"/>
          <w:szCs w:val="24"/>
          <w:lang w:val="en-US"/>
        </w:rPr>
      </w:pPr>
      <w:bookmarkStart w:id="469" w:name="_Toc5815"/>
      <w:bookmarkStart w:id="470" w:name="_Toc217446099"/>
      <w:r>
        <w:rPr>
          <w:rFonts w:ascii="仿宋" w:hAnsi="仿宋" w:eastAsia="仿宋"/>
          <w:bCs/>
          <w:color w:val="auto"/>
          <w:kern w:val="2"/>
          <w:sz w:val="24"/>
          <w:szCs w:val="24"/>
          <w:lang w:val="en-US"/>
        </w:rPr>
        <w:t xml:space="preserve"> </w:t>
      </w:r>
      <w:bookmarkStart w:id="471" w:name="_Toc40703455"/>
      <w:bookmarkStart w:id="472" w:name="_Toc494198620"/>
      <w:bookmarkStart w:id="473" w:name="_Toc36029486"/>
      <w:bookmarkStart w:id="474" w:name="_Toc496605653"/>
      <w:r>
        <w:rPr>
          <w:rFonts w:ascii="仿宋" w:hAnsi="仿宋" w:eastAsia="仿宋"/>
          <w:bCs/>
          <w:color w:val="auto"/>
          <w:kern w:val="2"/>
          <w:sz w:val="24"/>
          <w:szCs w:val="24"/>
          <w:lang w:val="en-US"/>
        </w:rPr>
        <w:t>总则</w:t>
      </w:r>
      <w:bookmarkEnd w:id="469"/>
      <w:bookmarkEnd w:id="471"/>
      <w:bookmarkEnd w:id="472"/>
      <w:bookmarkEnd w:id="473"/>
      <w:bookmarkEnd w:id="474"/>
    </w:p>
    <w:p>
      <w:pPr>
        <w:numPr>
          <w:ilvl w:val="2"/>
          <w:numId w:val="17"/>
        </w:numPr>
        <w:tabs>
          <w:tab w:val="left" w:pos="360"/>
        </w:tabs>
        <w:snapToGrid/>
        <w:spacing w:line="520" w:lineRule="exact"/>
        <w:ind w:left="0" w:firstLine="480"/>
        <w:jc w:val="left"/>
        <w:outlineLvl w:val="2"/>
        <w:rPr>
          <w:rFonts w:ascii="仿宋" w:hAnsi="仿宋" w:eastAsia="仿宋"/>
          <w:b w:val="0"/>
          <w:bCs/>
          <w:color w:val="auto"/>
          <w:kern w:val="2"/>
          <w:sz w:val="24"/>
          <w:szCs w:val="24"/>
          <w:lang w:val="en-US"/>
        </w:rPr>
      </w:pPr>
      <w:bookmarkStart w:id="475" w:name="_Toc475005614"/>
      <w:bookmarkStart w:id="476" w:name="_Toc494198621"/>
      <w:bookmarkStart w:id="477" w:name="_Toc466896283"/>
      <w:bookmarkStart w:id="478" w:name="_Toc482094361"/>
      <w:bookmarkStart w:id="479" w:name="_Toc496605654"/>
      <w:bookmarkStart w:id="480" w:name="_Toc476748789"/>
      <w:bookmarkStart w:id="481" w:name="_Toc500492749"/>
      <w:bookmarkStart w:id="482" w:name="_Toc477425569"/>
      <w:bookmarkStart w:id="483" w:name="_Toc494198947"/>
      <w:bookmarkStart w:id="484" w:name="_Toc466292933"/>
      <w:r>
        <w:rPr>
          <w:rFonts w:ascii="仿宋" w:hAnsi="仿宋" w:eastAsia="仿宋"/>
          <w:b w:val="0"/>
          <w:bCs/>
          <w:color w:val="auto"/>
          <w:kern w:val="2"/>
          <w:sz w:val="24"/>
          <w:szCs w:val="24"/>
          <w:lang w:val="en-US"/>
        </w:rPr>
        <w:t>根据《中华人民共和国政府采购法》、《中华人民共和国政府采购法实施条例》、《政府采购货物和服务招标投标管理办法》（财政部令第87号）等法律规章，结合采购项目特点制定本评标办法。</w:t>
      </w:r>
      <w:bookmarkEnd w:id="475"/>
      <w:bookmarkEnd w:id="476"/>
      <w:bookmarkEnd w:id="477"/>
      <w:bookmarkEnd w:id="478"/>
      <w:bookmarkEnd w:id="479"/>
      <w:bookmarkEnd w:id="480"/>
      <w:bookmarkEnd w:id="481"/>
      <w:bookmarkEnd w:id="482"/>
      <w:bookmarkEnd w:id="483"/>
      <w:bookmarkEnd w:id="484"/>
    </w:p>
    <w:p>
      <w:pPr>
        <w:numPr>
          <w:ilvl w:val="2"/>
          <w:numId w:val="17"/>
        </w:numPr>
        <w:tabs>
          <w:tab w:val="left" w:pos="360"/>
        </w:tabs>
        <w:snapToGrid/>
        <w:spacing w:line="520" w:lineRule="exact"/>
        <w:ind w:left="0" w:firstLine="480"/>
        <w:jc w:val="left"/>
        <w:outlineLvl w:val="2"/>
        <w:rPr>
          <w:rFonts w:ascii="仿宋" w:hAnsi="仿宋" w:eastAsia="仿宋"/>
          <w:b w:val="0"/>
          <w:bCs/>
          <w:color w:val="auto"/>
          <w:kern w:val="2"/>
          <w:sz w:val="24"/>
          <w:szCs w:val="24"/>
          <w:lang w:val="en-US"/>
        </w:rPr>
      </w:pPr>
      <w:bookmarkStart w:id="485" w:name="_Toc494198949"/>
      <w:bookmarkStart w:id="486" w:name="_Toc500492750"/>
      <w:bookmarkStart w:id="487" w:name="_Toc494198623"/>
      <w:bookmarkStart w:id="488" w:name="_Toc496605655"/>
      <w:r>
        <w:rPr>
          <w:rFonts w:ascii="仿宋" w:hAnsi="仿宋" w:eastAsia="仿宋"/>
          <w:b w:val="0"/>
          <w:bCs/>
          <w:color w:val="auto"/>
          <w:kern w:val="2"/>
          <w:sz w:val="24"/>
          <w:szCs w:val="24"/>
          <w:lang w:val="en-US"/>
        </w:rPr>
        <w:t>采购人或者采购代理机构负责组织评标工作，并履行下列职责：</w:t>
      </w:r>
      <w:bookmarkEnd w:id="485"/>
      <w:bookmarkEnd w:id="486"/>
      <w:bookmarkEnd w:id="487"/>
      <w:bookmarkEnd w:id="488"/>
    </w:p>
    <w:p>
      <w:pPr>
        <w:numPr>
          <w:ilvl w:val="0"/>
          <w:numId w:val="51"/>
        </w:numPr>
        <w:tabs>
          <w:tab w:val="left" w:pos="709"/>
          <w:tab w:val="left" w:pos="851"/>
        </w:tabs>
        <w:spacing w:line="540" w:lineRule="exact"/>
        <w:ind w:left="0" w:firstLine="480"/>
        <w:rPr>
          <w:rFonts w:ascii="仿宋" w:hAnsi="仿宋" w:eastAsia="仿宋"/>
          <w:b w:val="0"/>
          <w:color w:val="auto"/>
          <w:sz w:val="24"/>
          <w:szCs w:val="24"/>
        </w:rPr>
      </w:pPr>
      <w:r>
        <w:rPr>
          <w:rFonts w:ascii="仿宋" w:hAnsi="仿宋" w:eastAsia="仿宋"/>
          <w:b w:val="0"/>
          <w:color w:val="auto"/>
          <w:sz w:val="24"/>
          <w:szCs w:val="24"/>
        </w:rPr>
        <w:t>核对评审专家身份和采购人代表授权函，对评审专家在政府采购活动中的职责履行情况予以记录，并及时将有关违法违规行为向财政部门报告；</w:t>
      </w:r>
    </w:p>
    <w:p>
      <w:pPr>
        <w:numPr>
          <w:ilvl w:val="0"/>
          <w:numId w:val="51"/>
        </w:numPr>
        <w:tabs>
          <w:tab w:val="left" w:pos="851"/>
        </w:tabs>
        <w:spacing w:line="540" w:lineRule="exact"/>
        <w:ind w:left="0" w:firstLine="480"/>
        <w:rPr>
          <w:rFonts w:ascii="仿宋" w:hAnsi="仿宋" w:eastAsia="仿宋"/>
          <w:b w:val="0"/>
          <w:color w:val="auto"/>
          <w:sz w:val="24"/>
          <w:szCs w:val="24"/>
        </w:rPr>
      </w:pPr>
      <w:r>
        <w:rPr>
          <w:rFonts w:ascii="仿宋" w:hAnsi="仿宋" w:eastAsia="仿宋"/>
          <w:b w:val="0"/>
          <w:color w:val="auto"/>
          <w:sz w:val="24"/>
          <w:szCs w:val="24"/>
        </w:rPr>
        <w:t>宣布评标纪律；</w:t>
      </w:r>
    </w:p>
    <w:p>
      <w:pPr>
        <w:numPr>
          <w:ilvl w:val="0"/>
          <w:numId w:val="51"/>
        </w:numPr>
        <w:tabs>
          <w:tab w:val="left" w:pos="851"/>
        </w:tabs>
        <w:spacing w:line="540" w:lineRule="exact"/>
        <w:ind w:left="0" w:firstLine="480"/>
        <w:rPr>
          <w:rFonts w:ascii="仿宋" w:hAnsi="仿宋" w:eastAsia="仿宋"/>
          <w:b w:val="0"/>
          <w:color w:val="auto"/>
          <w:sz w:val="24"/>
          <w:szCs w:val="24"/>
        </w:rPr>
      </w:pPr>
      <w:r>
        <w:rPr>
          <w:rFonts w:ascii="仿宋" w:hAnsi="仿宋" w:eastAsia="仿宋"/>
          <w:b w:val="0"/>
          <w:color w:val="auto"/>
          <w:sz w:val="24"/>
          <w:szCs w:val="24"/>
        </w:rPr>
        <w:t>公布投标人名单，告知评审专家应当回避的情形；</w:t>
      </w:r>
    </w:p>
    <w:p>
      <w:pPr>
        <w:numPr>
          <w:ilvl w:val="0"/>
          <w:numId w:val="51"/>
        </w:numPr>
        <w:tabs>
          <w:tab w:val="left" w:pos="851"/>
        </w:tabs>
        <w:spacing w:line="540" w:lineRule="exact"/>
        <w:ind w:left="0" w:firstLine="480"/>
        <w:rPr>
          <w:rFonts w:ascii="仿宋" w:hAnsi="仿宋" w:eastAsia="仿宋"/>
          <w:b w:val="0"/>
          <w:color w:val="auto"/>
          <w:sz w:val="24"/>
          <w:szCs w:val="24"/>
        </w:rPr>
      </w:pPr>
      <w:r>
        <w:rPr>
          <w:rFonts w:ascii="仿宋" w:hAnsi="仿宋" w:eastAsia="仿宋"/>
          <w:b w:val="0"/>
          <w:color w:val="auto"/>
          <w:sz w:val="24"/>
          <w:szCs w:val="24"/>
        </w:rPr>
        <w:t>组织评标委员会推选评标组长，采购人代表不得担任组长；</w:t>
      </w:r>
    </w:p>
    <w:p>
      <w:pPr>
        <w:numPr>
          <w:ilvl w:val="0"/>
          <w:numId w:val="51"/>
        </w:numPr>
        <w:tabs>
          <w:tab w:val="left" w:pos="851"/>
        </w:tabs>
        <w:spacing w:line="540" w:lineRule="exact"/>
        <w:ind w:left="0" w:firstLine="480"/>
        <w:rPr>
          <w:rFonts w:ascii="仿宋" w:hAnsi="仿宋" w:eastAsia="仿宋"/>
          <w:b w:val="0"/>
          <w:color w:val="auto"/>
          <w:sz w:val="24"/>
          <w:szCs w:val="24"/>
        </w:rPr>
      </w:pPr>
      <w:r>
        <w:rPr>
          <w:rFonts w:ascii="仿宋" w:hAnsi="仿宋" w:eastAsia="仿宋"/>
          <w:b w:val="0"/>
          <w:color w:val="auto"/>
          <w:sz w:val="24"/>
          <w:szCs w:val="24"/>
        </w:rPr>
        <w:t>在评标期间采取必要的通讯管理措施，保证评标活动不受外界干扰；</w:t>
      </w:r>
    </w:p>
    <w:p>
      <w:pPr>
        <w:numPr>
          <w:ilvl w:val="0"/>
          <w:numId w:val="51"/>
        </w:numPr>
        <w:tabs>
          <w:tab w:val="left" w:pos="851"/>
        </w:tabs>
        <w:spacing w:line="540" w:lineRule="exact"/>
        <w:ind w:left="0" w:firstLine="480"/>
        <w:rPr>
          <w:rFonts w:ascii="仿宋" w:hAnsi="仿宋" w:eastAsia="仿宋"/>
          <w:b w:val="0"/>
          <w:color w:val="auto"/>
          <w:sz w:val="24"/>
          <w:szCs w:val="24"/>
        </w:rPr>
      </w:pPr>
      <w:r>
        <w:rPr>
          <w:rFonts w:ascii="仿宋" w:hAnsi="仿宋" w:eastAsia="仿宋"/>
          <w:b w:val="0"/>
          <w:color w:val="auto"/>
          <w:sz w:val="24"/>
          <w:szCs w:val="24"/>
        </w:rPr>
        <w:t>根据评标委员会的要求介绍政府采购相关政策法规、招标文件；</w:t>
      </w:r>
    </w:p>
    <w:p>
      <w:pPr>
        <w:numPr>
          <w:ilvl w:val="0"/>
          <w:numId w:val="51"/>
        </w:numPr>
        <w:tabs>
          <w:tab w:val="left" w:pos="851"/>
        </w:tabs>
        <w:spacing w:line="540" w:lineRule="exact"/>
        <w:ind w:left="0" w:firstLine="480"/>
        <w:rPr>
          <w:rFonts w:ascii="仿宋" w:hAnsi="仿宋" w:eastAsia="仿宋"/>
          <w:b w:val="0"/>
          <w:color w:val="auto"/>
          <w:sz w:val="24"/>
          <w:szCs w:val="24"/>
        </w:rPr>
      </w:pPr>
      <w:r>
        <w:rPr>
          <w:rFonts w:ascii="仿宋" w:hAnsi="仿宋" w:eastAsia="仿宋"/>
          <w:b w:val="0"/>
          <w:color w:val="auto"/>
          <w:sz w:val="24"/>
          <w:szCs w:val="24"/>
        </w:rPr>
        <w:t>维护评标秩序，监督评标委员会依照招标文件规定的评标程序、方法和标准进行独立评审，及时制止和纠正采购人代表、评审专家的倾向性言论或者违法违规行为；</w:t>
      </w:r>
    </w:p>
    <w:p>
      <w:pPr>
        <w:numPr>
          <w:ilvl w:val="0"/>
          <w:numId w:val="51"/>
        </w:numPr>
        <w:tabs>
          <w:tab w:val="left" w:pos="851"/>
        </w:tabs>
        <w:spacing w:line="540" w:lineRule="exact"/>
        <w:ind w:left="0" w:firstLine="480"/>
        <w:rPr>
          <w:rFonts w:ascii="仿宋" w:hAnsi="仿宋" w:eastAsia="仿宋"/>
          <w:b w:val="0"/>
          <w:color w:val="auto"/>
          <w:sz w:val="24"/>
          <w:szCs w:val="24"/>
        </w:rPr>
      </w:pPr>
      <w:r>
        <w:rPr>
          <w:rFonts w:ascii="仿宋" w:hAnsi="仿宋" w:eastAsia="仿宋"/>
          <w:b w:val="0"/>
          <w:color w:val="auto"/>
          <w:sz w:val="24"/>
          <w:szCs w:val="24"/>
        </w:rPr>
        <w:t>核对评标结果，有</w:t>
      </w:r>
      <w:r>
        <w:rPr>
          <w:rFonts w:ascii="仿宋" w:hAnsi="仿宋" w:eastAsia="仿宋"/>
          <w:b w:val="0"/>
          <w:bCs/>
          <w:color w:val="auto"/>
          <w:sz w:val="24"/>
          <w:szCs w:val="24"/>
        </w:rPr>
        <w:t>中华人民共和国财政部令第87号--政府采购货物和服务招标投标管理办法</w:t>
      </w:r>
      <w:r>
        <w:rPr>
          <w:rFonts w:ascii="仿宋" w:hAnsi="仿宋" w:eastAsia="仿宋"/>
          <w:b w:val="0"/>
          <w:color w:val="auto"/>
          <w:sz w:val="24"/>
          <w:szCs w:val="24"/>
        </w:rPr>
        <w:t>第六十四条规定情形的，要求评标委员会复核或者书面说明理由，评标委员会拒绝的，应予记录并向本级财政部门报告；</w:t>
      </w:r>
    </w:p>
    <w:p>
      <w:pPr>
        <w:numPr>
          <w:ilvl w:val="0"/>
          <w:numId w:val="51"/>
        </w:numPr>
        <w:tabs>
          <w:tab w:val="left" w:pos="709"/>
          <w:tab w:val="left" w:pos="851"/>
        </w:tabs>
        <w:spacing w:line="540" w:lineRule="exact"/>
        <w:ind w:left="0" w:firstLine="480"/>
        <w:rPr>
          <w:rFonts w:ascii="仿宋" w:hAnsi="仿宋" w:eastAsia="仿宋"/>
          <w:b w:val="0"/>
          <w:color w:val="auto"/>
          <w:sz w:val="24"/>
          <w:szCs w:val="24"/>
        </w:rPr>
      </w:pPr>
      <w:r>
        <w:rPr>
          <w:rFonts w:ascii="仿宋" w:hAnsi="仿宋" w:eastAsia="仿宋"/>
          <w:b w:val="0"/>
          <w:color w:val="auto"/>
          <w:sz w:val="24"/>
          <w:szCs w:val="24"/>
        </w:rPr>
        <w:t>评审工作完成后，按照规定向评审专家支付劳务报酬和异地评审差旅费，不得向评审专家以外的其他人员支付评审劳务报酬；</w:t>
      </w:r>
    </w:p>
    <w:p>
      <w:pPr>
        <w:numPr>
          <w:ilvl w:val="0"/>
          <w:numId w:val="51"/>
        </w:numPr>
        <w:tabs>
          <w:tab w:val="left" w:pos="851"/>
        </w:tabs>
        <w:spacing w:line="540" w:lineRule="exact"/>
        <w:ind w:left="0" w:firstLine="480"/>
        <w:rPr>
          <w:rFonts w:ascii="仿宋" w:hAnsi="仿宋" w:eastAsia="仿宋"/>
          <w:b w:val="0"/>
          <w:color w:val="auto"/>
          <w:sz w:val="24"/>
          <w:szCs w:val="24"/>
        </w:rPr>
      </w:pPr>
      <w:r>
        <w:rPr>
          <w:rFonts w:ascii="仿宋" w:hAnsi="仿宋" w:eastAsia="仿宋"/>
          <w:b w:val="0"/>
          <w:color w:val="auto"/>
          <w:sz w:val="24"/>
          <w:szCs w:val="24"/>
        </w:rPr>
        <w:t>处理与评标有关的其他事项。</w:t>
      </w:r>
    </w:p>
    <w:p>
      <w:pPr>
        <w:numPr>
          <w:ilvl w:val="2"/>
          <w:numId w:val="17"/>
        </w:numPr>
        <w:tabs>
          <w:tab w:val="left" w:pos="360"/>
        </w:tabs>
        <w:snapToGrid/>
        <w:spacing w:line="520" w:lineRule="exact"/>
        <w:ind w:left="0" w:firstLine="480"/>
        <w:jc w:val="left"/>
        <w:outlineLvl w:val="2"/>
        <w:rPr>
          <w:rFonts w:ascii="仿宋" w:hAnsi="仿宋" w:eastAsia="仿宋"/>
          <w:b w:val="0"/>
          <w:bCs/>
          <w:color w:val="auto"/>
          <w:kern w:val="2"/>
          <w:sz w:val="24"/>
          <w:szCs w:val="24"/>
          <w:lang w:val="en-US"/>
        </w:rPr>
      </w:pPr>
      <w:bookmarkStart w:id="489" w:name="_Toc494198624"/>
      <w:bookmarkStart w:id="490" w:name="_Toc494198950"/>
      <w:bookmarkStart w:id="491" w:name="_Toc496605656"/>
      <w:bookmarkStart w:id="492" w:name="_Toc500492751"/>
      <w:r>
        <w:rPr>
          <w:rFonts w:ascii="仿宋" w:hAnsi="仿宋" w:eastAsia="仿宋"/>
          <w:b w:val="0"/>
          <w:bCs/>
          <w:color w:val="auto"/>
          <w:kern w:val="2"/>
          <w:sz w:val="24"/>
          <w:szCs w:val="24"/>
          <w:lang w:val="en-US"/>
        </w:rPr>
        <w:t>采购人可以在评标前说明项目背景和采购需求，说明内容不得含有歧视性、倾向性意见，不得超出招标文件所述范围。说明应当提交书面材料，并随招标文件一并存档。</w:t>
      </w:r>
      <w:bookmarkEnd w:id="489"/>
      <w:bookmarkEnd w:id="490"/>
      <w:bookmarkEnd w:id="491"/>
      <w:bookmarkEnd w:id="492"/>
    </w:p>
    <w:p>
      <w:pPr>
        <w:numPr>
          <w:ilvl w:val="2"/>
          <w:numId w:val="17"/>
        </w:numPr>
        <w:tabs>
          <w:tab w:val="left" w:pos="360"/>
        </w:tabs>
        <w:snapToGrid/>
        <w:spacing w:line="520" w:lineRule="exact"/>
        <w:ind w:left="0" w:firstLine="480"/>
        <w:jc w:val="left"/>
        <w:outlineLvl w:val="2"/>
        <w:rPr>
          <w:rFonts w:ascii="仿宋" w:hAnsi="仿宋" w:eastAsia="仿宋"/>
          <w:b w:val="0"/>
          <w:bCs/>
          <w:color w:val="auto"/>
          <w:kern w:val="2"/>
          <w:sz w:val="24"/>
          <w:szCs w:val="24"/>
          <w:lang w:val="en-US"/>
        </w:rPr>
      </w:pPr>
      <w:bookmarkStart w:id="493" w:name="_Toc500492752"/>
      <w:bookmarkStart w:id="494" w:name="_Toc496605657"/>
      <w:bookmarkStart w:id="495" w:name="_Toc494198625"/>
      <w:bookmarkStart w:id="496" w:name="_Toc477425570"/>
      <w:bookmarkStart w:id="497" w:name="_Toc466896284"/>
      <w:bookmarkStart w:id="498" w:name="_Toc494198951"/>
      <w:bookmarkStart w:id="499" w:name="_Toc482094362"/>
      <w:bookmarkStart w:id="500" w:name="_Toc466292934"/>
      <w:bookmarkStart w:id="501" w:name="_Toc475005615"/>
      <w:bookmarkStart w:id="502" w:name="_Toc476748790"/>
      <w:r>
        <w:rPr>
          <w:rFonts w:ascii="仿宋" w:hAnsi="仿宋" w:eastAsia="仿宋"/>
          <w:b w:val="0"/>
          <w:bCs/>
          <w:color w:val="auto"/>
          <w:kern w:val="2"/>
          <w:sz w:val="24"/>
          <w:szCs w:val="24"/>
          <w:lang w:val="en-US"/>
        </w:rPr>
        <w:t>评标工作由采购代理机构负责组织，具体评标事务由依法组建的评标委员会负责。评标委员会由采购人代表和有关技术、经济等方面的专家组成。</w:t>
      </w:r>
      <w:bookmarkEnd w:id="493"/>
      <w:bookmarkEnd w:id="494"/>
      <w:bookmarkEnd w:id="495"/>
      <w:bookmarkEnd w:id="496"/>
      <w:bookmarkEnd w:id="497"/>
      <w:bookmarkEnd w:id="498"/>
      <w:bookmarkEnd w:id="499"/>
      <w:bookmarkEnd w:id="500"/>
      <w:bookmarkEnd w:id="501"/>
      <w:bookmarkEnd w:id="502"/>
    </w:p>
    <w:p>
      <w:pPr>
        <w:numPr>
          <w:ilvl w:val="2"/>
          <w:numId w:val="17"/>
        </w:numPr>
        <w:tabs>
          <w:tab w:val="left" w:pos="360"/>
        </w:tabs>
        <w:snapToGrid/>
        <w:spacing w:line="520" w:lineRule="exact"/>
        <w:ind w:left="0" w:firstLine="480"/>
        <w:jc w:val="left"/>
        <w:outlineLvl w:val="2"/>
        <w:rPr>
          <w:rFonts w:ascii="仿宋" w:hAnsi="仿宋" w:eastAsia="仿宋"/>
          <w:b w:val="0"/>
          <w:bCs/>
          <w:color w:val="auto"/>
          <w:kern w:val="2"/>
          <w:sz w:val="24"/>
          <w:szCs w:val="24"/>
          <w:lang w:val="en-US"/>
        </w:rPr>
      </w:pPr>
      <w:bookmarkStart w:id="503" w:name="_Toc496605658"/>
      <w:bookmarkStart w:id="504" w:name="_Toc494198626"/>
      <w:bookmarkStart w:id="505" w:name="_Toc466896285"/>
      <w:bookmarkStart w:id="506" w:name="_Toc500492753"/>
      <w:bookmarkStart w:id="507" w:name="_Toc475005616"/>
      <w:bookmarkStart w:id="508" w:name="_Toc466292935"/>
      <w:bookmarkStart w:id="509" w:name="_Toc494198952"/>
      <w:bookmarkStart w:id="510" w:name="_Toc477425571"/>
      <w:bookmarkStart w:id="511" w:name="_Toc476748791"/>
      <w:bookmarkStart w:id="512" w:name="_Toc482094363"/>
      <w:r>
        <w:rPr>
          <w:rFonts w:ascii="仿宋" w:hAnsi="仿宋" w:eastAsia="仿宋"/>
          <w:b w:val="0"/>
          <w:bCs/>
          <w:color w:val="auto"/>
          <w:kern w:val="2"/>
          <w:sz w:val="24"/>
          <w:szCs w:val="24"/>
          <w:lang w:val="en-US"/>
        </w:rPr>
        <w:t>评标工作应遵循公平、公正、科学及择优的原则，并以相同的评标程序和标准对待所有的投标人。</w:t>
      </w:r>
      <w:bookmarkEnd w:id="503"/>
      <w:bookmarkEnd w:id="504"/>
      <w:bookmarkEnd w:id="505"/>
      <w:bookmarkEnd w:id="506"/>
      <w:bookmarkEnd w:id="507"/>
      <w:bookmarkEnd w:id="508"/>
      <w:bookmarkEnd w:id="509"/>
      <w:bookmarkEnd w:id="510"/>
      <w:bookmarkEnd w:id="511"/>
      <w:bookmarkEnd w:id="512"/>
    </w:p>
    <w:p>
      <w:pPr>
        <w:numPr>
          <w:ilvl w:val="2"/>
          <w:numId w:val="17"/>
        </w:numPr>
        <w:tabs>
          <w:tab w:val="left" w:pos="360"/>
        </w:tabs>
        <w:snapToGrid/>
        <w:spacing w:line="520" w:lineRule="exact"/>
        <w:ind w:left="0" w:firstLine="480"/>
        <w:jc w:val="left"/>
        <w:outlineLvl w:val="2"/>
        <w:rPr>
          <w:rFonts w:ascii="仿宋" w:hAnsi="仿宋" w:eastAsia="仿宋"/>
          <w:b w:val="0"/>
          <w:bCs/>
          <w:color w:val="auto"/>
          <w:kern w:val="2"/>
          <w:sz w:val="24"/>
          <w:szCs w:val="24"/>
          <w:lang w:val="en-US"/>
        </w:rPr>
      </w:pPr>
      <w:bookmarkStart w:id="513" w:name="_Toc494198953"/>
      <w:bookmarkStart w:id="514" w:name="_Toc496605659"/>
      <w:bookmarkStart w:id="515" w:name="_Toc500492754"/>
      <w:bookmarkStart w:id="516" w:name="_Toc494198627"/>
      <w:r>
        <w:rPr>
          <w:rFonts w:ascii="仿宋" w:hAnsi="仿宋" w:eastAsia="仿宋"/>
          <w:b w:val="0"/>
          <w:bCs/>
          <w:color w:val="auto"/>
          <w:kern w:val="2"/>
          <w:sz w:val="24"/>
          <w:szCs w:val="24"/>
          <w:lang w:val="en-US"/>
        </w:rPr>
        <w:t>评标委员会负责具体评标事务，并独立履行下列职责：</w:t>
      </w:r>
      <w:bookmarkEnd w:id="513"/>
      <w:bookmarkEnd w:id="514"/>
      <w:bookmarkEnd w:id="515"/>
      <w:bookmarkEnd w:id="516"/>
    </w:p>
    <w:p>
      <w:pPr>
        <w:numPr>
          <w:ilvl w:val="0"/>
          <w:numId w:val="52"/>
        </w:numPr>
        <w:tabs>
          <w:tab w:val="left" w:pos="851"/>
        </w:tabs>
        <w:spacing w:line="540" w:lineRule="exact"/>
        <w:ind w:left="0" w:firstLine="480"/>
        <w:rPr>
          <w:rFonts w:ascii="仿宋" w:hAnsi="仿宋" w:eastAsia="仿宋"/>
          <w:b w:val="0"/>
          <w:color w:val="auto"/>
          <w:sz w:val="24"/>
          <w:szCs w:val="24"/>
        </w:rPr>
      </w:pPr>
      <w:r>
        <w:rPr>
          <w:rFonts w:ascii="仿宋" w:hAnsi="仿宋" w:eastAsia="仿宋"/>
          <w:b w:val="0"/>
          <w:color w:val="auto"/>
          <w:sz w:val="24"/>
          <w:szCs w:val="24"/>
        </w:rPr>
        <w:t>审查、评价投标文件是否符合招标文件的商务、技术等实质性要求；</w:t>
      </w:r>
    </w:p>
    <w:p>
      <w:pPr>
        <w:numPr>
          <w:ilvl w:val="0"/>
          <w:numId w:val="52"/>
        </w:numPr>
        <w:tabs>
          <w:tab w:val="left" w:pos="851"/>
        </w:tabs>
        <w:spacing w:line="540" w:lineRule="exact"/>
        <w:ind w:left="0" w:firstLine="480"/>
        <w:rPr>
          <w:rFonts w:ascii="仿宋" w:hAnsi="仿宋" w:eastAsia="仿宋"/>
          <w:b w:val="0"/>
          <w:color w:val="auto"/>
          <w:sz w:val="24"/>
          <w:szCs w:val="24"/>
        </w:rPr>
      </w:pPr>
      <w:r>
        <w:rPr>
          <w:rFonts w:ascii="仿宋" w:hAnsi="仿宋" w:eastAsia="仿宋"/>
          <w:b w:val="0"/>
          <w:color w:val="auto"/>
          <w:sz w:val="24"/>
          <w:szCs w:val="24"/>
        </w:rPr>
        <w:t>要求投标人对投标文件有关事项作出澄清或者说明；</w:t>
      </w:r>
    </w:p>
    <w:p>
      <w:pPr>
        <w:numPr>
          <w:ilvl w:val="0"/>
          <w:numId w:val="52"/>
        </w:numPr>
        <w:tabs>
          <w:tab w:val="left" w:pos="851"/>
        </w:tabs>
        <w:spacing w:line="540" w:lineRule="exact"/>
        <w:ind w:left="0" w:firstLine="480"/>
        <w:rPr>
          <w:rFonts w:ascii="仿宋" w:hAnsi="仿宋" w:eastAsia="仿宋"/>
          <w:b w:val="0"/>
          <w:color w:val="auto"/>
          <w:sz w:val="24"/>
          <w:szCs w:val="24"/>
        </w:rPr>
      </w:pPr>
      <w:r>
        <w:rPr>
          <w:rFonts w:ascii="仿宋" w:hAnsi="仿宋" w:eastAsia="仿宋"/>
          <w:b w:val="0"/>
          <w:color w:val="auto"/>
          <w:sz w:val="24"/>
          <w:szCs w:val="24"/>
        </w:rPr>
        <w:t>对投标文件进行比较和评价；</w:t>
      </w:r>
    </w:p>
    <w:p>
      <w:pPr>
        <w:numPr>
          <w:ilvl w:val="0"/>
          <w:numId w:val="52"/>
        </w:numPr>
        <w:tabs>
          <w:tab w:val="left" w:pos="851"/>
        </w:tabs>
        <w:spacing w:line="540" w:lineRule="exact"/>
        <w:ind w:left="0" w:firstLine="480"/>
        <w:rPr>
          <w:rFonts w:ascii="仿宋" w:hAnsi="仿宋" w:eastAsia="仿宋"/>
          <w:b w:val="0"/>
          <w:color w:val="auto"/>
          <w:sz w:val="24"/>
          <w:szCs w:val="24"/>
        </w:rPr>
      </w:pPr>
      <w:r>
        <w:rPr>
          <w:rFonts w:ascii="仿宋" w:hAnsi="仿宋" w:eastAsia="仿宋"/>
          <w:b w:val="0"/>
          <w:color w:val="auto"/>
          <w:sz w:val="24"/>
          <w:szCs w:val="24"/>
        </w:rPr>
        <w:t>确定中标候选人名单，以及根据采购人委托（若有）直接确定中标人；</w:t>
      </w:r>
    </w:p>
    <w:p>
      <w:pPr>
        <w:numPr>
          <w:ilvl w:val="0"/>
          <w:numId w:val="52"/>
        </w:numPr>
        <w:tabs>
          <w:tab w:val="left" w:pos="851"/>
          <w:tab w:val="left" w:pos="993"/>
          <w:tab w:val="left" w:pos="1276"/>
        </w:tabs>
        <w:spacing w:line="540" w:lineRule="exact"/>
        <w:ind w:left="0" w:firstLine="480"/>
        <w:rPr>
          <w:rFonts w:ascii="仿宋" w:hAnsi="仿宋" w:eastAsia="仿宋"/>
          <w:b w:val="0"/>
          <w:color w:val="auto"/>
          <w:sz w:val="24"/>
          <w:szCs w:val="24"/>
        </w:rPr>
      </w:pPr>
      <w:r>
        <w:rPr>
          <w:rFonts w:ascii="仿宋" w:hAnsi="仿宋" w:eastAsia="仿宋"/>
          <w:b w:val="0"/>
          <w:color w:val="auto"/>
          <w:sz w:val="24"/>
          <w:szCs w:val="24"/>
        </w:rPr>
        <w:t>向采购人、采购代理机构或者有关部门报告评标中发现的违法行为。</w:t>
      </w:r>
    </w:p>
    <w:p>
      <w:pPr>
        <w:numPr>
          <w:ilvl w:val="2"/>
          <w:numId w:val="17"/>
        </w:numPr>
        <w:tabs>
          <w:tab w:val="left" w:pos="360"/>
        </w:tabs>
        <w:snapToGrid/>
        <w:spacing w:line="520" w:lineRule="exact"/>
        <w:ind w:left="0" w:firstLine="480"/>
        <w:jc w:val="left"/>
        <w:outlineLvl w:val="2"/>
        <w:rPr>
          <w:rFonts w:ascii="仿宋" w:hAnsi="仿宋" w:eastAsia="仿宋"/>
          <w:b w:val="0"/>
          <w:bCs/>
          <w:color w:val="auto"/>
          <w:kern w:val="2"/>
          <w:sz w:val="24"/>
          <w:szCs w:val="24"/>
          <w:lang w:val="en-US"/>
        </w:rPr>
      </w:pPr>
      <w:bookmarkStart w:id="517" w:name="_Toc482094365"/>
      <w:bookmarkStart w:id="518" w:name="_Toc477425573"/>
      <w:bookmarkStart w:id="519" w:name="_Toc475005618"/>
      <w:bookmarkStart w:id="520" w:name="_Toc494198628"/>
      <w:bookmarkStart w:id="521" w:name="_Toc476748793"/>
      <w:bookmarkStart w:id="522" w:name="_Toc466292937"/>
      <w:bookmarkStart w:id="523" w:name="_Toc496605660"/>
      <w:bookmarkStart w:id="524" w:name="_Toc494198954"/>
      <w:bookmarkStart w:id="525" w:name="_Toc500492755"/>
      <w:bookmarkStart w:id="526" w:name="_Toc466896287"/>
      <w:r>
        <w:rPr>
          <w:rFonts w:ascii="仿宋" w:hAnsi="仿宋" w:eastAsia="仿宋"/>
          <w:b w:val="0"/>
          <w:bCs/>
          <w:color w:val="auto"/>
          <w:kern w:val="2"/>
          <w:sz w:val="24"/>
          <w:szCs w:val="24"/>
          <w:lang w:val="en-US"/>
        </w:rPr>
        <w:t>评标过程独立、保密。投标人非法干预评标过程的行为将导致其投标文件作为无效处理。</w:t>
      </w:r>
      <w:bookmarkEnd w:id="517"/>
      <w:bookmarkEnd w:id="518"/>
      <w:bookmarkEnd w:id="519"/>
      <w:bookmarkEnd w:id="520"/>
      <w:bookmarkEnd w:id="521"/>
      <w:bookmarkEnd w:id="522"/>
      <w:bookmarkEnd w:id="523"/>
      <w:bookmarkEnd w:id="524"/>
      <w:bookmarkEnd w:id="525"/>
      <w:bookmarkEnd w:id="526"/>
    </w:p>
    <w:p>
      <w:pPr>
        <w:numPr>
          <w:ilvl w:val="2"/>
          <w:numId w:val="17"/>
        </w:numPr>
        <w:tabs>
          <w:tab w:val="left" w:pos="360"/>
        </w:tabs>
        <w:snapToGrid/>
        <w:spacing w:line="520" w:lineRule="exact"/>
        <w:ind w:left="0" w:firstLine="480"/>
        <w:jc w:val="left"/>
        <w:outlineLvl w:val="2"/>
        <w:rPr>
          <w:rFonts w:ascii="仿宋" w:hAnsi="仿宋" w:eastAsia="仿宋"/>
          <w:b w:val="0"/>
          <w:bCs/>
          <w:color w:val="auto"/>
          <w:kern w:val="2"/>
          <w:sz w:val="24"/>
          <w:szCs w:val="24"/>
          <w:lang w:val="en-US"/>
        </w:rPr>
      </w:pPr>
      <w:bookmarkStart w:id="527" w:name="_Toc482094366"/>
      <w:bookmarkStart w:id="528" w:name="_Toc475005619"/>
      <w:bookmarkStart w:id="529" w:name="_Toc477425574"/>
      <w:bookmarkStart w:id="530" w:name="_Toc466292938"/>
      <w:bookmarkStart w:id="531" w:name="_Toc500492756"/>
      <w:bookmarkStart w:id="532" w:name="_Toc494198629"/>
      <w:bookmarkStart w:id="533" w:name="_Toc476748794"/>
      <w:bookmarkStart w:id="534" w:name="_Toc496605661"/>
      <w:bookmarkStart w:id="535" w:name="_Toc494198955"/>
      <w:bookmarkStart w:id="536" w:name="_Toc466896288"/>
      <w:r>
        <w:rPr>
          <w:rFonts w:ascii="仿宋" w:hAnsi="仿宋" w:eastAsia="仿宋"/>
          <w:b w:val="0"/>
          <w:bCs/>
          <w:color w:val="auto"/>
          <w:kern w:val="2"/>
          <w:sz w:val="24"/>
          <w:szCs w:val="24"/>
          <w:lang w:val="en-US"/>
        </w:rPr>
        <w:t>评标委员会评价投标文件的响应性，对于投标人而言，除评标委员会要求其澄清、说明或者更正而提供的资料外，仅依据投标文件本身的内容，而不寻求外部的证据。</w:t>
      </w:r>
      <w:bookmarkEnd w:id="527"/>
      <w:bookmarkEnd w:id="528"/>
      <w:bookmarkEnd w:id="529"/>
      <w:bookmarkEnd w:id="530"/>
      <w:bookmarkEnd w:id="531"/>
      <w:bookmarkEnd w:id="532"/>
      <w:bookmarkEnd w:id="533"/>
      <w:bookmarkEnd w:id="534"/>
      <w:bookmarkEnd w:id="535"/>
      <w:bookmarkEnd w:id="536"/>
    </w:p>
    <w:p>
      <w:pPr>
        <w:numPr>
          <w:ilvl w:val="1"/>
          <w:numId w:val="17"/>
        </w:numPr>
        <w:tabs>
          <w:tab w:val="left" w:pos="360"/>
        </w:tabs>
        <w:spacing w:line="540" w:lineRule="exact"/>
        <w:ind w:left="0" w:firstLine="0" w:firstLineChars="0"/>
        <w:jc w:val="left"/>
        <w:outlineLvl w:val="1"/>
        <w:rPr>
          <w:rFonts w:ascii="仿宋" w:hAnsi="仿宋" w:eastAsia="仿宋"/>
          <w:bCs/>
          <w:color w:val="auto"/>
          <w:kern w:val="2"/>
          <w:sz w:val="24"/>
          <w:szCs w:val="24"/>
          <w:lang w:val="en-US"/>
        </w:rPr>
      </w:pPr>
      <w:bookmarkStart w:id="537" w:name="_Toc11599"/>
      <w:bookmarkStart w:id="538" w:name="_Toc323824972"/>
      <w:r>
        <w:rPr>
          <w:rFonts w:ascii="仿宋" w:hAnsi="仿宋" w:eastAsia="仿宋"/>
          <w:bCs/>
          <w:color w:val="auto"/>
          <w:kern w:val="2"/>
          <w:sz w:val="24"/>
          <w:szCs w:val="24"/>
          <w:lang w:val="en-US"/>
        </w:rPr>
        <w:t xml:space="preserve"> </w:t>
      </w:r>
      <w:bookmarkStart w:id="539" w:name="_Toc496605662"/>
      <w:bookmarkStart w:id="540" w:name="_Toc36029487"/>
      <w:bookmarkStart w:id="541" w:name="_Toc40703456"/>
      <w:bookmarkStart w:id="542" w:name="_Toc494198630"/>
      <w:r>
        <w:rPr>
          <w:rFonts w:ascii="仿宋" w:hAnsi="仿宋" w:eastAsia="仿宋"/>
          <w:bCs/>
          <w:color w:val="auto"/>
          <w:kern w:val="2"/>
          <w:sz w:val="24"/>
          <w:szCs w:val="24"/>
          <w:lang w:val="en-US"/>
        </w:rPr>
        <w:t>评标方法</w:t>
      </w:r>
      <w:bookmarkEnd w:id="537"/>
      <w:bookmarkEnd w:id="538"/>
      <w:bookmarkEnd w:id="539"/>
      <w:bookmarkEnd w:id="540"/>
      <w:bookmarkEnd w:id="541"/>
      <w:bookmarkEnd w:id="542"/>
    </w:p>
    <w:p>
      <w:pPr>
        <w:spacing w:line="540" w:lineRule="exact"/>
        <w:ind w:firstLine="480"/>
        <w:rPr>
          <w:rFonts w:ascii="仿宋" w:hAnsi="仿宋" w:eastAsia="仿宋"/>
          <w:b w:val="0"/>
          <w:color w:val="auto"/>
          <w:sz w:val="24"/>
          <w:szCs w:val="24"/>
        </w:rPr>
      </w:pPr>
      <w:r>
        <w:rPr>
          <w:rFonts w:ascii="仿宋" w:hAnsi="仿宋" w:eastAsia="仿宋"/>
          <w:b w:val="0"/>
          <w:color w:val="auto"/>
          <w:sz w:val="24"/>
          <w:szCs w:val="24"/>
        </w:rPr>
        <w:t>本项目评标方法为：综合评分法。</w:t>
      </w:r>
    </w:p>
    <w:p>
      <w:pPr>
        <w:numPr>
          <w:ilvl w:val="1"/>
          <w:numId w:val="17"/>
        </w:numPr>
        <w:tabs>
          <w:tab w:val="left" w:pos="360"/>
        </w:tabs>
        <w:spacing w:line="540" w:lineRule="exact"/>
        <w:ind w:left="0" w:firstLine="0" w:firstLineChars="0"/>
        <w:jc w:val="left"/>
        <w:outlineLvl w:val="1"/>
        <w:rPr>
          <w:rFonts w:ascii="仿宋" w:hAnsi="仿宋" w:eastAsia="仿宋"/>
          <w:bCs/>
          <w:color w:val="auto"/>
          <w:kern w:val="2"/>
          <w:sz w:val="24"/>
          <w:szCs w:val="24"/>
          <w:lang w:val="en-US"/>
        </w:rPr>
      </w:pPr>
      <w:bookmarkStart w:id="543" w:name="_Toc323824973"/>
      <w:r>
        <w:rPr>
          <w:rFonts w:ascii="仿宋" w:hAnsi="仿宋" w:eastAsia="仿宋"/>
          <w:bCs/>
          <w:color w:val="auto"/>
          <w:kern w:val="2"/>
          <w:sz w:val="24"/>
          <w:szCs w:val="24"/>
          <w:lang w:val="en-US"/>
        </w:rPr>
        <w:t xml:space="preserve"> </w:t>
      </w:r>
      <w:bookmarkStart w:id="544" w:name="_Toc494198631"/>
      <w:bookmarkStart w:id="545" w:name="_Toc40703457"/>
      <w:bookmarkStart w:id="546" w:name="_Toc29439"/>
      <w:bookmarkStart w:id="547" w:name="_Toc496605663"/>
      <w:bookmarkStart w:id="548" w:name="_Toc36029488"/>
      <w:r>
        <w:rPr>
          <w:rFonts w:ascii="仿宋" w:hAnsi="仿宋" w:eastAsia="仿宋"/>
          <w:bCs/>
          <w:color w:val="auto"/>
          <w:kern w:val="2"/>
          <w:sz w:val="24"/>
          <w:szCs w:val="24"/>
          <w:lang w:val="en-US"/>
        </w:rPr>
        <w:t>评标程序</w:t>
      </w:r>
      <w:bookmarkEnd w:id="543"/>
      <w:bookmarkEnd w:id="544"/>
      <w:bookmarkEnd w:id="545"/>
      <w:bookmarkEnd w:id="546"/>
      <w:bookmarkEnd w:id="547"/>
      <w:bookmarkEnd w:id="548"/>
    </w:p>
    <w:p>
      <w:pPr>
        <w:numPr>
          <w:ilvl w:val="2"/>
          <w:numId w:val="17"/>
        </w:numPr>
        <w:tabs>
          <w:tab w:val="left" w:pos="360"/>
        </w:tabs>
        <w:snapToGrid/>
        <w:spacing w:line="520" w:lineRule="exact"/>
        <w:ind w:left="0" w:firstLine="482"/>
        <w:jc w:val="left"/>
        <w:outlineLvl w:val="2"/>
        <w:rPr>
          <w:rFonts w:ascii="仿宋" w:hAnsi="仿宋" w:eastAsia="仿宋"/>
          <w:bCs/>
          <w:color w:val="auto"/>
          <w:kern w:val="2"/>
          <w:sz w:val="24"/>
          <w:szCs w:val="24"/>
          <w:lang w:val="en-US"/>
        </w:rPr>
      </w:pPr>
      <w:bookmarkStart w:id="549" w:name="_Toc500492759"/>
      <w:bookmarkStart w:id="550" w:name="_Toc494198958"/>
      <w:bookmarkStart w:id="551" w:name="_Toc496605664"/>
      <w:bookmarkStart w:id="552" w:name="_Toc494198632"/>
      <w:bookmarkStart w:id="553" w:name="_Toc475005622"/>
      <w:bookmarkStart w:id="554" w:name="_Toc482094369"/>
      <w:bookmarkStart w:id="555" w:name="_Toc477425577"/>
      <w:bookmarkStart w:id="556" w:name="_Toc476748797"/>
      <w:r>
        <w:rPr>
          <w:rFonts w:ascii="仿宋" w:hAnsi="仿宋" w:eastAsia="仿宋"/>
          <w:bCs/>
          <w:color w:val="auto"/>
          <w:kern w:val="2"/>
          <w:sz w:val="24"/>
          <w:szCs w:val="24"/>
          <w:lang w:val="en-US"/>
        </w:rPr>
        <w:t>采购人或者采购代理机构依法对投标人递交的资格性投标文件按第5章要求进行资格审查</w:t>
      </w:r>
      <w:bookmarkEnd w:id="549"/>
      <w:bookmarkEnd w:id="550"/>
      <w:bookmarkEnd w:id="551"/>
      <w:bookmarkEnd w:id="552"/>
    </w:p>
    <w:p>
      <w:pPr>
        <w:numPr>
          <w:ilvl w:val="3"/>
          <w:numId w:val="17"/>
        </w:numPr>
        <w:tabs>
          <w:tab w:val="left" w:pos="360"/>
        </w:tabs>
        <w:spacing w:line="520" w:lineRule="exact"/>
        <w:ind w:left="0" w:firstLine="482"/>
        <w:outlineLvl w:val="3"/>
        <w:rPr>
          <w:rFonts w:ascii="仿宋" w:hAnsi="仿宋" w:eastAsia="仿宋"/>
          <w:bCs/>
          <w:color w:val="auto"/>
          <w:kern w:val="2"/>
          <w:sz w:val="24"/>
          <w:szCs w:val="24"/>
          <w:lang w:val="en-US"/>
        </w:rPr>
      </w:pPr>
      <w:bookmarkStart w:id="557" w:name="_Toc500492760"/>
      <w:r>
        <w:rPr>
          <w:rFonts w:ascii="仿宋" w:hAnsi="仿宋" w:eastAsia="仿宋"/>
          <w:bCs/>
          <w:color w:val="auto"/>
          <w:kern w:val="2"/>
          <w:sz w:val="24"/>
          <w:szCs w:val="24"/>
          <w:lang w:val="en-US"/>
        </w:rPr>
        <w:t>资格审查表</w:t>
      </w:r>
      <w:bookmarkEnd w:id="557"/>
      <w:r>
        <w:rPr>
          <w:rFonts w:ascii="仿宋" w:hAnsi="仿宋" w:eastAsia="仿宋"/>
          <w:bCs/>
          <w:color w:val="auto"/>
          <w:kern w:val="2"/>
          <w:sz w:val="24"/>
          <w:szCs w:val="24"/>
          <w:lang w:val="en-US"/>
        </w:rPr>
        <w:t>（仅限资格性投标文件）</w:t>
      </w:r>
    </w:p>
    <w:tbl>
      <w:tblPr>
        <w:tblStyle w:val="76"/>
        <w:tblW w:w="5000"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1203"/>
        <w:gridCol w:w="321"/>
        <w:gridCol w:w="3540"/>
        <w:gridCol w:w="1407"/>
        <w:gridCol w:w="1407"/>
        <w:gridCol w:w="140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726" w:type="pct"/>
            <w:gridSpan w:val="3"/>
            <w:vAlign w:val="center"/>
          </w:tcPr>
          <w:p>
            <w:pPr>
              <w:snapToGrid/>
              <w:ind w:firstLine="0" w:firstLineChars="0"/>
              <w:jc w:val="center"/>
              <w:rPr>
                <w:rFonts w:ascii="仿宋" w:hAnsi="仿宋" w:eastAsia="仿宋"/>
                <w:color w:val="auto"/>
                <w:sz w:val="24"/>
                <w:szCs w:val="24"/>
              </w:rPr>
            </w:pPr>
            <w:r>
              <w:rPr>
                <w:rFonts w:ascii="仿宋" w:hAnsi="仿宋" w:eastAsia="仿宋"/>
                <w:color w:val="auto"/>
                <w:sz w:val="24"/>
                <w:szCs w:val="24"/>
              </w:rPr>
              <w:t>评审因素</w:t>
            </w:r>
          </w:p>
        </w:tc>
        <w:tc>
          <w:tcPr>
            <w:tcW w:w="757" w:type="pct"/>
            <w:vAlign w:val="center"/>
          </w:tcPr>
          <w:p>
            <w:pPr>
              <w:snapToGrid/>
              <w:ind w:firstLine="0" w:firstLineChars="0"/>
              <w:jc w:val="center"/>
              <w:rPr>
                <w:rFonts w:ascii="仿宋" w:hAnsi="仿宋" w:eastAsia="仿宋"/>
                <w:color w:val="auto"/>
                <w:sz w:val="24"/>
                <w:szCs w:val="24"/>
              </w:rPr>
            </w:pPr>
          </w:p>
        </w:tc>
        <w:tc>
          <w:tcPr>
            <w:tcW w:w="757" w:type="pct"/>
          </w:tcPr>
          <w:p>
            <w:pPr>
              <w:snapToGrid/>
              <w:ind w:firstLine="0" w:firstLineChars="0"/>
              <w:jc w:val="center"/>
              <w:rPr>
                <w:rFonts w:ascii="仿宋" w:hAnsi="仿宋" w:eastAsia="仿宋"/>
                <w:color w:val="auto"/>
                <w:sz w:val="24"/>
                <w:szCs w:val="24"/>
              </w:rPr>
            </w:pPr>
          </w:p>
        </w:tc>
        <w:tc>
          <w:tcPr>
            <w:tcW w:w="758" w:type="pct"/>
            <w:vAlign w:val="center"/>
          </w:tcPr>
          <w:p>
            <w:pPr>
              <w:snapToGrid/>
              <w:ind w:firstLine="0" w:firstLineChars="0"/>
              <w:jc w:val="center"/>
              <w:rPr>
                <w:rFonts w:ascii="仿宋" w:hAnsi="仿宋" w:eastAsia="仿宋"/>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726" w:type="pct"/>
            <w:gridSpan w:val="3"/>
            <w:vAlign w:val="center"/>
          </w:tcPr>
          <w:p>
            <w:pPr>
              <w:spacing w:line="240" w:lineRule="auto"/>
              <w:ind w:firstLine="0" w:firstLineChars="0"/>
              <w:jc w:val="left"/>
              <w:rPr>
                <w:rFonts w:ascii="仿宋" w:hAnsi="仿宋" w:eastAsia="仿宋"/>
                <w:b w:val="0"/>
                <w:color w:val="auto"/>
                <w:sz w:val="24"/>
                <w:szCs w:val="24"/>
                <w:lang w:val="en-US"/>
              </w:rPr>
            </w:pPr>
            <w:r>
              <w:rPr>
                <w:rFonts w:ascii="仿宋" w:hAnsi="仿宋" w:eastAsia="仿宋"/>
                <w:b w:val="0"/>
                <w:color w:val="auto"/>
                <w:sz w:val="24"/>
                <w:szCs w:val="24"/>
                <w:lang w:val="en-US"/>
              </w:rPr>
              <w:t>具有独立承担民事责任能力的证明材料</w:t>
            </w:r>
          </w:p>
        </w:tc>
        <w:tc>
          <w:tcPr>
            <w:tcW w:w="757" w:type="pct"/>
            <w:vAlign w:val="center"/>
          </w:tcPr>
          <w:p>
            <w:pPr>
              <w:spacing w:line="240" w:lineRule="auto"/>
              <w:ind w:firstLine="0" w:firstLineChars="0"/>
              <w:jc w:val="center"/>
              <w:rPr>
                <w:rFonts w:ascii="仿宋" w:hAnsi="仿宋" w:eastAsia="仿宋"/>
                <w:b w:val="0"/>
                <w:color w:val="auto"/>
                <w:sz w:val="24"/>
                <w:szCs w:val="24"/>
                <w:lang w:val="en-US"/>
              </w:rPr>
            </w:pPr>
          </w:p>
        </w:tc>
        <w:tc>
          <w:tcPr>
            <w:tcW w:w="757" w:type="pct"/>
          </w:tcPr>
          <w:p>
            <w:pPr>
              <w:ind w:firstLine="482"/>
              <w:rPr>
                <w:rFonts w:ascii="仿宋" w:hAnsi="仿宋" w:eastAsia="仿宋"/>
                <w:color w:val="auto"/>
                <w:sz w:val="24"/>
                <w:szCs w:val="24"/>
              </w:rPr>
            </w:pPr>
          </w:p>
        </w:tc>
        <w:tc>
          <w:tcPr>
            <w:tcW w:w="758" w:type="pct"/>
          </w:tcPr>
          <w:p>
            <w:pPr>
              <w:ind w:firstLine="482"/>
              <w:rPr>
                <w:rFonts w:ascii="仿宋" w:hAnsi="仿宋" w:eastAsia="仿宋"/>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726" w:type="pct"/>
            <w:gridSpan w:val="3"/>
            <w:vAlign w:val="center"/>
          </w:tcPr>
          <w:p>
            <w:pPr>
              <w:spacing w:line="240" w:lineRule="auto"/>
              <w:ind w:firstLine="0" w:firstLineChars="0"/>
              <w:jc w:val="left"/>
              <w:rPr>
                <w:rFonts w:ascii="仿宋" w:hAnsi="仿宋" w:eastAsia="仿宋"/>
                <w:b w:val="0"/>
                <w:color w:val="auto"/>
                <w:sz w:val="24"/>
                <w:szCs w:val="24"/>
                <w:lang w:val="en-US"/>
              </w:rPr>
            </w:pPr>
            <w:r>
              <w:rPr>
                <w:rFonts w:ascii="仿宋" w:hAnsi="仿宋" w:eastAsia="仿宋"/>
                <w:b w:val="0"/>
                <w:color w:val="auto"/>
                <w:sz w:val="24"/>
                <w:szCs w:val="24"/>
                <w:lang w:val="en-US"/>
              </w:rPr>
              <w:t>良好的商业信誉承诺函和财务状况报告</w:t>
            </w:r>
          </w:p>
        </w:tc>
        <w:tc>
          <w:tcPr>
            <w:tcW w:w="757" w:type="pct"/>
            <w:vAlign w:val="center"/>
          </w:tcPr>
          <w:p>
            <w:pPr>
              <w:spacing w:line="240" w:lineRule="auto"/>
              <w:ind w:firstLine="0" w:firstLineChars="0"/>
              <w:jc w:val="center"/>
              <w:rPr>
                <w:rFonts w:ascii="仿宋" w:hAnsi="仿宋" w:eastAsia="仿宋"/>
                <w:b w:val="0"/>
                <w:color w:val="auto"/>
                <w:sz w:val="24"/>
                <w:szCs w:val="24"/>
                <w:lang w:val="en-US"/>
              </w:rPr>
            </w:pPr>
          </w:p>
        </w:tc>
        <w:tc>
          <w:tcPr>
            <w:tcW w:w="757" w:type="pct"/>
          </w:tcPr>
          <w:p>
            <w:pPr>
              <w:ind w:firstLine="482"/>
              <w:rPr>
                <w:rFonts w:ascii="仿宋" w:hAnsi="仿宋" w:eastAsia="仿宋"/>
                <w:color w:val="auto"/>
                <w:sz w:val="24"/>
                <w:szCs w:val="24"/>
              </w:rPr>
            </w:pPr>
          </w:p>
        </w:tc>
        <w:tc>
          <w:tcPr>
            <w:tcW w:w="758" w:type="pct"/>
          </w:tcPr>
          <w:p>
            <w:pPr>
              <w:ind w:firstLine="482"/>
              <w:rPr>
                <w:rFonts w:ascii="仿宋" w:hAnsi="仿宋" w:eastAsia="仿宋"/>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726" w:type="pct"/>
            <w:gridSpan w:val="3"/>
            <w:vAlign w:val="center"/>
          </w:tcPr>
          <w:p>
            <w:pPr>
              <w:spacing w:line="240" w:lineRule="auto"/>
              <w:ind w:firstLine="0" w:firstLineChars="0"/>
              <w:jc w:val="left"/>
              <w:rPr>
                <w:rFonts w:ascii="仿宋" w:hAnsi="仿宋" w:eastAsia="仿宋"/>
                <w:b w:val="0"/>
                <w:color w:val="auto"/>
                <w:sz w:val="24"/>
                <w:szCs w:val="24"/>
                <w:lang w:val="en-US"/>
              </w:rPr>
            </w:pPr>
            <w:r>
              <w:rPr>
                <w:rFonts w:ascii="仿宋" w:hAnsi="仿宋" w:eastAsia="仿宋"/>
                <w:b w:val="0"/>
                <w:color w:val="auto"/>
                <w:sz w:val="24"/>
                <w:szCs w:val="24"/>
                <w:lang w:val="en-US"/>
              </w:rPr>
              <w:t>具备履行合同所必需的设备和专业技术能力的证明材料</w:t>
            </w:r>
          </w:p>
        </w:tc>
        <w:tc>
          <w:tcPr>
            <w:tcW w:w="757" w:type="pct"/>
            <w:vAlign w:val="center"/>
          </w:tcPr>
          <w:p>
            <w:pPr>
              <w:spacing w:line="240" w:lineRule="auto"/>
              <w:ind w:firstLine="0" w:firstLineChars="0"/>
              <w:jc w:val="center"/>
              <w:rPr>
                <w:rFonts w:ascii="仿宋" w:hAnsi="仿宋" w:eastAsia="仿宋"/>
                <w:b w:val="0"/>
                <w:color w:val="auto"/>
                <w:sz w:val="24"/>
                <w:szCs w:val="24"/>
                <w:lang w:val="en-US"/>
              </w:rPr>
            </w:pPr>
          </w:p>
        </w:tc>
        <w:tc>
          <w:tcPr>
            <w:tcW w:w="757" w:type="pct"/>
          </w:tcPr>
          <w:p>
            <w:pPr>
              <w:ind w:firstLine="482"/>
              <w:rPr>
                <w:rFonts w:ascii="仿宋" w:hAnsi="仿宋" w:eastAsia="仿宋"/>
                <w:color w:val="auto"/>
                <w:sz w:val="24"/>
                <w:szCs w:val="24"/>
              </w:rPr>
            </w:pPr>
          </w:p>
        </w:tc>
        <w:tc>
          <w:tcPr>
            <w:tcW w:w="758" w:type="pct"/>
          </w:tcPr>
          <w:p>
            <w:pPr>
              <w:ind w:firstLine="482"/>
              <w:rPr>
                <w:rFonts w:ascii="仿宋" w:hAnsi="仿宋" w:eastAsia="仿宋"/>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726" w:type="pct"/>
            <w:gridSpan w:val="3"/>
            <w:vAlign w:val="center"/>
          </w:tcPr>
          <w:p>
            <w:pPr>
              <w:spacing w:line="240" w:lineRule="auto"/>
              <w:ind w:firstLine="0" w:firstLineChars="0"/>
              <w:jc w:val="left"/>
              <w:rPr>
                <w:rFonts w:ascii="仿宋" w:hAnsi="仿宋" w:eastAsia="仿宋"/>
                <w:b w:val="0"/>
                <w:color w:val="auto"/>
                <w:sz w:val="24"/>
                <w:szCs w:val="24"/>
                <w:lang w:val="en-US"/>
              </w:rPr>
            </w:pPr>
            <w:r>
              <w:rPr>
                <w:rFonts w:ascii="仿宋" w:hAnsi="仿宋" w:eastAsia="仿宋"/>
                <w:b w:val="0"/>
                <w:color w:val="auto"/>
                <w:sz w:val="24"/>
                <w:szCs w:val="24"/>
                <w:lang w:val="en-US"/>
              </w:rPr>
              <w:t>依法缴纳税收和社会保障资金的相关材料</w:t>
            </w:r>
          </w:p>
        </w:tc>
        <w:tc>
          <w:tcPr>
            <w:tcW w:w="757" w:type="pct"/>
            <w:vAlign w:val="center"/>
          </w:tcPr>
          <w:p>
            <w:pPr>
              <w:spacing w:line="240" w:lineRule="auto"/>
              <w:ind w:firstLine="0" w:firstLineChars="0"/>
              <w:jc w:val="center"/>
              <w:rPr>
                <w:rFonts w:ascii="仿宋" w:hAnsi="仿宋" w:eastAsia="仿宋"/>
                <w:b w:val="0"/>
                <w:color w:val="auto"/>
                <w:sz w:val="24"/>
                <w:szCs w:val="24"/>
                <w:lang w:val="en-US"/>
              </w:rPr>
            </w:pPr>
          </w:p>
        </w:tc>
        <w:tc>
          <w:tcPr>
            <w:tcW w:w="757" w:type="pct"/>
          </w:tcPr>
          <w:p>
            <w:pPr>
              <w:ind w:firstLine="482"/>
              <w:rPr>
                <w:rFonts w:ascii="仿宋" w:hAnsi="仿宋" w:eastAsia="仿宋"/>
                <w:color w:val="auto"/>
                <w:sz w:val="24"/>
                <w:szCs w:val="24"/>
              </w:rPr>
            </w:pPr>
          </w:p>
        </w:tc>
        <w:tc>
          <w:tcPr>
            <w:tcW w:w="758" w:type="pct"/>
          </w:tcPr>
          <w:p>
            <w:pPr>
              <w:ind w:firstLine="482"/>
              <w:rPr>
                <w:rFonts w:ascii="仿宋" w:hAnsi="仿宋" w:eastAsia="仿宋"/>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726" w:type="pct"/>
            <w:gridSpan w:val="3"/>
            <w:vAlign w:val="center"/>
          </w:tcPr>
          <w:p>
            <w:pPr>
              <w:spacing w:line="240" w:lineRule="auto"/>
              <w:ind w:firstLine="0" w:firstLineChars="0"/>
              <w:jc w:val="left"/>
              <w:rPr>
                <w:rFonts w:ascii="仿宋" w:hAnsi="仿宋" w:eastAsia="仿宋"/>
                <w:b w:val="0"/>
                <w:color w:val="auto"/>
                <w:sz w:val="24"/>
                <w:szCs w:val="24"/>
                <w:lang w:val="en-US"/>
              </w:rPr>
            </w:pPr>
            <w:r>
              <w:rPr>
                <w:rFonts w:ascii="仿宋" w:hAnsi="仿宋" w:eastAsia="仿宋"/>
                <w:b w:val="0"/>
                <w:color w:val="auto"/>
                <w:sz w:val="24"/>
                <w:szCs w:val="24"/>
                <w:lang w:val="en-US"/>
              </w:rPr>
              <w:t>参加本次政府采购活动前三年内，在经营活动中没有重大违法记录的证明材料</w:t>
            </w:r>
          </w:p>
        </w:tc>
        <w:tc>
          <w:tcPr>
            <w:tcW w:w="757" w:type="pct"/>
            <w:vAlign w:val="center"/>
          </w:tcPr>
          <w:p>
            <w:pPr>
              <w:spacing w:line="240" w:lineRule="auto"/>
              <w:ind w:firstLine="0" w:firstLineChars="0"/>
              <w:jc w:val="center"/>
              <w:rPr>
                <w:rFonts w:ascii="仿宋" w:hAnsi="仿宋" w:eastAsia="仿宋"/>
                <w:b w:val="0"/>
                <w:color w:val="auto"/>
                <w:sz w:val="24"/>
                <w:szCs w:val="24"/>
                <w:lang w:val="en-US"/>
              </w:rPr>
            </w:pPr>
          </w:p>
        </w:tc>
        <w:tc>
          <w:tcPr>
            <w:tcW w:w="757" w:type="pct"/>
          </w:tcPr>
          <w:p>
            <w:pPr>
              <w:ind w:firstLine="482"/>
              <w:rPr>
                <w:rFonts w:ascii="仿宋" w:hAnsi="仿宋" w:eastAsia="仿宋"/>
                <w:color w:val="auto"/>
                <w:sz w:val="24"/>
                <w:szCs w:val="24"/>
              </w:rPr>
            </w:pPr>
          </w:p>
        </w:tc>
        <w:tc>
          <w:tcPr>
            <w:tcW w:w="758" w:type="pct"/>
          </w:tcPr>
          <w:p>
            <w:pPr>
              <w:ind w:firstLine="482"/>
              <w:rPr>
                <w:rFonts w:ascii="仿宋" w:hAnsi="仿宋" w:eastAsia="仿宋"/>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726" w:type="pct"/>
            <w:gridSpan w:val="3"/>
            <w:vAlign w:val="center"/>
          </w:tcPr>
          <w:p>
            <w:pPr>
              <w:spacing w:line="240" w:lineRule="auto"/>
              <w:ind w:firstLine="0" w:firstLineChars="0"/>
              <w:jc w:val="left"/>
              <w:rPr>
                <w:rFonts w:ascii="仿宋" w:hAnsi="仿宋" w:eastAsia="仿宋"/>
                <w:b w:val="0"/>
                <w:color w:val="auto"/>
                <w:sz w:val="24"/>
                <w:szCs w:val="24"/>
                <w:lang w:val="en-US"/>
              </w:rPr>
            </w:pPr>
            <w:r>
              <w:rPr>
                <w:rFonts w:ascii="仿宋" w:hAnsi="仿宋" w:eastAsia="仿宋"/>
                <w:b w:val="0"/>
                <w:color w:val="auto"/>
                <w:sz w:val="24"/>
                <w:szCs w:val="24"/>
                <w:lang w:val="en-US"/>
              </w:rPr>
              <w:t>具备法律、行政法规规定的其他条件的证明材料复印件或承诺函原件</w:t>
            </w:r>
          </w:p>
        </w:tc>
        <w:tc>
          <w:tcPr>
            <w:tcW w:w="757" w:type="pct"/>
            <w:vAlign w:val="center"/>
          </w:tcPr>
          <w:p>
            <w:pPr>
              <w:spacing w:line="240" w:lineRule="auto"/>
              <w:ind w:firstLine="0" w:firstLineChars="0"/>
              <w:jc w:val="center"/>
              <w:rPr>
                <w:rFonts w:ascii="仿宋" w:hAnsi="仿宋" w:eastAsia="仿宋"/>
                <w:b w:val="0"/>
                <w:color w:val="auto"/>
                <w:sz w:val="24"/>
                <w:szCs w:val="24"/>
                <w:lang w:val="en-US"/>
              </w:rPr>
            </w:pPr>
          </w:p>
        </w:tc>
        <w:tc>
          <w:tcPr>
            <w:tcW w:w="757" w:type="pct"/>
          </w:tcPr>
          <w:p>
            <w:pPr>
              <w:ind w:firstLine="482"/>
              <w:rPr>
                <w:rFonts w:ascii="仿宋" w:hAnsi="仿宋" w:eastAsia="仿宋"/>
                <w:color w:val="auto"/>
                <w:sz w:val="24"/>
                <w:szCs w:val="24"/>
              </w:rPr>
            </w:pPr>
          </w:p>
        </w:tc>
        <w:tc>
          <w:tcPr>
            <w:tcW w:w="758" w:type="pct"/>
          </w:tcPr>
          <w:p>
            <w:pPr>
              <w:ind w:firstLine="482"/>
              <w:rPr>
                <w:rFonts w:ascii="仿宋" w:hAnsi="仿宋" w:eastAsia="仿宋"/>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726" w:type="pct"/>
            <w:gridSpan w:val="3"/>
            <w:vAlign w:val="center"/>
          </w:tcPr>
          <w:p>
            <w:pPr>
              <w:spacing w:line="240" w:lineRule="auto"/>
              <w:ind w:firstLine="0" w:firstLineChars="0"/>
              <w:jc w:val="left"/>
              <w:rPr>
                <w:rFonts w:ascii="仿宋" w:hAnsi="仿宋" w:eastAsia="仿宋"/>
                <w:b w:val="0"/>
                <w:color w:val="auto"/>
                <w:sz w:val="24"/>
                <w:szCs w:val="24"/>
                <w:lang w:val="en-US"/>
              </w:rPr>
            </w:pPr>
            <w:r>
              <w:rPr>
                <w:rFonts w:ascii="仿宋" w:hAnsi="仿宋" w:eastAsia="仿宋"/>
                <w:b w:val="0"/>
                <w:color w:val="auto"/>
                <w:sz w:val="24"/>
                <w:szCs w:val="24"/>
                <w:lang w:val="en-US"/>
              </w:rPr>
              <w:t>采购人根据采购项目提出的特殊条件</w:t>
            </w:r>
          </w:p>
        </w:tc>
        <w:tc>
          <w:tcPr>
            <w:tcW w:w="757" w:type="pct"/>
            <w:tcBorders>
              <w:top w:val="single" w:color="auto" w:sz="4" w:space="0"/>
              <w:bottom w:val="single" w:color="auto" w:sz="4" w:space="0"/>
            </w:tcBorders>
            <w:vAlign w:val="center"/>
          </w:tcPr>
          <w:p>
            <w:pPr>
              <w:spacing w:line="240" w:lineRule="auto"/>
              <w:ind w:firstLine="0" w:firstLineChars="0"/>
              <w:jc w:val="center"/>
              <w:rPr>
                <w:rFonts w:ascii="仿宋" w:hAnsi="仿宋" w:eastAsia="仿宋"/>
                <w:b w:val="0"/>
                <w:color w:val="auto"/>
                <w:sz w:val="24"/>
                <w:szCs w:val="24"/>
                <w:lang w:val="en-US"/>
              </w:rPr>
            </w:pPr>
          </w:p>
        </w:tc>
        <w:tc>
          <w:tcPr>
            <w:tcW w:w="757" w:type="pct"/>
            <w:tcBorders>
              <w:top w:val="single" w:color="auto" w:sz="4" w:space="0"/>
              <w:bottom w:val="single" w:color="auto" w:sz="4" w:space="0"/>
            </w:tcBorders>
          </w:tcPr>
          <w:p>
            <w:pPr>
              <w:ind w:firstLine="482"/>
              <w:rPr>
                <w:rFonts w:ascii="仿宋" w:hAnsi="仿宋" w:eastAsia="仿宋"/>
                <w:color w:val="auto"/>
                <w:sz w:val="24"/>
                <w:szCs w:val="24"/>
              </w:rPr>
            </w:pPr>
          </w:p>
        </w:tc>
        <w:tc>
          <w:tcPr>
            <w:tcW w:w="758" w:type="pct"/>
            <w:tcBorders>
              <w:top w:val="single" w:color="auto" w:sz="4" w:space="0"/>
              <w:bottom w:val="single" w:color="auto" w:sz="4" w:space="0"/>
            </w:tcBorders>
          </w:tcPr>
          <w:p>
            <w:pPr>
              <w:ind w:firstLine="482"/>
              <w:rPr>
                <w:rFonts w:ascii="仿宋" w:hAnsi="仿宋" w:eastAsia="仿宋"/>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pct"/>
            <w:vAlign w:val="center"/>
          </w:tcPr>
          <w:p>
            <w:pPr>
              <w:snapToGrid/>
              <w:spacing w:line="240" w:lineRule="auto"/>
              <w:ind w:firstLine="0" w:firstLineChars="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联合体</w:t>
            </w:r>
          </w:p>
        </w:tc>
        <w:tc>
          <w:tcPr>
            <w:tcW w:w="2077" w:type="pct"/>
            <w:gridSpan w:val="2"/>
            <w:vAlign w:val="center"/>
          </w:tcPr>
          <w:p>
            <w:pPr>
              <w:snapToGrid/>
              <w:spacing w:line="240" w:lineRule="auto"/>
              <w:ind w:firstLine="0" w:firstLineChars="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 xml:space="preserve"> 非联合体形式投标</w:t>
            </w:r>
          </w:p>
        </w:tc>
        <w:tc>
          <w:tcPr>
            <w:tcW w:w="757" w:type="pct"/>
            <w:tcBorders>
              <w:top w:val="single" w:color="auto" w:sz="4" w:space="0"/>
              <w:bottom w:val="single" w:color="auto" w:sz="4" w:space="0"/>
            </w:tcBorders>
            <w:vAlign w:val="center"/>
          </w:tcPr>
          <w:p>
            <w:pPr>
              <w:spacing w:line="240" w:lineRule="auto"/>
              <w:ind w:firstLine="0" w:firstLineChars="0"/>
              <w:jc w:val="center"/>
              <w:rPr>
                <w:rFonts w:ascii="仿宋" w:hAnsi="仿宋" w:eastAsia="仿宋"/>
                <w:b w:val="0"/>
                <w:color w:val="auto"/>
                <w:sz w:val="24"/>
                <w:szCs w:val="24"/>
                <w:lang w:val="en-US"/>
              </w:rPr>
            </w:pPr>
          </w:p>
        </w:tc>
        <w:tc>
          <w:tcPr>
            <w:tcW w:w="757" w:type="pct"/>
            <w:tcBorders>
              <w:top w:val="single" w:color="auto" w:sz="4" w:space="0"/>
              <w:bottom w:val="single" w:color="auto" w:sz="4" w:space="0"/>
            </w:tcBorders>
          </w:tcPr>
          <w:p>
            <w:pPr>
              <w:ind w:firstLine="482"/>
              <w:rPr>
                <w:rFonts w:ascii="仿宋" w:hAnsi="仿宋" w:eastAsia="仿宋"/>
                <w:color w:val="auto"/>
                <w:sz w:val="24"/>
                <w:szCs w:val="24"/>
              </w:rPr>
            </w:pPr>
          </w:p>
        </w:tc>
        <w:tc>
          <w:tcPr>
            <w:tcW w:w="758" w:type="pct"/>
            <w:tcBorders>
              <w:top w:val="single" w:color="auto" w:sz="4" w:space="0"/>
              <w:bottom w:val="single" w:color="auto" w:sz="4" w:space="0"/>
            </w:tcBorders>
          </w:tcPr>
          <w:p>
            <w:pPr>
              <w:ind w:firstLine="482"/>
              <w:rPr>
                <w:rFonts w:ascii="仿宋" w:hAnsi="仿宋" w:eastAsia="仿宋"/>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726" w:type="pct"/>
            <w:gridSpan w:val="3"/>
            <w:vAlign w:val="center"/>
          </w:tcPr>
          <w:p>
            <w:pPr>
              <w:spacing w:line="240" w:lineRule="auto"/>
              <w:ind w:firstLine="0" w:firstLineChars="0"/>
              <w:jc w:val="left"/>
              <w:rPr>
                <w:rFonts w:ascii="仿宋" w:hAnsi="仿宋" w:eastAsia="仿宋"/>
                <w:b w:val="0"/>
                <w:color w:val="auto"/>
                <w:sz w:val="24"/>
                <w:szCs w:val="24"/>
                <w:lang w:val="en-US"/>
              </w:rPr>
            </w:pPr>
            <w:r>
              <w:rPr>
                <w:rFonts w:hint="eastAsia" w:ascii="仿宋" w:hAnsi="仿宋" w:eastAsia="仿宋"/>
                <w:b w:val="0"/>
                <w:color w:val="auto"/>
                <w:sz w:val="24"/>
                <w:szCs w:val="24"/>
                <w:lang w:val="en-US"/>
              </w:rPr>
              <w:t>落实政府采购政策需满足的资格要求</w:t>
            </w:r>
          </w:p>
        </w:tc>
        <w:tc>
          <w:tcPr>
            <w:tcW w:w="757" w:type="pct"/>
            <w:tcBorders>
              <w:top w:val="single" w:color="auto" w:sz="4" w:space="0"/>
              <w:bottom w:val="single" w:color="auto" w:sz="4" w:space="0"/>
            </w:tcBorders>
            <w:vAlign w:val="center"/>
          </w:tcPr>
          <w:p>
            <w:pPr>
              <w:spacing w:line="240" w:lineRule="auto"/>
              <w:ind w:firstLine="0" w:firstLineChars="0"/>
              <w:jc w:val="center"/>
              <w:rPr>
                <w:rFonts w:ascii="仿宋" w:hAnsi="仿宋" w:eastAsia="仿宋"/>
                <w:b w:val="0"/>
                <w:sz w:val="24"/>
                <w:szCs w:val="24"/>
                <w:lang w:val="en-US"/>
              </w:rPr>
            </w:pPr>
          </w:p>
        </w:tc>
        <w:tc>
          <w:tcPr>
            <w:tcW w:w="757" w:type="pct"/>
            <w:tcBorders>
              <w:top w:val="single" w:color="auto" w:sz="4" w:space="0"/>
              <w:bottom w:val="single" w:color="auto" w:sz="4" w:space="0"/>
            </w:tcBorders>
          </w:tcPr>
          <w:p>
            <w:pPr>
              <w:ind w:firstLine="482"/>
              <w:rPr>
                <w:rFonts w:ascii="仿宋" w:hAnsi="仿宋" w:eastAsia="仿宋"/>
                <w:sz w:val="24"/>
                <w:szCs w:val="24"/>
              </w:rPr>
            </w:pPr>
          </w:p>
        </w:tc>
        <w:tc>
          <w:tcPr>
            <w:tcW w:w="758" w:type="pct"/>
            <w:tcBorders>
              <w:top w:val="single" w:color="auto" w:sz="4" w:space="0"/>
              <w:bottom w:val="single" w:color="auto" w:sz="4" w:space="0"/>
            </w:tcBorders>
          </w:tcPr>
          <w:p>
            <w:pPr>
              <w:ind w:firstLine="482"/>
              <w:rPr>
                <w:rFonts w:ascii="仿宋" w:hAnsi="仿宋" w:eastAsia="仿宋"/>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726" w:type="pct"/>
            <w:gridSpan w:val="3"/>
            <w:vAlign w:val="center"/>
          </w:tcPr>
          <w:p>
            <w:pPr>
              <w:spacing w:line="240" w:lineRule="auto"/>
              <w:ind w:firstLine="0" w:firstLineChars="0"/>
              <w:jc w:val="left"/>
              <w:rPr>
                <w:rFonts w:ascii="仿宋" w:hAnsi="仿宋" w:eastAsia="仿宋"/>
                <w:b w:val="0"/>
                <w:color w:val="auto"/>
                <w:sz w:val="24"/>
                <w:szCs w:val="24"/>
                <w:lang w:val="en-US"/>
              </w:rPr>
            </w:pPr>
            <w:r>
              <w:rPr>
                <w:rFonts w:ascii="仿宋" w:hAnsi="仿宋" w:eastAsia="仿宋"/>
                <w:b w:val="0"/>
                <w:color w:val="auto"/>
                <w:sz w:val="24"/>
                <w:szCs w:val="24"/>
                <w:lang w:val="en-US"/>
              </w:rPr>
              <w:t>法定代表人</w:t>
            </w:r>
            <w:r>
              <w:rPr>
                <w:rFonts w:hint="eastAsia" w:ascii="仿宋" w:hAnsi="仿宋" w:eastAsia="仿宋"/>
                <w:b w:val="0"/>
                <w:color w:val="auto"/>
                <w:kern w:val="2"/>
                <w:sz w:val="24"/>
                <w:szCs w:val="24"/>
                <w:lang w:val="en-US"/>
              </w:rPr>
              <w:t>（主要负责人）</w:t>
            </w:r>
            <w:r>
              <w:rPr>
                <w:rFonts w:ascii="仿宋" w:hAnsi="仿宋" w:eastAsia="仿宋"/>
                <w:b w:val="0"/>
                <w:color w:val="auto"/>
                <w:sz w:val="24"/>
                <w:szCs w:val="24"/>
                <w:lang w:val="en-US"/>
              </w:rPr>
              <w:t>授权委托书原件及法定代表人</w:t>
            </w:r>
            <w:r>
              <w:rPr>
                <w:rFonts w:hint="eastAsia" w:ascii="仿宋" w:hAnsi="仿宋" w:eastAsia="仿宋"/>
                <w:b w:val="0"/>
                <w:color w:val="auto"/>
                <w:kern w:val="2"/>
                <w:sz w:val="24"/>
                <w:szCs w:val="24"/>
                <w:lang w:val="en-US"/>
              </w:rPr>
              <w:t>（主要负责人）</w:t>
            </w:r>
            <w:r>
              <w:rPr>
                <w:rFonts w:ascii="仿宋" w:hAnsi="仿宋" w:eastAsia="仿宋"/>
                <w:b w:val="0"/>
                <w:color w:val="auto"/>
                <w:sz w:val="24"/>
                <w:szCs w:val="24"/>
                <w:lang w:val="en-US"/>
              </w:rPr>
              <w:t>身份证、代理人身份证复印件</w:t>
            </w:r>
          </w:p>
        </w:tc>
        <w:tc>
          <w:tcPr>
            <w:tcW w:w="757" w:type="pct"/>
            <w:tcBorders>
              <w:top w:val="single" w:color="auto" w:sz="4" w:space="0"/>
              <w:bottom w:val="single" w:color="auto" w:sz="4" w:space="0"/>
            </w:tcBorders>
            <w:vAlign w:val="center"/>
          </w:tcPr>
          <w:p>
            <w:pPr>
              <w:spacing w:line="240" w:lineRule="auto"/>
              <w:ind w:firstLine="0" w:firstLineChars="0"/>
              <w:jc w:val="center"/>
              <w:rPr>
                <w:rFonts w:ascii="仿宋" w:hAnsi="仿宋" w:eastAsia="仿宋"/>
                <w:b w:val="0"/>
                <w:color w:val="auto"/>
                <w:sz w:val="24"/>
                <w:szCs w:val="24"/>
                <w:lang w:val="en-US"/>
              </w:rPr>
            </w:pPr>
          </w:p>
        </w:tc>
        <w:tc>
          <w:tcPr>
            <w:tcW w:w="757" w:type="pct"/>
            <w:tcBorders>
              <w:top w:val="single" w:color="auto" w:sz="4" w:space="0"/>
              <w:bottom w:val="single" w:color="auto" w:sz="4" w:space="0"/>
            </w:tcBorders>
          </w:tcPr>
          <w:p>
            <w:pPr>
              <w:ind w:firstLine="482"/>
              <w:rPr>
                <w:rFonts w:ascii="仿宋" w:hAnsi="仿宋" w:eastAsia="仿宋"/>
                <w:color w:val="auto"/>
                <w:sz w:val="24"/>
                <w:szCs w:val="24"/>
              </w:rPr>
            </w:pPr>
          </w:p>
        </w:tc>
        <w:tc>
          <w:tcPr>
            <w:tcW w:w="758" w:type="pct"/>
            <w:tcBorders>
              <w:top w:val="single" w:color="auto" w:sz="4" w:space="0"/>
              <w:bottom w:val="single" w:color="auto" w:sz="4" w:space="0"/>
            </w:tcBorders>
          </w:tcPr>
          <w:p>
            <w:pPr>
              <w:ind w:firstLine="482"/>
              <w:rPr>
                <w:rFonts w:ascii="仿宋" w:hAnsi="仿宋" w:eastAsia="仿宋"/>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821" w:type="pct"/>
            <w:gridSpan w:val="2"/>
            <w:vAlign w:val="center"/>
          </w:tcPr>
          <w:p>
            <w:pPr>
              <w:spacing w:line="240" w:lineRule="auto"/>
              <w:ind w:firstLine="0" w:firstLineChars="0"/>
              <w:jc w:val="left"/>
              <w:rPr>
                <w:rFonts w:hint="eastAsia" w:ascii="仿宋" w:hAnsi="仿宋" w:eastAsia="仿宋"/>
                <w:color w:val="auto"/>
                <w:sz w:val="24"/>
                <w:szCs w:val="24"/>
              </w:rPr>
            </w:pPr>
            <w:r>
              <w:rPr>
                <w:rFonts w:hint="eastAsia" w:ascii="仿宋" w:hAnsi="仿宋" w:eastAsia="仿宋"/>
                <w:b w:val="0"/>
                <w:color w:val="auto"/>
                <w:sz w:val="24"/>
                <w:szCs w:val="24"/>
                <w:lang w:val="en-US"/>
              </w:rPr>
              <w:t>不属于禁止参加投标的供应商</w:t>
            </w:r>
          </w:p>
        </w:tc>
        <w:tc>
          <w:tcPr>
            <w:tcW w:w="1904" w:type="pct"/>
            <w:vAlign w:val="center"/>
          </w:tcPr>
          <w:p>
            <w:pPr>
              <w:spacing w:line="240" w:lineRule="auto"/>
              <w:ind w:firstLine="0" w:firstLineChars="0"/>
              <w:jc w:val="left"/>
              <w:rPr>
                <w:rFonts w:hint="eastAsia" w:ascii="仿宋" w:hAnsi="仿宋" w:eastAsia="仿宋"/>
                <w:color w:val="auto"/>
                <w:sz w:val="24"/>
                <w:szCs w:val="24"/>
              </w:rPr>
            </w:pPr>
            <w:r>
              <w:rPr>
                <w:rFonts w:hint="eastAsia" w:ascii="仿宋" w:hAnsi="仿宋" w:eastAsia="仿宋"/>
                <w:b w:val="0"/>
                <w:color w:val="auto"/>
                <w:sz w:val="24"/>
                <w:szCs w:val="24"/>
                <w:lang w:val="en-US"/>
              </w:rPr>
              <w:t>符合本招标文件中《关于在政府采购活动中查询及使用信用记录有关问题的通知》（财库〔</w:t>
            </w:r>
            <w:r>
              <w:rPr>
                <w:rFonts w:ascii="仿宋" w:hAnsi="仿宋" w:eastAsia="仿宋"/>
                <w:b w:val="0"/>
                <w:color w:val="auto"/>
                <w:sz w:val="24"/>
                <w:szCs w:val="24"/>
                <w:lang w:val="en-US"/>
              </w:rPr>
              <w:t>2016〕125号）的要求</w:t>
            </w:r>
          </w:p>
        </w:tc>
        <w:tc>
          <w:tcPr>
            <w:tcW w:w="757" w:type="pct"/>
            <w:tcBorders>
              <w:top w:val="single" w:color="auto" w:sz="4" w:space="0"/>
              <w:bottom w:val="single" w:color="auto" w:sz="4" w:space="0"/>
            </w:tcBorders>
            <w:vAlign w:val="center"/>
          </w:tcPr>
          <w:p>
            <w:pPr>
              <w:ind w:firstLine="0" w:firstLineChars="0"/>
              <w:jc w:val="center"/>
              <w:rPr>
                <w:rFonts w:ascii="仿宋" w:hAnsi="仿宋" w:eastAsia="仿宋"/>
                <w:color w:val="auto"/>
                <w:sz w:val="24"/>
                <w:szCs w:val="24"/>
              </w:rPr>
            </w:pPr>
          </w:p>
        </w:tc>
        <w:tc>
          <w:tcPr>
            <w:tcW w:w="757" w:type="pct"/>
            <w:tcBorders>
              <w:top w:val="single" w:color="auto" w:sz="4" w:space="0"/>
              <w:bottom w:val="single" w:color="auto" w:sz="4" w:space="0"/>
            </w:tcBorders>
          </w:tcPr>
          <w:p>
            <w:pPr>
              <w:ind w:firstLine="482"/>
              <w:rPr>
                <w:rFonts w:ascii="仿宋" w:hAnsi="仿宋" w:eastAsia="仿宋"/>
                <w:color w:val="auto"/>
                <w:sz w:val="24"/>
                <w:szCs w:val="24"/>
              </w:rPr>
            </w:pPr>
          </w:p>
        </w:tc>
        <w:tc>
          <w:tcPr>
            <w:tcW w:w="758" w:type="pct"/>
            <w:tcBorders>
              <w:top w:val="single" w:color="auto" w:sz="4" w:space="0"/>
              <w:bottom w:val="single" w:color="auto" w:sz="4" w:space="0"/>
            </w:tcBorders>
          </w:tcPr>
          <w:p>
            <w:pPr>
              <w:ind w:firstLine="482"/>
              <w:rPr>
                <w:rFonts w:ascii="仿宋" w:hAnsi="仿宋" w:eastAsia="仿宋"/>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726" w:type="pct"/>
            <w:gridSpan w:val="3"/>
            <w:vAlign w:val="center"/>
          </w:tcPr>
          <w:p>
            <w:pPr>
              <w:spacing w:line="240" w:lineRule="auto"/>
              <w:ind w:firstLine="0" w:firstLineChars="0"/>
              <w:jc w:val="center"/>
              <w:rPr>
                <w:rFonts w:hint="eastAsia" w:ascii="仿宋" w:hAnsi="仿宋" w:eastAsia="仿宋"/>
                <w:b w:val="0"/>
                <w:color w:val="auto"/>
                <w:sz w:val="24"/>
                <w:szCs w:val="24"/>
                <w:lang w:val="en-US"/>
              </w:rPr>
            </w:pPr>
            <w:r>
              <w:rPr>
                <w:rFonts w:hint="eastAsia" w:ascii="仿宋" w:hAnsi="仿宋" w:eastAsia="仿宋"/>
                <w:b w:val="0"/>
                <w:color w:val="auto"/>
                <w:sz w:val="24"/>
                <w:szCs w:val="24"/>
                <w:lang w:val="en-US"/>
              </w:rPr>
              <w:t>结</w:t>
            </w:r>
            <w:r>
              <w:rPr>
                <w:rFonts w:ascii="仿宋" w:hAnsi="仿宋" w:eastAsia="仿宋"/>
                <w:b w:val="0"/>
                <w:color w:val="auto"/>
                <w:sz w:val="24"/>
                <w:szCs w:val="24"/>
                <w:lang w:val="en-US"/>
              </w:rPr>
              <w:t xml:space="preserve">  论</w:t>
            </w:r>
          </w:p>
        </w:tc>
        <w:tc>
          <w:tcPr>
            <w:tcW w:w="757" w:type="pct"/>
            <w:tcBorders>
              <w:top w:val="single" w:color="auto" w:sz="4" w:space="0"/>
              <w:bottom w:val="single" w:color="auto" w:sz="4" w:space="0"/>
            </w:tcBorders>
            <w:vAlign w:val="center"/>
          </w:tcPr>
          <w:p>
            <w:pPr>
              <w:ind w:firstLine="0" w:firstLineChars="0"/>
              <w:jc w:val="center"/>
              <w:rPr>
                <w:rFonts w:ascii="仿宋" w:hAnsi="仿宋" w:eastAsia="仿宋"/>
                <w:b w:val="0"/>
                <w:color w:val="auto"/>
                <w:sz w:val="24"/>
                <w:szCs w:val="24"/>
                <w:lang w:val="en-US"/>
              </w:rPr>
            </w:pPr>
          </w:p>
        </w:tc>
        <w:tc>
          <w:tcPr>
            <w:tcW w:w="757" w:type="pct"/>
            <w:tcBorders>
              <w:top w:val="single" w:color="auto" w:sz="4" w:space="0"/>
              <w:bottom w:val="single" w:color="auto" w:sz="4" w:space="0"/>
            </w:tcBorders>
          </w:tcPr>
          <w:p>
            <w:pPr>
              <w:ind w:firstLine="482"/>
              <w:rPr>
                <w:rFonts w:ascii="仿宋" w:hAnsi="仿宋" w:eastAsia="仿宋"/>
                <w:color w:val="auto"/>
                <w:sz w:val="24"/>
                <w:szCs w:val="24"/>
              </w:rPr>
            </w:pPr>
          </w:p>
        </w:tc>
        <w:tc>
          <w:tcPr>
            <w:tcW w:w="758" w:type="pct"/>
            <w:tcBorders>
              <w:top w:val="single" w:color="auto" w:sz="4" w:space="0"/>
              <w:bottom w:val="single" w:color="auto" w:sz="4" w:space="0"/>
            </w:tcBorders>
          </w:tcPr>
          <w:p>
            <w:pPr>
              <w:ind w:firstLine="482"/>
              <w:rPr>
                <w:rFonts w:ascii="仿宋" w:hAnsi="仿宋" w:eastAsia="仿宋"/>
                <w:color w:val="auto"/>
                <w:sz w:val="24"/>
                <w:szCs w:val="24"/>
              </w:rPr>
            </w:pPr>
          </w:p>
        </w:tc>
      </w:tr>
    </w:tbl>
    <w:p>
      <w:pPr>
        <w:spacing w:line="312" w:lineRule="auto"/>
        <w:ind w:firstLine="480"/>
        <w:rPr>
          <w:rFonts w:ascii="仿宋" w:hAnsi="仿宋" w:eastAsia="仿宋"/>
          <w:b w:val="0"/>
          <w:color w:val="auto"/>
          <w:sz w:val="24"/>
          <w:szCs w:val="24"/>
        </w:rPr>
      </w:pPr>
      <w:r>
        <w:rPr>
          <w:rFonts w:ascii="仿宋" w:hAnsi="仿宋" w:eastAsia="仿宋"/>
          <w:b w:val="0"/>
          <w:color w:val="auto"/>
          <w:sz w:val="24"/>
          <w:szCs w:val="24"/>
        </w:rPr>
        <w:t>注：</w:t>
      </w:r>
    </w:p>
    <w:p>
      <w:pPr>
        <w:spacing w:line="312" w:lineRule="auto"/>
        <w:ind w:firstLine="480"/>
        <w:rPr>
          <w:rFonts w:ascii="仿宋" w:hAnsi="仿宋" w:eastAsia="仿宋"/>
          <w:b w:val="0"/>
          <w:color w:val="auto"/>
          <w:sz w:val="24"/>
          <w:szCs w:val="24"/>
        </w:rPr>
      </w:pPr>
      <w:r>
        <w:rPr>
          <w:rFonts w:ascii="仿宋" w:hAnsi="仿宋" w:eastAsia="仿宋"/>
          <w:b w:val="0"/>
          <w:color w:val="auto"/>
          <w:sz w:val="24"/>
          <w:szCs w:val="24"/>
        </w:rPr>
        <w:t>以上每一项结论均为“合格”的，则投标人通过资格审查，如有任意一项结论为“不合格”的，则投标人不通过资格审查，其投标文件按无效投标文件处理。如果认为投标人有任意一项不合格的，应载明不合格的具体原因。</w:t>
      </w:r>
    </w:p>
    <w:p>
      <w:pPr>
        <w:numPr>
          <w:ilvl w:val="3"/>
          <w:numId w:val="17"/>
        </w:numPr>
        <w:tabs>
          <w:tab w:val="left" w:pos="360"/>
        </w:tabs>
        <w:spacing w:line="520" w:lineRule="exact"/>
        <w:ind w:left="0" w:firstLine="480"/>
        <w:outlineLvl w:val="3"/>
        <w:rPr>
          <w:rFonts w:ascii="仿宋" w:hAnsi="仿宋" w:eastAsia="仿宋"/>
          <w:b w:val="0"/>
          <w:bCs/>
          <w:color w:val="auto"/>
          <w:kern w:val="2"/>
          <w:sz w:val="24"/>
          <w:szCs w:val="24"/>
          <w:lang w:val="en-US"/>
        </w:rPr>
      </w:pPr>
      <w:bookmarkStart w:id="558" w:name="_Toc500492761"/>
      <w:bookmarkStart w:id="559" w:name="_Toc494198634"/>
      <w:bookmarkStart w:id="560" w:name="_Toc496605666"/>
      <w:bookmarkStart w:id="561" w:name="_Toc494198960"/>
      <w:r>
        <w:rPr>
          <w:rFonts w:hint="eastAsia" w:ascii="仿宋" w:hAnsi="仿宋" w:eastAsia="仿宋"/>
          <w:b w:val="0"/>
          <w:bCs/>
          <w:color w:val="auto"/>
          <w:kern w:val="2"/>
          <w:sz w:val="24"/>
          <w:szCs w:val="24"/>
          <w:lang w:val="en-US"/>
        </w:rPr>
        <w:t xml:space="preserve"> </w:t>
      </w:r>
      <w:r>
        <w:rPr>
          <w:rFonts w:ascii="仿宋" w:hAnsi="仿宋" w:eastAsia="仿宋"/>
          <w:b w:val="0"/>
          <w:bCs/>
          <w:color w:val="auto"/>
          <w:kern w:val="2"/>
          <w:sz w:val="24"/>
          <w:szCs w:val="24"/>
          <w:lang w:val="en-US"/>
        </w:rPr>
        <w:t>采购人或者采购代理机构依法对投标人的资格进行审查结束后，出具资格审查报告。</w:t>
      </w:r>
      <w:bookmarkEnd w:id="558"/>
      <w:bookmarkEnd w:id="559"/>
      <w:bookmarkEnd w:id="560"/>
      <w:bookmarkEnd w:id="561"/>
    </w:p>
    <w:p>
      <w:pPr>
        <w:numPr>
          <w:ilvl w:val="3"/>
          <w:numId w:val="17"/>
        </w:numPr>
        <w:tabs>
          <w:tab w:val="left" w:pos="360"/>
        </w:tabs>
        <w:spacing w:line="520" w:lineRule="exact"/>
        <w:ind w:left="0" w:firstLine="482"/>
        <w:outlineLvl w:val="3"/>
        <w:rPr>
          <w:rFonts w:ascii="仿宋" w:hAnsi="仿宋" w:eastAsia="仿宋"/>
          <w:b w:val="0"/>
          <w:bCs/>
          <w:color w:val="auto"/>
          <w:kern w:val="2"/>
          <w:sz w:val="24"/>
          <w:szCs w:val="24"/>
          <w:lang w:val="en-US"/>
        </w:rPr>
      </w:pPr>
      <w:r>
        <w:rPr>
          <w:rFonts w:ascii="仿宋" w:hAnsi="仿宋" w:eastAsia="仿宋"/>
          <w:bCs/>
          <w:color w:val="auto"/>
          <w:kern w:val="2"/>
          <w:sz w:val="24"/>
          <w:szCs w:val="24"/>
          <w:lang w:val="en-US"/>
        </w:rPr>
        <w:t xml:space="preserve"> </w:t>
      </w:r>
      <w:bookmarkStart w:id="562" w:name="_Toc500492762"/>
      <w:bookmarkStart w:id="563" w:name="_Toc494198635"/>
      <w:bookmarkStart w:id="564" w:name="_Toc494198961"/>
      <w:bookmarkStart w:id="565" w:name="_Toc496605667"/>
      <w:r>
        <w:rPr>
          <w:rFonts w:ascii="仿宋" w:hAnsi="仿宋" w:eastAsia="仿宋"/>
          <w:b w:val="0"/>
          <w:bCs/>
          <w:color w:val="auto"/>
          <w:kern w:val="2"/>
          <w:sz w:val="24"/>
          <w:szCs w:val="24"/>
          <w:lang w:val="en-US"/>
        </w:rPr>
        <w:t>通过资格审查的投标人不足3家的，不得评标。</w:t>
      </w:r>
      <w:bookmarkEnd w:id="562"/>
      <w:bookmarkEnd w:id="563"/>
      <w:bookmarkEnd w:id="564"/>
      <w:bookmarkEnd w:id="565"/>
    </w:p>
    <w:p>
      <w:pPr>
        <w:numPr>
          <w:ilvl w:val="2"/>
          <w:numId w:val="17"/>
        </w:numPr>
        <w:tabs>
          <w:tab w:val="left" w:pos="360"/>
        </w:tabs>
        <w:snapToGrid/>
        <w:spacing w:line="520" w:lineRule="exact"/>
        <w:ind w:left="0" w:firstLine="482"/>
        <w:jc w:val="left"/>
        <w:outlineLvl w:val="2"/>
        <w:rPr>
          <w:rFonts w:ascii="仿宋" w:hAnsi="仿宋" w:eastAsia="仿宋"/>
          <w:bCs/>
          <w:color w:val="auto"/>
          <w:kern w:val="2"/>
          <w:sz w:val="24"/>
          <w:szCs w:val="24"/>
          <w:lang w:val="en-US"/>
        </w:rPr>
      </w:pPr>
      <w:bookmarkStart w:id="566" w:name="_Toc494198636"/>
      <w:bookmarkStart w:id="567" w:name="_Toc494198962"/>
      <w:bookmarkStart w:id="568" w:name="_Toc500492763"/>
      <w:bookmarkStart w:id="569" w:name="_Toc496605668"/>
      <w:r>
        <w:rPr>
          <w:rFonts w:ascii="仿宋" w:hAnsi="仿宋" w:eastAsia="仿宋"/>
          <w:bCs/>
          <w:color w:val="auto"/>
          <w:kern w:val="2"/>
          <w:sz w:val="24"/>
          <w:szCs w:val="24"/>
          <w:lang w:val="en-US"/>
        </w:rPr>
        <w:t>评标委员会熟悉、理解招标文件和停止评标</w:t>
      </w:r>
      <w:bookmarkEnd w:id="553"/>
      <w:bookmarkEnd w:id="554"/>
      <w:bookmarkEnd w:id="555"/>
      <w:bookmarkEnd w:id="556"/>
      <w:bookmarkEnd w:id="566"/>
      <w:bookmarkEnd w:id="567"/>
      <w:bookmarkEnd w:id="568"/>
      <w:bookmarkEnd w:id="569"/>
      <w:bookmarkStart w:id="570" w:name="_Toc466292942"/>
      <w:bookmarkStart w:id="571" w:name="_Toc466896292"/>
    </w:p>
    <w:p>
      <w:pPr>
        <w:numPr>
          <w:ilvl w:val="3"/>
          <w:numId w:val="17"/>
        </w:numPr>
        <w:tabs>
          <w:tab w:val="left" w:pos="360"/>
        </w:tabs>
        <w:spacing w:line="520" w:lineRule="exact"/>
        <w:ind w:left="0" w:firstLine="482"/>
        <w:outlineLvl w:val="3"/>
        <w:rPr>
          <w:rFonts w:ascii="仿宋" w:hAnsi="仿宋" w:eastAsia="仿宋"/>
          <w:b w:val="0"/>
          <w:bCs/>
          <w:color w:val="auto"/>
          <w:kern w:val="2"/>
          <w:sz w:val="24"/>
          <w:szCs w:val="24"/>
          <w:lang w:val="en-US"/>
        </w:rPr>
      </w:pPr>
      <w:bookmarkStart w:id="572" w:name="_Toc477425578"/>
      <w:bookmarkStart w:id="573" w:name="_Toc475005623"/>
      <w:bookmarkStart w:id="574" w:name="_Toc476748798"/>
      <w:bookmarkStart w:id="575" w:name="_Toc482094370"/>
      <w:r>
        <w:rPr>
          <w:rFonts w:ascii="仿宋" w:hAnsi="仿宋" w:eastAsia="仿宋"/>
          <w:bCs/>
          <w:color w:val="auto"/>
          <w:kern w:val="2"/>
          <w:sz w:val="24"/>
          <w:szCs w:val="24"/>
          <w:lang w:val="en-US"/>
        </w:rPr>
        <w:t xml:space="preserve"> </w:t>
      </w:r>
      <w:bookmarkStart w:id="576" w:name="_Toc500492764"/>
      <w:bookmarkStart w:id="577" w:name="_Toc494198963"/>
      <w:bookmarkStart w:id="578" w:name="_Toc494198637"/>
      <w:bookmarkStart w:id="579" w:name="_Toc496605669"/>
      <w:r>
        <w:rPr>
          <w:rFonts w:ascii="仿宋" w:hAnsi="仿宋" w:eastAsia="仿宋"/>
          <w:b w:val="0"/>
          <w:bCs/>
          <w:color w:val="auto"/>
          <w:kern w:val="2"/>
          <w:sz w:val="24"/>
          <w:szCs w:val="24"/>
          <w:lang w:val="en-US"/>
        </w:rPr>
        <w:t>评标委员会正式评标前，</w:t>
      </w:r>
      <w:bookmarkEnd w:id="572"/>
      <w:bookmarkEnd w:id="573"/>
      <w:bookmarkEnd w:id="574"/>
      <w:bookmarkEnd w:id="575"/>
      <w:bookmarkStart w:id="580" w:name="_Toc475005624"/>
      <w:bookmarkStart w:id="581" w:name="_Toc482094371"/>
      <w:bookmarkStart w:id="582" w:name="_Toc476748799"/>
      <w:bookmarkStart w:id="583" w:name="_Toc477425579"/>
      <w:r>
        <w:rPr>
          <w:rFonts w:ascii="仿宋" w:hAnsi="仿宋" w:eastAsia="仿宋"/>
          <w:b w:val="0"/>
          <w:bCs/>
          <w:color w:val="auto"/>
          <w:kern w:val="2"/>
          <w:sz w:val="24"/>
          <w:szCs w:val="24"/>
          <w:lang w:val="en-US"/>
        </w:rPr>
        <w:t>评标委员会熟悉和理解招标文件的过程中，发现本招标文件有下列情形之一的，评标委员会应当停止评标：</w:t>
      </w:r>
      <w:bookmarkEnd w:id="576"/>
      <w:bookmarkEnd w:id="577"/>
      <w:bookmarkEnd w:id="578"/>
      <w:bookmarkEnd w:id="579"/>
      <w:bookmarkEnd w:id="580"/>
      <w:bookmarkEnd w:id="581"/>
      <w:bookmarkEnd w:id="582"/>
      <w:bookmarkEnd w:id="583"/>
    </w:p>
    <w:p>
      <w:pPr>
        <w:numPr>
          <w:ilvl w:val="0"/>
          <w:numId w:val="53"/>
        </w:numPr>
        <w:tabs>
          <w:tab w:val="left" w:pos="709"/>
        </w:tabs>
        <w:spacing w:line="540" w:lineRule="exact"/>
        <w:ind w:left="0" w:firstLine="480"/>
        <w:rPr>
          <w:rFonts w:ascii="仿宋" w:hAnsi="仿宋" w:eastAsia="仿宋"/>
          <w:b w:val="0"/>
          <w:color w:val="auto"/>
          <w:sz w:val="24"/>
          <w:szCs w:val="24"/>
        </w:rPr>
      </w:pPr>
      <w:r>
        <w:rPr>
          <w:rFonts w:ascii="仿宋" w:hAnsi="仿宋" w:eastAsia="仿宋"/>
          <w:b w:val="0"/>
          <w:color w:val="auto"/>
          <w:sz w:val="24"/>
          <w:szCs w:val="24"/>
        </w:rPr>
        <w:t>招标文件存在重大缺陷导致评标工作无法进行；</w:t>
      </w:r>
    </w:p>
    <w:p>
      <w:pPr>
        <w:numPr>
          <w:ilvl w:val="0"/>
          <w:numId w:val="53"/>
        </w:numPr>
        <w:tabs>
          <w:tab w:val="left" w:pos="709"/>
        </w:tabs>
        <w:spacing w:line="540" w:lineRule="exact"/>
        <w:ind w:left="0" w:firstLine="480"/>
        <w:rPr>
          <w:rFonts w:ascii="仿宋" w:hAnsi="仿宋" w:eastAsia="仿宋"/>
          <w:b w:val="0"/>
          <w:color w:val="auto"/>
          <w:sz w:val="24"/>
          <w:szCs w:val="24"/>
        </w:rPr>
      </w:pPr>
      <w:r>
        <w:rPr>
          <w:rFonts w:ascii="仿宋" w:hAnsi="仿宋" w:eastAsia="仿宋"/>
          <w:b w:val="0"/>
          <w:color w:val="auto"/>
          <w:sz w:val="24"/>
          <w:szCs w:val="24"/>
        </w:rPr>
        <w:t>招标文件的规定存在歧义，采购人或者采购代理机构未进行书面澄清导致评标工作无法进行；</w:t>
      </w:r>
    </w:p>
    <w:p>
      <w:pPr>
        <w:numPr>
          <w:ilvl w:val="0"/>
          <w:numId w:val="53"/>
        </w:numPr>
        <w:tabs>
          <w:tab w:val="left" w:pos="709"/>
        </w:tabs>
        <w:spacing w:line="540" w:lineRule="exact"/>
        <w:ind w:left="0" w:firstLine="480"/>
        <w:rPr>
          <w:rFonts w:ascii="仿宋" w:hAnsi="仿宋" w:eastAsia="仿宋"/>
          <w:b w:val="0"/>
          <w:color w:val="auto"/>
          <w:sz w:val="24"/>
          <w:szCs w:val="24"/>
        </w:rPr>
      </w:pPr>
      <w:r>
        <w:rPr>
          <w:rFonts w:ascii="仿宋" w:hAnsi="仿宋" w:eastAsia="仿宋"/>
          <w:b w:val="0"/>
          <w:color w:val="auto"/>
          <w:sz w:val="24"/>
          <w:szCs w:val="24"/>
        </w:rPr>
        <w:t>招标文件明显以不合理条件对投标人实行差别待遇或歧视待遇的；</w:t>
      </w:r>
    </w:p>
    <w:p>
      <w:pPr>
        <w:numPr>
          <w:ilvl w:val="0"/>
          <w:numId w:val="53"/>
        </w:numPr>
        <w:tabs>
          <w:tab w:val="left" w:pos="709"/>
        </w:tabs>
        <w:spacing w:line="540" w:lineRule="exact"/>
        <w:ind w:left="0" w:firstLine="480"/>
        <w:rPr>
          <w:rFonts w:ascii="仿宋" w:hAnsi="仿宋" w:eastAsia="仿宋"/>
          <w:b w:val="0"/>
          <w:color w:val="auto"/>
          <w:sz w:val="24"/>
          <w:szCs w:val="24"/>
        </w:rPr>
      </w:pPr>
      <w:r>
        <w:rPr>
          <w:rFonts w:ascii="仿宋" w:hAnsi="仿宋" w:eastAsia="仿宋"/>
          <w:b w:val="0"/>
          <w:color w:val="auto"/>
          <w:sz w:val="24"/>
          <w:szCs w:val="24"/>
        </w:rPr>
        <w:t>采购项目属于国家规定的优先、强制采购范围，但是招标文件未依法体现优先、强制采购相关规定的；</w:t>
      </w:r>
    </w:p>
    <w:p>
      <w:pPr>
        <w:numPr>
          <w:ilvl w:val="0"/>
          <w:numId w:val="53"/>
        </w:numPr>
        <w:tabs>
          <w:tab w:val="left" w:pos="709"/>
        </w:tabs>
        <w:spacing w:line="540" w:lineRule="exact"/>
        <w:ind w:left="0" w:firstLine="480"/>
        <w:rPr>
          <w:rFonts w:ascii="仿宋" w:hAnsi="仿宋" w:eastAsia="仿宋"/>
          <w:b w:val="0"/>
          <w:color w:val="auto"/>
          <w:sz w:val="24"/>
          <w:szCs w:val="24"/>
        </w:rPr>
      </w:pPr>
      <w:r>
        <w:rPr>
          <w:rFonts w:ascii="仿宋" w:hAnsi="仿宋" w:eastAsia="仿宋"/>
          <w:b w:val="0"/>
          <w:color w:val="auto"/>
          <w:sz w:val="24"/>
          <w:szCs w:val="24"/>
        </w:rPr>
        <w:t>采购项目属于政府采购促进中小企业发展的范围，但是招标文件未依法体现促进中小企业发展相关规定的；</w:t>
      </w:r>
    </w:p>
    <w:p>
      <w:pPr>
        <w:numPr>
          <w:ilvl w:val="0"/>
          <w:numId w:val="53"/>
        </w:numPr>
        <w:tabs>
          <w:tab w:val="left" w:pos="709"/>
        </w:tabs>
        <w:spacing w:line="540" w:lineRule="exact"/>
        <w:ind w:left="0" w:firstLine="480"/>
        <w:rPr>
          <w:rFonts w:ascii="仿宋" w:hAnsi="仿宋" w:eastAsia="仿宋"/>
          <w:b w:val="0"/>
          <w:color w:val="auto"/>
          <w:sz w:val="24"/>
          <w:szCs w:val="24"/>
        </w:rPr>
      </w:pPr>
      <w:r>
        <w:rPr>
          <w:rFonts w:ascii="仿宋" w:hAnsi="仿宋" w:eastAsia="仿宋"/>
          <w:b w:val="0"/>
          <w:color w:val="auto"/>
          <w:sz w:val="24"/>
          <w:szCs w:val="24"/>
        </w:rPr>
        <w:t>招标文件规定的评标方法是综合评分法、最低评标价法之外的评标方法，或者虽然名称为综合评分法、最低评标价法，但实际上不符合国家规定；</w:t>
      </w:r>
    </w:p>
    <w:p>
      <w:pPr>
        <w:numPr>
          <w:ilvl w:val="0"/>
          <w:numId w:val="53"/>
        </w:numPr>
        <w:tabs>
          <w:tab w:val="left" w:pos="709"/>
        </w:tabs>
        <w:spacing w:line="540" w:lineRule="exact"/>
        <w:ind w:left="0" w:firstLine="480"/>
        <w:rPr>
          <w:rFonts w:ascii="仿宋" w:hAnsi="仿宋" w:eastAsia="仿宋"/>
          <w:b w:val="0"/>
          <w:color w:val="auto"/>
          <w:sz w:val="24"/>
          <w:szCs w:val="24"/>
        </w:rPr>
      </w:pPr>
      <w:r>
        <w:rPr>
          <w:rFonts w:ascii="仿宋" w:hAnsi="仿宋" w:eastAsia="仿宋"/>
          <w:b w:val="0"/>
          <w:color w:val="auto"/>
          <w:sz w:val="24"/>
          <w:szCs w:val="24"/>
        </w:rPr>
        <w:t>招标文件将投标人的资格条件列为评分因素的；</w:t>
      </w:r>
    </w:p>
    <w:p>
      <w:pPr>
        <w:numPr>
          <w:ilvl w:val="0"/>
          <w:numId w:val="53"/>
        </w:numPr>
        <w:tabs>
          <w:tab w:val="left" w:pos="709"/>
        </w:tabs>
        <w:spacing w:line="540" w:lineRule="exact"/>
        <w:ind w:left="0" w:firstLine="480"/>
        <w:rPr>
          <w:rFonts w:ascii="仿宋" w:hAnsi="仿宋" w:eastAsia="仿宋"/>
          <w:b w:val="0"/>
          <w:color w:val="auto"/>
          <w:sz w:val="24"/>
          <w:szCs w:val="24"/>
        </w:rPr>
      </w:pPr>
      <w:r>
        <w:rPr>
          <w:rFonts w:ascii="仿宋" w:hAnsi="仿宋" w:eastAsia="仿宋"/>
          <w:b w:val="0"/>
          <w:color w:val="auto"/>
          <w:sz w:val="24"/>
          <w:szCs w:val="24"/>
        </w:rPr>
        <w:t>招标文件内容违反国家有关强制性规定的。</w:t>
      </w:r>
    </w:p>
    <w:p>
      <w:pPr>
        <w:spacing w:line="540" w:lineRule="exact"/>
        <w:ind w:firstLine="480"/>
        <w:rPr>
          <w:rFonts w:ascii="仿宋" w:hAnsi="仿宋" w:eastAsia="仿宋"/>
          <w:b w:val="0"/>
          <w:color w:val="auto"/>
          <w:sz w:val="24"/>
          <w:szCs w:val="24"/>
        </w:rPr>
      </w:pPr>
      <w:bookmarkStart w:id="584" w:name="_Toc477425580"/>
      <w:bookmarkStart w:id="585" w:name="_Toc475005625"/>
      <w:bookmarkStart w:id="586" w:name="_Toc476748800"/>
      <w:bookmarkStart w:id="587" w:name="_Toc482094372"/>
      <w:r>
        <w:rPr>
          <w:rFonts w:ascii="仿宋" w:hAnsi="仿宋" w:eastAsia="仿宋"/>
          <w:b w:val="0"/>
          <w:color w:val="auto"/>
          <w:sz w:val="24"/>
          <w:szCs w:val="24"/>
        </w:rPr>
        <w:t>出现7.3.2.1规定应当停止评标情形的，评标委员会应当向采购人或者采购代理机构书面说明情况。除本条规定和评标委员会无法依法组建的情形外，评标委员会不得以任何方式和理由停止评标。</w:t>
      </w:r>
      <w:bookmarkEnd w:id="584"/>
      <w:bookmarkEnd w:id="585"/>
      <w:bookmarkEnd w:id="586"/>
      <w:bookmarkEnd w:id="587"/>
    </w:p>
    <w:p>
      <w:pPr>
        <w:numPr>
          <w:ilvl w:val="3"/>
          <w:numId w:val="17"/>
        </w:numPr>
        <w:tabs>
          <w:tab w:val="left" w:pos="360"/>
        </w:tabs>
        <w:spacing w:line="520" w:lineRule="exact"/>
        <w:ind w:left="0" w:firstLine="480"/>
        <w:outlineLvl w:val="3"/>
        <w:rPr>
          <w:rFonts w:ascii="仿宋" w:hAnsi="仿宋" w:eastAsia="仿宋"/>
          <w:b w:val="0"/>
          <w:bCs/>
          <w:color w:val="auto"/>
          <w:kern w:val="2"/>
          <w:sz w:val="24"/>
          <w:szCs w:val="24"/>
          <w:lang w:val="en-US"/>
        </w:rPr>
      </w:pPr>
      <w:bookmarkStart w:id="588" w:name="_Toc494198638"/>
      <w:bookmarkStart w:id="589" w:name="_Toc496605670"/>
      <w:bookmarkStart w:id="590" w:name="_Toc476748801"/>
      <w:bookmarkStart w:id="591" w:name="_Toc500492765"/>
      <w:bookmarkStart w:id="592" w:name="_Toc482094373"/>
      <w:bookmarkStart w:id="593" w:name="_Toc477425581"/>
      <w:bookmarkStart w:id="594" w:name="_Toc475005626"/>
      <w:bookmarkStart w:id="595" w:name="_Toc494198964"/>
      <w:r>
        <w:rPr>
          <w:rFonts w:ascii="仿宋" w:hAnsi="仿宋" w:eastAsia="仿宋"/>
          <w:b w:val="0"/>
          <w:bCs/>
          <w:color w:val="auto"/>
          <w:kern w:val="2"/>
          <w:sz w:val="24"/>
          <w:szCs w:val="24"/>
          <w:lang w:val="en-US"/>
        </w:rPr>
        <w:t>评标委员会熟悉和理解招标文件完成后，应书面签字确认本招标文件是否有属于应当停止评标的情形。</w:t>
      </w:r>
      <w:bookmarkEnd w:id="588"/>
      <w:bookmarkEnd w:id="589"/>
      <w:bookmarkEnd w:id="590"/>
      <w:bookmarkEnd w:id="591"/>
      <w:bookmarkEnd w:id="592"/>
      <w:bookmarkEnd w:id="593"/>
      <w:bookmarkEnd w:id="594"/>
      <w:bookmarkEnd w:id="595"/>
    </w:p>
    <w:bookmarkEnd w:id="570"/>
    <w:bookmarkEnd w:id="571"/>
    <w:p>
      <w:pPr>
        <w:numPr>
          <w:ilvl w:val="2"/>
          <w:numId w:val="17"/>
        </w:numPr>
        <w:tabs>
          <w:tab w:val="left" w:pos="360"/>
        </w:tabs>
        <w:snapToGrid/>
        <w:spacing w:line="520" w:lineRule="exact"/>
        <w:ind w:left="0" w:firstLine="482"/>
        <w:jc w:val="left"/>
        <w:outlineLvl w:val="2"/>
        <w:rPr>
          <w:rFonts w:ascii="仿宋" w:hAnsi="仿宋" w:eastAsia="仿宋"/>
          <w:bCs/>
          <w:color w:val="auto"/>
          <w:kern w:val="2"/>
          <w:sz w:val="24"/>
          <w:szCs w:val="24"/>
          <w:lang w:val="en-US"/>
        </w:rPr>
      </w:pPr>
      <w:bookmarkStart w:id="596" w:name="_Toc494198639"/>
      <w:bookmarkStart w:id="597" w:name="_Toc500492766"/>
      <w:bookmarkStart w:id="598" w:name="_Toc496605671"/>
      <w:bookmarkStart w:id="599" w:name="_Toc494198965"/>
      <w:bookmarkStart w:id="600" w:name="_Toc482094376"/>
      <w:bookmarkStart w:id="601" w:name="_Toc466896294"/>
      <w:bookmarkStart w:id="602" w:name="_Toc476748804"/>
      <w:bookmarkStart w:id="603" w:name="_Toc466292944"/>
      <w:bookmarkStart w:id="604" w:name="_Toc475005629"/>
      <w:bookmarkStart w:id="605" w:name="_Toc477425584"/>
      <w:r>
        <w:rPr>
          <w:rFonts w:ascii="仿宋" w:hAnsi="仿宋" w:eastAsia="仿宋"/>
          <w:bCs/>
          <w:color w:val="auto"/>
          <w:kern w:val="2"/>
          <w:sz w:val="24"/>
          <w:szCs w:val="24"/>
          <w:lang w:val="en-US"/>
        </w:rPr>
        <w:t>评标委员会符合性检查</w:t>
      </w:r>
      <w:bookmarkEnd w:id="596"/>
      <w:bookmarkEnd w:id="597"/>
      <w:bookmarkEnd w:id="598"/>
      <w:bookmarkEnd w:id="599"/>
    </w:p>
    <w:p>
      <w:pPr>
        <w:numPr>
          <w:ilvl w:val="3"/>
          <w:numId w:val="17"/>
        </w:numPr>
        <w:tabs>
          <w:tab w:val="left" w:pos="360"/>
        </w:tabs>
        <w:spacing w:line="520" w:lineRule="exact"/>
        <w:ind w:left="0" w:firstLine="480"/>
        <w:outlineLvl w:val="3"/>
        <w:rPr>
          <w:rFonts w:ascii="仿宋" w:hAnsi="仿宋" w:eastAsia="仿宋"/>
          <w:b w:val="0"/>
          <w:bCs/>
          <w:color w:val="auto"/>
          <w:kern w:val="2"/>
          <w:sz w:val="24"/>
          <w:szCs w:val="24"/>
          <w:lang w:val="en-US"/>
        </w:rPr>
      </w:pPr>
      <w:r>
        <w:rPr>
          <w:rFonts w:ascii="仿宋" w:hAnsi="仿宋" w:eastAsia="仿宋"/>
          <w:b w:val="0"/>
          <w:bCs/>
          <w:color w:val="auto"/>
          <w:kern w:val="2"/>
          <w:sz w:val="24"/>
          <w:szCs w:val="24"/>
          <w:lang w:val="en-US"/>
        </w:rPr>
        <w:t xml:space="preserve"> </w:t>
      </w:r>
      <w:bookmarkStart w:id="606" w:name="_Toc494198640"/>
      <w:bookmarkStart w:id="607" w:name="_Toc500492767"/>
      <w:bookmarkStart w:id="608" w:name="_Toc494198966"/>
      <w:bookmarkStart w:id="609" w:name="_Toc496605672"/>
      <w:r>
        <w:rPr>
          <w:rFonts w:ascii="仿宋" w:hAnsi="仿宋" w:eastAsia="仿宋"/>
          <w:b w:val="0"/>
          <w:bCs/>
          <w:color w:val="auto"/>
          <w:kern w:val="2"/>
          <w:sz w:val="24"/>
          <w:szCs w:val="24"/>
          <w:lang w:val="en-US"/>
        </w:rPr>
        <w:t>评标委员会应当对符合资格的投标人的投标文件进行符合性审查，以确定其是否满足招标文件的实质性要求。本项目符合性审查事项仅限于本招标文件的明确规定。投标文件是否满足招标文件的实质性要求，必须以本项目招标文件的明确规定作为依据，否则，不能对投标文件作为无效处理，评标委员会不得臆测符合性审查事项。</w:t>
      </w:r>
      <w:bookmarkEnd w:id="606"/>
      <w:bookmarkEnd w:id="607"/>
      <w:bookmarkEnd w:id="608"/>
      <w:bookmarkEnd w:id="609"/>
    </w:p>
    <w:p>
      <w:pPr>
        <w:numPr>
          <w:ilvl w:val="3"/>
          <w:numId w:val="17"/>
        </w:numPr>
        <w:tabs>
          <w:tab w:val="left" w:pos="360"/>
        </w:tabs>
        <w:spacing w:line="520" w:lineRule="exact"/>
        <w:ind w:left="0" w:firstLine="480"/>
        <w:outlineLvl w:val="3"/>
        <w:rPr>
          <w:rFonts w:ascii="仿宋" w:hAnsi="仿宋" w:eastAsia="仿宋"/>
          <w:b w:val="0"/>
          <w:bCs/>
          <w:color w:val="auto"/>
          <w:kern w:val="2"/>
          <w:sz w:val="24"/>
          <w:szCs w:val="24"/>
          <w:lang w:val="en-US"/>
        </w:rPr>
      </w:pPr>
      <w:r>
        <w:rPr>
          <w:rFonts w:ascii="仿宋" w:hAnsi="仿宋" w:eastAsia="仿宋"/>
          <w:b w:val="0"/>
          <w:bCs/>
          <w:color w:val="auto"/>
          <w:kern w:val="2"/>
          <w:sz w:val="24"/>
          <w:szCs w:val="24"/>
          <w:lang w:val="en-US"/>
        </w:rPr>
        <w:t xml:space="preserve"> </w:t>
      </w:r>
      <w:bookmarkStart w:id="610" w:name="_Toc500492768"/>
      <w:bookmarkStart w:id="611" w:name="_Toc494198641"/>
      <w:bookmarkStart w:id="612" w:name="_Toc494198967"/>
      <w:bookmarkStart w:id="613" w:name="_Toc496605673"/>
      <w:r>
        <w:rPr>
          <w:rFonts w:ascii="仿宋" w:hAnsi="仿宋" w:eastAsia="仿宋"/>
          <w:b w:val="0"/>
          <w:bCs/>
          <w:color w:val="auto"/>
          <w:kern w:val="2"/>
          <w:sz w:val="24"/>
          <w:szCs w:val="24"/>
          <w:lang w:val="en-US"/>
        </w:rPr>
        <w:t>投标文件（包括单独递交的开标一览表）有下列情形的，本项目不作为实质性要求进行规定，即不作为符合性审查事项，不得作为无效投标处理：</w:t>
      </w:r>
      <w:bookmarkEnd w:id="610"/>
      <w:bookmarkEnd w:id="611"/>
      <w:bookmarkEnd w:id="612"/>
      <w:bookmarkEnd w:id="613"/>
    </w:p>
    <w:p>
      <w:pPr>
        <w:numPr>
          <w:ilvl w:val="0"/>
          <w:numId w:val="54"/>
        </w:numPr>
        <w:tabs>
          <w:tab w:val="left" w:pos="851"/>
        </w:tabs>
        <w:spacing w:line="540" w:lineRule="exact"/>
        <w:ind w:left="0" w:firstLine="480"/>
        <w:rPr>
          <w:rFonts w:ascii="仿宋" w:hAnsi="仿宋" w:eastAsia="仿宋"/>
          <w:b w:val="0"/>
          <w:color w:val="auto"/>
          <w:sz w:val="24"/>
          <w:szCs w:val="24"/>
        </w:rPr>
      </w:pPr>
      <w:r>
        <w:rPr>
          <w:rFonts w:ascii="仿宋" w:hAnsi="仿宋" w:eastAsia="仿宋"/>
          <w:b w:val="0"/>
          <w:color w:val="auto"/>
          <w:sz w:val="24"/>
          <w:szCs w:val="24"/>
        </w:rPr>
        <w:t>投标文件（包括单独递交的开标一览表）存在个别地方（总数不能超过2个）没有法定代表人</w:t>
      </w:r>
      <w:r>
        <w:rPr>
          <w:rFonts w:hint="eastAsia" w:ascii="仿宋" w:hAnsi="仿宋" w:eastAsia="仿宋"/>
          <w:b w:val="0"/>
          <w:color w:val="auto"/>
          <w:kern w:val="2"/>
          <w:sz w:val="24"/>
          <w:szCs w:val="24"/>
          <w:lang w:val="en-US"/>
        </w:rPr>
        <w:t>（主要负责人）</w:t>
      </w:r>
      <w:r>
        <w:rPr>
          <w:rFonts w:ascii="仿宋" w:hAnsi="仿宋" w:eastAsia="仿宋"/>
          <w:b w:val="0"/>
          <w:color w:val="auto"/>
          <w:sz w:val="24"/>
          <w:szCs w:val="24"/>
        </w:rPr>
        <w:t>签字或加盖印章，但有有效授权代理人签字或加盖印章的；</w:t>
      </w:r>
    </w:p>
    <w:p>
      <w:pPr>
        <w:numPr>
          <w:ilvl w:val="0"/>
          <w:numId w:val="54"/>
        </w:numPr>
        <w:tabs>
          <w:tab w:val="left" w:pos="851"/>
        </w:tabs>
        <w:spacing w:line="540" w:lineRule="exact"/>
        <w:ind w:left="0" w:firstLine="480"/>
        <w:rPr>
          <w:rFonts w:ascii="仿宋" w:hAnsi="仿宋" w:eastAsia="仿宋"/>
          <w:b w:val="0"/>
          <w:color w:val="auto"/>
          <w:sz w:val="24"/>
          <w:szCs w:val="24"/>
        </w:rPr>
      </w:pPr>
      <w:r>
        <w:rPr>
          <w:rFonts w:ascii="仿宋" w:hAnsi="仿宋" w:eastAsia="仿宋"/>
          <w:b w:val="0"/>
          <w:color w:val="auto"/>
          <w:sz w:val="24"/>
          <w:szCs w:val="24"/>
        </w:rPr>
        <w:t>投标文件（包括单独递交的开标一览表）除招标文件明确要求加盖单位</w:t>
      </w:r>
      <w:r>
        <w:rPr>
          <w:rFonts w:hint="eastAsia" w:ascii="仿宋" w:hAnsi="仿宋" w:eastAsia="仿宋"/>
          <w:b w:val="0"/>
          <w:color w:val="auto"/>
          <w:sz w:val="24"/>
          <w:szCs w:val="24"/>
        </w:rPr>
        <w:t>（法人）</w:t>
      </w:r>
      <w:r>
        <w:rPr>
          <w:rFonts w:ascii="仿宋" w:hAnsi="仿宋" w:eastAsia="仿宋"/>
          <w:b w:val="0"/>
          <w:color w:val="auto"/>
          <w:sz w:val="24"/>
          <w:szCs w:val="24"/>
        </w:rPr>
        <w:t>公章的以外，其他地方以相关专用章加盖的。</w:t>
      </w:r>
    </w:p>
    <w:p>
      <w:pPr>
        <w:numPr>
          <w:ilvl w:val="0"/>
          <w:numId w:val="54"/>
        </w:numPr>
        <w:tabs>
          <w:tab w:val="left" w:pos="851"/>
        </w:tabs>
        <w:spacing w:line="540" w:lineRule="exact"/>
        <w:ind w:left="0" w:firstLine="480"/>
        <w:rPr>
          <w:rFonts w:ascii="仿宋" w:hAnsi="仿宋" w:eastAsia="仿宋"/>
          <w:b w:val="0"/>
          <w:color w:val="auto"/>
          <w:sz w:val="24"/>
          <w:szCs w:val="24"/>
        </w:rPr>
      </w:pPr>
      <w:r>
        <w:rPr>
          <w:rFonts w:ascii="仿宋" w:hAnsi="仿宋" w:eastAsia="仿宋"/>
          <w:b w:val="0"/>
          <w:color w:val="auto"/>
          <w:sz w:val="24"/>
          <w:szCs w:val="24"/>
        </w:rPr>
        <w:t>投标文件中表格、顺序等格式（如：“注”等），未按招标文件格式制作的。</w:t>
      </w:r>
    </w:p>
    <w:p>
      <w:pPr>
        <w:numPr>
          <w:ilvl w:val="0"/>
          <w:numId w:val="54"/>
        </w:numPr>
        <w:tabs>
          <w:tab w:val="left" w:pos="851"/>
        </w:tabs>
        <w:spacing w:line="540" w:lineRule="exact"/>
        <w:ind w:left="0" w:firstLine="480"/>
        <w:rPr>
          <w:rFonts w:ascii="仿宋" w:hAnsi="仿宋" w:eastAsia="仿宋"/>
          <w:b w:val="0"/>
          <w:color w:val="auto"/>
          <w:sz w:val="24"/>
          <w:szCs w:val="24"/>
        </w:rPr>
      </w:pPr>
      <w:r>
        <w:rPr>
          <w:rFonts w:ascii="仿宋" w:hAnsi="仿宋" w:eastAsia="仿宋"/>
          <w:b w:val="0"/>
          <w:color w:val="auto"/>
          <w:sz w:val="24"/>
          <w:szCs w:val="24"/>
        </w:rPr>
        <w:t>其他不影响采购项目实质性要求的情形。</w:t>
      </w:r>
    </w:p>
    <w:p>
      <w:pPr>
        <w:numPr>
          <w:ilvl w:val="3"/>
          <w:numId w:val="17"/>
        </w:numPr>
        <w:tabs>
          <w:tab w:val="left" w:pos="360"/>
        </w:tabs>
        <w:spacing w:line="520" w:lineRule="exact"/>
        <w:ind w:left="0" w:firstLine="480"/>
        <w:outlineLvl w:val="3"/>
        <w:rPr>
          <w:rFonts w:ascii="仿宋" w:hAnsi="仿宋" w:eastAsia="仿宋"/>
          <w:b w:val="0"/>
          <w:bCs/>
          <w:color w:val="auto"/>
          <w:kern w:val="2"/>
          <w:sz w:val="24"/>
          <w:szCs w:val="24"/>
          <w:lang w:val="en-US"/>
        </w:rPr>
      </w:pPr>
      <w:r>
        <w:rPr>
          <w:rFonts w:ascii="仿宋" w:hAnsi="仿宋" w:eastAsia="仿宋"/>
          <w:b w:val="0"/>
          <w:bCs/>
          <w:color w:val="auto"/>
          <w:kern w:val="2"/>
          <w:sz w:val="24"/>
          <w:szCs w:val="24"/>
          <w:lang w:val="en-US"/>
        </w:rPr>
        <w:t xml:space="preserve"> </w:t>
      </w:r>
      <w:bookmarkStart w:id="614" w:name="_Toc494198968"/>
      <w:bookmarkStart w:id="615" w:name="_Toc496605674"/>
      <w:bookmarkStart w:id="616" w:name="_Toc500492769"/>
      <w:bookmarkStart w:id="617" w:name="_Toc494198642"/>
      <w:r>
        <w:rPr>
          <w:rFonts w:ascii="仿宋" w:hAnsi="仿宋" w:eastAsia="仿宋"/>
          <w:b w:val="0"/>
          <w:bCs/>
          <w:color w:val="auto"/>
          <w:kern w:val="2"/>
          <w:sz w:val="24"/>
          <w:szCs w:val="24"/>
          <w:lang w:val="en-US"/>
        </w:rPr>
        <w:t>除政府采购法律制度规定的情形外，本项目投标人或者其投标文件有下列情形之一的，作为无效投标处理：</w:t>
      </w:r>
      <w:bookmarkEnd w:id="600"/>
      <w:bookmarkEnd w:id="601"/>
      <w:bookmarkEnd w:id="602"/>
      <w:bookmarkEnd w:id="603"/>
      <w:bookmarkEnd w:id="604"/>
      <w:bookmarkEnd w:id="605"/>
      <w:bookmarkEnd w:id="614"/>
      <w:bookmarkEnd w:id="615"/>
      <w:bookmarkEnd w:id="616"/>
      <w:bookmarkEnd w:id="617"/>
    </w:p>
    <w:p>
      <w:pPr>
        <w:numPr>
          <w:ilvl w:val="0"/>
          <w:numId w:val="55"/>
        </w:numPr>
        <w:tabs>
          <w:tab w:val="left" w:pos="709"/>
        </w:tabs>
        <w:spacing w:line="540" w:lineRule="exact"/>
        <w:ind w:left="0" w:firstLine="480"/>
        <w:rPr>
          <w:rFonts w:ascii="仿宋" w:hAnsi="仿宋" w:eastAsia="仿宋"/>
          <w:b w:val="0"/>
          <w:color w:val="auto"/>
          <w:sz w:val="24"/>
          <w:szCs w:val="24"/>
        </w:rPr>
      </w:pPr>
      <w:r>
        <w:rPr>
          <w:rFonts w:ascii="仿宋" w:hAnsi="仿宋" w:eastAsia="仿宋"/>
          <w:b w:val="0"/>
          <w:color w:val="auto"/>
          <w:sz w:val="24"/>
          <w:szCs w:val="24"/>
        </w:rPr>
        <w:t>投标文件正副本数量不足的；</w:t>
      </w:r>
    </w:p>
    <w:p>
      <w:pPr>
        <w:numPr>
          <w:ilvl w:val="0"/>
          <w:numId w:val="55"/>
        </w:numPr>
        <w:tabs>
          <w:tab w:val="left" w:pos="709"/>
        </w:tabs>
        <w:spacing w:line="540" w:lineRule="exact"/>
        <w:ind w:left="0" w:firstLine="480"/>
        <w:rPr>
          <w:rFonts w:ascii="仿宋" w:hAnsi="仿宋" w:eastAsia="仿宋"/>
          <w:b w:val="0"/>
          <w:color w:val="auto"/>
          <w:sz w:val="24"/>
          <w:szCs w:val="24"/>
        </w:rPr>
      </w:pPr>
      <w:r>
        <w:rPr>
          <w:rFonts w:ascii="仿宋" w:hAnsi="仿宋" w:eastAsia="仿宋"/>
          <w:b w:val="0"/>
          <w:color w:val="auto"/>
          <w:sz w:val="24"/>
          <w:szCs w:val="24"/>
        </w:rPr>
        <w:t>投标文件载明的投标有效期少于招标文件要求的或未载明的；</w:t>
      </w:r>
    </w:p>
    <w:p>
      <w:pPr>
        <w:numPr>
          <w:ilvl w:val="0"/>
          <w:numId w:val="55"/>
        </w:numPr>
        <w:tabs>
          <w:tab w:val="left" w:pos="709"/>
        </w:tabs>
        <w:spacing w:line="540" w:lineRule="exact"/>
        <w:ind w:left="0" w:firstLine="480"/>
        <w:rPr>
          <w:rFonts w:ascii="仿宋" w:hAnsi="仿宋" w:eastAsia="仿宋"/>
          <w:b w:val="0"/>
          <w:color w:val="auto"/>
          <w:sz w:val="24"/>
          <w:szCs w:val="24"/>
        </w:rPr>
      </w:pPr>
      <w:r>
        <w:rPr>
          <w:rFonts w:ascii="仿宋" w:hAnsi="仿宋" w:eastAsia="仿宋"/>
          <w:b w:val="0"/>
          <w:color w:val="auto"/>
          <w:sz w:val="24"/>
          <w:szCs w:val="24"/>
        </w:rPr>
        <w:t>不满足招标文件第6章中</w:t>
      </w:r>
      <w:r>
        <w:rPr>
          <w:rFonts w:hint="eastAsia" w:ascii="仿宋" w:hAnsi="仿宋" w:eastAsia="仿宋" w:cs="宋体"/>
          <w:b w:val="0"/>
          <w:color w:val="auto"/>
          <w:sz w:val="24"/>
          <w:szCs w:val="24"/>
        </w:rPr>
        <w:t>★</w:t>
      </w:r>
      <w:r>
        <w:rPr>
          <w:rFonts w:ascii="仿宋" w:hAnsi="仿宋" w:eastAsia="仿宋"/>
          <w:b w:val="0"/>
          <w:color w:val="auto"/>
          <w:sz w:val="24"/>
          <w:szCs w:val="24"/>
        </w:rPr>
        <w:t>项（若有）要求的；</w:t>
      </w:r>
    </w:p>
    <w:p>
      <w:pPr>
        <w:numPr>
          <w:ilvl w:val="0"/>
          <w:numId w:val="55"/>
        </w:numPr>
        <w:tabs>
          <w:tab w:val="left" w:pos="709"/>
        </w:tabs>
        <w:spacing w:line="540" w:lineRule="exact"/>
        <w:ind w:left="0" w:firstLine="480"/>
        <w:rPr>
          <w:rFonts w:ascii="仿宋" w:hAnsi="仿宋" w:eastAsia="仿宋"/>
          <w:b w:val="0"/>
          <w:color w:val="auto"/>
          <w:sz w:val="24"/>
          <w:szCs w:val="24"/>
        </w:rPr>
      </w:pPr>
      <w:r>
        <w:rPr>
          <w:rFonts w:ascii="仿宋" w:hAnsi="仿宋" w:eastAsia="仿宋"/>
          <w:b w:val="0"/>
          <w:color w:val="auto"/>
          <w:sz w:val="24"/>
          <w:szCs w:val="24"/>
        </w:rPr>
        <w:t>投标文件的语言、计量单位、报价货币、知识产权等不符合招标文件的规定，影响评标委员会评判的；</w:t>
      </w:r>
    </w:p>
    <w:p>
      <w:pPr>
        <w:numPr>
          <w:ilvl w:val="0"/>
          <w:numId w:val="55"/>
        </w:numPr>
        <w:tabs>
          <w:tab w:val="left" w:pos="709"/>
        </w:tabs>
        <w:spacing w:line="540" w:lineRule="exact"/>
        <w:ind w:left="0" w:firstLine="480"/>
        <w:rPr>
          <w:rFonts w:ascii="仿宋" w:hAnsi="仿宋" w:eastAsia="仿宋"/>
          <w:b w:val="0"/>
          <w:color w:val="auto"/>
          <w:sz w:val="24"/>
          <w:szCs w:val="24"/>
        </w:rPr>
      </w:pPr>
      <w:r>
        <w:rPr>
          <w:rFonts w:ascii="仿宋" w:hAnsi="仿宋" w:eastAsia="仿宋"/>
          <w:b w:val="0"/>
          <w:color w:val="auto"/>
          <w:sz w:val="24"/>
          <w:szCs w:val="24"/>
        </w:rPr>
        <w:t>投标报价不符合招标文件规定的价格标底和其他报价规定的；</w:t>
      </w:r>
    </w:p>
    <w:p>
      <w:pPr>
        <w:numPr>
          <w:ilvl w:val="0"/>
          <w:numId w:val="55"/>
        </w:numPr>
        <w:tabs>
          <w:tab w:val="left" w:pos="709"/>
        </w:tabs>
        <w:spacing w:line="540" w:lineRule="exact"/>
        <w:ind w:left="0" w:firstLine="480"/>
        <w:rPr>
          <w:rFonts w:ascii="仿宋" w:hAnsi="仿宋" w:eastAsia="仿宋"/>
          <w:b w:val="0"/>
          <w:color w:val="auto"/>
          <w:sz w:val="24"/>
          <w:szCs w:val="24"/>
        </w:rPr>
      </w:pPr>
      <w:r>
        <w:rPr>
          <w:rFonts w:ascii="仿宋" w:hAnsi="仿宋" w:eastAsia="仿宋"/>
          <w:b w:val="0"/>
          <w:color w:val="auto"/>
          <w:sz w:val="24"/>
          <w:szCs w:val="24"/>
        </w:rPr>
        <w:t>投标文件存在招标文件第2章、第3章规定的投标无效情形（资格审查表的内容除外）；</w:t>
      </w:r>
    </w:p>
    <w:p>
      <w:pPr>
        <w:numPr>
          <w:ilvl w:val="0"/>
          <w:numId w:val="55"/>
        </w:numPr>
        <w:tabs>
          <w:tab w:val="left" w:pos="709"/>
        </w:tabs>
        <w:spacing w:line="540" w:lineRule="exact"/>
        <w:ind w:left="0" w:firstLine="480"/>
        <w:rPr>
          <w:rFonts w:ascii="仿宋" w:hAnsi="仿宋" w:eastAsia="仿宋"/>
          <w:b w:val="0"/>
          <w:color w:val="auto"/>
          <w:sz w:val="24"/>
          <w:szCs w:val="24"/>
        </w:rPr>
      </w:pPr>
      <w:r>
        <w:rPr>
          <w:rFonts w:ascii="仿宋" w:hAnsi="仿宋" w:eastAsia="仿宋"/>
          <w:b w:val="0"/>
          <w:color w:val="auto"/>
          <w:sz w:val="24"/>
          <w:szCs w:val="24"/>
        </w:rPr>
        <w:t>投标文件含有采购人不能接受的附加条件的；</w:t>
      </w:r>
    </w:p>
    <w:p>
      <w:pPr>
        <w:numPr>
          <w:ilvl w:val="0"/>
          <w:numId w:val="55"/>
        </w:numPr>
        <w:tabs>
          <w:tab w:val="left" w:pos="709"/>
        </w:tabs>
        <w:spacing w:line="540" w:lineRule="exact"/>
        <w:ind w:left="0" w:firstLine="480"/>
        <w:rPr>
          <w:rFonts w:ascii="仿宋" w:hAnsi="仿宋" w:eastAsia="仿宋"/>
          <w:b w:val="0"/>
          <w:color w:val="auto"/>
          <w:sz w:val="24"/>
          <w:szCs w:val="24"/>
        </w:rPr>
      </w:pPr>
      <w:r>
        <w:rPr>
          <w:rFonts w:ascii="仿宋" w:hAnsi="仿宋" w:eastAsia="仿宋"/>
          <w:b w:val="0"/>
          <w:color w:val="auto"/>
          <w:sz w:val="24"/>
          <w:szCs w:val="24"/>
        </w:rPr>
        <w:t>未按照招标文件规定和要求格式签署、盖章（骑缝章不能代替逐页盖章）的。</w:t>
      </w:r>
    </w:p>
    <w:p>
      <w:pPr>
        <w:pStyle w:val="19"/>
        <w:spacing w:line="540" w:lineRule="exact"/>
        <w:ind w:firstLine="482"/>
        <w:rPr>
          <w:rFonts w:ascii="仿宋" w:hAnsi="仿宋" w:eastAsia="仿宋"/>
          <w:b/>
          <w:bCs/>
          <w:sz w:val="24"/>
        </w:rPr>
      </w:pPr>
      <w:r>
        <w:rPr>
          <w:rFonts w:ascii="仿宋" w:hAnsi="仿宋" w:eastAsia="仿宋"/>
          <w:b/>
          <w:bCs/>
          <w:sz w:val="24"/>
        </w:rPr>
        <w:t>符合性评审表</w:t>
      </w:r>
    </w:p>
    <w:tbl>
      <w:tblPr>
        <w:tblStyle w:val="76"/>
        <w:tblW w:w="5000"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4502"/>
        <w:gridCol w:w="1594"/>
        <w:gridCol w:w="1594"/>
        <w:gridCol w:w="159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03" w:hRule="atLeast"/>
          <w:jc w:val="center"/>
        </w:trPr>
        <w:tc>
          <w:tcPr>
            <w:tcW w:w="2423" w:type="pct"/>
            <w:vAlign w:val="center"/>
          </w:tcPr>
          <w:p>
            <w:pPr>
              <w:snapToGrid/>
              <w:ind w:firstLine="0" w:firstLineChars="0"/>
              <w:jc w:val="center"/>
              <w:rPr>
                <w:rFonts w:ascii="仿宋" w:hAnsi="仿宋" w:eastAsia="仿宋"/>
                <w:color w:val="auto"/>
                <w:sz w:val="24"/>
                <w:szCs w:val="24"/>
              </w:rPr>
            </w:pPr>
            <w:r>
              <w:rPr>
                <w:rFonts w:ascii="仿宋" w:hAnsi="仿宋" w:eastAsia="仿宋"/>
                <w:color w:val="auto"/>
                <w:sz w:val="24"/>
                <w:szCs w:val="24"/>
              </w:rPr>
              <w:t>评审因素</w:t>
            </w:r>
          </w:p>
        </w:tc>
        <w:tc>
          <w:tcPr>
            <w:tcW w:w="858" w:type="pct"/>
          </w:tcPr>
          <w:p>
            <w:pPr>
              <w:snapToGrid/>
              <w:ind w:firstLine="0" w:firstLineChars="0"/>
              <w:jc w:val="center"/>
              <w:rPr>
                <w:rFonts w:ascii="仿宋" w:hAnsi="仿宋" w:eastAsia="仿宋"/>
                <w:color w:val="auto"/>
                <w:sz w:val="24"/>
                <w:szCs w:val="24"/>
              </w:rPr>
            </w:pPr>
          </w:p>
        </w:tc>
        <w:tc>
          <w:tcPr>
            <w:tcW w:w="858" w:type="pct"/>
            <w:vAlign w:val="center"/>
          </w:tcPr>
          <w:p>
            <w:pPr>
              <w:snapToGrid/>
              <w:ind w:firstLine="0" w:firstLineChars="0"/>
              <w:jc w:val="center"/>
              <w:rPr>
                <w:rFonts w:ascii="仿宋" w:hAnsi="仿宋" w:eastAsia="仿宋"/>
                <w:color w:val="auto"/>
                <w:sz w:val="24"/>
                <w:szCs w:val="24"/>
              </w:rPr>
            </w:pPr>
          </w:p>
        </w:tc>
        <w:tc>
          <w:tcPr>
            <w:tcW w:w="859" w:type="pct"/>
            <w:vAlign w:val="center"/>
          </w:tcPr>
          <w:p>
            <w:pPr>
              <w:snapToGrid/>
              <w:ind w:firstLine="0" w:firstLineChars="0"/>
              <w:jc w:val="center"/>
              <w:rPr>
                <w:rFonts w:ascii="仿宋" w:hAnsi="仿宋" w:eastAsia="仿宋"/>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03" w:hRule="atLeast"/>
          <w:jc w:val="center"/>
        </w:trPr>
        <w:tc>
          <w:tcPr>
            <w:tcW w:w="2423" w:type="pct"/>
            <w:vAlign w:val="center"/>
          </w:tcPr>
          <w:p>
            <w:pPr>
              <w:snapToGrid/>
              <w:spacing w:line="240" w:lineRule="auto"/>
              <w:ind w:firstLine="0" w:firstLineChars="0"/>
              <w:rPr>
                <w:rFonts w:ascii="仿宋" w:hAnsi="仿宋" w:eastAsia="仿宋"/>
                <w:b w:val="0"/>
                <w:bCs/>
                <w:color w:val="auto"/>
                <w:kern w:val="2"/>
                <w:sz w:val="24"/>
                <w:szCs w:val="24"/>
                <w:lang w:val="en-US"/>
              </w:rPr>
            </w:pPr>
            <w:r>
              <w:rPr>
                <w:rFonts w:ascii="仿宋" w:hAnsi="仿宋" w:eastAsia="仿宋"/>
                <w:b w:val="0"/>
                <w:bCs/>
                <w:color w:val="auto"/>
                <w:kern w:val="2"/>
                <w:sz w:val="24"/>
                <w:szCs w:val="24"/>
                <w:lang w:val="en-US"/>
              </w:rPr>
              <w:t>正副本数量</w:t>
            </w:r>
          </w:p>
        </w:tc>
        <w:tc>
          <w:tcPr>
            <w:tcW w:w="858" w:type="pct"/>
          </w:tcPr>
          <w:p>
            <w:pPr>
              <w:snapToGrid/>
              <w:spacing w:line="240" w:lineRule="auto"/>
              <w:ind w:firstLine="0" w:firstLineChars="0"/>
              <w:jc w:val="center"/>
              <w:rPr>
                <w:rFonts w:ascii="仿宋" w:hAnsi="仿宋" w:eastAsia="仿宋"/>
                <w:b w:val="0"/>
                <w:color w:val="auto"/>
                <w:kern w:val="2"/>
                <w:sz w:val="24"/>
                <w:szCs w:val="24"/>
                <w:lang w:val="en-US"/>
              </w:rPr>
            </w:pPr>
          </w:p>
        </w:tc>
        <w:tc>
          <w:tcPr>
            <w:tcW w:w="858" w:type="pct"/>
            <w:vAlign w:val="center"/>
          </w:tcPr>
          <w:p>
            <w:pPr>
              <w:snapToGrid/>
              <w:spacing w:line="240" w:lineRule="auto"/>
              <w:ind w:firstLine="0" w:firstLineChars="0"/>
              <w:jc w:val="center"/>
              <w:rPr>
                <w:rFonts w:ascii="仿宋" w:hAnsi="仿宋" w:eastAsia="仿宋"/>
                <w:b w:val="0"/>
                <w:color w:val="auto"/>
                <w:kern w:val="2"/>
                <w:sz w:val="24"/>
                <w:szCs w:val="24"/>
                <w:lang w:val="en-US"/>
              </w:rPr>
            </w:pPr>
          </w:p>
        </w:tc>
        <w:tc>
          <w:tcPr>
            <w:tcW w:w="859" w:type="pct"/>
            <w:vAlign w:val="center"/>
          </w:tcPr>
          <w:p>
            <w:pPr>
              <w:snapToGrid/>
              <w:spacing w:line="240" w:lineRule="auto"/>
              <w:ind w:firstLine="0" w:firstLineChars="0"/>
              <w:rPr>
                <w:rFonts w:ascii="仿宋" w:hAnsi="仿宋" w:eastAsia="仿宋"/>
                <w:b w:val="0"/>
                <w:color w:val="auto"/>
                <w:kern w:val="2"/>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03" w:hRule="atLeast"/>
          <w:jc w:val="center"/>
        </w:trPr>
        <w:tc>
          <w:tcPr>
            <w:tcW w:w="2423" w:type="pct"/>
            <w:vAlign w:val="center"/>
          </w:tcPr>
          <w:p>
            <w:pPr>
              <w:snapToGrid/>
              <w:spacing w:line="240" w:lineRule="auto"/>
              <w:ind w:firstLine="0" w:firstLineChars="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投标有效期</w:t>
            </w:r>
          </w:p>
        </w:tc>
        <w:tc>
          <w:tcPr>
            <w:tcW w:w="858" w:type="pct"/>
          </w:tcPr>
          <w:p>
            <w:pPr>
              <w:snapToGrid/>
              <w:spacing w:line="240" w:lineRule="auto"/>
              <w:ind w:firstLine="0" w:firstLineChars="0"/>
              <w:jc w:val="center"/>
              <w:rPr>
                <w:rFonts w:ascii="仿宋" w:hAnsi="仿宋" w:eastAsia="仿宋"/>
                <w:b w:val="0"/>
                <w:color w:val="auto"/>
                <w:kern w:val="2"/>
                <w:sz w:val="24"/>
                <w:szCs w:val="24"/>
                <w:lang w:val="en-US"/>
              </w:rPr>
            </w:pPr>
          </w:p>
        </w:tc>
        <w:tc>
          <w:tcPr>
            <w:tcW w:w="858" w:type="pct"/>
            <w:vAlign w:val="center"/>
          </w:tcPr>
          <w:p>
            <w:pPr>
              <w:snapToGrid/>
              <w:spacing w:line="240" w:lineRule="auto"/>
              <w:ind w:firstLine="0" w:firstLineChars="0"/>
              <w:jc w:val="center"/>
              <w:rPr>
                <w:rFonts w:ascii="仿宋" w:hAnsi="仿宋" w:eastAsia="仿宋"/>
                <w:b w:val="0"/>
                <w:color w:val="auto"/>
                <w:kern w:val="2"/>
                <w:sz w:val="24"/>
                <w:szCs w:val="24"/>
                <w:lang w:val="en-US"/>
              </w:rPr>
            </w:pPr>
          </w:p>
        </w:tc>
        <w:tc>
          <w:tcPr>
            <w:tcW w:w="859" w:type="pct"/>
            <w:vAlign w:val="center"/>
          </w:tcPr>
          <w:p>
            <w:pPr>
              <w:snapToGrid/>
              <w:spacing w:line="240" w:lineRule="auto"/>
              <w:ind w:firstLine="0" w:firstLineChars="0"/>
              <w:rPr>
                <w:rFonts w:ascii="仿宋" w:hAnsi="仿宋" w:eastAsia="仿宋"/>
                <w:b w:val="0"/>
                <w:color w:val="auto"/>
                <w:kern w:val="2"/>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03" w:hRule="atLeast"/>
          <w:jc w:val="center"/>
        </w:trPr>
        <w:tc>
          <w:tcPr>
            <w:tcW w:w="2423" w:type="pct"/>
            <w:vAlign w:val="center"/>
          </w:tcPr>
          <w:p>
            <w:pPr>
              <w:snapToGrid/>
              <w:spacing w:line="240" w:lineRule="auto"/>
              <w:ind w:firstLine="0" w:firstLineChars="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语言、计量单位、报价货币、知识产权等</w:t>
            </w:r>
          </w:p>
        </w:tc>
        <w:tc>
          <w:tcPr>
            <w:tcW w:w="858" w:type="pct"/>
          </w:tcPr>
          <w:p>
            <w:pPr>
              <w:snapToGrid/>
              <w:spacing w:line="240" w:lineRule="auto"/>
              <w:ind w:firstLine="0" w:firstLineChars="0"/>
              <w:jc w:val="center"/>
              <w:rPr>
                <w:rFonts w:ascii="仿宋" w:hAnsi="仿宋" w:eastAsia="仿宋"/>
                <w:b w:val="0"/>
                <w:color w:val="auto"/>
                <w:kern w:val="2"/>
                <w:sz w:val="24"/>
                <w:szCs w:val="24"/>
                <w:lang w:val="en-US"/>
              </w:rPr>
            </w:pPr>
          </w:p>
        </w:tc>
        <w:tc>
          <w:tcPr>
            <w:tcW w:w="858" w:type="pct"/>
            <w:vAlign w:val="center"/>
          </w:tcPr>
          <w:p>
            <w:pPr>
              <w:snapToGrid/>
              <w:spacing w:line="240" w:lineRule="auto"/>
              <w:ind w:firstLine="0" w:firstLineChars="0"/>
              <w:jc w:val="center"/>
              <w:rPr>
                <w:rFonts w:ascii="仿宋" w:hAnsi="仿宋" w:eastAsia="仿宋"/>
                <w:b w:val="0"/>
                <w:color w:val="auto"/>
                <w:kern w:val="2"/>
                <w:sz w:val="24"/>
                <w:szCs w:val="24"/>
                <w:lang w:val="en-US"/>
              </w:rPr>
            </w:pPr>
          </w:p>
        </w:tc>
        <w:tc>
          <w:tcPr>
            <w:tcW w:w="859" w:type="pct"/>
            <w:vAlign w:val="center"/>
          </w:tcPr>
          <w:p>
            <w:pPr>
              <w:snapToGrid/>
              <w:spacing w:line="240" w:lineRule="auto"/>
              <w:ind w:firstLine="0" w:firstLineChars="0"/>
              <w:rPr>
                <w:rFonts w:ascii="仿宋" w:hAnsi="仿宋" w:eastAsia="仿宋"/>
                <w:b w:val="0"/>
                <w:color w:val="auto"/>
                <w:kern w:val="2"/>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03" w:hRule="atLeast"/>
          <w:jc w:val="center"/>
        </w:trPr>
        <w:tc>
          <w:tcPr>
            <w:tcW w:w="2423" w:type="pct"/>
            <w:vAlign w:val="center"/>
          </w:tcPr>
          <w:p>
            <w:pPr>
              <w:snapToGrid/>
              <w:spacing w:line="240" w:lineRule="auto"/>
              <w:ind w:firstLine="0" w:firstLineChars="0"/>
              <w:rPr>
                <w:rFonts w:ascii="仿宋" w:hAnsi="仿宋" w:eastAsia="仿宋"/>
                <w:b w:val="0"/>
                <w:color w:val="auto"/>
                <w:kern w:val="2"/>
                <w:sz w:val="24"/>
                <w:szCs w:val="24"/>
                <w:lang w:val="en-US"/>
              </w:rPr>
            </w:pPr>
            <w:r>
              <w:rPr>
                <w:rFonts w:hint="eastAsia" w:ascii="仿宋" w:hAnsi="仿宋" w:eastAsia="仿宋" w:cs="宋体"/>
                <w:b w:val="0"/>
                <w:color w:val="auto"/>
                <w:kern w:val="2"/>
                <w:sz w:val="24"/>
                <w:szCs w:val="24"/>
                <w:lang w:val="en-US"/>
              </w:rPr>
              <w:t>★</w:t>
            </w:r>
            <w:r>
              <w:rPr>
                <w:rFonts w:ascii="仿宋" w:hAnsi="仿宋" w:eastAsia="仿宋"/>
                <w:b w:val="0"/>
                <w:color w:val="auto"/>
                <w:kern w:val="2"/>
                <w:sz w:val="24"/>
                <w:szCs w:val="24"/>
                <w:lang w:val="en-US"/>
              </w:rPr>
              <w:t>项要求（若有）</w:t>
            </w:r>
          </w:p>
        </w:tc>
        <w:tc>
          <w:tcPr>
            <w:tcW w:w="858" w:type="pct"/>
          </w:tcPr>
          <w:p>
            <w:pPr>
              <w:snapToGrid/>
              <w:spacing w:line="240" w:lineRule="auto"/>
              <w:ind w:firstLine="0" w:firstLineChars="0"/>
              <w:jc w:val="center"/>
              <w:rPr>
                <w:rFonts w:ascii="仿宋" w:hAnsi="仿宋" w:eastAsia="仿宋"/>
                <w:b w:val="0"/>
                <w:color w:val="auto"/>
                <w:kern w:val="2"/>
                <w:sz w:val="24"/>
                <w:szCs w:val="24"/>
                <w:lang w:val="en-US"/>
              </w:rPr>
            </w:pPr>
          </w:p>
        </w:tc>
        <w:tc>
          <w:tcPr>
            <w:tcW w:w="858" w:type="pct"/>
            <w:vAlign w:val="center"/>
          </w:tcPr>
          <w:p>
            <w:pPr>
              <w:snapToGrid/>
              <w:spacing w:line="240" w:lineRule="auto"/>
              <w:ind w:firstLine="0" w:firstLineChars="0"/>
              <w:jc w:val="center"/>
              <w:rPr>
                <w:rFonts w:ascii="仿宋" w:hAnsi="仿宋" w:eastAsia="仿宋"/>
                <w:b w:val="0"/>
                <w:color w:val="auto"/>
                <w:kern w:val="2"/>
                <w:sz w:val="24"/>
                <w:szCs w:val="24"/>
                <w:lang w:val="en-US"/>
              </w:rPr>
            </w:pPr>
          </w:p>
        </w:tc>
        <w:tc>
          <w:tcPr>
            <w:tcW w:w="859" w:type="pct"/>
            <w:vAlign w:val="center"/>
          </w:tcPr>
          <w:p>
            <w:pPr>
              <w:snapToGrid/>
              <w:spacing w:line="240" w:lineRule="auto"/>
              <w:ind w:firstLine="0" w:firstLineChars="0"/>
              <w:rPr>
                <w:rFonts w:ascii="仿宋" w:hAnsi="仿宋" w:eastAsia="仿宋"/>
                <w:b w:val="0"/>
                <w:color w:val="auto"/>
                <w:kern w:val="2"/>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03" w:hRule="atLeast"/>
          <w:jc w:val="center"/>
        </w:trPr>
        <w:tc>
          <w:tcPr>
            <w:tcW w:w="2423" w:type="pct"/>
            <w:vAlign w:val="center"/>
          </w:tcPr>
          <w:p>
            <w:pPr>
              <w:snapToGrid/>
              <w:spacing w:line="240" w:lineRule="auto"/>
              <w:ind w:firstLine="0" w:firstLineChars="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投标报价符合招标文件规定的价格标底和其他报价规定</w:t>
            </w:r>
          </w:p>
        </w:tc>
        <w:tc>
          <w:tcPr>
            <w:tcW w:w="858" w:type="pct"/>
          </w:tcPr>
          <w:p>
            <w:pPr>
              <w:snapToGrid/>
              <w:spacing w:line="240" w:lineRule="auto"/>
              <w:ind w:firstLine="0" w:firstLineChars="0"/>
              <w:jc w:val="center"/>
              <w:rPr>
                <w:rFonts w:ascii="仿宋" w:hAnsi="仿宋" w:eastAsia="仿宋"/>
                <w:b w:val="0"/>
                <w:color w:val="auto"/>
                <w:kern w:val="2"/>
                <w:sz w:val="24"/>
                <w:szCs w:val="24"/>
                <w:lang w:val="en-US"/>
              </w:rPr>
            </w:pPr>
          </w:p>
        </w:tc>
        <w:tc>
          <w:tcPr>
            <w:tcW w:w="858" w:type="pct"/>
            <w:vAlign w:val="center"/>
          </w:tcPr>
          <w:p>
            <w:pPr>
              <w:snapToGrid/>
              <w:spacing w:line="240" w:lineRule="auto"/>
              <w:ind w:firstLine="0" w:firstLineChars="0"/>
              <w:jc w:val="center"/>
              <w:rPr>
                <w:rFonts w:ascii="仿宋" w:hAnsi="仿宋" w:eastAsia="仿宋"/>
                <w:b w:val="0"/>
                <w:color w:val="auto"/>
                <w:kern w:val="2"/>
                <w:sz w:val="24"/>
                <w:szCs w:val="24"/>
                <w:lang w:val="en-US"/>
              </w:rPr>
            </w:pPr>
          </w:p>
        </w:tc>
        <w:tc>
          <w:tcPr>
            <w:tcW w:w="859" w:type="pct"/>
            <w:vAlign w:val="center"/>
          </w:tcPr>
          <w:p>
            <w:pPr>
              <w:snapToGrid/>
              <w:spacing w:line="240" w:lineRule="auto"/>
              <w:ind w:firstLine="0" w:firstLineChars="0"/>
              <w:rPr>
                <w:rFonts w:ascii="仿宋" w:hAnsi="仿宋" w:eastAsia="仿宋"/>
                <w:b w:val="0"/>
                <w:color w:val="auto"/>
                <w:kern w:val="2"/>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03" w:hRule="atLeast"/>
          <w:jc w:val="center"/>
        </w:trPr>
        <w:tc>
          <w:tcPr>
            <w:tcW w:w="2423" w:type="pct"/>
            <w:vAlign w:val="center"/>
          </w:tcPr>
          <w:p>
            <w:pPr>
              <w:snapToGrid/>
              <w:spacing w:line="240" w:lineRule="auto"/>
              <w:ind w:firstLine="0" w:firstLineChars="0"/>
              <w:rPr>
                <w:rFonts w:ascii="仿宋" w:hAnsi="仿宋" w:eastAsia="仿宋"/>
                <w:b w:val="0"/>
                <w:color w:val="auto"/>
                <w:kern w:val="2"/>
                <w:sz w:val="24"/>
                <w:szCs w:val="24"/>
                <w:lang w:val="en-US"/>
              </w:rPr>
            </w:pPr>
            <w:r>
              <w:rPr>
                <w:rFonts w:ascii="仿宋" w:hAnsi="仿宋" w:eastAsia="仿宋"/>
                <w:b w:val="0"/>
                <w:color w:val="auto"/>
                <w:sz w:val="24"/>
                <w:szCs w:val="24"/>
              </w:rPr>
              <w:t>不存在招标文件第2章、第3章规定的投标无效情形（资格审查表的内容除外）</w:t>
            </w:r>
          </w:p>
        </w:tc>
        <w:tc>
          <w:tcPr>
            <w:tcW w:w="858" w:type="pct"/>
          </w:tcPr>
          <w:p>
            <w:pPr>
              <w:snapToGrid/>
              <w:spacing w:line="240" w:lineRule="auto"/>
              <w:ind w:firstLine="0" w:firstLineChars="0"/>
              <w:jc w:val="center"/>
              <w:rPr>
                <w:rFonts w:ascii="仿宋" w:hAnsi="仿宋" w:eastAsia="仿宋"/>
                <w:b w:val="0"/>
                <w:color w:val="auto"/>
                <w:kern w:val="2"/>
                <w:sz w:val="24"/>
                <w:szCs w:val="24"/>
                <w:lang w:val="en-US"/>
              </w:rPr>
            </w:pPr>
          </w:p>
        </w:tc>
        <w:tc>
          <w:tcPr>
            <w:tcW w:w="858" w:type="pct"/>
            <w:vAlign w:val="center"/>
          </w:tcPr>
          <w:p>
            <w:pPr>
              <w:snapToGrid/>
              <w:spacing w:line="240" w:lineRule="auto"/>
              <w:ind w:firstLine="0" w:firstLineChars="0"/>
              <w:jc w:val="center"/>
              <w:rPr>
                <w:rFonts w:ascii="仿宋" w:hAnsi="仿宋" w:eastAsia="仿宋"/>
                <w:b w:val="0"/>
                <w:color w:val="auto"/>
                <w:kern w:val="2"/>
                <w:sz w:val="24"/>
                <w:szCs w:val="24"/>
                <w:lang w:val="en-US"/>
              </w:rPr>
            </w:pPr>
          </w:p>
        </w:tc>
        <w:tc>
          <w:tcPr>
            <w:tcW w:w="859" w:type="pct"/>
            <w:vAlign w:val="center"/>
          </w:tcPr>
          <w:p>
            <w:pPr>
              <w:snapToGrid/>
              <w:spacing w:line="240" w:lineRule="auto"/>
              <w:ind w:firstLine="0" w:firstLineChars="0"/>
              <w:rPr>
                <w:rFonts w:ascii="仿宋" w:hAnsi="仿宋" w:eastAsia="仿宋"/>
                <w:b w:val="0"/>
                <w:color w:val="auto"/>
                <w:kern w:val="2"/>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03" w:hRule="atLeast"/>
          <w:jc w:val="center"/>
        </w:trPr>
        <w:tc>
          <w:tcPr>
            <w:tcW w:w="2423" w:type="pct"/>
            <w:vAlign w:val="center"/>
          </w:tcPr>
          <w:p>
            <w:pPr>
              <w:snapToGrid/>
              <w:spacing w:line="240" w:lineRule="auto"/>
              <w:ind w:firstLine="0" w:firstLineChars="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未含有采购人不能接受的附加条件的</w:t>
            </w:r>
          </w:p>
        </w:tc>
        <w:tc>
          <w:tcPr>
            <w:tcW w:w="858" w:type="pct"/>
          </w:tcPr>
          <w:p>
            <w:pPr>
              <w:snapToGrid/>
              <w:spacing w:line="240" w:lineRule="auto"/>
              <w:ind w:firstLine="0" w:firstLineChars="0"/>
              <w:jc w:val="center"/>
              <w:rPr>
                <w:rFonts w:ascii="仿宋" w:hAnsi="仿宋" w:eastAsia="仿宋"/>
                <w:b w:val="0"/>
                <w:color w:val="auto"/>
                <w:kern w:val="2"/>
                <w:sz w:val="24"/>
                <w:szCs w:val="24"/>
                <w:lang w:val="en-US"/>
              </w:rPr>
            </w:pPr>
          </w:p>
        </w:tc>
        <w:tc>
          <w:tcPr>
            <w:tcW w:w="858" w:type="pct"/>
            <w:vAlign w:val="center"/>
          </w:tcPr>
          <w:p>
            <w:pPr>
              <w:snapToGrid/>
              <w:spacing w:line="240" w:lineRule="auto"/>
              <w:ind w:firstLine="0" w:firstLineChars="0"/>
              <w:jc w:val="center"/>
              <w:rPr>
                <w:rFonts w:ascii="仿宋" w:hAnsi="仿宋" w:eastAsia="仿宋"/>
                <w:b w:val="0"/>
                <w:color w:val="auto"/>
                <w:kern w:val="2"/>
                <w:sz w:val="24"/>
                <w:szCs w:val="24"/>
                <w:lang w:val="en-US"/>
              </w:rPr>
            </w:pPr>
          </w:p>
        </w:tc>
        <w:tc>
          <w:tcPr>
            <w:tcW w:w="859" w:type="pct"/>
            <w:vAlign w:val="center"/>
          </w:tcPr>
          <w:p>
            <w:pPr>
              <w:snapToGrid/>
              <w:spacing w:line="240" w:lineRule="auto"/>
              <w:ind w:firstLine="0" w:firstLineChars="0"/>
              <w:rPr>
                <w:rFonts w:ascii="仿宋" w:hAnsi="仿宋" w:eastAsia="仿宋"/>
                <w:b w:val="0"/>
                <w:color w:val="auto"/>
                <w:kern w:val="2"/>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03" w:hRule="atLeast"/>
          <w:jc w:val="center"/>
        </w:trPr>
        <w:tc>
          <w:tcPr>
            <w:tcW w:w="2423" w:type="pct"/>
            <w:vAlign w:val="center"/>
          </w:tcPr>
          <w:p>
            <w:pPr>
              <w:snapToGrid/>
              <w:spacing w:line="240" w:lineRule="auto"/>
              <w:ind w:firstLine="0" w:firstLineChars="0"/>
              <w:rPr>
                <w:rFonts w:ascii="仿宋" w:hAnsi="仿宋" w:eastAsia="仿宋"/>
                <w:b w:val="0"/>
                <w:color w:val="auto"/>
                <w:kern w:val="2"/>
                <w:sz w:val="24"/>
                <w:szCs w:val="24"/>
                <w:lang w:val="en-US"/>
              </w:rPr>
            </w:pPr>
            <w:r>
              <w:rPr>
                <w:rFonts w:ascii="仿宋" w:hAnsi="仿宋" w:eastAsia="仿宋"/>
                <w:b w:val="0"/>
                <w:color w:val="auto"/>
                <w:kern w:val="2"/>
                <w:sz w:val="24"/>
                <w:szCs w:val="24"/>
                <w:lang w:val="en-US"/>
              </w:rPr>
              <w:t>按招标文件规定和要求格式签署、盖章</w:t>
            </w:r>
          </w:p>
        </w:tc>
        <w:tc>
          <w:tcPr>
            <w:tcW w:w="858" w:type="pct"/>
          </w:tcPr>
          <w:p>
            <w:pPr>
              <w:snapToGrid/>
              <w:spacing w:line="240" w:lineRule="auto"/>
              <w:ind w:firstLine="0" w:firstLineChars="0"/>
              <w:jc w:val="center"/>
              <w:rPr>
                <w:rFonts w:ascii="仿宋" w:hAnsi="仿宋" w:eastAsia="仿宋"/>
                <w:b w:val="0"/>
                <w:color w:val="auto"/>
                <w:kern w:val="2"/>
                <w:sz w:val="24"/>
                <w:szCs w:val="24"/>
                <w:lang w:val="en-US"/>
              </w:rPr>
            </w:pPr>
          </w:p>
        </w:tc>
        <w:tc>
          <w:tcPr>
            <w:tcW w:w="858" w:type="pct"/>
            <w:vAlign w:val="center"/>
          </w:tcPr>
          <w:p>
            <w:pPr>
              <w:snapToGrid/>
              <w:spacing w:line="240" w:lineRule="auto"/>
              <w:ind w:firstLine="0" w:firstLineChars="0"/>
              <w:jc w:val="center"/>
              <w:rPr>
                <w:rFonts w:ascii="仿宋" w:hAnsi="仿宋" w:eastAsia="仿宋"/>
                <w:b w:val="0"/>
                <w:color w:val="auto"/>
                <w:kern w:val="2"/>
                <w:sz w:val="24"/>
                <w:szCs w:val="24"/>
                <w:lang w:val="en-US"/>
              </w:rPr>
            </w:pPr>
          </w:p>
        </w:tc>
        <w:tc>
          <w:tcPr>
            <w:tcW w:w="859" w:type="pct"/>
            <w:vAlign w:val="center"/>
          </w:tcPr>
          <w:p>
            <w:pPr>
              <w:snapToGrid/>
              <w:spacing w:line="240" w:lineRule="auto"/>
              <w:ind w:firstLine="0" w:firstLineChars="0"/>
              <w:rPr>
                <w:rFonts w:ascii="仿宋" w:hAnsi="仿宋" w:eastAsia="仿宋"/>
                <w:b w:val="0"/>
                <w:color w:val="auto"/>
                <w:kern w:val="2"/>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03" w:hRule="atLeast"/>
          <w:jc w:val="center"/>
        </w:trPr>
        <w:tc>
          <w:tcPr>
            <w:tcW w:w="2423" w:type="pct"/>
            <w:vAlign w:val="center"/>
          </w:tcPr>
          <w:p>
            <w:pPr>
              <w:snapToGrid/>
              <w:spacing w:line="240" w:lineRule="auto"/>
              <w:ind w:firstLine="0" w:firstLineChars="0"/>
              <w:jc w:val="center"/>
              <w:rPr>
                <w:rFonts w:ascii="仿宋" w:hAnsi="仿宋" w:eastAsia="仿宋"/>
                <w:b w:val="0"/>
                <w:color w:val="auto"/>
                <w:kern w:val="2"/>
                <w:sz w:val="24"/>
                <w:szCs w:val="24"/>
                <w:lang w:val="en-US"/>
              </w:rPr>
            </w:pPr>
            <w:r>
              <w:rPr>
                <w:rFonts w:hint="eastAsia" w:ascii="仿宋" w:hAnsi="仿宋" w:eastAsia="仿宋"/>
                <w:b w:val="0"/>
                <w:color w:val="auto"/>
                <w:kern w:val="2"/>
                <w:sz w:val="24"/>
                <w:szCs w:val="24"/>
                <w:lang w:val="en-US"/>
              </w:rPr>
              <w:t>结  论</w:t>
            </w:r>
          </w:p>
        </w:tc>
        <w:tc>
          <w:tcPr>
            <w:tcW w:w="858" w:type="pct"/>
          </w:tcPr>
          <w:p>
            <w:pPr>
              <w:snapToGrid/>
              <w:spacing w:line="240" w:lineRule="auto"/>
              <w:ind w:firstLine="0" w:firstLineChars="0"/>
              <w:jc w:val="center"/>
              <w:rPr>
                <w:rFonts w:ascii="仿宋" w:hAnsi="仿宋" w:eastAsia="仿宋"/>
                <w:b w:val="0"/>
                <w:color w:val="auto"/>
                <w:kern w:val="2"/>
                <w:sz w:val="24"/>
                <w:szCs w:val="24"/>
                <w:lang w:val="en-US"/>
              </w:rPr>
            </w:pPr>
          </w:p>
        </w:tc>
        <w:tc>
          <w:tcPr>
            <w:tcW w:w="858" w:type="pct"/>
            <w:vAlign w:val="center"/>
          </w:tcPr>
          <w:p>
            <w:pPr>
              <w:snapToGrid/>
              <w:spacing w:line="240" w:lineRule="auto"/>
              <w:ind w:firstLine="0" w:firstLineChars="0"/>
              <w:jc w:val="center"/>
              <w:rPr>
                <w:rFonts w:ascii="仿宋" w:hAnsi="仿宋" w:eastAsia="仿宋"/>
                <w:b w:val="0"/>
                <w:color w:val="auto"/>
                <w:kern w:val="2"/>
                <w:sz w:val="24"/>
                <w:szCs w:val="24"/>
                <w:lang w:val="en-US"/>
              </w:rPr>
            </w:pPr>
          </w:p>
        </w:tc>
        <w:tc>
          <w:tcPr>
            <w:tcW w:w="859" w:type="pct"/>
            <w:vAlign w:val="center"/>
          </w:tcPr>
          <w:p>
            <w:pPr>
              <w:snapToGrid/>
              <w:spacing w:line="240" w:lineRule="auto"/>
              <w:ind w:firstLine="0" w:firstLineChars="0"/>
              <w:rPr>
                <w:rFonts w:ascii="仿宋" w:hAnsi="仿宋" w:eastAsia="仿宋"/>
                <w:b w:val="0"/>
                <w:color w:val="auto"/>
                <w:kern w:val="2"/>
                <w:sz w:val="24"/>
                <w:szCs w:val="24"/>
                <w:lang w:val="en-US"/>
              </w:rPr>
            </w:pPr>
          </w:p>
        </w:tc>
      </w:tr>
    </w:tbl>
    <w:p>
      <w:pPr>
        <w:spacing w:line="312" w:lineRule="auto"/>
        <w:ind w:firstLine="480"/>
        <w:rPr>
          <w:rFonts w:ascii="仿宋" w:hAnsi="仿宋" w:eastAsia="仿宋"/>
          <w:b w:val="0"/>
          <w:color w:val="auto"/>
          <w:sz w:val="24"/>
          <w:szCs w:val="24"/>
        </w:rPr>
      </w:pPr>
      <w:r>
        <w:rPr>
          <w:rFonts w:ascii="仿宋" w:hAnsi="仿宋" w:eastAsia="仿宋"/>
          <w:b w:val="0"/>
          <w:color w:val="auto"/>
          <w:sz w:val="24"/>
          <w:szCs w:val="24"/>
        </w:rPr>
        <w:t>注：以上每一项结论均为“合格”的，则投标人通过符合性审查，如有任意一项结论为“不合格”的，则投标人不通过符合性审查，其投标文件按无效投标文件处理。如果认为投标人有任意一项不合格的，应载明不合格的具体原因。</w:t>
      </w:r>
      <w:bookmarkStart w:id="618" w:name="_Toc500492770"/>
      <w:bookmarkStart w:id="619" w:name="_Toc494198969"/>
      <w:bookmarkStart w:id="620" w:name="_Toc494198643"/>
      <w:bookmarkStart w:id="621" w:name="_Toc496605675"/>
    </w:p>
    <w:p>
      <w:pPr>
        <w:numPr>
          <w:ilvl w:val="3"/>
          <w:numId w:val="17"/>
        </w:numPr>
        <w:tabs>
          <w:tab w:val="left" w:pos="360"/>
        </w:tabs>
        <w:spacing w:line="520" w:lineRule="exact"/>
        <w:ind w:left="0" w:firstLine="480"/>
        <w:outlineLvl w:val="3"/>
        <w:rPr>
          <w:rFonts w:ascii="仿宋" w:hAnsi="仿宋" w:eastAsia="仿宋"/>
          <w:b w:val="0"/>
          <w:bCs/>
          <w:color w:val="auto"/>
          <w:kern w:val="2"/>
          <w:sz w:val="24"/>
          <w:szCs w:val="24"/>
          <w:lang w:val="en-US"/>
        </w:rPr>
      </w:pPr>
      <w:r>
        <w:rPr>
          <w:rFonts w:ascii="仿宋" w:hAnsi="仿宋" w:eastAsia="仿宋"/>
          <w:b w:val="0"/>
          <w:bCs/>
          <w:color w:val="auto"/>
          <w:kern w:val="2"/>
          <w:sz w:val="24"/>
          <w:szCs w:val="24"/>
          <w:lang w:val="en-US"/>
        </w:rPr>
        <w:t>评标委员会依法对投标人进行符合性审查结束后，出具符合性审查报告。</w:t>
      </w:r>
      <w:bookmarkEnd w:id="618"/>
      <w:bookmarkEnd w:id="619"/>
      <w:bookmarkEnd w:id="620"/>
      <w:bookmarkEnd w:id="621"/>
    </w:p>
    <w:p>
      <w:pPr>
        <w:numPr>
          <w:ilvl w:val="3"/>
          <w:numId w:val="17"/>
        </w:numPr>
        <w:tabs>
          <w:tab w:val="left" w:pos="360"/>
        </w:tabs>
        <w:spacing w:line="520" w:lineRule="exact"/>
        <w:ind w:left="0" w:firstLine="480"/>
        <w:outlineLvl w:val="3"/>
        <w:rPr>
          <w:rFonts w:ascii="仿宋" w:hAnsi="仿宋" w:eastAsia="仿宋"/>
          <w:b w:val="0"/>
          <w:bCs/>
          <w:color w:val="auto"/>
          <w:kern w:val="2"/>
          <w:sz w:val="24"/>
          <w:szCs w:val="24"/>
          <w:lang w:val="en-US"/>
        </w:rPr>
      </w:pPr>
      <w:r>
        <w:rPr>
          <w:rFonts w:ascii="仿宋" w:hAnsi="仿宋" w:eastAsia="仿宋"/>
          <w:b w:val="0"/>
          <w:bCs/>
          <w:color w:val="auto"/>
          <w:kern w:val="2"/>
          <w:sz w:val="24"/>
          <w:szCs w:val="24"/>
          <w:lang w:val="en-US"/>
        </w:rPr>
        <w:t xml:space="preserve"> </w:t>
      </w:r>
      <w:bookmarkStart w:id="622" w:name="_Toc500492771"/>
      <w:bookmarkStart w:id="623" w:name="_Toc496605676"/>
      <w:r>
        <w:rPr>
          <w:rFonts w:ascii="仿宋" w:hAnsi="仿宋" w:eastAsia="仿宋"/>
          <w:b w:val="0"/>
          <w:bCs/>
          <w:color w:val="auto"/>
          <w:kern w:val="2"/>
          <w:sz w:val="24"/>
          <w:szCs w:val="24"/>
          <w:lang w:val="en-US"/>
        </w:rPr>
        <w:t>通过符合性审查的投标人不足3家的，本项目废标。</w:t>
      </w:r>
      <w:bookmarkEnd w:id="622"/>
      <w:bookmarkEnd w:id="623"/>
    </w:p>
    <w:p>
      <w:pPr>
        <w:numPr>
          <w:ilvl w:val="2"/>
          <w:numId w:val="17"/>
        </w:numPr>
        <w:tabs>
          <w:tab w:val="left" w:pos="360"/>
        </w:tabs>
        <w:snapToGrid/>
        <w:spacing w:line="520" w:lineRule="exact"/>
        <w:ind w:left="0" w:firstLine="482"/>
        <w:jc w:val="left"/>
        <w:outlineLvl w:val="2"/>
        <w:rPr>
          <w:rFonts w:ascii="仿宋" w:hAnsi="仿宋" w:eastAsia="仿宋"/>
          <w:bCs/>
          <w:color w:val="auto"/>
          <w:kern w:val="2"/>
          <w:sz w:val="24"/>
          <w:szCs w:val="24"/>
          <w:lang w:val="en-US"/>
        </w:rPr>
      </w:pPr>
      <w:bookmarkStart w:id="624" w:name="_Toc477425592"/>
      <w:bookmarkStart w:id="625" w:name="_Toc496605677"/>
      <w:bookmarkStart w:id="626" w:name="_Toc482094384"/>
      <w:bookmarkStart w:id="627" w:name="_Toc466896302"/>
      <w:bookmarkStart w:id="628" w:name="_Toc475005637"/>
      <w:bookmarkStart w:id="629" w:name="_Toc494198644"/>
      <w:bookmarkStart w:id="630" w:name="_Toc494198970"/>
      <w:bookmarkStart w:id="631" w:name="_Toc466292952"/>
      <w:bookmarkStart w:id="632" w:name="_Toc500492772"/>
      <w:bookmarkStart w:id="633" w:name="_Toc476748812"/>
      <w:r>
        <w:rPr>
          <w:rFonts w:ascii="仿宋" w:hAnsi="仿宋" w:eastAsia="仿宋"/>
          <w:bCs/>
          <w:color w:val="auto"/>
          <w:kern w:val="2"/>
          <w:sz w:val="24"/>
          <w:szCs w:val="24"/>
          <w:lang w:val="en-US"/>
        </w:rPr>
        <w:t>比较与评价。</w:t>
      </w:r>
      <w:bookmarkEnd w:id="624"/>
      <w:bookmarkEnd w:id="625"/>
      <w:bookmarkEnd w:id="626"/>
      <w:bookmarkEnd w:id="627"/>
      <w:bookmarkEnd w:id="628"/>
      <w:bookmarkEnd w:id="629"/>
      <w:bookmarkEnd w:id="630"/>
      <w:bookmarkEnd w:id="631"/>
      <w:bookmarkEnd w:id="632"/>
      <w:bookmarkEnd w:id="633"/>
    </w:p>
    <w:p>
      <w:pPr>
        <w:spacing w:line="540" w:lineRule="exact"/>
        <w:ind w:firstLine="480"/>
        <w:rPr>
          <w:rFonts w:ascii="仿宋" w:hAnsi="仿宋" w:eastAsia="仿宋"/>
          <w:b w:val="0"/>
          <w:color w:val="auto"/>
          <w:sz w:val="24"/>
          <w:szCs w:val="24"/>
        </w:rPr>
      </w:pPr>
      <w:r>
        <w:rPr>
          <w:rFonts w:ascii="仿宋" w:hAnsi="仿宋" w:eastAsia="仿宋"/>
          <w:b w:val="0"/>
          <w:color w:val="auto"/>
          <w:sz w:val="24"/>
          <w:szCs w:val="24"/>
        </w:rPr>
        <w:t>评标委员会应当按照招标文件中规定的评标方法和标准，对符合性审查合格的投标文件进行商务和技术评估，综合比较与评价。</w:t>
      </w:r>
    </w:p>
    <w:p>
      <w:pPr>
        <w:numPr>
          <w:ilvl w:val="2"/>
          <w:numId w:val="17"/>
        </w:numPr>
        <w:tabs>
          <w:tab w:val="left" w:pos="360"/>
        </w:tabs>
        <w:snapToGrid/>
        <w:spacing w:line="520" w:lineRule="exact"/>
        <w:ind w:left="0" w:firstLine="482"/>
        <w:jc w:val="left"/>
        <w:outlineLvl w:val="2"/>
        <w:rPr>
          <w:rFonts w:ascii="仿宋" w:hAnsi="仿宋" w:eastAsia="仿宋"/>
          <w:bCs/>
          <w:color w:val="auto"/>
          <w:kern w:val="2"/>
          <w:sz w:val="24"/>
          <w:szCs w:val="24"/>
          <w:lang w:val="en-US"/>
        </w:rPr>
      </w:pPr>
      <w:bookmarkStart w:id="634" w:name="_Toc496605678"/>
      <w:bookmarkStart w:id="635" w:name="_Toc494198971"/>
      <w:bookmarkStart w:id="636" w:name="_Toc500492773"/>
      <w:bookmarkStart w:id="637" w:name="_Toc494198645"/>
      <w:bookmarkStart w:id="638" w:name="_Toc466896303"/>
      <w:bookmarkStart w:id="639" w:name="_Toc482094385"/>
      <w:bookmarkStart w:id="640" w:name="_Toc476748813"/>
      <w:bookmarkStart w:id="641" w:name="_Toc477425593"/>
      <w:bookmarkStart w:id="642" w:name="_Toc475005638"/>
      <w:bookmarkStart w:id="643" w:name="_Toc466292953"/>
      <w:r>
        <w:rPr>
          <w:rFonts w:ascii="仿宋" w:hAnsi="仿宋" w:eastAsia="仿宋"/>
          <w:bCs/>
          <w:color w:val="auto"/>
          <w:kern w:val="2"/>
          <w:sz w:val="24"/>
          <w:szCs w:val="24"/>
          <w:lang w:val="en-US"/>
        </w:rPr>
        <w:t>复核。</w:t>
      </w:r>
      <w:bookmarkEnd w:id="634"/>
      <w:bookmarkEnd w:id="635"/>
      <w:bookmarkEnd w:id="636"/>
      <w:bookmarkEnd w:id="637"/>
    </w:p>
    <w:p>
      <w:pPr>
        <w:tabs>
          <w:tab w:val="left" w:pos="322"/>
        </w:tabs>
        <w:spacing w:line="540" w:lineRule="exact"/>
        <w:ind w:firstLine="480"/>
        <w:rPr>
          <w:rFonts w:ascii="仿宋" w:hAnsi="仿宋" w:eastAsia="仿宋"/>
          <w:b w:val="0"/>
          <w:color w:val="auto"/>
          <w:sz w:val="24"/>
          <w:szCs w:val="24"/>
        </w:rPr>
      </w:pPr>
      <w:r>
        <w:rPr>
          <w:rFonts w:ascii="仿宋" w:hAnsi="仿宋" w:eastAsia="仿宋"/>
          <w:b w:val="0"/>
          <w:color w:val="auto"/>
          <w:sz w:val="24"/>
          <w:szCs w:val="24"/>
        </w:rPr>
        <w:t>评分汇总结束后，评标委员会应当进行复核，对畸高、畸低的重大差异评分，特别要对拟推荐为中标候选人的、报价最低的、投标文件被认定为无效的进行重点复核。</w:t>
      </w:r>
      <w:bookmarkEnd w:id="638"/>
      <w:bookmarkEnd w:id="639"/>
      <w:bookmarkEnd w:id="640"/>
      <w:bookmarkEnd w:id="641"/>
      <w:bookmarkEnd w:id="642"/>
      <w:bookmarkEnd w:id="643"/>
    </w:p>
    <w:p>
      <w:pPr>
        <w:numPr>
          <w:ilvl w:val="2"/>
          <w:numId w:val="17"/>
        </w:numPr>
        <w:tabs>
          <w:tab w:val="left" w:pos="360"/>
        </w:tabs>
        <w:snapToGrid/>
        <w:spacing w:line="520" w:lineRule="exact"/>
        <w:ind w:left="0" w:firstLine="482"/>
        <w:jc w:val="left"/>
        <w:outlineLvl w:val="2"/>
        <w:rPr>
          <w:rFonts w:ascii="仿宋" w:hAnsi="仿宋" w:eastAsia="仿宋"/>
          <w:bCs/>
          <w:color w:val="auto"/>
          <w:kern w:val="2"/>
          <w:sz w:val="24"/>
          <w:szCs w:val="24"/>
          <w:lang w:val="en-US"/>
        </w:rPr>
      </w:pPr>
      <w:bookmarkStart w:id="644" w:name="_Toc494198646"/>
      <w:bookmarkStart w:id="645" w:name="_Toc496605679"/>
      <w:bookmarkStart w:id="646" w:name="_Toc500492774"/>
      <w:bookmarkStart w:id="647" w:name="_Toc494198972"/>
      <w:bookmarkStart w:id="648" w:name="_Toc475005639"/>
      <w:bookmarkStart w:id="649" w:name="_Toc477425594"/>
      <w:bookmarkStart w:id="650" w:name="_Toc476748814"/>
      <w:bookmarkStart w:id="651" w:name="_Toc466292954"/>
      <w:bookmarkStart w:id="652" w:name="_Toc466896304"/>
      <w:bookmarkStart w:id="653" w:name="_Toc482094386"/>
      <w:r>
        <w:rPr>
          <w:rFonts w:ascii="仿宋" w:hAnsi="仿宋" w:eastAsia="仿宋"/>
          <w:bCs/>
          <w:color w:val="auto"/>
          <w:kern w:val="2"/>
          <w:sz w:val="24"/>
          <w:szCs w:val="24"/>
          <w:lang w:val="en-US"/>
        </w:rPr>
        <w:t>推荐中标候选人名单。</w:t>
      </w:r>
      <w:bookmarkEnd w:id="644"/>
      <w:bookmarkEnd w:id="645"/>
      <w:bookmarkEnd w:id="646"/>
      <w:bookmarkEnd w:id="647"/>
    </w:p>
    <w:p>
      <w:pPr>
        <w:spacing w:line="540" w:lineRule="exact"/>
        <w:ind w:firstLine="480"/>
        <w:rPr>
          <w:rFonts w:ascii="仿宋" w:hAnsi="仿宋" w:eastAsia="仿宋"/>
          <w:b w:val="0"/>
          <w:color w:val="auto"/>
          <w:sz w:val="24"/>
          <w:szCs w:val="24"/>
        </w:rPr>
      </w:pPr>
      <w:r>
        <w:rPr>
          <w:rFonts w:ascii="仿宋" w:hAnsi="仿宋" w:eastAsia="仿宋"/>
          <w:b w:val="0"/>
          <w:color w:val="auto"/>
          <w:sz w:val="24"/>
          <w:szCs w:val="24"/>
        </w:rPr>
        <w:t>中标候选人应当排序。</w:t>
      </w:r>
      <w:bookmarkEnd w:id="648"/>
      <w:bookmarkEnd w:id="649"/>
      <w:bookmarkEnd w:id="650"/>
      <w:bookmarkEnd w:id="651"/>
      <w:bookmarkEnd w:id="652"/>
      <w:bookmarkEnd w:id="653"/>
      <w:r>
        <w:rPr>
          <w:rFonts w:ascii="仿宋" w:hAnsi="仿宋" w:eastAsia="仿宋"/>
          <w:b w:val="0"/>
          <w:color w:val="auto"/>
          <w:sz w:val="24"/>
          <w:szCs w:val="24"/>
        </w:rPr>
        <w:t>采用综合评分法的：评标结果按评审后得分由高到低顺序排列。得分相同的，按投标报价由低到高顺序排列。得分且投标报价相同的并列（注：为扶持不发达地区和少数民族地区，得分且投标报价相同的，评标委员会优先推荐企业注册地在不发达地区和少数民族地区的投标人）。投标文件满足招标文件全部实质性要求，且按照评审因素的量化指标评审得分最高的投标人为排名第一的中标候选人。</w:t>
      </w:r>
    </w:p>
    <w:p>
      <w:pPr>
        <w:numPr>
          <w:ilvl w:val="2"/>
          <w:numId w:val="17"/>
        </w:numPr>
        <w:tabs>
          <w:tab w:val="left" w:pos="360"/>
        </w:tabs>
        <w:snapToGrid/>
        <w:spacing w:line="520" w:lineRule="exact"/>
        <w:ind w:left="0" w:firstLine="482"/>
        <w:jc w:val="left"/>
        <w:outlineLvl w:val="2"/>
        <w:rPr>
          <w:rFonts w:ascii="仿宋" w:hAnsi="仿宋" w:eastAsia="仿宋"/>
          <w:bCs/>
          <w:color w:val="auto"/>
          <w:kern w:val="2"/>
          <w:sz w:val="24"/>
          <w:szCs w:val="24"/>
          <w:lang w:val="en-US"/>
        </w:rPr>
      </w:pPr>
      <w:bookmarkStart w:id="654" w:name="_Toc496605680"/>
      <w:bookmarkStart w:id="655" w:name="_Toc500492775"/>
      <w:bookmarkStart w:id="656" w:name="_Toc494198973"/>
      <w:bookmarkStart w:id="657" w:name="_Toc494198647"/>
      <w:r>
        <w:rPr>
          <w:rFonts w:ascii="仿宋" w:hAnsi="仿宋" w:eastAsia="仿宋"/>
          <w:bCs/>
          <w:color w:val="auto"/>
          <w:kern w:val="2"/>
          <w:sz w:val="24"/>
          <w:szCs w:val="24"/>
          <w:lang w:val="en-US"/>
        </w:rPr>
        <w:t>出具评标报告。</w:t>
      </w:r>
      <w:bookmarkEnd w:id="654"/>
      <w:bookmarkEnd w:id="655"/>
      <w:bookmarkEnd w:id="656"/>
      <w:bookmarkEnd w:id="657"/>
    </w:p>
    <w:p>
      <w:pPr>
        <w:numPr>
          <w:ilvl w:val="3"/>
          <w:numId w:val="17"/>
        </w:numPr>
        <w:tabs>
          <w:tab w:val="left" w:pos="360"/>
        </w:tabs>
        <w:spacing w:line="520" w:lineRule="exact"/>
        <w:ind w:left="0" w:firstLine="480"/>
        <w:outlineLvl w:val="3"/>
        <w:rPr>
          <w:rFonts w:ascii="仿宋" w:hAnsi="仿宋" w:eastAsia="仿宋"/>
          <w:b w:val="0"/>
          <w:bCs/>
          <w:color w:val="auto"/>
          <w:kern w:val="2"/>
          <w:sz w:val="24"/>
          <w:szCs w:val="24"/>
          <w:lang w:val="en-US"/>
        </w:rPr>
      </w:pPr>
      <w:bookmarkStart w:id="658" w:name="_Toc494198974"/>
      <w:bookmarkStart w:id="659" w:name="_Toc496605681"/>
      <w:bookmarkStart w:id="660" w:name="_Toc500492776"/>
      <w:bookmarkStart w:id="661" w:name="_Toc494198648"/>
      <w:r>
        <w:rPr>
          <w:rFonts w:ascii="仿宋" w:hAnsi="仿宋" w:eastAsia="仿宋"/>
          <w:b w:val="0"/>
          <w:bCs/>
          <w:color w:val="auto"/>
          <w:kern w:val="2"/>
          <w:sz w:val="24"/>
          <w:szCs w:val="24"/>
          <w:lang w:val="en-US"/>
        </w:rPr>
        <w:t>评标委员会根据全体评标成员签字的原始评标记录和评标结果编写评标报告。评标报告应当包括以下内容：</w:t>
      </w:r>
      <w:bookmarkEnd w:id="658"/>
      <w:bookmarkEnd w:id="659"/>
      <w:bookmarkEnd w:id="660"/>
      <w:bookmarkEnd w:id="661"/>
    </w:p>
    <w:p>
      <w:pPr>
        <w:numPr>
          <w:ilvl w:val="0"/>
          <w:numId w:val="56"/>
        </w:numPr>
        <w:tabs>
          <w:tab w:val="left" w:pos="709"/>
        </w:tabs>
        <w:spacing w:line="540" w:lineRule="exact"/>
        <w:ind w:left="0" w:firstLine="480"/>
        <w:rPr>
          <w:rFonts w:ascii="仿宋" w:hAnsi="仿宋" w:eastAsia="仿宋"/>
          <w:b w:val="0"/>
          <w:color w:val="auto"/>
          <w:sz w:val="24"/>
          <w:szCs w:val="24"/>
        </w:rPr>
      </w:pPr>
      <w:r>
        <w:rPr>
          <w:rFonts w:ascii="仿宋" w:hAnsi="仿宋" w:eastAsia="仿宋"/>
          <w:b w:val="0"/>
          <w:color w:val="auto"/>
          <w:sz w:val="24"/>
          <w:szCs w:val="24"/>
        </w:rPr>
        <w:t>招标公告刊登的媒体名称、开标日期和地点；</w:t>
      </w:r>
    </w:p>
    <w:p>
      <w:pPr>
        <w:numPr>
          <w:ilvl w:val="0"/>
          <w:numId w:val="56"/>
        </w:numPr>
        <w:tabs>
          <w:tab w:val="left" w:pos="709"/>
        </w:tabs>
        <w:spacing w:line="540" w:lineRule="exact"/>
        <w:ind w:left="0" w:firstLine="480"/>
        <w:rPr>
          <w:rFonts w:ascii="仿宋" w:hAnsi="仿宋" w:eastAsia="仿宋"/>
          <w:b w:val="0"/>
          <w:color w:val="auto"/>
          <w:sz w:val="24"/>
          <w:szCs w:val="24"/>
        </w:rPr>
      </w:pPr>
      <w:r>
        <w:rPr>
          <w:rFonts w:ascii="仿宋" w:hAnsi="仿宋" w:eastAsia="仿宋"/>
          <w:b w:val="0"/>
          <w:color w:val="auto"/>
          <w:sz w:val="24"/>
          <w:szCs w:val="24"/>
        </w:rPr>
        <w:t>投标人名单和评标委员会成员名单；</w:t>
      </w:r>
    </w:p>
    <w:p>
      <w:pPr>
        <w:numPr>
          <w:ilvl w:val="0"/>
          <w:numId w:val="56"/>
        </w:numPr>
        <w:tabs>
          <w:tab w:val="left" w:pos="709"/>
        </w:tabs>
        <w:spacing w:line="540" w:lineRule="exact"/>
        <w:ind w:left="0" w:firstLine="480"/>
        <w:rPr>
          <w:rFonts w:ascii="仿宋" w:hAnsi="仿宋" w:eastAsia="仿宋"/>
          <w:b w:val="0"/>
          <w:color w:val="auto"/>
          <w:sz w:val="24"/>
          <w:szCs w:val="24"/>
        </w:rPr>
      </w:pPr>
      <w:r>
        <w:rPr>
          <w:rFonts w:ascii="仿宋" w:hAnsi="仿宋" w:eastAsia="仿宋"/>
          <w:b w:val="0"/>
          <w:color w:val="auto"/>
          <w:sz w:val="24"/>
          <w:szCs w:val="24"/>
        </w:rPr>
        <w:t>评标方法和标准；</w:t>
      </w:r>
    </w:p>
    <w:p>
      <w:pPr>
        <w:numPr>
          <w:ilvl w:val="0"/>
          <w:numId w:val="56"/>
        </w:numPr>
        <w:tabs>
          <w:tab w:val="left" w:pos="709"/>
        </w:tabs>
        <w:spacing w:line="540" w:lineRule="exact"/>
        <w:ind w:left="0" w:firstLine="480"/>
        <w:rPr>
          <w:rFonts w:ascii="仿宋" w:hAnsi="仿宋" w:eastAsia="仿宋"/>
          <w:b w:val="0"/>
          <w:color w:val="auto"/>
          <w:sz w:val="24"/>
          <w:szCs w:val="24"/>
        </w:rPr>
      </w:pPr>
      <w:r>
        <w:rPr>
          <w:rFonts w:ascii="仿宋" w:hAnsi="仿宋" w:eastAsia="仿宋"/>
          <w:b w:val="0"/>
          <w:color w:val="auto"/>
          <w:sz w:val="24"/>
          <w:szCs w:val="24"/>
        </w:rPr>
        <w:t>开标记录和评标情况及说明，包括无效投标人名单及原因；</w:t>
      </w:r>
    </w:p>
    <w:p>
      <w:pPr>
        <w:numPr>
          <w:ilvl w:val="0"/>
          <w:numId w:val="56"/>
        </w:numPr>
        <w:tabs>
          <w:tab w:val="left" w:pos="709"/>
        </w:tabs>
        <w:spacing w:line="540" w:lineRule="exact"/>
        <w:ind w:left="0" w:firstLine="480"/>
        <w:rPr>
          <w:rFonts w:ascii="仿宋" w:hAnsi="仿宋" w:eastAsia="仿宋"/>
          <w:b w:val="0"/>
          <w:color w:val="auto"/>
          <w:sz w:val="24"/>
          <w:szCs w:val="24"/>
        </w:rPr>
      </w:pPr>
      <w:r>
        <w:rPr>
          <w:rFonts w:ascii="仿宋" w:hAnsi="仿宋" w:eastAsia="仿宋"/>
          <w:b w:val="0"/>
          <w:color w:val="auto"/>
          <w:sz w:val="24"/>
          <w:szCs w:val="24"/>
        </w:rPr>
        <w:t>评标结果，确定的中标候选人名单或者经采购人委托（若有）直接确定的中标人；</w:t>
      </w:r>
    </w:p>
    <w:p>
      <w:pPr>
        <w:numPr>
          <w:ilvl w:val="0"/>
          <w:numId w:val="56"/>
        </w:numPr>
        <w:tabs>
          <w:tab w:val="left" w:pos="709"/>
          <w:tab w:val="left" w:pos="851"/>
        </w:tabs>
        <w:spacing w:line="540" w:lineRule="exact"/>
        <w:ind w:left="0" w:firstLine="480"/>
        <w:rPr>
          <w:rFonts w:ascii="仿宋" w:hAnsi="仿宋" w:eastAsia="仿宋"/>
          <w:b w:val="0"/>
          <w:color w:val="auto"/>
          <w:sz w:val="24"/>
          <w:szCs w:val="24"/>
        </w:rPr>
      </w:pPr>
      <w:r>
        <w:rPr>
          <w:rFonts w:ascii="仿宋" w:hAnsi="仿宋" w:eastAsia="仿宋"/>
          <w:b w:val="0"/>
          <w:color w:val="auto"/>
          <w:sz w:val="24"/>
          <w:szCs w:val="24"/>
        </w:rPr>
        <w:t>其他需要说明的情况，包括评标过程中投标人根据评标委员会要求进行的澄清、说明或者补正，评标委员会成员的更换等。</w:t>
      </w:r>
    </w:p>
    <w:p>
      <w:pPr>
        <w:numPr>
          <w:ilvl w:val="3"/>
          <w:numId w:val="17"/>
        </w:numPr>
        <w:tabs>
          <w:tab w:val="left" w:pos="360"/>
        </w:tabs>
        <w:spacing w:line="520" w:lineRule="exact"/>
        <w:ind w:left="0" w:firstLine="480"/>
        <w:outlineLvl w:val="3"/>
        <w:rPr>
          <w:rFonts w:ascii="仿宋" w:hAnsi="仿宋" w:eastAsia="仿宋"/>
          <w:b w:val="0"/>
          <w:bCs/>
          <w:color w:val="auto"/>
          <w:kern w:val="2"/>
          <w:sz w:val="24"/>
          <w:szCs w:val="24"/>
          <w:lang w:val="en-US"/>
        </w:rPr>
      </w:pPr>
      <w:bookmarkStart w:id="662" w:name="_Toc496605682"/>
      <w:bookmarkStart w:id="663" w:name="_Toc494198649"/>
      <w:bookmarkStart w:id="664" w:name="_Toc500492777"/>
      <w:bookmarkStart w:id="665" w:name="_Toc494198975"/>
      <w:r>
        <w:rPr>
          <w:rFonts w:ascii="仿宋" w:hAnsi="仿宋" w:eastAsia="仿宋"/>
          <w:b w:val="0"/>
          <w:bCs/>
          <w:color w:val="auto"/>
          <w:kern w:val="2"/>
          <w:sz w:val="24"/>
          <w:szCs w:val="24"/>
          <w:lang w:val="en-US"/>
        </w:rPr>
        <w:t>评标委员会成员应当在评标报告中签字确认。</w:t>
      </w:r>
      <w:bookmarkEnd w:id="662"/>
      <w:bookmarkEnd w:id="663"/>
      <w:bookmarkEnd w:id="664"/>
      <w:bookmarkEnd w:id="665"/>
    </w:p>
    <w:p>
      <w:pPr>
        <w:numPr>
          <w:ilvl w:val="2"/>
          <w:numId w:val="17"/>
        </w:numPr>
        <w:tabs>
          <w:tab w:val="left" w:pos="360"/>
        </w:tabs>
        <w:snapToGrid/>
        <w:spacing w:line="520" w:lineRule="exact"/>
        <w:ind w:left="0" w:firstLine="482"/>
        <w:jc w:val="left"/>
        <w:outlineLvl w:val="2"/>
        <w:rPr>
          <w:rFonts w:ascii="仿宋" w:hAnsi="仿宋" w:eastAsia="仿宋"/>
          <w:bCs/>
          <w:color w:val="auto"/>
          <w:kern w:val="2"/>
          <w:sz w:val="24"/>
          <w:szCs w:val="24"/>
          <w:lang w:val="en-US"/>
        </w:rPr>
      </w:pPr>
      <w:bookmarkStart w:id="666" w:name="_Toc466292945"/>
      <w:bookmarkStart w:id="667" w:name="_Toc500492778"/>
      <w:bookmarkStart w:id="668" w:name="_Toc475005630"/>
      <w:bookmarkStart w:id="669" w:name="_Toc496605683"/>
      <w:bookmarkStart w:id="670" w:name="_Toc466896295"/>
      <w:bookmarkStart w:id="671" w:name="_Toc482094377"/>
      <w:bookmarkStart w:id="672" w:name="_Toc494198650"/>
      <w:bookmarkStart w:id="673" w:name="_Toc476748805"/>
      <w:bookmarkStart w:id="674" w:name="_Toc494198976"/>
      <w:bookmarkStart w:id="675" w:name="_Toc477425585"/>
      <w:r>
        <w:rPr>
          <w:rFonts w:ascii="仿宋" w:hAnsi="仿宋" w:eastAsia="仿宋"/>
          <w:bCs/>
          <w:color w:val="auto"/>
          <w:kern w:val="2"/>
          <w:sz w:val="24"/>
          <w:szCs w:val="24"/>
          <w:lang w:val="en-US"/>
        </w:rPr>
        <w:t>评标争议处理规则。</w:t>
      </w:r>
      <w:bookmarkEnd w:id="666"/>
      <w:bookmarkEnd w:id="667"/>
      <w:bookmarkEnd w:id="668"/>
      <w:bookmarkEnd w:id="669"/>
      <w:bookmarkEnd w:id="670"/>
      <w:bookmarkEnd w:id="671"/>
      <w:bookmarkEnd w:id="672"/>
      <w:bookmarkEnd w:id="673"/>
      <w:bookmarkEnd w:id="674"/>
      <w:bookmarkEnd w:id="675"/>
    </w:p>
    <w:p>
      <w:pPr>
        <w:spacing w:line="540" w:lineRule="exact"/>
        <w:ind w:firstLine="480"/>
        <w:rPr>
          <w:rFonts w:ascii="仿宋" w:hAnsi="仿宋" w:eastAsia="仿宋"/>
          <w:b w:val="0"/>
          <w:color w:val="auto"/>
          <w:sz w:val="24"/>
          <w:szCs w:val="24"/>
        </w:rPr>
      </w:pPr>
      <w:r>
        <w:rPr>
          <w:rFonts w:ascii="仿宋" w:hAnsi="仿宋" w:eastAsia="仿宋"/>
          <w:b w:val="0"/>
          <w:color w:val="auto"/>
          <w:sz w:val="24"/>
          <w:szCs w:val="24"/>
        </w:rPr>
        <w:t>评标委员会成员对需要共同认定的事项存在争议的，应当按照少数服从多数的原则作出结论。持不同意见的评标委员会成员应当在评标报告上签署不同意见及理由，否则视为同意评标报告。</w:t>
      </w:r>
    </w:p>
    <w:p>
      <w:pPr>
        <w:numPr>
          <w:ilvl w:val="2"/>
          <w:numId w:val="17"/>
        </w:numPr>
        <w:tabs>
          <w:tab w:val="left" w:pos="360"/>
        </w:tabs>
        <w:snapToGrid/>
        <w:spacing w:line="520" w:lineRule="exact"/>
        <w:ind w:left="0" w:firstLine="482"/>
        <w:jc w:val="left"/>
        <w:outlineLvl w:val="2"/>
        <w:rPr>
          <w:rFonts w:ascii="仿宋" w:hAnsi="仿宋" w:eastAsia="仿宋"/>
          <w:bCs/>
          <w:color w:val="auto"/>
          <w:kern w:val="2"/>
          <w:sz w:val="24"/>
          <w:szCs w:val="24"/>
          <w:lang w:val="en-US"/>
        </w:rPr>
      </w:pPr>
      <w:bookmarkStart w:id="676" w:name="_Toc496605684"/>
      <w:bookmarkStart w:id="677" w:name="_Toc482094378"/>
      <w:bookmarkStart w:id="678" w:name="_Toc475005631"/>
      <w:bookmarkStart w:id="679" w:name="_Toc477425586"/>
      <w:bookmarkStart w:id="680" w:name="_Toc500492779"/>
      <w:bookmarkStart w:id="681" w:name="_Toc494198977"/>
      <w:bookmarkStart w:id="682" w:name="_Toc466292946"/>
      <w:bookmarkStart w:id="683" w:name="_Toc494198651"/>
      <w:bookmarkStart w:id="684" w:name="_Toc476748806"/>
      <w:bookmarkStart w:id="685" w:name="_Toc466896296"/>
      <w:r>
        <w:rPr>
          <w:rFonts w:ascii="仿宋" w:hAnsi="仿宋" w:eastAsia="仿宋"/>
          <w:bCs/>
          <w:color w:val="auto"/>
          <w:kern w:val="2"/>
          <w:sz w:val="24"/>
          <w:szCs w:val="24"/>
          <w:lang w:val="en-US"/>
        </w:rPr>
        <w:t>投标人应当书面澄清、说明或者更正。</w:t>
      </w:r>
      <w:bookmarkEnd w:id="676"/>
      <w:bookmarkEnd w:id="677"/>
      <w:bookmarkEnd w:id="678"/>
      <w:bookmarkEnd w:id="679"/>
      <w:bookmarkEnd w:id="680"/>
      <w:bookmarkEnd w:id="681"/>
      <w:bookmarkEnd w:id="682"/>
      <w:bookmarkEnd w:id="683"/>
      <w:bookmarkEnd w:id="684"/>
      <w:bookmarkEnd w:id="685"/>
      <w:bookmarkStart w:id="686" w:name="_Toc217446104"/>
      <w:bookmarkStart w:id="687" w:name="_Toc183682422"/>
      <w:bookmarkStart w:id="688" w:name="_Toc183582287"/>
    </w:p>
    <w:p>
      <w:pPr>
        <w:numPr>
          <w:ilvl w:val="3"/>
          <w:numId w:val="17"/>
        </w:numPr>
        <w:tabs>
          <w:tab w:val="left" w:pos="360"/>
        </w:tabs>
        <w:spacing w:line="520" w:lineRule="exact"/>
        <w:ind w:left="0" w:firstLine="480"/>
        <w:outlineLvl w:val="3"/>
        <w:rPr>
          <w:rFonts w:ascii="仿宋" w:hAnsi="仿宋" w:eastAsia="仿宋"/>
          <w:b w:val="0"/>
          <w:bCs/>
          <w:color w:val="auto"/>
          <w:kern w:val="2"/>
          <w:sz w:val="24"/>
          <w:szCs w:val="24"/>
          <w:lang w:val="en-US"/>
        </w:rPr>
      </w:pPr>
      <w:r>
        <w:rPr>
          <w:rFonts w:ascii="仿宋" w:hAnsi="仿宋" w:eastAsia="仿宋"/>
          <w:b w:val="0"/>
          <w:bCs/>
          <w:color w:val="auto"/>
          <w:kern w:val="2"/>
          <w:sz w:val="24"/>
          <w:szCs w:val="24"/>
          <w:lang w:val="en-US"/>
        </w:rPr>
        <w:t xml:space="preserve"> </w:t>
      </w:r>
      <w:bookmarkStart w:id="689" w:name="_Toc496605685"/>
      <w:bookmarkStart w:id="690" w:name="_Toc494198978"/>
      <w:bookmarkStart w:id="691" w:name="_Toc494198652"/>
      <w:bookmarkStart w:id="692" w:name="_Toc500492780"/>
      <w:r>
        <w:rPr>
          <w:rFonts w:ascii="仿宋" w:hAnsi="仿宋" w:eastAsia="仿宋"/>
          <w:b w:val="0"/>
          <w:bCs/>
          <w:color w:val="auto"/>
          <w:kern w:val="2"/>
          <w:sz w:val="24"/>
          <w:szCs w:val="24"/>
          <w:lang w:val="en-US"/>
        </w:rPr>
        <w:t>对于投标文件中含义不明确、同类问题表述不一致或者有明显文字和计算错误的内容，评标委员会应当以书面形式（须由评标委员会全体成员签字）要求投标人作出必要的澄清、说明或者补正。</w:t>
      </w:r>
      <w:bookmarkEnd w:id="689"/>
      <w:bookmarkEnd w:id="690"/>
      <w:bookmarkEnd w:id="691"/>
      <w:bookmarkEnd w:id="692"/>
    </w:p>
    <w:p>
      <w:pPr>
        <w:numPr>
          <w:ilvl w:val="3"/>
          <w:numId w:val="17"/>
        </w:numPr>
        <w:tabs>
          <w:tab w:val="left" w:pos="360"/>
        </w:tabs>
        <w:spacing w:line="520" w:lineRule="exact"/>
        <w:ind w:left="0" w:firstLine="480"/>
        <w:outlineLvl w:val="3"/>
        <w:rPr>
          <w:rFonts w:ascii="仿宋" w:hAnsi="仿宋" w:eastAsia="仿宋"/>
          <w:b w:val="0"/>
          <w:bCs/>
          <w:color w:val="auto"/>
          <w:kern w:val="2"/>
          <w:sz w:val="24"/>
          <w:szCs w:val="24"/>
          <w:lang w:val="en-US"/>
        </w:rPr>
      </w:pPr>
      <w:r>
        <w:rPr>
          <w:rFonts w:ascii="仿宋" w:hAnsi="仿宋" w:eastAsia="仿宋"/>
          <w:b w:val="0"/>
          <w:bCs/>
          <w:color w:val="auto"/>
          <w:kern w:val="2"/>
          <w:sz w:val="24"/>
          <w:szCs w:val="24"/>
          <w:lang w:val="en-US"/>
        </w:rPr>
        <w:t xml:space="preserve"> </w:t>
      </w:r>
      <w:bookmarkStart w:id="693" w:name="_Toc494198979"/>
      <w:bookmarkStart w:id="694" w:name="_Toc494198653"/>
      <w:bookmarkStart w:id="695" w:name="_Toc500492781"/>
      <w:bookmarkStart w:id="696" w:name="_Toc496605686"/>
      <w:r>
        <w:rPr>
          <w:rFonts w:ascii="仿宋" w:hAnsi="仿宋" w:eastAsia="仿宋"/>
          <w:b w:val="0"/>
          <w:bCs/>
          <w:color w:val="auto"/>
          <w:kern w:val="2"/>
          <w:sz w:val="24"/>
          <w:szCs w:val="24"/>
          <w:lang w:val="en-US"/>
        </w:rPr>
        <w:t>投标人的澄清、说明或者补正应当采用书面形式，并加盖公章，或者由法定代表人</w:t>
      </w:r>
      <w:r>
        <w:rPr>
          <w:rFonts w:hint="eastAsia" w:ascii="仿宋" w:hAnsi="仿宋" w:eastAsia="仿宋"/>
          <w:b w:val="0"/>
          <w:color w:val="auto"/>
          <w:kern w:val="2"/>
          <w:sz w:val="24"/>
          <w:szCs w:val="24"/>
          <w:lang w:val="en-US"/>
        </w:rPr>
        <w:t>（主要负责人）</w:t>
      </w:r>
      <w:r>
        <w:rPr>
          <w:rFonts w:ascii="仿宋" w:hAnsi="仿宋" w:eastAsia="仿宋"/>
          <w:b w:val="0"/>
          <w:bCs/>
          <w:color w:val="auto"/>
          <w:kern w:val="2"/>
          <w:sz w:val="24"/>
          <w:szCs w:val="24"/>
          <w:lang w:val="en-US"/>
        </w:rPr>
        <w:t>或其授权的代表签字或加盖印章。投标人的澄清、说明或者补正不得超出投标文件的范围或者改变投标文件的实质性内容。</w:t>
      </w:r>
      <w:bookmarkEnd w:id="693"/>
      <w:bookmarkEnd w:id="694"/>
      <w:bookmarkEnd w:id="695"/>
      <w:bookmarkEnd w:id="696"/>
    </w:p>
    <w:p>
      <w:pPr>
        <w:numPr>
          <w:ilvl w:val="3"/>
          <w:numId w:val="17"/>
        </w:numPr>
        <w:tabs>
          <w:tab w:val="left" w:pos="360"/>
        </w:tabs>
        <w:spacing w:line="520" w:lineRule="exact"/>
        <w:ind w:left="0" w:firstLine="480"/>
        <w:outlineLvl w:val="3"/>
        <w:rPr>
          <w:rFonts w:ascii="仿宋" w:hAnsi="仿宋" w:eastAsia="仿宋"/>
          <w:b w:val="0"/>
          <w:bCs/>
          <w:color w:val="auto"/>
          <w:kern w:val="2"/>
          <w:sz w:val="24"/>
          <w:szCs w:val="24"/>
          <w:lang w:val="en-US"/>
        </w:rPr>
      </w:pPr>
      <w:r>
        <w:rPr>
          <w:rFonts w:ascii="仿宋" w:hAnsi="仿宋" w:eastAsia="仿宋"/>
          <w:b w:val="0"/>
          <w:bCs/>
          <w:color w:val="auto"/>
          <w:kern w:val="2"/>
          <w:sz w:val="24"/>
          <w:szCs w:val="24"/>
          <w:lang w:val="en-US"/>
        </w:rPr>
        <w:t xml:space="preserve"> </w:t>
      </w:r>
      <w:bookmarkStart w:id="697" w:name="_Toc466292949"/>
      <w:bookmarkStart w:id="698" w:name="_Toc500492782"/>
      <w:bookmarkStart w:id="699" w:name="_Toc482094381"/>
      <w:bookmarkStart w:id="700" w:name="_Toc494198654"/>
      <w:bookmarkStart w:id="701" w:name="_Toc475005634"/>
      <w:bookmarkStart w:id="702" w:name="_Toc476748809"/>
      <w:bookmarkStart w:id="703" w:name="_Toc466896299"/>
      <w:bookmarkStart w:id="704" w:name="_Toc496605687"/>
      <w:bookmarkStart w:id="705" w:name="_Toc477425589"/>
      <w:bookmarkStart w:id="706" w:name="_Toc494198980"/>
      <w:r>
        <w:rPr>
          <w:rFonts w:ascii="仿宋" w:hAnsi="仿宋" w:eastAsia="仿宋"/>
          <w:b w:val="0"/>
          <w:bCs/>
          <w:color w:val="auto"/>
          <w:kern w:val="2"/>
          <w:sz w:val="24"/>
          <w:szCs w:val="24"/>
          <w:lang w:val="en-US"/>
        </w:rPr>
        <w:t>评标委员会要求投标人澄清、说明或者更正，不得超出招标文件的范围、不得以此让投标人实质改变投标文件的内容、不得影响投标人公平竞争。本项目下列内容不得澄清：</w:t>
      </w:r>
      <w:bookmarkEnd w:id="697"/>
      <w:bookmarkEnd w:id="698"/>
      <w:bookmarkEnd w:id="699"/>
      <w:bookmarkEnd w:id="700"/>
      <w:bookmarkEnd w:id="701"/>
      <w:bookmarkEnd w:id="702"/>
      <w:bookmarkEnd w:id="703"/>
      <w:bookmarkEnd w:id="704"/>
      <w:bookmarkEnd w:id="705"/>
      <w:bookmarkEnd w:id="706"/>
    </w:p>
    <w:p>
      <w:pPr>
        <w:numPr>
          <w:ilvl w:val="0"/>
          <w:numId w:val="57"/>
        </w:numPr>
        <w:tabs>
          <w:tab w:val="left" w:pos="851"/>
        </w:tabs>
        <w:spacing w:line="540" w:lineRule="exact"/>
        <w:ind w:left="0" w:firstLine="480"/>
        <w:rPr>
          <w:rFonts w:ascii="仿宋" w:hAnsi="仿宋" w:eastAsia="仿宋"/>
          <w:b w:val="0"/>
          <w:color w:val="auto"/>
          <w:sz w:val="24"/>
          <w:szCs w:val="24"/>
        </w:rPr>
      </w:pPr>
      <w:r>
        <w:rPr>
          <w:rFonts w:ascii="仿宋" w:hAnsi="仿宋" w:eastAsia="仿宋"/>
          <w:b w:val="0"/>
          <w:color w:val="auto"/>
          <w:sz w:val="24"/>
          <w:szCs w:val="24"/>
        </w:rPr>
        <w:t>按财政部规定应当在评标时不予承认的投标文件内容事项；</w:t>
      </w:r>
    </w:p>
    <w:p>
      <w:pPr>
        <w:numPr>
          <w:ilvl w:val="0"/>
          <w:numId w:val="57"/>
        </w:numPr>
        <w:tabs>
          <w:tab w:val="left" w:pos="851"/>
        </w:tabs>
        <w:spacing w:line="540" w:lineRule="exact"/>
        <w:ind w:left="0" w:firstLine="480"/>
        <w:rPr>
          <w:rFonts w:ascii="仿宋" w:hAnsi="仿宋" w:eastAsia="仿宋"/>
          <w:b w:val="0"/>
          <w:color w:val="auto"/>
          <w:sz w:val="24"/>
          <w:szCs w:val="24"/>
        </w:rPr>
      </w:pPr>
      <w:r>
        <w:rPr>
          <w:rFonts w:ascii="仿宋" w:hAnsi="仿宋" w:eastAsia="仿宋"/>
          <w:b w:val="0"/>
          <w:color w:val="auto"/>
          <w:sz w:val="24"/>
          <w:szCs w:val="24"/>
        </w:rPr>
        <w:t>投标文件中已经明确的内容事项；</w:t>
      </w:r>
    </w:p>
    <w:p>
      <w:pPr>
        <w:numPr>
          <w:ilvl w:val="0"/>
          <w:numId w:val="57"/>
        </w:numPr>
        <w:tabs>
          <w:tab w:val="left" w:pos="851"/>
        </w:tabs>
        <w:spacing w:line="540" w:lineRule="exact"/>
        <w:ind w:left="0" w:firstLine="480"/>
        <w:rPr>
          <w:rFonts w:ascii="仿宋" w:hAnsi="仿宋" w:eastAsia="仿宋"/>
          <w:b w:val="0"/>
          <w:color w:val="auto"/>
          <w:sz w:val="24"/>
          <w:szCs w:val="24"/>
        </w:rPr>
      </w:pPr>
      <w:r>
        <w:rPr>
          <w:rFonts w:ascii="仿宋" w:hAnsi="仿宋" w:eastAsia="仿宋"/>
          <w:b w:val="0"/>
          <w:color w:val="auto"/>
          <w:sz w:val="24"/>
          <w:szCs w:val="24"/>
        </w:rPr>
        <w:t>投标文件未提供的材料。</w:t>
      </w:r>
    </w:p>
    <w:p>
      <w:pPr>
        <w:numPr>
          <w:ilvl w:val="3"/>
          <w:numId w:val="17"/>
        </w:numPr>
        <w:tabs>
          <w:tab w:val="left" w:pos="360"/>
        </w:tabs>
        <w:spacing w:line="520" w:lineRule="exact"/>
        <w:ind w:left="0" w:firstLine="480"/>
        <w:outlineLvl w:val="3"/>
        <w:rPr>
          <w:rFonts w:ascii="仿宋" w:hAnsi="仿宋" w:eastAsia="仿宋"/>
          <w:b w:val="0"/>
          <w:bCs/>
          <w:color w:val="auto"/>
          <w:kern w:val="2"/>
          <w:sz w:val="24"/>
          <w:szCs w:val="24"/>
          <w:lang w:val="en-US"/>
        </w:rPr>
      </w:pPr>
      <w:r>
        <w:rPr>
          <w:rFonts w:ascii="仿宋" w:hAnsi="仿宋" w:eastAsia="仿宋"/>
          <w:b w:val="0"/>
          <w:bCs/>
          <w:color w:val="auto"/>
          <w:kern w:val="2"/>
          <w:sz w:val="24"/>
          <w:szCs w:val="24"/>
          <w:lang w:val="en-US"/>
        </w:rPr>
        <w:t xml:space="preserve"> </w:t>
      </w:r>
      <w:bookmarkStart w:id="707" w:name="_Toc494198655"/>
      <w:bookmarkStart w:id="708" w:name="_Toc477425590"/>
      <w:bookmarkStart w:id="709" w:name="_Toc494198981"/>
      <w:bookmarkStart w:id="710" w:name="_Toc500492783"/>
      <w:bookmarkStart w:id="711" w:name="_Toc466292950"/>
      <w:bookmarkStart w:id="712" w:name="_Toc475005635"/>
      <w:bookmarkStart w:id="713" w:name="_Toc466896300"/>
      <w:bookmarkStart w:id="714" w:name="_Toc482094382"/>
      <w:bookmarkStart w:id="715" w:name="_Toc496605688"/>
      <w:bookmarkStart w:id="716" w:name="_Toc476748810"/>
      <w:r>
        <w:rPr>
          <w:rFonts w:ascii="仿宋" w:hAnsi="仿宋" w:eastAsia="仿宋"/>
          <w:b w:val="0"/>
          <w:bCs/>
          <w:color w:val="auto"/>
          <w:kern w:val="2"/>
          <w:sz w:val="24"/>
          <w:szCs w:val="24"/>
          <w:lang w:val="en-US"/>
        </w:rPr>
        <w:t>本项目采购过程中，投标文件出现下列情况的，不需要投标人澄清、说明或者更正，按照以下原则处理：</w:t>
      </w:r>
      <w:bookmarkEnd w:id="707"/>
      <w:bookmarkEnd w:id="708"/>
      <w:bookmarkEnd w:id="709"/>
      <w:bookmarkEnd w:id="710"/>
      <w:bookmarkEnd w:id="711"/>
      <w:bookmarkEnd w:id="712"/>
      <w:bookmarkEnd w:id="713"/>
      <w:bookmarkEnd w:id="714"/>
      <w:bookmarkEnd w:id="715"/>
      <w:bookmarkEnd w:id="716"/>
    </w:p>
    <w:p>
      <w:pPr>
        <w:numPr>
          <w:ilvl w:val="0"/>
          <w:numId w:val="58"/>
        </w:numPr>
        <w:tabs>
          <w:tab w:val="left" w:pos="851"/>
        </w:tabs>
        <w:spacing w:line="540" w:lineRule="exact"/>
        <w:ind w:left="0" w:firstLine="480"/>
        <w:rPr>
          <w:rFonts w:ascii="仿宋" w:hAnsi="仿宋" w:eastAsia="仿宋"/>
          <w:b w:val="0"/>
          <w:color w:val="auto"/>
          <w:sz w:val="24"/>
          <w:szCs w:val="24"/>
        </w:rPr>
      </w:pPr>
      <w:r>
        <w:rPr>
          <w:rFonts w:ascii="仿宋" w:hAnsi="仿宋" w:eastAsia="仿宋"/>
          <w:b w:val="0"/>
          <w:color w:val="auto"/>
          <w:sz w:val="24"/>
          <w:szCs w:val="24"/>
        </w:rPr>
        <w:t>投标文件中开标一览表（报价表）内容与投标文件中相应内容不一致的，以开标一览表（报价表）为准；</w:t>
      </w:r>
    </w:p>
    <w:p>
      <w:pPr>
        <w:numPr>
          <w:ilvl w:val="0"/>
          <w:numId w:val="58"/>
        </w:numPr>
        <w:tabs>
          <w:tab w:val="left" w:pos="851"/>
        </w:tabs>
        <w:spacing w:line="540" w:lineRule="exact"/>
        <w:ind w:left="0" w:firstLine="480"/>
        <w:rPr>
          <w:rFonts w:ascii="仿宋" w:hAnsi="仿宋" w:eastAsia="仿宋"/>
          <w:b w:val="0"/>
          <w:color w:val="auto"/>
          <w:sz w:val="24"/>
          <w:szCs w:val="24"/>
        </w:rPr>
      </w:pPr>
      <w:r>
        <w:rPr>
          <w:rFonts w:ascii="仿宋" w:hAnsi="仿宋" w:eastAsia="仿宋"/>
          <w:b w:val="0"/>
          <w:color w:val="auto"/>
          <w:sz w:val="24"/>
          <w:szCs w:val="24"/>
        </w:rPr>
        <w:t>大写金额和小写金额不一致的，以大写金额为准；</w:t>
      </w:r>
    </w:p>
    <w:p>
      <w:pPr>
        <w:numPr>
          <w:ilvl w:val="0"/>
          <w:numId w:val="58"/>
        </w:numPr>
        <w:tabs>
          <w:tab w:val="left" w:pos="851"/>
        </w:tabs>
        <w:spacing w:line="540" w:lineRule="exact"/>
        <w:ind w:left="0" w:firstLine="480"/>
        <w:rPr>
          <w:rFonts w:ascii="仿宋" w:hAnsi="仿宋" w:eastAsia="仿宋"/>
          <w:b w:val="0"/>
          <w:color w:val="auto"/>
          <w:sz w:val="24"/>
          <w:szCs w:val="24"/>
        </w:rPr>
      </w:pPr>
      <w:r>
        <w:rPr>
          <w:rFonts w:ascii="仿宋" w:hAnsi="仿宋" w:eastAsia="仿宋"/>
          <w:b w:val="0"/>
          <w:color w:val="auto"/>
          <w:sz w:val="24"/>
          <w:szCs w:val="24"/>
        </w:rPr>
        <w:t>单价金额小数点或者百分比有明显错位的，以开标一览表的总价为准，并修改单价；</w:t>
      </w:r>
    </w:p>
    <w:p>
      <w:pPr>
        <w:numPr>
          <w:ilvl w:val="0"/>
          <w:numId w:val="58"/>
        </w:numPr>
        <w:tabs>
          <w:tab w:val="left" w:pos="851"/>
        </w:tabs>
        <w:spacing w:line="540" w:lineRule="exact"/>
        <w:ind w:left="0" w:firstLine="480"/>
        <w:rPr>
          <w:rFonts w:ascii="仿宋" w:hAnsi="仿宋" w:eastAsia="仿宋"/>
          <w:b w:val="0"/>
          <w:color w:val="auto"/>
          <w:sz w:val="24"/>
          <w:szCs w:val="24"/>
        </w:rPr>
      </w:pPr>
      <w:r>
        <w:rPr>
          <w:rFonts w:ascii="仿宋" w:hAnsi="仿宋" w:eastAsia="仿宋"/>
          <w:b w:val="0"/>
          <w:color w:val="auto"/>
          <w:sz w:val="24"/>
          <w:szCs w:val="24"/>
        </w:rPr>
        <w:t>总价金额与按单价汇总金额不一致的，以单价金额计算结果为准。</w:t>
      </w:r>
    </w:p>
    <w:p>
      <w:pPr>
        <w:spacing w:line="540" w:lineRule="exact"/>
        <w:ind w:firstLine="480"/>
        <w:rPr>
          <w:rFonts w:ascii="仿宋" w:hAnsi="仿宋" w:eastAsia="仿宋"/>
          <w:b w:val="0"/>
          <w:color w:val="auto"/>
          <w:sz w:val="24"/>
          <w:szCs w:val="24"/>
        </w:rPr>
      </w:pPr>
      <w:r>
        <w:rPr>
          <w:rFonts w:ascii="仿宋" w:hAnsi="仿宋" w:eastAsia="仿宋"/>
          <w:b w:val="0"/>
          <w:color w:val="auto"/>
          <w:sz w:val="24"/>
          <w:szCs w:val="24"/>
        </w:rPr>
        <w:t>同时出现两种以上不一致的，按照前款规定的顺序修正。修正后的报价</w:t>
      </w:r>
      <w:r>
        <w:rPr>
          <w:rFonts w:ascii="仿宋" w:hAnsi="仿宋" w:eastAsia="仿宋"/>
          <w:b w:val="0"/>
          <w:color w:val="auto"/>
          <w:kern w:val="2"/>
          <w:sz w:val="24"/>
          <w:szCs w:val="24"/>
          <w:lang w:val="en-US"/>
        </w:rPr>
        <w:t>按照《政府采购货物和服务招标投标管理办法》（中华人民共和国财政部令第87号）</w:t>
      </w:r>
      <w:r>
        <w:rPr>
          <w:rFonts w:ascii="仿宋" w:hAnsi="仿宋" w:eastAsia="仿宋"/>
          <w:b w:val="0"/>
          <w:color w:val="auto"/>
          <w:sz w:val="24"/>
          <w:szCs w:val="24"/>
        </w:rPr>
        <w:t>第五十一条第二款的规定经投标人确认后产生约束力，投标人不确认的，其投标无效。</w:t>
      </w:r>
    </w:p>
    <w:p>
      <w:pPr>
        <w:spacing w:line="540" w:lineRule="exact"/>
        <w:ind w:firstLine="482"/>
        <w:rPr>
          <w:rFonts w:ascii="仿宋" w:hAnsi="仿宋" w:eastAsia="仿宋"/>
          <w:color w:val="auto"/>
          <w:sz w:val="24"/>
          <w:szCs w:val="24"/>
        </w:rPr>
      </w:pPr>
      <w:r>
        <w:rPr>
          <w:rFonts w:ascii="仿宋" w:hAnsi="仿宋" w:eastAsia="仿宋"/>
          <w:color w:val="auto"/>
          <w:sz w:val="24"/>
          <w:szCs w:val="24"/>
        </w:rPr>
        <w:t>注：评标委员会成员应当积极履行澄清、说明或者更正的职责，不得滥用权力。投标人的投标文件可以要求澄清、说明或者更正的，不得未经澄清、说明或者更正而直接作无效投标处理。</w:t>
      </w:r>
    </w:p>
    <w:p>
      <w:pPr>
        <w:numPr>
          <w:ilvl w:val="2"/>
          <w:numId w:val="17"/>
        </w:numPr>
        <w:tabs>
          <w:tab w:val="left" w:pos="360"/>
        </w:tabs>
        <w:snapToGrid/>
        <w:spacing w:line="520" w:lineRule="exact"/>
        <w:ind w:left="0" w:firstLine="482"/>
        <w:jc w:val="left"/>
        <w:outlineLvl w:val="2"/>
        <w:rPr>
          <w:rFonts w:ascii="仿宋" w:hAnsi="仿宋" w:eastAsia="仿宋"/>
          <w:bCs/>
          <w:color w:val="auto"/>
          <w:kern w:val="2"/>
          <w:sz w:val="24"/>
          <w:szCs w:val="24"/>
          <w:lang w:val="en-US"/>
        </w:rPr>
      </w:pPr>
      <w:bookmarkStart w:id="717" w:name="_Toc494198982"/>
      <w:bookmarkStart w:id="718" w:name="_Toc500492784"/>
      <w:bookmarkStart w:id="719" w:name="_Toc466292951"/>
      <w:bookmarkStart w:id="720" w:name="_Toc466896301"/>
      <w:bookmarkStart w:id="721" w:name="_Toc496605689"/>
      <w:bookmarkStart w:id="722" w:name="_Toc494198656"/>
      <w:bookmarkStart w:id="723" w:name="_Toc477425591"/>
      <w:bookmarkStart w:id="724" w:name="_Toc476748811"/>
      <w:bookmarkStart w:id="725" w:name="_Toc482094383"/>
      <w:bookmarkStart w:id="726" w:name="_Toc475005636"/>
      <w:r>
        <w:rPr>
          <w:rFonts w:ascii="仿宋" w:hAnsi="仿宋" w:eastAsia="仿宋"/>
          <w:bCs/>
          <w:color w:val="auto"/>
          <w:kern w:val="2"/>
          <w:sz w:val="24"/>
          <w:szCs w:val="24"/>
          <w:lang w:val="en-US"/>
        </w:rPr>
        <w:t>低于成本价投标处理。</w:t>
      </w:r>
      <w:bookmarkEnd w:id="717"/>
      <w:bookmarkEnd w:id="718"/>
      <w:bookmarkEnd w:id="719"/>
      <w:bookmarkEnd w:id="720"/>
      <w:bookmarkEnd w:id="721"/>
      <w:bookmarkEnd w:id="722"/>
    </w:p>
    <w:p>
      <w:pPr>
        <w:spacing w:line="540" w:lineRule="exact"/>
        <w:ind w:firstLine="480"/>
        <w:rPr>
          <w:rFonts w:ascii="仿宋" w:hAnsi="仿宋" w:eastAsia="仿宋"/>
          <w:b w:val="0"/>
          <w:color w:val="auto"/>
          <w:sz w:val="24"/>
          <w:szCs w:val="24"/>
        </w:rPr>
      </w:pPr>
      <w:r>
        <w:rPr>
          <w:rFonts w:ascii="仿宋" w:hAnsi="仿宋" w:eastAsia="仿宋"/>
          <w:b w:val="0"/>
          <w:color w:val="auto"/>
          <w:sz w:val="24"/>
          <w:szCs w:val="24"/>
        </w:rPr>
        <w:t>详见投标人须知前附表。</w:t>
      </w:r>
      <w:bookmarkEnd w:id="723"/>
      <w:bookmarkEnd w:id="724"/>
      <w:bookmarkEnd w:id="725"/>
      <w:bookmarkEnd w:id="726"/>
    </w:p>
    <w:bookmarkEnd w:id="686"/>
    <w:bookmarkEnd w:id="687"/>
    <w:bookmarkEnd w:id="688"/>
    <w:p>
      <w:pPr>
        <w:numPr>
          <w:ilvl w:val="2"/>
          <w:numId w:val="17"/>
        </w:numPr>
        <w:tabs>
          <w:tab w:val="left" w:pos="360"/>
        </w:tabs>
        <w:snapToGrid/>
        <w:spacing w:line="520" w:lineRule="exact"/>
        <w:ind w:left="0" w:firstLine="482"/>
        <w:jc w:val="left"/>
        <w:outlineLvl w:val="2"/>
        <w:rPr>
          <w:rFonts w:ascii="仿宋" w:hAnsi="仿宋" w:eastAsia="仿宋"/>
          <w:bCs/>
          <w:color w:val="auto"/>
          <w:kern w:val="2"/>
          <w:sz w:val="24"/>
          <w:szCs w:val="24"/>
          <w:lang w:val="en-US"/>
        </w:rPr>
      </w:pPr>
      <w:bookmarkStart w:id="727" w:name="_Toc475005641"/>
      <w:bookmarkStart w:id="728" w:name="_Toc494198657"/>
      <w:bookmarkStart w:id="729" w:name="_Toc477425596"/>
      <w:bookmarkStart w:id="730" w:name="_Toc466292956"/>
      <w:bookmarkStart w:id="731" w:name="_Toc500492785"/>
      <w:bookmarkStart w:id="732" w:name="_Toc482094388"/>
      <w:bookmarkStart w:id="733" w:name="_Toc494198983"/>
      <w:bookmarkStart w:id="734" w:name="_Toc466896306"/>
      <w:bookmarkStart w:id="735" w:name="_Toc496605690"/>
      <w:bookmarkStart w:id="736" w:name="_Toc476748816"/>
      <w:r>
        <w:rPr>
          <w:rFonts w:ascii="仿宋" w:hAnsi="仿宋" w:eastAsia="仿宋"/>
          <w:bCs/>
          <w:color w:val="auto"/>
          <w:kern w:val="2"/>
          <w:sz w:val="24"/>
          <w:szCs w:val="24"/>
          <w:lang w:val="en-US"/>
        </w:rPr>
        <w:t>采购代理机构现场复核评标结果。</w:t>
      </w:r>
      <w:bookmarkEnd w:id="727"/>
      <w:bookmarkEnd w:id="728"/>
      <w:bookmarkEnd w:id="729"/>
      <w:bookmarkEnd w:id="730"/>
      <w:bookmarkEnd w:id="731"/>
      <w:bookmarkEnd w:id="732"/>
      <w:bookmarkEnd w:id="733"/>
      <w:bookmarkEnd w:id="734"/>
      <w:bookmarkEnd w:id="735"/>
      <w:bookmarkEnd w:id="736"/>
    </w:p>
    <w:p>
      <w:pPr>
        <w:numPr>
          <w:ilvl w:val="3"/>
          <w:numId w:val="17"/>
        </w:numPr>
        <w:tabs>
          <w:tab w:val="left" w:pos="360"/>
        </w:tabs>
        <w:spacing w:line="520" w:lineRule="exact"/>
        <w:ind w:left="0" w:firstLine="480"/>
        <w:outlineLvl w:val="3"/>
        <w:rPr>
          <w:rFonts w:ascii="仿宋" w:hAnsi="仿宋" w:eastAsia="仿宋"/>
          <w:b w:val="0"/>
          <w:bCs/>
          <w:color w:val="auto"/>
          <w:kern w:val="2"/>
          <w:sz w:val="24"/>
          <w:szCs w:val="24"/>
          <w:lang w:val="en-US"/>
        </w:rPr>
      </w:pPr>
      <w:r>
        <w:rPr>
          <w:rFonts w:ascii="仿宋" w:hAnsi="仿宋" w:eastAsia="仿宋"/>
          <w:b w:val="0"/>
          <w:bCs/>
          <w:color w:val="auto"/>
          <w:kern w:val="2"/>
          <w:sz w:val="24"/>
          <w:szCs w:val="24"/>
          <w:lang w:val="en-US"/>
        </w:rPr>
        <w:t xml:space="preserve"> </w:t>
      </w:r>
      <w:bookmarkStart w:id="737" w:name="_Toc496605691"/>
      <w:bookmarkStart w:id="738" w:name="_Toc494198658"/>
      <w:bookmarkStart w:id="739" w:name="_Toc494198984"/>
      <w:bookmarkStart w:id="740" w:name="_Toc500492786"/>
      <w:r>
        <w:rPr>
          <w:rFonts w:ascii="仿宋" w:hAnsi="仿宋" w:eastAsia="仿宋"/>
          <w:b w:val="0"/>
          <w:bCs/>
          <w:color w:val="auto"/>
          <w:kern w:val="2"/>
          <w:sz w:val="24"/>
          <w:szCs w:val="24"/>
          <w:lang w:val="en-US"/>
        </w:rPr>
        <w:t>评标结果汇总完成后，除下列情形外，任何人不得修改评标结果：</w:t>
      </w:r>
      <w:bookmarkEnd w:id="737"/>
      <w:bookmarkEnd w:id="738"/>
      <w:bookmarkEnd w:id="739"/>
      <w:bookmarkEnd w:id="740"/>
    </w:p>
    <w:p>
      <w:pPr>
        <w:numPr>
          <w:ilvl w:val="0"/>
          <w:numId w:val="59"/>
        </w:numPr>
        <w:tabs>
          <w:tab w:val="left" w:pos="851"/>
        </w:tabs>
        <w:spacing w:line="540" w:lineRule="exact"/>
        <w:ind w:left="0" w:firstLine="480"/>
        <w:rPr>
          <w:rFonts w:ascii="仿宋" w:hAnsi="仿宋" w:eastAsia="仿宋"/>
          <w:b w:val="0"/>
          <w:color w:val="auto"/>
          <w:sz w:val="24"/>
          <w:szCs w:val="24"/>
        </w:rPr>
      </w:pPr>
      <w:r>
        <w:rPr>
          <w:rFonts w:ascii="仿宋" w:hAnsi="仿宋" w:eastAsia="仿宋"/>
          <w:b w:val="0"/>
          <w:color w:val="auto"/>
          <w:sz w:val="24"/>
          <w:szCs w:val="24"/>
        </w:rPr>
        <w:t>分值汇总计算错误的；</w:t>
      </w:r>
    </w:p>
    <w:p>
      <w:pPr>
        <w:numPr>
          <w:ilvl w:val="0"/>
          <w:numId w:val="59"/>
        </w:numPr>
        <w:tabs>
          <w:tab w:val="left" w:pos="851"/>
        </w:tabs>
        <w:spacing w:line="540" w:lineRule="exact"/>
        <w:ind w:left="0" w:firstLine="480"/>
        <w:rPr>
          <w:rFonts w:ascii="仿宋" w:hAnsi="仿宋" w:eastAsia="仿宋"/>
          <w:b w:val="0"/>
          <w:color w:val="auto"/>
          <w:sz w:val="24"/>
          <w:szCs w:val="24"/>
        </w:rPr>
      </w:pPr>
      <w:r>
        <w:rPr>
          <w:rFonts w:ascii="仿宋" w:hAnsi="仿宋" w:eastAsia="仿宋"/>
          <w:b w:val="0"/>
          <w:color w:val="auto"/>
          <w:sz w:val="24"/>
          <w:szCs w:val="24"/>
        </w:rPr>
        <w:t>分项评分超出评分标准范围的；</w:t>
      </w:r>
    </w:p>
    <w:p>
      <w:pPr>
        <w:numPr>
          <w:ilvl w:val="0"/>
          <w:numId w:val="59"/>
        </w:numPr>
        <w:tabs>
          <w:tab w:val="left" w:pos="851"/>
        </w:tabs>
        <w:spacing w:line="540" w:lineRule="exact"/>
        <w:ind w:left="0" w:firstLine="480"/>
        <w:rPr>
          <w:rFonts w:ascii="仿宋" w:hAnsi="仿宋" w:eastAsia="仿宋"/>
          <w:b w:val="0"/>
          <w:color w:val="auto"/>
          <w:sz w:val="24"/>
          <w:szCs w:val="24"/>
        </w:rPr>
      </w:pPr>
      <w:r>
        <w:rPr>
          <w:rFonts w:ascii="仿宋" w:hAnsi="仿宋" w:eastAsia="仿宋"/>
          <w:b w:val="0"/>
          <w:color w:val="auto"/>
          <w:sz w:val="24"/>
          <w:szCs w:val="24"/>
        </w:rPr>
        <w:t>评标委员会成员对客观评审因素评分不一致的；</w:t>
      </w:r>
    </w:p>
    <w:p>
      <w:pPr>
        <w:numPr>
          <w:ilvl w:val="0"/>
          <w:numId w:val="59"/>
        </w:numPr>
        <w:tabs>
          <w:tab w:val="left" w:pos="851"/>
        </w:tabs>
        <w:spacing w:line="540" w:lineRule="exact"/>
        <w:ind w:left="0" w:firstLine="480"/>
        <w:rPr>
          <w:rFonts w:ascii="仿宋" w:hAnsi="仿宋" w:eastAsia="仿宋"/>
          <w:b w:val="0"/>
          <w:color w:val="auto"/>
          <w:sz w:val="24"/>
          <w:szCs w:val="24"/>
        </w:rPr>
      </w:pPr>
      <w:r>
        <w:rPr>
          <w:rFonts w:ascii="仿宋" w:hAnsi="仿宋" w:eastAsia="仿宋"/>
          <w:b w:val="0"/>
          <w:color w:val="auto"/>
          <w:sz w:val="24"/>
          <w:szCs w:val="24"/>
        </w:rPr>
        <w:t>经评标委员会认定评分畸高、畸低的。 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numPr>
          <w:ilvl w:val="3"/>
          <w:numId w:val="17"/>
        </w:numPr>
        <w:tabs>
          <w:tab w:val="left" w:pos="360"/>
        </w:tabs>
        <w:spacing w:line="520" w:lineRule="exact"/>
        <w:ind w:left="0" w:firstLine="480"/>
        <w:outlineLvl w:val="3"/>
        <w:rPr>
          <w:rFonts w:ascii="仿宋" w:hAnsi="仿宋" w:eastAsia="仿宋"/>
          <w:b w:val="0"/>
          <w:bCs/>
          <w:color w:val="auto"/>
          <w:kern w:val="2"/>
          <w:sz w:val="24"/>
          <w:szCs w:val="24"/>
          <w:lang w:val="en-US"/>
        </w:rPr>
      </w:pPr>
      <w:r>
        <w:rPr>
          <w:rFonts w:ascii="仿宋" w:hAnsi="仿宋" w:eastAsia="仿宋"/>
          <w:b w:val="0"/>
          <w:bCs/>
          <w:color w:val="auto"/>
          <w:kern w:val="2"/>
          <w:sz w:val="24"/>
          <w:szCs w:val="24"/>
          <w:lang w:val="en-US"/>
        </w:rPr>
        <w:t xml:space="preserve"> </w:t>
      </w:r>
      <w:bookmarkStart w:id="741" w:name="_Toc494198659"/>
      <w:bookmarkStart w:id="742" w:name="_Toc500492787"/>
      <w:bookmarkStart w:id="743" w:name="_Toc496605692"/>
      <w:bookmarkStart w:id="744" w:name="_Toc494198985"/>
      <w:r>
        <w:rPr>
          <w:rFonts w:ascii="仿宋" w:hAnsi="仿宋" w:eastAsia="仿宋"/>
          <w:b w:val="0"/>
          <w:bCs/>
          <w:color w:val="auto"/>
          <w:kern w:val="2"/>
          <w:sz w:val="24"/>
          <w:szCs w:val="24"/>
          <w:lang w:val="en-US"/>
        </w:rPr>
        <w:t>投标人对本条第一款情形提出质疑的，采购人或者采购代理机构可以组织原评标委员会进行重新评审，重新评审改变评标结果的，应当书面报告本级财政部门。</w:t>
      </w:r>
      <w:bookmarkEnd w:id="741"/>
      <w:bookmarkEnd w:id="742"/>
      <w:bookmarkEnd w:id="743"/>
      <w:bookmarkEnd w:id="744"/>
    </w:p>
    <w:p>
      <w:pPr>
        <w:numPr>
          <w:ilvl w:val="3"/>
          <w:numId w:val="17"/>
        </w:numPr>
        <w:tabs>
          <w:tab w:val="left" w:pos="360"/>
        </w:tabs>
        <w:spacing w:line="520" w:lineRule="exact"/>
        <w:ind w:left="0" w:firstLine="480"/>
        <w:outlineLvl w:val="3"/>
        <w:rPr>
          <w:rFonts w:ascii="仿宋" w:hAnsi="仿宋" w:eastAsia="仿宋"/>
          <w:b w:val="0"/>
          <w:bCs/>
          <w:color w:val="auto"/>
          <w:kern w:val="2"/>
          <w:sz w:val="24"/>
          <w:szCs w:val="24"/>
          <w:lang w:val="en-US"/>
        </w:rPr>
      </w:pPr>
      <w:bookmarkStart w:id="745" w:name="_Toc475005644"/>
      <w:bookmarkStart w:id="746" w:name="_Toc466292958"/>
      <w:bookmarkStart w:id="747" w:name="_Toc466896308"/>
      <w:bookmarkStart w:id="748" w:name="_Toc476748819"/>
      <w:bookmarkStart w:id="749" w:name="_Toc482094391"/>
      <w:bookmarkStart w:id="750" w:name="_Toc477425599"/>
      <w:r>
        <w:rPr>
          <w:rFonts w:ascii="仿宋" w:hAnsi="仿宋" w:eastAsia="仿宋"/>
          <w:b w:val="0"/>
          <w:bCs/>
          <w:color w:val="auto"/>
          <w:kern w:val="2"/>
          <w:sz w:val="24"/>
          <w:szCs w:val="24"/>
          <w:lang w:val="en-US"/>
        </w:rPr>
        <w:t xml:space="preserve"> </w:t>
      </w:r>
      <w:bookmarkStart w:id="751" w:name="_Toc494198986"/>
      <w:bookmarkStart w:id="752" w:name="_Toc500492788"/>
      <w:bookmarkStart w:id="753" w:name="_Toc494198660"/>
      <w:bookmarkStart w:id="754" w:name="_Toc496605693"/>
      <w:r>
        <w:rPr>
          <w:rFonts w:ascii="仿宋" w:hAnsi="仿宋" w:eastAsia="仿宋"/>
          <w:b w:val="0"/>
          <w:bCs/>
          <w:color w:val="auto"/>
          <w:kern w:val="2"/>
          <w:sz w:val="24"/>
          <w:szCs w:val="24"/>
          <w:lang w:val="en-US"/>
        </w:rPr>
        <w:t>采购代理机构复核过程中，评标委员会不得离开评标现场。</w:t>
      </w:r>
      <w:bookmarkEnd w:id="745"/>
      <w:bookmarkEnd w:id="746"/>
      <w:bookmarkEnd w:id="747"/>
      <w:bookmarkEnd w:id="748"/>
      <w:bookmarkEnd w:id="749"/>
      <w:bookmarkEnd w:id="750"/>
      <w:bookmarkEnd w:id="751"/>
      <w:bookmarkEnd w:id="752"/>
      <w:bookmarkEnd w:id="753"/>
      <w:bookmarkEnd w:id="754"/>
    </w:p>
    <w:p>
      <w:pPr>
        <w:numPr>
          <w:ilvl w:val="1"/>
          <w:numId w:val="17"/>
        </w:numPr>
        <w:tabs>
          <w:tab w:val="left" w:pos="360"/>
        </w:tabs>
        <w:spacing w:line="540" w:lineRule="exact"/>
        <w:ind w:left="0" w:firstLine="0" w:firstLineChars="0"/>
        <w:jc w:val="left"/>
        <w:outlineLvl w:val="1"/>
        <w:rPr>
          <w:rFonts w:ascii="仿宋" w:hAnsi="仿宋" w:eastAsia="仿宋"/>
          <w:bCs/>
          <w:color w:val="auto"/>
          <w:kern w:val="2"/>
          <w:sz w:val="24"/>
          <w:szCs w:val="24"/>
          <w:lang w:val="en-US"/>
        </w:rPr>
      </w:pPr>
      <w:bookmarkStart w:id="755" w:name="_Toc323824974"/>
      <w:r>
        <w:rPr>
          <w:rFonts w:ascii="仿宋" w:hAnsi="仿宋" w:eastAsia="仿宋"/>
          <w:bCs/>
          <w:color w:val="auto"/>
          <w:kern w:val="2"/>
          <w:sz w:val="24"/>
          <w:szCs w:val="24"/>
          <w:lang w:val="en-US"/>
        </w:rPr>
        <w:t xml:space="preserve"> </w:t>
      </w:r>
      <w:bookmarkStart w:id="756" w:name="_Toc36029489"/>
      <w:bookmarkStart w:id="757" w:name="_Toc496605694"/>
      <w:bookmarkStart w:id="758" w:name="_Toc494198661"/>
      <w:bookmarkStart w:id="759" w:name="_Toc40703458"/>
      <w:r>
        <w:rPr>
          <w:rFonts w:ascii="仿宋" w:hAnsi="仿宋" w:eastAsia="仿宋"/>
          <w:bCs/>
          <w:color w:val="auto"/>
          <w:kern w:val="2"/>
          <w:sz w:val="24"/>
          <w:szCs w:val="24"/>
          <w:lang w:val="en-US"/>
        </w:rPr>
        <w:t>评标细则及标准</w:t>
      </w:r>
      <w:bookmarkEnd w:id="755"/>
      <w:bookmarkEnd w:id="756"/>
      <w:bookmarkEnd w:id="757"/>
      <w:bookmarkEnd w:id="758"/>
      <w:bookmarkEnd w:id="759"/>
    </w:p>
    <w:p>
      <w:pPr>
        <w:numPr>
          <w:ilvl w:val="2"/>
          <w:numId w:val="17"/>
        </w:numPr>
        <w:tabs>
          <w:tab w:val="left" w:pos="360"/>
        </w:tabs>
        <w:snapToGrid/>
        <w:spacing w:line="520" w:lineRule="exact"/>
        <w:ind w:left="0" w:firstLine="482"/>
        <w:jc w:val="left"/>
        <w:outlineLvl w:val="2"/>
        <w:rPr>
          <w:rFonts w:ascii="仿宋" w:hAnsi="仿宋" w:eastAsia="仿宋"/>
          <w:bCs/>
          <w:color w:val="auto"/>
          <w:kern w:val="2"/>
          <w:sz w:val="24"/>
          <w:szCs w:val="24"/>
          <w:lang w:val="en-US"/>
        </w:rPr>
      </w:pPr>
      <w:bookmarkStart w:id="760" w:name="_Toc494198988"/>
      <w:bookmarkStart w:id="761" w:name="_Toc496605695"/>
      <w:bookmarkStart w:id="762" w:name="_Toc494198662"/>
      <w:bookmarkStart w:id="763" w:name="_Toc500492790"/>
      <w:bookmarkStart w:id="764" w:name="_Toc475005647"/>
      <w:bookmarkStart w:id="765" w:name="_Toc482094394"/>
      <w:bookmarkStart w:id="766" w:name="_Toc476748822"/>
      <w:bookmarkStart w:id="767" w:name="_Toc466896312"/>
      <w:bookmarkStart w:id="768" w:name="_Toc466292962"/>
      <w:bookmarkStart w:id="769" w:name="_Toc477425602"/>
      <w:r>
        <w:rPr>
          <w:rFonts w:ascii="仿宋" w:hAnsi="仿宋" w:eastAsia="仿宋"/>
          <w:bCs/>
          <w:color w:val="auto"/>
          <w:kern w:val="2"/>
          <w:sz w:val="24"/>
          <w:szCs w:val="24"/>
          <w:lang w:val="en-US"/>
        </w:rPr>
        <w:t>本次综合评分的因素</w:t>
      </w:r>
      <w:bookmarkEnd w:id="760"/>
      <w:bookmarkEnd w:id="761"/>
      <w:bookmarkEnd w:id="762"/>
      <w:bookmarkEnd w:id="763"/>
    </w:p>
    <w:p>
      <w:pPr>
        <w:spacing w:line="540" w:lineRule="exact"/>
        <w:ind w:firstLine="480"/>
        <w:rPr>
          <w:rFonts w:ascii="仿宋" w:hAnsi="仿宋" w:eastAsia="仿宋"/>
          <w:b w:val="0"/>
          <w:color w:val="auto"/>
          <w:sz w:val="24"/>
          <w:szCs w:val="24"/>
        </w:rPr>
      </w:pPr>
      <w:r>
        <w:rPr>
          <w:rFonts w:ascii="仿宋" w:hAnsi="仿宋" w:eastAsia="仿宋"/>
          <w:b w:val="0"/>
          <w:color w:val="auto"/>
          <w:sz w:val="24"/>
          <w:szCs w:val="24"/>
        </w:rPr>
        <w:t>详见综合评分明细表。</w:t>
      </w:r>
      <w:bookmarkEnd w:id="764"/>
      <w:bookmarkEnd w:id="765"/>
      <w:bookmarkEnd w:id="766"/>
      <w:bookmarkEnd w:id="767"/>
      <w:bookmarkEnd w:id="768"/>
      <w:bookmarkEnd w:id="769"/>
    </w:p>
    <w:p>
      <w:pPr>
        <w:numPr>
          <w:ilvl w:val="2"/>
          <w:numId w:val="17"/>
        </w:numPr>
        <w:tabs>
          <w:tab w:val="left" w:pos="360"/>
        </w:tabs>
        <w:snapToGrid/>
        <w:spacing w:line="520" w:lineRule="exact"/>
        <w:ind w:left="0" w:firstLine="480"/>
        <w:jc w:val="left"/>
        <w:outlineLvl w:val="2"/>
        <w:rPr>
          <w:rFonts w:ascii="仿宋" w:hAnsi="仿宋" w:eastAsia="仿宋"/>
          <w:b w:val="0"/>
          <w:bCs/>
          <w:color w:val="auto"/>
          <w:kern w:val="2"/>
          <w:sz w:val="24"/>
          <w:szCs w:val="24"/>
          <w:lang w:val="en-US"/>
        </w:rPr>
      </w:pPr>
      <w:bookmarkStart w:id="770" w:name="_Toc494198663"/>
      <w:bookmarkStart w:id="771" w:name="_Toc496605696"/>
      <w:bookmarkStart w:id="772" w:name="_Toc500492791"/>
      <w:bookmarkStart w:id="773" w:name="_Toc494198989"/>
      <w:r>
        <w:rPr>
          <w:rFonts w:ascii="仿宋" w:hAnsi="仿宋" w:eastAsia="仿宋"/>
          <w:b w:val="0"/>
          <w:bCs/>
          <w:color w:val="auto"/>
          <w:kern w:val="2"/>
          <w:sz w:val="24"/>
          <w:szCs w:val="24"/>
          <w:lang w:val="en-US"/>
        </w:rPr>
        <w:t>评标委员会成员应当根据自身专业情况对每个有效投标供应商的投标文件进行独立评分，加权汇总每项评分因素的得分，得出每个有效投标供应商的总分。技术类评分因素由技术方面评标委员会成员独立评分。经济类评分因素由经济方面评标委员会成员独立评分。政策合同类的评分因素由法律方面评标委员会成员独立评分。采购人代表原则上对技术类评分因素独立评分。价格和其他不能明确区分的评分因素由评标委员会成员共同评分。</w:t>
      </w:r>
      <w:bookmarkEnd w:id="770"/>
      <w:bookmarkEnd w:id="771"/>
      <w:bookmarkEnd w:id="772"/>
      <w:bookmarkEnd w:id="773"/>
    </w:p>
    <w:p>
      <w:pPr>
        <w:numPr>
          <w:ilvl w:val="2"/>
          <w:numId w:val="17"/>
        </w:numPr>
        <w:tabs>
          <w:tab w:val="left" w:pos="360"/>
        </w:tabs>
        <w:snapToGrid/>
        <w:spacing w:line="520" w:lineRule="exact"/>
        <w:ind w:left="0" w:firstLine="482"/>
        <w:jc w:val="left"/>
        <w:outlineLvl w:val="2"/>
        <w:rPr>
          <w:rFonts w:ascii="仿宋" w:hAnsi="仿宋" w:eastAsia="仿宋"/>
          <w:bCs/>
          <w:color w:val="auto"/>
          <w:kern w:val="2"/>
          <w:sz w:val="24"/>
          <w:szCs w:val="24"/>
          <w:lang w:val="en-US"/>
        </w:rPr>
      </w:pPr>
      <w:bookmarkStart w:id="774" w:name="_Toc500492792"/>
      <w:bookmarkStart w:id="775" w:name="_Toc476748824"/>
      <w:bookmarkStart w:id="776" w:name="_Toc496605697"/>
      <w:bookmarkStart w:id="777" w:name="_Toc466292965"/>
      <w:bookmarkStart w:id="778" w:name="_Toc494198990"/>
      <w:bookmarkStart w:id="779" w:name="_Toc482094396"/>
      <w:bookmarkStart w:id="780" w:name="_Toc475005649"/>
      <w:bookmarkStart w:id="781" w:name="_Toc477425604"/>
      <w:bookmarkStart w:id="782" w:name="_Toc494198664"/>
      <w:bookmarkStart w:id="783" w:name="_Toc466896315"/>
      <w:r>
        <w:rPr>
          <w:rFonts w:ascii="仿宋" w:hAnsi="仿宋" w:eastAsia="仿宋"/>
          <w:bCs/>
          <w:color w:val="auto"/>
          <w:kern w:val="2"/>
          <w:sz w:val="24"/>
          <w:szCs w:val="24"/>
          <w:lang w:val="en-US"/>
        </w:rPr>
        <w:t>综合评分明细表</w:t>
      </w:r>
      <w:bookmarkEnd w:id="774"/>
      <w:bookmarkEnd w:id="775"/>
      <w:bookmarkEnd w:id="776"/>
      <w:bookmarkEnd w:id="777"/>
      <w:bookmarkEnd w:id="778"/>
      <w:bookmarkEnd w:id="779"/>
      <w:bookmarkEnd w:id="780"/>
      <w:bookmarkEnd w:id="781"/>
      <w:bookmarkEnd w:id="782"/>
      <w:bookmarkEnd w:id="783"/>
    </w:p>
    <w:p>
      <w:pPr>
        <w:numPr>
          <w:ilvl w:val="3"/>
          <w:numId w:val="17"/>
        </w:numPr>
        <w:tabs>
          <w:tab w:val="left" w:pos="360"/>
        </w:tabs>
        <w:spacing w:line="520" w:lineRule="exact"/>
        <w:ind w:left="0" w:firstLine="480"/>
        <w:outlineLvl w:val="3"/>
        <w:rPr>
          <w:rFonts w:ascii="仿宋" w:hAnsi="仿宋" w:eastAsia="仿宋"/>
          <w:b w:val="0"/>
          <w:bCs/>
          <w:color w:val="auto"/>
          <w:kern w:val="2"/>
          <w:sz w:val="24"/>
          <w:szCs w:val="24"/>
          <w:lang w:val="en-US"/>
        </w:rPr>
      </w:pPr>
      <w:r>
        <w:rPr>
          <w:rFonts w:ascii="仿宋" w:hAnsi="仿宋" w:eastAsia="仿宋"/>
          <w:b w:val="0"/>
          <w:bCs/>
          <w:color w:val="auto"/>
          <w:kern w:val="2"/>
          <w:sz w:val="24"/>
          <w:szCs w:val="24"/>
          <w:lang w:val="en-US"/>
        </w:rPr>
        <w:t xml:space="preserve"> </w:t>
      </w:r>
      <w:bookmarkStart w:id="784" w:name="_Toc466896316"/>
      <w:bookmarkStart w:id="785" w:name="_Toc477425605"/>
      <w:bookmarkStart w:id="786" w:name="_Toc475005650"/>
      <w:bookmarkStart w:id="787" w:name="_Toc476748825"/>
      <w:bookmarkStart w:id="788" w:name="_Toc500492793"/>
      <w:bookmarkStart w:id="789" w:name="_Toc496605698"/>
      <w:bookmarkStart w:id="790" w:name="_Toc482094397"/>
      <w:bookmarkStart w:id="791" w:name="_Toc466292966"/>
      <w:bookmarkStart w:id="792" w:name="_Toc494198991"/>
      <w:bookmarkStart w:id="793" w:name="_Toc494198665"/>
      <w:r>
        <w:rPr>
          <w:rFonts w:ascii="仿宋" w:hAnsi="仿宋" w:eastAsia="仿宋"/>
          <w:b w:val="0"/>
          <w:bCs/>
          <w:color w:val="auto"/>
          <w:kern w:val="2"/>
          <w:sz w:val="24"/>
          <w:szCs w:val="24"/>
          <w:lang w:val="en-US"/>
        </w:rPr>
        <w:t>综合评分明细表的制定以科学合理、降低评标委员会自由裁量权为原则。</w:t>
      </w:r>
      <w:bookmarkEnd w:id="784"/>
      <w:bookmarkEnd w:id="785"/>
      <w:bookmarkEnd w:id="786"/>
      <w:bookmarkEnd w:id="787"/>
      <w:bookmarkEnd w:id="788"/>
      <w:bookmarkEnd w:id="789"/>
      <w:bookmarkEnd w:id="790"/>
      <w:bookmarkEnd w:id="791"/>
      <w:bookmarkEnd w:id="792"/>
      <w:bookmarkEnd w:id="793"/>
    </w:p>
    <w:p>
      <w:pPr>
        <w:numPr>
          <w:ilvl w:val="3"/>
          <w:numId w:val="17"/>
        </w:numPr>
        <w:tabs>
          <w:tab w:val="left" w:pos="360"/>
        </w:tabs>
        <w:spacing w:line="520" w:lineRule="exact"/>
        <w:ind w:left="0" w:firstLine="480"/>
        <w:outlineLvl w:val="3"/>
        <w:rPr>
          <w:rFonts w:ascii="仿宋" w:hAnsi="仿宋" w:eastAsia="仿宋"/>
          <w:b w:val="0"/>
          <w:bCs/>
          <w:color w:val="auto"/>
          <w:kern w:val="2"/>
          <w:sz w:val="24"/>
          <w:szCs w:val="24"/>
          <w:lang w:val="en-US"/>
        </w:rPr>
      </w:pPr>
      <w:r>
        <w:rPr>
          <w:rFonts w:ascii="仿宋" w:hAnsi="仿宋" w:eastAsia="仿宋"/>
          <w:b w:val="0"/>
          <w:bCs/>
          <w:color w:val="auto"/>
          <w:kern w:val="2"/>
          <w:sz w:val="24"/>
          <w:szCs w:val="24"/>
          <w:lang w:val="en-US"/>
        </w:rPr>
        <w:t xml:space="preserve"> </w:t>
      </w:r>
      <w:bookmarkStart w:id="794" w:name="_Toc496605699"/>
      <w:bookmarkStart w:id="795" w:name="_Toc500492794"/>
      <w:bookmarkStart w:id="796" w:name="_Toc482094398"/>
      <w:bookmarkStart w:id="797" w:name="_Toc466896317"/>
      <w:bookmarkStart w:id="798" w:name="_Toc466292967"/>
      <w:bookmarkStart w:id="799" w:name="_Toc476748826"/>
      <w:bookmarkStart w:id="800" w:name="_Toc494198666"/>
      <w:bookmarkStart w:id="801" w:name="_Toc494198992"/>
      <w:bookmarkStart w:id="802" w:name="_Toc475005651"/>
      <w:bookmarkStart w:id="803" w:name="_Toc477425606"/>
      <w:r>
        <w:rPr>
          <w:rFonts w:ascii="仿宋" w:hAnsi="仿宋" w:eastAsia="仿宋"/>
          <w:b w:val="0"/>
          <w:bCs/>
          <w:color w:val="auto"/>
          <w:kern w:val="2"/>
          <w:sz w:val="24"/>
          <w:szCs w:val="24"/>
          <w:lang w:val="en-US"/>
        </w:rPr>
        <w:t>综合评分明细表</w:t>
      </w:r>
      <w:bookmarkEnd w:id="794"/>
      <w:bookmarkEnd w:id="795"/>
      <w:bookmarkEnd w:id="796"/>
      <w:bookmarkEnd w:id="797"/>
      <w:bookmarkEnd w:id="798"/>
      <w:bookmarkEnd w:id="799"/>
      <w:bookmarkEnd w:id="800"/>
      <w:bookmarkEnd w:id="801"/>
      <w:bookmarkEnd w:id="802"/>
      <w:bookmarkEnd w:id="803"/>
    </w:p>
    <w:bookmarkEnd w:id="470"/>
    <w:tbl>
      <w:tblPr>
        <w:tblStyle w:val="76"/>
        <w:tblW w:w="85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
        <w:gridCol w:w="923"/>
        <w:gridCol w:w="761"/>
        <w:gridCol w:w="4714"/>
        <w:gridCol w:w="1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pPr>
              <w:ind w:firstLine="0" w:firstLineChars="0"/>
              <w:jc w:val="center"/>
              <w:rPr>
                <w:rFonts w:ascii="仿宋" w:hAnsi="仿宋" w:eastAsia="仿宋" w:cs="仿宋"/>
                <w:color w:val="auto"/>
                <w:sz w:val="24"/>
                <w:szCs w:val="24"/>
              </w:rPr>
            </w:pPr>
            <w:r>
              <w:rPr>
                <w:rFonts w:hint="eastAsia" w:ascii="仿宋" w:hAnsi="仿宋" w:eastAsia="仿宋" w:cs="仿宋"/>
                <w:color w:val="auto"/>
                <w:sz w:val="24"/>
                <w:szCs w:val="24"/>
              </w:rPr>
              <w:t>序号</w:t>
            </w:r>
          </w:p>
        </w:tc>
        <w:tc>
          <w:tcPr>
            <w:tcW w:w="923" w:type="dxa"/>
            <w:vAlign w:val="center"/>
          </w:tcPr>
          <w:p>
            <w:pPr>
              <w:ind w:firstLine="0" w:firstLineChars="0"/>
              <w:jc w:val="center"/>
              <w:rPr>
                <w:rFonts w:ascii="仿宋" w:hAnsi="仿宋" w:eastAsia="仿宋" w:cs="仿宋"/>
                <w:color w:val="auto"/>
                <w:sz w:val="24"/>
                <w:szCs w:val="24"/>
              </w:rPr>
            </w:pPr>
            <w:r>
              <w:rPr>
                <w:rFonts w:hint="eastAsia" w:ascii="仿宋" w:hAnsi="仿宋" w:eastAsia="仿宋" w:cs="仿宋"/>
                <w:color w:val="auto"/>
                <w:sz w:val="24"/>
                <w:szCs w:val="24"/>
              </w:rPr>
              <w:t>评分因素</w:t>
            </w:r>
          </w:p>
        </w:tc>
        <w:tc>
          <w:tcPr>
            <w:tcW w:w="761" w:type="dxa"/>
            <w:vAlign w:val="center"/>
          </w:tcPr>
          <w:p>
            <w:pPr>
              <w:ind w:firstLine="0" w:firstLineChars="0"/>
              <w:jc w:val="center"/>
              <w:rPr>
                <w:rFonts w:ascii="仿宋" w:hAnsi="仿宋" w:eastAsia="仿宋" w:cs="仿宋"/>
                <w:color w:val="auto"/>
                <w:sz w:val="24"/>
                <w:szCs w:val="24"/>
              </w:rPr>
            </w:pPr>
            <w:r>
              <w:rPr>
                <w:rFonts w:hint="eastAsia" w:ascii="仿宋" w:hAnsi="仿宋" w:eastAsia="仿宋" w:cs="仿宋"/>
                <w:color w:val="auto"/>
                <w:sz w:val="24"/>
                <w:szCs w:val="24"/>
              </w:rPr>
              <w:t>分　值</w:t>
            </w:r>
          </w:p>
        </w:tc>
        <w:tc>
          <w:tcPr>
            <w:tcW w:w="4714" w:type="dxa"/>
            <w:vAlign w:val="center"/>
          </w:tcPr>
          <w:p>
            <w:pPr>
              <w:ind w:firstLine="0" w:firstLineChars="0"/>
              <w:jc w:val="center"/>
              <w:rPr>
                <w:rFonts w:ascii="仿宋" w:hAnsi="仿宋" w:eastAsia="仿宋" w:cs="仿宋"/>
                <w:color w:val="auto"/>
                <w:sz w:val="24"/>
                <w:szCs w:val="24"/>
              </w:rPr>
            </w:pPr>
            <w:r>
              <w:rPr>
                <w:rFonts w:hint="eastAsia" w:ascii="仿宋" w:hAnsi="仿宋" w:eastAsia="仿宋" w:cs="仿宋"/>
                <w:color w:val="auto"/>
                <w:sz w:val="24"/>
                <w:szCs w:val="24"/>
              </w:rPr>
              <w:t>评分标准</w:t>
            </w:r>
          </w:p>
        </w:tc>
        <w:tc>
          <w:tcPr>
            <w:tcW w:w="1516" w:type="dxa"/>
            <w:vAlign w:val="center"/>
          </w:tcPr>
          <w:p>
            <w:pPr>
              <w:ind w:firstLine="0" w:firstLineChars="0"/>
              <w:jc w:val="center"/>
              <w:rPr>
                <w:rFonts w:ascii="仿宋" w:hAnsi="仿宋" w:eastAsia="仿宋" w:cs="仿宋"/>
                <w:color w:val="auto"/>
                <w:sz w:val="24"/>
                <w:szCs w:val="24"/>
              </w:rPr>
            </w:pPr>
            <w:r>
              <w:rPr>
                <w:rFonts w:hint="eastAsia" w:ascii="仿宋" w:hAnsi="仿宋" w:eastAsia="仿宋" w:cs="仿宋"/>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pPr>
              <w:ind w:firstLine="0" w:firstLineChars="0"/>
              <w:jc w:val="center"/>
              <w:rPr>
                <w:rFonts w:ascii="仿宋" w:hAnsi="仿宋" w:eastAsia="仿宋" w:cs="仿宋"/>
                <w:b w:val="0"/>
                <w:bCs/>
                <w:color w:val="auto"/>
                <w:sz w:val="24"/>
                <w:szCs w:val="24"/>
              </w:rPr>
            </w:pPr>
            <w:r>
              <w:rPr>
                <w:rFonts w:hint="eastAsia" w:ascii="仿宋" w:hAnsi="仿宋" w:eastAsia="仿宋" w:cs="仿宋"/>
                <w:b w:val="0"/>
                <w:bCs/>
                <w:color w:val="auto"/>
                <w:sz w:val="24"/>
                <w:szCs w:val="24"/>
              </w:rPr>
              <w:t>1</w:t>
            </w:r>
          </w:p>
        </w:tc>
        <w:tc>
          <w:tcPr>
            <w:tcW w:w="923" w:type="dxa"/>
            <w:vAlign w:val="center"/>
          </w:tcPr>
          <w:p>
            <w:pPr>
              <w:ind w:firstLine="0" w:firstLineChars="0"/>
              <w:jc w:val="center"/>
              <w:rPr>
                <w:rFonts w:ascii="仿宋" w:hAnsi="仿宋" w:eastAsia="仿宋" w:cs="仿宋"/>
                <w:b w:val="0"/>
                <w:bCs/>
                <w:color w:val="auto"/>
                <w:sz w:val="24"/>
                <w:szCs w:val="24"/>
              </w:rPr>
            </w:pPr>
            <w:r>
              <w:rPr>
                <w:rFonts w:hint="eastAsia" w:ascii="仿宋" w:hAnsi="仿宋" w:eastAsia="仿宋" w:cs="仿宋"/>
                <w:b w:val="0"/>
                <w:bCs/>
                <w:color w:val="auto"/>
                <w:sz w:val="24"/>
                <w:szCs w:val="24"/>
              </w:rPr>
              <w:t>报价</w:t>
            </w:r>
          </w:p>
        </w:tc>
        <w:tc>
          <w:tcPr>
            <w:tcW w:w="761" w:type="dxa"/>
            <w:vAlign w:val="center"/>
          </w:tcPr>
          <w:p>
            <w:pPr>
              <w:ind w:firstLine="0" w:firstLineChars="0"/>
              <w:jc w:val="center"/>
              <w:rPr>
                <w:rFonts w:ascii="仿宋" w:hAnsi="仿宋" w:eastAsia="仿宋" w:cs="仿宋"/>
                <w:b w:val="0"/>
                <w:bCs/>
                <w:color w:val="auto"/>
                <w:sz w:val="24"/>
                <w:szCs w:val="24"/>
              </w:rPr>
            </w:pPr>
            <w:r>
              <w:rPr>
                <w:rFonts w:hint="eastAsia" w:ascii="仿宋" w:hAnsi="仿宋" w:eastAsia="仿宋" w:cs="仿宋"/>
                <w:b w:val="0"/>
                <w:bCs/>
                <w:color w:val="auto"/>
                <w:sz w:val="24"/>
                <w:szCs w:val="24"/>
                <w:lang w:val="en-US"/>
              </w:rPr>
              <w:t>10</w:t>
            </w:r>
            <w:r>
              <w:rPr>
                <w:rFonts w:hint="eastAsia" w:ascii="仿宋" w:hAnsi="仿宋" w:eastAsia="仿宋" w:cs="仿宋"/>
                <w:b w:val="0"/>
                <w:bCs/>
                <w:color w:val="auto"/>
                <w:sz w:val="24"/>
                <w:szCs w:val="24"/>
              </w:rPr>
              <w:t>分</w:t>
            </w:r>
          </w:p>
        </w:tc>
        <w:tc>
          <w:tcPr>
            <w:tcW w:w="4714" w:type="dxa"/>
            <w:vAlign w:val="center"/>
          </w:tcPr>
          <w:p>
            <w:pPr>
              <w:ind w:firstLine="0" w:firstLineChars="0"/>
              <w:jc w:val="left"/>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满足招标文件要求且投标价格最低的报价为基准价，其价格分为满分。其他投标人的价格分统一按照下列公式计算：报价得分=(基准价／报价)* 分值</w:t>
            </w:r>
          </w:p>
          <w:p>
            <w:pPr>
              <w:ind w:firstLine="0" w:firstLineChars="0"/>
              <w:jc w:val="left"/>
              <w:rPr>
                <w:rFonts w:hint="eastAsia" w:ascii="仿宋" w:hAnsi="仿宋" w:eastAsia="仿宋" w:cs="仿宋"/>
                <w:b w:val="0"/>
                <w:bCs/>
                <w:color w:val="auto"/>
                <w:sz w:val="24"/>
                <w:szCs w:val="24"/>
                <w:lang w:val="en-US"/>
              </w:rPr>
            </w:pPr>
            <w:r>
              <w:rPr>
                <w:rFonts w:hint="eastAsia" w:ascii="仿宋" w:hAnsi="仿宋" w:eastAsia="仿宋" w:cs="仿宋"/>
                <w:b w:val="0"/>
                <w:color w:val="auto"/>
                <w:sz w:val="24"/>
                <w:szCs w:val="24"/>
              </w:rPr>
              <w:t>注：对符合小型和微型企业参与报价给予10%的扣除，用扣除后的价格参与评审(小微企业应提供《中小企业声明函》原件)。</w:t>
            </w:r>
          </w:p>
        </w:tc>
        <w:tc>
          <w:tcPr>
            <w:tcW w:w="1516" w:type="dxa"/>
            <w:vAlign w:val="center"/>
          </w:tcPr>
          <w:p>
            <w:pPr>
              <w:ind w:firstLine="0" w:firstLineChars="0"/>
              <w:jc w:val="center"/>
              <w:rPr>
                <w:rFonts w:ascii="仿宋" w:hAnsi="仿宋" w:eastAsia="仿宋" w:cs="仿宋"/>
                <w:b w:val="0"/>
                <w:bCs/>
                <w:color w:val="auto"/>
                <w:sz w:val="24"/>
                <w:szCs w:val="24"/>
              </w:rPr>
            </w:pPr>
            <w:r>
              <w:rPr>
                <w:rFonts w:hint="eastAsia" w:ascii="仿宋" w:hAnsi="仿宋" w:eastAsia="仿宋" w:cs="仿宋"/>
                <w:b w:val="0"/>
                <w:bCs/>
                <w:color w:val="auto"/>
                <w:sz w:val="24"/>
                <w:szCs w:val="24"/>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jc w:val="center"/>
        </w:trPr>
        <w:tc>
          <w:tcPr>
            <w:tcW w:w="685" w:type="dxa"/>
            <w:vAlign w:val="center"/>
          </w:tcPr>
          <w:p>
            <w:pPr>
              <w:ind w:firstLine="0" w:firstLineChars="0"/>
              <w:jc w:val="center"/>
              <w:rPr>
                <w:rFonts w:ascii="仿宋" w:hAnsi="仿宋" w:eastAsia="仿宋" w:cs="仿宋"/>
                <w:b w:val="0"/>
                <w:bCs/>
                <w:color w:val="auto"/>
                <w:sz w:val="24"/>
                <w:szCs w:val="24"/>
              </w:rPr>
            </w:pPr>
            <w:r>
              <w:rPr>
                <w:rFonts w:hint="eastAsia" w:ascii="仿宋" w:hAnsi="仿宋" w:eastAsia="仿宋" w:cs="仿宋"/>
                <w:b w:val="0"/>
                <w:bCs/>
                <w:color w:val="auto"/>
                <w:sz w:val="24"/>
                <w:szCs w:val="24"/>
              </w:rPr>
              <w:t>2</w:t>
            </w:r>
          </w:p>
        </w:tc>
        <w:tc>
          <w:tcPr>
            <w:tcW w:w="923" w:type="dxa"/>
            <w:vAlign w:val="center"/>
          </w:tcPr>
          <w:p>
            <w:pPr>
              <w:ind w:firstLine="0" w:firstLineChars="0"/>
              <w:rPr>
                <w:rFonts w:ascii="仿宋" w:hAnsi="仿宋" w:eastAsia="仿宋" w:cs="仿宋"/>
                <w:b w:val="0"/>
                <w:bCs/>
                <w:color w:val="auto"/>
                <w:sz w:val="24"/>
                <w:szCs w:val="24"/>
              </w:rPr>
            </w:pPr>
            <w:r>
              <w:rPr>
                <w:rFonts w:hint="eastAsia" w:ascii="仿宋" w:hAnsi="仿宋" w:eastAsia="仿宋" w:cs="仿宋"/>
                <w:b w:val="0"/>
                <w:bCs/>
                <w:color w:val="auto"/>
                <w:sz w:val="24"/>
                <w:szCs w:val="24"/>
              </w:rPr>
              <w:t>商务、技术及服务要求</w:t>
            </w:r>
          </w:p>
        </w:tc>
        <w:tc>
          <w:tcPr>
            <w:tcW w:w="761" w:type="dxa"/>
            <w:vAlign w:val="center"/>
          </w:tcPr>
          <w:p>
            <w:pPr>
              <w:ind w:firstLine="0" w:firstLineChars="0"/>
              <w:rPr>
                <w:rFonts w:ascii="仿宋" w:hAnsi="仿宋" w:eastAsia="仿宋" w:cs="仿宋"/>
                <w:b w:val="0"/>
                <w:bCs/>
                <w:color w:val="auto"/>
                <w:sz w:val="24"/>
                <w:szCs w:val="24"/>
              </w:rPr>
            </w:pPr>
            <w:r>
              <w:rPr>
                <w:rFonts w:hint="eastAsia" w:ascii="仿宋" w:hAnsi="仿宋" w:eastAsia="仿宋" w:cs="仿宋"/>
                <w:b w:val="0"/>
                <w:bCs/>
                <w:color w:val="auto"/>
                <w:sz w:val="24"/>
                <w:szCs w:val="24"/>
              </w:rPr>
              <w:t>2</w:t>
            </w:r>
            <w:r>
              <w:rPr>
                <w:rFonts w:hint="eastAsia" w:ascii="仿宋" w:hAnsi="仿宋" w:eastAsia="仿宋" w:cs="仿宋"/>
                <w:b w:val="0"/>
                <w:bCs/>
                <w:color w:val="auto"/>
                <w:sz w:val="24"/>
                <w:szCs w:val="24"/>
                <w:lang w:val="en-US"/>
              </w:rPr>
              <w:t>4</w:t>
            </w:r>
          </w:p>
          <w:p>
            <w:pPr>
              <w:ind w:firstLine="0" w:firstLineChars="0"/>
              <w:rPr>
                <w:rFonts w:ascii="仿宋" w:hAnsi="仿宋" w:eastAsia="仿宋" w:cs="仿宋"/>
                <w:b w:val="0"/>
                <w:bCs/>
                <w:color w:val="auto"/>
                <w:sz w:val="24"/>
                <w:szCs w:val="24"/>
              </w:rPr>
            </w:pPr>
            <w:r>
              <w:rPr>
                <w:rFonts w:hint="eastAsia" w:ascii="仿宋" w:hAnsi="仿宋" w:eastAsia="仿宋" w:cs="仿宋"/>
                <w:b w:val="0"/>
                <w:bCs/>
                <w:color w:val="auto"/>
                <w:sz w:val="24"/>
                <w:szCs w:val="24"/>
              </w:rPr>
              <w:t>分</w:t>
            </w:r>
          </w:p>
        </w:tc>
        <w:tc>
          <w:tcPr>
            <w:tcW w:w="4714" w:type="dxa"/>
            <w:vAlign w:val="center"/>
          </w:tcPr>
          <w:p>
            <w:pPr>
              <w:ind w:firstLine="0" w:firstLineChars="0"/>
              <w:rPr>
                <w:rFonts w:ascii="仿宋" w:hAnsi="仿宋" w:eastAsia="仿宋" w:cs="仿宋"/>
                <w:b w:val="0"/>
                <w:bCs/>
                <w:color w:val="auto"/>
                <w:sz w:val="24"/>
                <w:szCs w:val="24"/>
              </w:rPr>
            </w:pPr>
            <w:r>
              <w:rPr>
                <w:rFonts w:hint="eastAsia" w:ascii="仿宋" w:hAnsi="仿宋" w:eastAsia="仿宋" w:cs="仿宋"/>
                <w:b w:val="0"/>
                <w:bCs/>
                <w:color w:val="auto"/>
                <w:sz w:val="24"/>
                <w:szCs w:val="24"/>
              </w:rPr>
              <w:t>完全符合招标文件“第</w:t>
            </w:r>
            <w:r>
              <w:rPr>
                <w:rFonts w:hint="eastAsia" w:ascii="仿宋" w:hAnsi="仿宋" w:eastAsia="仿宋" w:cs="仿宋"/>
                <w:b w:val="0"/>
                <w:bCs/>
                <w:color w:val="auto"/>
                <w:sz w:val="24"/>
                <w:szCs w:val="24"/>
                <w:lang w:val="en-US"/>
              </w:rPr>
              <w:t>6</w:t>
            </w:r>
            <w:r>
              <w:rPr>
                <w:rFonts w:hint="eastAsia" w:ascii="仿宋" w:hAnsi="仿宋" w:eastAsia="仿宋" w:cs="仿宋"/>
                <w:b w:val="0"/>
                <w:bCs/>
                <w:color w:val="auto"/>
                <w:sz w:val="24"/>
                <w:szCs w:val="24"/>
              </w:rPr>
              <w:t>章技术、商务及其他要求”“二、服务要求”</w:t>
            </w:r>
            <w:r>
              <w:rPr>
                <w:rFonts w:hint="eastAsia" w:ascii="仿宋" w:hAnsi="仿宋" w:eastAsia="仿宋" w:cs="仿宋"/>
                <w:b w:val="0"/>
                <w:bCs/>
                <w:color w:val="auto"/>
                <w:sz w:val="24"/>
                <w:szCs w:val="24"/>
                <w:lang w:val="en-US"/>
              </w:rPr>
              <w:t>的</w:t>
            </w:r>
            <w:r>
              <w:rPr>
                <w:rFonts w:hint="eastAsia" w:ascii="仿宋" w:hAnsi="仿宋" w:eastAsia="仿宋" w:cs="仿宋"/>
                <w:b w:val="0"/>
                <w:bCs/>
                <w:color w:val="auto"/>
                <w:sz w:val="24"/>
                <w:szCs w:val="24"/>
              </w:rPr>
              <w:t>没有负偏离得2</w:t>
            </w:r>
            <w:r>
              <w:rPr>
                <w:rFonts w:hint="eastAsia" w:ascii="仿宋" w:hAnsi="仿宋" w:eastAsia="仿宋" w:cs="仿宋"/>
                <w:b w:val="0"/>
                <w:bCs/>
                <w:color w:val="auto"/>
                <w:sz w:val="24"/>
                <w:szCs w:val="24"/>
                <w:lang w:val="en-US"/>
              </w:rPr>
              <w:t>4</w:t>
            </w:r>
            <w:r>
              <w:rPr>
                <w:rFonts w:hint="eastAsia" w:ascii="仿宋" w:hAnsi="仿宋" w:eastAsia="仿宋" w:cs="仿宋"/>
                <w:b w:val="0"/>
                <w:bCs/>
                <w:color w:val="auto"/>
                <w:sz w:val="24"/>
                <w:szCs w:val="24"/>
              </w:rPr>
              <w:t>分（共</w:t>
            </w:r>
            <w:r>
              <w:rPr>
                <w:rFonts w:hint="eastAsia" w:ascii="仿宋" w:hAnsi="仿宋" w:eastAsia="仿宋" w:cs="仿宋"/>
                <w:b w:val="0"/>
                <w:bCs/>
                <w:color w:val="auto"/>
                <w:sz w:val="24"/>
                <w:szCs w:val="24"/>
                <w:lang w:val="en-US"/>
              </w:rPr>
              <w:t>15</w:t>
            </w:r>
            <w:r>
              <w:rPr>
                <w:rFonts w:hint="eastAsia" w:ascii="仿宋" w:hAnsi="仿宋" w:eastAsia="仿宋" w:cs="仿宋"/>
                <w:b w:val="0"/>
                <w:bCs/>
                <w:color w:val="auto"/>
                <w:sz w:val="24"/>
                <w:szCs w:val="24"/>
              </w:rPr>
              <w:t>项）；每有一项负偏离扣</w:t>
            </w:r>
            <w:r>
              <w:rPr>
                <w:rFonts w:hint="eastAsia" w:ascii="仿宋" w:hAnsi="仿宋" w:eastAsia="仿宋" w:cs="仿宋"/>
                <w:b w:val="0"/>
                <w:bCs/>
                <w:color w:val="auto"/>
                <w:sz w:val="24"/>
                <w:szCs w:val="24"/>
                <w:lang w:val="en-US"/>
              </w:rPr>
              <w:t>1.6</w:t>
            </w:r>
            <w:r>
              <w:rPr>
                <w:rFonts w:hint="eastAsia" w:ascii="仿宋" w:hAnsi="仿宋" w:eastAsia="仿宋" w:cs="仿宋"/>
                <w:b w:val="0"/>
                <w:bCs/>
                <w:color w:val="auto"/>
                <w:sz w:val="24"/>
                <w:szCs w:val="24"/>
              </w:rPr>
              <w:t>分（★项除外），扣完为止。</w:t>
            </w:r>
          </w:p>
        </w:tc>
        <w:tc>
          <w:tcPr>
            <w:tcW w:w="1516" w:type="dxa"/>
            <w:vAlign w:val="center"/>
          </w:tcPr>
          <w:p>
            <w:pPr>
              <w:ind w:firstLine="0" w:firstLineChars="0"/>
              <w:rPr>
                <w:rFonts w:ascii="仿宋" w:hAnsi="仿宋" w:eastAsia="仿宋" w:cs="仿宋"/>
                <w:b w:val="0"/>
                <w:bCs/>
                <w:color w:val="auto"/>
                <w:sz w:val="24"/>
                <w:szCs w:val="24"/>
              </w:rPr>
            </w:pPr>
            <w:r>
              <w:rPr>
                <w:rFonts w:hint="eastAsia" w:ascii="仿宋" w:hAnsi="仿宋" w:eastAsia="仿宋" w:cs="仿宋"/>
                <w:b w:val="0"/>
                <w:bCs/>
                <w:color w:val="auto"/>
                <w:sz w:val="24"/>
                <w:szCs w:val="24"/>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pPr>
              <w:ind w:firstLine="0" w:firstLineChars="0"/>
              <w:jc w:val="center"/>
              <w:rPr>
                <w:rFonts w:ascii="仿宋" w:hAnsi="仿宋" w:eastAsia="仿宋" w:cs="仿宋"/>
                <w:b w:val="0"/>
                <w:bCs/>
                <w:color w:val="auto"/>
                <w:sz w:val="24"/>
                <w:szCs w:val="24"/>
                <w:lang w:val="en-US"/>
              </w:rPr>
            </w:pPr>
            <w:r>
              <w:rPr>
                <w:rFonts w:hint="eastAsia" w:ascii="仿宋" w:hAnsi="仿宋" w:eastAsia="仿宋" w:cs="仿宋"/>
                <w:b w:val="0"/>
                <w:bCs/>
                <w:color w:val="auto"/>
                <w:sz w:val="24"/>
                <w:szCs w:val="24"/>
                <w:lang w:val="en-US"/>
              </w:rPr>
              <w:t>3</w:t>
            </w:r>
          </w:p>
        </w:tc>
        <w:tc>
          <w:tcPr>
            <w:tcW w:w="923" w:type="dxa"/>
            <w:vAlign w:val="center"/>
          </w:tcPr>
          <w:p>
            <w:pPr>
              <w:ind w:firstLine="0" w:firstLineChars="0"/>
              <w:jc w:val="center"/>
              <w:rPr>
                <w:rFonts w:ascii="仿宋" w:hAnsi="仿宋" w:eastAsia="仿宋" w:cs="仿宋"/>
                <w:b w:val="0"/>
                <w:bCs/>
                <w:color w:val="auto"/>
                <w:sz w:val="24"/>
                <w:szCs w:val="24"/>
              </w:rPr>
            </w:pPr>
            <w:r>
              <w:rPr>
                <w:rFonts w:hint="eastAsia" w:ascii="仿宋" w:hAnsi="仿宋" w:eastAsia="仿宋" w:cs="仿宋"/>
                <w:b w:val="0"/>
                <w:bCs/>
                <w:color w:val="auto"/>
                <w:sz w:val="24"/>
              </w:rPr>
              <w:t>履约能力</w:t>
            </w:r>
          </w:p>
        </w:tc>
        <w:tc>
          <w:tcPr>
            <w:tcW w:w="761" w:type="dxa"/>
            <w:vAlign w:val="center"/>
          </w:tcPr>
          <w:p>
            <w:pPr>
              <w:ind w:firstLine="0" w:firstLineChars="0"/>
              <w:jc w:val="center"/>
              <w:rPr>
                <w:rFonts w:ascii="仿宋" w:hAnsi="仿宋" w:eastAsia="仿宋" w:cs="仿宋"/>
                <w:b w:val="0"/>
                <w:bCs/>
                <w:color w:val="auto"/>
                <w:sz w:val="24"/>
                <w:szCs w:val="24"/>
              </w:rPr>
            </w:pPr>
            <w:r>
              <w:rPr>
                <w:rFonts w:hint="eastAsia" w:ascii="仿宋" w:hAnsi="仿宋" w:eastAsia="仿宋" w:cs="仿宋"/>
                <w:b w:val="0"/>
                <w:bCs/>
                <w:color w:val="auto"/>
                <w:sz w:val="24"/>
                <w:lang w:val="en-US"/>
              </w:rPr>
              <w:t>4分</w:t>
            </w:r>
          </w:p>
        </w:tc>
        <w:tc>
          <w:tcPr>
            <w:tcW w:w="4714" w:type="dxa"/>
            <w:vAlign w:val="center"/>
          </w:tcPr>
          <w:p>
            <w:pPr>
              <w:pStyle w:val="2"/>
              <w:ind w:firstLine="0" w:firstLineChars="0"/>
              <w:rPr>
                <w:rFonts w:ascii="仿宋" w:hAnsi="仿宋" w:eastAsia="仿宋" w:cs="仿宋"/>
                <w:color w:val="auto"/>
                <w:sz w:val="24"/>
              </w:rPr>
            </w:pPr>
            <w:r>
              <w:rPr>
                <w:rFonts w:hint="eastAsia" w:ascii="仿宋" w:hAnsi="仿宋" w:eastAsia="仿宋" w:cs="仿宋"/>
                <w:color w:val="auto"/>
                <w:sz w:val="24"/>
              </w:rPr>
              <w:t>1.投标人具有质量管理体系认证证书得2分。</w:t>
            </w:r>
          </w:p>
          <w:p>
            <w:pPr>
              <w:pStyle w:val="2"/>
              <w:ind w:firstLine="0" w:firstLineChars="0"/>
              <w:rPr>
                <w:rFonts w:ascii="仿宋" w:hAnsi="仿宋" w:eastAsia="仿宋" w:cs="仿宋"/>
                <w:color w:val="auto"/>
                <w:sz w:val="24"/>
              </w:rPr>
            </w:pPr>
            <w:r>
              <w:rPr>
                <w:rFonts w:hint="eastAsia" w:ascii="仿宋" w:hAnsi="仿宋" w:eastAsia="仿宋" w:cs="仿宋"/>
                <w:color w:val="auto"/>
                <w:sz w:val="24"/>
                <w:lang w:val="en-US"/>
              </w:rPr>
              <w:t>2</w:t>
            </w:r>
            <w:r>
              <w:rPr>
                <w:rFonts w:hint="eastAsia" w:ascii="仿宋" w:hAnsi="仿宋" w:eastAsia="仿宋" w:cs="仿宋"/>
                <w:color w:val="auto"/>
                <w:sz w:val="24"/>
              </w:rPr>
              <w:t>.投标人具有职业健康安全管理体系证书得2分。</w:t>
            </w:r>
          </w:p>
          <w:p>
            <w:pPr>
              <w:pStyle w:val="2"/>
              <w:ind w:firstLine="0" w:firstLineChars="0"/>
              <w:rPr>
                <w:rFonts w:ascii="仿宋" w:hAnsi="仿宋" w:eastAsia="仿宋" w:cs="仿宋"/>
                <w:bCs/>
                <w:color w:val="auto"/>
                <w:sz w:val="24"/>
              </w:rPr>
            </w:pPr>
            <w:r>
              <w:rPr>
                <w:rFonts w:hint="eastAsia" w:ascii="仿宋" w:hAnsi="仿宋" w:eastAsia="仿宋" w:cs="仿宋"/>
                <w:color w:val="auto"/>
                <w:sz w:val="24"/>
              </w:rPr>
              <w:t>注：以上证书需提供相关证明材料复印件并加盖投标人公章。</w:t>
            </w:r>
          </w:p>
        </w:tc>
        <w:tc>
          <w:tcPr>
            <w:tcW w:w="1516" w:type="dxa"/>
            <w:vAlign w:val="center"/>
          </w:tcPr>
          <w:p>
            <w:pPr>
              <w:ind w:firstLine="0" w:firstLineChars="0"/>
              <w:rPr>
                <w:rFonts w:ascii="仿宋" w:hAnsi="仿宋" w:eastAsia="仿宋" w:cs="仿宋"/>
                <w:b w:val="0"/>
                <w:bCs/>
                <w:color w:val="auto"/>
                <w:sz w:val="24"/>
                <w:szCs w:val="24"/>
              </w:rPr>
            </w:pPr>
            <w:r>
              <w:rPr>
                <w:rFonts w:hint="eastAsia" w:ascii="仿宋" w:hAnsi="仿宋" w:eastAsia="仿宋" w:cs="仿宋"/>
                <w:b w:val="0"/>
                <w:bCs/>
                <w:color w:val="auto"/>
                <w:sz w:val="24"/>
                <w:szCs w:val="24"/>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pPr>
              <w:ind w:firstLine="0" w:firstLineChars="0"/>
              <w:jc w:val="center"/>
              <w:rPr>
                <w:rFonts w:ascii="仿宋" w:hAnsi="仿宋" w:eastAsia="仿宋" w:cs="仿宋"/>
                <w:b w:val="0"/>
                <w:bCs/>
                <w:color w:val="auto"/>
                <w:sz w:val="24"/>
                <w:szCs w:val="24"/>
              </w:rPr>
            </w:pPr>
            <w:r>
              <w:rPr>
                <w:rFonts w:hint="eastAsia" w:ascii="仿宋" w:hAnsi="仿宋" w:eastAsia="仿宋" w:cs="仿宋"/>
                <w:b w:val="0"/>
                <w:bCs/>
                <w:color w:val="auto"/>
                <w:sz w:val="24"/>
                <w:szCs w:val="24"/>
                <w:lang w:val="en-US"/>
              </w:rPr>
              <w:t>4</w:t>
            </w:r>
          </w:p>
        </w:tc>
        <w:tc>
          <w:tcPr>
            <w:tcW w:w="923" w:type="dxa"/>
            <w:vAlign w:val="center"/>
          </w:tcPr>
          <w:p>
            <w:pPr>
              <w:ind w:firstLine="0" w:firstLineChars="0"/>
              <w:rPr>
                <w:rFonts w:ascii="仿宋" w:hAnsi="仿宋" w:eastAsia="仿宋" w:cs="仿宋"/>
                <w:b w:val="0"/>
                <w:bCs/>
                <w:color w:val="auto"/>
                <w:sz w:val="24"/>
                <w:szCs w:val="24"/>
              </w:rPr>
            </w:pPr>
            <w:r>
              <w:rPr>
                <w:rFonts w:hint="eastAsia" w:ascii="仿宋" w:hAnsi="仿宋" w:eastAsia="仿宋" w:cs="仿宋"/>
                <w:b w:val="0"/>
                <w:bCs/>
                <w:color w:val="auto"/>
                <w:sz w:val="24"/>
                <w:szCs w:val="24"/>
              </w:rPr>
              <w:t>服务方案</w:t>
            </w:r>
          </w:p>
        </w:tc>
        <w:tc>
          <w:tcPr>
            <w:tcW w:w="761" w:type="dxa"/>
            <w:vAlign w:val="center"/>
          </w:tcPr>
          <w:p>
            <w:pPr>
              <w:ind w:firstLine="0" w:firstLineChars="0"/>
              <w:rPr>
                <w:rFonts w:ascii="仿宋" w:hAnsi="仿宋" w:eastAsia="仿宋" w:cs="仿宋"/>
                <w:b w:val="0"/>
                <w:bCs/>
                <w:color w:val="auto"/>
                <w:sz w:val="24"/>
                <w:szCs w:val="24"/>
              </w:rPr>
            </w:pPr>
            <w:r>
              <w:rPr>
                <w:rFonts w:hint="eastAsia" w:ascii="仿宋" w:hAnsi="仿宋" w:eastAsia="仿宋" w:cs="仿宋"/>
                <w:b w:val="0"/>
                <w:bCs/>
                <w:color w:val="auto"/>
                <w:sz w:val="24"/>
                <w:szCs w:val="24"/>
                <w:lang w:val="en-US"/>
              </w:rPr>
              <w:t>40</w:t>
            </w:r>
            <w:r>
              <w:rPr>
                <w:rFonts w:hint="eastAsia" w:ascii="仿宋" w:hAnsi="仿宋" w:eastAsia="仿宋" w:cs="仿宋"/>
                <w:b w:val="0"/>
                <w:bCs/>
                <w:color w:val="auto"/>
                <w:sz w:val="24"/>
                <w:szCs w:val="24"/>
              </w:rPr>
              <w:t>分</w:t>
            </w:r>
          </w:p>
        </w:tc>
        <w:tc>
          <w:tcPr>
            <w:tcW w:w="4714" w:type="dxa"/>
            <w:vAlign w:val="center"/>
          </w:tcPr>
          <w:p>
            <w:pPr>
              <w:numPr>
                <w:ilvl w:val="0"/>
                <w:numId w:val="60"/>
              </w:numPr>
              <w:ind w:firstLine="0" w:firstLineChars="0"/>
              <w:rPr>
                <w:rFonts w:ascii="仿宋" w:hAnsi="仿宋" w:eastAsia="仿宋" w:cs="仿宋"/>
                <w:b w:val="0"/>
                <w:bCs/>
                <w:color w:val="auto"/>
                <w:sz w:val="24"/>
                <w:szCs w:val="24"/>
              </w:rPr>
            </w:pPr>
            <w:r>
              <w:rPr>
                <w:rFonts w:hint="eastAsia" w:ascii="仿宋" w:hAnsi="仿宋" w:eastAsia="仿宋" w:cs="仿宋"/>
                <w:b w:val="0"/>
                <w:bCs/>
                <w:color w:val="auto"/>
                <w:sz w:val="24"/>
                <w:szCs w:val="24"/>
              </w:rPr>
              <w:t>投标人需要为本项目提供服务实施方案，包含但不限于：①派遣人员管理与考核；②服务质量保障措施；③培训计划；④培训内容安排；⑤人员调度措施；⑥应急方案；⑦劳动保护与安全措施等内容，方案完全包含以上内容的得</w:t>
            </w:r>
            <w:r>
              <w:rPr>
                <w:rFonts w:hint="eastAsia" w:ascii="仿宋" w:hAnsi="仿宋" w:eastAsia="仿宋" w:cs="仿宋"/>
                <w:b w:val="0"/>
                <w:bCs/>
                <w:color w:val="auto"/>
                <w:sz w:val="24"/>
                <w:szCs w:val="24"/>
                <w:lang w:val="en-US"/>
              </w:rPr>
              <w:t>28分，每缺少一项扣4分，每有一项缺陷或不利于项目实施的扣2分，扣完为止</w:t>
            </w:r>
            <w:r>
              <w:rPr>
                <w:rFonts w:hint="eastAsia" w:ascii="仿宋" w:hAnsi="仿宋" w:eastAsia="仿宋" w:cs="仿宋"/>
                <w:b w:val="0"/>
                <w:bCs/>
                <w:color w:val="auto"/>
                <w:sz w:val="24"/>
                <w:szCs w:val="24"/>
              </w:rPr>
              <w:t>。</w:t>
            </w:r>
          </w:p>
          <w:p>
            <w:pPr>
              <w:numPr>
                <w:ilvl w:val="0"/>
                <w:numId w:val="60"/>
              </w:numPr>
              <w:ind w:firstLine="0" w:firstLineChars="0"/>
              <w:rPr>
                <w:rFonts w:ascii="仿宋" w:hAnsi="仿宋" w:eastAsia="仿宋" w:cs="仿宋"/>
                <w:b w:val="0"/>
                <w:bCs/>
                <w:color w:val="auto"/>
                <w:sz w:val="24"/>
                <w:szCs w:val="24"/>
                <w:lang w:val="en-US"/>
              </w:rPr>
            </w:pPr>
            <w:r>
              <w:rPr>
                <w:rFonts w:hint="eastAsia" w:ascii="仿宋" w:hAnsi="仿宋" w:eastAsia="仿宋" w:cs="仿宋"/>
                <w:b w:val="0"/>
                <w:bCs/>
                <w:color w:val="auto"/>
                <w:sz w:val="24"/>
                <w:szCs w:val="24"/>
              </w:rPr>
              <w:t>投标人需要为本项目提供采购人原聘人员接收、劳动关系转移、劳动风险预防等处理流程及相关措施方案，方案完全包含以上内容的得</w:t>
            </w:r>
            <w:r>
              <w:rPr>
                <w:rFonts w:hint="eastAsia" w:ascii="仿宋" w:hAnsi="仿宋" w:eastAsia="仿宋" w:cs="仿宋"/>
                <w:b w:val="0"/>
                <w:bCs/>
                <w:color w:val="auto"/>
                <w:sz w:val="24"/>
                <w:szCs w:val="24"/>
                <w:lang w:val="en-US"/>
              </w:rPr>
              <w:t>12分，每缺少一项扣4分，每有一项缺陷或不利于项目实施的扣2分，扣完为止</w:t>
            </w:r>
            <w:r>
              <w:rPr>
                <w:rFonts w:hint="eastAsia" w:ascii="仿宋" w:hAnsi="仿宋" w:eastAsia="仿宋" w:cs="仿宋"/>
                <w:b w:val="0"/>
                <w:bCs/>
                <w:color w:val="auto"/>
                <w:sz w:val="24"/>
                <w:szCs w:val="24"/>
              </w:rPr>
              <w:t>。</w:t>
            </w:r>
          </w:p>
        </w:tc>
        <w:tc>
          <w:tcPr>
            <w:tcW w:w="1516" w:type="dxa"/>
            <w:vAlign w:val="center"/>
          </w:tcPr>
          <w:p>
            <w:pPr>
              <w:ind w:firstLine="0" w:firstLineChars="0"/>
              <w:rPr>
                <w:rFonts w:ascii="仿宋" w:hAnsi="仿宋" w:eastAsia="仿宋" w:cs="仿宋"/>
                <w:b w:val="0"/>
                <w:bCs/>
                <w:color w:val="auto"/>
                <w:sz w:val="24"/>
                <w:szCs w:val="24"/>
              </w:rPr>
            </w:pPr>
            <w:r>
              <w:rPr>
                <w:rFonts w:hint="eastAsia" w:ascii="仿宋" w:hAnsi="仿宋" w:eastAsia="仿宋" w:cs="仿宋"/>
                <w:b w:val="0"/>
                <w:bCs/>
                <w:color w:val="auto"/>
                <w:sz w:val="24"/>
                <w:szCs w:val="24"/>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pPr>
              <w:ind w:firstLine="0" w:firstLineChars="0"/>
              <w:jc w:val="center"/>
              <w:rPr>
                <w:rFonts w:ascii="仿宋" w:hAnsi="仿宋" w:eastAsia="仿宋" w:cs="仿宋"/>
                <w:b w:val="0"/>
                <w:bCs/>
                <w:color w:val="auto"/>
                <w:sz w:val="24"/>
                <w:szCs w:val="24"/>
              </w:rPr>
            </w:pPr>
            <w:r>
              <w:rPr>
                <w:rFonts w:hint="eastAsia" w:ascii="仿宋" w:hAnsi="仿宋" w:eastAsia="仿宋" w:cs="仿宋"/>
                <w:b w:val="0"/>
                <w:bCs/>
                <w:color w:val="auto"/>
                <w:sz w:val="24"/>
                <w:szCs w:val="24"/>
                <w:lang w:val="en-US"/>
              </w:rPr>
              <w:t>5</w:t>
            </w:r>
          </w:p>
        </w:tc>
        <w:tc>
          <w:tcPr>
            <w:tcW w:w="923" w:type="dxa"/>
            <w:vAlign w:val="center"/>
          </w:tcPr>
          <w:p>
            <w:pPr>
              <w:ind w:firstLine="0" w:firstLineChars="0"/>
              <w:jc w:val="center"/>
              <w:rPr>
                <w:rFonts w:ascii="仿宋" w:hAnsi="仿宋" w:eastAsia="仿宋" w:cs="仿宋"/>
                <w:b w:val="0"/>
                <w:bCs/>
                <w:color w:val="auto"/>
                <w:sz w:val="24"/>
                <w:szCs w:val="24"/>
              </w:rPr>
            </w:pPr>
            <w:r>
              <w:rPr>
                <w:rFonts w:hint="eastAsia" w:ascii="仿宋" w:hAnsi="仿宋" w:eastAsia="仿宋" w:cs="仿宋"/>
                <w:b w:val="0"/>
                <w:bCs/>
                <w:color w:val="auto"/>
                <w:sz w:val="24"/>
                <w:szCs w:val="24"/>
              </w:rPr>
              <w:t>业绩</w:t>
            </w:r>
          </w:p>
        </w:tc>
        <w:tc>
          <w:tcPr>
            <w:tcW w:w="761" w:type="dxa"/>
            <w:vAlign w:val="center"/>
          </w:tcPr>
          <w:p>
            <w:pPr>
              <w:ind w:firstLine="0" w:firstLineChars="0"/>
              <w:rPr>
                <w:rFonts w:ascii="仿宋" w:hAnsi="仿宋" w:eastAsia="仿宋" w:cs="仿宋"/>
                <w:b w:val="0"/>
                <w:bCs/>
                <w:color w:val="auto"/>
                <w:sz w:val="24"/>
                <w:szCs w:val="24"/>
              </w:rPr>
            </w:pPr>
            <w:r>
              <w:rPr>
                <w:rFonts w:hint="eastAsia" w:ascii="仿宋" w:hAnsi="仿宋" w:eastAsia="仿宋" w:cs="仿宋"/>
                <w:b w:val="0"/>
                <w:bCs/>
                <w:color w:val="auto"/>
                <w:sz w:val="24"/>
                <w:szCs w:val="24"/>
                <w:lang w:val="en-US"/>
              </w:rPr>
              <w:t>2</w:t>
            </w:r>
            <w:r>
              <w:rPr>
                <w:rFonts w:hint="eastAsia" w:ascii="仿宋" w:hAnsi="仿宋" w:eastAsia="仿宋" w:cs="仿宋"/>
                <w:b w:val="0"/>
                <w:bCs/>
                <w:color w:val="auto"/>
                <w:sz w:val="24"/>
                <w:szCs w:val="24"/>
              </w:rPr>
              <w:t>0分</w:t>
            </w:r>
          </w:p>
        </w:tc>
        <w:tc>
          <w:tcPr>
            <w:tcW w:w="4714" w:type="dxa"/>
            <w:vAlign w:val="center"/>
          </w:tcPr>
          <w:p>
            <w:pPr>
              <w:ind w:firstLine="0" w:firstLineChars="0"/>
              <w:rPr>
                <w:rFonts w:ascii="仿宋" w:hAnsi="仿宋" w:eastAsia="仿宋" w:cs="仿宋"/>
                <w:b w:val="0"/>
                <w:bCs/>
                <w:color w:val="auto"/>
                <w:sz w:val="24"/>
                <w:szCs w:val="24"/>
              </w:rPr>
            </w:pPr>
            <w:r>
              <w:rPr>
                <w:rFonts w:hint="eastAsia" w:ascii="仿宋" w:hAnsi="仿宋" w:eastAsia="仿宋" w:cs="仿宋"/>
                <w:b w:val="0"/>
                <w:bCs/>
                <w:color w:val="auto"/>
                <w:sz w:val="24"/>
                <w:szCs w:val="24"/>
              </w:rPr>
              <w:t>评标委员会根据投标人类似项目业绩（201</w:t>
            </w:r>
            <w:r>
              <w:rPr>
                <w:rFonts w:hint="eastAsia" w:ascii="仿宋" w:hAnsi="仿宋" w:eastAsia="仿宋" w:cs="仿宋"/>
                <w:b w:val="0"/>
                <w:bCs/>
                <w:color w:val="auto"/>
                <w:sz w:val="24"/>
                <w:szCs w:val="24"/>
                <w:lang w:val="en-US"/>
              </w:rPr>
              <w:t>8</w:t>
            </w:r>
            <w:r>
              <w:rPr>
                <w:rFonts w:hint="eastAsia" w:ascii="仿宋" w:hAnsi="仿宋" w:eastAsia="仿宋" w:cs="仿宋"/>
                <w:b w:val="0"/>
                <w:bCs/>
                <w:color w:val="auto"/>
                <w:sz w:val="24"/>
                <w:szCs w:val="24"/>
              </w:rPr>
              <w:t>年1月1日起签订的合同-至递交投标文件截止日）进行评定，每提供一个业绩得</w:t>
            </w:r>
            <w:r>
              <w:rPr>
                <w:rFonts w:hint="eastAsia" w:ascii="仿宋" w:hAnsi="仿宋" w:eastAsia="仿宋" w:cs="仿宋"/>
                <w:b w:val="0"/>
                <w:bCs/>
                <w:color w:val="auto"/>
                <w:sz w:val="24"/>
                <w:szCs w:val="24"/>
                <w:lang w:val="en-US"/>
              </w:rPr>
              <w:t>4</w:t>
            </w:r>
            <w:r>
              <w:rPr>
                <w:rFonts w:hint="eastAsia" w:ascii="仿宋" w:hAnsi="仿宋" w:eastAsia="仿宋" w:cs="仿宋"/>
                <w:b w:val="0"/>
                <w:bCs/>
                <w:color w:val="auto"/>
                <w:sz w:val="24"/>
                <w:szCs w:val="24"/>
              </w:rPr>
              <w:t>分，最多得</w:t>
            </w:r>
            <w:r>
              <w:rPr>
                <w:rFonts w:hint="eastAsia" w:ascii="仿宋" w:hAnsi="仿宋" w:eastAsia="仿宋" w:cs="仿宋"/>
                <w:b w:val="0"/>
                <w:bCs/>
                <w:color w:val="auto"/>
                <w:sz w:val="24"/>
                <w:szCs w:val="24"/>
                <w:lang w:val="en-US"/>
              </w:rPr>
              <w:t>20</w:t>
            </w:r>
            <w:r>
              <w:rPr>
                <w:rFonts w:hint="eastAsia" w:ascii="仿宋" w:hAnsi="仿宋" w:eastAsia="仿宋" w:cs="仿宋"/>
                <w:b w:val="0"/>
                <w:bCs/>
                <w:color w:val="auto"/>
                <w:sz w:val="24"/>
                <w:szCs w:val="24"/>
              </w:rPr>
              <w:t>分。</w:t>
            </w:r>
          </w:p>
          <w:p>
            <w:pPr>
              <w:ind w:firstLine="0" w:firstLineChars="0"/>
              <w:rPr>
                <w:rFonts w:hint="eastAsia" w:ascii="仿宋" w:hAnsi="仿宋" w:eastAsia="仿宋" w:cs="仿宋"/>
                <w:b w:val="0"/>
                <w:bCs/>
                <w:color w:val="auto"/>
                <w:sz w:val="24"/>
                <w:szCs w:val="24"/>
                <w:lang w:eastAsia="zh-CN"/>
              </w:rPr>
            </w:pPr>
            <w:r>
              <w:rPr>
                <w:rFonts w:hint="eastAsia" w:ascii="仿宋" w:hAnsi="仿宋" w:eastAsia="仿宋" w:cs="仿宋"/>
                <w:b w:val="0"/>
                <w:bCs/>
                <w:color w:val="auto"/>
                <w:sz w:val="24"/>
                <w:szCs w:val="24"/>
              </w:rPr>
              <w:t>提供合同或中标（成交）通知书复印件加盖投标人公章</w:t>
            </w:r>
            <w:r>
              <w:rPr>
                <w:rFonts w:hint="eastAsia" w:ascii="仿宋" w:hAnsi="仿宋" w:eastAsia="仿宋" w:cs="仿宋"/>
                <w:b w:val="0"/>
                <w:bCs/>
                <w:color w:val="auto"/>
                <w:sz w:val="24"/>
                <w:szCs w:val="24"/>
                <w:lang w:eastAsia="zh-CN"/>
              </w:rPr>
              <w:t>。</w:t>
            </w:r>
          </w:p>
        </w:tc>
        <w:tc>
          <w:tcPr>
            <w:tcW w:w="1516" w:type="dxa"/>
            <w:vAlign w:val="center"/>
          </w:tcPr>
          <w:p>
            <w:pPr>
              <w:ind w:firstLine="0" w:firstLineChars="0"/>
              <w:rPr>
                <w:rFonts w:ascii="仿宋" w:hAnsi="仿宋" w:eastAsia="仿宋" w:cs="仿宋"/>
                <w:b w:val="0"/>
                <w:bCs/>
                <w:color w:val="auto"/>
                <w:sz w:val="24"/>
                <w:szCs w:val="24"/>
              </w:rPr>
            </w:pPr>
            <w:r>
              <w:rPr>
                <w:rFonts w:hint="eastAsia" w:ascii="仿宋" w:hAnsi="仿宋" w:eastAsia="仿宋" w:cs="仿宋"/>
                <w:b w:val="0"/>
                <w:bCs/>
                <w:color w:val="auto"/>
                <w:sz w:val="24"/>
                <w:szCs w:val="24"/>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pPr>
              <w:ind w:firstLine="0" w:firstLineChars="0"/>
              <w:jc w:val="center"/>
              <w:rPr>
                <w:rFonts w:ascii="仿宋" w:hAnsi="仿宋" w:eastAsia="仿宋" w:cs="仿宋"/>
                <w:b w:val="0"/>
                <w:bCs/>
                <w:color w:val="auto"/>
                <w:sz w:val="24"/>
                <w:szCs w:val="24"/>
              </w:rPr>
            </w:pPr>
            <w:r>
              <w:rPr>
                <w:rFonts w:hint="eastAsia" w:ascii="仿宋" w:hAnsi="仿宋" w:eastAsia="仿宋" w:cs="仿宋"/>
                <w:b w:val="0"/>
                <w:bCs/>
                <w:color w:val="auto"/>
                <w:sz w:val="24"/>
                <w:szCs w:val="24"/>
                <w:lang w:val="en-US"/>
              </w:rPr>
              <w:t>6</w:t>
            </w:r>
          </w:p>
        </w:tc>
        <w:tc>
          <w:tcPr>
            <w:tcW w:w="923" w:type="dxa"/>
            <w:vAlign w:val="center"/>
          </w:tcPr>
          <w:p>
            <w:pPr>
              <w:ind w:firstLine="0" w:firstLineChars="0"/>
              <w:rPr>
                <w:rFonts w:ascii="仿宋" w:hAnsi="仿宋" w:eastAsia="仿宋" w:cs="仿宋"/>
                <w:b w:val="0"/>
                <w:bCs/>
                <w:color w:val="auto"/>
                <w:sz w:val="24"/>
                <w:szCs w:val="24"/>
              </w:rPr>
            </w:pPr>
            <w:r>
              <w:rPr>
                <w:rFonts w:hint="eastAsia" w:ascii="仿宋" w:hAnsi="仿宋" w:eastAsia="仿宋" w:cs="仿宋"/>
                <w:b w:val="0"/>
                <w:bCs/>
                <w:color w:val="auto"/>
                <w:sz w:val="24"/>
                <w:szCs w:val="24"/>
              </w:rPr>
              <w:t>投标文件的规范性</w:t>
            </w:r>
          </w:p>
        </w:tc>
        <w:tc>
          <w:tcPr>
            <w:tcW w:w="761" w:type="dxa"/>
            <w:vAlign w:val="center"/>
          </w:tcPr>
          <w:p>
            <w:pPr>
              <w:ind w:firstLine="0" w:firstLineChars="0"/>
              <w:rPr>
                <w:rFonts w:ascii="仿宋" w:hAnsi="仿宋" w:eastAsia="仿宋" w:cs="仿宋"/>
                <w:b w:val="0"/>
                <w:bCs/>
                <w:color w:val="auto"/>
                <w:sz w:val="24"/>
                <w:szCs w:val="24"/>
              </w:rPr>
            </w:pPr>
            <w:r>
              <w:rPr>
                <w:rFonts w:hint="eastAsia" w:ascii="仿宋" w:hAnsi="仿宋" w:eastAsia="仿宋" w:cs="仿宋"/>
                <w:b w:val="0"/>
                <w:bCs/>
                <w:color w:val="auto"/>
                <w:sz w:val="24"/>
                <w:szCs w:val="24"/>
              </w:rPr>
              <w:t>2分</w:t>
            </w:r>
          </w:p>
        </w:tc>
        <w:tc>
          <w:tcPr>
            <w:tcW w:w="4714" w:type="dxa"/>
            <w:vAlign w:val="center"/>
          </w:tcPr>
          <w:p>
            <w:pPr>
              <w:ind w:firstLine="0" w:firstLineChars="0"/>
              <w:rPr>
                <w:rFonts w:ascii="仿宋" w:hAnsi="仿宋" w:eastAsia="仿宋" w:cs="仿宋"/>
                <w:b w:val="0"/>
                <w:bCs/>
                <w:color w:val="auto"/>
                <w:sz w:val="24"/>
                <w:szCs w:val="24"/>
              </w:rPr>
            </w:pPr>
            <w:r>
              <w:rPr>
                <w:rFonts w:hint="eastAsia" w:ascii="仿宋" w:hAnsi="仿宋" w:eastAsia="仿宋" w:cs="仿宋"/>
                <w:b w:val="0"/>
                <w:bCs/>
                <w:color w:val="auto"/>
                <w:sz w:val="24"/>
                <w:szCs w:val="24"/>
              </w:rPr>
              <w:t>投标文件制作规范，没有细微偏差情形的得2分；有一项细微偏差扣0.5分，直至该项分值扣完为止。</w:t>
            </w:r>
          </w:p>
        </w:tc>
        <w:tc>
          <w:tcPr>
            <w:tcW w:w="1516" w:type="dxa"/>
            <w:vAlign w:val="center"/>
          </w:tcPr>
          <w:p>
            <w:pPr>
              <w:ind w:firstLine="0" w:firstLineChars="0"/>
              <w:rPr>
                <w:rFonts w:ascii="仿宋" w:hAnsi="仿宋" w:eastAsia="仿宋" w:cs="仿宋"/>
                <w:b w:val="0"/>
                <w:bCs/>
                <w:color w:val="auto"/>
                <w:sz w:val="24"/>
                <w:szCs w:val="24"/>
              </w:rPr>
            </w:pPr>
            <w:r>
              <w:rPr>
                <w:rFonts w:hint="eastAsia" w:ascii="仿宋" w:hAnsi="仿宋" w:eastAsia="仿宋" w:cs="仿宋"/>
                <w:b w:val="0"/>
                <w:bCs/>
                <w:color w:val="auto"/>
                <w:sz w:val="24"/>
                <w:szCs w:val="24"/>
              </w:rPr>
              <w:t>共同评分因素</w:t>
            </w:r>
          </w:p>
        </w:tc>
      </w:tr>
    </w:tbl>
    <w:p>
      <w:pPr>
        <w:ind w:firstLine="0" w:firstLineChars="0"/>
        <w:rPr>
          <w:rFonts w:ascii="仿宋" w:hAnsi="仿宋" w:eastAsia="仿宋"/>
          <w:b w:val="0"/>
          <w:color w:val="auto"/>
          <w:sz w:val="24"/>
          <w:szCs w:val="24"/>
        </w:rPr>
      </w:pPr>
      <w:r>
        <w:rPr>
          <w:rFonts w:ascii="仿宋" w:hAnsi="仿宋" w:eastAsia="仿宋"/>
          <w:b w:val="0"/>
          <w:color w:val="auto"/>
          <w:sz w:val="24"/>
          <w:szCs w:val="24"/>
        </w:rPr>
        <w:t>注：</w:t>
      </w:r>
    </w:p>
    <w:p>
      <w:pPr>
        <w:ind w:firstLine="480"/>
        <w:rPr>
          <w:rFonts w:ascii="仿宋" w:hAnsi="仿宋" w:eastAsia="仿宋"/>
          <w:b w:val="0"/>
          <w:color w:val="auto"/>
          <w:sz w:val="24"/>
          <w:szCs w:val="24"/>
        </w:rPr>
      </w:pPr>
      <w:r>
        <w:rPr>
          <w:rFonts w:ascii="仿宋" w:hAnsi="仿宋" w:eastAsia="仿宋"/>
          <w:b w:val="0"/>
          <w:color w:val="auto"/>
          <w:sz w:val="24"/>
          <w:szCs w:val="24"/>
        </w:rPr>
        <w:t>1．评分的取值按四舍五入法，保留小数点后两位。</w:t>
      </w:r>
    </w:p>
    <w:p>
      <w:pPr>
        <w:ind w:firstLine="480"/>
        <w:rPr>
          <w:rFonts w:ascii="仿宋" w:hAnsi="仿宋" w:eastAsia="仿宋"/>
          <w:b w:val="0"/>
          <w:color w:val="auto"/>
          <w:sz w:val="24"/>
          <w:szCs w:val="24"/>
        </w:rPr>
      </w:pPr>
      <w:r>
        <w:rPr>
          <w:rFonts w:ascii="仿宋" w:hAnsi="仿宋" w:eastAsia="仿宋"/>
          <w:b w:val="0"/>
          <w:color w:val="auto"/>
          <w:sz w:val="24"/>
          <w:szCs w:val="24"/>
        </w:rPr>
        <w:t>2</w:t>
      </w:r>
      <w:r>
        <w:rPr>
          <w:rFonts w:hint="eastAsia" w:ascii="仿宋" w:hAnsi="仿宋" w:eastAsia="仿宋"/>
          <w:b w:val="0"/>
          <w:color w:val="auto"/>
          <w:sz w:val="24"/>
          <w:szCs w:val="24"/>
        </w:rPr>
        <w:t>．</w:t>
      </w:r>
      <w:r>
        <w:rPr>
          <w:rFonts w:ascii="仿宋" w:hAnsi="仿宋" w:eastAsia="仿宋"/>
          <w:b w:val="0"/>
          <w:color w:val="auto"/>
          <w:sz w:val="24"/>
          <w:szCs w:val="24"/>
        </w:rPr>
        <w:t>评审专家应对每个投标人每项评分因素给出详细的评审说明（报价评分项除外）。</w:t>
      </w:r>
    </w:p>
    <w:p>
      <w:pPr>
        <w:numPr>
          <w:ilvl w:val="1"/>
          <w:numId w:val="17"/>
        </w:numPr>
        <w:tabs>
          <w:tab w:val="left" w:pos="360"/>
        </w:tabs>
        <w:spacing w:line="540" w:lineRule="exact"/>
        <w:ind w:left="0" w:firstLine="0" w:firstLineChars="0"/>
        <w:jc w:val="left"/>
        <w:outlineLvl w:val="1"/>
        <w:rPr>
          <w:rFonts w:ascii="仿宋" w:hAnsi="仿宋" w:eastAsia="仿宋"/>
          <w:bCs/>
          <w:color w:val="auto"/>
          <w:kern w:val="2"/>
          <w:sz w:val="24"/>
          <w:szCs w:val="24"/>
          <w:lang w:val="en-US"/>
        </w:rPr>
      </w:pPr>
      <w:bookmarkStart w:id="804" w:name="_Toc217446060"/>
      <w:r>
        <w:rPr>
          <w:rFonts w:ascii="仿宋" w:hAnsi="仿宋" w:eastAsia="仿宋"/>
          <w:bCs/>
          <w:color w:val="auto"/>
          <w:kern w:val="2"/>
          <w:sz w:val="24"/>
          <w:szCs w:val="24"/>
          <w:lang w:val="en-US"/>
        </w:rPr>
        <w:t xml:space="preserve"> </w:t>
      </w:r>
      <w:bookmarkStart w:id="805" w:name="_Toc494198667"/>
      <w:bookmarkStart w:id="806" w:name="_Toc496605700"/>
      <w:bookmarkStart w:id="807" w:name="_Toc40703459"/>
      <w:bookmarkStart w:id="808" w:name="_Toc36029490"/>
      <w:r>
        <w:rPr>
          <w:rFonts w:ascii="仿宋" w:hAnsi="仿宋" w:eastAsia="仿宋"/>
          <w:bCs/>
          <w:color w:val="auto"/>
          <w:kern w:val="2"/>
          <w:sz w:val="24"/>
          <w:szCs w:val="24"/>
          <w:lang w:val="en-US"/>
        </w:rPr>
        <w:t>废 标</w:t>
      </w:r>
      <w:bookmarkEnd w:id="805"/>
      <w:bookmarkEnd w:id="806"/>
      <w:bookmarkEnd w:id="807"/>
      <w:bookmarkEnd w:id="808"/>
    </w:p>
    <w:p>
      <w:pPr>
        <w:numPr>
          <w:ilvl w:val="2"/>
          <w:numId w:val="17"/>
        </w:numPr>
        <w:tabs>
          <w:tab w:val="left" w:pos="360"/>
        </w:tabs>
        <w:snapToGrid/>
        <w:spacing w:line="520" w:lineRule="exact"/>
        <w:ind w:left="0" w:firstLine="482"/>
        <w:jc w:val="left"/>
        <w:outlineLvl w:val="2"/>
        <w:rPr>
          <w:rFonts w:ascii="仿宋" w:hAnsi="仿宋" w:eastAsia="仿宋"/>
          <w:bCs/>
          <w:color w:val="auto"/>
          <w:kern w:val="2"/>
          <w:sz w:val="24"/>
          <w:szCs w:val="24"/>
          <w:lang w:val="en-US"/>
        </w:rPr>
      </w:pPr>
      <w:bookmarkStart w:id="809" w:name="_Toc494198994"/>
      <w:bookmarkStart w:id="810" w:name="_Toc494198668"/>
      <w:bookmarkStart w:id="811" w:name="_Toc500492796"/>
      <w:bookmarkStart w:id="812" w:name="_Toc496605701"/>
      <w:r>
        <w:rPr>
          <w:rFonts w:ascii="仿宋" w:hAnsi="仿宋" w:eastAsia="仿宋"/>
          <w:bCs/>
          <w:color w:val="auto"/>
          <w:kern w:val="2"/>
          <w:sz w:val="24"/>
          <w:szCs w:val="24"/>
          <w:lang w:val="en-US"/>
        </w:rPr>
        <w:t>本次政府采购活动中，出现下列情形之一的，予以废标：</w:t>
      </w:r>
      <w:bookmarkEnd w:id="809"/>
      <w:bookmarkEnd w:id="810"/>
      <w:bookmarkEnd w:id="811"/>
      <w:bookmarkEnd w:id="812"/>
    </w:p>
    <w:p>
      <w:pPr>
        <w:numPr>
          <w:ilvl w:val="0"/>
          <w:numId w:val="61"/>
        </w:numPr>
        <w:tabs>
          <w:tab w:val="left" w:pos="709"/>
          <w:tab w:val="left" w:pos="851"/>
        </w:tabs>
        <w:spacing w:line="540" w:lineRule="exact"/>
        <w:ind w:left="0" w:firstLine="480"/>
        <w:rPr>
          <w:rFonts w:ascii="仿宋" w:hAnsi="仿宋" w:eastAsia="仿宋"/>
          <w:b w:val="0"/>
          <w:color w:val="000000"/>
          <w:kern w:val="2"/>
          <w:sz w:val="24"/>
          <w:szCs w:val="24"/>
          <w:lang w:val="en-US"/>
        </w:rPr>
      </w:pPr>
      <w:r>
        <w:rPr>
          <w:rFonts w:ascii="仿宋" w:hAnsi="仿宋" w:eastAsia="仿宋"/>
          <w:b w:val="0"/>
          <w:color w:val="000000"/>
          <w:kern w:val="2"/>
          <w:sz w:val="24"/>
          <w:szCs w:val="24"/>
          <w:lang w:val="en-US"/>
        </w:rPr>
        <w:t>符合专业条件的供应商或者对招标文件作实质响应的供应商不足三家的；</w:t>
      </w:r>
    </w:p>
    <w:p>
      <w:pPr>
        <w:numPr>
          <w:ilvl w:val="0"/>
          <w:numId w:val="61"/>
        </w:numPr>
        <w:tabs>
          <w:tab w:val="left" w:pos="709"/>
          <w:tab w:val="left" w:pos="851"/>
        </w:tabs>
        <w:spacing w:line="540" w:lineRule="exact"/>
        <w:ind w:left="0" w:firstLine="480"/>
        <w:rPr>
          <w:rFonts w:ascii="仿宋" w:hAnsi="仿宋" w:eastAsia="仿宋"/>
          <w:b w:val="0"/>
          <w:color w:val="000000"/>
          <w:kern w:val="2"/>
          <w:sz w:val="24"/>
          <w:szCs w:val="24"/>
          <w:lang w:val="en-US"/>
        </w:rPr>
      </w:pPr>
      <w:r>
        <w:rPr>
          <w:rFonts w:ascii="仿宋" w:hAnsi="仿宋" w:eastAsia="仿宋"/>
          <w:b w:val="0"/>
          <w:color w:val="000000"/>
          <w:kern w:val="2"/>
          <w:sz w:val="24"/>
          <w:szCs w:val="24"/>
          <w:lang w:val="en-US"/>
        </w:rPr>
        <w:t>出现影响采购公正的违法、违规行为的；</w:t>
      </w:r>
    </w:p>
    <w:p>
      <w:pPr>
        <w:numPr>
          <w:ilvl w:val="0"/>
          <w:numId w:val="61"/>
        </w:numPr>
        <w:tabs>
          <w:tab w:val="left" w:pos="709"/>
          <w:tab w:val="left" w:pos="851"/>
        </w:tabs>
        <w:spacing w:line="540" w:lineRule="exact"/>
        <w:ind w:left="0" w:firstLine="480"/>
        <w:rPr>
          <w:rFonts w:ascii="仿宋" w:hAnsi="仿宋" w:eastAsia="仿宋"/>
          <w:b w:val="0"/>
          <w:color w:val="000000"/>
          <w:kern w:val="2"/>
          <w:sz w:val="24"/>
          <w:szCs w:val="24"/>
          <w:lang w:val="en-US"/>
        </w:rPr>
      </w:pPr>
      <w:r>
        <w:rPr>
          <w:rFonts w:ascii="仿宋" w:hAnsi="仿宋" w:eastAsia="仿宋"/>
          <w:b w:val="0"/>
          <w:color w:val="000000"/>
          <w:kern w:val="2"/>
          <w:sz w:val="24"/>
          <w:szCs w:val="24"/>
          <w:lang w:val="en-US"/>
        </w:rPr>
        <w:t>投标人的报价均超过了采购预算，采购人不能支付的；</w:t>
      </w:r>
    </w:p>
    <w:p>
      <w:pPr>
        <w:numPr>
          <w:ilvl w:val="0"/>
          <w:numId w:val="61"/>
        </w:numPr>
        <w:tabs>
          <w:tab w:val="left" w:pos="851"/>
        </w:tabs>
        <w:spacing w:line="540" w:lineRule="exact"/>
        <w:ind w:left="0" w:firstLine="480"/>
        <w:rPr>
          <w:rFonts w:ascii="仿宋" w:hAnsi="仿宋" w:eastAsia="仿宋"/>
          <w:b w:val="0"/>
          <w:color w:val="000000"/>
          <w:kern w:val="2"/>
          <w:sz w:val="24"/>
          <w:szCs w:val="24"/>
          <w:lang w:val="en-US"/>
        </w:rPr>
      </w:pPr>
      <w:r>
        <w:rPr>
          <w:rFonts w:ascii="仿宋" w:hAnsi="仿宋" w:eastAsia="仿宋"/>
          <w:b w:val="0"/>
          <w:color w:val="000000"/>
          <w:kern w:val="2"/>
          <w:sz w:val="24"/>
          <w:szCs w:val="24"/>
          <w:lang w:val="en-US"/>
        </w:rPr>
        <w:t>因重大变故，采购任务取消的。</w:t>
      </w:r>
    </w:p>
    <w:p>
      <w:pPr>
        <w:spacing w:line="540" w:lineRule="exact"/>
        <w:ind w:firstLine="480"/>
        <w:rPr>
          <w:rFonts w:ascii="仿宋" w:hAnsi="仿宋" w:eastAsia="仿宋"/>
          <w:b w:val="0"/>
          <w:color w:val="000000"/>
          <w:kern w:val="2"/>
          <w:sz w:val="24"/>
          <w:szCs w:val="24"/>
          <w:lang w:val="en-US"/>
        </w:rPr>
      </w:pPr>
      <w:r>
        <w:rPr>
          <w:rFonts w:ascii="仿宋" w:hAnsi="仿宋" w:eastAsia="仿宋"/>
          <w:b w:val="0"/>
          <w:color w:val="000000"/>
          <w:kern w:val="2"/>
          <w:sz w:val="24"/>
          <w:szCs w:val="24"/>
          <w:lang w:val="en-US"/>
        </w:rPr>
        <w:t>废标后，采购代理机构应在四川政府采购网上公告，并公告废标的情形。</w:t>
      </w:r>
    </w:p>
    <w:p>
      <w:pPr>
        <w:numPr>
          <w:ilvl w:val="2"/>
          <w:numId w:val="17"/>
        </w:numPr>
        <w:tabs>
          <w:tab w:val="left" w:pos="360"/>
        </w:tabs>
        <w:snapToGrid/>
        <w:spacing w:line="520" w:lineRule="exact"/>
        <w:ind w:left="0" w:firstLine="482"/>
        <w:jc w:val="left"/>
        <w:outlineLvl w:val="2"/>
        <w:rPr>
          <w:rFonts w:ascii="仿宋" w:hAnsi="仿宋" w:eastAsia="仿宋"/>
          <w:bCs/>
          <w:color w:val="auto"/>
          <w:kern w:val="2"/>
          <w:sz w:val="24"/>
          <w:szCs w:val="24"/>
          <w:lang w:val="en-US"/>
        </w:rPr>
      </w:pPr>
      <w:bookmarkStart w:id="813" w:name="_Toc494198669"/>
      <w:bookmarkStart w:id="814" w:name="_Toc496605702"/>
      <w:bookmarkStart w:id="815" w:name="_Toc494198995"/>
      <w:bookmarkStart w:id="816" w:name="_Toc500492797"/>
      <w:r>
        <w:rPr>
          <w:rFonts w:ascii="仿宋" w:hAnsi="仿宋" w:eastAsia="仿宋"/>
          <w:bCs/>
          <w:color w:val="auto"/>
          <w:kern w:val="2"/>
          <w:sz w:val="24"/>
          <w:szCs w:val="24"/>
          <w:lang w:val="en-US"/>
        </w:rPr>
        <w:t>对于评标过程中废标的采购项目，评标委员会应当对招标文件是否存在倾向性和歧视性、是否存在不合理条款进行论证，并出具书面论证意见。</w:t>
      </w:r>
      <w:bookmarkEnd w:id="813"/>
      <w:bookmarkEnd w:id="814"/>
      <w:bookmarkEnd w:id="815"/>
      <w:bookmarkEnd w:id="816"/>
    </w:p>
    <w:p>
      <w:pPr>
        <w:numPr>
          <w:ilvl w:val="1"/>
          <w:numId w:val="17"/>
        </w:numPr>
        <w:tabs>
          <w:tab w:val="left" w:pos="360"/>
        </w:tabs>
        <w:spacing w:line="540" w:lineRule="exact"/>
        <w:ind w:left="0" w:firstLine="0" w:firstLineChars="0"/>
        <w:jc w:val="left"/>
        <w:outlineLvl w:val="1"/>
        <w:rPr>
          <w:rFonts w:ascii="仿宋" w:hAnsi="仿宋" w:eastAsia="仿宋"/>
          <w:bCs/>
          <w:color w:val="auto"/>
          <w:kern w:val="2"/>
          <w:sz w:val="24"/>
          <w:szCs w:val="24"/>
          <w:lang w:val="en-US"/>
        </w:rPr>
      </w:pPr>
      <w:r>
        <w:rPr>
          <w:rFonts w:ascii="仿宋" w:hAnsi="仿宋" w:eastAsia="仿宋"/>
          <w:bCs/>
          <w:color w:val="auto"/>
          <w:kern w:val="2"/>
          <w:sz w:val="24"/>
          <w:szCs w:val="24"/>
          <w:lang w:val="en-US"/>
        </w:rPr>
        <w:t xml:space="preserve"> </w:t>
      </w:r>
      <w:bookmarkStart w:id="817" w:name="_Toc36029491"/>
      <w:bookmarkStart w:id="818" w:name="_Toc40703460"/>
      <w:bookmarkStart w:id="819" w:name="_Toc496605703"/>
      <w:bookmarkStart w:id="820" w:name="_Toc494198670"/>
      <w:r>
        <w:rPr>
          <w:rFonts w:ascii="仿宋" w:hAnsi="仿宋" w:eastAsia="仿宋"/>
          <w:bCs/>
          <w:color w:val="auto"/>
          <w:kern w:val="2"/>
          <w:sz w:val="24"/>
          <w:szCs w:val="24"/>
          <w:lang w:val="en-US"/>
        </w:rPr>
        <w:t>定标</w:t>
      </w:r>
      <w:bookmarkEnd w:id="804"/>
      <w:bookmarkEnd w:id="817"/>
      <w:bookmarkEnd w:id="818"/>
      <w:bookmarkEnd w:id="819"/>
      <w:bookmarkEnd w:id="820"/>
      <w:bookmarkStart w:id="821" w:name="_Toc217446061"/>
    </w:p>
    <w:p>
      <w:pPr>
        <w:numPr>
          <w:ilvl w:val="2"/>
          <w:numId w:val="17"/>
        </w:numPr>
        <w:tabs>
          <w:tab w:val="left" w:pos="360"/>
        </w:tabs>
        <w:snapToGrid/>
        <w:spacing w:line="520" w:lineRule="exact"/>
        <w:ind w:left="0" w:firstLine="482"/>
        <w:jc w:val="left"/>
        <w:outlineLvl w:val="2"/>
        <w:rPr>
          <w:rFonts w:ascii="仿宋" w:hAnsi="仿宋" w:eastAsia="仿宋"/>
          <w:bCs/>
          <w:color w:val="auto"/>
          <w:kern w:val="2"/>
          <w:sz w:val="24"/>
          <w:szCs w:val="24"/>
          <w:lang w:val="en-US"/>
        </w:rPr>
      </w:pPr>
      <w:bookmarkStart w:id="822" w:name="_Toc475005654"/>
      <w:bookmarkStart w:id="823" w:name="_Toc476748829"/>
      <w:bookmarkStart w:id="824" w:name="_Toc466896320"/>
      <w:bookmarkStart w:id="825" w:name="_Toc466292970"/>
      <w:bookmarkStart w:id="826" w:name="_Toc477425609"/>
      <w:bookmarkStart w:id="827" w:name="_Toc482094401"/>
      <w:bookmarkStart w:id="828" w:name="_Toc500492799"/>
      <w:bookmarkStart w:id="829" w:name="_Toc496605704"/>
      <w:bookmarkStart w:id="830" w:name="_Toc494198671"/>
      <w:bookmarkStart w:id="831" w:name="_Toc494198997"/>
      <w:r>
        <w:rPr>
          <w:rFonts w:ascii="仿宋" w:hAnsi="仿宋" w:eastAsia="仿宋"/>
          <w:bCs/>
          <w:color w:val="auto"/>
          <w:kern w:val="2"/>
          <w:sz w:val="24"/>
          <w:szCs w:val="24"/>
          <w:lang w:val="en-US"/>
        </w:rPr>
        <w:t>定标原则</w:t>
      </w:r>
      <w:bookmarkEnd w:id="821"/>
      <w:r>
        <w:rPr>
          <w:rFonts w:ascii="仿宋" w:hAnsi="仿宋" w:eastAsia="仿宋"/>
          <w:bCs/>
          <w:color w:val="auto"/>
          <w:kern w:val="2"/>
          <w:sz w:val="24"/>
          <w:szCs w:val="24"/>
          <w:lang w:val="en-US"/>
        </w:rPr>
        <w:t>：</w:t>
      </w:r>
      <w:r>
        <w:rPr>
          <w:rFonts w:ascii="仿宋" w:hAnsi="仿宋" w:eastAsia="仿宋"/>
          <w:b w:val="0"/>
          <w:bCs/>
          <w:color w:val="auto"/>
          <w:kern w:val="2"/>
          <w:sz w:val="24"/>
          <w:szCs w:val="24"/>
          <w:lang w:val="en-US"/>
        </w:rPr>
        <w:t>本项目根据评标委员会推荐的中标候选人名单，按顺序确定中标人。</w:t>
      </w:r>
      <w:bookmarkEnd w:id="822"/>
      <w:bookmarkEnd w:id="823"/>
      <w:bookmarkEnd w:id="824"/>
      <w:bookmarkEnd w:id="825"/>
      <w:bookmarkEnd w:id="826"/>
      <w:bookmarkEnd w:id="827"/>
      <w:r>
        <w:rPr>
          <w:rFonts w:ascii="仿宋" w:hAnsi="仿宋" w:eastAsia="仿宋"/>
          <w:b w:val="0"/>
          <w:bCs/>
          <w:color w:val="auto"/>
          <w:kern w:val="2"/>
          <w:sz w:val="24"/>
          <w:szCs w:val="24"/>
          <w:lang w:val="en-US"/>
        </w:rPr>
        <w:t xml:space="preserve"> </w:t>
      </w:r>
      <w:bookmarkEnd w:id="828"/>
      <w:bookmarkEnd w:id="829"/>
      <w:bookmarkEnd w:id="830"/>
      <w:bookmarkEnd w:id="831"/>
    </w:p>
    <w:p>
      <w:pPr>
        <w:numPr>
          <w:ilvl w:val="2"/>
          <w:numId w:val="17"/>
        </w:numPr>
        <w:tabs>
          <w:tab w:val="left" w:pos="360"/>
        </w:tabs>
        <w:snapToGrid/>
        <w:spacing w:line="520" w:lineRule="exact"/>
        <w:ind w:left="0" w:firstLine="482"/>
        <w:jc w:val="left"/>
        <w:outlineLvl w:val="2"/>
        <w:rPr>
          <w:rFonts w:ascii="仿宋" w:hAnsi="仿宋" w:eastAsia="仿宋"/>
          <w:bCs/>
          <w:color w:val="auto"/>
          <w:kern w:val="2"/>
          <w:sz w:val="24"/>
          <w:szCs w:val="24"/>
          <w:lang w:val="en-US"/>
        </w:rPr>
      </w:pPr>
      <w:bookmarkStart w:id="832" w:name="_Toc466292971"/>
      <w:bookmarkStart w:id="833" w:name="_Toc496605705"/>
      <w:bookmarkStart w:id="834" w:name="_Toc482094402"/>
      <w:bookmarkStart w:id="835" w:name="_Toc476748830"/>
      <w:bookmarkStart w:id="836" w:name="_Toc494198998"/>
      <w:bookmarkStart w:id="837" w:name="_Toc500492800"/>
      <w:bookmarkStart w:id="838" w:name="_Toc475005655"/>
      <w:bookmarkStart w:id="839" w:name="_Toc494198672"/>
      <w:bookmarkStart w:id="840" w:name="_Toc466896321"/>
      <w:bookmarkStart w:id="841" w:name="_Toc217446062"/>
      <w:bookmarkStart w:id="842" w:name="_Toc477425610"/>
      <w:r>
        <w:rPr>
          <w:rFonts w:ascii="仿宋" w:hAnsi="仿宋" w:eastAsia="仿宋"/>
          <w:bCs/>
          <w:color w:val="auto"/>
          <w:kern w:val="2"/>
          <w:sz w:val="24"/>
          <w:szCs w:val="24"/>
          <w:lang w:val="en-US"/>
        </w:rPr>
        <w:t>定标程序</w:t>
      </w:r>
      <w:bookmarkEnd w:id="832"/>
      <w:bookmarkEnd w:id="833"/>
      <w:bookmarkEnd w:id="834"/>
      <w:bookmarkEnd w:id="835"/>
      <w:bookmarkEnd w:id="836"/>
      <w:bookmarkEnd w:id="837"/>
      <w:bookmarkEnd w:id="838"/>
      <w:bookmarkEnd w:id="839"/>
      <w:bookmarkEnd w:id="840"/>
      <w:bookmarkEnd w:id="841"/>
      <w:bookmarkEnd w:id="842"/>
    </w:p>
    <w:p>
      <w:pPr>
        <w:numPr>
          <w:ilvl w:val="3"/>
          <w:numId w:val="17"/>
        </w:numPr>
        <w:tabs>
          <w:tab w:val="left" w:pos="360"/>
        </w:tabs>
        <w:spacing w:line="520" w:lineRule="exact"/>
        <w:ind w:left="0" w:firstLine="480"/>
        <w:outlineLvl w:val="3"/>
        <w:rPr>
          <w:rFonts w:ascii="仿宋" w:hAnsi="仿宋" w:eastAsia="仿宋"/>
          <w:b w:val="0"/>
          <w:bCs/>
          <w:color w:val="auto"/>
          <w:kern w:val="2"/>
          <w:sz w:val="24"/>
          <w:szCs w:val="24"/>
          <w:lang w:val="en-US"/>
        </w:rPr>
      </w:pPr>
      <w:bookmarkStart w:id="843" w:name="_Toc477425612"/>
      <w:bookmarkStart w:id="844" w:name="_Toc466896323"/>
      <w:bookmarkStart w:id="845" w:name="_Toc466292973"/>
      <w:bookmarkStart w:id="846" w:name="_Toc476748832"/>
      <w:bookmarkStart w:id="847" w:name="_Toc475005657"/>
      <w:bookmarkStart w:id="848" w:name="_Toc482094404"/>
      <w:r>
        <w:rPr>
          <w:rFonts w:ascii="仿宋" w:hAnsi="仿宋" w:eastAsia="仿宋"/>
          <w:b w:val="0"/>
          <w:bCs/>
          <w:color w:val="auto"/>
          <w:kern w:val="2"/>
          <w:sz w:val="24"/>
          <w:szCs w:val="24"/>
          <w:lang w:val="en-US"/>
        </w:rPr>
        <w:t xml:space="preserve"> </w:t>
      </w:r>
      <w:bookmarkStart w:id="849" w:name="_Toc496605706"/>
      <w:bookmarkStart w:id="850" w:name="_Toc494198673"/>
      <w:bookmarkStart w:id="851" w:name="_Toc500492801"/>
      <w:bookmarkStart w:id="852" w:name="_Toc494198999"/>
      <w:r>
        <w:rPr>
          <w:rFonts w:ascii="仿宋" w:hAnsi="仿宋" w:eastAsia="仿宋"/>
          <w:b w:val="0"/>
          <w:bCs/>
          <w:color w:val="auto"/>
          <w:kern w:val="2"/>
          <w:sz w:val="24"/>
          <w:szCs w:val="24"/>
          <w:lang w:val="en-US"/>
        </w:rPr>
        <w:t>四川中志招标代理有限公司自评审结束后2个工作日内将评审报告及有关资料送交采购人确定中标人。</w:t>
      </w:r>
      <w:bookmarkEnd w:id="843"/>
      <w:bookmarkEnd w:id="844"/>
      <w:bookmarkEnd w:id="845"/>
      <w:bookmarkEnd w:id="846"/>
      <w:bookmarkEnd w:id="847"/>
      <w:bookmarkEnd w:id="848"/>
      <w:bookmarkEnd w:id="849"/>
      <w:bookmarkEnd w:id="850"/>
      <w:bookmarkEnd w:id="851"/>
      <w:bookmarkEnd w:id="852"/>
      <w:r>
        <w:rPr>
          <w:rFonts w:ascii="仿宋" w:hAnsi="仿宋" w:eastAsia="仿宋"/>
          <w:b w:val="0"/>
          <w:bCs/>
          <w:color w:val="auto"/>
          <w:kern w:val="2"/>
          <w:sz w:val="24"/>
          <w:szCs w:val="24"/>
          <w:lang w:val="en-US"/>
        </w:rPr>
        <w:t xml:space="preserve"> </w:t>
      </w:r>
    </w:p>
    <w:p>
      <w:pPr>
        <w:numPr>
          <w:ilvl w:val="3"/>
          <w:numId w:val="17"/>
        </w:numPr>
        <w:tabs>
          <w:tab w:val="left" w:pos="360"/>
        </w:tabs>
        <w:spacing w:line="520" w:lineRule="exact"/>
        <w:ind w:left="0" w:firstLine="480"/>
        <w:outlineLvl w:val="3"/>
        <w:rPr>
          <w:rFonts w:ascii="仿宋" w:hAnsi="仿宋" w:eastAsia="仿宋"/>
          <w:b w:val="0"/>
          <w:bCs/>
          <w:color w:val="auto"/>
          <w:kern w:val="2"/>
          <w:sz w:val="24"/>
          <w:szCs w:val="24"/>
          <w:lang w:val="en-US"/>
        </w:rPr>
      </w:pPr>
      <w:r>
        <w:rPr>
          <w:rFonts w:ascii="仿宋" w:hAnsi="仿宋" w:eastAsia="仿宋"/>
          <w:b w:val="0"/>
          <w:bCs/>
          <w:color w:val="auto"/>
          <w:kern w:val="2"/>
          <w:sz w:val="24"/>
          <w:szCs w:val="24"/>
          <w:lang w:val="en-US"/>
        </w:rPr>
        <w:t xml:space="preserve"> </w:t>
      </w:r>
      <w:bookmarkStart w:id="853" w:name="_Toc466896324"/>
      <w:bookmarkStart w:id="854" w:name="_Toc466292974"/>
      <w:bookmarkStart w:id="855" w:name="_Toc496605707"/>
      <w:bookmarkStart w:id="856" w:name="_Toc500492802"/>
      <w:bookmarkStart w:id="857" w:name="_Toc494198674"/>
      <w:bookmarkStart w:id="858" w:name="_Toc494199000"/>
      <w:r>
        <w:rPr>
          <w:rFonts w:ascii="仿宋" w:hAnsi="仿宋" w:eastAsia="仿宋"/>
          <w:b w:val="0"/>
          <w:bCs/>
          <w:color w:val="auto"/>
          <w:kern w:val="2"/>
          <w:sz w:val="24"/>
          <w:szCs w:val="24"/>
          <w:lang w:val="en-US"/>
        </w:rPr>
        <w:t>采购人收到评审报告及有关资料后，应当在5个工作日内按照评审报告中推荐的中标候选人顺序确定中标人</w:t>
      </w:r>
      <w:bookmarkEnd w:id="853"/>
      <w:bookmarkEnd w:id="854"/>
      <w:r>
        <w:rPr>
          <w:rFonts w:ascii="仿宋" w:hAnsi="仿宋" w:eastAsia="仿宋"/>
          <w:b w:val="0"/>
          <w:bCs/>
          <w:color w:val="auto"/>
          <w:kern w:val="2"/>
          <w:sz w:val="24"/>
          <w:szCs w:val="24"/>
          <w:lang w:val="en-US"/>
        </w:rPr>
        <w:t>。</w:t>
      </w:r>
      <w:bookmarkEnd w:id="855"/>
      <w:bookmarkEnd w:id="856"/>
      <w:bookmarkEnd w:id="857"/>
      <w:bookmarkEnd w:id="858"/>
    </w:p>
    <w:p>
      <w:pPr>
        <w:numPr>
          <w:ilvl w:val="3"/>
          <w:numId w:val="17"/>
        </w:numPr>
        <w:tabs>
          <w:tab w:val="left" w:pos="360"/>
        </w:tabs>
        <w:spacing w:line="520" w:lineRule="exact"/>
        <w:ind w:left="0" w:firstLine="480"/>
        <w:outlineLvl w:val="3"/>
        <w:rPr>
          <w:rFonts w:ascii="仿宋" w:hAnsi="仿宋" w:eastAsia="仿宋"/>
          <w:b w:val="0"/>
          <w:bCs/>
          <w:color w:val="auto"/>
          <w:kern w:val="2"/>
          <w:sz w:val="24"/>
          <w:szCs w:val="24"/>
          <w:lang w:val="en-US"/>
        </w:rPr>
      </w:pPr>
      <w:bookmarkStart w:id="859" w:name="_Toc476748833"/>
      <w:bookmarkStart w:id="860" w:name="_Toc466292975"/>
      <w:bookmarkStart w:id="861" w:name="_Toc477425613"/>
      <w:bookmarkStart w:id="862" w:name="_Toc482094405"/>
      <w:bookmarkStart w:id="863" w:name="_Toc466896325"/>
      <w:bookmarkStart w:id="864" w:name="_Toc475005658"/>
      <w:r>
        <w:rPr>
          <w:rFonts w:ascii="仿宋" w:hAnsi="仿宋" w:eastAsia="仿宋"/>
          <w:b w:val="0"/>
          <w:bCs/>
          <w:color w:val="auto"/>
          <w:kern w:val="2"/>
          <w:sz w:val="24"/>
          <w:szCs w:val="24"/>
          <w:lang w:val="en-US"/>
        </w:rPr>
        <w:t xml:space="preserve"> </w:t>
      </w:r>
      <w:bookmarkStart w:id="865" w:name="_Toc496605708"/>
      <w:bookmarkStart w:id="866" w:name="_Toc500492803"/>
      <w:bookmarkStart w:id="867" w:name="_Toc494198675"/>
      <w:bookmarkStart w:id="868" w:name="_Toc494199001"/>
      <w:r>
        <w:rPr>
          <w:rFonts w:ascii="仿宋" w:hAnsi="仿宋" w:eastAsia="仿宋"/>
          <w:b w:val="0"/>
          <w:bCs/>
          <w:color w:val="auto"/>
          <w:kern w:val="2"/>
          <w:sz w:val="24"/>
          <w:szCs w:val="24"/>
          <w:lang w:val="en-US"/>
        </w:rPr>
        <w:t>采购人确定中标人后，应当及时书面通知四川中志招标代理有限公司，由其发出中标通知书并发布中标结果公告。</w:t>
      </w:r>
      <w:bookmarkEnd w:id="859"/>
      <w:bookmarkEnd w:id="860"/>
      <w:bookmarkEnd w:id="861"/>
      <w:bookmarkEnd w:id="862"/>
      <w:bookmarkEnd w:id="863"/>
      <w:bookmarkEnd w:id="864"/>
      <w:bookmarkEnd w:id="865"/>
      <w:bookmarkEnd w:id="866"/>
      <w:bookmarkEnd w:id="867"/>
      <w:bookmarkEnd w:id="868"/>
    </w:p>
    <w:p>
      <w:pPr>
        <w:numPr>
          <w:ilvl w:val="3"/>
          <w:numId w:val="17"/>
        </w:numPr>
        <w:tabs>
          <w:tab w:val="left" w:pos="360"/>
        </w:tabs>
        <w:spacing w:line="520" w:lineRule="exact"/>
        <w:ind w:left="0" w:firstLine="480"/>
        <w:outlineLvl w:val="3"/>
        <w:rPr>
          <w:rFonts w:ascii="仿宋" w:hAnsi="仿宋" w:eastAsia="仿宋"/>
          <w:b w:val="0"/>
          <w:bCs/>
          <w:color w:val="auto"/>
          <w:kern w:val="2"/>
          <w:sz w:val="24"/>
          <w:szCs w:val="24"/>
          <w:lang w:val="en-US"/>
        </w:rPr>
      </w:pPr>
      <w:r>
        <w:rPr>
          <w:rFonts w:ascii="仿宋" w:hAnsi="仿宋" w:eastAsia="仿宋"/>
          <w:b w:val="0"/>
          <w:bCs/>
          <w:color w:val="auto"/>
          <w:kern w:val="2"/>
          <w:sz w:val="24"/>
          <w:szCs w:val="24"/>
          <w:lang w:val="en-US"/>
        </w:rPr>
        <w:t xml:space="preserve"> </w:t>
      </w:r>
      <w:bookmarkStart w:id="869" w:name="_Toc466292976"/>
      <w:bookmarkStart w:id="870" w:name="_Toc466896326"/>
      <w:bookmarkStart w:id="871" w:name="_Toc476748834"/>
      <w:bookmarkStart w:id="872" w:name="_Toc494198676"/>
      <w:bookmarkStart w:id="873" w:name="_Toc477425614"/>
      <w:bookmarkStart w:id="874" w:name="_Toc494199002"/>
      <w:bookmarkStart w:id="875" w:name="_Toc475005659"/>
      <w:bookmarkStart w:id="876" w:name="_Toc500492804"/>
      <w:bookmarkStart w:id="877" w:name="_Toc482094406"/>
      <w:bookmarkStart w:id="878" w:name="_Toc496605709"/>
      <w:r>
        <w:rPr>
          <w:rFonts w:ascii="仿宋" w:hAnsi="仿宋" w:eastAsia="仿宋"/>
          <w:b w:val="0"/>
          <w:bCs/>
          <w:color w:val="auto"/>
          <w:kern w:val="2"/>
          <w:sz w:val="24"/>
          <w:szCs w:val="24"/>
          <w:lang w:val="en-US"/>
        </w:rPr>
        <w:t>采购代理机构不退回投标文件和其他投标资料（招标文件另有约定的除外）。</w:t>
      </w:r>
      <w:bookmarkEnd w:id="869"/>
      <w:bookmarkEnd w:id="870"/>
      <w:bookmarkEnd w:id="871"/>
      <w:bookmarkEnd w:id="872"/>
      <w:bookmarkEnd w:id="873"/>
      <w:bookmarkEnd w:id="874"/>
      <w:bookmarkEnd w:id="875"/>
      <w:bookmarkEnd w:id="876"/>
      <w:bookmarkEnd w:id="877"/>
      <w:bookmarkEnd w:id="878"/>
    </w:p>
    <w:p>
      <w:pPr>
        <w:numPr>
          <w:ilvl w:val="1"/>
          <w:numId w:val="17"/>
        </w:numPr>
        <w:tabs>
          <w:tab w:val="left" w:pos="360"/>
        </w:tabs>
        <w:spacing w:line="540" w:lineRule="exact"/>
        <w:ind w:left="0" w:firstLine="0" w:firstLineChars="0"/>
        <w:jc w:val="left"/>
        <w:outlineLvl w:val="1"/>
        <w:rPr>
          <w:rFonts w:ascii="仿宋" w:hAnsi="仿宋" w:eastAsia="仿宋"/>
          <w:bCs/>
          <w:color w:val="auto"/>
          <w:kern w:val="2"/>
          <w:sz w:val="24"/>
          <w:szCs w:val="24"/>
          <w:lang w:val="en-US"/>
        </w:rPr>
      </w:pPr>
      <w:bookmarkStart w:id="879" w:name="_Toc183582297"/>
      <w:bookmarkStart w:id="880" w:name="_Toc183682432"/>
      <w:bookmarkStart w:id="881" w:name="_Toc217446105"/>
      <w:bookmarkStart w:id="882" w:name="_Toc208849022"/>
      <w:r>
        <w:rPr>
          <w:rFonts w:ascii="仿宋" w:hAnsi="仿宋" w:eastAsia="仿宋"/>
          <w:bCs/>
          <w:color w:val="auto"/>
          <w:kern w:val="2"/>
          <w:sz w:val="24"/>
          <w:szCs w:val="24"/>
          <w:lang w:val="en-US"/>
        </w:rPr>
        <w:t xml:space="preserve"> </w:t>
      </w:r>
      <w:bookmarkEnd w:id="879"/>
      <w:bookmarkEnd w:id="880"/>
      <w:bookmarkEnd w:id="881"/>
      <w:bookmarkEnd w:id="882"/>
      <w:bookmarkStart w:id="883" w:name="_Toc40703461"/>
      <w:bookmarkStart w:id="884" w:name="_Toc36029492"/>
      <w:bookmarkStart w:id="885" w:name="_Toc496605710"/>
      <w:bookmarkStart w:id="886" w:name="_Toc494198677"/>
      <w:r>
        <w:rPr>
          <w:rFonts w:ascii="仿宋" w:hAnsi="仿宋" w:eastAsia="仿宋"/>
          <w:bCs/>
          <w:color w:val="auto"/>
          <w:kern w:val="2"/>
          <w:sz w:val="24"/>
          <w:szCs w:val="24"/>
          <w:lang w:val="en-US"/>
        </w:rPr>
        <w:t>评标专家在政府采购活动中承担以下义务</w:t>
      </w:r>
      <w:bookmarkEnd w:id="883"/>
      <w:bookmarkEnd w:id="884"/>
      <w:bookmarkEnd w:id="885"/>
      <w:bookmarkEnd w:id="886"/>
    </w:p>
    <w:p>
      <w:pPr>
        <w:numPr>
          <w:ilvl w:val="1"/>
          <w:numId w:val="62"/>
        </w:numPr>
        <w:tabs>
          <w:tab w:val="left" w:pos="709"/>
        </w:tabs>
        <w:spacing w:line="540" w:lineRule="exact"/>
        <w:ind w:left="0" w:firstLine="480"/>
        <w:rPr>
          <w:rFonts w:ascii="仿宋" w:hAnsi="仿宋" w:eastAsia="仿宋"/>
          <w:b w:val="0"/>
          <w:color w:val="000000"/>
          <w:sz w:val="24"/>
          <w:szCs w:val="24"/>
        </w:rPr>
      </w:pPr>
      <w:r>
        <w:rPr>
          <w:rFonts w:ascii="仿宋" w:hAnsi="仿宋" w:eastAsia="仿宋"/>
          <w:b w:val="0"/>
          <w:color w:val="000000"/>
          <w:sz w:val="24"/>
          <w:szCs w:val="24"/>
        </w:rPr>
        <w:t xml:space="preserve">遵守评审工作纪律； </w:t>
      </w:r>
    </w:p>
    <w:p>
      <w:pPr>
        <w:numPr>
          <w:ilvl w:val="1"/>
          <w:numId w:val="62"/>
        </w:numPr>
        <w:tabs>
          <w:tab w:val="left" w:pos="709"/>
        </w:tabs>
        <w:spacing w:line="540" w:lineRule="exact"/>
        <w:ind w:left="0" w:firstLine="480"/>
        <w:rPr>
          <w:rFonts w:ascii="仿宋" w:hAnsi="仿宋" w:eastAsia="仿宋"/>
          <w:b w:val="0"/>
          <w:color w:val="000000"/>
          <w:sz w:val="24"/>
          <w:szCs w:val="24"/>
        </w:rPr>
      </w:pPr>
      <w:r>
        <w:rPr>
          <w:rFonts w:ascii="仿宋" w:hAnsi="仿宋" w:eastAsia="仿宋"/>
          <w:b w:val="0"/>
          <w:color w:val="000000"/>
          <w:sz w:val="24"/>
          <w:szCs w:val="24"/>
        </w:rPr>
        <w:t>按照客观、公正、审慎的原则，根据采购文件规定的评审程序、评审方法和评审标准进行独立评审；</w:t>
      </w:r>
    </w:p>
    <w:p>
      <w:pPr>
        <w:numPr>
          <w:ilvl w:val="1"/>
          <w:numId w:val="62"/>
        </w:numPr>
        <w:tabs>
          <w:tab w:val="left" w:pos="709"/>
        </w:tabs>
        <w:spacing w:line="540" w:lineRule="exact"/>
        <w:ind w:left="0" w:firstLine="480"/>
        <w:rPr>
          <w:rFonts w:ascii="仿宋" w:hAnsi="仿宋" w:eastAsia="仿宋"/>
          <w:b w:val="0"/>
          <w:color w:val="000000"/>
          <w:sz w:val="24"/>
          <w:szCs w:val="24"/>
        </w:rPr>
      </w:pPr>
      <w:r>
        <w:rPr>
          <w:rFonts w:ascii="仿宋" w:hAnsi="仿宋" w:eastAsia="仿宋"/>
          <w:b w:val="0"/>
          <w:color w:val="000000"/>
          <w:sz w:val="24"/>
          <w:szCs w:val="24"/>
        </w:rPr>
        <w:t>不得泄露评审文件、评审情况和在评审过程中获悉的商业秘密；</w:t>
      </w:r>
    </w:p>
    <w:p>
      <w:pPr>
        <w:numPr>
          <w:ilvl w:val="1"/>
          <w:numId w:val="62"/>
        </w:numPr>
        <w:tabs>
          <w:tab w:val="left" w:pos="709"/>
        </w:tabs>
        <w:spacing w:line="540" w:lineRule="exact"/>
        <w:ind w:left="0" w:firstLine="480"/>
        <w:rPr>
          <w:rFonts w:ascii="仿宋" w:hAnsi="仿宋" w:eastAsia="仿宋"/>
          <w:b w:val="0"/>
          <w:color w:val="000000"/>
          <w:sz w:val="24"/>
          <w:szCs w:val="24"/>
        </w:rPr>
      </w:pPr>
      <w:r>
        <w:rPr>
          <w:rFonts w:ascii="仿宋" w:hAnsi="仿宋" w:eastAsia="仿宋"/>
          <w:b w:val="0"/>
          <w:color w:val="000000"/>
          <w:sz w:val="24"/>
          <w:szCs w:val="24"/>
        </w:rPr>
        <w:t>及时向监督部门报告评审过程中采购组织单位向评审专家做倾向性、误导性的解释或者说明，供应商行贿、提供虚假材料或者串通、受到的非法干预情况等违法违规行为；</w:t>
      </w:r>
    </w:p>
    <w:p>
      <w:pPr>
        <w:numPr>
          <w:ilvl w:val="1"/>
          <w:numId w:val="62"/>
        </w:numPr>
        <w:tabs>
          <w:tab w:val="left" w:pos="709"/>
        </w:tabs>
        <w:spacing w:line="540" w:lineRule="exact"/>
        <w:ind w:left="0" w:firstLine="480"/>
        <w:rPr>
          <w:rFonts w:ascii="仿宋" w:hAnsi="仿宋" w:eastAsia="仿宋"/>
          <w:b w:val="0"/>
          <w:color w:val="000000"/>
          <w:sz w:val="24"/>
          <w:szCs w:val="24"/>
        </w:rPr>
      </w:pPr>
      <w:r>
        <w:rPr>
          <w:rFonts w:ascii="仿宋" w:hAnsi="仿宋" w:eastAsia="仿宋"/>
          <w:b w:val="0"/>
          <w:color w:val="000000"/>
          <w:sz w:val="24"/>
          <w:szCs w:val="24"/>
        </w:rPr>
        <w:t>发现采购文件内容违反国家有关强制性规定或者存在歧义、重大缺陷导致评审工作无法进行时，停止评审并向采购组织单位书面说明情况；</w:t>
      </w:r>
    </w:p>
    <w:p>
      <w:pPr>
        <w:numPr>
          <w:ilvl w:val="1"/>
          <w:numId w:val="62"/>
        </w:numPr>
        <w:tabs>
          <w:tab w:val="left" w:pos="851"/>
        </w:tabs>
        <w:spacing w:line="540" w:lineRule="exact"/>
        <w:ind w:left="0" w:firstLine="480"/>
        <w:rPr>
          <w:rFonts w:ascii="仿宋" w:hAnsi="仿宋" w:eastAsia="仿宋"/>
          <w:b w:val="0"/>
          <w:color w:val="000000"/>
          <w:sz w:val="24"/>
          <w:szCs w:val="24"/>
        </w:rPr>
      </w:pPr>
      <w:r>
        <w:rPr>
          <w:rFonts w:ascii="仿宋" w:hAnsi="仿宋" w:eastAsia="仿宋"/>
          <w:b w:val="0"/>
          <w:color w:val="000000"/>
          <w:sz w:val="24"/>
          <w:szCs w:val="24"/>
        </w:rPr>
        <w:t>配合答复处理供应商的询问、质疑和投诉等事项；</w:t>
      </w:r>
    </w:p>
    <w:p>
      <w:pPr>
        <w:numPr>
          <w:ilvl w:val="1"/>
          <w:numId w:val="62"/>
        </w:numPr>
        <w:tabs>
          <w:tab w:val="left" w:pos="851"/>
        </w:tabs>
        <w:spacing w:line="540" w:lineRule="exact"/>
        <w:ind w:left="0" w:firstLine="480"/>
        <w:rPr>
          <w:rFonts w:ascii="仿宋" w:hAnsi="仿宋" w:eastAsia="仿宋"/>
          <w:b w:val="0"/>
          <w:color w:val="000000"/>
          <w:sz w:val="24"/>
          <w:szCs w:val="24"/>
        </w:rPr>
      </w:pPr>
      <w:r>
        <w:rPr>
          <w:rFonts w:ascii="仿宋" w:hAnsi="仿宋" w:eastAsia="仿宋"/>
          <w:b w:val="0"/>
          <w:color w:val="000000"/>
          <w:sz w:val="24"/>
          <w:szCs w:val="24"/>
        </w:rPr>
        <w:t>法律、法规和规章规定的其他义务。</w:t>
      </w:r>
    </w:p>
    <w:p>
      <w:pPr>
        <w:numPr>
          <w:ilvl w:val="1"/>
          <w:numId w:val="17"/>
        </w:numPr>
        <w:tabs>
          <w:tab w:val="left" w:pos="360"/>
        </w:tabs>
        <w:spacing w:line="540" w:lineRule="exact"/>
        <w:ind w:left="0" w:firstLine="0" w:firstLineChars="0"/>
        <w:jc w:val="left"/>
        <w:outlineLvl w:val="1"/>
        <w:rPr>
          <w:rFonts w:ascii="仿宋" w:hAnsi="仿宋" w:eastAsia="仿宋"/>
          <w:bCs/>
          <w:color w:val="auto"/>
          <w:kern w:val="2"/>
          <w:sz w:val="24"/>
          <w:szCs w:val="24"/>
          <w:lang w:val="en-US"/>
        </w:rPr>
      </w:pPr>
      <w:bookmarkStart w:id="887" w:name="_Toc496605711"/>
      <w:bookmarkStart w:id="888" w:name="_Toc494198678"/>
      <w:r>
        <w:rPr>
          <w:rFonts w:ascii="仿宋" w:hAnsi="仿宋" w:eastAsia="仿宋"/>
          <w:bCs/>
          <w:color w:val="auto"/>
          <w:kern w:val="2"/>
          <w:sz w:val="24"/>
          <w:szCs w:val="24"/>
          <w:lang w:val="en-US"/>
        </w:rPr>
        <w:t xml:space="preserve"> </w:t>
      </w:r>
      <w:bookmarkStart w:id="889" w:name="_Toc40703462"/>
      <w:bookmarkStart w:id="890" w:name="_Toc36029493"/>
      <w:r>
        <w:rPr>
          <w:rFonts w:ascii="仿宋" w:hAnsi="仿宋" w:eastAsia="仿宋"/>
          <w:bCs/>
          <w:color w:val="auto"/>
          <w:kern w:val="2"/>
          <w:sz w:val="24"/>
          <w:szCs w:val="24"/>
          <w:lang w:val="en-US"/>
        </w:rPr>
        <w:t>评审专家在政府采购活动中应当遵守以下工作纪律</w:t>
      </w:r>
      <w:bookmarkEnd w:id="887"/>
      <w:bookmarkEnd w:id="888"/>
      <w:bookmarkEnd w:id="889"/>
      <w:bookmarkEnd w:id="890"/>
      <w:bookmarkStart w:id="891" w:name="_Toc482094420"/>
      <w:bookmarkStart w:id="892" w:name="_Toc466292990"/>
      <w:bookmarkStart w:id="893" w:name="_Toc477425628"/>
      <w:bookmarkStart w:id="894" w:name="_Toc476748848"/>
      <w:bookmarkStart w:id="895" w:name="_Toc475005673"/>
      <w:bookmarkStart w:id="896" w:name="_Toc466896340"/>
    </w:p>
    <w:p>
      <w:pPr>
        <w:numPr>
          <w:ilvl w:val="1"/>
          <w:numId w:val="63"/>
        </w:numPr>
        <w:tabs>
          <w:tab w:val="left" w:pos="851"/>
        </w:tabs>
        <w:spacing w:line="520" w:lineRule="exact"/>
        <w:ind w:left="0" w:firstLine="480"/>
        <w:rPr>
          <w:rFonts w:ascii="仿宋" w:hAnsi="仿宋" w:eastAsia="仿宋"/>
          <w:b w:val="0"/>
          <w:color w:val="000000"/>
          <w:sz w:val="24"/>
          <w:szCs w:val="24"/>
        </w:rPr>
      </w:pPr>
      <w:r>
        <w:rPr>
          <w:rFonts w:ascii="仿宋" w:hAnsi="仿宋" w:eastAsia="仿宋"/>
          <w:b w:val="0"/>
          <w:color w:val="000000"/>
          <w:sz w:val="24"/>
          <w:szCs w:val="24"/>
        </w:rPr>
        <w:t>遵行《政府采购法》第十二条和《政府采购法实施条例》第九条及财政部关于回避的规定。</w:t>
      </w:r>
    </w:p>
    <w:p>
      <w:pPr>
        <w:numPr>
          <w:ilvl w:val="1"/>
          <w:numId w:val="63"/>
        </w:numPr>
        <w:tabs>
          <w:tab w:val="left" w:pos="851"/>
        </w:tabs>
        <w:spacing w:line="520" w:lineRule="exact"/>
        <w:ind w:left="0" w:firstLine="480"/>
        <w:rPr>
          <w:rFonts w:ascii="仿宋" w:hAnsi="仿宋" w:eastAsia="仿宋"/>
          <w:b w:val="0"/>
          <w:color w:val="000000"/>
          <w:sz w:val="24"/>
          <w:szCs w:val="24"/>
        </w:rPr>
      </w:pPr>
      <w:r>
        <w:rPr>
          <w:rFonts w:ascii="仿宋" w:hAnsi="仿宋" w:eastAsia="仿宋"/>
          <w:b w:val="0"/>
          <w:color w:val="000000"/>
          <w:sz w:val="24"/>
          <w:szCs w:val="24"/>
        </w:rPr>
        <w:t>评审前，应当将通讯工具或者相关电子设备交由采购组织单位统一保管。</w:t>
      </w:r>
    </w:p>
    <w:p>
      <w:pPr>
        <w:numPr>
          <w:ilvl w:val="1"/>
          <w:numId w:val="63"/>
        </w:numPr>
        <w:tabs>
          <w:tab w:val="left" w:pos="709"/>
          <w:tab w:val="left" w:pos="851"/>
        </w:tabs>
        <w:spacing w:line="520" w:lineRule="exact"/>
        <w:ind w:left="0" w:firstLine="480"/>
        <w:rPr>
          <w:rFonts w:ascii="仿宋" w:hAnsi="仿宋" w:eastAsia="仿宋"/>
          <w:b w:val="0"/>
          <w:color w:val="000000"/>
          <w:sz w:val="24"/>
          <w:szCs w:val="24"/>
        </w:rPr>
      </w:pPr>
      <w:r>
        <w:rPr>
          <w:rFonts w:ascii="仿宋" w:hAnsi="仿宋" w:eastAsia="仿宋"/>
          <w:b w:val="0"/>
          <w:color w:val="000000"/>
          <w:sz w:val="24"/>
          <w:szCs w:val="24"/>
        </w:rPr>
        <w:t>评审过程中，不得与外界联系，因发生不可预见情况，确实需要与外界联系的，应当在监督人员监督之下办理。</w:t>
      </w:r>
    </w:p>
    <w:p>
      <w:pPr>
        <w:numPr>
          <w:ilvl w:val="1"/>
          <w:numId w:val="63"/>
        </w:numPr>
        <w:tabs>
          <w:tab w:val="left" w:pos="851"/>
        </w:tabs>
        <w:spacing w:line="520" w:lineRule="exact"/>
        <w:ind w:left="0" w:firstLine="480"/>
        <w:rPr>
          <w:rFonts w:ascii="仿宋" w:hAnsi="仿宋" w:eastAsia="仿宋"/>
          <w:b w:val="0"/>
          <w:color w:val="000000"/>
          <w:sz w:val="24"/>
          <w:szCs w:val="24"/>
        </w:rPr>
      </w:pPr>
      <w:r>
        <w:rPr>
          <w:rFonts w:ascii="仿宋" w:hAnsi="仿宋" w:eastAsia="仿宋"/>
          <w:b w:val="0"/>
          <w:color w:val="000000"/>
          <w:sz w:val="24"/>
          <w:szCs w:val="24"/>
        </w:rPr>
        <w:t>评审过程中，不得干预或者影响正常评审工作，不得发表倾向性、引导性意见，不得修改或细化采购文件确定的评审程序、评审方法、评审因素和评审标准，不得接受供应商主动提出的澄清和解释，不得征询采购人代表的意见，不得协商评分，不得违反规定的评审格式评分和撰写评审意见，不得拒绝对自己的评审意见签字确认。</w:t>
      </w:r>
    </w:p>
    <w:p>
      <w:pPr>
        <w:numPr>
          <w:ilvl w:val="1"/>
          <w:numId w:val="63"/>
        </w:numPr>
        <w:tabs>
          <w:tab w:val="left" w:pos="851"/>
        </w:tabs>
        <w:spacing w:line="520" w:lineRule="exact"/>
        <w:ind w:left="0" w:firstLine="480"/>
        <w:rPr>
          <w:rFonts w:ascii="仿宋" w:hAnsi="仿宋" w:eastAsia="仿宋"/>
          <w:b w:val="0"/>
          <w:color w:val="000000"/>
          <w:sz w:val="24"/>
          <w:szCs w:val="24"/>
        </w:rPr>
      </w:pPr>
      <w:r>
        <w:rPr>
          <w:rFonts w:ascii="仿宋" w:hAnsi="仿宋" w:eastAsia="仿宋"/>
          <w:b w:val="0"/>
          <w:color w:val="000000"/>
          <w:sz w:val="24"/>
          <w:szCs w:val="24"/>
        </w:rPr>
        <w:t>在评审过程中和评审结束后，不得记录、复制或带走任何评审资料，除因履行《四川省政府采购评审工作规程（修订）》第十三条第（六）项规定的义务，不得向外界透露评审内容。</w:t>
      </w:r>
    </w:p>
    <w:p>
      <w:pPr>
        <w:numPr>
          <w:ilvl w:val="1"/>
          <w:numId w:val="63"/>
        </w:numPr>
        <w:tabs>
          <w:tab w:val="left" w:pos="851"/>
        </w:tabs>
        <w:spacing w:line="520" w:lineRule="exact"/>
        <w:ind w:left="0" w:firstLine="480"/>
        <w:rPr>
          <w:rFonts w:ascii="仿宋" w:hAnsi="仿宋" w:eastAsia="仿宋"/>
          <w:b w:val="0"/>
          <w:color w:val="000000"/>
          <w:sz w:val="24"/>
          <w:szCs w:val="24"/>
        </w:rPr>
      </w:pPr>
      <w:r>
        <w:rPr>
          <w:rFonts w:ascii="仿宋" w:hAnsi="仿宋" w:eastAsia="仿宋"/>
          <w:b w:val="0"/>
          <w:color w:val="000000"/>
          <w:sz w:val="24"/>
          <w:szCs w:val="24"/>
        </w:rPr>
        <w:t>服从评审现场采购组织单位的现场秩序管理，接受评审现场监督人员的合法监督。</w:t>
      </w:r>
    </w:p>
    <w:p>
      <w:pPr>
        <w:numPr>
          <w:ilvl w:val="1"/>
          <w:numId w:val="63"/>
        </w:numPr>
        <w:tabs>
          <w:tab w:val="left" w:pos="851"/>
        </w:tabs>
        <w:spacing w:line="520" w:lineRule="exact"/>
        <w:ind w:left="0" w:firstLine="480"/>
        <w:rPr>
          <w:rFonts w:hint="eastAsia" w:ascii="仿宋" w:hAnsi="仿宋" w:eastAsia="仿宋"/>
          <w:b w:val="0"/>
          <w:color w:val="000000"/>
          <w:sz w:val="24"/>
          <w:szCs w:val="24"/>
        </w:rPr>
      </w:pPr>
      <w:r>
        <w:rPr>
          <w:rFonts w:ascii="仿宋" w:hAnsi="仿宋" w:eastAsia="仿宋"/>
          <w:b w:val="0"/>
          <w:color w:val="000000"/>
          <w:sz w:val="24"/>
          <w:szCs w:val="24"/>
        </w:rPr>
        <w:t>遵守有关廉洁自律规定，不得私下接触供应商，不得收受供应商及有关业务单位和个人的财物或好处，不得接受采购组织单位的请托。</w:t>
      </w:r>
      <w:bookmarkEnd w:id="891"/>
      <w:bookmarkEnd w:id="892"/>
      <w:bookmarkEnd w:id="893"/>
      <w:bookmarkEnd w:id="894"/>
      <w:bookmarkEnd w:id="895"/>
      <w:bookmarkEnd w:id="896"/>
    </w:p>
    <w:p>
      <w:pPr>
        <w:tabs>
          <w:tab w:val="left" w:pos="851"/>
        </w:tabs>
        <w:spacing w:line="520" w:lineRule="exact"/>
        <w:ind w:left="480" w:firstLine="0" w:firstLineChars="0"/>
        <w:rPr>
          <w:rFonts w:ascii="仿宋" w:hAnsi="仿宋" w:eastAsia="仿宋"/>
          <w:b w:val="0"/>
          <w:color w:val="000000"/>
          <w:sz w:val="24"/>
          <w:szCs w:val="24"/>
        </w:rPr>
        <w:sectPr>
          <w:pgSz w:w="11906" w:h="16838"/>
          <w:pgMar w:top="1418" w:right="1134" w:bottom="1418" w:left="1701" w:header="907" w:footer="850" w:gutter="0"/>
          <w:cols w:space="720" w:num="1"/>
          <w:titlePg/>
          <w:docGrid w:type="lines" w:linePitch="437" w:charSpace="0"/>
        </w:sectPr>
      </w:pPr>
    </w:p>
    <w:p>
      <w:pPr>
        <w:ind w:firstLine="40"/>
        <w:rPr>
          <w:rFonts w:ascii="仿宋" w:hAnsi="仿宋" w:eastAsia="仿宋"/>
          <w:sz w:val="2"/>
          <w:szCs w:val="2"/>
        </w:rPr>
      </w:pPr>
    </w:p>
    <w:p>
      <w:pPr>
        <w:pStyle w:val="3"/>
        <w:numPr>
          <w:ilvl w:val="0"/>
          <w:numId w:val="17"/>
        </w:numPr>
        <w:spacing w:beforeLines="50" w:after="0" w:line="360" w:lineRule="auto"/>
        <w:ind w:left="0" w:firstLine="0"/>
        <w:rPr>
          <w:rFonts w:ascii="仿宋" w:hAnsi="仿宋" w:eastAsia="仿宋"/>
          <w:b/>
          <w:color w:val="auto"/>
        </w:rPr>
      </w:pPr>
      <w:bookmarkStart w:id="897" w:name="_Toc36029494"/>
      <w:bookmarkStart w:id="898" w:name="_Toc40703463"/>
      <w:r>
        <w:rPr>
          <w:rFonts w:hint="eastAsia" w:ascii="仿宋" w:hAnsi="仿宋" w:eastAsia="仿宋"/>
          <w:b/>
          <w:color w:val="auto"/>
        </w:rPr>
        <w:t xml:space="preserve"> </w:t>
      </w:r>
      <w:r>
        <w:rPr>
          <w:rFonts w:ascii="仿宋" w:hAnsi="仿宋" w:eastAsia="仿宋"/>
          <w:b/>
          <w:color w:val="auto"/>
        </w:rPr>
        <w:t>拟签订的合同文本</w:t>
      </w:r>
      <w:bookmarkEnd w:id="897"/>
      <w:bookmarkEnd w:id="898"/>
    </w:p>
    <w:p>
      <w:pPr>
        <w:ind w:firstLine="0" w:firstLineChars="0"/>
        <w:jc w:val="left"/>
        <w:rPr>
          <w:rFonts w:ascii="仿宋" w:hAnsi="仿宋" w:eastAsia="仿宋"/>
          <w:b w:val="0"/>
          <w:color w:val="auto"/>
          <w:sz w:val="24"/>
          <w:szCs w:val="24"/>
        </w:rPr>
      </w:pPr>
    </w:p>
    <w:p>
      <w:pPr>
        <w:ind w:firstLine="480"/>
        <w:jc w:val="left"/>
        <w:rPr>
          <w:rFonts w:ascii="仿宋" w:hAnsi="仿宋" w:eastAsia="仿宋"/>
          <w:b w:val="0"/>
          <w:color w:val="auto"/>
          <w:sz w:val="24"/>
          <w:szCs w:val="24"/>
          <w:u w:val="single"/>
        </w:rPr>
      </w:pPr>
      <w:r>
        <w:rPr>
          <w:rFonts w:ascii="仿宋" w:hAnsi="仿宋" w:eastAsia="仿宋"/>
          <w:b w:val="0"/>
          <w:color w:val="auto"/>
          <w:sz w:val="24"/>
          <w:szCs w:val="24"/>
        </w:rPr>
        <w:t>项目名称：</w:t>
      </w:r>
      <w:r>
        <w:rPr>
          <w:rFonts w:ascii="仿宋" w:hAnsi="仿宋" w:eastAsia="仿宋"/>
          <w:b w:val="0"/>
          <w:color w:val="auto"/>
          <w:sz w:val="24"/>
          <w:szCs w:val="24"/>
          <w:u w:val="single"/>
        </w:rPr>
        <w:t xml:space="preserve">                                          </w:t>
      </w:r>
    </w:p>
    <w:p>
      <w:pPr>
        <w:ind w:firstLine="480"/>
        <w:jc w:val="left"/>
        <w:rPr>
          <w:rFonts w:ascii="仿宋" w:hAnsi="仿宋" w:eastAsia="仿宋"/>
          <w:b w:val="0"/>
          <w:color w:val="auto"/>
          <w:sz w:val="24"/>
          <w:szCs w:val="24"/>
          <w:u w:val="single"/>
        </w:rPr>
      </w:pPr>
      <w:r>
        <w:rPr>
          <w:rFonts w:ascii="仿宋" w:hAnsi="仿宋" w:eastAsia="仿宋"/>
          <w:b w:val="0"/>
          <w:color w:val="auto"/>
          <w:sz w:val="24"/>
          <w:szCs w:val="24"/>
        </w:rPr>
        <w:t>政府采购管理部门备案编号：</w:t>
      </w:r>
      <w:r>
        <w:rPr>
          <w:rFonts w:ascii="仿宋" w:hAnsi="仿宋" w:eastAsia="仿宋"/>
          <w:b w:val="0"/>
          <w:color w:val="auto"/>
          <w:sz w:val="24"/>
          <w:szCs w:val="24"/>
          <w:u w:val="single"/>
        </w:rPr>
        <w:t xml:space="preserve">                          </w:t>
      </w:r>
    </w:p>
    <w:p>
      <w:pPr>
        <w:ind w:firstLine="480"/>
        <w:jc w:val="left"/>
        <w:rPr>
          <w:rFonts w:ascii="仿宋" w:hAnsi="仿宋" w:eastAsia="仿宋"/>
          <w:b w:val="0"/>
          <w:color w:val="auto"/>
          <w:sz w:val="24"/>
          <w:szCs w:val="24"/>
          <w:u w:val="single"/>
        </w:rPr>
      </w:pPr>
      <w:r>
        <w:rPr>
          <w:rFonts w:ascii="仿宋" w:hAnsi="仿宋" w:eastAsia="仿宋"/>
          <w:b w:val="0"/>
          <w:color w:val="auto"/>
          <w:sz w:val="24"/>
          <w:szCs w:val="24"/>
        </w:rPr>
        <w:t>招标文件编号：</w:t>
      </w:r>
      <w:r>
        <w:rPr>
          <w:rFonts w:ascii="仿宋" w:hAnsi="仿宋" w:eastAsia="仿宋"/>
          <w:b w:val="0"/>
          <w:color w:val="auto"/>
          <w:sz w:val="24"/>
          <w:szCs w:val="24"/>
          <w:u w:val="single"/>
        </w:rPr>
        <w:t xml:space="preserve">                                      </w:t>
      </w:r>
    </w:p>
    <w:p>
      <w:pPr>
        <w:ind w:firstLine="480"/>
        <w:jc w:val="left"/>
        <w:rPr>
          <w:rFonts w:ascii="仿宋" w:hAnsi="仿宋" w:eastAsia="仿宋"/>
          <w:b w:val="0"/>
          <w:color w:val="auto"/>
          <w:sz w:val="24"/>
          <w:szCs w:val="24"/>
          <w:u w:val="single"/>
        </w:rPr>
      </w:pPr>
      <w:r>
        <w:rPr>
          <w:rFonts w:ascii="仿宋" w:hAnsi="仿宋" w:eastAsia="仿宋"/>
          <w:b w:val="0"/>
          <w:color w:val="auto"/>
          <w:sz w:val="24"/>
          <w:szCs w:val="24"/>
        </w:rPr>
        <w:t>甲方合同编号：</w:t>
      </w:r>
      <w:r>
        <w:rPr>
          <w:rFonts w:ascii="仿宋" w:hAnsi="仿宋" w:eastAsia="仿宋"/>
          <w:b w:val="0"/>
          <w:color w:val="auto"/>
          <w:sz w:val="24"/>
          <w:szCs w:val="24"/>
          <w:u w:val="single"/>
        </w:rPr>
        <w:t xml:space="preserve">                                      </w:t>
      </w:r>
    </w:p>
    <w:p>
      <w:pPr>
        <w:ind w:firstLine="480"/>
        <w:jc w:val="left"/>
        <w:rPr>
          <w:rFonts w:ascii="仿宋" w:hAnsi="仿宋" w:eastAsia="仿宋"/>
          <w:b w:val="0"/>
          <w:color w:val="auto"/>
          <w:sz w:val="24"/>
          <w:szCs w:val="24"/>
          <w:u w:val="single"/>
        </w:rPr>
      </w:pPr>
      <w:r>
        <w:rPr>
          <w:rFonts w:ascii="仿宋" w:hAnsi="仿宋" w:eastAsia="仿宋"/>
          <w:b w:val="0"/>
          <w:color w:val="auto"/>
          <w:sz w:val="24"/>
          <w:szCs w:val="24"/>
        </w:rPr>
        <w:t>甲方（采购人）：</w:t>
      </w:r>
      <w:r>
        <w:rPr>
          <w:rFonts w:ascii="仿宋" w:hAnsi="仿宋" w:eastAsia="仿宋"/>
          <w:b w:val="0"/>
          <w:color w:val="auto"/>
          <w:sz w:val="24"/>
          <w:szCs w:val="24"/>
          <w:u w:val="single"/>
        </w:rPr>
        <w:t xml:space="preserve">                                    </w:t>
      </w:r>
    </w:p>
    <w:p>
      <w:pPr>
        <w:ind w:firstLine="480"/>
        <w:jc w:val="left"/>
        <w:rPr>
          <w:rFonts w:ascii="仿宋" w:hAnsi="仿宋" w:eastAsia="仿宋"/>
          <w:b w:val="0"/>
          <w:color w:val="auto"/>
          <w:sz w:val="24"/>
          <w:szCs w:val="24"/>
          <w:u w:val="single"/>
        </w:rPr>
      </w:pPr>
      <w:r>
        <w:rPr>
          <w:rFonts w:ascii="仿宋" w:hAnsi="仿宋" w:eastAsia="仿宋"/>
          <w:b w:val="0"/>
          <w:color w:val="auto"/>
          <w:sz w:val="24"/>
          <w:szCs w:val="24"/>
        </w:rPr>
        <w:t>乙方（供应商）：</w:t>
      </w:r>
      <w:r>
        <w:rPr>
          <w:rFonts w:ascii="仿宋" w:hAnsi="仿宋" w:eastAsia="仿宋"/>
          <w:b w:val="0"/>
          <w:color w:val="auto"/>
          <w:sz w:val="24"/>
          <w:szCs w:val="24"/>
          <w:u w:val="single"/>
        </w:rPr>
        <w:t xml:space="preserve">                                    </w:t>
      </w:r>
    </w:p>
    <w:p>
      <w:pPr>
        <w:ind w:firstLine="0" w:firstLineChars="0"/>
        <w:jc w:val="left"/>
        <w:rPr>
          <w:rFonts w:ascii="仿宋" w:hAnsi="仿宋" w:eastAsia="仿宋"/>
          <w:b w:val="0"/>
          <w:color w:val="auto"/>
          <w:sz w:val="24"/>
          <w:szCs w:val="24"/>
          <w:u w:val="single"/>
        </w:rPr>
      </w:pPr>
    </w:p>
    <w:p>
      <w:pPr>
        <w:ind w:firstLine="480"/>
        <w:jc w:val="left"/>
        <w:rPr>
          <w:rFonts w:ascii="仿宋" w:hAnsi="仿宋" w:eastAsia="仿宋"/>
          <w:b w:val="0"/>
          <w:color w:val="auto"/>
          <w:sz w:val="24"/>
          <w:szCs w:val="24"/>
        </w:rPr>
      </w:pPr>
      <w:r>
        <w:rPr>
          <w:rFonts w:ascii="仿宋" w:hAnsi="仿宋" w:eastAsia="仿宋"/>
          <w:b w:val="0"/>
          <w:color w:val="auto"/>
          <w:sz w:val="24"/>
          <w:szCs w:val="24"/>
        </w:rPr>
        <w:t>根据《中华人民共和国政府采购法》、《</w:t>
      </w:r>
      <w:r>
        <w:rPr>
          <w:rFonts w:hint="eastAsia" w:ascii="仿宋" w:hAnsi="仿宋" w:eastAsia="仿宋"/>
          <w:b w:val="0"/>
          <w:color w:val="auto"/>
          <w:sz w:val="24"/>
          <w:szCs w:val="24"/>
        </w:rPr>
        <w:t>中华人民共和国民法典</w:t>
      </w:r>
      <w:r>
        <w:rPr>
          <w:rFonts w:ascii="仿宋" w:hAnsi="仿宋" w:eastAsia="仿宋"/>
          <w:b w:val="0"/>
          <w:color w:val="auto"/>
          <w:sz w:val="24"/>
          <w:szCs w:val="24"/>
        </w:rPr>
        <w:t>》</w:t>
      </w:r>
      <w:r>
        <w:rPr>
          <w:rFonts w:hint="eastAsia" w:ascii="仿宋" w:hAnsi="仿宋" w:eastAsia="仿宋"/>
          <w:b w:val="0"/>
          <w:color w:val="auto"/>
          <w:sz w:val="24"/>
          <w:szCs w:val="24"/>
        </w:rPr>
        <w:t>、《中华人民共和国劳动合同法》</w:t>
      </w:r>
      <w:r>
        <w:rPr>
          <w:rFonts w:ascii="仿宋" w:hAnsi="仿宋" w:eastAsia="仿宋"/>
          <w:b w:val="0"/>
          <w:color w:val="auto"/>
          <w:sz w:val="24"/>
          <w:szCs w:val="24"/>
        </w:rPr>
        <w:t>及</w:t>
      </w:r>
      <w:r>
        <w:rPr>
          <w:rFonts w:hint="eastAsia" w:ascii="仿宋" w:hAnsi="仿宋" w:eastAsia="仿宋"/>
          <w:b w:val="0"/>
          <w:color w:val="auto"/>
          <w:sz w:val="24"/>
          <w:szCs w:val="24"/>
          <w:u w:val="single"/>
        </w:rPr>
        <w:t>成都市交通运输综合行政执法总队劳务外包服务采购项目</w:t>
      </w:r>
      <w:r>
        <w:rPr>
          <w:rFonts w:ascii="仿宋" w:hAnsi="仿宋" w:eastAsia="仿宋"/>
          <w:b w:val="0"/>
          <w:color w:val="auto"/>
          <w:sz w:val="24"/>
          <w:szCs w:val="24"/>
        </w:rPr>
        <w:t>（采购项目编号：</w:t>
      </w:r>
      <w:r>
        <w:rPr>
          <w:rFonts w:hint="eastAsia" w:ascii="仿宋" w:hAnsi="仿宋" w:eastAsia="仿宋"/>
          <w:b w:val="0"/>
          <w:color w:val="auto"/>
          <w:sz w:val="24"/>
          <w:szCs w:val="24"/>
          <w:u w:val="single"/>
        </w:rPr>
        <w:t>510101202100963</w:t>
      </w:r>
      <w:r>
        <w:rPr>
          <w:rFonts w:ascii="仿宋" w:hAnsi="仿宋" w:eastAsia="仿宋"/>
          <w:b w:val="0"/>
          <w:color w:val="auto"/>
          <w:sz w:val="24"/>
          <w:szCs w:val="24"/>
        </w:rPr>
        <w:t>）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pPr>
        <w:ind w:firstLine="472" w:firstLineChars="196"/>
        <w:jc w:val="left"/>
        <w:rPr>
          <w:rFonts w:ascii="仿宋" w:hAnsi="仿宋" w:eastAsia="仿宋"/>
          <w:color w:val="auto"/>
          <w:sz w:val="24"/>
          <w:szCs w:val="24"/>
          <w:lang w:val="en-US"/>
        </w:rPr>
      </w:pPr>
      <w:r>
        <w:rPr>
          <w:rFonts w:ascii="仿宋" w:hAnsi="仿宋" w:eastAsia="仿宋"/>
          <w:color w:val="auto"/>
          <w:sz w:val="24"/>
          <w:szCs w:val="24"/>
          <w:lang w:val="en-US"/>
        </w:rPr>
        <w:t xml:space="preserve">第一条  合同文件 </w:t>
      </w:r>
    </w:p>
    <w:p>
      <w:pPr>
        <w:ind w:firstLine="480"/>
        <w:jc w:val="left"/>
        <w:rPr>
          <w:rFonts w:ascii="仿宋" w:hAnsi="仿宋" w:eastAsia="仿宋"/>
          <w:b w:val="0"/>
          <w:color w:val="auto"/>
          <w:sz w:val="24"/>
          <w:szCs w:val="24"/>
          <w:lang w:val="en-US"/>
        </w:rPr>
      </w:pPr>
      <w:r>
        <w:rPr>
          <w:rFonts w:ascii="仿宋" w:hAnsi="仿宋" w:eastAsia="仿宋"/>
          <w:b w:val="0"/>
          <w:color w:val="auto"/>
          <w:sz w:val="24"/>
          <w:szCs w:val="24"/>
          <w:lang w:val="en-US"/>
        </w:rPr>
        <w:t xml:space="preserve">下列与本次采购活动有关的文件及附件是本合同不可分割的组成部分，与本合同具有同等法律效力，这些文件包括但不限于： </w:t>
      </w:r>
    </w:p>
    <w:p>
      <w:pPr>
        <w:ind w:firstLine="480"/>
        <w:jc w:val="left"/>
        <w:rPr>
          <w:rFonts w:ascii="仿宋" w:hAnsi="仿宋" w:eastAsia="仿宋"/>
          <w:b w:val="0"/>
          <w:color w:val="auto"/>
          <w:sz w:val="24"/>
          <w:szCs w:val="24"/>
          <w:lang w:val="en-US"/>
        </w:rPr>
      </w:pPr>
      <w:r>
        <w:rPr>
          <w:rFonts w:ascii="仿宋" w:hAnsi="仿宋" w:eastAsia="仿宋"/>
          <w:b w:val="0"/>
          <w:color w:val="auto"/>
          <w:sz w:val="24"/>
          <w:szCs w:val="24"/>
          <w:lang w:val="en-US"/>
        </w:rPr>
        <w:t xml:space="preserve">1．招标文件 </w:t>
      </w:r>
    </w:p>
    <w:p>
      <w:pPr>
        <w:ind w:firstLine="480"/>
        <w:jc w:val="left"/>
        <w:rPr>
          <w:rFonts w:ascii="仿宋" w:hAnsi="仿宋" w:eastAsia="仿宋"/>
          <w:b w:val="0"/>
          <w:color w:val="auto"/>
          <w:sz w:val="24"/>
          <w:szCs w:val="24"/>
          <w:lang w:val="en-US"/>
        </w:rPr>
      </w:pPr>
      <w:r>
        <w:rPr>
          <w:rFonts w:ascii="仿宋" w:hAnsi="仿宋" w:eastAsia="仿宋"/>
          <w:b w:val="0"/>
          <w:color w:val="auto"/>
          <w:sz w:val="24"/>
          <w:szCs w:val="24"/>
          <w:lang w:val="en-US"/>
        </w:rPr>
        <w:t xml:space="preserve">2．投标文件 </w:t>
      </w:r>
    </w:p>
    <w:p>
      <w:pPr>
        <w:ind w:firstLine="480"/>
        <w:jc w:val="left"/>
        <w:rPr>
          <w:rFonts w:ascii="仿宋" w:hAnsi="仿宋" w:eastAsia="仿宋"/>
          <w:b w:val="0"/>
          <w:color w:val="auto"/>
          <w:sz w:val="24"/>
          <w:szCs w:val="24"/>
          <w:lang w:val="en-US"/>
        </w:rPr>
      </w:pPr>
      <w:r>
        <w:rPr>
          <w:rFonts w:ascii="仿宋" w:hAnsi="仿宋" w:eastAsia="仿宋"/>
          <w:b w:val="0"/>
          <w:color w:val="auto"/>
          <w:sz w:val="24"/>
          <w:szCs w:val="24"/>
          <w:lang w:val="en-US"/>
        </w:rPr>
        <w:t xml:space="preserve">3．乙方在响应时的书面承诺 </w:t>
      </w:r>
    </w:p>
    <w:p>
      <w:pPr>
        <w:ind w:firstLine="480"/>
        <w:jc w:val="left"/>
        <w:rPr>
          <w:rFonts w:ascii="仿宋" w:hAnsi="仿宋" w:eastAsia="仿宋"/>
          <w:b w:val="0"/>
          <w:color w:val="auto"/>
          <w:sz w:val="24"/>
          <w:szCs w:val="24"/>
          <w:lang w:val="en-US"/>
        </w:rPr>
      </w:pPr>
      <w:r>
        <w:rPr>
          <w:rFonts w:ascii="仿宋" w:hAnsi="仿宋" w:eastAsia="仿宋"/>
          <w:b w:val="0"/>
          <w:color w:val="auto"/>
          <w:sz w:val="24"/>
          <w:szCs w:val="24"/>
          <w:lang w:val="en-US"/>
        </w:rPr>
        <w:t xml:space="preserve">4．中标通知书 </w:t>
      </w:r>
    </w:p>
    <w:p>
      <w:pPr>
        <w:ind w:firstLine="480"/>
        <w:jc w:val="left"/>
        <w:rPr>
          <w:rFonts w:ascii="仿宋" w:hAnsi="仿宋" w:eastAsia="仿宋"/>
          <w:b w:val="0"/>
          <w:color w:val="auto"/>
          <w:sz w:val="24"/>
          <w:szCs w:val="24"/>
          <w:lang w:val="en-US"/>
        </w:rPr>
      </w:pPr>
      <w:r>
        <w:rPr>
          <w:rFonts w:ascii="仿宋" w:hAnsi="仿宋" w:eastAsia="仿宋"/>
          <w:b w:val="0"/>
          <w:color w:val="auto"/>
          <w:sz w:val="24"/>
          <w:szCs w:val="24"/>
          <w:lang w:val="en-US"/>
        </w:rPr>
        <w:t xml:space="preserve">5．合同补充条款或说明 </w:t>
      </w:r>
    </w:p>
    <w:p>
      <w:pPr>
        <w:ind w:firstLine="480"/>
        <w:jc w:val="left"/>
        <w:rPr>
          <w:rFonts w:ascii="仿宋" w:hAnsi="仿宋" w:eastAsia="仿宋"/>
          <w:b w:val="0"/>
          <w:color w:val="auto"/>
          <w:sz w:val="24"/>
          <w:szCs w:val="24"/>
          <w:lang w:val="en-US"/>
        </w:rPr>
      </w:pPr>
      <w:r>
        <w:rPr>
          <w:rFonts w:ascii="仿宋" w:hAnsi="仿宋" w:eastAsia="仿宋"/>
          <w:b w:val="0"/>
          <w:color w:val="auto"/>
          <w:sz w:val="24"/>
          <w:szCs w:val="24"/>
          <w:lang w:val="en-US"/>
        </w:rPr>
        <w:t xml:space="preserve">6．保密协议或条款 </w:t>
      </w:r>
    </w:p>
    <w:p>
      <w:pPr>
        <w:ind w:firstLine="480"/>
        <w:jc w:val="left"/>
        <w:rPr>
          <w:rFonts w:ascii="仿宋" w:hAnsi="仿宋" w:eastAsia="仿宋"/>
          <w:b w:val="0"/>
          <w:color w:val="auto"/>
          <w:sz w:val="24"/>
          <w:szCs w:val="24"/>
          <w:lang w:val="en-US"/>
        </w:rPr>
      </w:pPr>
      <w:r>
        <w:rPr>
          <w:rFonts w:ascii="仿宋" w:hAnsi="仿宋" w:eastAsia="仿宋"/>
          <w:b w:val="0"/>
          <w:color w:val="auto"/>
          <w:sz w:val="24"/>
          <w:szCs w:val="24"/>
          <w:lang w:val="en-US"/>
        </w:rPr>
        <w:t>7．相关附件</w:t>
      </w:r>
    </w:p>
    <w:p>
      <w:pPr>
        <w:pStyle w:val="371"/>
        <w:tabs>
          <w:tab w:val="left" w:pos="4500"/>
          <w:tab w:val="left" w:pos="4860"/>
          <w:tab w:val="left" w:pos="7020"/>
        </w:tabs>
        <w:ind w:firstLine="480"/>
        <w:rPr>
          <w:rFonts w:ascii="仿宋" w:hAnsi="仿宋" w:eastAsia="仿宋"/>
          <w:b w:val="0"/>
          <w:color w:val="auto"/>
          <w:sz w:val="24"/>
          <w:szCs w:val="24"/>
          <w:lang w:val="en-US"/>
        </w:rPr>
      </w:pPr>
      <w:r>
        <w:rPr>
          <w:rFonts w:hint="eastAsia" w:ascii="仿宋" w:hAnsi="仿宋" w:eastAsia="仿宋"/>
          <w:b w:val="0"/>
          <w:color w:val="auto"/>
          <w:sz w:val="24"/>
          <w:szCs w:val="24"/>
          <w:lang w:val="en-US"/>
        </w:rPr>
        <w:t xml:space="preserve">第二条 </w:t>
      </w:r>
      <w:r>
        <w:rPr>
          <w:rFonts w:ascii="仿宋" w:hAnsi="仿宋" w:eastAsia="仿宋"/>
          <w:b w:val="0"/>
          <w:color w:val="auto"/>
          <w:sz w:val="24"/>
          <w:szCs w:val="24"/>
          <w:lang w:val="en-US"/>
        </w:rPr>
        <w:t xml:space="preserve"> </w:t>
      </w:r>
      <w:r>
        <w:rPr>
          <w:rFonts w:hint="eastAsia" w:ascii="仿宋" w:hAnsi="仿宋" w:eastAsia="仿宋"/>
          <w:b w:val="0"/>
          <w:color w:val="auto"/>
          <w:sz w:val="24"/>
          <w:szCs w:val="24"/>
          <w:lang w:val="en-US"/>
        </w:rPr>
        <w:t>总则/释义</w:t>
      </w:r>
    </w:p>
    <w:p>
      <w:pPr>
        <w:pStyle w:val="371"/>
        <w:tabs>
          <w:tab w:val="left" w:pos="4500"/>
          <w:tab w:val="left" w:pos="4860"/>
          <w:tab w:val="left" w:pos="7020"/>
        </w:tabs>
        <w:ind w:firstLine="480"/>
        <w:rPr>
          <w:rFonts w:ascii="仿宋" w:hAnsi="仿宋" w:eastAsia="仿宋"/>
          <w:b w:val="0"/>
          <w:color w:val="auto"/>
          <w:sz w:val="24"/>
          <w:szCs w:val="24"/>
          <w:lang w:val="en-US"/>
        </w:rPr>
      </w:pPr>
      <w:r>
        <w:rPr>
          <w:rFonts w:hint="eastAsia" w:ascii="仿宋" w:hAnsi="仿宋" w:eastAsia="仿宋"/>
          <w:b w:val="0"/>
          <w:color w:val="auto"/>
          <w:sz w:val="24"/>
          <w:szCs w:val="24"/>
          <w:lang w:val="en-US"/>
        </w:rPr>
        <w:t>（一</w:t>
      </w:r>
      <w:r>
        <w:rPr>
          <w:rFonts w:ascii="仿宋" w:hAnsi="仿宋" w:eastAsia="仿宋"/>
          <w:b w:val="0"/>
          <w:color w:val="auto"/>
          <w:sz w:val="24"/>
          <w:szCs w:val="24"/>
          <w:lang w:val="en-US"/>
        </w:rPr>
        <w:t>）</w:t>
      </w:r>
      <w:r>
        <w:rPr>
          <w:rFonts w:hint="eastAsia" w:ascii="仿宋" w:hAnsi="仿宋" w:eastAsia="仿宋"/>
          <w:b w:val="0"/>
          <w:color w:val="auto"/>
          <w:sz w:val="24"/>
          <w:szCs w:val="24"/>
          <w:lang w:val="en-US"/>
        </w:rPr>
        <w:t>乙方应向甲方提供经注册、登记或备案的资质文件，该文件应该与原件核对无误，并加盖本单位鲜章，证明其是中华人民共和国境内真实合法、有效的组织，其资质证明作为本合同的附件，具有同等法律效力。</w:t>
      </w:r>
    </w:p>
    <w:p>
      <w:pPr>
        <w:tabs>
          <w:tab w:val="left" w:pos="2955"/>
        </w:tabs>
        <w:autoSpaceDE w:val="0"/>
        <w:autoSpaceDN w:val="0"/>
        <w:adjustRightInd w:val="0"/>
        <w:ind w:firstLine="480"/>
        <w:rPr>
          <w:rFonts w:ascii="仿宋" w:hAnsi="仿宋" w:eastAsia="仿宋"/>
          <w:b w:val="0"/>
          <w:color w:val="auto"/>
          <w:sz w:val="24"/>
          <w:szCs w:val="24"/>
          <w:lang w:val="en-US"/>
        </w:rPr>
      </w:pPr>
      <w:r>
        <w:rPr>
          <w:rFonts w:hint="eastAsia" w:ascii="仿宋" w:hAnsi="仿宋" w:eastAsia="仿宋"/>
          <w:b w:val="0"/>
          <w:color w:val="auto"/>
          <w:sz w:val="24"/>
          <w:szCs w:val="24"/>
          <w:lang w:val="en-US"/>
        </w:rPr>
        <w:t>（二）劳动力服务--指依照甲方业务需要和双方约定，乙方向甲方提供双方认可的派出人员，并依照双方约定的工作地点、工作时间、工作岗位来向甲方提供劳动力服务（作为本合同附件）。</w:t>
      </w:r>
    </w:p>
    <w:p>
      <w:pPr>
        <w:pStyle w:val="371"/>
        <w:tabs>
          <w:tab w:val="left" w:pos="2955"/>
        </w:tabs>
        <w:autoSpaceDE w:val="0"/>
        <w:autoSpaceDN w:val="0"/>
        <w:adjustRightInd w:val="0"/>
        <w:ind w:firstLine="453" w:firstLineChars="189"/>
        <w:rPr>
          <w:rFonts w:hint="eastAsia" w:ascii="仿宋" w:hAnsi="仿宋" w:eastAsia="仿宋"/>
          <w:b w:val="0"/>
          <w:color w:val="auto"/>
          <w:sz w:val="24"/>
          <w:szCs w:val="24"/>
          <w:lang w:val="en-US"/>
        </w:rPr>
      </w:pPr>
      <w:r>
        <w:rPr>
          <w:rFonts w:hint="eastAsia" w:ascii="仿宋" w:hAnsi="仿宋" w:eastAsia="仿宋"/>
          <w:b w:val="0"/>
          <w:color w:val="auto"/>
          <w:sz w:val="24"/>
          <w:szCs w:val="24"/>
          <w:lang w:val="en-US"/>
        </w:rPr>
        <w:t>（三）派出人员--指乙方向甲方提供的符合岗位需要的乙方合法雇佣的员工。派出人员与乙方为劳动雇佣关系，与甲方为劳动用工关系。</w:t>
      </w:r>
    </w:p>
    <w:p>
      <w:pPr>
        <w:pStyle w:val="371"/>
        <w:ind w:firstLine="482"/>
        <w:rPr>
          <w:rFonts w:ascii="仿宋" w:hAnsi="仿宋" w:eastAsia="仿宋"/>
          <w:color w:val="auto"/>
          <w:sz w:val="24"/>
          <w:szCs w:val="24"/>
          <w:lang w:val="en-US"/>
        </w:rPr>
      </w:pPr>
      <w:r>
        <w:rPr>
          <w:rFonts w:ascii="仿宋" w:hAnsi="仿宋" w:eastAsia="仿宋"/>
          <w:color w:val="auto"/>
          <w:sz w:val="24"/>
          <w:szCs w:val="24"/>
          <w:lang w:val="en-US"/>
        </w:rPr>
        <w:t>第</w:t>
      </w:r>
      <w:r>
        <w:rPr>
          <w:rFonts w:hint="eastAsia" w:ascii="仿宋" w:hAnsi="仿宋" w:eastAsia="仿宋"/>
          <w:color w:val="auto"/>
          <w:sz w:val="24"/>
          <w:szCs w:val="24"/>
          <w:lang w:val="en-US"/>
        </w:rPr>
        <w:t>三</w:t>
      </w:r>
      <w:r>
        <w:rPr>
          <w:rFonts w:ascii="仿宋" w:hAnsi="仿宋" w:eastAsia="仿宋"/>
          <w:color w:val="auto"/>
          <w:sz w:val="24"/>
          <w:szCs w:val="24"/>
          <w:lang w:val="en-US"/>
        </w:rPr>
        <w:t xml:space="preserve">条  </w:t>
      </w:r>
      <w:r>
        <w:rPr>
          <w:rFonts w:hint="eastAsia" w:ascii="仿宋" w:hAnsi="仿宋" w:eastAsia="仿宋"/>
          <w:color w:val="auto"/>
          <w:sz w:val="24"/>
          <w:szCs w:val="24"/>
          <w:lang w:val="en-US"/>
        </w:rPr>
        <w:t>服务</w:t>
      </w:r>
      <w:r>
        <w:rPr>
          <w:rFonts w:ascii="仿宋" w:hAnsi="仿宋" w:eastAsia="仿宋"/>
          <w:color w:val="auto"/>
          <w:sz w:val="24"/>
          <w:szCs w:val="24"/>
          <w:lang w:val="en-US"/>
        </w:rPr>
        <w:t>期限</w:t>
      </w:r>
    </w:p>
    <w:p>
      <w:pPr>
        <w:ind w:firstLine="480"/>
        <w:jc w:val="left"/>
        <w:rPr>
          <w:rFonts w:hint="eastAsia" w:ascii="仿宋" w:hAnsi="仿宋" w:eastAsia="仿宋"/>
          <w:b w:val="0"/>
          <w:color w:val="auto"/>
          <w:sz w:val="24"/>
          <w:szCs w:val="24"/>
          <w:lang w:val="en-US"/>
        </w:rPr>
      </w:pPr>
      <w:r>
        <w:rPr>
          <w:rFonts w:hint="eastAsia" w:ascii="仿宋" w:hAnsi="仿宋" w:eastAsia="仿宋"/>
          <w:b w:val="0"/>
          <w:color w:val="auto"/>
          <w:sz w:val="24"/>
          <w:szCs w:val="24"/>
          <w:lang w:val="en-US"/>
        </w:rPr>
        <w:t>乙方的</w:t>
      </w:r>
      <w:r>
        <w:rPr>
          <w:rFonts w:ascii="仿宋" w:hAnsi="仿宋" w:eastAsia="仿宋"/>
          <w:b w:val="0"/>
          <w:color w:val="auto"/>
          <w:sz w:val="24"/>
          <w:szCs w:val="24"/>
          <w:lang w:val="en-US"/>
        </w:rPr>
        <w:t>服务</w:t>
      </w:r>
      <w:r>
        <w:rPr>
          <w:rFonts w:hint="eastAsia" w:ascii="仿宋" w:hAnsi="仿宋" w:eastAsia="仿宋"/>
          <w:b w:val="0"/>
          <w:color w:val="auto"/>
          <w:sz w:val="24"/>
          <w:szCs w:val="24"/>
          <w:lang w:val="en-US"/>
        </w:rPr>
        <w:t>期限为三年，</w:t>
      </w:r>
      <w:r>
        <w:rPr>
          <w:rFonts w:ascii="仿宋" w:hAnsi="仿宋" w:eastAsia="仿宋"/>
          <w:b w:val="0"/>
          <w:color w:val="auto"/>
          <w:sz w:val="24"/>
          <w:szCs w:val="24"/>
          <w:lang w:val="en-US"/>
        </w:rPr>
        <w:t>自______年______月至______年______月止</w:t>
      </w:r>
      <w:r>
        <w:rPr>
          <w:rFonts w:hint="eastAsia" w:ascii="仿宋" w:hAnsi="仿宋" w:eastAsia="仿宋"/>
          <w:b w:val="0"/>
          <w:color w:val="auto"/>
          <w:sz w:val="24"/>
          <w:szCs w:val="24"/>
          <w:lang w:val="en-US"/>
        </w:rPr>
        <w:t>，但劳动力服务合同一年一签。本合同有效期为一年，</w:t>
      </w:r>
      <w:r>
        <w:rPr>
          <w:rFonts w:ascii="仿宋" w:hAnsi="仿宋" w:eastAsia="仿宋"/>
          <w:b w:val="0"/>
          <w:color w:val="auto"/>
          <w:sz w:val="24"/>
          <w:szCs w:val="24"/>
          <w:lang w:val="en-US"/>
        </w:rPr>
        <w:t>自______年______月至______年______月止</w:t>
      </w:r>
      <w:r>
        <w:rPr>
          <w:rFonts w:hint="eastAsia" w:ascii="仿宋" w:hAnsi="仿宋" w:eastAsia="仿宋"/>
          <w:b w:val="0"/>
          <w:color w:val="auto"/>
          <w:sz w:val="24"/>
          <w:szCs w:val="24"/>
          <w:lang w:val="en-US"/>
        </w:rPr>
        <w:t>。本合同有效期届满前，若经甲方考核合格的，甲方与乙方续签下一年度劳动力服务合同。</w:t>
      </w:r>
    </w:p>
    <w:p>
      <w:pPr>
        <w:ind w:firstLine="472" w:firstLineChars="196"/>
        <w:jc w:val="left"/>
        <w:rPr>
          <w:rFonts w:hint="eastAsia" w:ascii="仿宋" w:hAnsi="仿宋" w:eastAsia="仿宋"/>
          <w:b w:val="0"/>
          <w:color w:val="auto"/>
          <w:sz w:val="24"/>
          <w:szCs w:val="24"/>
          <w:lang w:val="en-US"/>
        </w:rPr>
      </w:pPr>
      <w:r>
        <w:rPr>
          <w:rFonts w:ascii="仿宋" w:hAnsi="仿宋" w:eastAsia="仿宋"/>
          <w:color w:val="auto"/>
          <w:sz w:val="24"/>
          <w:szCs w:val="24"/>
          <w:lang w:val="en-US"/>
        </w:rPr>
        <w:t>第</w:t>
      </w:r>
      <w:r>
        <w:rPr>
          <w:rFonts w:hint="eastAsia" w:ascii="仿宋" w:hAnsi="仿宋" w:eastAsia="仿宋"/>
          <w:color w:val="auto"/>
          <w:sz w:val="24"/>
          <w:szCs w:val="24"/>
          <w:lang w:val="en-US"/>
        </w:rPr>
        <w:t>四</w:t>
      </w:r>
      <w:r>
        <w:rPr>
          <w:rFonts w:ascii="仿宋" w:hAnsi="仿宋" w:eastAsia="仿宋"/>
          <w:color w:val="auto"/>
          <w:sz w:val="24"/>
          <w:szCs w:val="24"/>
          <w:lang w:val="en-US"/>
        </w:rPr>
        <w:t>条  服务内容与服务标准</w:t>
      </w:r>
    </w:p>
    <w:p>
      <w:pPr>
        <w:ind w:firstLine="482"/>
        <w:rPr>
          <w:rFonts w:ascii="仿宋" w:hAnsi="仿宋" w:eastAsia="仿宋" w:cs="仿宋"/>
          <w:color w:val="auto"/>
          <w:sz w:val="24"/>
          <w:szCs w:val="24"/>
        </w:rPr>
      </w:pPr>
      <w:r>
        <w:rPr>
          <w:rFonts w:hint="eastAsia" w:ascii="仿宋" w:hAnsi="仿宋" w:eastAsia="仿宋" w:cs="仿宋"/>
          <w:color w:val="auto"/>
          <w:sz w:val="24"/>
          <w:szCs w:val="24"/>
        </w:rPr>
        <w:t>（一）人员要求</w:t>
      </w:r>
    </w:p>
    <w:p>
      <w:pPr>
        <w:pStyle w:val="19"/>
        <w:ind w:firstLine="480"/>
        <w:rPr>
          <w:rFonts w:ascii="仿宋" w:hAnsi="仿宋" w:eastAsia="仿宋"/>
          <w:sz w:val="24"/>
        </w:rPr>
      </w:pPr>
      <w:r>
        <w:rPr>
          <w:rFonts w:hint="eastAsia" w:ascii="仿宋" w:hAnsi="仿宋" w:eastAsia="仿宋"/>
          <w:sz w:val="24"/>
        </w:rPr>
        <w:t>甲方预计有劳务派出人员24名。乙方根据甲方服务内容及要求，适时调整劳务派出人员数量。</w:t>
      </w:r>
    </w:p>
    <w:tbl>
      <w:tblPr>
        <w:tblStyle w:val="7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2"/>
        <w:gridCol w:w="1801"/>
        <w:gridCol w:w="790"/>
        <w:gridCol w:w="5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vAlign w:val="center"/>
          </w:tcPr>
          <w:p>
            <w:pPr>
              <w:pStyle w:val="19"/>
              <w:ind w:firstLine="0" w:firstLineChars="0"/>
              <w:jc w:val="center"/>
              <w:rPr>
                <w:rFonts w:hint="eastAsia" w:ascii="仿宋" w:hAnsi="仿宋" w:eastAsia="仿宋"/>
                <w:sz w:val="24"/>
              </w:rPr>
            </w:pPr>
            <w:r>
              <w:rPr>
                <w:rFonts w:hint="eastAsia" w:ascii="仿宋" w:hAnsi="仿宋" w:eastAsia="仿宋"/>
                <w:sz w:val="24"/>
              </w:rPr>
              <w:t>序号</w:t>
            </w:r>
          </w:p>
        </w:tc>
        <w:tc>
          <w:tcPr>
            <w:tcW w:w="1801" w:type="dxa"/>
            <w:vAlign w:val="center"/>
          </w:tcPr>
          <w:p>
            <w:pPr>
              <w:pStyle w:val="19"/>
              <w:ind w:firstLine="0" w:firstLineChars="0"/>
              <w:jc w:val="center"/>
              <w:rPr>
                <w:rFonts w:ascii="仿宋" w:hAnsi="仿宋" w:eastAsia="仿宋"/>
                <w:sz w:val="24"/>
              </w:rPr>
            </w:pPr>
            <w:r>
              <w:rPr>
                <w:rFonts w:ascii="仿宋" w:hAnsi="仿宋" w:eastAsia="仿宋"/>
                <w:sz w:val="24"/>
              </w:rPr>
              <w:t>工种</w:t>
            </w:r>
          </w:p>
        </w:tc>
        <w:tc>
          <w:tcPr>
            <w:tcW w:w="790" w:type="dxa"/>
            <w:vAlign w:val="center"/>
          </w:tcPr>
          <w:p>
            <w:pPr>
              <w:pStyle w:val="19"/>
              <w:ind w:firstLine="0" w:firstLineChars="0"/>
              <w:jc w:val="center"/>
              <w:rPr>
                <w:rFonts w:ascii="仿宋" w:hAnsi="仿宋" w:eastAsia="仿宋"/>
                <w:sz w:val="24"/>
              </w:rPr>
            </w:pPr>
            <w:r>
              <w:rPr>
                <w:rFonts w:ascii="仿宋" w:hAnsi="仿宋" w:eastAsia="仿宋"/>
                <w:sz w:val="24"/>
              </w:rPr>
              <w:t>人数</w:t>
            </w:r>
          </w:p>
        </w:tc>
        <w:tc>
          <w:tcPr>
            <w:tcW w:w="5146" w:type="dxa"/>
            <w:vAlign w:val="center"/>
          </w:tcPr>
          <w:p>
            <w:pPr>
              <w:pStyle w:val="19"/>
              <w:ind w:firstLine="0" w:firstLineChars="0"/>
              <w:jc w:val="center"/>
              <w:rPr>
                <w:rFonts w:ascii="仿宋" w:hAnsi="仿宋" w:eastAsia="仿宋"/>
                <w:sz w:val="24"/>
              </w:rPr>
            </w:pPr>
            <w:r>
              <w:rPr>
                <w:rFonts w:ascii="仿宋" w:hAnsi="仿宋" w:eastAsia="仿宋"/>
                <w:sz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vAlign w:val="center"/>
          </w:tcPr>
          <w:p>
            <w:pPr>
              <w:pStyle w:val="19"/>
              <w:ind w:firstLine="0" w:firstLineChars="0"/>
              <w:jc w:val="center"/>
              <w:rPr>
                <w:rFonts w:hint="eastAsia" w:ascii="仿宋" w:hAnsi="仿宋" w:eastAsia="仿宋"/>
                <w:sz w:val="24"/>
              </w:rPr>
            </w:pPr>
            <w:r>
              <w:rPr>
                <w:rFonts w:hint="eastAsia" w:ascii="仿宋" w:hAnsi="仿宋" w:eastAsia="仿宋"/>
                <w:sz w:val="24"/>
              </w:rPr>
              <w:t>1</w:t>
            </w:r>
          </w:p>
        </w:tc>
        <w:tc>
          <w:tcPr>
            <w:tcW w:w="1801" w:type="dxa"/>
            <w:vAlign w:val="center"/>
          </w:tcPr>
          <w:p>
            <w:pPr>
              <w:pStyle w:val="19"/>
              <w:ind w:firstLine="0" w:firstLineChars="0"/>
              <w:jc w:val="center"/>
              <w:rPr>
                <w:rFonts w:ascii="仿宋" w:hAnsi="仿宋" w:eastAsia="仿宋"/>
                <w:sz w:val="24"/>
              </w:rPr>
            </w:pPr>
            <w:r>
              <w:rPr>
                <w:rFonts w:ascii="仿宋" w:hAnsi="仿宋" w:eastAsia="仿宋"/>
                <w:sz w:val="24"/>
              </w:rPr>
              <w:t>协助执法人员</w:t>
            </w:r>
          </w:p>
        </w:tc>
        <w:tc>
          <w:tcPr>
            <w:tcW w:w="790" w:type="dxa"/>
            <w:vAlign w:val="center"/>
          </w:tcPr>
          <w:p>
            <w:pPr>
              <w:pStyle w:val="19"/>
              <w:ind w:firstLine="0" w:firstLineChars="0"/>
              <w:jc w:val="center"/>
              <w:rPr>
                <w:rFonts w:ascii="仿宋" w:hAnsi="仿宋" w:eastAsia="仿宋"/>
                <w:sz w:val="24"/>
              </w:rPr>
            </w:pPr>
            <w:r>
              <w:rPr>
                <w:rFonts w:hint="eastAsia" w:ascii="仿宋" w:hAnsi="仿宋" w:eastAsia="仿宋"/>
                <w:sz w:val="24"/>
              </w:rPr>
              <w:t>13</w:t>
            </w:r>
          </w:p>
        </w:tc>
        <w:tc>
          <w:tcPr>
            <w:tcW w:w="5146" w:type="dxa"/>
            <w:vAlign w:val="center"/>
          </w:tcPr>
          <w:p>
            <w:pPr>
              <w:pStyle w:val="19"/>
              <w:ind w:firstLine="0" w:firstLineChars="0"/>
              <w:jc w:val="left"/>
              <w:rPr>
                <w:rFonts w:ascii="仿宋" w:hAnsi="仿宋" w:eastAsia="仿宋"/>
                <w:sz w:val="24"/>
              </w:rPr>
            </w:pPr>
            <w:r>
              <w:rPr>
                <w:rFonts w:hint="eastAsia" w:ascii="仿宋" w:hAnsi="仿宋" w:eastAsia="仿宋"/>
                <w:sz w:val="24"/>
              </w:rPr>
              <w:t>政治思想、身体素质、工作能力过硬、无违法犯罪史，高中及以上学历，年龄</w:t>
            </w:r>
            <w:r>
              <w:rPr>
                <w:rFonts w:ascii="仿宋" w:hAnsi="仿宋" w:eastAsia="仿宋"/>
                <w:sz w:val="24"/>
              </w:rPr>
              <w:t>18周岁以上，60</w:t>
            </w:r>
            <w:r>
              <w:rPr>
                <w:rFonts w:hint="eastAsia" w:ascii="仿宋" w:hAnsi="仿宋" w:eastAsia="仿宋"/>
                <w:sz w:val="24"/>
              </w:rPr>
              <w:t>周岁以下。有相关从业经验者优先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vAlign w:val="center"/>
          </w:tcPr>
          <w:p>
            <w:pPr>
              <w:pStyle w:val="19"/>
              <w:ind w:firstLine="0" w:firstLineChars="0"/>
              <w:jc w:val="center"/>
              <w:rPr>
                <w:rFonts w:hint="eastAsia" w:ascii="仿宋" w:hAnsi="仿宋" w:eastAsia="仿宋"/>
                <w:sz w:val="24"/>
              </w:rPr>
            </w:pPr>
            <w:r>
              <w:rPr>
                <w:rFonts w:hint="eastAsia" w:ascii="仿宋" w:hAnsi="仿宋" w:eastAsia="仿宋"/>
                <w:sz w:val="24"/>
              </w:rPr>
              <w:t>2</w:t>
            </w:r>
          </w:p>
        </w:tc>
        <w:tc>
          <w:tcPr>
            <w:tcW w:w="1801" w:type="dxa"/>
            <w:vAlign w:val="center"/>
          </w:tcPr>
          <w:p>
            <w:pPr>
              <w:pStyle w:val="19"/>
              <w:ind w:firstLine="0" w:firstLineChars="0"/>
              <w:jc w:val="center"/>
              <w:rPr>
                <w:rFonts w:ascii="仿宋" w:hAnsi="仿宋" w:eastAsia="仿宋"/>
                <w:sz w:val="24"/>
              </w:rPr>
            </w:pPr>
            <w:r>
              <w:rPr>
                <w:rFonts w:ascii="仿宋" w:hAnsi="仿宋" w:eastAsia="仿宋"/>
                <w:sz w:val="24"/>
              </w:rPr>
              <w:t>内勤工作人员</w:t>
            </w:r>
          </w:p>
        </w:tc>
        <w:tc>
          <w:tcPr>
            <w:tcW w:w="790" w:type="dxa"/>
            <w:vAlign w:val="center"/>
          </w:tcPr>
          <w:p>
            <w:pPr>
              <w:pStyle w:val="19"/>
              <w:ind w:firstLine="0" w:firstLineChars="0"/>
              <w:jc w:val="center"/>
              <w:rPr>
                <w:rFonts w:ascii="仿宋" w:hAnsi="仿宋" w:eastAsia="仿宋"/>
                <w:sz w:val="24"/>
              </w:rPr>
            </w:pPr>
            <w:r>
              <w:rPr>
                <w:rFonts w:hint="eastAsia" w:ascii="仿宋" w:hAnsi="仿宋" w:eastAsia="仿宋"/>
                <w:sz w:val="24"/>
              </w:rPr>
              <w:t>11</w:t>
            </w:r>
          </w:p>
        </w:tc>
        <w:tc>
          <w:tcPr>
            <w:tcW w:w="5146" w:type="dxa"/>
            <w:vAlign w:val="center"/>
          </w:tcPr>
          <w:p>
            <w:pPr>
              <w:pStyle w:val="19"/>
              <w:ind w:firstLine="0" w:firstLineChars="0"/>
              <w:jc w:val="left"/>
              <w:rPr>
                <w:rFonts w:ascii="仿宋" w:hAnsi="仿宋" w:eastAsia="仿宋"/>
                <w:sz w:val="24"/>
              </w:rPr>
            </w:pPr>
            <w:r>
              <w:rPr>
                <w:rFonts w:hint="eastAsia" w:ascii="仿宋" w:hAnsi="仿宋" w:eastAsia="仿宋"/>
                <w:sz w:val="24"/>
              </w:rPr>
              <w:t>政治思想、身体素质好，诚实守信，品行兼优，身体健康，体貌端庄，口齿清楚，无违法犯罪史。</w:t>
            </w:r>
          </w:p>
        </w:tc>
      </w:tr>
    </w:tbl>
    <w:p>
      <w:pPr>
        <w:numPr>
          <w:ilvl w:val="0"/>
          <w:numId w:val="64"/>
        </w:numPr>
        <w:ind w:firstLine="482" w:firstLineChars="0"/>
        <w:rPr>
          <w:rFonts w:ascii="仿宋" w:hAnsi="仿宋" w:eastAsia="仿宋"/>
          <w:color w:val="auto"/>
          <w:kern w:val="44"/>
          <w:sz w:val="24"/>
          <w:szCs w:val="24"/>
        </w:rPr>
      </w:pPr>
      <w:r>
        <w:rPr>
          <w:rFonts w:hint="eastAsia" w:ascii="仿宋" w:hAnsi="仿宋" w:eastAsia="仿宋"/>
          <w:color w:val="auto"/>
          <w:kern w:val="44"/>
          <w:sz w:val="24"/>
          <w:szCs w:val="24"/>
        </w:rPr>
        <w:t>服务要求</w:t>
      </w:r>
    </w:p>
    <w:p>
      <w:pPr>
        <w:pStyle w:val="19"/>
        <w:ind w:firstLine="480"/>
        <w:rPr>
          <w:rFonts w:ascii="仿宋" w:hAnsi="仿宋" w:eastAsia="仿宋"/>
          <w:sz w:val="24"/>
        </w:rPr>
      </w:pPr>
      <w:r>
        <w:rPr>
          <w:rFonts w:hint="eastAsia" w:ascii="仿宋" w:hAnsi="仿宋" w:eastAsia="仿宋"/>
          <w:sz w:val="24"/>
        </w:rPr>
        <w:t>1</w:t>
      </w:r>
      <w:r>
        <w:rPr>
          <w:rFonts w:ascii="仿宋" w:hAnsi="仿宋" w:eastAsia="仿宋"/>
          <w:sz w:val="24"/>
        </w:rPr>
        <w:t>.</w:t>
      </w:r>
      <w:r>
        <w:rPr>
          <w:rFonts w:hint="eastAsia" w:ascii="仿宋" w:hAnsi="仿宋" w:eastAsia="仿宋"/>
          <w:sz w:val="24"/>
        </w:rPr>
        <w:t>乙方全面负责被派出人员的劳务用工管理，必须与劳务派出人员签订书面的用工合同并满足国家法律法规相关规定。派出人员离职时，需填写乙方的离职申请单，甲方审批、乙方确认，乙方协助办理离职交接手续及为派出人员提供解除/（终止）劳动关系证明。</w:t>
      </w:r>
    </w:p>
    <w:p>
      <w:pPr>
        <w:pStyle w:val="19"/>
        <w:ind w:firstLine="480"/>
        <w:rPr>
          <w:rFonts w:ascii="仿宋" w:hAnsi="仿宋" w:eastAsia="仿宋"/>
          <w:sz w:val="24"/>
        </w:rPr>
      </w:pPr>
      <w:r>
        <w:rPr>
          <w:rFonts w:hint="eastAsia" w:ascii="仿宋" w:hAnsi="仿宋" w:eastAsia="仿宋"/>
          <w:sz w:val="24"/>
        </w:rPr>
        <w:t>2</w:t>
      </w:r>
      <w:r>
        <w:rPr>
          <w:rFonts w:ascii="仿宋" w:hAnsi="仿宋" w:eastAsia="仿宋"/>
          <w:sz w:val="24"/>
        </w:rPr>
        <w:t>.</w:t>
      </w:r>
      <w:r>
        <w:rPr>
          <w:rFonts w:hint="eastAsia" w:ascii="仿宋" w:hAnsi="仿宋" w:eastAsia="仿宋"/>
          <w:sz w:val="24"/>
        </w:rPr>
        <w:t>乙方每月按照采购人的要求组织派出人员业务培训一次，并将培训档案报甲方备案。</w:t>
      </w:r>
    </w:p>
    <w:p>
      <w:pPr>
        <w:pStyle w:val="19"/>
        <w:ind w:firstLine="480"/>
        <w:rPr>
          <w:rFonts w:ascii="仿宋" w:hAnsi="仿宋" w:eastAsia="仿宋"/>
          <w:sz w:val="24"/>
        </w:rPr>
      </w:pPr>
      <w:r>
        <w:rPr>
          <w:rFonts w:hint="eastAsia" w:ascii="仿宋" w:hAnsi="仿宋" w:eastAsia="仿宋"/>
          <w:sz w:val="24"/>
        </w:rPr>
        <w:t>3</w:t>
      </w:r>
      <w:r>
        <w:rPr>
          <w:rFonts w:ascii="仿宋" w:hAnsi="仿宋" w:eastAsia="仿宋"/>
          <w:sz w:val="24"/>
        </w:rPr>
        <w:t>.</w:t>
      </w:r>
      <w:r>
        <w:rPr>
          <w:rFonts w:hint="eastAsia" w:ascii="仿宋" w:hAnsi="仿宋" w:eastAsia="仿宋"/>
          <w:sz w:val="24"/>
        </w:rPr>
        <w:t>乙方以收取管理服务费形式派出人员到甲方指定地点工作。</w:t>
      </w:r>
    </w:p>
    <w:p>
      <w:pPr>
        <w:pStyle w:val="19"/>
        <w:ind w:firstLine="480"/>
        <w:rPr>
          <w:rFonts w:ascii="仿宋" w:hAnsi="仿宋" w:eastAsia="仿宋"/>
          <w:sz w:val="24"/>
        </w:rPr>
      </w:pPr>
      <w:r>
        <w:rPr>
          <w:rFonts w:hint="eastAsia" w:ascii="仿宋" w:hAnsi="仿宋" w:eastAsia="仿宋"/>
          <w:sz w:val="24"/>
        </w:rPr>
        <w:t>4</w:t>
      </w:r>
      <w:r>
        <w:rPr>
          <w:rFonts w:ascii="仿宋" w:hAnsi="仿宋" w:eastAsia="仿宋"/>
          <w:sz w:val="24"/>
        </w:rPr>
        <w:t>.</w:t>
      </w:r>
      <w:r>
        <w:rPr>
          <w:rFonts w:hint="eastAsia" w:ascii="仿宋" w:hAnsi="仿宋" w:eastAsia="仿宋"/>
          <w:sz w:val="24"/>
        </w:rPr>
        <w:t>乙方每月向甲方报送处理派出人员的一切劳务、劳动纠纷的所有相关事宜，承担所有因此产生的一切责任。</w:t>
      </w:r>
    </w:p>
    <w:p>
      <w:pPr>
        <w:pStyle w:val="19"/>
        <w:ind w:firstLine="480"/>
        <w:rPr>
          <w:rFonts w:ascii="仿宋" w:hAnsi="仿宋" w:eastAsia="仿宋"/>
          <w:sz w:val="24"/>
        </w:rPr>
      </w:pPr>
      <w:r>
        <w:rPr>
          <w:rFonts w:hint="eastAsia" w:ascii="仿宋" w:hAnsi="仿宋" w:eastAsia="仿宋"/>
          <w:sz w:val="24"/>
        </w:rPr>
        <w:t>5</w:t>
      </w:r>
      <w:r>
        <w:rPr>
          <w:rFonts w:ascii="仿宋" w:hAnsi="仿宋" w:eastAsia="仿宋"/>
          <w:sz w:val="24"/>
        </w:rPr>
        <w:t>.</w:t>
      </w:r>
      <w:r>
        <w:rPr>
          <w:rFonts w:hint="eastAsia" w:ascii="仿宋" w:hAnsi="仿宋" w:eastAsia="仿宋"/>
          <w:sz w:val="24"/>
        </w:rPr>
        <w:t>乙方需承担派出人员在服务期间伤残、死亡及所有法律及经济责任。</w:t>
      </w:r>
    </w:p>
    <w:p>
      <w:pPr>
        <w:pStyle w:val="19"/>
        <w:ind w:firstLine="480"/>
        <w:rPr>
          <w:rFonts w:ascii="仿宋" w:hAnsi="仿宋" w:eastAsia="仿宋"/>
          <w:sz w:val="24"/>
        </w:rPr>
      </w:pPr>
      <w:r>
        <w:rPr>
          <w:rFonts w:hint="eastAsia" w:ascii="仿宋" w:hAnsi="仿宋" w:eastAsia="仿宋"/>
          <w:sz w:val="24"/>
        </w:rPr>
        <w:t>6</w:t>
      </w:r>
      <w:r>
        <w:rPr>
          <w:rFonts w:ascii="仿宋" w:hAnsi="仿宋" w:eastAsia="仿宋"/>
          <w:sz w:val="24"/>
        </w:rPr>
        <w:t>.</w:t>
      </w:r>
      <w:r>
        <w:rPr>
          <w:rFonts w:hint="eastAsia" w:ascii="仿宋" w:hAnsi="仿宋" w:eastAsia="仿宋"/>
          <w:sz w:val="24"/>
        </w:rPr>
        <w:t>乙方必须把与甲方之间建立的是劳务服务关系告知派出人员，并且作为劳务派出单位和劳务派出人员签定劳动合同的其中一项条款。</w:t>
      </w:r>
    </w:p>
    <w:p>
      <w:pPr>
        <w:pStyle w:val="19"/>
        <w:ind w:firstLine="480"/>
        <w:rPr>
          <w:rFonts w:ascii="仿宋" w:hAnsi="仿宋" w:eastAsia="仿宋"/>
          <w:sz w:val="24"/>
        </w:rPr>
      </w:pPr>
      <w:r>
        <w:rPr>
          <w:rFonts w:hint="eastAsia" w:ascii="仿宋" w:hAnsi="仿宋" w:eastAsia="仿宋"/>
          <w:sz w:val="24"/>
        </w:rPr>
        <w:t>7</w:t>
      </w:r>
      <w:r>
        <w:rPr>
          <w:rFonts w:ascii="仿宋" w:hAnsi="仿宋" w:eastAsia="仿宋"/>
          <w:sz w:val="24"/>
        </w:rPr>
        <w:t>.</w:t>
      </w:r>
      <w:r>
        <w:rPr>
          <w:rFonts w:hint="eastAsia" w:ascii="仿宋" w:hAnsi="仿宋" w:eastAsia="仿宋"/>
          <w:sz w:val="24"/>
        </w:rPr>
        <w:t>乙方应根据甲方的管理要求制定劳务派出人员的管理规定，并将该管理规定报经采购人审查备案，派出人员应遵守该管理规定。</w:t>
      </w:r>
    </w:p>
    <w:p>
      <w:pPr>
        <w:pStyle w:val="19"/>
        <w:ind w:firstLine="480"/>
        <w:rPr>
          <w:rFonts w:ascii="仿宋" w:hAnsi="仿宋" w:eastAsia="仿宋"/>
          <w:sz w:val="24"/>
        </w:rPr>
      </w:pPr>
      <w:r>
        <w:rPr>
          <w:rFonts w:hint="eastAsia" w:ascii="仿宋" w:hAnsi="仿宋" w:eastAsia="仿宋"/>
          <w:sz w:val="24"/>
        </w:rPr>
        <w:t>8</w:t>
      </w:r>
      <w:r>
        <w:rPr>
          <w:rFonts w:ascii="仿宋" w:hAnsi="仿宋" w:eastAsia="仿宋"/>
          <w:sz w:val="24"/>
        </w:rPr>
        <w:t>.</w:t>
      </w:r>
      <w:r>
        <w:rPr>
          <w:rFonts w:hint="eastAsia" w:ascii="仿宋" w:hAnsi="仿宋" w:eastAsia="仿宋"/>
          <w:sz w:val="24"/>
        </w:rPr>
        <w:t>乙方负责按照合同约定时间，经甲方核准的工资发放标准向全体劳务派出人员按时发放工资和其他薪酬。非经甲方书面通知不得扣发劳务派出人员工资和其他薪酬。</w:t>
      </w:r>
    </w:p>
    <w:p>
      <w:pPr>
        <w:pStyle w:val="19"/>
        <w:ind w:firstLine="480"/>
        <w:rPr>
          <w:rFonts w:ascii="仿宋" w:hAnsi="仿宋" w:eastAsia="仿宋"/>
          <w:sz w:val="24"/>
        </w:rPr>
      </w:pPr>
      <w:r>
        <w:rPr>
          <w:rFonts w:hint="eastAsia" w:ascii="仿宋" w:hAnsi="仿宋" w:eastAsia="仿宋"/>
          <w:sz w:val="24"/>
        </w:rPr>
        <w:t>9</w:t>
      </w:r>
      <w:r>
        <w:rPr>
          <w:rFonts w:ascii="仿宋" w:hAnsi="仿宋" w:eastAsia="仿宋"/>
          <w:sz w:val="24"/>
        </w:rPr>
        <w:t>.</w:t>
      </w:r>
      <w:r>
        <w:rPr>
          <w:rFonts w:hint="eastAsia" w:ascii="仿宋" w:hAnsi="仿宋" w:eastAsia="仿宋"/>
          <w:sz w:val="24"/>
        </w:rPr>
        <w:t>乙方按照甲方要求及时更换不能胜任工作的劳务派出人员，负责接收并处理派出人员之间的劳务、劳动关系纠纷和调解管理纠纷等后续工作，保证甲方的工作正常运转。</w:t>
      </w:r>
    </w:p>
    <w:p>
      <w:pPr>
        <w:pStyle w:val="19"/>
        <w:ind w:firstLine="480"/>
        <w:rPr>
          <w:rFonts w:ascii="仿宋" w:hAnsi="仿宋" w:eastAsia="仿宋"/>
          <w:sz w:val="24"/>
        </w:rPr>
      </w:pPr>
      <w:r>
        <w:rPr>
          <w:rFonts w:hint="eastAsia" w:ascii="仿宋" w:hAnsi="仿宋" w:eastAsia="仿宋"/>
          <w:sz w:val="24"/>
        </w:rPr>
        <w:t>10</w:t>
      </w:r>
      <w:r>
        <w:rPr>
          <w:rFonts w:ascii="仿宋" w:hAnsi="仿宋" w:eastAsia="仿宋"/>
          <w:sz w:val="24"/>
        </w:rPr>
        <w:t>.</w:t>
      </w:r>
      <w:r>
        <w:rPr>
          <w:rFonts w:hint="eastAsia" w:ascii="仿宋" w:hAnsi="仿宋" w:eastAsia="仿宋"/>
          <w:sz w:val="24"/>
        </w:rPr>
        <w:t>乙方对劳务派出人员给甲方造成的经济损失，应积极帮助甲方向派出人员索赔。</w:t>
      </w:r>
    </w:p>
    <w:p>
      <w:pPr>
        <w:pStyle w:val="19"/>
        <w:ind w:firstLine="480"/>
        <w:rPr>
          <w:rFonts w:ascii="仿宋" w:hAnsi="仿宋" w:eastAsia="仿宋"/>
          <w:sz w:val="24"/>
        </w:rPr>
      </w:pPr>
      <w:r>
        <w:rPr>
          <w:rFonts w:ascii="仿宋" w:hAnsi="仿宋" w:eastAsia="仿宋"/>
          <w:sz w:val="24"/>
        </w:rPr>
        <w:t>1</w:t>
      </w:r>
      <w:r>
        <w:rPr>
          <w:rFonts w:hint="eastAsia" w:ascii="仿宋" w:hAnsi="仿宋" w:eastAsia="仿宋"/>
          <w:sz w:val="24"/>
        </w:rPr>
        <w:t>1</w:t>
      </w:r>
      <w:r>
        <w:rPr>
          <w:rFonts w:ascii="仿宋" w:hAnsi="仿宋" w:eastAsia="仿宋"/>
          <w:sz w:val="24"/>
        </w:rPr>
        <w:t>.</w:t>
      </w:r>
      <w:r>
        <w:rPr>
          <w:rFonts w:hint="eastAsia" w:ascii="仿宋" w:hAnsi="仿宋" w:eastAsia="仿宋"/>
          <w:sz w:val="24"/>
        </w:rPr>
        <w:t>乙方负责劳务派出人员的日常生活、工作的协调处理工作。</w:t>
      </w:r>
    </w:p>
    <w:p>
      <w:pPr>
        <w:pStyle w:val="19"/>
        <w:ind w:firstLine="480"/>
        <w:rPr>
          <w:rFonts w:ascii="仿宋" w:hAnsi="仿宋" w:eastAsia="仿宋"/>
          <w:sz w:val="24"/>
        </w:rPr>
      </w:pPr>
      <w:r>
        <w:rPr>
          <w:rFonts w:hint="eastAsia" w:ascii="仿宋" w:hAnsi="仿宋" w:eastAsia="仿宋"/>
          <w:sz w:val="24"/>
        </w:rPr>
        <w:t>12</w:t>
      </w:r>
      <w:r>
        <w:rPr>
          <w:rFonts w:ascii="仿宋" w:hAnsi="仿宋" w:eastAsia="仿宋"/>
          <w:sz w:val="24"/>
        </w:rPr>
        <w:t>.</w:t>
      </w:r>
      <w:r>
        <w:rPr>
          <w:rFonts w:hint="eastAsia" w:ascii="仿宋" w:hAnsi="仿宋" w:eastAsia="仿宋"/>
          <w:sz w:val="24"/>
        </w:rPr>
        <w:t>甲方将对乙方的派出人员工资支付情况、服务质量等进行监督检查。若发现乙方违规抽取人头费等违法行为，甲方有权利随时单方终止本采购合同。</w:t>
      </w:r>
    </w:p>
    <w:p>
      <w:pPr>
        <w:pStyle w:val="19"/>
        <w:ind w:firstLine="480"/>
        <w:rPr>
          <w:rFonts w:ascii="仿宋" w:hAnsi="仿宋" w:eastAsia="仿宋"/>
          <w:sz w:val="24"/>
        </w:rPr>
      </w:pPr>
      <w:r>
        <w:rPr>
          <w:rFonts w:ascii="仿宋" w:hAnsi="仿宋" w:eastAsia="仿宋"/>
          <w:sz w:val="24"/>
        </w:rPr>
        <w:t>1</w:t>
      </w:r>
      <w:r>
        <w:rPr>
          <w:rFonts w:hint="eastAsia" w:ascii="仿宋" w:hAnsi="仿宋" w:eastAsia="仿宋"/>
          <w:sz w:val="24"/>
        </w:rPr>
        <w:t>3</w:t>
      </w:r>
      <w:r>
        <w:rPr>
          <w:rFonts w:ascii="仿宋" w:hAnsi="仿宋" w:eastAsia="仿宋"/>
          <w:sz w:val="24"/>
        </w:rPr>
        <w:t>.</w:t>
      </w:r>
      <w:r>
        <w:rPr>
          <w:rFonts w:hint="eastAsia" w:ascii="仿宋" w:hAnsi="仿宋" w:eastAsia="仿宋"/>
          <w:sz w:val="24"/>
        </w:rPr>
        <w:t>乙方需协调派出人员办理工资卡，工资通过银行转账的方式进行发放。</w:t>
      </w:r>
    </w:p>
    <w:p>
      <w:pPr>
        <w:ind w:firstLine="482"/>
        <w:rPr>
          <w:rFonts w:ascii="仿宋" w:hAnsi="仿宋" w:eastAsia="仿宋" w:cs="仿宋"/>
          <w:color w:val="auto"/>
          <w:sz w:val="24"/>
        </w:rPr>
      </w:pPr>
      <w:r>
        <w:rPr>
          <w:rFonts w:hint="eastAsia" w:ascii="仿宋" w:hAnsi="仿宋" w:eastAsia="仿宋" w:cs="仿宋"/>
          <w:color w:val="auto"/>
          <w:sz w:val="24"/>
        </w:rPr>
        <w:t>（三）其他要求</w:t>
      </w:r>
    </w:p>
    <w:p>
      <w:pPr>
        <w:ind w:firstLine="480"/>
        <w:rPr>
          <w:rFonts w:ascii="仿宋" w:hAnsi="仿宋" w:eastAsia="仿宋" w:cs="仿宋"/>
          <w:b w:val="0"/>
          <w:bCs/>
          <w:color w:val="auto"/>
          <w:sz w:val="24"/>
          <w:shd w:val="clear" w:color="auto" w:fill="FFFFFF"/>
        </w:rPr>
      </w:pPr>
      <w:r>
        <w:rPr>
          <w:rFonts w:hint="eastAsia" w:ascii="仿宋" w:hAnsi="仿宋" w:eastAsia="仿宋" w:cs="仿宋"/>
          <w:b w:val="0"/>
          <w:bCs/>
          <w:color w:val="auto"/>
          <w:sz w:val="24"/>
          <w:shd w:val="clear" w:color="auto" w:fill="FFFFFF"/>
        </w:rPr>
        <w:t>1.</w:t>
      </w:r>
      <w:r>
        <w:rPr>
          <w:rFonts w:hint="eastAsia" w:ascii="仿宋" w:hAnsi="仿宋" w:eastAsia="仿宋" w:cs="仿宋"/>
          <w:b w:val="0"/>
          <w:bCs/>
          <w:color w:val="auto"/>
          <w:sz w:val="24"/>
        </w:rPr>
        <w:t>乙方须承诺若取得中标资格后</w:t>
      </w:r>
      <w:r>
        <w:rPr>
          <w:rFonts w:hint="eastAsia" w:ascii="仿宋" w:hAnsi="仿宋" w:eastAsia="仿宋" w:cs="仿宋"/>
          <w:b w:val="0"/>
          <w:bCs/>
          <w:color w:val="auto"/>
          <w:sz w:val="24"/>
          <w:shd w:val="clear" w:color="auto" w:fill="FFFFFF"/>
        </w:rPr>
        <w:t>能严格遵守和执行各级政府关于劳动工资和社会保障管理有关规定。</w:t>
      </w:r>
    </w:p>
    <w:p>
      <w:pPr>
        <w:ind w:firstLine="480"/>
        <w:rPr>
          <w:rFonts w:ascii="仿宋" w:hAnsi="仿宋" w:eastAsia="仿宋" w:cs="仿宋"/>
          <w:b w:val="0"/>
          <w:bCs/>
          <w:color w:val="auto"/>
          <w:sz w:val="24"/>
          <w:shd w:val="clear" w:color="auto" w:fill="FFFFFF"/>
        </w:rPr>
      </w:pPr>
      <w:r>
        <w:rPr>
          <w:rFonts w:hint="eastAsia" w:ascii="仿宋" w:hAnsi="仿宋" w:eastAsia="仿宋" w:cs="仿宋"/>
          <w:b w:val="0"/>
          <w:bCs/>
          <w:color w:val="auto"/>
          <w:sz w:val="24"/>
          <w:shd w:val="clear" w:color="auto" w:fill="FFFFFF"/>
        </w:rPr>
        <w:t>2.</w:t>
      </w:r>
      <w:r>
        <w:rPr>
          <w:rFonts w:hint="eastAsia" w:ascii="仿宋" w:hAnsi="仿宋" w:eastAsia="仿宋" w:cs="仿宋"/>
          <w:b w:val="0"/>
          <w:bCs/>
          <w:color w:val="auto"/>
          <w:sz w:val="24"/>
        </w:rPr>
        <w:t>乙方</w:t>
      </w:r>
      <w:r>
        <w:rPr>
          <w:rFonts w:hint="eastAsia" w:ascii="仿宋" w:hAnsi="仿宋" w:eastAsia="仿宋" w:cs="仿宋"/>
          <w:b w:val="0"/>
          <w:bCs/>
          <w:color w:val="auto"/>
          <w:sz w:val="24"/>
          <w:shd w:val="clear" w:color="auto" w:fill="FFFFFF"/>
        </w:rPr>
        <w:t>需优先接受经甲方确认的原劳务派出人员。</w:t>
      </w:r>
    </w:p>
    <w:p>
      <w:pPr>
        <w:ind w:firstLine="480"/>
        <w:rPr>
          <w:rFonts w:ascii="仿宋" w:hAnsi="仿宋" w:eastAsia="仿宋" w:cs="仿宋"/>
          <w:b w:val="0"/>
          <w:bCs/>
          <w:color w:val="auto"/>
          <w:sz w:val="24"/>
        </w:rPr>
      </w:pPr>
      <w:r>
        <w:rPr>
          <w:rFonts w:hint="eastAsia" w:ascii="仿宋" w:hAnsi="仿宋" w:eastAsia="仿宋" w:cs="仿宋"/>
          <w:b w:val="0"/>
          <w:bCs/>
          <w:color w:val="auto"/>
          <w:sz w:val="24"/>
          <w:shd w:val="clear" w:color="auto" w:fill="FFFFFF"/>
        </w:rPr>
        <w:t>3.</w:t>
      </w:r>
      <w:r>
        <w:rPr>
          <w:rFonts w:hint="eastAsia" w:ascii="仿宋" w:hAnsi="仿宋" w:eastAsia="仿宋" w:cs="仿宋"/>
          <w:b w:val="0"/>
          <w:bCs/>
          <w:color w:val="auto"/>
          <w:sz w:val="24"/>
        </w:rPr>
        <w:t>乙方应承诺在收到绩效考核表后3个工作日内，按照甲方核准的发放标准向劳务派出人员发放劳动报酬；并于当月完成社会保险和住房公积金的缴纳；乙方应简化流程、提供便捷的渠道，支付劳务派出人员的培训费、差旅费、体检费、团体拓展费、商业保险费、节假日慰问、工作服装费等相关费用。非经甲方书面通知，乙方不得以任何形式扣发（缓发）劳务派出人员劳动报酬，不得缩减或变更劳务派出人员社会保险、住房公积金缴付比例、金额，不得缩减缴付险种（类别）。</w:t>
      </w:r>
    </w:p>
    <w:p>
      <w:pPr>
        <w:ind w:firstLine="480"/>
        <w:rPr>
          <w:rFonts w:ascii="仿宋" w:hAnsi="仿宋" w:eastAsia="仿宋" w:cs="仿宋"/>
          <w:b w:val="0"/>
          <w:bCs/>
          <w:color w:val="auto"/>
          <w:sz w:val="24"/>
        </w:rPr>
      </w:pPr>
      <w:r>
        <w:rPr>
          <w:rFonts w:hint="eastAsia" w:ascii="仿宋" w:hAnsi="仿宋" w:eastAsia="仿宋" w:cs="仿宋"/>
          <w:b w:val="0"/>
          <w:bCs/>
          <w:color w:val="auto"/>
          <w:sz w:val="24"/>
        </w:rPr>
        <w:t>4</w:t>
      </w:r>
      <w:r>
        <w:rPr>
          <w:rFonts w:ascii="仿宋" w:hAnsi="仿宋" w:eastAsia="仿宋" w:cs="仿宋"/>
          <w:b w:val="0"/>
          <w:bCs/>
          <w:color w:val="auto"/>
          <w:sz w:val="24"/>
        </w:rPr>
        <w:t>.</w:t>
      </w:r>
      <w:r>
        <w:rPr>
          <w:rFonts w:hint="eastAsia" w:ascii="仿宋" w:hAnsi="仿宋" w:eastAsia="仿宋" w:cs="仿宋"/>
          <w:b w:val="0"/>
          <w:bCs/>
          <w:color w:val="auto"/>
          <w:sz w:val="24"/>
        </w:rPr>
        <w:t>乙方应对劳务派出人员加强安全保密教育，并签订保密协议。由于劳务派出人员泄露、冒用、误用或违法使用工作中所接触到的信息而造成的一切责任和损失，乙方有义务协助甲方向劳务派出人员索赔，并追究当事人法律责任。由于劳务派出人员利用工作便利构成犯罪给甲方或第三方造成损失的，乙方与甲方应共同向司法机关提供证据并追究当事人的法律责任，并向当事人追偿。</w:t>
      </w:r>
    </w:p>
    <w:p>
      <w:pPr>
        <w:ind w:firstLine="482"/>
        <w:rPr>
          <w:rFonts w:ascii="仿宋" w:hAnsi="仿宋" w:eastAsia="仿宋" w:cs="仿宋"/>
          <w:color w:val="auto"/>
          <w:sz w:val="24"/>
        </w:rPr>
      </w:pPr>
      <w:r>
        <w:rPr>
          <w:rFonts w:hint="eastAsia" w:ascii="仿宋" w:hAnsi="仿宋" w:eastAsia="仿宋" w:cs="仿宋"/>
          <w:color w:val="auto"/>
          <w:sz w:val="24"/>
        </w:rPr>
        <w:t>（三）服务考核标准</w:t>
      </w:r>
    </w:p>
    <w:p>
      <w:pPr>
        <w:pStyle w:val="2"/>
        <w:ind w:firstLine="480"/>
        <w:rPr>
          <w:rFonts w:hint="eastAsia" w:ascii="仿宋" w:hAnsi="仿宋" w:eastAsia="仿宋" w:cs="仿宋"/>
          <w:bCs/>
          <w:kern w:val="0"/>
          <w:sz w:val="24"/>
          <w:szCs w:val="32"/>
        </w:rPr>
      </w:pPr>
      <w:r>
        <w:rPr>
          <w:rFonts w:hint="eastAsia" w:ascii="仿宋" w:hAnsi="仿宋" w:eastAsia="仿宋" w:cs="仿宋"/>
          <w:bCs/>
          <w:kern w:val="0"/>
          <w:sz w:val="24"/>
          <w:szCs w:val="32"/>
        </w:rPr>
        <w:t>详见本合同附件：《劳务</w:t>
      </w:r>
      <w:r>
        <w:rPr>
          <w:rFonts w:hint="eastAsia" w:ascii="仿宋" w:hAnsi="仿宋" w:eastAsia="仿宋" w:cs="仿宋"/>
          <w:bCs/>
          <w:kern w:val="0"/>
          <w:sz w:val="24"/>
          <w:szCs w:val="32"/>
          <w:lang w:val="en-US"/>
        </w:rPr>
        <w:t>派出</w:t>
      </w:r>
      <w:r>
        <w:rPr>
          <w:rFonts w:hint="eastAsia" w:ascii="仿宋" w:hAnsi="仿宋" w:eastAsia="仿宋" w:cs="仿宋"/>
          <w:bCs/>
          <w:kern w:val="0"/>
          <w:sz w:val="24"/>
          <w:szCs w:val="32"/>
        </w:rPr>
        <w:t>单位考评表》</w:t>
      </w:r>
    </w:p>
    <w:p>
      <w:pPr>
        <w:ind w:firstLine="472" w:firstLineChars="196"/>
        <w:jc w:val="left"/>
        <w:rPr>
          <w:rFonts w:hint="eastAsia" w:ascii="仿宋" w:hAnsi="仿宋" w:eastAsia="仿宋"/>
          <w:b w:val="0"/>
          <w:color w:val="auto"/>
          <w:sz w:val="24"/>
          <w:szCs w:val="24"/>
          <w:lang w:val="en-US"/>
        </w:rPr>
      </w:pPr>
      <w:r>
        <w:rPr>
          <w:rFonts w:ascii="仿宋" w:hAnsi="仿宋" w:eastAsia="仿宋"/>
          <w:color w:val="auto"/>
          <w:sz w:val="24"/>
          <w:szCs w:val="24"/>
          <w:lang w:val="en-US"/>
        </w:rPr>
        <w:t>第</w:t>
      </w:r>
      <w:r>
        <w:rPr>
          <w:rFonts w:hint="eastAsia" w:ascii="仿宋" w:hAnsi="仿宋" w:eastAsia="仿宋"/>
          <w:color w:val="auto"/>
          <w:sz w:val="24"/>
          <w:szCs w:val="24"/>
          <w:lang w:val="en-US"/>
        </w:rPr>
        <w:t>五</w:t>
      </w:r>
      <w:r>
        <w:rPr>
          <w:rFonts w:ascii="仿宋" w:hAnsi="仿宋" w:eastAsia="仿宋"/>
          <w:color w:val="auto"/>
          <w:sz w:val="24"/>
          <w:szCs w:val="24"/>
          <w:lang w:val="en-US"/>
        </w:rPr>
        <w:t xml:space="preserve">条  </w:t>
      </w:r>
      <w:r>
        <w:rPr>
          <w:rFonts w:hint="eastAsia" w:ascii="仿宋" w:hAnsi="仿宋" w:eastAsia="仿宋"/>
          <w:color w:val="auto"/>
          <w:sz w:val="24"/>
          <w:szCs w:val="24"/>
          <w:lang w:val="en-US"/>
        </w:rPr>
        <w:t>权利和义务</w:t>
      </w:r>
    </w:p>
    <w:p>
      <w:pPr>
        <w:tabs>
          <w:tab w:val="left" w:pos="4500"/>
          <w:tab w:val="left" w:pos="4860"/>
          <w:tab w:val="left" w:pos="7020"/>
        </w:tabs>
        <w:ind w:firstLine="451" w:firstLineChars="188"/>
        <w:rPr>
          <w:rFonts w:ascii="仿宋" w:hAnsi="仿宋" w:eastAsia="仿宋"/>
          <w:b w:val="0"/>
          <w:color w:val="auto"/>
          <w:sz w:val="24"/>
          <w:szCs w:val="24"/>
          <w:lang w:val="en-US"/>
        </w:rPr>
      </w:pPr>
      <w:r>
        <w:rPr>
          <w:rFonts w:hint="eastAsia" w:ascii="仿宋" w:hAnsi="仿宋" w:eastAsia="仿宋"/>
          <w:b w:val="0"/>
          <w:color w:val="auto"/>
          <w:sz w:val="24"/>
          <w:szCs w:val="24"/>
          <w:lang w:val="en-US"/>
        </w:rPr>
        <w:t>（一）甲方的权利：</w:t>
      </w:r>
    </w:p>
    <w:p>
      <w:pPr>
        <w:pStyle w:val="371"/>
        <w:tabs>
          <w:tab w:val="left" w:pos="4500"/>
          <w:tab w:val="left" w:pos="4860"/>
          <w:tab w:val="left" w:pos="7020"/>
        </w:tabs>
        <w:ind w:firstLine="453" w:firstLineChars="189"/>
        <w:rPr>
          <w:rFonts w:ascii="仿宋" w:hAnsi="仿宋" w:eastAsia="仿宋"/>
          <w:b w:val="0"/>
          <w:color w:val="auto"/>
          <w:sz w:val="24"/>
          <w:szCs w:val="24"/>
          <w:lang w:val="en-US"/>
        </w:rPr>
      </w:pPr>
      <w:r>
        <w:rPr>
          <w:rFonts w:hint="eastAsia" w:ascii="仿宋" w:hAnsi="仿宋" w:eastAsia="仿宋"/>
          <w:b w:val="0"/>
          <w:color w:val="auto"/>
          <w:sz w:val="24"/>
          <w:szCs w:val="24"/>
          <w:lang w:val="en-US"/>
        </w:rPr>
        <w:t>1、有权根据自身岗位需要设立派出人员的录用标准及对派出人员进行日常工作指挥、岗位调配及内部规章制度、安全教育和劳动纪律的管理。</w:t>
      </w:r>
    </w:p>
    <w:p>
      <w:pPr>
        <w:pStyle w:val="371"/>
        <w:tabs>
          <w:tab w:val="left" w:pos="4500"/>
          <w:tab w:val="left" w:pos="4860"/>
          <w:tab w:val="left" w:pos="7020"/>
        </w:tabs>
        <w:ind w:firstLine="453" w:firstLineChars="189"/>
        <w:rPr>
          <w:rFonts w:ascii="仿宋" w:hAnsi="仿宋" w:eastAsia="仿宋"/>
          <w:b w:val="0"/>
          <w:color w:val="auto"/>
          <w:sz w:val="24"/>
          <w:szCs w:val="24"/>
          <w:lang w:val="en-US"/>
        </w:rPr>
      </w:pPr>
      <w:r>
        <w:rPr>
          <w:rFonts w:hint="eastAsia" w:ascii="仿宋" w:hAnsi="仿宋" w:eastAsia="仿宋"/>
          <w:b w:val="0"/>
          <w:color w:val="auto"/>
          <w:sz w:val="24"/>
          <w:szCs w:val="24"/>
          <w:lang w:val="en-US"/>
        </w:rPr>
        <w:t>2、有权根据派出人员的劳动表现等情况对派出人员进行工作岗位及工时制的调整。甲方调整派出人员岗位或申请了新的工时制应在3日内书面通知乙方，便于乙方履行合法的劳动合同变更手续。</w:t>
      </w:r>
    </w:p>
    <w:p>
      <w:pPr>
        <w:pStyle w:val="371"/>
        <w:tabs>
          <w:tab w:val="left" w:pos="4500"/>
          <w:tab w:val="left" w:pos="4860"/>
          <w:tab w:val="left" w:pos="7020"/>
        </w:tabs>
        <w:ind w:firstLine="453" w:firstLineChars="189"/>
        <w:rPr>
          <w:rFonts w:ascii="仿宋" w:hAnsi="仿宋" w:eastAsia="仿宋"/>
          <w:b w:val="0"/>
          <w:color w:val="auto"/>
          <w:sz w:val="24"/>
          <w:szCs w:val="24"/>
          <w:lang w:val="en-US"/>
        </w:rPr>
      </w:pPr>
      <w:r>
        <w:rPr>
          <w:rFonts w:hint="eastAsia" w:ascii="仿宋" w:hAnsi="仿宋" w:eastAsia="仿宋"/>
          <w:b w:val="0"/>
          <w:color w:val="auto"/>
          <w:sz w:val="24"/>
          <w:szCs w:val="24"/>
          <w:lang w:val="en-US"/>
        </w:rPr>
        <w:t>3、有权根据管理需要为派出人员发放工作服、办公用品、安全劳保等物品并根据其内部规章制度进行使用规范的管理。</w:t>
      </w:r>
    </w:p>
    <w:p>
      <w:pPr>
        <w:pStyle w:val="371"/>
        <w:tabs>
          <w:tab w:val="left" w:pos="4500"/>
          <w:tab w:val="left" w:pos="4860"/>
          <w:tab w:val="left" w:pos="7020"/>
        </w:tabs>
        <w:ind w:firstLine="453" w:firstLineChars="189"/>
        <w:rPr>
          <w:rFonts w:ascii="仿宋" w:hAnsi="仿宋" w:eastAsia="仿宋"/>
          <w:b w:val="0"/>
          <w:color w:val="auto"/>
          <w:sz w:val="24"/>
          <w:szCs w:val="24"/>
          <w:lang w:val="en-US"/>
        </w:rPr>
      </w:pPr>
      <w:r>
        <w:rPr>
          <w:rFonts w:hint="eastAsia" w:ascii="仿宋" w:hAnsi="仿宋" w:eastAsia="仿宋"/>
          <w:b w:val="0"/>
          <w:color w:val="auto"/>
          <w:sz w:val="24"/>
          <w:szCs w:val="24"/>
          <w:lang w:val="en-US"/>
        </w:rPr>
        <w:t>4、有权根据需要与派出人员另行订立与工作内容、劳动纪律等相关的其它协议；但所签协议不得违反法律法规的禁止性规定，同时须在完成签订的15日内送交一份原件至乙方备案。</w:t>
      </w:r>
    </w:p>
    <w:p>
      <w:pPr>
        <w:pStyle w:val="371"/>
        <w:tabs>
          <w:tab w:val="left" w:pos="4500"/>
          <w:tab w:val="left" w:pos="4860"/>
          <w:tab w:val="left" w:pos="7020"/>
        </w:tabs>
        <w:ind w:firstLine="453" w:firstLineChars="189"/>
        <w:rPr>
          <w:rFonts w:ascii="仿宋" w:hAnsi="仿宋" w:eastAsia="仿宋"/>
          <w:b w:val="0"/>
          <w:color w:val="auto"/>
          <w:sz w:val="24"/>
          <w:szCs w:val="24"/>
          <w:lang w:val="en-US"/>
        </w:rPr>
      </w:pPr>
      <w:r>
        <w:rPr>
          <w:rFonts w:hint="eastAsia" w:ascii="仿宋" w:hAnsi="仿宋" w:eastAsia="仿宋"/>
          <w:b w:val="0"/>
          <w:color w:val="auto"/>
          <w:sz w:val="24"/>
          <w:szCs w:val="24"/>
          <w:lang w:val="en-US"/>
        </w:rPr>
        <w:t>5、有权根据内部规章制度对表现优异或违规违纪的派出人员进行相应的奖励或处罚；但甲方内部规章制度必须已向派出人员公示且具有法律效力。</w:t>
      </w:r>
    </w:p>
    <w:p>
      <w:pPr>
        <w:pStyle w:val="371"/>
        <w:tabs>
          <w:tab w:val="left" w:pos="4500"/>
          <w:tab w:val="left" w:pos="4860"/>
          <w:tab w:val="left" w:pos="7020"/>
        </w:tabs>
        <w:ind w:firstLine="453" w:firstLineChars="189"/>
        <w:rPr>
          <w:rFonts w:ascii="仿宋" w:hAnsi="仿宋" w:eastAsia="仿宋"/>
          <w:b w:val="0"/>
          <w:color w:val="auto"/>
          <w:sz w:val="24"/>
          <w:szCs w:val="24"/>
          <w:lang w:val="en-US"/>
        </w:rPr>
      </w:pPr>
      <w:r>
        <w:rPr>
          <w:rFonts w:hint="eastAsia" w:ascii="仿宋" w:hAnsi="仿宋" w:eastAsia="仿宋"/>
          <w:b w:val="0"/>
          <w:color w:val="auto"/>
          <w:sz w:val="24"/>
          <w:szCs w:val="24"/>
          <w:lang w:val="en-US"/>
        </w:rPr>
        <w:t>6、有权要求、监督乙方按劳动政策法规及本合同约定履行相关的义务，当发现乙方存在违约行为时，有权要求乙方改正并承担相应的责任。</w:t>
      </w:r>
    </w:p>
    <w:p>
      <w:pPr>
        <w:pStyle w:val="371"/>
        <w:tabs>
          <w:tab w:val="left" w:pos="4500"/>
          <w:tab w:val="left" w:pos="4860"/>
          <w:tab w:val="left" w:pos="7020"/>
        </w:tabs>
        <w:ind w:firstLine="453" w:firstLineChars="189"/>
        <w:rPr>
          <w:rFonts w:ascii="仿宋" w:hAnsi="仿宋" w:eastAsia="仿宋"/>
          <w:b w:val="0"/>
          <w:color w:val="auto"/>
          <w:sz w:val="24"/>
          <w:szCs w:val="24"/>
          <w:lang w:val="en-US"/>
        </w:rPr>
      </w:pPr>
      <w:r>
        <w:rPr>
          <w:rFonts w:hint="eastAsia" w:ascii="仿宋" w:hAnsi="仿宋" w:eastAsia="仿宋"/>
          <w:b w:val="0"/>
          <w:color w:val="auto"/>
          <w:sz w:val="24"/>
          <w:szCs w:val="24"/>
          <w:lang w:val="en-US"/>
        </w:rPr>
        <w:t>7、依据《劳动合同法》相关条款，甲方有权将符合以下情形的派出人员退回乙方，且不承担经济补偿金，但须提前五天书面通知乙方并提供相关书面证明材料：</w:t>
      </w:r>
    </w:p>
    <w:p>
      <w:pPr>
        <w:tabs>
          <w:tab w:val="left" w:pos="900"/>
        </w:tabs>
        <w:ind w:firstLine="453" w:firstLineChars="189"/>
        <w:rPr>
          <w:rFonts w:ascii="仿宋" w:hAnsi="仿宋" w:eastAsia="仿宋"/>
          <w:b w:val="0"/>
          <w:color w:val="auto"/>
          <w:sz w:val="24"/>
          <w:szCs w:val="24"/>
          <w:lang w:val="en-US"/>
        </w:rPr>
      </w:pPr>
      <w:r>
        <w:rPr>
          <w:rFonts w:hint="eastAsia" w:ascii="仿宋" w:hAnsi="仿宋" w:eastAsia="仿宋"/>
          <w:b w:val="0"/>
          <w:color w:val="auto"/>
          <w:sz w:val="24"/>
          <w:szCs w:val="24"/>
          <w:lang w:val="en-US"/>
        </w:rPr>
        <w:t>（1）在乙方与派出人员签订的劳动合同中所约定的试用期间被证明不符合录用条件的：</w:t>
      </w:r>
    </w:p>
    <w:p>
      <w:pPr>
        <w:tabs>
          <w:tab w:val="left" w:pos="900"/>
        </w:tabs>
        <w:ind w:firstLine="453" w:firstLineChars="189"/>
        <w:rPr>
          <w:rFonts w:ascii="仿宋" w:hAnsi="仿宋" w:eastAsia="仿宋"/>
          <w:b w:val="0"/>
          <w:color w:val="auto"/>
          <w:sz w:val="24"/>
          <w:szCs w:val="24"/>
          <w:lang w:val="en-US"/>
        </w:rPr>
      </w:pPr>
      <w:r>
        <w:rPr>
          <w:rFonts w:hint="eastAsia" w:ascii="仿宋" w:hAnsi="仿宋" w:eastAsia="仿宋"/>
          <w:b w:val="0"/>
          <w:color w:val="auto"/>
          <w:sz w:val="24"/>
          <w:szCs w:val="24"/>
          <w:lang w:val="en-US"/>
        </w:rPr>
        <w:t>（2）严重违反甲方单位规章制度、业务规程或劳动纪律，符合开除、辞退条件的；</w:t>
      </w:r>
    </w:p>
    <w:p>
      <w:pPr>
        <w:pStyle w:val="371"/>
        <w:tabs>
          <w:tab w:val="left" w:pos="900"/>
        </w:tabs>
        <w:ind w:firstLine="453" w:firstLineChars="189"/>
        <w:rPr>
          <w:rFonts w:ascii="仿宋" w:hAnsi="仿宋" w:eastAsia="仿宋"/>
          <w:b w:val="0"/>
          <w:color w:val="auto"/>
          <w:sz w:val="24"/>
          <w:szCs w:val="24"/>
          <w:lang w:val="en-US"/>
        </w:rPr>
      </w:pPr>
      <w:r>
        <w:rPr>
          <w:rFonts w:hint="eastAsia" w:ascii="仿宋" w:hAnsi="仿宋" w:eastAsia="仿宋"/>
          <w:b w:val="0"/>
          <w:color w:val="auto"/>
          <w:sz w:val="24"/>
          <w:szCs w:val="24"/>
          <w:lang w:val="en-US"/>
        </w:rPr>
        <w:t>（3）严重失职，营私舞弊或泄露商业秘密，对甲方利益造成重大损害的；</w:t>
      </w:r>
    </w:p>
    <w:p>
      <w:pPr>
        <w:pStyle w:val="371"/>
        <w:tabs>
          <w:tab w:val="left" w:pos="900"/>
        </w:tabs>
        <w:ind w:firstLine="453" w:firstLineChars="189"/>
        <w:rPr>
          <w:rFonts w:ascii="仿宋" w:hAnsi="仿宋" w:eastAsia="仿宋"/>
          <w:b w:val="0"/>
          <w:color w:val="auto"/>
          <w:sz w:val="24"/>
          <w:szCs w:val="24"/>
          <w:lang w:val="en-US"/>
        </w:rPr>
      </w:pPr>
      <w:r>
        <w:rPr>
          <w:rFonts w:hint="eastAsia" w:ascii="仿宋" w:hAnsi="仿宋" w:eastAsia="仿宋"/>
          <w:b w:val="0"/>
          <w:color w:val="auto"/>
          <w:sz w:val="24"/>
          <w:szCs w:val="24"/>
          <w:lang w:val="en-US"/>
        </w:rPr>
        <w:t>（4）除乙方外同时与其他用人单位建立劳动关系的；</w:t>
      </w:r>
    </w:p>
    <w:p>
      <w:pPr>
        <w:tabs>
          <w:tab w:val="left" w:pos="900"/>
        </w:tabs>
        <w:ind w:firstLine="453" w:firstLineChars="189"/>
        <w:rPr>
          <w:rFonts w:ascii="仿宋" w:hAnsi="仿宋" w:eastAsia="仿宋"/>
          <w:b w:val="0"/>
          <w:color w:val="auto"/>
          <w:sz w:val="24"/>
          <w:szCs w:val="24"/>
          <w:lang w:val="en-US"/>
        </w:rPr>
      </w:pPr>
      <w:r>
        <w:rPr>
          <w:rFonts w:hint="eastAsia" w:ascii="仿宋" w:hAnsi="仿宋" w:eastAsia="仿宋"/>
          <w:b w:val="0"/>
          <w:color w:val="auto"/>
          <w:sz w:val="24"/>
          <w:szCs w:val="24"/>
          <w:lang w:val="en-US"/>
        </w:rPr>
        <w:t>（5）因劳动合同法第二十六条第一款第一项规定情形致使乙方与派出人员劳动合同无效的；</w:t>
      </w:r>
    </w:p>
    <w:p>
      <w:pPr>
        <w:pStyle w:val="371"/>
        <w:tabs>
          <w:tab w:val="left" w:pos="900"/>
        </w:tabs>
        <w:ind w:firstLine="453" w:firstLineChars="189"/>
        <w:rPr>
          <w:rFonts w:ascii="仿宋" w:hAnsi="仿宋" w:eastAsia="仿宋"/>
          <w:b w:val="0"/>
          <w:color w:val="auto"/>
          <w:sz w:val="24"/>
          <w:szCs w:val="24"/>
          <w:lang w:val="en-US"/>
        </w:rPr>
      </w:pPr>
      <w:r>
        <w:rPr>
          <w:rFonts w:hint="eastAsia" w:ascii="仿宋" w:hAnsi="仿宋" w:eastAsia="仿宋"/>
          <w:b w:val="0"/>
          <w:color w:val="auto"/>
          <w:sz w:val="24"/>
          <w:szCs w:val="24"/>
          <w:lang w:val="en-US"/>
        </w:rPr>
        <w:t>（6）被依法追究刑事责任的；</w:t>
      </w:r>
    </w:p>
    <w:p>
      <w:pPr>
        <w:tabs>
          <w:tab w:val="left" w:pos="900"/>
        </w:tabs>
        <w:ind w:firstLine="480"/>
        <w:rPr>
          <w:rFonts w:ascii="仿宋" w:hAnsi="仿宋" w:eastAsia="仿宋"/>
          <w:b w:val="0"/>
          <w:color w:val="auto"/>
          <w:sz w:val="24"/>
          <w:szCs w:val="24"/>
          <w:lang w:val="en-US"/>
        </w:rPr>
      </w:pPr>
      <w:r>
        <w:rPr>
          <w:rFonts w:hint="eastAsia" w:ascii="仿宋" w:hAnsi="仿宋" w:eastAsia="仿宋"/>
          <w:b w:val="0"/>
          <w:color w:val="auto"/>
          <w:sz w:val="24"/>
          <w:szCs w:val="24"/>
          <w:lang w:val="en-US"/>
        </w:rPr>
        <w:t>（7）主动提出解除或终止劳动合同的。</w:t>
      </w:r>
    </w:p>
    <w:p>
      <w:pPr>
        <w:pStyle w:val="371"/>
        <w:tabs>
          <w:tab w:val="left" w:pos="4500"/>
          <w:tab w:val="left" w:pos="4860"/>
          <w:tab w:val="left" w:pos="7020"/>
        </w:tabs>
        <w:ind w:firstLine="453" w:firstLineChars="189"/>
        <w:rPr>
          <w:rFonts w:ascii="仿宋" w:hAnsi="仿宋" w:eastAsia="仿宋"/>
          <w:b w:val="0"/>
          <w:color w:val="auto"/>
          <w:sz w:val="24"/>
          <w:szCs w:val="24"/>
          <w:lang w:val="en-US"/>
        </w:rPr>
      </w:pPr>
      <w:r>
        <w:rPr>
          <w:rFonts w:hint="eastAsia" w:ascii="仿宋" w:hAnsi="仿宋" w:eastAsia="仿宋"/>
          <w:b w:val="0"/>
          <w:color w:val="auto"/>
          <w:sz w:val="24"/>
          <w:szCs w:val="24"/>
          <w:lang w:val="en-US"/>
        </w:rPr>
        <w:t>8、依据《劳动合同法》相关条款，甲方有权将符合以下情形的派出人员退回乙方，但须提前30天（或额外支付派出人员一个月的工资）以书面形式通知乙方并提供相关的书面证明材料后才可退回：</w:t>
      </w:r>
    </w:p>
    <w:p>
      <w:pPr>
        <w:tabs>
          <w:tab w:val="left" w:pos="900"/>
        </w:tabs>
        <w:ind w:firstLine="453" w:firstLineChars="189"/>
        <w:rPr>
          <w:rFonts w:ascii="仿宋" w:hAnsi="仿宋" w:eastAsia="仿宋"/>
          <w:b w:val="0"/>
          <w:color w:val="auto"/>
          <w:sz w:val="24"/>
          <w:szCs w:val="24"/>
          <w:lang w:val="en-US"/>
        </w:rPr>
      </w:pPr>
      <w:r>
        <w:rPr>
          <w:rFonts w:hint="eastAsia" w:ascii="仿宋" w:hAnsi="仿宋" w:eastAsia="仿宋"/>
          <w:b w:val="0"/>
          <w:color w:val="auto"/>
          <w:sz w:val="24"/>
          <w:szCs w:val="24"/>
          <w:lang w:val="en-US"/>
        </w:rPr>
        <w:t>（1）派出人员患病或非因工负伤，医疗期满，不能从事原工作也不能从事甲方另行安排的工作的。</w:t>
      </w:r>
    </w:p>
    <w:p>
      <w:pPr>
        <w:tabs>
          <w:tab w:val="left" w:pos="900"/>
        </w:tabs>
        <w:ind w:firstLine="480"/>
        <w:rPr>
          <w:rFonts w:ascii="仿宋" w:hAnsi="仿宋" w:eastAsia="仿宋"/>
          <w:b w:val="0"/>
          <w:color w:val="auto"/>
          <w:sz w:val="24"/>
          <w:szCs w:val="24"/>
          <w:lang w:val="en-US"/>
        </w:rPr>
      </w:pPr>
      <w:r>
        <w:rPr>
          <w:rFonts w:hint="eastAsia" w:ascii="仿宋" w:hAnsi="仿宋" w:eastAsia="仿宋"/>
          <w:b w:val="0"/>
          <w:color w:val="auto"/>
          <w:sz w:val="24"/>
          <w:szCs w:val="24"/>
          <w:lang w:val="en-US"/>
        </w:rPr>
        <w:t>（2）派出人员不能胜任工作，经过培训或调整岗位，仍不能胜任工作的。</w:t>
      </w:r>
    </w:p>
    <w:p>
      <w:pPr>
        <w:tabs>
          <w:tab w:val="left" w:pos="900"/>
        </w:tabs>
        <w:ind w:firstLine="453" w:firstLineChars="189"/>
        <w:rPr>
          <w:rFonts w:ascii="仿宋" w:hAnsi="仿宋" w:eastAsia="仿宋"/>
          <w:b w:val="0"/>
          <w:color w:val="auto"/>
          <w:sz w:val="24"/>
          <w:szCs w:val="24"/>
          <w:lang w:val="en-US"/>
        </w:rPr>
      </w:pPr>
      <w:r>
        <w:rPr>
          <w:rFonts w:hint="eastAsia" w:ascii="仿宋" w:hAnsi="仿宋" w:eastAsia="仿宋"/>
          <w:b w:val="0"/>
          <w:color w:val="auto"/>
          <w:sz w:val="24"/>
          <w:szCs w:val="24"/>
          <w:lang w:val="en-US"/>
        </w:rPr>
        <w:t>（3）服务关系形成时所依据的客观情况发生重大变化（甲方经济性裁员、破产、解散或被撤销），致使服务关系无法继续的。</w:t>
      </w:r>
    </w:p>
    <w:p>
      <w:pPr>
        <w:tabs>
          <w:tab w:val="left" w:pos="900"/>
        </w:tabs>
        <w:ind w:firstLine="480"/>
        <w:rPr>
          <w:rFonts w:ascii="仿宋" w:hAnsi="仿宋" w:eastAsia="仿宋"/>
          <w:b w:val="0"/>
          <w:color w:val="auto"/>
          <w:sz w:val="24"/>
          <w:szCs w:val="24"/>
          <w:lang w:val="en-US"/>
        </w:rPr>
      </w:pPr>
      <w:r>
        <w:rPr>
          <w:rFonts w:hint="eastAsia" w:ascii="仿宋" w:hAnsi="仿宋" w:eastAsia="仿宋"/>
          <w:b w:val="0"/>
          <w:color w:val="auto"/>
          <w:sz w:val="24"/>
          <w:szCs w:val="24"/>
          <w:lang w:val="en-US"/>
        </w:rPr>
        <w:t>（4）派出人员劳动合同期满，甲方决定不续用的。</w:t>
      </w:r>
    </w:p>
    <w:p>
      <w:pPr>
        <w:pStyle w:val="371"/>
        <w:tabs>
          <w:tab w:val="left" w:pos="4500"/>
          <w:tab w:val="left" w:pos="4860"/>
          <w:tab w:val="left" w:pos="7020"/>
        </w:tabs>
        <w:ind w:firstLine="453" w:firstLineChars="189"/>
        <w:rPr>
          <w:rFonts w:ascii="仿宋" w:hAnsi="仿宋" w:eastAsia="仿宋"/>
          <w:b w:val="0"/>
          <w:color w:val="auto"/>
          <w:sz w:val="24"/>
          <w:szCs w:val="24"/>
          <w:lang w:val="en-US"/>
        </w:rPr>
      </w:pPr>
      <w:r>
        <w:rPr>
          <w:rFonts w:hint="eastAsia" w:ascii="仿宋" w:hAnsi="仿宋" w:eastAsia="仿宋"/>
          <w:b w:val="0"/>
          <w:color w:val="auto"/>
          <w:sz w:val="24"/>
          <w:szCs w:val="24"/>
          <w:lang w:val="en-US"/>
        </w:rPr>
        <w:t>9、甲方依据前款退回派出人员时，应向乙方发出书面盖章的《派出人员退回通知书》，列明退回原因、依据等。乙方积极协助甲方与派出人员协商变更用工单位，协商成功的，甲方无须支付经济补偿金；协商未成功而产生经济补偿/赔偿费用的由甲方按实际产生的等额款项支付给乙方，乙方再支付于派出人员。</w:t>
      </w:r>
    </w:p>
    <w:p>
      <w:pPr>
        <w:pStyle w:val="371"/>
        <w:tabs>
          <w:tab w:val="left" w:pos="4500"/>
          <w:tab w:val="left" w:pos="4860"/>
          <w:tab w:val="left" w:pos="7020"/>
        </w:tabs>
        <w:ind w:firstLine="453" w:firstLineChars="189"/>
        <w:rPr>
          <w:rFonts w:ascii="仿宋" w:hAnsi="仿宋" w:eastAsia="仿宋"/>
          <w:b w:val="0"/>
          <w:color w:val="auto"/>
          <w:sz w:val="24"/>
          <w:szCs w:val="24"/>
          <w:lang w:val="en-US"/>
        </w:rPr>
      </w:pPr>
      <w:r>
        <w:rPr>
          <w:rFonts w:hint="eastAsia" w:ascii="仿宋" w:hAnsi="仿宋" w:eastAsia="仿宋"/>
          <w:b w:val="0"/>
          <w:color w:val="auto"/>
          <w:sz w:val="24"/>
          <w:szCs w:val="24"/>
          <w:lang w:val="en-US"/>
        </w:rPr>
        <w:t>（二）乙方的义务：</w:t>
      </w:r>
    </w:p>
    <w:p>
      <w:pPr>
        <w:pStyle w:val="371"/>
        <w:tabs>
          <w:tab w:val="left" w:pos="4500"/>
          <w:tab w:val="left" w:pos="4860"/>
          <w:tab w:val="left" w:pos="7020"/>
        </w:tabs>
        <w:ind w:firstLine="453" w:firstLineChars="189"/>
        <w:rPr>
          <w:rFonts w:ascii="仿宋" w:hAnsi="仿宋" w:eastAsia="仿宋"/>
          <w:b w:val="0"/>
          <w:color w:val="auto"/>
          <w:sz w:val="24"/>
          <w:szCs w:val="24"/>
          <w:lang w:val="en-US"/>
        </w:rPr>
      </w:pPr>
      <w:r>
        <w:rPr>
          <w:rFonts w:hint="eastAsia" w:ascii="仿宋" w:hAnsi="仿宋" w:eastAsia="仿宋"/>
          <w:b w:val="0"/>
          <w:color w:val="auto"/>
          <w:sz w:val="24"/>
          <w:szCs w:val="24"/>
          <w:lang w:val="en-US"/>
        </w:rPr>
        <w:t>1、负责派出人员劳动合同的签订、劳动用工手续的办理，与派出人员建立合法规范的劳动合同关系。</w:t>
      </w:r>
    </w:p>
    <w:p>
      <w:pPr>
        <w:pStyle w:val="371"/>
        <w:tabs>
          <w:tab w:val="left" w:pos="4500"/>
          <w:tab w:val="left" w:pos="4860"/>
          <w:tab w:val="left" w:pos="7020"/>
        </w:tabs>
        <w:ind w:firstLine="453" w:firstLineChars="189"/>
        <w:rPr>
          <w:rFonts w:ascii="仿宋" w:hAnsi="仿宋" w:eastAsia="仿宋"/>
          <w:b w:val="0"/>
          <w:color w:val="auto"/>
          <w:sz w:val="24"/>
          <w:szCs w:val="24"/>
          <w:lang w:val="en-US"/>
        </w:rPr>
      </w:pPr>
      <w:r>
        <w:rPr>
          <w:rFonts w:hint="eastAsia" w:ascii="仿宋" w:hAnsi="仿宋" w:eastAsia="仿宋"/>
          <w:b w:val="0"/>
          <w:color w:val="auto"/>
          <w:sz w:val="24"/>
          <w:szCs w:val="24"/>
          <w:lang w:val="en-US"/>
        </w:rPr>
        <w:t>2、负责劳务力服务用工模式下乙方作为派出人员用人单位而承担的人事、劳资、社保等方面的事务性工作，包含：派出人员入职/（离职）手续的办理、薪资的计发、档案信息库的建立与管理；社会保险增减、转移等手续的申报处理等。</w:t>
      </w:r>
    </w:p>
    <w:p>
      <w:pPr>
        <w:pStyle w:val="371"/>
        <w:tabs>
          <w:tab w:val="left" w:pos="4500"/>
          <w:tab w:val="left" w:pos="4860"/>
          <w:tab w:val="left" w:pos="7020"/>
        </w:tabs>
        <w:ind w:firstLine="453" w:firstLineChars="189"/>
        <w:rPr>
          <w:rFonts w:ascii="仿宋" w:hAnsi="仿宋" w:eastAsia="仿宋"/>
          <w:b w:val="0"/>
          <w:color w:val="auto"/>
          <w:sz w:val="24"/>
          <w:szCs w:val="24"/>
          <w:lang w:val="en-US"/>
        </w:rPr>
      </w:pPr>
      <w:r>
        <w:rPr>
          <w:rFonts w:hint="eastAsia" w:ascii="仿宋" w:hAnsi="仿宋" w:eastAsia="仿宋"/>
          <w:b w:val="0"/>
          <w:color w:val="auto"/>
          <w:sz w:val="24"/>
          <w:szCs w:val="24"/>
          <w:lang w:val="en-US"/>
        </w:rPr>
        <w:t>3、负责派出人员劳动关系维护，当派出人员发生工伤、意外、医疗等事故时进行相应的申报、认定、劳动能力鉴定、待遇理赔等善后事宜。</w:t>
      </w:r>
    </w:p>
    <w:p>
      <w:pPr>
        <w:pStyle w:val="371"/>
        <w:tabs>
          <w:tab w:val="left" w:pos="4500"/>
          <w:tab w:val="left" w:pos="4860"/>
          <w:tab w:val="left" w:pos="7020"/>
        </w:tabs>
        <w:ind w:firstLine="453" w:firstLineChars="189"/>
        <w:rPr>
          <w:rFonts w:ascii="仿宋" w:hAnsi="仿宋" w:eastAsia="仿宋"/>
          <w:b w:val="0"/>
          <w:color w:val="auto"/>
          <w:sz w:val="24"/>
          <w:szCs w:val="24"/>
          <w:lang w:val="en-US"/>
        </w:rPr>
      </w:pPr>
      <w:r>
        <w:rPr>
          <w:rFonts w:hint="eastAsia" w:ascii="仿宋" w:hAnsi="仿宋" w:eastAsia="仿宋"/>
          <w:b w:val="0"/>
          <w:color w:val="auto"/>
          <w:sz w:val="24"/>
          <w:szCs w:val="24"/>
          <w:lang w:val="en-US"/>
        </w:rPr>
        <w:t>4、负责当发生派出人员劳动纠纷或争议时，进行相应的事件调查、协商调解、出庭应诉处理。</w:t>
      </w:r>
    </w:p>
    <w:p>
      <w:pPr>
        <w:pStyle w:val="371"/>
        <w:tabs>
          <w:tab w:val="left" w:pos="4500"/>
          <w:tab w:val="left" w:pos="4860"/>
          <w:tab w:val="left" w:pos="7020"/>
        </w:tabs>
        <w:ind w:firstLine="453" w:firstLineChars="189"/>
        <w:rPr>
          <w:rFonts w:ascii="仿宋" w:hAnsi="仿宋" w:eastAsia="仿宋"/>
          <w:b w:val="0"/>
          <w:color w:val="auto"/>
          <w:sz w:val="24"/>
          <w:szCs w:val="24"/>
          <w:lang w:val="en-US"/>
        </w:rPr>
      </w:pPr>
      <w:r>
        <w:rPr>
          <w:rFonts w:hint="eastAsia" w:ascii="仿宋" w:hAnsi="仿宋" w:eastAsia="仿宋"/>
          <w:b w:val="0"/>
          <w:color w:val="auto"/>
          <w:sz w:val="24"/>
          <w:szCs w:val="24"/>
          <w:lang w:val="en-US"/>
        </w:rPr>
        <w:t>5、负责督促、监督派出人员自觉遵守法律法规和甲方依法制订的规章制度、劳动纪律、各类业务操作规程，遵从甲方合法的管理。对严重违纪的派出人员依据规章制度进行相应的处理。对派出人员在工作中任何作为或不作为行为导致甲方或第三方损失的，协助配合甲方向责任人追索。</w:t>
      </w:r>
    </w:p>
    <w:p>
      <w:pPr>
        <w:pStyle w:val="371"/>
        <w:tabs>
          <w:tab w:val="left" w:pos="4500"/>
          <w:tab w:val="left" w:pos="4860"/>
          <w:tab w:val="left" w:pos="7020"/>
        </w:tabs>
        <w:ind w:firstLine="453" w:firstLineChars="189"/>
        <w:rPr>
          <w:rFonts w:ascii="仿宋" w:hAnsi="仿宋" w:eastAsia="仿宋"/>
          <w:b w:val="0"/>
          <w:color w:val="auto"/>
          <w:sz w:val="24"/>
          <w:szCs w:val="24"/>
          <w:lang w:val="en-US"/>
        </w:rPr>
      </w:pPr>
      <w:r>
        <w:rPr>
          <w:rFonts w:hint="eastAsia" w:ascii="仿宋" w:hAnsi="仿宋" w:eastAsia="仿宋"/>
          <w:b w:val="0"/>
          <w:color w:val="auto"/>
          <w:sz w:val="24"/>
          <w:szCs w:val="24"/>
          <w:lang w:val="en-US"/>
        </w:rPr>
        <w:t>6、负责与甲方建立良好的客户服务关系及科学完善的信息沟通渠道，主动向甲方提供、反馈与派出人员相关的信息、报告、报表；出示已与派出人员建立合法用工关系的证明、证件、资料等。</w:t>
      </w:r>
    </w:p>
    <w:p>
      <w:pPr>
        <w:pStyle w:val="371"/>
        <w:tabs>
          <w:tab w:val="left" w:pos="4500"/>
          <w:tab w:val="left" w:pos="4860"/>
          <w:tab w:val="left" w:pos="7020"/>
        </w:tabs>
        <w:ind w:firstLine="453" w:firstLineChars="189"/>
        <w:rPr>
          <w:rFonts w:ascii="仿宋" w:hAnsi="仿宋" w:eastAsia="仿宋"/>
          <w:b w:val="0"/>
          <w:color w:val="auto"/>
          <w:sz w:val="24"/>
          <w:szCs w:val="24"/>
          <w:lang w:val="en-US"/>
        </w:rPr>
      </w:pPr>
      <w:r>
        <w:rPr>
          <w:rFonts w:hint="eastAsia" w:ascii="仿宋" w:hAnsi="仿宋" w:eastAsia="仿宋"/>
          <w:b w:val="0"/>
          <w:color w:val="auto"/>
          <w:sz w:val="24"/>
          <w:szCs w:val="24"/>
          <w:lang w:val="en-US"/>
        </w:rPr>
        <w:t>7、负责配合甲方根据本合同约定对符合退回条件的派出人员进行妥善的处理。</w:t>
      </w:r>
    </w:p>
    <w:p>
      <w:pPr>
        <w:pStyle w:val="371"/>
        <w:tabs>
          <w:tab w:val="left" w:pos="4500"/>
          <w:tab w:val="left" w:pos="4860"/>
          <w:tab w:val="left" w:pos="7020"/>
        </w:tabs>
        <w:ind w:firstLine="453" w:firstLineChars="189"/>
        <w:rPr>
          <w:rFonts w:ascii="仿宋" w:hAnsi="仿宋" w:eastAsia="仿宋"/>
          <w:b w:val="0"/>
          <w:color w:val="auto"/>
          <w:sz w:val="24"/>
          <w:szCs w:val="24"/>
          <w:lang w:val="en-US"/>
        </w:rPr>
      </w:pPr>
      <w:r>
        <w:rPr>
          <w:rFonts w:hint="eastAsia" w:ascii="仿宋" w:hAnsi="仿宋" w:eastAsia="仿宋"/>
          <w:b w:val="0"/>
          <w:color w:val="auto"/>
          <w:sz w:val="24"/>
          <w:szCs w:val="24"/>
          <w:lang w:val="en-US"/>
        </w:rPr>
        <w:t>8、未经甲方同意，乙方不得随意更换或撤回在甲方工作的派出人员。如乙方确需更换或撤离派出人员，乙方需提前通知甲方并取得甲方同意。如未经甲方同意而撤离派出人员，乙方须赔偿因此而造成的甲方损失。</w:t>
      </w:r>
    </w:p>
    <w:p>
      <w:pPr>
        <w:pStyle w:val="371"/>
        <w:tabs>
          <w:tab w:val="left" w:pos="4500"/>
          <w:tab w:val="left" w:pos="4860"/>
          <w:tab w:val="left" w:pos="7020"/>
        </w:tabs>
        <w:ind w:firstLine="453" w:firstLineChars="189"/>
        <w:rPr>
          <w:rFonts w:ascii="仿宋" w:hAnsi="仿宋" w:eastAsia="仿宋"/>
          <w:b w:val="0"/>
          <w:color w:val="auto"/>
          <w:sz w:val="24"/>
          <w:szCs w:val="24"/>
          <w:lang w:val="en-US"/>
        </w:rPr>
      </w:pPr>
      <w:r>
        <w:rPr>
          <w:rFonts w:hint="eastAsia" w:ascii="仿宋" w:hAnsi="仿宋" w:eastAsia="仿宋"/>
          <w:b w:val="0"/>
          <w:color w:val="auto"/>
          <w:sz w:val="24"/>
          <w:szCs w:val="24"/>
          <w:lang w:val="en-US"/>
        </w:rPr>
        <w:t>9、负责配置客服管理人员，处理劳动力服务过程中的具体人事事务及甲乙双方与派出人员的关系，甲方提供相应的支持和协助。</w:t>
      </w:r>
    </w:p>
    <w:p>
      <w:pPr>
        <w:ind w:firstLine="472" w:firstLineChars="196"/>
        <w:jc w:val="left"/>
        <w:rPr>
          <w:rFonts w:ascii="仿宋" w:hAnsi="仿宋" w:eastAsia="仿宋"/>
          <w:color w:val="auto"/>
          <w:sz w:val="24"/>
          <w:szCs w:val="24"/>
          <w:lang w:val="en-US"/>
        </w:rPr>
      </w:pPr>
      <w:r>
        <w:rPr>
          <w:rFonts w:ascii="仿宋" w:hAnsi="仿宋" w:eastAsia="仿宋"/>
          <w:color w:val="auto"/>
          <w:sz w:val="24"/>
          <w:szCs w:val="24"/>
          <w:lang w:val="en-US"/>
        </w:rPr>
        <w:t>第</w:t>
      </w:r>
      <w:r>
        <w:rPr>
          <w:rFonts w:hint="eastAsia" w:ascii="仿宋" w:hAnsi="仿宋" w:eastAsia="仿宋"/>
          <w:color w:val="auto"/>
          <w:sz w:val="24"/>
          <w:szCs w:val="24"/>
          <w:lang w:val="en-US"/>
        </w:rPr>
        <w:t>六</w:t>
      </w:r>
      <w:r>
        <w:rPr>
          <w:rFonts w:ascii="仿宋" w:hAnsi="仿宋" w:eastAsia="仿宋"/>
          <w:color w:val="auto"/>
          <w:sz w:val="24"/>
          <w:szCs w:val="24"/>
          <w:lang w:val="en-US"/>
        </w:rPr>
        <w:t>条  合同金额及支付方式</w:t>
      </w:r>
    </w:p>
    <w:p>
      <w:pPr>
        <w:pStyle w:val="371"/>
        <w:tabs>
          <w:tab w:val="left" w:pos="4500"/>
          <w:tab w:val="left" w:pos="4860"/>
          <w:tab w:val="left" w:pos="7020"/>
        </w:tabs>
        <w:ind w:firstLine="453" w:firstLineChars="189"/>
        <w:rPr>
          <w:rFonts w:hint="eastAsia" w:ascii="仿宋" w:hAnsi="仿宋" w:eastAsia="仿宋"/>
          <w:b w:val="0"/>
          <w:color w:val="auto"/>
          <w:sz w:val="24"/>
          <w:szCs w:val="24"/>
          <w:lang w:val="en-US"/>
        </w:rPr>
      </w:pPr>
      <w:r>
        <w:rPr>
          <w:rFonts w:hint="eastAsia" w:ascii="仿宋" w:hAnsi="仿宋" w:eastAsia="仿宋"/>
          <w:b w:val="0"/>
          <w:color w:val="auto"/>
          <w:sz w:val="24"/>
          <w:szCs w:val="24"/>
          <w:highlight w:val="none"/>
          <w:lang w:val="en-US"/>
        </w:rPr>
        <w:t>乙方中标</w:t>
      </w:r>
      <w:r>
        <w:rPr>
          <w:rFonts w:hint="eastAsia" w:ascii="仿宋" w:hAnsi="仿宋" w:eastAsia="仿宋"/>
          <w:b w:val="0"/>
          <w:color w:val="auto"/>
          <w:sz w:val="24"/>
          <w:szCs w:val="24"/>
          <w:highlight w:val="none"/>
          <w:lang w:val="en-US" w:eastAsia="zh-CN"/>
        </w:rPr>
        <w:t>的</w:t>
      </w:r>
      <w:r>
        <w:rPr>
          <w:rFonts w:hint="eastAsia" w:ascii="仿宋" w:hAnsi="仿宋" w:eastAsia="仿宋"/>
          <w:b w:val="0"/>
          <w:color w:val="auto"/>
          <w:sz w:val="24"/>
          <w:szCs w:val="24"/>
          <w:highlight w:val="none"/>
          <w:lang w:val="en-US"/>
        </w:rPr>
        <w:t>服务费收费比例为    %。甲乙双方的最终结算价按照乙方中标报价和实际派出人数进行结算。</w:t>
      </w:r>
      <w:r>
        <w:rPr>
          <w:rFonts w:hint="eastAsia" w:ascii="仿宋" w:hAnsi="仿宋" w:eastAsia="仿宋"/>
          <w:b w:val="0"/>
          <w:color w:val="auto"/>
          <w:sz w:val="24"/>
          <w:szCs w:val="24"/>
          <w:lang w:val="en-US"/>
        </w:rPr>
        <w:t>本合同项下的全部价款和价外费用均为已含增值税的含税价。</w:t>
      </w:r>
    </w:p>
    <w:p>
      <w:pPr>
        <w:pStyle w:val="371"/>
        <w:tabs>
          <w:tab w:val="left" w:pos="4500"/>
          <w:tab w:val="left" w:pos="4860"/>
          <w:tab w:val="left" w:pos="7020"/>
        </w:tabs>
        <w:ind w:firstLine="453" w:firstLineChars="189"/>
        <w:rPr>
          <w:rFonts w:ascii="仿宋" w:hAnsi="仿宋" w:eastAsia="仿宋"/>
          <w:b w:val="0"/>
          <w:color w:val="auto"/>
          <w:sz w:val="24"/>
          <w:szCs w:val="24"/>
          <w:lang w:val="en-US"/>
        </w:rPr>
      </w:pPr>
      <w:r>
        <w:rPr>
          <w:rFonts w:hint="eastAsia" w:ascii="仿宋" w:hAnsi="仿宋" w:eastAsia="仿宋"/>
          <w:b w:val="0"/>
          <w:color w:val="auto"/>
          <w:sz w:val="24"/>
          <w:szCs w:val="24"/>
          <w:lang w:val="en-US"/>
        </w:rPr>
        <w:t>（一）乙方为甲方提供劳动力服务，甲方每月向乙方支付的劳动力服务总费用包括：</w:t>
      </w:r>
    </w:p>
    <w:p>
      <w:pPr>
        <w:pStyle w:val="371"/>
        <w:tabs>
          <w:tab w:val="left" w:pos="4500"/>
          <w:tab w:val="left" w:pos="4860"/>
          <w:tab w:val="left" w:pos="7020"/>
        </w:tabs>
        <w:ind w:firstLine="453" w:firstLineChars="189"/>
        <w:rPr>
          <w:rFonts w:ascii="仿宋" w:hAnsi="仿宋" w:eastAsia="仿宋"/>
          <w:b w:val="0"/>
          <w:color w:val="auto"/>
          <w:sz w:val="24"/>
          <w:szCs w:val="24"/>
          <w:lang w:val="en-US"/>
        </w:rPr>
      </w:pPr>
      <w:r>
        <w:rPr>
          <w:rFonts w:hint="eastAsia" w:ascii="仿宋" w:hAnsi="仿宋" w:eastAsia="仿宋"/>
          <w:b w:val="0"/>
          <w:color w:val="auto"/>
          <w:sz w:val="24"/>
          <w:szCs w:val="24"/>
          <w:lang w:val="en-US"/>
        </w:rPr>
        <w:t>1、管理服务费：每月由甲方支付的派出人员</w:t>
      </w:r>
      <w:r>
        <w:rPr>
          <w:rFonts w:hint="eastAsia" w:ascii="仿宋" w:hAnsi="仿宋" w:eastAsia="仿宋"/>
          <w:color w:val="auto"/>
          <w:sz w:val="24"/>
          <w:szCs w:val="24"/>
          <w:lang w:val="en-US"/>
        </w:rPr>
        <w:t>工资、社保、其他费用的</w:t>
      </w:r>
      <w:r>
        <w:rPr>
          <w:rFonts w:hint="eastAsia" w:ascii="仿宋" w:hAnsi="仿宋" w:eastAsia="仿宋"/>
          <w:color w:val="auto"/>
          <w:sz w:val="24"/>
          <w:szCs w:val="24"/>
          <w:u w:val="single"/>
          <w:lang w:val="en-US"/>
        </w:rPr>
        <w:t xml:space="preserve">    %（含所有费用的税费）</w:t>
      </w:r>
      <w:r>
        <w:rPr>
          <w:rFonts w:hint="eastAsia" w:ascii="仿宋" w:hAnsi="仿宋" w:eastAsia="仿宋"/>
          <w:b w:val="0"/>
          <w:color w:val="auto"/>
          <w:sz w:val="24"/>
          <w:szCs w:val="24"/>
          <w:lang w:val="en-US"/>
        </w:rPr>
        <w:t>，次月十日前由甲方向乙方支付上月管理服务费用，根据上月服务人数计算（包括签订劳动合同、发放工资和缴纳社保的人数），当派出人员在职不足整月时，按实际到岗天数计算。</w:t>
      </w:r>
    </w:p>
    <w:p>
      <w:pPr>
        <w:pStyle w:val="371"/>
        <w:tabs>
          <w:tab w:val="left" w:pos="4500"/>
          <w:tab w:val="left" w:pos="4860"/>
          <w:tab w:val="left" w:pos="7020"/>
        </w:tabs>
        <w:ind w:firstLine="453" w:firstLineChars="189"/>
        <w:rPr>
          <w:rFonts w:hint="eastAsia" w:ascii="仿宋" w:hAnsi="仿宋" w:eastAsia="仿宋"/>
          <w:b w:val="0"/>
          <w:color w:val="auto"/>
          <w:sz w:val="24"/>
          <w:szCs w:val="24"/>
          <w:lang w:val="en-US"/>
        </w:rPr>
      </w:pPr>
      <w:r>
        <w:rPr>
          <w:rFonts w:hint="eastAsia" w:ascii="仿宋" w:hAnsi="仿宋" w:eastAsia="仿宋"/>
          <w:b w:val="0"/>
          <w:color w:val="auto"/>
          <w:sz w:val="24"/>
          <w:szCs w:val="24"/>
          <w:lang w:val="en-US"/>
        </w:rPr>
        <w:t>2、派出人员工资：次月十日前由甲方向乙方支付上月派出人员工资，根据上月应付工资支付（若派出人员工资由乙方委托甲方发放则不需支付此项）。</w:t>
      </w:r>
    </w:p>
    <w:p>
      <w:pPr>
        <w:pStyle w:val="371"/>
        <w:tabs>
          <w:tab w:val="left" w:pos="4500"/>
          <w:tab w:val="left" w:pos="4860"/>
          <w:tab w:val="left" w:pos="7020"/>
        </w:tabs>
        <w:ind w:firstLine="453" w:firstLineChars="189"/>
        <w:rPr>
          <w:rFonts w:ascii="仿宋" w:hAnsi="仿宋" w:eastAsia="仿宋"/>
          <w:b w:val="0"/>
          <w:color w:val="auto"/>
          <w:sz w:val="24"/>
          <w:szCs w:val="24"/>
          <w:lang w:val="en-US"/>
        </w:rPr>
      </w:pPr>
      <w:r>
        <w:rPr>
          <w:rFonts w:hint="eastAsia" w:ascii="仿宋" w:hAnsi="仿宋" w:eastAsia="仿宋"/>
          <w:b w:val="0"/>
          <w:color w:val="auto"/>
          <w:sz w:val="24"/>
          <w:szCs w:val="24"/>
          <w:lang w:val="en-US"/>
        </w:rPr>
        <w:t>3、社保：每月十日前由甲方向乙方支付当月社保金，根据本合同附表所列的项目及标准支付。</w:t>
      </w:r>
    </w:p>
    <w:p>
      <w:pPr>
        <w:pStyle w:val="371"/>
        <w:tabs>
          <w:tab w:val="left" w:pos="4500"/>
          <w:tab w:val="left" w:pos="4860"/>
          <w:tab w:val="left" w:pos="7020"/>
        </w:tabs>
        <w:ind w:firstLine="453" w:firstLineChars="189"/>
        <w:rPr>
          <w:rFonts w:ascii="仿宋" w:hAnsi="仿宋" w:eastAsia="仿宋"/>
          <w:b w:val="0"/>
          <w:color w:val="auto"/>
          <w:sz w:val="24"/>
          <w:szCs w:val="24"/>
          <w:lang w:val="en-US"/>
        </w:rPr>
      </w:pPr>
      <w:r>
        <w:rPr>
          <w:rFonts w:hint="eastAsia" w:ascii="仿宋" w:hAnsi="仿宋" w:eastAsia="仿宋"/>
          <w:b w:val="0"/>
          <w:color w:val="auto"/>
          <w:sz w:val="24"/>
          <w:szCs w:val="24"/>
          <w:lang w:val="en-US"/>
        </w:rPr>
        <w:t>4、其它费用：其他本合同约定或经甲乙双方确认后应由甲方支付的费用，支付时间统一为每月十日前。</w:t>
      </w:r>
    </w:p>
    <w:p>
      <w:pPr>
        <w:pStyle w:val="371"/>
        <w:tabs>
          <w:tab w:val="left" w:pos="4500"/>
          <w:tab w:val="left" w:pos="4860"/>
          <w:tab w:val="left" w:pos="7020"/>
        </w:tabs>
        <w:ind w:firstLine="453" w:firstLineChars="189"/>
        <w:rPr>
          <w:rFonts w:ascii="仿宋" w:hAnsi="仿宋" w:eastAsia="仿宋"/>
          <w:b w:val="0"/>
          <w:color w:val="auto"/>
          <w:sz w:val="24"/>
          <w:szCs w:val="24"/>
          <w:lang w:val="en-US"/>
        </w:rPr>
      </w:pPr>
      <w:r>
        <w:rPr>
          <w:rFonts w:hint="eastAsia" w:ascii="仿宋" w:hAnsi="仿宋" w:eastAsia="仿宋"/>
          <w:b w:val="0"/>
          <w:color w:val="auto"/>
          <w:sz w:val="24"/>
          <w:szCs w:val="24"/>
          <w:lang w:val="en-US"/>
        </w:rPr>
        <w:t>（二）派出人员工资：</w:t>
      </w:r>
    </w:p>
    <w:p>
      <w:pPr>
        <w:pStyle w:val="371"/>
        <w:tabs>
          <w:tab w:val="left" w:pos="4500"/>
          <w:tab w:val="left" w:pos="4860"/>
          <w:tab w:val="left" w:pos="7020"/>
        </w:tabs>
        <w:ind w:firstLine="453" w:firstLineChars="189"/>
        <w:rPr>
          <w:rFonts w:ascii="仿宋" w:hAnsi="仿宋" w:eastAsia="仿宋"/>
          <w:b w:val="0"/>
          <w:color w:val="auto"/>
          <w:sz w:val="24"/>
          <w:szCs w:val="24"/>
          <w:lang w:val="en-US"/>
        </w:rPr>
      </w:pPr>
      <w:r>
        <w:rPr>
          <w:rFonts w:hint="eastAsia" w:ascii="仿宋" w:hAnsi="仿宋" w:eastAsia="仿宋"/>
          <w:b w:val="0"/>
          <w:color w:val="auto"/>
          <w:sz w:val="24"/>
          <w:szCs w:val="24"/>
          <w:lang w:val="en-US"/>
        </w:rPr>
        <w:t>1、派出人员工资标准由甲方确定，甲方应保证派出人员工资标准符合国家及用工所在地的政策规定。</w:t>
      </w:r>
    </w:p>
    <w:p>
      <w:pPr>
        <w:pStyle w:val="371"/>
        <w:tabs>
          <w:tab w:val="left" w:pos="4500"/>
          <w:tab w:val="left" w:pos="4860"/>
          <w:tab w:val="left" w:pos="7020"/>
        </w:tabs>
        <w:ind w:firstLine="453" w:firstLineChars="189"/>
        <w:rPr>
          <w:rFonts w:ascii="仿宋" w:hAnsi="仿宋" w:eastAsia="仿宋"/>
          <w:b w:val="0"/>
          <w:color w:val="auto"/>
          <w:sz w:val="24"/>
          <w:szCs w:val="24"/>
          <w:lang w:val="en-US"/>
        </w:rPr>
      </w:pPr>
      <w:r>
        <w:rPr>
          <w:rFonts w:hint="eastAsia" w:ascii="仿宋" w:hAnsi="仿宋" w:eastAsia="仿宋"/>
          <w:b w:val="0"/>
          <w:color w:val="auto"/>
          <w:sz w:val="24"/>
          <w:szCs w:val="24"/>
          <w:lang w:val="en-US"/>
        </w:rPr>
        <w:t>2、派出人员工资由乙方/（乙方委托甲方发放）（若派出人员工资由乙方委托甲方发放的，双方另行签订《委托代发工资协议》，双方根据《委托代发工资协议》的约定执行）。派出人员工资发放方应保证按时足额的发放派出人员工资，因恶意克扣或拖欠派出人员工资而导致的责任由实际责任方承担。若派出人员工资由乙方发放的，乙方应于当月工资发放后十日内向甲方提供派出人员工资发放记录或银行转账记录。</w:t>
      </w:r>
    </w:p>
    <w:p>
      <w:pPr>
        <w:pStyle w:val="371"/>
        <w:tabs>
          <w:tab w:val="left" w:pos="4500"/>
          <w:tab w:val="left" w:pos="4860"/>
          <w:tab w:val="left" w:pos="7020"/>
        </w:tabs>
        <w:ind w:firstLine="453" w:firstLineChars="189"/>
        <w:rPr>
          <w:rFonts w:ascii="仿宋" w:hAnsi="仿宋" w:eastAsia="仿宋"/>
          <w:b w:val="0"/>
          <w:color w:val="auto"/>
          <w:sz w:val="24"/>
          <w:szCs w:val="24"/>
          <w:lang w:val="en-US"/>
        </w:rPr>
      </w:pPr>
      <w:r>
        <w:rPr>
          <w:rFonts w:hint="eastAsia" w:ascii="仿宋" w:hAnsi="仿宋" w:eastAsia="仿宋"/>
          <w:b w:val="0"/>
          <w:color w:val="auto"/>
          <w:sz w:val="24"/>
          <w:szCs w:val="24"/>
          <w:lang w:val="en-US"/>
        </w:rPr>
        <w:t>3、经乙方及派出人员书面同意，甲方可直接向派出人员发放其他福利费用，福利费用的发放标准、发放时间由甲方决定，涉及的个人所得税由甲方代扣代缴，乙方对甲方直接发放的费用不承担任何责任。</w:t>
      </w:r>
    </w:p>
    <w:p>
      <w:pPr>
        <w:pStyle w:val="371"/>
        <w:tabs>
          <w:tab w:val="left" w:pos="4500"/>
          <w:tab w:val="left" w:pos="4860"/>
          <w:tab w:val="left" w:pos="7020"/>
        </w:tabs>
        <w:ind w:firstLine="453" w:firstLineChars="189"/>
        <w:rPr>
          <w:rFonts w:ascii="仿宋" w:hAnsi="仿宋" w:eastAsia="仿宋"/>
          <w:b w:val="0"/>
          <w:color w:val="auto"/>
          <w:sz w:val="24"/>
          <w:szCs w:val="24"/>
          <w:lang w:val="en-US"/>
        </w:rPr>
      </w:pPr>
      <w:r>
        <w:rPr>
          <w:rFonts w:hint="eastAsia" w:ascii="仿宋" w:hAnsi="仿宋" w:eastAsia="仿宋"/>
          <w:b w:val="0"/>
          <w:color w:val="auto"/>
          <w:sz w:val="24"/>
          <w:szCs w:val="24"/>
          <w:lang w:val="en-US"/>
        </w:rPr>
        <w:t>（三）派出人员社会保险：</w:t>
      </w:r>
    </w:p>
    <w:p>
      <w:pPr>
        <w:pStyle w:val="371"/>
        <w:tabs>
          <w:tab w:val="left" w:pos="4500"/>
          <w:tab w:val="left" w:pos="4860"/>
          <w:tab w:val="left" w:pos="7020"/>
        </w:tabs>
        <w:ind w:firstLine="453" w:firstLineChars="189"/>
        <w:rPr>
          <w:rFonts w:ascii="仿宋" w:hAnsi="仿宋" w:eastAsia="仿宋"/>
          <w:b w:val="0"/>
          <w:color w:val="auto"/>
          <w:sz w:val="24"/>
          <w:szCs w:val="24"/>
          <w:lang w:val="en-US"/>
        </w:rPr>
      </w:pPr>
      <w:r>
        <w:rPr>
          <w:rFonts w:hint="eastAsia" w:ascii="仿宋" w:hAnsi="仿宋" w:eastAsia="仿宋"/>
          <w:b w:val="0"/>
          <w:color w:val="auto"/>
          <w:sz w:val="24"/>
          <w:szCs w:val="24"/>
          <w:lang w:val="en-US"/>
        </w:rPr>
        <w:t>1、甲方根据成都市有关政策规定确定派出人员社保缴费项目、基数和比例，乙方按甲方确定的标准为派出人员缴纳社保（具体标准见附表）。若须增加本合同约定之外的社保缴费城市，甲乙双方另行以书面形式约定。</w:t>
      </w:r>
    </w:p>
    <w:p>
      <w:pPr>
        <w:pStyle w:val="371"/>
        <w:tabs>
          <w:tab w:val="left" w:pos="4500"/>
          <w:tab w:val="left" w:pos="4860"/>
          <w:tab w:val="left" w:pos="7020"/>
        </w:tabs>
        <w:ind w:firstLine="453" w:firstLineChars="189"/>
        <w:rPr>
          <w:rFonts w:ascii="仿宋" w:hAnsi="仿宋" w:eastAsia="仿宋"/>
          <w:b w:val="0"/>
          <w:color w:val="auto"/>
          <w:sz w:val="24"/>
          <w:szCs w:val="24"/>
          <w:lang w:val="en-US"/>
        </w:rPr>
      </w:pPr>
      <w:r>
        <w:rPr>
          <w:rFonts w:ascii="仿宋" w:hAnsi="仿宋" w:eastAsia="仿宋"/>
          <w:b w:val="0"/>
          <w:color w:val="auto"/>
          <w:sz w:val="24"/>
          <w:szCs w:val="24"/>
          <w:lang w:val="en-US"/>
        </w:rPr>
        <w:t>2</w:t>
      </w:r>
      <w:r>
        <w:rPr>
          <w:rFonts w:hint="eastAsia" w:ascii="仿宋" w:hAnsi="仿宋" w:eastAsia="仿宋"/>
          <w:b w:val="0"/>
          <w:color w:val="auto"/>
          <w:sz w:val="24"/>
          <w:szCs w:val="24"/>
          <w:lang w:val="en-US"/>
        </w:rPr>
        <w:t>、在合同履行期间，甲乙双方于每月 5 号前确认当月社保申报名单及费用，乙方根据双方每月确认的名单办理申报手续，并于申报成功的次月</w:t>
      </w:r>
      <w:r>
        <w:rPr>
          <w:rFonts w:ascii="仿宋" w:hAnsi="仿宋" w:eastAsia="仿宋"/>
          <w:b w:val="0"/>
          <w:color w:val="auto"/>
          <w:sz w:val="24"/>
          <w:szCs w:val="24"/>
          <w:lang w:val="en-US"/>
        </w:rPr>
        <w:t>10</w:t>
      </w:r>
      <w:r>
        <w:rPr>
          <w:rFonts w:hint="eastAsia" w:ascii="仿宋" w:hAnsi="仿宋" w:eastAsia="仿宋"/>
          <w:b w:val="0"/>
          <w:color w:val="auto"/>
          <w:sz w:val="24"/>
          <w:szCs w:val="24"/>
          <w:lang w:val="en-US"/>
        </w:rPr>
        <w:t>日前向甲方提供《社保实参台账》。</w:t>
      </w:r>
    </w:p>
    <w:p>
      <w:pPr>
        <w:pStyle w:val="371"/>
        <w:tabs>
          <w:tab w:val="left" w:pos="4500"/>
          <w:tab w:val="left" w:pos="4860"/>
          <w:tab w:val="left" w:pos="7020"/>
        </w:tabs>
        <w:ind w:firstLine="453" w:firstLineChars="189"/>
        <w:rPr>
          <w:rFonts w:ascii="仿宋" w:hAnsi="仿宋" w:eastAsia="仿宋"/>
          <w:b w:val="0"/>
          <w:color w:val="auto"/>
          <w:sz w:val="24"/>
          <w:szCs w:val="24"/>
          <w:lang w:val="en-US"/>
        </w:rPr>
      </w:pPr>
      <w:r>
        <w:rPr>
          <w:rFonts w:ascii="仿宋" w:hAnsi="仿宋" w:eastAsia="仿宋"/>
          <w:b w:val="0"/>
          <w:color w:val="auto"/>
          <w:sz w:val="24"/>
          <w:szCs w:val="24"/>
          <w:lang w:val="en-US"/>
        </w:rPr>
        <w:t>3</w:t>
      </w:r>
      <w:r>
        <w:rPr>
          <w:rFonts w:hint="eastAsia" w:ascii="仿宋" w:hAnsi="仿宋" w:eastAsia="仿宋"/>
          <w:b w:val="0"/>
          <w:color w:val="auto"/>
          <w:sz w:val="24"/>
          <w:szCs w:val="24"/>
          <w:lang w:val="en-US"/>
        </w:rPr>
        <w:t>、因甲方原因提出的补缴要求，乙方应配合甲方进行社保补缴。补缴过程中涉及的第三方收费（包括但不限于工本费、鉴定费、用工调配费、残疾人保障金、滞纳金、利息等），由甲方按实际产生的费用支付于乙方。</w:t>
      </w:r>
    </w:p>
    <w:p>
      <w:pPr>
        <w:pStyle w:val="371"/>
        <w:tabs>
          <w:tab w:val="left" w:pos="4500"/>
          <w:tab w:val="left" w:pos="4860"/>
          <w:tab w:val="left" w:pos="7020"/>
        </w:tabs>
        <w:ind w:firstLine="453" w:firstLineChars="189"/>
        <w:rPr>
          <w:rFonts w:ascii="仿宋" w:hAnsi="仿宋" w:eastAsia="仿宋"/>
          <w:b w:val="0"/>
          <w:color w:val="auto"/>
          <w:sz w:val="24"/>
          <w:szCs w:val="24"/>
          <w:lang w:val="en-US"/>
        </w:rPr>
      </w:pPr>
      <w:r>
        <w:rPr>
          <w:rFonts w:ascii="仿宋" w:hAnsi="仿宋" w:eastAsia="仿宋"/>
          <w:b w:val="0"/>
          <w:color w:val="auto"/>
          <w:sz w:val="24"/>
          <w:szCs w:val="24"/>
          <w:lang w:val="en-US"/>
        </w:rPr>
        <w:t>4</w:t>
      </w:r>
      <w:r>
        <w:rPr>
          <w:rFonts w:hint="eastAsia" w:ascii="仿宋" w:hAnsi="仿宋" w:eastAsia="仿宋"/>
          <w:b w:val="0"/>
          <w:color w:val="auto"/>
          <w:sz w:val="24"/>
          <w:szCs w:val="24"/>
          <w:lang w:val="en-US"/>
        </w:rPr>
        <w:t>、若遇国家政策法规、行政指令或用工当地、派出人员要求对社保进行调整、补缴或补足待遇差额时，乙方应以书面形式通知甲方，甲方应按要求履行。</w:t>
      </w:r>
    </w:p>
    <w:p>
      <w:pPr>
        <w:pStyle w:val="371"/>
        <w:tabs>
          <w:tab w:val="left" w:pos="4500"/>
          <w:tab w:val="left" w:pos="4860"/>
          <w:tab w:val="left" w:pos="7020"/>
        </w:tabs>
        <w:ind w:firstLine="453" w:firstLineChars="189"/>
        <w:rPr>
          <w:rFonts w:ascii="仿宋" w:hAnsi="仿宋" w:eastAsia="仿宋"/>
          <w:b w:val="0"/>
          <w:color w:val="auto"/>
          <w:sz w:val="24"/>
          <w:szCs w:val="24"/>
          <w:lang w:val="en-US"/>
        </w:rPr>
      </w:pPr>
      <w:r>
        <w:rPr>
          <w:rFonts w:hint="eastAsia" w:ascii="仿宋" w:hAnsi="仿宋" w:eastAsia="仿宋"/>
          <w:b w:val="0"/>
          <w:color w:val="auto"/>
          <w:sz w:val="24"/>
          <w:szCs w:val="24"/>
          <w:lang w:val="en-US"/>
        </w:rPr>
        <w:t>（四）双方约定的其它费用：</w:t>
      </w:r>
    </w:p>
    <w:p>
      <w:pPr>
        <w:pStyle w:val="371"/>
        <w:tabs>
          <w:tab w:val="left" w:pos="4500"/>
          <w:tab w:val="left" w:pos="4860"/>
          <w:tab w:val="left" w:pos="7020"/>
        </w:tabs>
        <w:ind w:firstLine="453" w:firstLineChars="189"/>
        <w:rPr>
          <w:rFonts w:ascii="仿宋" w:hAnsi="仿宋" w:eastAsia="仿宋"/>
          <w:b w:val="0"/>
          <w:color w:val="auto"/>
          <w:sz w:val="24"/>
          <w:szCs w:val="24"/>
          <w:lang w:val="en-US"/>
        </w:rPr>
      </w:pPr>
      <w:r>
        <w:rPr>
          <w:rFonts w:hint="eastAsia" w:ascii="仿宋" w:hAnsi="仿宋" w:eastAsia="仿宋"/>
          <w:b w:val="0"/>
          <w:color w:val="auto"/>
          <w:sz w:val="24"/>
          <w:szCs w:val="24"/>
          <w:lang w:val="en-US"/>
        </w:rPr>
        <w:t>1、商业保险费：若有，根据本合同附表所约定的标准执行，费用结算方式同派出人员社会保险结算方式一致。</w:t>
      </w:r>
    </w:p>
    <w:p>
      <w:pPr>
        <w:pStyle w:val="371"/>
        <w:tabs>
          <w:tab w:val="left" w:pos="4500"/>
          <w:tab w:val="left" w:pos="4860"/>
          <w:tab w:val="left" w:pos="7020"/>
        </w:tabs>
        <w:ind w:firstLine="453" w:firstLineChars="189"/>
        <w:rPr>
          <w:rFonts w:ascii="仿宋" w:hAnsi="仿宋" w:eastAsia="仿宋"/>
          <w:b w:val="0"/>
          <w:color w:val="auto"/>
          <w:sz w:val="24"/>
          <w:szCs w:val="24"/>
          <w:lang w:val="en-US"/>
        </w:rPr>
      </w:pPr>
      <w:r>
        <w:rPr>
          <w:rFonts w:hint="eastAsia" w:ascii="仿宋" w:hAnsi="仿宋" w:eastAsia="仿宋"/>
          <w:b w:val="0"/>
          <w:color w:val="auto"/>
          <w:sz w:val="24"/>
          <w:szCs w:val="24"/>
          <w:lang w:val="en-US"/>
        </w:rPr>
        <w:t>2、乙方在履行服务过程中涉及第三方行政性收费的（比如例行缴纳的残疾人保障金等），应向甲方提供书面的征收凭证，甲方根据书面的征收凭证支付相关费用于乙方。</w:t>
      </w:r>
    </w:p>
    <w:p>
      <w:pPr>
        <w:pStyle w:val="371"/>
        <w:tabs>
          <w:tab w:val="left" w:pos="4500"/>
          <w:tab w:val="left" w:pos="4860"/>
          <w:tab w:val="left" w:pos="7020"/>
        </w:tabs>
        <w:ind w:firstLine="453" w:firstLineChars="189"/>
        <w:rPr>
          <w:rFonts w:ascii="仿宋" w:hAnsi="仿宋" w:eastAsia="仿宋"/>
          <w:b w:val="0"/>
          <w:color w:val="auto"/>
          <w:sz w:val="24"/>
          <w:szCs w:val="24"/>
          <w:lang w:val="en-US"/>
        </w:rPr>
      </w:pPr>
      <w:r>
        <w:rPr>
          <w:rFonts w:hint="eastAsia" w:ascii="仿宋" w:hAnsi="仿宋" w:eastAsia="仿宋"/>
          <w:b w:val="0"/>
          <w:color w:val="auto"/>
          <w:sz w:val="24"/>
          <w:szCs w:val="24"/>
          <w:lang w:val="en-US"/>
        </w:rPr>
        <w:t>（五）劳动力服务费用结算流程:</w:t>
      </w:r>
    </w:p>
    <w:p>
      <w:pPr>
        <w:pStyle w:val="371"/>
        <w:tabs>
          <w:tab w:val="left" w:pos="4500"/>
          <w:tab w:val="left" w:pos="4860"/>
          <w:tab w:val="left" w:pos="7020"/>
        </w:tabs>
        <w:ind w:firstLine="453" w:firstLineChars="189"/>
        <w:rPr>
          <w:rFonts w:ascii="仿宋" w:hAnsi="仿宋" w:eastAsia="仿宋"/>
          <w:b w:val="0"/>
          <w:color w:val="auto"/>
          <w:sz w:val="24"/>
          <w:szCs w:val="24"/>
          <w:lang w:val="en-US"/>
        </w:rPr>
      </w:pPr>
      <w:r>
        <w:rPr>
          <w:rFonts w:ascii="仿宋" w:hAnsi="仿宋" w:eastAsia="仿宋"/>
          <w:b w:val="0"/>
          <w:color w:val="auto"/>
          <w:sz w:val="24"/>
          <w:szCs w:val="24"/>
          <w:lang w:val="en-US"/>
        </w:rPr>
        <w:t>1</w:t>
      </w:r>
      <w:r>
        <w:rPr>
          <w:rFonts w:hint="eastAsia" w:ascii="仿宋" w:hAnsi="仿宋" w:eastAsia="仿宋"/>
          <w:b w:val="0"/>
          <w:color w:val="auto"/>
          <w:sz w:val="24"/>
          <w:szCs w:val="24"/>
          <w:lang w:val="en-US"/>
        </w:rPr>
        <w:t>、社保费用（含商保/公积金，下同）结算流程：</w:t>
      </w:r>
    </w:p>
    <w:p>
      <w:pPr>
        <w:tabs>
          <w:tab w:val="left" w:pos="4500"/>
          <w:tab w:val="left" w:pos="4860"/>
          <w:tab w:val="left" w:pos="7020"/>
        </w:tabs>
        <w:ind w:firstLine="453" w:firstLineChars="189"/>
        <w:rPr>
          <w:rFonts w:ascii="仿宋" w:hAnsi="仿宋" w:eastAsia="仿宋"/>
          <w:b w:val="0"/>
          <w:color w:val="auto"/>
          <w:sz w:val="24"/>
          <w:szCs w:val="24"/>
          <w:lang w:val="en-US"/>
        </w:rPr>
      </w:pPr>
      <w:r>
        <w:rPr>
          <w:rFonts w:hint="eastAsia" w:ascii="仿宋" w:hAnsi="仿宋" w:eastAsia="仿宋"/>
          <w:b w:val="0"/>
          <w:color w:val="auto"/>
          <w:sz w:val="24"/>
          <w:szCs w:val="24"/>
          <w:lang w:val="en-US"/>
        </w:rPr>
        <w:t>（1）每月  5  日前，甲乙双方共同确认申报名单及费用。</w:t>
      </w:r>
    </w:p>
    <w:p>
      <w:pPr>
        <w:pStyle w:val="371"/>
        <w:tabs>
          <w:tab w:val="left" w:pos="4500"/>
          <w:tab w:val="left" w:pos="4860"/>
          <w:tab w:val="left" w:pos="7020"/>
        </w:tabs>
        <w:ind w:firstLine="453" w:firstLineChars="189"/>
        <w:rPr>
          <w:rFonts w:ascii="仿宋" w:hAnsi="仿宋" w:eastAsia="仿宋"/>
          <w:b w:val="0"/>
          <w:color w:val="auto"/>
          <w:sz w:val="24"/>
          <w:szCs w:val="24"/>
          <w:lang w:val="en-US"/>
        </w:rPr>
      </w:pPr>
      <w:r>
        <w:rPr>
          <w:rFonts w:hint="eastAsia" w:ascii="仿宋" w:hAnsi="仿宋" w:eastAsia="仿宋"/>
          <w:b w:val="0"/>
          <w:color w:val="auto"/>
          <w:sz w:val="24"/>
          <w:szCs w:val="24"/>
          <w:lang w:val="en-US"/>
        </w:rPr>
        <w:t>（2）甲方确认无误后，于每月10 日前将应付费用汇至乙方指定的银行账户。</w:t>
      </w:r>
    </w:p>
    <w:p>
      <w:pPr>
        <w:pStyle w:val="371"/>
        <w:tabs>
          <w:tab w:val="left" w:pos="4500"/>
          <w:tab w:val="left" w:pos="4860"/>
          <w:tab w:val="left" w:pos="7020"/>
        </w:tabs>
        <w:ind w:firstLine="453" w:firstLineChars="189"/>
        <w:rPr>
          <w:rFonts w:hint="eastAsia" w:ascii="仿宋" w:hAnsi="仿宋" w:eastAsia="仿宋"/>
          <w:b w:val="0"/>
          <w:color w:val="auto"/>
          <w:sz w:val="24"/>
          <w:szCs w:val="24"/>
          <w:lang w:val="en-US"/>
        </w:rPr>
      </w:pPr>
      <w:r>
        <w:rPr>
          <w:rFonts w:hint="eastAsia" w:ascii="仿宋" w:hAnsi="仿宋" w:eastAsia="仿宋"/>
          <w:b w:val="0"/>
          <w:color w:val="auto"/>
          <w:sz w:val="24"/>
          <w:szCs w:val="24"/>
          <w:lang w:val="en-US"/>
        </w:rPr>
        <w:t>（3）在甲方支付社保费用前，乙方应向甲方提供《社保实参台帐》。甲方按照《社保实参台帐》金额向乙方支付社保费用。</w:t>
      </w:r>
    </w:p>
    <w:p>
      <w:pPr>
        <w:pStyle w:val="371"/>
        <w:tabs>
          <w:tab w:val="left" w:pos="4500"/>
          <w:tab w:val="left" w:pos="4860"/>
          <w:tab w:val="left" w:pos="7020"/>
        </w:tabs>
        <w:ind w:firstLine="453" w:firstLineChars="189"/>
        <w:rPr>
          <w:rFonts w:ascii="仿宋" w:hAnsi="仿宋" w:eastAsia="仿宋"/>
          <w:b w:val="0"/>
          <w:color w:val="auto"/>
          <w:sz w:val="24"/>
          <w:szCs w:val="24"/>
          <w:lang w:val="en-US"/>
        </w:rPr>
      </w:pPr>
      <w:r>
        <w:rPr>
          <w:rFonts w:hint="eastAsia" w:ascii="仿宋" w:hAnsi="仿宋" w:eastAsia="仿宋"/>
          <w:b w:val="0"/>
          <w:color w:val="auto"/>
          <w:sz w:val="24"/>
          <w:szCs w:val="24"/>
          <w:lang w:val="en-US"/>
        </w:rPr>
        <w:t>2、工资费用结算流程：</w:t>
      </w:r>
    </w:p>
    <w:p>
      <w:pPr>
        <w:pStyle w:val="371"/>
        <w:tabs>
          <w:tab w:val="left" w:pos="4500"/>
          <w:tab w:val="left" w:pos="4860"/>
          <w:tab w:val="left" w:pos="7020"/>
        </w:tabs>
        <w:ind w:firstLine="453" w:firstLineChars="189"/>
        <w:rPr>
          <w:rFonts w:ascii="仿宋" w:hAnsi="仿宋" w:eastAsia="仿宋"/>
          <w:b w:val="0"/>
          <w:color w:val="auto"/>
          <w:sz w:val="24"/>
          <w:szCs w:val="24"/>
          <w:lang w:val="en-US"/>
        </w:rPr>
      </w:pPr>
      <w:r>
        <w:rPr>
          <w:rFonts w:hint="eastAsia" w:ascii="仿宋" w:hAnsi="仿宋" w:eastAsia="仿宋"/>
          <w:b w:val="0"/>
          <w:color w:val="auto"/>
          <w:sz w:val="24"/>
          <w:szCs w:val="24"/>
          <w:lang w:val="en-US"/>
        </w:rPr>
        <w:t>（1）次月5日前，甲方将上月《派出人员工资表》以邮件形式通知乙方。</w:t>
      </w:r>
    </w:p>
    <w:p>
      <w:pPr>
        <w:pStyle w:val="371"/>
        <w:tabs>
          <w:tab w:val="left" w:pos="4500"/>
          <w:tab w:val="left" w:pos="4860"/>
          <w:tab w:val="left" w:pos="7020"/>
        </w:tabs>
        <w:ind w:firstLine="453" w:firstLineChars="189"/>
        <w:rPr>
          <w:rFonts w:ascii="仿宋" w:hAnsi="仿宋" w:eastAsia="仿宋"/>
          <w:b w:val="0"/>
          <w:color w:val="auto"/>
          <w:sz w:val="24"/>
          <w:szCs w:val="24"/>
          <w:lang w:val="en-US"/>
        </w:rPr>
      </w:pPr>
      <w:r>
        <w:rPr>
          <w:rFonts w:hint="eastAsia" w:ascii="仿宋" w:hAnsi="仿宋" w:eastAsia="仿宋"/>
          <w:b w:val="0"/>
          <w:color w:val="auto"/>
          <w:sz w:val="24"/>
          <w:szCs w:val="24"/>
          <w:lang w:val="en-US"/>
        </w:rPr>
        <w:t>（2）次月5日前，乙方根据甲方提供的上月《派出人员工资表》制作《劳务费用结算表》（含核算派出人员社保费用、个人所得税、管理服务费及其它应扣代扣费用），并提供于甲方审核确认。</w:t>
      </w:r>
    </w:p>
    <w:p>
      <w:pPr>
        <w:pStyle w:val="371"/>
        <w:tabs>
          <w:tab w:val="left" w:pos="4500"/>
          <w:tab w:val="left" w:pos="4860"/>
          <w:tab w:val="left" w:pos="7020"/>
        </w:tabs>
        <w:ind w:firstLine="453" w:firstLineChars="189"/>
        <w:rPr>
          <w:rFonts w:ascii="仿宋" w:hAnsi="仿宋" w:eastAsia="仿宋"/>
          <w:b w:val="0"/>
          <w:color w:val="auto"/>
          <w:sz w:val="24"/>
          <w:szCs w:val="24"/>
          <w:lang w:val="en-US"/>
        </w:rPr>
      </w:pPr>
      <w:r>
        <w:rPr>
          <w:rFonts w:hint="eastAsia" w:ascii="仿宋" w:hAnsi="仿宋" w:eastAsia="仿宋"/>
          <w:b w:val="0"/>
          <w:color w:val="auto"/>
          <w:sz w:val="24"/>
          <w:szCs w:val="24"/>
          <w:lang w:val="en-US"/>
        </w:rPr>
        <w:t>（3）甲、乙双方确认金额无误后，由乙方于次月6日前向甲方提供合法有效的增值税普通发票。</w:t>
      </w:r>
    </w:p>
    <w:p>
      <w:pPr>
        <w:pStyle w:val="371"/>
        <w:tabs>
          <w:tab w:val="left" w:pos="4500"/>
          <w:tab w:val="left" w:pos="4860"/>
          <w:tab w:val="left" w:pos="7020"/>
        </w:tabs>
        <w:ind w:firstLine="453" w:firstLineChars="189"/>
        <w:rPr>
          <w:rFonts w:ascii="仿宋" w:hAnsi="仿宋" w:eastAsia="仿宋"/>
          <w:b w:val="0"/>
          <w:color w:val="auto"/>
          <w:sz w:val="24"/>
          <w:szCs w:val="24"/>
          <w:lang w:val="en-US"/>
        </w:rPr>
      </w:pPr>
      <w:r>
        <w:rPr>
          <w:rFonts w:hint="eastAsia" w:ascii="仿宋" w:hAnsi="仿宋" w:eastAsia="仿宋"/>
          <w:b w:val="0"/>
          <w:color w:val="auto"/>
          <w:sz w:val="24"/>
          <w:szCs w:val="24"/>
          <w:lang w:val="en-US"/>
        </w:rPr>
        <w:t>（4）甲方收到发票后，于次月</w:t>
      </w:r>
      <w:r>
        <w:rPr>
          <w:rFonts w:ascii="仿宋" w:hAnsi="仿宋" w:eastAsia="仿宋"/>
          <w:b w:val="0"/>
          <w:color w:val="auto"/>
          <w:sz w:val="24"/>
          <w:szCs w:val="24"/>
          <w:lang w:val="en-US"/>
        </w:rPr>
        <w:t>8</w:t>
      </w:r>
      <w:r>
        <w:rPr>
          <w:rFonts w:hint="eastAsia" w:ascii="仿宋" w:hAnsi="仿宋" w:eastAsia="仿宋"/>
          <w:b w:val="0"/>
          <w:color w:val="auto"/>
          <w:sz w:val="24"/>
          <w:szCs w:val="24"/>
          <w:lang w:val="en-US"/>
        </w:rPr>
        <w:t>日前将应付费用汇至乙方指定的银行账户。</w:t>
      </w:r>
    </w:p>
    <w:p>
      <w:pPr>
        <w:pStyle w:val="371"/>
        <w:tabs>
          <w:tab w:val="left" w:pos="4500"/>
          <w:tab w:val="left" w:pos="4860"/>
          <w:tab w:val="left" w:pos="7020"/>
        </w:tabs>
        <w:ind w:firstLine="453" w:firstLineChars="189"/>
        <w:rPr>
          <w:rFonts w:ascii="仿宋" w:hAnsi="仿宋" w:eastAsia="仿宋"/>
          <w:b w:val="0"/>
          <w:color w:val="auto"/>
          <w:sz w:val="24"/>
          <w:szCs w:val="24"/>
          <w:lang w:val="en-US"/>
        </w:rPr>
      </w:pPr>
      <w:r>
        <w:rPr>
          <w:rFonts w:hint="eastAsia" w:ascii="仿宋" w:hAnsi="仿宋" w:eastAsia="仿宋"/>
          <w:b w:val="0"/>
          <w:color w:val="auto"/>
          <w:sz w:val="24"/>
          <w:szCs w:val="24"/>
          <w:lang w:val="en-US"/>
        </w:rPr>
        <w:t>（5）乙方收到甲方支付的费用后，于次月 10日向派出人员发放上月工资。</w:t>
      </w:r>
    </w:p>
    <w:p>
      <w:pPr>
        <w:pStyle w:val="371"/>
        <w:tabs>
          <w:tab w:val="left" w:pos="4500"/>
          <w:tab w:val="left" w:pos="4860"/>
          <w:tab w:val="left" w:pos="7020"/>
        </w:tabs>
        <w:ind w:firstLine="453" w:firstLineChars="189"/>
        <w:rPr>
          <w:rFonts w:ascii="仿宋" w:hAnsi="仿宋" w:eastAsia="仿宋"/>
          <w:b w:val="0"/>
          <w:color w:val="auto"/>
          <w:sz w:val="24"/>
          <w:szCs w:val="24"/>
          <w:lang w:val="en-US"/>
        </w:rPr>
      </w:pPr>
      <w:r>
        <w:rPr>
          <w:rFonts w:hint="eastAsia" w:ascii="仿宋" w:hAnsi="仿宋" w:eastAsia="仿宋"/>
          <w:b w:val="0"/>
          <w:color w:val="auto"/>
          <w:sz w:val="24"/>
          <w:szCs w:val="24"/>
          <w:lang w:val="en-US"/>
        </w:rPr>
        <w:t>3、劳务力管理服务费结算：按照工资费用结算流程进行结算。</w:t>
      </w:r>
    </w:p>
    <w:p>
      <w:pPr>
        <w:tabs>
          <w:tab w:val="left" w:pos="4500"/>
          <w:tab w:val="left" w:pos="4860"/>
          <w:tab w:val="left" w:pos="7020"/>
        </w:tabs>
        <w:ind w:firstLine="453" w:firstLineChars="189"/>
        <w:rPr>
          <w:rFonts w:ascii="仿宋" w:hAnsi="仿宋" w:eastAsia="仿宋"/>
          <w:b w:val="0"/>
          <w:color w:val="auto"/>
          <w:sz w:val="24"/>
          <w:szCs w:val="24"/>
          <w:lang w:val="en-US"/>
        </w:rPr>
      </w:pPr>
      <w:r>
        <w:rPr>
          <w:rFonts w:hint="eastAsia" w:ascii="仿宋" w:hAnsi="仿宋" w:eastAsia="仿宋"/>
          <w:b w:val="0"/>
          <w:color w:val="auto"/>
          <w:sz w:val="24"/>
          <w:szCs w:val="24"/>
          <w:lang w:val="en-US"/>
        </w:rPr>
        <w:t>4、本合同所列费用结算时间若遇法定节假日提前至最近的工作日。</w:t>
      </w:r>
    </w:p>
    <w:p>
      <w:pPr>
        <w:pStyle w:val="371"/>
        <w:tabs>
          <w:tab w:val="left" w:pos="4500"/>
          <w:tab w:val="left" w:pos="4860"/>
          <w:tab w:val="left" w:pos="7020"/>
        </w:tabs>
        <w:ind w:firstLine="453" w:firstLineChars="189"/>
        <w:rPr>
          <w:rFonts w:hint="eastAsia" w:ascii="仿宋" w:hAnsi="仿宋" w:eastAsia="仿宋"/>
          <w:b w:val="0"/>
          <w:color w:val="auto"/>
          <w:sz w:val="24"/>
          <w:szCs w:val="24"/>
          <w:lang w:val="en-US"/>
        </w:rPr>
      </w:pPr>
      <w:r>
        <w:rPr>
          <w:rFonts w:hint="eastAsia" w:ascii="仿宋" w:hAnsi="仿宋" w:eastAsia="仿宋"/>
          <w:b w:val="0"/>
          <w:color w:val="auto"/>
          <w:sz w:val="24"/>
          <w:szCs w:val="24"/>
          <w:lang w:val="en-US"/>
        </w:rPr>
        <w:t>5、甲方应保证按时足额支付乙方费用。若因财政拨款延迟，导致甲方无法在约定时间内支付给乙方的，本着相互谅解精神，乙方同意先行垫付相关费用。在财政拨款资金到位后，甲方再行向乙方支付相关费用。</w:t>
      </w:r>
    </w:p>
    <w:p>
      <w:pPr>
        <w:pStyle w:val="371"/>
        <w:tabs>
          <w:tab w:val="left" w:pos="4500"/>
          <w:tab w:val="left" w:pos="4860"/>
          <w:tab w:val="left" w:pos="7020"/>
        </w:tabs>
        <w:ind w:firstLine="453" w:firstLineChars="189"/>
        <w:rPr>
          <w:rFonts w:ascii="仿宋" w:hAnsi="仿宋" w:eastAsia="仿宋"/>
          <w:b w:val="0"/>
          <w:color w:val="auto"/>
          <w:sz w:val="24"/>
          <w:szCs w:val="24"/>
          <w:lang w:val="en-US"/>
        </w:rPr>
      </w:pPr>
      <w:r>
        <w:rPr>
          <w:rFonts w:hint="eastAsia" w:ascii="仿宋" w:hAnsi="仿宋" w:eastAsia="仿宋"/>
          <w:b w:val="0"/>
          <w:color w:val="auto"/>
          <w:sz w:val="24"/>
          <w:szCs w:val="24"/>
          <w:lang w:val="en-US"/>
        </w:rPr>
        <w:t>6、乙方必须保证甲方所支付的派出人员工资费用、社保费用，除扣除社保个人缴费部分、个人所得税及其它经甲方或派出人员认可的应扣费用后，完全用于支付派出人员工资或缴纳社保，乙方不得从中恶意克扣或拖欠，否则给甲方或派出人员造成的损失由乙方承担。</w:t>
      </w:r>
    </w:p>
    <w:p>
      <w:pPr>
        <w:pStyle w:val="371"/>
        <w:tabs>
          <w:tab w:val="left" w:pos="4500"/>
          <w:tab w:val="left" w:pos="4860"/>
          <w:tab w:val="left" w:pos="7020"/>
        </w:tabs>
        <w:ind w:firstLine="453" w:firstLineChars="189"/>
        <w:rPr>
          <w:rFonts w:ascii="仿宋" w:hAnsi="仿宋" w:eastAsia="仿宋"/>
          <w:b w:val="0"/>
          <w:color w:val="auto"/>
          <w:sz w:val="24"/>
          <w:szCs w:val="24"/>
          <w:lang w:val="en-US"/>
        </w:rPr>
      </w:pPr>
      <w:r>
        <w:rPr>
          <w:rFonts w:hint="eastAsia" w:ascii="仿宋" w:hAnsi="仿宋" w:eastAsia="仿宋"/>
          <w:b w:val="0"/>
          <w:color w:val="auto"/>
          <w:sz w:val="24"/>
          <w:szCs w:val="24"/>
          <w:lang w:val="en-US"/>
        </w:rPr>
        <w:t>（六）财务往来：</w:t>
      </w:r>
    </w:p>
    <w:p>
      <w:pPr>
        <w:pStyle w:val="371"/>
        <w:tabs>
          <w:tab w:val="left" w:pos="4500"/>
          <w:tab w:val="left" w:pos="4860"/>
          <w:tab w:val="left" w:pos="7020"/>
        </w:tabs>
        <w:ind w:firstLine="453" w:firstLineChars="189"/>
        <w:rPr>
          <w:rFonts w:ascii="仿宋" w:hAnsi="仿宋" w:eastAsia="仿宋"/>
          <w:b w:val="0"/>
          <w:color w:val="auto"/>
          <w:sz w:val="24"/>
          <w:szCs w:val="24"/>
          <w:lang w:val="en-US"/>
        </w:rPr>
      </w:pPr>
      <w:r>
        <w:rPr>
          <w:rFonts w:hint="eastAsia" w:ascii="仿宋" w:hAnsi="仿宋" w:eastAsia="仿宋"/>
          <w:b w:val="0"/>
          <w:color w:val="auto"/>
          <w:sz w:val="24"/>
          <w:szCs w:val="24"/>
          <w:lang w:val="en-US"/>
        </w:rPr>
        <w:t>1、甲乙双方账款往来，采用转账形式办理，乙方指定的收款账户为：</w:t>
      </w:r>
    </w:p>
    <w:p>
      <w:pPr>
        <w:ind w:firstLine="453" w:firstLineChars="189"/>
        <w:rPr>
          <w:rFonts w:ascii="仿宋" w:hAnsi="仿宋" w:eastAsia="仿宋"/>
          <w:b w:val="0"/>
          <w:color w:val="auto"/>
          <w:sz w:val="24"/>
          <w:szCs w:val="24"/>
          <w:lang w:val="en-US"/>
        </w:rPr>
      </w:pPr>
      <w:r>
        <w:rPr>
          <w:rFonts w:hint="eastAsia" w:ascii="仿宋" w:hAnsi="仿宋" w:eastAsia="仿宋"/>
          <w:b w:val="0"/>
          <w:color w:val="auto"/>
          <w:sz w:val="24"/>
          <w:szCs w:val="24"/>
          <w:lang w:val="en-US"/>
        </w:rPr>
        <w:t xml:space="preserve">开户名称：    </w:t>
      </w:r>
      <w:r>
        <w:rPr>
          <w:rFonts w:ascii="仿宋" w:hAnsi="仿宋" w:eastAsia="仿宋"/>
          <w:b w:val="0"/>
          <w:color w:val="auto"/>
          <w:sz w:val="24"/>
          <w:szCs w:val="24"/>
          <w:lang w:val="en-US"/>
        </w:rPr>
        <w:t xml:space="preserve">    </w:t>
      </w:r>
      <w:r>
        <w:rPr>
          <w:rFonts w:hint="eastAsia" w:ascii="仿宋" w:hAnsi="仿宋" w:eastAsia="仿宋"/>
          <w:b w:val="0"/>
          <w:color w:val="auto"/>
          <w:sz w:val="24"/>
          <w:szCs w:val="24"/>
          <w:lang w:val="en-US"/>
        </w:rPr>
        <w:t xml:space="preserve">           </w:t>
      </w:r>
    </w:p>
    <w:p>
      <w:pPr>
        <w:ind w:firstLine="453" w:firstLineChars="189"/>
        <w:rPr>
          <w:rFonts w:ascii="仿宋" w:hAnsi="仿宋" w:eastAsia="仿宋"/>
          <w:b w:val="0"/>
          <w:color w:val="auto"/>
          <w:sz w:val="24"/>
          <w:szCs w:val="24"/>
          <w:lang w:val="en-US"/>
        </w:rPr>
      </w:pPr>
      <w:r>
        <w:rPr>
          <w:rFonts w:hint="eastAsia" w:ascii="仿宋" w:hAnsi="仿宋" w:eastAsia="仿宋"/>
          <w:b w:val="0"/>
          <w:color w:val="auto"/>
          <w:sz w:val="24"/>
          <w:szCs w:val="24"/>
          <w:lang w:val="en-US"/>
        </w:rPr>
        <w:t xml:space="preserve">账    号:                    </w:t>
      </w:r>
    </w:p>
    <w:p>
      <w:pPr>
        <w:ind w:firstLine="453" w:firstLineChars="189"/>
        <w:rPr>
          <w:rFonts w:ascii="仿宋" w:hAnsi="仿宋" w:eastAsia="仿宋"/>
          <w:b w:val="0"/>
          <w:color w:val="auto"/>
          <w:sz w:val="24"/>
          <w:szCs w:val="24"/>
          <w:lang w:val="en-US"/>
        </w:rPr>
      </w:pPr>
      <w:r>
        <w:rPr>
          <w:rFonts w:hint="eastAsia" w:ascii="仿宋" w:hAnsi="仿宋" w:eastAsia="仿宋"/>
          <w:b w:val="0"/>
          <w:color w:val="auto"/>
          <w:sz w:val="24"/>
          <w:szCs w:val="24"/>
          <w:lang w:val="en-US"/>
        </w:rPr>
        <w:t xml:space="preserve">开 户 行:                    </w:t>
      </w:r>
    </w:p>
    <w:p>
      <w:pPr>
        <w:tabs>
          <w:tab w:val="left" w:pos="4500"/>
          <w:tab w:val="left" w:pos="4860"/>
          <w:tab w:val="left" w:pos="7020"/>
        </w:tabs>
        <w:ind w:firstLine="453" w:firstLineChars="189"/>
        <w:rPr>
          <w:rFonts w:ascii="仿宋" w:hAnsi="仿宋" w:eastAsia="仿宋"/>
          <w:b w:val="0"/>
          <w:color w:val="auto"/>
          <w:sz w:val="24"/>
          <w:szCs w:val="24"/>
          <w:lang w:val="en-US"/>
        </w:rPr>
      </w:pPr>
      <w:r>
        <w:rPr>
          <w:rFonts w:hint="eastAsia" w:ascii="仿宋" w:hAnsi="仿宋" w:eastAsia="仿宋"/>
          <w:b w:val="0"/>
          <w:color w:val="auto"/>
          <w:sz w:val="24"/>
          <w:szCs w:val="24"/>
          <w:lang w:val="en-US"/>
        </w:rPr>
        <w:t>2、甲方指定的费用发票项目为：</w:t>
      </w:r>
    </w:p>
    <w:p>
      <w:pPr>
        <w:pStyle w:val="371"/>
        <w:tabs>
          <w:tab w:val="left" w:pos="4500"/>
          <w:tab w:val="left" w:pos="4860"/>
          <w:tab w:val="left" w:pos="7020"/>
        </w:tabs>
        <w:ind w:firstLine="453" w:firstLineChars="189"/>
        <w:rPr>
          <w:rFonts w:ascii="仿宋" w:hAnsi="仿宋" w:eastAsia="仿宋"/>
          <w:b w:val="0"/>
          <w:color w:val="auto"/>
          <w:sz w:val="24"/>
          <w:szCs w:val="24"/>
          <w:lang w:val="en-US"/>
        </w:rPr>
      </w:pPr>
      <w:r>
        <w:rPr>
          <w:rFonts w:hint="eastAsia" w:ascii="仿宋" w:hAnsi="仿宋" w:eastAsia="仿宋"/>
          <w:b w:val="0"/>
          <w:color w:val="auto"/>
          <w:sz w:val="24"/>
          <w:szCs w:val="24"/>
          <w:lang w:val="en-US"/>
        </w:rPr>
        <w:t xml:space="preserve">抬头：                        </w:t>
      </w:r>
    </w:p>
    <w:p>
      <w:pPr>
        <w:pStyle w:val="371"/>
        <w:tabs>
          <w:tab w:val="left" w:pos="4500"/>
          <w:tab w:val="left" w:pos="4860"/>
          <w:tab w:val="left" w:pos="7020"/>
        </w:tabs>
        <w:ind w:firstLine="453" w:firstLineChars="189"/>
        <w:rPr>
          <w:rFonts w:ascii="仿宋" w:hAnsi="仿宋" w:eastAsia="仿宋"/>
          <w:b w:val="0"/>
          <w:color w:val="auto"/>
          <w:sz w:val="24"/>
          <w:szCs w:val="24"/>
          <w:lang w:val="en-US"/>
        </w:rPr>
      </w:pPr>
      <w:r>
        <w:rPr>
          <w:rFonts w:hint="eastAsia" w:ascii="仿宋" w:hAnsi="仿宋" w:eastAsia="仿宋"/>
          <w:b w:val="0"/>
          <w:color w:val="auto"/>
          <w:sz w:val="24"/>
          <w:szCs w:val="24"/>
          <w:lang w:val="en-US"/>
        </w:rPr>
        <w:t>项目：劳务费（派出人员工资、社会保险费、住房公积金）、管理服务费。</w:t>
      </w:r>
    </w:p>
    <w:p>
      <w:pPr>
        <w:pStyle w:val="371"/>
        <w:tabs>
          <w:tab w:val="left" w:pos="4500"/>
          <w:tab w:val="left" w:pos="4860"/>
          <w:tab w:val="left" w:pos="7020"/>
        </w:tabs>
        <w:ind w:firstLine="453" w:firstLineChars="189"/>
        <w:rPr>
          <w:rFonts w:hint="eastAsia" w:ascii="仿宋" w:hAnsi="仿宋" w:eastAsia="仿宋"/>
          <w:b w:val="0"/>
          <w:color w:val="auto"/>
          <w:sz w:val="24"/>
          <w:szCs w:val="24"/>
          <w:lang w:val="en-US"/>
        </w:rPr>
      </w:pPr>
      <w:r>
        <w:rPr>
          <w:rFonts w:hint="eastAsia" w:ascii="仿宋" w:hAnsi="仿宋" w:eastAsia="仿宋"/>
          <w:b w:val="0"/>
          <w:color w:val="auto"/>
          <w:sz w:val="24"/>
          <w:szCs w:val="24"/>
          <w:lang w:val="en-US"/>
        </w:rPr>
        <w:t>（七）根据《政府采购法》的规定，若甲方需要增加派出人员，且增加的劳动力服务费用超过乙方中标价的1</w:t>
      </w:r>
      <w:r>
        <w:rPr>
          <w:rFonts w:ascii="仿宋" w:hAnsi="仿宋" w:eastAsia="仿宋"/>
          <w:b w:val="0"/>
          <w:color w:val="auto"/>
          <w:sz w:val="24"/>
          <w:szCs w:val="24"/>
          <w:lang w:val="en-US"/>
        </w:rPr>
        <w:t>0%</w:t>
      </w:r>
      <w:r>
        <w:rPr>
          <w:rFonts w:hint="eastAsia" w:ascii="仿宋" w:hAnsi="仿宋" w:eastAsia="仿宋"/>
          <w:b w:val="0"/>
          <w:color w:val="auto"/>
          <w:sz w:val="24"/>
          <w:szCs w:val="24"/>
          <w:lang w:val="en-US"/>
        </w:rPr>
        <w:t>，甲方将对增加部分重新实施政府采购程序。</w:t>
      </w:r>
    </w:p>
    <w:p>
      <w:pPr>
        <w:ind w:firstLine="472" w:firstLineChars="196"/>
        <w:jc w:val="left"/>
        <w:rPr>
          <w:rFonts w:ascii="仿宋" w:hAnsi="仿宋" w:eastAsia="仿宋"/>
          <w:color w:val="auto"/>
          <w:sz w:val="24"/>
          <w:szCs w:val="24"/>
          <w:lang w:val="en-US"/>
        </w:rPr>
      </w:pPr>
      <w:r>
        <w:rPr>
          <w:rFonts w:ascii="仿宋" w:hAnsi="仿宋" w:eastAsia="仿宋"/>
          <w:color w:val="auto"/>
          <w:sz w:val="24"/>
          <w:szCs w:val="24"/>
          <w:lang w:val="en-US"/>
        </w:rPr>
        <w:t xml:space="preserve">第七条  </w:t>
      </w:r>
      <w:r>
        <w:rPr>
          <w:rFonts w:hint="eastAsia" w:ascii="仿宋" w:hAnsi="仿宋" w:eastAsia="仿宋"/>
          <w:color w:val="auto"/>
          <w:sz w:val="24"/>
          <w:szCs w:val="24"/>
          <w:lang w:val="en-US"/>
        </w:rPr>
        <w:t>履约保证金</w:t>
      </w:r>
    </w:p>
    <w:p>
      <w:pPr>
        <w:ind w:firstLine="480"/>
        <w:rPr>
          <w:rFonts w:ascii="仿宋" w:hAnsi="仿宋" w:eastAsia="仿宋"/>
          <w:b w:val="0"/>
          <w:color w:val="auto"/>
          <w:sz w:val="24"/>
          <w:szCs w:val="24"/>
          <w:lang w:val="en-US"/>
        </w:rPr>
      </w:pPr>
      <w:r>
        <w:rPr>
          <w:rFonts w:ascii="仿宋" w:hAnsi="仿宋" w:eastAsia="仿宋"/>
          <w:b w:val="0"/>
          <w:color w:val="auto"/>
          <w:sz w:val="24"/>
          <w:szCs w:val="24"/>
          <w:lang w:val="en-US"/>
        </w:rPr>
        <w:t>1.</w:t>
      </w:r>
      <w:r>
        <w:rPr>
          <w:rFonts w:hint="eastAsia" w:ascii="仿宋" w:hAnsi="仿宋" w:eastAsia="仿宋"/>
          <w:b w:val="0"/>
          <w:color w:val="auto"/>
          <w:sz w:val="24"/>
          <w:szCs w:val="24"/>
          <w:lang w:val="en-US"/>
        </w:rPr>
        <w:t xml:space="preserve">在签订本合同前向甲方交缴纳履约保证金，金额为￥【20000】元（大写：人民币 </w:t>
      </w:r>
      <w:r>
        <w:rPr>
          <w:rFonts w:ascii="仿宋" w:hAnsi="仿宋" w:eastAsia="仿宋"/>
          <w:b w:val="0"/>
          <w:color w:val="auto"/>
          <w:sz w:val="24"/>
          <w:szCs w:val="24"/>
          <w:lang w:val="en-US"/>
        </w:rPr>
        <w:t xml:space="preserve">           </w:t>
      </w:r>
      <w:r>
        <w:rPr>
          <w:rFonts w:hint="eastAsia" w:ascii="仿宋" w:hAnsi="仿宋" w:eastAsia="仿宋"/>
          <w:b w:val="0"/>
          <w:color w:val="auto"/>
          <w:sz w:val="24"/>
          <w:szCs w:val="24"/>
          <w:lang w:val="en-US"/>
        </w:rPr>
        <w:t>整）</w:t>
      </w:r>
    </w:p>
    <w:p>
      <w:pPr>
        <w:ind w:firstLine="480"/>
        <w:rPr>
          <w:rFonts w:ascii="仿宋" w:hAnsi="仿宋" w:eastAsia="仿宋"/>
          <w:b w:val="0"/>
          <w:color w:val="auto"/>
          <w:sz w:val="24"/>
          <w:szCs w:val="24"/>
          <w:lang w:val="en-US"/>
        </w:rPr>
      </w:pPr>
      <w:r>
        <w:rPr>
          <w:rFonts w:ascii="仿宋" w:hAnsi="仿宋" w:eastAsia="仿宋"/>
          <w:b w:val="0"/>
          <w:color w:val="auto"/>
          <w:sz w:val="24"/>
          <w:szCs w:val="24"/>
          <w:lang w:val="en-US"/>
        </w:rPr>
        <w:t>2.</w:t>
      </w:r>
      <w:r>
        <w:rPr>
          <w:rFonts w:hint="eastAsia" w:ascii="仿宋" w:hAnsi="仿宋" w:eastAsia="仿宋"/>
          <w:b w:val="0"/>
          <w:color w:val="auto"/>
          <w:sz w:val="24"/>
          <w:szCs w:val="24"/>
          <w:lang w:val="en-US"/>
        </w:rPr>
        <w:t>履约保证金作为违约金的一部分及用于补偿、赔偿甲方因乙方不能履行合同义务或履行合同义务不符合约定而蒙受的损失。若因乙方违约行为导致扣罚履约保证金的，乙方应在收到甲方补足履约保证金通知之日起三日内，补足履约保证金至中标价的5</w:t>
      </w:r>
      <w:r>
        <w:rPr>
          <w:rFonts w:ascii="仿宋" w:hAnsi="仿宋" w:eastAsia="仿宋"/>
          <w:b w:val="0"/>
          <w:color w:val="auto"/>
          <w:sz w:val="24"/>
          <w:szCs w:val="24"/>
          <w:lang w:val="en-US"/>
        </w:rPr>
        <w:t>%</w:t>
      </w:r>
      <w:r>
        <w:rPr>
          <w:rFonts w:hint="eastAsia" w:ascii="仿宋" w:hAnsi="仿宋" w:eastAsia="仿宋"/>
          <w:b w:val="0"/>
          <w:color w:val="auto"/>
          <w:sz w:val="24"/>
          <w:szCs w:val="24"/>
          <w:lang w:val="en-US"/>
        </w:rPr>
        <w:t>。</w:t>
      </w:r>
    </w:p>
    <w:p>
      <w:pPr>
        <w:ind w:firstLine="480"/>
        <w:rPr>
          <w:rFonts w:hint="eastAsia" w:ascii="仿宋" w:hAnsi="仿宋" w:eastAsia="仿宋"/>
          <w:b w:val="0"/>
          <w:color w:val="auto"/>
          <w:sz w:val="24"/>
          <w:szCs w:val="24"/>
          <w:lang w:val="en-US"/>
        </w:rPr>
      </w:pPr>
      <w:r>
        <w:rPr>
          <w:rFonts w:ascii="仿宋" w:hAnsi="仿宋" w:eastAsia="仿宋"/>
          <w:b w:val="0"/>
          <w:color w:val="auto"/>
          <w:sz w:val="24"/>
          <w:szCs w:val="24"/>
          <w:lang w:val="en-US"/>
        </w:rPr>
        <w:t>3.</w:t>
      </w:r>
      <w:r>
        <w:rPr>
          <w:rFonts w:hint="eastAsia" w:ascii="仿宋" w:hAnsi="仿宋" w:eastAsia="仿宋"/>
          <w:b w:val="0"/>
          <w:color w:val="auto"/>
          <w:sz w:val="24"/>
          <w:szCs w:val="24"/>
          <w:lang w:val="en-US"/>
        </w:rPr>
        <w:t>履约保证金退还：如在年度考核合格后，在20天内无息退还全额履约保证金给乙方；如考核涉及扣罚，扣罚后剩余部分在20天内无息退还给乙方。若续签下年度服务合同的，则履约保证金自动转为下年度履约保证金</w:t>
      </w:r>
    </w:p>
    <w:p>
      <w:pPr>
        <w:ind w:firstLine="472" w:firstLineChars="196"/>
        <w:jc w:val="left"/>
        <w:rPr>
          <w:rFonts w:ascii="仿宋" w:hAnsi="仿宋" w:eastAsia="仿宋"/>
          <w:color w:val="auto"/>
          <w:sz w:val="24"/>
          <w:szCs w:val="24"/>
          <w:lang w:val="en-US"/>
        </w:rPr>
      </w:pPr>
      <w:r>
        <w:rPr>
          <w:rFonts w:ascii="仿宋" w:hAnsi="仿宋" w:eastAsia="仿宋"/>
          <w:color w:val="auto"/>
          <w:sz w:val="24"/>
          <w:szCs w:val="24"/>
          <w:lang w:val="en-US"/>
        </w:rPr>
        <w:t>第</w:t>
      </w:r>
      <w:r>
        <w:rPr>
          <w:rFonts w:hint="eastAsia" w:ascii="仿宋" w:hAnsi="仿宋" w:eastAsia="仿宋"/>
          <w:color w:val="auto"/>
          <w:sz w:val="24"/>
          <w:szCs w:val="24"/>
          <w:lang w:val="en-US"/>
        </w:rPr>
        <w:t>八</w:t>
      </w:r>
      <w:r>
        <w:rPr>
          <w:rFonts w:ascii="仿宋" w:hAnsi="仿宋" w:eastAsia="仿宋"/>
          <w:color w:val="auto"/>
          <w:sz w:val="24"/>
          <w:szCs w:val="24"/>
          <w:lang w:val="en-US"/>
        </w:rPr>
        <w:t>条  违约责任</w:t>
      </w:r>
    </w:p>
    <w:p>
      <w:pPr>
        <w:pStyle w:val="371"/>
        <w:tabs>
          <w:tab w:val="left" w:pos="4500"/>
          <w:tab w:val="left" w:pos="4860"/>
          <w:tab w:val="left" w:pos="7020"/>
        </w:tabs>
        <w:ind w:firstLine="453" w:firstLineChars="189"/>
        <w:rPr>
          <w:rFonts w:ascii="仿宋" w:hAnsi="仿宋" w:eastAsia="仿宋"/>
          <w:b w:val="0"/>
          <w:color w:val="auto"/>
          <w:sz w:val="24"/>
          <w:szCs w:val="24"/>
          <w:lang w:val="en-US"/>
        </w:rPr>
      </w:pPr>
      <w:r>
        <w:rPr>
          <w:rFonts w:hint="eastAsia" w:ascii="仿宋" w:hAnsi="仿宋" w:eastAsia="仿宋"/>
          <w:b w:val="0"/>
          <w:color w:val="auto"/>
          <w:sz w:val="24"/>
          <w:szCs w:val="24"/>
          <w:lang w:val="en-US"/>
        </w:rPr>
        <w:t>（一）乙方有下列情形之一的，视为乙方违约，甲方有权单方面立即解除本合同，且乙方应按照本合同总金额的1</w:t>
      </w:r>
      <w:r>
        <w:rPr>
          <w:rFonts w:ascii="仿宋" w:hAnsi="仿宋" w:eastAsia="仿宋"/>
          <w:b w:val="0"/>
          <w:color w:val="auto"/>
          <w:sz w:val="24"/>
          <w:szCs w:val="24"/>
          <w:lang w:val="en-US"/>
        </w:rPr>
        <w:t>0%</w:t>
      </w:r>
      <w:r>
        <w:rPr>
          <w:rFonts w:hint="eastAsia" w:ascii="仿宋" w:hAnsi="仿宋" w:eastAsia="仿宋"/>
          <w:b w:val="0"/>
          <w:color w:val="auto"/>
          <w:sz w:val="24"/>
          <w:szCs w:val="24"/>
          <w:lang w:val="en-US"/>
        </w:rPr>
        <w:t>向甲方承担违约责任：</w:t>
      </w:r>
    </w:p>
    <w:p>
      <w:pPr>
        <w:pStyle w:val="371"/>
        <w:tabs>
          <w:tab w:val="left" w:pos="4500"/>
          <w:tab w:val="left" w:pos="4860"/>
          <w:tab w:val="left" w:pos="7020"/>
        </w:tabs>
        <w:ind w:firstLine="453" w:firstLineChars="189"/>
        <w:rPr>
          <w:rFonts w:ascii="仿宋" w:hAnsi="仿宋" w:eastAsia="仿宋"/>
          <w:b w:val="0"/>
          <w:color w:val="auto"/>
          <w:sz w:val="24"/>
          <w:szCs w:val="24"/>
          <w:lang w:val="en-US"/>
        </w:rPr>
      </w:pPr>
      <w:r>
        <w:rPr>
          <w:rFonts w:hint="eastAsia" w:ascii="仿宋" w:hAnsi="仿宋" w:eastAsia="仿宋"/>
          <w:b w:val="0"/>
          <w:color w:val="auto"/>
          <w:sz w:val="24"/>
          <w:szCs w:val="24"/>
          <w:lang w:val="en-US"/>
        </w:rPr>
        <w:t>1、在甲方已按时足额支付乙方总费用后，乙方恶意克扣或拖欠派出人员工资的；</w:t>
      </w:r>
    </w:p>
    <w:p>
      <w:pPr>
        <w:pStyle w:val="371"/>
        <w:tabs>
          <w:tab w:val="left" w:pos="4500"/>
          <w:tab w:val="left" w:pos="4860"/>
          <w:tab w:val="left" w:pos="7020"/>
        </w:tabs>
        <w:ind w:firstLine="453" w:firstLineChars="189"/>
        <w:rPr>
          <w:rFonts w:ascii="仿宋" w:hAnsi="仿宋" w:eastAsia="仿宋"/>
          <w:b w:val="0"/>
          <w:color w:val="auto"/>
          <w:sz w:val="24"/>
          <w:szCs w:val="24"/>
          <w:lang w:val="en-US"/>
        </w:rPr>
      </w:pPr>
      <w:r>
        <w:rPr>
          <w:rFonts w:hint="eastAsia" w:ascii="仿宋" w:hAnsi="仿宋" w:eastAsia="仿宋"/>
          <w:b w:val="0"/>
          <w:color w:val="auto"/>
          <w:sz w:val="24"/>
          <w:szCs w:val="24"/>
          <w:lang w:val="en-US"/>
        </w:rPr>
        <w:t>2、在甲方已按时足额支付乙方总费用后，乙方恶意不按时为派出人员缴纳社会保险费的；</w:t>
      </w:r>
    </w:p>
    <w:p>
      <w:pPr>
        <w:pStyle w:val="371"/>
        <w:tabs>
          <w:tab w:val="left" w:pos="4500"/>
          <w:tab w:val="left" w:pos="4860"/>
          <w:tab w:val="left" w:pos="7020"/>
        </w:tabs>
        <w:ind w:firstLine="453" w:firstLineChars="189"/>
        <w:rPr>
          <w:rFonts w:ascii="仿宋" w:hAnsi="仿宋" w:eastAsia="仿宋"/>
          <w:b w:val="0"/>
          <w:color w:val="auto"/>
          <w:sz w:val="24"/>
          <w:szCs w:val="24"/>
          <w:lang w:val="en-US"/>
        </w:rPr>
      </w:pPr>
      <w:r>
        <w:rPr>
          <w:rFonts w:hint="eastAsia" w:ascii="仿宋" w:hAnsi="仿宋" w:eastAsia="仿宋"/>
          <w:b w:val="0"/>
          <w:color w:val="auto"/>
          <w:sz w:val="24"/>
          <w:szCs w:val="24"/>
          <w:lang w:val="en-US"/>
        </w:rPr>
        <w:t>3、乙方拒不配合处理劳资纠纷，且经甲方催告后仍不配合处理的；</w:t>
      </w:r>
    </w:p>
    <w:p>
      <w:pPr>
        <w:pStyle w:val="371"/>
        <w:tabs>
          <w:tab w:val="left" w:pos="4500"/>
          <w:tab w:val="left" w:pos="4860"/>
          <w:tab w:val="left" w:pos="7020"/>
        </w:tabs>
        <w:ind w:firstLine="453" w:firstLineChars="189"/>
        <w:rPr>
          <w:rFonts w:hint="eastAsia" w:ascii="仿宋" w:hAnsi="仿宋" w:eastAsia="仿宋"/>
          <w:b w:val="0"/>
          <w:color w:val="auto"/>
          <w:sz w:val="24"/>
          <w:szCs w:val="24"/>
          <w:lang w:val="en-US"/>
        </w:rPr>
      </w:pPr>
      <w:r>
        <w:rPr>
          <w:rFonts w:ascii="仿宋" w:hAnsi="仿宋" w:eastAsia="仿宋"/>
          <w:b w:val="0"/>
          <w:color w:val="auto"/>
          <w:sz w:val="24"/>
          <w:szCs w:val="24"/>
          <w:lang w:val="en-US"/>
        </w:rPr>
        <w:t>4</w:t>
      </w:r>
      <w:r>
        <w:rPr>
          <w:rFonts w:hint="eastAsia" w:ascii="仿宋" w:hAnsi="仿宋" w:eastAsia="仿宋"/>
          <w:b w:val="0"/>
          <w:color w:val="auto"/>
          <w:sz w:val="24"/>
          <w:szCs w:val="24"/>
          <w:lang w:val="en-US"/>
        </w:rPr>
        <w:t>、乙方存在其他严重违约行为，且经甲方指出后拒不改正的。</w:t>
      </w:r>
    </w:p>
    <w:p>
      <w:pPr>
        <w:pStyle w:val="371"/>
        <w:tabs>
          <w:tab w:val="left" w:pos="4500"/>
          <w:tab w:val="left" w:pos="4860"/>
          <w:tab w:val="left" w:pos="7020"/>
        </w:tabs>
        <w:ind w:firstLine="453" w:firstLineChars="189"/>
        <w:rPr>
          <w:rFonts w:hint="eastAsia" w:ascii="仿宋" w:hAnsi="仿宋" w:eastAsia="仿宋"/>
          <w:b w:val="0"/>
          <w:color w:val="auto"/>
          <w:sz w:val="24"/>
          <w:szCs w:val="24"/>
          <w:lang w:val="en-US"/>
        </w:rPr>
      </w:pPr>
      <w:r>
        <w:rPr>
          <w:rFonts w:hint="eastAsia" w:ascii="仿宋" w:hAnsi="仿宋" w:eastAsia="仿宋"/>
          <w:b w:val="0"/>
          <w:color w:val="auto"/>
          <w:sz w:val="24"/>
          <w:szCs w:val="24"/>
          <w:lang w:val="en-US"/>
        </w:rPr>
        <w:t>（二）因乙方违约导致本合同解除的，乙方应自行承担应向派出人员支付的经济补偿金、赔偿金等费用。</w:t>
      </w:r>
    </w:p>
    <w:p>
      <w:pPr>
        <w:ind w:firstLine="472" w:firstLineChars="196"/>
        <w:jc w:val="left"/>
        <w:rPr>
          <w:rFonts w:ascii="仿宋" w:hAnsi="仿宋" w:eastAsia="仿宋"/>
          <w:color w:val="auto"/>
          <w:sz w:val="24"/>
          <w:szCs w:val="24"/>
          <w:lang w:val="en-US"/>
        </w:rPr>
      </w:pPr>
      <w:r>
        <w:rPr>
          <w:rFonts w:ascii="仿宋" w:hAnsi="仿宋" w:eastAsia="仿宋"/>
          <w:color w:val="auto"/>
          <w:sz w:val="24"/>
          <w:szCs w:val="24"/>
          <w:lang w:val="en-US"/>
        </w:rPr>
        <w:t>第</w:t>
      </w:r>
      <w:r>
        <w:rPr>
          <w:rFonts w:hint="eastAsia" w:ascii="仿宋" w:hAnsi="仿宋" w:eastAsia="仿宋"/>
          <w:color w:val="auto"/>
          <w:sz w:val="24"/>
          <w:szCs w:val="24"/>
          <w:lang w:val="en-US"/>
        </w:rPr>
        <w:t>九</w:t>
      </w:r>
      <w:r>
        <w:rPr>
          <w:rFonts w:ascii="仿宋" w:hAnsi="仿宋" w:eastAsia="仿宋"/>
          <w:color w:val="auto"/>
          <w:sz w:val="24"/>
          <w:szCs w:val="24"/>
          <w:lang w:val="en-US"/>
        </w:rPr>
        <w:t>条  不可抗力</w:t>
      </w:r>
    </w:p>
    <w:p>
      <w:pPr>
        <w:ind w:firstLine="480"/>
        <w:jc w:val="left"/>
        <w:rPr>
          <w:rFonts w:ascii="仿宋" w:hAnsi="仿宋" w:eastAsia="仿宋"/>
          <w:b w:val="0"/>
          <w:color w:val="auto"/>
          <w:sz w:val="24"/>
          <w:szCs w:val="24"/>
          <w:lang w:val="en-US"/>
        </w:rPr>
      </w:pPr>
      <w:r>
        <w:rPr>
          <w:rFonts w:ascii="仿宋" w:hAnsi="仿宋" w:eastAsia="仿宋"/>
          <w:b w:val="0"/>
          <w:color w:val="auto"/>
          <w:sz w:val="24"/>
          <w:szCs w:val="24"/>
          <w:lang w:val="en-US"/>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ind w:firstLine="472" w:firstLineChars="196"/>
        <w:jc w:val="left"/>
        <w:rPr>
          <w:rFonts w:ascii="仿宋" w:hAnsi="仿宋" w:eastAsia="仿宋"/>
          <w:color w:val="auto"/>
          <w:sz w:val="24"/>
          <w:szCs w:val="24"/>
          <w:lang w:val="en-US"/>
        </w:rPr>
      </w:pPr>
      <w:r>
        <w:rPr>
          <w:rFonts w:ascii="仿宋" w:hAnsi="仿宋" w:eastAsia="仿宋"/>
          <w:color w:val="auto"/>
          <w:sz w:val="24"/>
          <w:szCs w:val="24"/>
          <w:lang w:val="en-US"/>
        </w:rPr>
        <w:t>第十条  争议的解决</w:t>
      </w:r>
    </w:p>
    <w:p>
      <w:pPr>
        <w:ind w:firstLine="480"/>
        <w:jc w:val="left"/>
        <w:rPr>
          <w:rFonts w:ascii="仿宋" w:hAnsi="仿宋" w:eastAsia="仿宋"/>
          <w:b w:val="0"/>
          <w:color w:val="auto"/>
          <w:sz w:val="24"/>
          <w:szCs w:val="24"/>
          <w:lang w:val="en-US"/>
        </w:rPr>
      </w:pPr>
      <w:r>
        <w:rPr>
          <w:rFonts w:ascii="仿宋" w:hAnsi="仿宋" w:eastAsia="仿宋"/>
          <w:b w:val="0"/>
          <w:color w:val="auto"/>
          <w:sz w:val="24"/>
          <w:szCs w:val="24"/>
          <w:lang w:val="en-US"/>
        </w:rPr>
        <w:t>在执行本合同中发生的或与本合同有关的争端，双方应通过友好协商解决，经协商在不能达成协议时，应</w:t>
      </w:r>
      <w:r>
        <w:rPr>
          <w:rFonts w:hint="eastAsia" w:ascii="仿宋" w:hAnsi="仿宋" w:eastAsia="仿宋"/>
          <w:b w:val="0"/>
          <w:color w:val="auto"/>
          <w:sz w:val="24"/>
          <w:szCs w:val="24"/>
          <w:lang w:val="en-US"/>
        </w:rPr>
        <w:t>向甲方所在地人民法院提起诉讼。</w:t>
      </w:r>
    </w:p>
    <w:p>
      <w:pPr>
        <w:ind w:firstLine="480"/>
        <w:jc w:val="left"/>
        <w:rPr>
          <w:rFonts w:ascii="仿宋" w:hAnsi="仿宋" w:eastAsia="仿宋"/>
          <w:b w:val="0"/>
          <w:color w:val="auto"/>
          <w:sz w:val="24"/>
          <w:szCs w:val="24"/>
          <w:lang w:val="en-US"/>
        </w:rPr>
      </w:pPr>
      <w:r>
        <w:rPr>
          <w:rFonts w:ascii="仿宋" w:hAnsi="仿宋" w:eastAsia="仿宋"/>
          <w:b w:val="0"/>
          <w:color w:val="auto"/>
          <w:sz w:val="24"/>
          <w:szCs w:val="24"/>
          <w:lang w:val="en-US"/>
        </w:rPr>
        <w:t>在法院审理和仲裁期间，除有争议部分外，本合同其他部分可以履行的仍应按合同条款继续履行。</w:t>
      </w:r>
    </w:p>
    <w:p>
      <w:pPr>
        <w:ind w:firstLine="472" w:firstLineChars="196"/>
        <w:jc w:val="left"/>
        <w:rPr>
          <w:rFonts w:ascii="仿宋" w:hAnsi="仿宋" w:eastAsia="仿宋"/>
          <w:color w:val="auto"/>
          <w:sz w:val="24"/>
          <w:szCs w:val="24"/>
          <w:lang w:val="en-US"/>
        </w:rPr>
      </w:pPr>
      <w:r>
        <w:rPr>
          <w:rFonts w:ascii="仿宋" w:hAnsi="仿宋" w:eastAsia="仿宋"/>
          <w:color w:val="auto"/>
          <w:sz w:val="24"/>
          <w:szCs w:val="24"/>
          <w:lang w:val="en-US"/>
        </w:rPr>
        <w:t>第</w:t>
      </w:r>
      <w:r>
        <w:rPr>
          <w:rFonts w:hint="eastAsia" w:ascii="仿宋" w:hAnsi="仿宋" w:eastAsia="仿宋"/>
          <w:color w:val="auto"/>
          <w:sz w:val="24"/>
          <w:szCs w:val="24"/>
          <w:lang w:val="en-US"/>
        </w:rPr>
        <w:t>十一</w:t>
      </w:r>
      <w:r>
        <w:rPr>
          <w:rFonts w:ascii="仿宋" w:hAnsi="仿宋" w:eastAsia="仿宋"/>
          <w:color w:val="auto"/>
          <w:sz w:val="24"/>
          <w:szCs w:val="24"/>
          <w:lang w:val="en-US"/>
        </w:rPr>
        <w:t xml:space="preserve">条  </w:t>
      </w:r>
      <w:r>
        <w:rPr>
          <w:rFonts w:hint="eastAsia" w:ascii="仿宋" w:hAnsi="仿宋" w:eastAsia="仿宋"/>
          <w:color w:val="auto"/>
          <w:sz w:val="24"/>
          <w:szCs w:val="24"/>
          <w:lang w:val="en-US"/>
        </w:rPr>
        <w:t>合同变更与解除</w:t>
      </w:r>
    </w:p>
    <w:p>
      <w:pPr>
        <w:pStyle w:val="371"/>
        <w:tabs>
          <w:tab w:val="left" w:pos="4500"/>
          <w:tab w:val="left" w:pos="4860"/>
          <w:tab w:val="left" w:pos="7020"/>
        </w:tabs>
        <w:ind w:firstLine="453" w:firstLineChars="189"/>
        <w:rPr>
          <w:rFonts w:ascii="仿宋" w:hAnsi="仿宋" w:eastAsia="仿宋"/>
          <w:b w:val="0"/>
          <w:color w:val="auto"/>
          <w:sz w:val="24"/>
          <w:szCs w:val="24"/>
          <w:lang w:val="en-US"/>
        </w:rPr>
      </w:pPr>
      <w:r>
        <w:rPr>
          <w:rFonts w:hint="eastAsia" w:ascii="仿宋" w:hAnsi="仿宋" w:eastAsia="仿宋"/>
          <w:b w:val="0"/>
          <w:color w:val="auto"/>
          <w:sz w:val="24"/>
          <w:szCs w:val="24"/>
          <w:lang w:val="en-US"/>
        </w:rPr>
        <w:t>（一）甲乙任何一方有正当理由要求变更或补充本合同内容的，须以书面形式通知对方，达成一致的、双方签署书面的补充协议，补充协议作为本合同附件与本合同具有同等法律效力。</w:t>
      </w:r>
    </w:p>
    <w:p>
      <w:pPr>
        <w:pStyle w:val="371"/>
        <w:tabs>
          <w:tab w:val="left" w:pos="4500"/>
          <w:tab w:val="left" w:pos="4860"/>
          <w:tab w:val="left" w:pos="7020"/>
        </w:tabs>
        <w:ind w:firstLine="453" w:firstLineChars="189"/>
        <w:rPr>
          <w:rFonts w:ascii="仿宋" w:hAnsi="仿宋" w:eastAsia="仿宋"/>
          <w:b w:val="0"/>
          <w:color w:val="auto"/>
          <w:sz w:val="24"/>
          <w:szCs w:val="24"/>
          <w:lang w:val="en-US"/>
        </w:rPr>
      </w:pPr>
      <w:r>
        <w:rPr>
          <w:rFonts w:hint="eastAsia" w:ascii="仿宋" w:hAnsi="仿宋" w:eastAsia="仿宋"/>
          <w:b w:val="0"/>
          <w:color w:val="auto"/>
          <w:sz w:val="24"/>
          <w:szCs w:val="24"/>
          <w:lang w:val="en-US"/>
        </w:rPr>
        <w:t>（二）合同履行期间，甲乙任何一方需提前解除本合同应至少提前</w:t>
      </w:r>
      <w:r>
        <w:rPr>
          <w:rFonts w:ascii="仿宋" w:hAnsi="仿宋" w:eastAsia="仿宋"/>
          <w:b w:val="0"/>
          <w:color w:val="auto"/>
          <w:sz w:val="24"/>
          <w:szCs w:val="24"/>
          <w:lang w:val="en-US"/>
        </w:rPr>
        <w:t>30</w:t>
      </w:r>
      <w:r>
        <w:rPr>
          <w:rFonts w:hint="eastAsia" w:ascii="仿宋" w:hAnsi="仿宋" w:eastAsia="仿宋"/>
          <w:b w:val="0"/>
          <w:color w:val="auto"/>
          <w:sz w:val="24"/>
          <w:szCs w:val="24"/>
          <w:lang w:val="en-US"/>
        </w:rPr>
        <w:t>天以书面形式通知对方，经对方同意后方可解除，否则视为违约。</w:t>
      </w:r>
    </w:p>
    <w:p>
      <w:pPr>
        <w:pStyle w:val="371"/>
        <w:tabs>
          <w:tab w:val="left" w:pos="4500"/>
          <w:tab w:val="left" w:pos="4860"/>
          <w:tab w:val="left" w:pos="7020"/>
        </w:tabs>
        <w:ind w:firstLine="453" w:firstLineChars="189"/>
        <w:rPr>
          <w:rFonts w:ascii="仿宋" w:hAnsi="仿宋" w:eastAsia="仿宋"/>
          <w:b w:val="0"/>
          <w:color w:val="auto"/>
          <w:sz w:val="24"/>
          <w:szCs w:val="24"/>
          <w:lang w:val="en-US"/>
        </w:rPr>
      </w:pPr>
      <w:r>
        <w:rPr>
          <w:rFonts w:hint="eastAsia" w:ascii="仿宋" w:hAnsi="仿宋" w:eastAsia="仿宋"/>
          <w:b w:val="0"/>
          <w:color w:val="auto"/>
          <w:sz w:val="24"/>
          <w:szCs w:val="24"/>
          <w:lang w:val="en-US"/>
        </w:rPr>
        <w:t>（三）本合同的解除或终止不得损害对方的利益，同时对派出人员作合理的分流处理，甲乙双方同意按以下程序处理派出人员的后续工作：</w:t>
      </w:r>
    </w:p>
    <w:p>
      <w:pPr>
        <w:pStyle w:val="371"/>
        <w:tabs>
          <w:tab w:val="left" w:pos="4500"/>
          <w:tab w:val="left" w:pos="4860"/>
          <w:tab w:val="left" w:pos="7020"/>
        </w:tabs>
        <w:ind w:firstLine="453" w:firstLineChars="189"/>
        <w:rPr>
          <w:rFonts w:ascii="仿宋" w:hAnsi="仿宋" w:eastAsia="仿宋"/>
          <w:b w:val="0"/>
          <w:color w:val="auto"/>
          <w:sz w:val="24"/>
          <w:szCs w:val="24"/>
          <w:lang w:val="en-US"/>
        </w:rPr>
      </w:pPr>
      <w:r>
        <w:rPr>
          <w:rFonts w:hint="eastAsia" w:ascii="仿宋" w:hAnsi="仿宋" w:eastAsia="仿宋"/>
          <w:b w:val="0"/>
          <w:color w:val="auto"/>
          <w:sz w:val="24"/>
          <w:szCs w:val="24"/>
          <w:lang w:val="en-US"/>
        </w:rPr>
        <w:t>1、乙方对派出人员进行劳动关系的变更说明，了解员工意愿。</w:t>
      </w:r>
    </w:p>
    <w:p>
      <w:pPr>
        <w:pStyle w:val="371"/>
        <w:tabs>
          <w:tab w:val="left" w:pos="4500"/>
          <w:tab w:val="left" w:pos="4860"/>
          <w:tab w:val="left" w:pos="7020"/>
        </w:tabs>
        <w:ind w:firstLine="453" w:firstLineChars="189"/>
        <w:rPr>
          <w:rFonts w:ascii="仿宋" w:hAnsi="仿宋" w:eastAsia="仿宋"/>
          <w:b w:val="0"/>
          <w:color w:val="auto"/>
          <w:sz w:val="24"/>
          <w:szCs w:val="24"/>
          <w:lang w:val="en-US"/>
        </w:rPr>
      </w:pPr>
      <w:r>
        <w:rPr>
          <w:rFonts w:hint="eastAsia" w:ascii="仿宋" w:hAnsi="仿宋" w:eastAsia="仿宋"/>
          <w:b w:val="0"/>
          <w:color w:val="auto"/>
          <w:sz w:val="24"/>
          <w:szCs w:val="24"/>
          <w:lang w:val="en-US"/>
        </w:rPr>
        <w:t>2、对于愿意继续留在甲方工作的派出人员，由乙方与其办理劳动关系终止手续，转入甲方。</w:t>
      </w:r>
    </w:p>
    <w:p>
      <w:pPr>
        <w:tabs>
          <w:tab w:val="left" w:pos="4500"/>
          <w:tab w:val="left" w:pos="4860"/>
          <w:tab w:val="left" w:pos="7020"/>
        </w:tabs>
        <w:ind w:firstLine="480"/>
        <w:rPr>
          <w:rFonts w:ascii="仿宋" w:hAnsi="仿宋" w:eastAsia="仿宋"/>
          <w:b w:val="0"/>
          <w:color w:val="auto"/>
          <w:sz w:val="24"/>
          <w:szCs w:val="24"/>
          <w:lang w:val="en-US"/>
        </w:rPr>
      </w:pPr>
      <w:r>
        <w:rPr>
          <w:rFonts w:hint="eastAsia" w:ascii="仿宋" w:hAnsi="仿宋" w:eastAsia="仿宋"/>
          <w:b w:val="0"/>
          <w:color w:val="auto"/>
          <w:sz w:val="24"/>
          <w:szCs w:val="24"/>
          <w:lang w:val="en-US"/>
        </w:rPr>
        <w:t>3、不愿意留在甲方工作的，由乙方重新推荐安置就业。</w:t>
      </w:r>
    </w:p>
    <w:p>
      <w:pPr>
        <w:pStyle w:val="2"/>
        <w:ind w:firstLine="480"/>
        <w:rPr>
          <w:rFonts w:hint="eastAsia" w:ascii="仿宋" w:hAnsi="仿宋" w:eastAsia="仿宋"/>
          <w:kern w:val="0"/>
          <w:sz w:val="24"/>
          <w:lang w:val="en-US"/>
        </w:rPr>
      </w:pPr>
      <w:r>
        <w:rPr>
          <w:rFonts w:hint="eastAsia" w:ascii="仿宋" w:hAnsi="仿宋" w:eastAsia="仿宋"/>
          <w:kern w:val="0"/>
          <w:sz w:val="24"/>
          <w:lang w:val="en-US"/>
        </w:rPr>
        <w:t>（四）因甲乙双方协商一致解除或终止本合同的，甲乙双方协商处理应向派出人员支付的经济补偿金、赔偿金等费用。</w:t>
      </w:r>
    </w:p>
    <w:p>
      <w:pPr>
        <w:ind w:firstLine="472" w:firstLineChars="196"/>
        <w:jc w:val="left"/>
        <w:rPr>
          <w:rFonts w:ascii="仿宋" w:hAnsi="仿宋" w:eastAsia="仿宋"/>
          <w:color w:val="auto"/>
          <w:sz w:val="24"/>
          <w:szCs w:val="24"/>
          <w:lang w:val="en-US"/>
        </w:rPr>
      </w:pPr>
      <w:r>
        <w:rPr>
          <w:rFonts w:ascii="仿宋" w:hAnsi="仿宋" w:eastAsia="仿宋"/>
          <w:color w:val="auto"/>
          <w:sz w:val="24"/>
          <w:szCs w:val="24"/>
          <w:lang w:val="en-US"/>
        </w:rPr>
        <w:t>第十</w:t>
      </w:r>
      <w:r>
        <w:rPr>
          <w:rFonts w:hint="eastAsia" w:ascii="仿宋" w:hAnsi="仿宋" w:eastAsia="仿宋"/>
          <w:color w:val="auto"/>
          <w:sz w:val="24"/>
          <w:szCs w:val="24"/>
          <w:lang w:val="en-US"/>
        </w:rPr>
        <w:t>二条</w:t>
      </w:r>
      <w:r>
        <w:rPr>
          <w:rFonts w:ascii="仿宋" w:hAnsi="仿宋" w:eastAsia="仿宋"/>
          <w:color w:val="auto"/>
          <w:sz w:val="24"/>
          <w:szCs w:val="24"/>
          <w:lang w:val="en-US"/>
        </w:rPr>
        <w:t xml:space="preserve">  其他</w:t>
      </w:r>
    </w:p>
    <w:p>
      <w:pPr>
        <w:ind w:firstLine="480"/>
        <w:jc w:val="left"/>
        <w:rPr>
          <w:rFonts w:ascii="仿宋" w:hAnsi="仿宋" w:eastAsia="仿宋"/>
          <w:b w:val="0"/>
          <w:color w:val="auto"/>
          <w:sz w:val="24"/>
          <w:szCs w:val="24"/>
          <w:lang w:val="en-US"/>
        </w:rPr>
      </w:pPr>
      <w:r>
        <w:rPr>
          <w:rFonts w:ascii="仿宋" w:hAnsi="仿宋" w:eastAsia="仿宋"/>
          <w:b w:val="0"/>
          <w:color w:val="auto"/>
          <w:sz w:val="24"/>
          <w:szCs w:val="24"/>
          <w:lang w:val="en-US"/>
        </w:rPr>
        <w:t>1</w:t>
      </w:r>
      <w:r>
        <w:rPr>
          <w:rFonts w:hint="eastAsia" w:ascii="仿宋" w:hAnsi="仿宋" w:eastAsia="仿宋"/>
          <w:b w:val="0"/>
          <w:color w:val="auto"/>
          <w:sz w:val="24"/>
          <w:szCs w:val="24"/>
          <w:lang w:val="en-US"/>
        </w:rPr>
        <w:t>、</w:t>
      </w:r>
      <w:r>
        <w:rPr>
          <w:rFonts w:ascii="仿宋" w:hAnsi="仿宋" w:eastAsia="仿宋"/>
          <w:b w:val="0"/>
          <w:color w:val="auto"/>
          <w:sz w:val="24"/>
          <w:szCs w:val="24"/>
          <w:lang w:val="en-US"/>
        </w:rPr>
        <w:t>合同经双方法定代表人</w:t>
      </w:r>
      <w:r>
        <w:rPr>
          <w:rFonts w:hint="eastAsia" w:ascii="仿宋" w:hAnsi="仿宋" w:eastAsia="仿宋"/>
          <w:b w:val="0"/>
          <w:color w:val="auto"/>
          <w:kern w:val="2"/>
          <w:sz w:val="24"/>
          <w:szCs w:val="24"/>
          <w:lang w:val="en-US"/>
        </w:rPr>
        <w:t>（主要负责人）</w:t>
      </w:r>
      <w:r>
        <w:rPr>
          <w:rFonts w:ascii="仿宋" w:hAnsi="仿宋" w:eastAsia="仿宋"/>
          <w:b w:val="0"/>
          <w:color w:val="auto"/>
          <w:sz w:val="24"/>
          <w:szCs w:val="24"/>
          <w:lang w:val="en-US"/>
        </w:rPr>
        <w:t>或授权委托代理人签字并加盖单位公章后生效。合同一经生效，双方应诚信履行合同，除双方协商一致解除合同外，一方不得无理由解除合同。</w:t>
      </w:r>
    </w:p>
    <w:p>
      <w:pPr>
        <w:pStyle w:val="2"/>
        <w:ind w:firstLine="480"/>
        <w:rPr>
          <w:rFonts w:hint="eastAsia"/>
          <w:bCs/>
          <w:lang w:val="en-US"/>
        </w:rPr>
      </w:pPr>
      <w:r>
        <w:rPr>
          <w:rFonts w:ascii="仿宋" w:hAnsi="仿宋" w:eastAsia="仿宋"/>
          <w:bCs/>
          <w:sz w:val="24"/>
          <w:lang w:val="en-US"/>
        </w:rPr>
        <w:t>2</w:t>
      </w:r>
      <w:r>
        <w:rPr>
          <w:rFonts w:hint="eastAsia" w:ascii="仿宋" w:hAnsi="仿宋" w:eastAsia="仿宋"/>
          <w:bCs/>
          <w:sz w:val="24"/>
          <w:lang w:val="en-US"/>
        </w:rPr>
        <w:t>、</w:t>
      </w:r>
      <w:r>
        <w:rPr>
          <w:rFonts w:ascii="仿宋" w:hAnsi="仿宋" w:eastAsia="仿宋"/>
          <w:bCs/>
          <w:sz w:val="24"/>
          <w:lang w:val="en-US"/>
        </w:rPr>
        <w:t>本合同一式</w:t>
      </w:r>
      <w:r>
        <w:rPr>
          <w:rFonts w:ascii="仿宋" w:hAnsi="仿宋" w:eastAsia="仿宋"/>
          <w:bCs/>
          <w:sz w:val="24"/>
          <w:u w:val="single"/>
          <w:lang w:val="en-US"/>
        </w:rPr>
        <w:t xml:space="preserve">   </w:t>
      </w:r>
      <w:r>
        <w:rPr>
          <w:rFonts w:ascii="仿宋" w:hAnsi="仿宋" w:eastAsia="仿宋"/>
          <w:bCs/>
          <w:sz w:val="24"/>
          <w:lang w:val="en-US"/>
        </w:rPr>
        <w:t>份，自双方签章之日起起效。甲方</w:t>
      </w:r>
      <w:r>
        <w:rPr>
          <w:rFonts w:ascii="仿宋" w:hAnsi="仿宋" w:eastAsia="仿宋"/>
          <w:bCs/>
          <w:sz w:val="24"/>
          <w:u w:val="single"/>
          <w:lang w:val="en-US"/>
        </w:rPr>
        <w:t xml:space="preserve">  </w:t>
      </w:r>
      <w:r>
        <w:rPr>
          <w:rFonts w:ascii="仿宋" w:hAnsi="仿宋" w:eastAsia="仿宋"/>
          <w:bCs/>
          <w:sz w:val="24"/>
          <w:lang w:val="en-US"/>
        </w:rPr>
        <w:t>份，乙方</w:t>
      </w:r>
      <w:r>
        <w:rPr>
          <w:rFonts w:ascii="仿宋" w:hAnsi="仿宋" w:eastAsia="仿宋"/>
          <w:bCs/>
          <w:sz w:val="24"/>
          <w:u w:val="single"/>
          <w:lang w:val="en-US"/>
        </w:rPr>
        <w:t xml:space="preserve">  </w:t>
      </w:r>
      <w:r>
        <w:rPr>
          <w:rFonts w:ascii="仿宋" w:hAnsi="仿宋" w:eastAsia="仿宋"/>
          <w:bCs/>
          <w:sz w:val="24"/>
          <w:lang w:val="en-US"/>
        </w:rPr>
        <w:t>份，政府采购代理机构</w:t>
      </w:r>
      <w:r>
        <w:rPr>
          <w:rFonts w:ascii="仿宋" w:hAnsi="仿宋" w:eastAsia="仿宋"/>
          <w:bCs/>
          <w:sz w:val="24"/>
          <w:u w:val="single"/>
          <w:lang w:val="en-US"/>
        </w:rPr>
        <w:t xml:space="preserve">    </w:t>
      </w:r>
      <w:r>
        <w:rPr>
          <w:rFonts w:ascii="仿宋" w:hAnsi="仿宋" w:eastAsia="仿宋"/>
          <w:bCs/>
          <w:sz w:val="24"/>
          <w:lang w:val="en-US"/>
        </w:rPr>
        <w:t>份，同级财政部门备案</w:t>
      </w:r>
      <w:r>
        <w:rPr>
          <w:rFonts w:ascii="仿宋" w:hAnsi="仿宋" w:eastAsia="仿宋"/>
          <w:bCs/>
          <w:sz w:val="24"/>
          <w:u w:val="single"/>
          <w:lang w:val="en-US"/>
        </w:rPr>
        <w:t xml:space="preserve">   </w:t>
      </w:r>
      <w:r>
        <w:rPr>
          <w:rFonts w:ascii="仿宋" w:hAnsi="仿宋" w:eastAsia="仿宋"/>
          <w:bCs/>
          <w:sz w:val="24"/>
          <w:lang w:val="en-US"/>
        </w:rPr>
        <w:t>份，具有同等法律效力。</w:t>
      </w:r>
    </w:p>
    <w:p>
      <w:pPr>
        <w:ind w:firstLine="480"/>
        <w:jc w:val="left"/>
        <w:rPr>
          <w:rFonts w:ascii="仿宋" w:hAnsi="仿宋" w:eastAsia="仿宋"/>
          <w:b w:val="0"/>
          <w:color w:val="auto"/>
          <w:sz w:val="24"/>
          <w:szCs w:val="24"/>
        </w:rPr>
      </w:pPr>
      <w:r>
        <w:rPr>
          <w:rFonts w:hint="eastAsia" w:ascii="仿宋" w:hAnsi="仿宋" w:eastAsia="仿宋"/>
          <w:b w:val="0"/>
          <w:color w:val="auto"/>
          <w:sz w:val="24"/>
          <w:szCs w:val="24"/>
        </w:rPr>
        <w:t>（本页以下无正文）</w:t>
      </w:r>
    </w:p>
    <w:p>
      <w:pPr>
        <w:ind w:firstLine="0" w:firstLineChars="0"/>
        <w:jc w:val="left"/>
        <w:rPr>
          <w:rFonts w:ascii="仿宋" w:hAnsi="仿宋" w:eastAsia="仿宋"/>
          <w:b w:val="0"/>
          <w:color w:val="auto"/>
          <w:sz w:val="24"/>
          <w:szCs w:val="24"/>
        </w:rPr>
      </w:pPr>
      <w:r>
        <w:rPr>
          <w:rFonts w:ascii="仿宋" w:hAnsi="仿宋" w:eastAsia="仿宋"/>
          <w:b w:val="0"/>
          <w:color w:val="auto"/>
          <w:sz w:val="24"/>
          <w:szCs w:val="24"/>
        </w:rPr>
        <w:br w:type="page"/>
      </w:r>
      <w:r>
        <w:rPr>
          <w:rFonts w:ascii="仿宋" w:hAnsi="仿宋" w:eastAsia="仿宋"/>
          <w:b w:val="0"/>
          <w:color w:val="auto"/>
          <w:sz w:val="24"/>
          <w:szCs w:val="24"/>
        </w:rPr>
        <w:t>（本页为签字页）</w:t>
      </w:r>
    </w:p>
    <w:p>
      <w:pPr>
        <w:ind w:firstLine="0" w:firstLineChars="0"/>
        <w:jc w:val="left"/>
        <w:rPr>
          <w:rFonts w:ascii="仿宋" w:hAnsi="仿宋" w:eastAsia="仿宋"/>
          <w:b w:val="0"/>
          <w:color w:val="auto"/>
          <w:sz w:val="24"/>
          <w:szCs w:val="24"/>
        </w:rPr>
      </w:pPr>
    </w:p>
    <w:p>
      <w:pPr>
        <w:spacing w:line="480" w:lineRule="auto"/>
        <w:ind w:firstLine="0" w:firstLineChars="0"/>
        <w:jc w:val="left"/>
        <w:rPr>
          <w:rFonts w:ascii="仿宋" w:hAnsi="仿宋" w:eastAsia="仿宋"/>
          <w:b w:val="0"/>
          <w:color w:val="auto"/>
          <w:sz w:val="24"/>
          <w:szCs w:val="24"/>
        </w:rPr>
      </w:pPr>
      <w:r>
        <w:rPr>
          <w:rFonts w:ascii="仿宋" w:hAnsi="仿宋" w:eastAsia="仿宋"/>
          <w:b w:val="0"/>
          <w:color w:val="auto"/>
          <w:sz w:val="24"/>
          <w:szCs w:val="24"/>
        </w:rPr>
        <w:t xml:space="preserve">甲  </w:t>
      </w:r>
      <w:r>
        <w:rPr>
          <w:rFonts w:hint="eastAsia" w:ascii="仿宋" w:hAnsi="仿宋" w:eastAsia="仿宋"/>
          <w:b w:val="0"/>
          <w:color w:val="auto"/>
          <w:sz w:val="24"/>
          <w:szCs w:val="24"/>
        </w:rPr>
        <w:t xml:space="preserve">  </w:t>
      </w:r>
      <w:r>
        <w:rPr>
          <w:rFonts w:ascii="仿宋" w:hAnsi="仿宋" w:eastAsia="仿宋"/>
          <w:b w:val="0"/>
          <w:color w:val="auto"/>
          <w:sz w:val="24"/>
          <w:szCs w:val="24"/>
        </w:rPr>
        <w:t xml:space="preserve">方：                             乙 </w:t>
      </w:r>
      <w:r>
        <w:rPr>
          <w:rFonts w:hint="eastAsia" w:ascii="仿宋" w:hAnsi="仿宋" w:eastAsia="仿宋"/>
          <w:b w:val="0"/>
          <w:color w:val="auto"/>
          <w:sz w:val="24"/>
          <w:szCs w:val="24"/>
        </w:rPr>
        <w:t xml:space="preserve">  </w:t>
      </w:r>
      <w:r>
        <w:rPr>
          <w:rFonts w:ascii="仿宋" w:hAnsi="仿宋" w:eastAsia="仿宋"/>
          <w:b w:val="0"/>
          <w:color w:val="auto"/>
          <w:sz w:val="24"/>
          <w:szCs w:val="24"/>
        </w:rPr>
        <w:t xml:space="preserve"> 方：</w:t>
      </w:r>
    </w:p>
    <w:p>
      <w:pPr>
        <w:spacing w:line="480" w:lineRule="auto"/>
        <w:ind w:left="4680" w:hanging="4680" w:hangingChars="1950"/>
        <w:jc w:val="left"/>
        <w:rPr>
          <w:rFonts w:ascii="仿宋" w:hAnsi="仿宋" w:eastAsia="仿宋"/>
          <w:b w:val="0"/>
          <w:color w:val="auto"/>
          <w:sz w:val="24"/>
          <w:szCs w:val="24"/>
        </w:rPr>
      </w:pPr>
      <w:r>
        <w:rPr>
          <w:rFonts w:ascii="仿宋" w:hAnsi="仿宋" w:eastAsia="仿宋"/>
          <w:b w:val="0"/>
          <w:color w:val="auto"/>
          <w:sz w:val="24"/>
          <w:szCs w:val="24"/>
        </w:rPr>
        <w:t>法定代表人（授权代表）：               法定代表人</w:t>
      </w:r>
      <w:r>
        <w:rPr>
          <w:rFonts w:hint="eastAsia" w:ascii="仿宋" w:hAnsi="仿宋" w:eastAsia="仿宋"/>
          <w:b w:val="0"/>
          <w:color w:val="auto"/>
          <w:kern w:val="2"/>
          <w:sz w:val="24"/>
          <w:szCs w:val="24"/>
          <w:lang w:val="en-US"/>
        </w:rPr>
        <w:t>（主要负责人）</w:t>
      </w:r>
      <w:r>
        <w:rPr>
          <w:rFonts w:ascii="仿宋" w:hAnsi="仿宋" w:eastAsia="仿宋"/>
          <w:b w:val="0"/>
          <w:color w:val="auto"/>
          <w:sz w:val="24"/>
          <w:szCs w:val="24"/>
        </w:rPr>
        <w:t>（授权代表）：</w:t>
      </w:r>
    </w:p>
    <w:p>
      <w:pPr>
        <w:spacing w:line="480" w:lineRule="auto"/>
        <w:ind w:firstLine="0" w:firstLineChars="0"/>
        <w:jc w:val="left"/>
        <w:rPr>
          <w:rFonts w:ascii="仿宋" w:hAnsi="仿宋" w:eastAsia="仿宋"/>
          <w:b w:val="0"/>
          <w:color w:val="auto"/>
          <w:sz w:val="24"/>
          <w:szCs w:val="24"/>
        </w:rPr>
      </w:pPr>
      <w:r>
        <w:rPr>
          <w:rFonts w:ascii="仿宋" w:hAnsi="仿宋" w:eastAsia="仿宋"/>
          <w:b w:val="0"/>
          <w:color w:val="auto"/>
          <w:sz w:val="24"/>
          <w:szCs w:val="24"/>
        </w:rPr>
        <w:t>地    址：                             地    址：</w:t>
      </w:r>
    </w:p>
    <w:p>
      <w:pPr>
        <w:spacing w:line="480" w:lineRule="auto"/>
        <w:ind w:firstLine="0" w:firstLineChars="0"/>
        <w:jc w:val="left"/>
        <w:rPr>
          <w:rFonts w:ascii="仿宋" w:hAnsi="仿宋" w:eastAsia="仿宋"/>
          <w:b w:val="0"/>
          <w:color w:val="auto"/>
          <w:sz w:val="24"/>
          <w:szCs w:val="24"/>
        </w:rPr>
      </w:pPr>
      <w:r>
        <w:rPr>
          <w:rFonts w:ascii="仿宋" w:hAnsi="仿宋" w:eastAsia="仿宋"/>
          <w:b w:val="0"/>
          <w:color w:val="auto"/>
          <w:sz w:val="24"/>
          <w:szCs w:val="24"/>
        </w:rPr>
        <w:t>开户银行：                             开户银行：</w:t>
      </w:r>
    </w:p>
    <w:p>
      <w:pPr>
        <w:spacing w:line="480" w:lineRule="auto"/>
        <w:ind w:firstLine="0" w:firstLineChars="0"/>
        <w:jc w:val="left"/>
        <w:rPr>
          <w:rFonts w:ascii="仿宋" w:hAnsi="仿宋" w:eastAsia="仿宋"/>
          <w:b w:val="0"/>
          <w:color w:val="auto"/>
          <w:sz w:val="24"/>
          <w:szCs w:val="24"/>
        </w:rPr>
      </w:pPr>
      <w:r>
        <w:rPr>
          <w:rFonts w:ascii="仿宋" w:hAnsi="仿宋" w:eastAsia="仿宋"/>
          <w:b w:val="0"/>
          <w:color w:val="auto"/>
          <w:sz w:val="24"/>
          <w:szCs w:val="24"/>
        </w:rPr>
        <w:t>账    号：                             账    号：</w:t>
      </w:r>
    </w:p>
    <w:p>
      <w:pPr>
        <w:spacing w:line="480" w:lineRule="auto"/>
        <w:ind w:firstLine="0" w:firstLineChars="0"/>
        <w:jc w:val="left"/>
        <w:rPr>
          <w:rFonts w:ascii="仿宋" w:hAnsi="仿宋" w:eastAsia="仿宋"/>
          <w:b w:val="0"/>
          <w:color w:val="auto"/>
          <w:sz w:val="24"/>
          <w:szCs w:val="24"/>
        </w:rPr>
      </w:pPr>
      <w:r>
        <w:rPr>
          <w:rFonts w:ascii="仿宋" w:hAnsi="仿宋" w:eastAsia="仿宋"/>
          <w:b w:val="0"/>
          <w:color w:val="auto"/>
          <w:sz w:val="24"/>
          <w:szCs w:val="24"/>
        </w:rPr>
        <w:t>电    话：                             电    话：</w:t>
      </w:r>
    </w:p>
    <w:p>
      <w:pPr>
        <w:spacing w:line="480" w:lineRule="auto"/>
        <w:ind w:firstLine="0" w:firstLineChars="0"/>
        <w:jc w:val="left"/>
        <w:rPr>
          <w:rFonts w:ascii="仿宋" w:hAnsi="仿宋" w:eastAsia="仿宋"/>
          <w:b w:val="0"/>
          <w:color w:val="auto"/>
          <w:sz w:val="24"/>
          <w:szCs w:val="24"/>
        </w:rPr>
      </w:pPr>
      <w:r>
        <w:rPr>
          <w:rFonts w:ascii="仿宋" w:hAnsi="仿宋" w:eastAsia="仿宋"/>
          <w:b w:val="0"/>
          <w:color w:val="auto"/>
          <w:sz w:val="24"/>
          <w:szCs w:val="24"/>
        </w:rPr>
        <w:t>传    真：                             传    真：</w:t>
      </w:r>
    </w:p>
    <w:p>
      <w:pPr>
        <w:spacing w:line="480" w:lineRule="auto"/>
        <w:ind w:firstLine="0" w:firstLineChars="0"/>
        <w:jc w:val="left"/>
        <w:rPr>
          <w:rFonts w:ascii="仿宋" w:hAnsi="仿宋" w:eastAsia="仿宋"/>
        </w:rPr>
      </w:pPr>
      <w:r>
        <w:rPr>
          <w:rFonts w:ascii="仿宋" w:hAnsi="仿宋" w:eastAsia="仿宋"/>
          <w:b w:val="0"/>
          <w:color w:val="auto"/>
          <w:sz w:val="24"/>
          <w:szCs w:val="24"/>
        </w:rPr>
        <w:t>签约日期：     年   月   日            签约日期：    年   月   日</w:t>
      </w:r>
    </w:p>
    <w:p>
      <w:pPr>
        <w:spacing w:line="480" w:lineRule="auto"/>
        <w:ind w:firstLine="0" w:firstLineChars="0"/>
        <w:jc w:val="left"/>
        <w:rPr>
          <w:rFonts w:hint="eastAsia" w:ascii="仿宋" w:hAnsi="仿宋" w:eastAsia="仿宋"/>
          <w:b w:val="0"/>
          <w:color w:val="auto"/>
          <w:sz w:val="24"/>
          <w:szCs w:val="24"/>
        </w:rPr>
      </w:pPr>
      <w:bookmarkStart w:id="899" w:name="_Toc36029495"/>
      <w:bookmarkStart w:id="900" w:name="_Toc427138813"/>
      <w:bookmarkStart w:id="901" w:name="_Toc494198680"/>
      <w:bookmarkStart w:id="902" w:name="_Toc427148832"/>
    </w:p>
    <w:p>
      <w:pPr>
        <w:spacing w:line="480" w:lineRule="auto"/>
        <w:ind w:firstLine="0" w:firstLineChars="0"/>
        <w:jc w:val="left"/>
        <w:rPr>
          <w:rFonts w:hint="eastAsia" w:ascii="仿宋" w:hAnsi="仿宋" w:eastAsia="仿宋"/>
          <w:b w:val="0"/>
          <w:color w:val="auto"/>
          <w:sz w:val="24"/>
          <w:szCs w:val="24"/>
        </w:rPr>
      </w:pPr>
    </w:p>
    <w:p>
      <w:pPr>
        <w:spacing w:line="480" w:lineRule="auto"/>
        <w:ind w:firstLine="0" w:firstLineChars="0"/>
        <w:jc w:val="left"/>
        <w:rPr>
          <w:rFonts w:hint="eastAsia" w:ascii="仿宋" w:hAnsi="仿宋" w:eastAsia="仿宋"/>
          <w:b w:val="0"/>
          <w:color w:val="auto"/>
          <w:sz w:val="24"/>
          <w:szCs w:val="24"/>
        </w:rPr>
      </w:pPr>
    </w:p>
    <w:p>
      <w:pPr>
        <w:spacing w:line="480" w:lineRule="auto"/>
        <w:ind w:firstLine="0" w:firstLineChars="0"/>
        <w:jc w:val="left"/>
        <w:rPr>
          <w:rFonts w:hint="eastAsia" w:ascii="仿宋" w:hAnsi="仿宋" w:eastAsia="仿宋"/>
          <w:b w:val="0"/>
          <w:color w:val="auto"/>
          <w:sz w:val="24"/>
          <w:szCs w:val="24"/>
        </w:rPr>
      </w:pPr>
    </w:p>
    <w:p>
      <w:pPr>
        <w:spacing w:line="480" w:lineRule="auto"/>
        <w:ind w:firstLine="0" w:firstLineChars="0"/>
        <w:jc w:val="left"/>
        <w:rPr>
          <w:rFonts w:hint="eastAsia" w:ascii="仿宋" w:hAnsi="仿宋" w:eastAsia="仿宋"/>
          <w:b w:val="0"/>
          <w:color w:val="auto"/>
          <w:sz w:val="24"/>
          <w:szCs w:val="24"/>
        </w:rPr>
      </w:pPr>
    </w:p>
    <w:p>
      <w:pPr>
        <w:spacing w:line="480" w:lineRule="auto"/>
        <w:ind w:firstLine="0" w:firstLineChars="0"/>
        <w:jc w:val="left"/>
        <w:rPr>
          <w:rFonts w:hint="eastAsia" w:ascii="仿宋" w:hAnsi="仿宋" w:eastAsia="仿宋"/>
          <w:b w:val="0"/>
          <w:color w:val="auto"/>
          <w:sz w:val="24"/>
          <w:szCs w:val="24"/>
        </w:rPr>
      </w:pPr>
    </w:p>
    <w:p>
      <w:pPr>
        <w:spacing w:line="480" w:lineRule="auto"/>
        <w:ind w:firstLine="0" w:firstLineChars="0"/>
        <w:jc w:val="left"/>
        <w:rPr>
          <w:rFonts w:hint="eastAsia" w:ascii="仿宋" w:hAnsi="仿宋" w:eastAsia="仿宋"/>
          <w:b w:val="0"/>
          <w:color w:val="auto"/>
          <w:sz w:val="24"/>
          <w:szCs w:val="24"/>
        </w:rPr>
      </w:pPr>
    </w:p>
    <w:p>
      <w:pPr>
        <w:spacing w:line="480" w:lineRule="auto"/>
        <w:ind w:firstLine="0" w:firstLineChars="0"/>
        <w:jc w:val="left"/>
        <w:rPr>
          <w:rFonts w:hint="eastAsia" w:ascii="仿宋" w:hAnsi="仿宋" w:eastAsia="仿宋"/>
          <w:b w:val="0"/>
          <w:color w:val="auto"/>
          <w:sz w:val="24"/>
          <w:szCs w:val="24"/>
        </w:rPr>
      </w:pPr>
    </w:p>
    <w:p>
      <w:pPr>
        <w:spacing w:line="480" w:lineRule="auto"/>
        <w:ind w:firstLine="0" w:firstLineChars="0"/>
        <w:jc w:val="left"/>
        <w:rPr>
          <w:rFonts w:hint="eastAsia" w:ascii="仿宋" w:hAnsi="仿宋" w:eastAsia="仿宋"/>
          <w:b w:val="0"/>
          <w:color w:val="auto"/>
          <w:sz w:val="24"/>
          <w:szCs w:val="24"/>
        </w:rPr>
      </w:pPr>
    </w:p>
    <w:p>
      <w:pPr>
        <w:spacing w:line="480" w:lineRule="auto"/>
        <w:ind w:firstLine="0" w:firstLineChars="0"/>
        <w:jc w:val="left"/>
        <w:rPr>
          <w:rFonts w:hint="eastAsia" w:ascii="仿宋" w:hAnsi="仿宋" w:eastAsia="仿宋"/>
          <w:b w:val="0"/>
          <w:color w:val="auto"/>
          <w:sz w:val="24"/>
          <w:szCs w:val="24"/>
        </w:rPr>
      </w:pPr>
    </w:p>
    <w:p>
      <w:pPr>
        <w:spacing w:line="480" w:lineRule="auto"/>
        <w:ind w:firstLine="0" w:firstLineChars="0"/>
        <w:jc w:val="left"/>
        <w:rPr>
          <w:rFonts w:hint="eastAsia" w:ascii="仿宋" w:hAnsi="仿宋" w:eastAsia="仿宋"/>
          <w:b w:val="0"/>
          <w:color w:val="auto"/>
          <w:sz w:val="24"/>
          <w:szCs w:val="24"/>
        </w:rPr>
      </w:pPr>
    </w:p>
    <w:p>
      <w:pPr>
        <w:rPr>
          <w:rFonts w:hint="eastAsia" w:ascii="仿宋" w:hAnsi="仿宋" w:eastAsia="仿宋"/>
        </w:rPr>
      </w:pPr>
    </w:p>
    <w:p>
      <w:pPr>
        <w:pStyle w:val="3"/>
        <w:adjustRightInd w:val="0"/>
        <w:snapToGrid/>
        <w:spacing w:before="0" w:after="0" w:line="360" w:lineRule="auto"/>
        <w:jc w:val="both"/>
        <w:rPr>
          <w:rFonts w:ascii="仿宋" w:hAnsi="仿宋" w:eastAsia="仿宋"/>
          <w:b/>
          <w:color w:val="auto"/>
          <w:sz w:val="28"/>
          <w:szCs w:val="28"/>
        </w:rPr>
      </w:pPr>
      <w:bookmarkStart w:id="903" w:name="_Toc40703464"/>
      <w:r>
        <w:rPr>
          <w:rFonts w:ascii="仿宋" w:hAnsi="仿宋" w:eastAsia="仿宋"/>
          <w:b/>
          <w:color w:val="auto"/>
          <w:sz w:val="28"/>
          <w:szCs w:val="28"/>
        </w:rPr>
        <w:t>附件</w:t>
      </w:r>
      <w:r>
        <w:rPr>
          <w:rFonts w:hint="eastAsia" w:ascii="仿宋" w:hAnsi="仿宋" w:eastAsia="仿宋"/>
          <w:b/>
          <w:color w:val="auto"/>
          <w:sz w:val="28"/>
          <w:szCs w:val="28"/>
        </w:rPr>
        <w:t>一</w:t>
      </w:r>
      <w:r>
        <w:rPr>
          <w:rFonts w:ascii="仿宋" w:hAnsi="仿宋" w:eastAsia="仿宋"/>
          <w:b/>
          <w:color w:val="auto"/>
          <w:sz w:val="28"/>
          <w:szCs w:val="28"/>
        </w:rPr>
        <w:t xml:space="preserve">  </w:t>
      </w:r>
      <w:r>
        <w:rPr>
          <w:rFonts w:hint="eastAsia" w:ascii="仿宋" w:hAnsi="仿宋" w:eastAsia="仿宋"/>
          <w:b/>
          <w:color w:val="auto"/>
          <w:sz w:val="28"/>
          <w:szCs w:val="28"/>
        </w:rPr>
        <w:t>各行政监管领域“较大数额罚款</w:t>
      </w:r>
      <w:r>
        <w:rPr>
          <w:rFonts w:ascii="仿宋" w:hAnsi="仿宋" w:eastAsia="仿宋"/>
          <w:b/>
          <w:color w:val="auto"/>
          <w:sz w:val="28"/>
          <w:szCs w:val="28"/>
        </w:rPr>
        <w:t>"标准一览表</w:t>
      </w:r>
      <w:bookmarkEnd w:id="903"/>
    </w:p>
    <w:p>
      <w:pPr>
        <w:ind w:firstLine="0" w:firstLineChars="0"/>
        <w:jc w:val="center"/>
        <w:rPr>
          <w:rFonts w:hint="eastAsia"/>
          <w:sz w:val="24"/>
          <w:szCs w:val="24"/>
        </w:rPr>
      </w:pPr>
      <w:r>
        <w:rPr>
          <w:rFonts w:hint="eastAsia" w:ascii="仿宋" w:hAnsi="仿宋" w:eastAsia="仿宋" w:cs="宋体"/>
          <w:bCs/>
          <w:color w:val="000000"/>
          <w:sz w:val="24"/>
          <w:szCs w:val="24"/>
          <w:lang w:val="en-US"/>
        </w:rPr>
        <w:t>各行政监管领域“较大数额罚款"标准一览表</w:t>
      </w:r>
    </w:p>
    <w:tbl>
      <w:tblPr>
        <w:tblStyle w:val="7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2"/>
        <w:gridCol w:w="1031"/>
        <w:gridCol w:w="1536"/>
        <w:gridCol w:w="7"/>
        <w:gridCol w:w="1389"/>
        <w:gridCol w:w="4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351" w:type="pct"/>
            <w:vAlign w:val="center"/>
          </w:tcPr>
          <w:p>
            <w:pPr>
              <w:widowControl/>
              <w:adjustRightInd w:val="0"/>
              <w:spacing w:line="240" w:lineRule="auto"/>
              <w:ind w:firstLine="0" w:firstLineChars="0"/>
              <w:jc w:val="center"/>
              <w:rPr>
                <w:rFonts w:ascii="仿宋" w:hAnsi="仿宋" w:eastAsia="仿宋"/>
                <w:bCs/>
                <w:color w:val="000000"/>
                <w:sz w:val="22"/>
                <w:szCs w:val="22"/>
                <w:lang w:val="en-US"/>
              </w:rPr>
            </w:pPr>
            <w:r>
              <w:rPr>
                <w:rFonts w:hint="eastAsia" w:ascii="仿宋" w:hAnsi="仿宋" w:eastAsia="仿宋"/>
                <w:bCs/>
                <w:color w:val="000000"/>
                <w:sz w:val="22"/>
                <w:szCs w:val="22"/>
                <w:lang w:val="en-US"/>
              </w:rPr>
              <w:t>序号</w:t>
            </w:r>
          </w:p>
        </w:tc>
        <w:tc>
          <w:tcPr>
            <w:tcW w:w="555" w:type="pct"/>
            <w:vAlign w:val="center"/>
          </w:tcPr>
          <w:p>
            <w:pPr>
              <w:widowControl/>
              <w:adjustRightInd w:val="0"/>
              <w:spacing w:line="240" w:lineRule="auto"/>
              <w:ind w:firstLine="0" w:firstLineChars="0"/>
              <w:jc w:val="center"/>
              <w:rPr>
                <w:rFonts w:hint="eastAsia" w:ascii="仿宋" w:hAnsi="仿宋" w:eastAsia="仿宋"/>
                <w:bCs/>
                <w:color w:val="000000"/>
                <w:sz w:val="22"/>
                <w:szCs w:val="22"/>
                <w:lang w:val="en-US"/>
              </w:rPr>
            </w:pPr>
            <w:r>
              <w:rPr>
                <w:rFonts w:hint="eastAsia" w:ascii="仿宋" w:hAnsi="仿宋" w:eastAsia="仿宋"/>
                <w:bCs/>
                <w:color w:val="000000"/>
                <w:sz w:val="22"/>
                <w:szCs w:val="22"/>
                <w:lang w:val="en-US"/>
              </w:rPr>
              <w:t>部委</w:t>
            </w:r>
          </w:p>
          <w:p>
            <w:pPr>
              <w:widowControl/>
              <w:adjustRightInd w:val="0"/>
              <w:spacing w:line="240" w:lineRule="auto"/>
              <w:ind w:firstLine="0" w:firstLineChars="0"/>
              <w:jc w:val="center"/>
              <w:rPr>
                <w:rFonts w:ascii="仿宋" w:hAnsi="仿宋" w:eastAsia="仿宋"/>
                <w:bCs/>
                <w:color w:val="000000"/>
                <w:sz w:val="22"/>
                <w:szCs w:val="22"/>
                <w:lang w:val="en-US"/>
              </w:rPr>
            </w:pPr>
            <w:r>
              <w:rPr>
                <w:rFonts w:hint="eastAsia" w:ascii="仿宋" w:hAnsi="仿宋" w:eastAsia="仿宋"/>
                <w:bCs/>
                <w:color w:val="000000"/>
                <w:sz w:val="22"/>
                <w:szCs w:val="22"/>
                <w:lang w:val="en-US"/>
              </w:rPr>
              <w:t>名称</w:t>
            </w:r>
          </w:p>
        </w:tc>
        <w:tc>
          <w:tcPr>
            <w:tcW w:w="831" w:type="pct"/>
            <w:gridSpan w:val="2"/>
            <w:vAlign w:val="center"/>
          </w:tcPr>
          <w:p>
            <w:pPr>
              <w:widowControl/>
              <w:adjustRightInd w:val="0"/>
              <w:spacing w:line="240" w:lineRule="auto"/>
              <w:ind w:firstLine="0" w:firstLineChars="0"/>
              <w:jc w:val="center"/>
              <w:rPr>
                <w:rFonts w:ascii="仿宋" w:hAnsi="仿宋" w:eastAsia="仿宋"/>
                <w:bCs/>
                <w:color w:val="000000"/>
                <w:sz w:val="22"/>
                <w:szCs w:val="22"/>
                <w:lang w:val="en-US"/>
              </w:rPr>
            </w:pPr>
            <w:r>
              <w:rPr>
                <w:rFonts w:hint="eastAsia" w:ascii="仿宋" w:hAnsi="仿宋" w:eastAsia="仿宋"/>
                <w:bCs/>
                <w:color w:val="000000"/>
                <w:sz w:val="22"/>
                <w:szCs w:val="22"/>
                <w:lang w:val="en-US"/>
              </w:rPr>
              <w:t>规章名称</w:t>
            </w:r>
          </w:p>
        </w:tc>
        <w:tc>
          <w:tcPr>
            <w:tcW w:w="747" w:type="pct"/>
            <w:vAlign w:val="center"/>
          </w:tcPr>
          <w:p>
            <w:pPr>
              <w:widowControl/>
              <w:adjustRightInd w:val="0"/>
              <w:spacing w:line="240" w:lineRule="auto"/>
              <w:ind w:firstLine="0" w:firstLineChars="0"/>
              <w:jc w:val="center"/>
              <w:rPr>
                <w:rFonts w:ascii="仿宋" w:hAnsi="仿宋" w:eastAsia="仿宋"/>
                <w:bCs/>
                <w:color w:val="000000"/>
                <w:sz w:val="22"/>
                <w:szCs w:val="22"/>
                <w:lang w:val="en-US"/>
              </w:rPr>
            </w:pPr>
            <w:r>
              <w:rPr>
                <w:rFonts w:hint="eastAsia" w:ascii="仿宋" w:hAnsi="仿宋" w:eastAsia="仿宋"/>
                <w:bCs/>
                <w:color w:val="000000"/>
                <w:sz w:val="22"/>
                <w:szCs w:val="22"/>
                <w:lang w:val="en-US"/>
              </w:rPr>
              <w:t>规章条文</w:t>
            </w:r>
          </w:p>
        </w:tc>
        <w:tc>
          <w:tcPr>
            <w:tcW w:w="2514" w:type="pct"/>
            <w:vAlign w:val="center"/>
          </w:tcPr>
          <w:p>
            <w:pPr>
              <w:widowControl/>
              <w:adjustRightInd w:val="0"/>
              <w:spacing w:line="240" w:lineRule="auto"/>
              <w:ind w:firstLine="0" w:firstLineChars="0"/>
              <w:jc w:val="center"/>
              <w:rPr>
                <w:rFonts w:ascii="仿宋" w:hAnsi="仿宋" w:eastAsia="仿宋"/>
                <w:bCs/>
                <w:color w:val="000000"/>
                <w:sz w:val="22"/>
                <w:szCs w:val="22"/>
                <w:lang w:val="en-US"/>
              </w:rPr>
            </w:pPr>
            <w:r>
              <w:rPr>
                <w:rFonts w:hint="eastAsia" w:ascii="仿宋" w:hAnsi="仿宋" w:eastAsia="仿宋"/>
                <w:bCs/>
                <w:color w:val="000000"/>
                <w:sz w:val="22"/>
                <w:szCs w:val="22"/>
                <w:lang w:val="en-US"/>
              </w:rPr>
              <w:t>「较大数额罚款」简易标准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00" w:type="pct"/>
            <w:gridSpan w:val="6"/>
            <w:vAlign w:val="center"/>
          </w:tcPr>
          <w:p>
            <w:pPr>
              <w:widowControl/>
              <w:adjustRightInd w:val="0"/>
              <w:spacing w:line="240" w:lineRule="auto"/>
              <w:ind w:firstLine="0" w:firstLineChars="0"/>
              <w:jc w:val="left"/>
              <w:rPr>
                <w:rFonts w:ascii="仿宋" w:hAnsi="仿宋" w:eastAsia="仿宋"/>
                <w:bCs/>
                <w:color w:val="000000"/>
                <w:sz w:val="22"/>
                <w:szCs w:val="22"/>
                <w:lang w:val="en-US"/>
              </w:rPr>
            </w:pPr>
            <w:r>
              <w:rPr>
                <w:rFonts w:hint="eastAsia" w:ascii="仿宋" w:hAnsi="仿宋" w:eastAsia="仿宋"/>
                <w:bCs/>
                <w:color w:val="000000"/>
                <w:sz w:val="22"/>
                <w:szCs w:val="22"/>
                <w:lang w:val="en-US"/>
              </w:rPr>
              <w:t>国务院组成部门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5" w:hRule="atLeast"/>
          <w:jc w:val="center"/>
        </w:trPr>
        <w:tc>
          <w:tcPr>
            <w:tcW w:w="351" w:type="pct"/>
            <w:vAlign w:val="center"/>
          </w:tcPr>
          <w:p>
            <w:pPr>
              <w:widowControl/>
              <w:adjustRightInd w:val="0"/>
              <w:spacing w:line="240" w:lineRule="auto"/>
              <w:ind w:firstLine="0" w:firstLineChars="0"/>
              <w:jc w:val="center"/>
              <w:rPr>
                <w:rFonts w:ascii="仿宋" w:hAnsi="仿宋" w:eastAsia="仿宋"/>
                <w:b w:val="0"/>
                <w:color w:val="000000"/>
                <w:sz w:val="22"/>
                <w:szCs w:val="22"/>
                <w:lang w:val="en-US"/>
              </w:rPr>
            </w:pPr>
            <w:r>
              <w:rPr>
                <w:rFonts w:ascii="仿宋" w:hAnsi="仿宋" w:eastAsia="仿宋"/>
                <w:b w:val="0"/>
                <w:color w:val="000000"/>
                <w:sz w:val="22"/>
                <w:szCs w:val="22"/>
                <w:lang w:val="en-US"/>
              </w:rPr>
              <w:t>1</w:t>
            </w:r>
          </w:p>
        </w:tc>
        <w:tc>
          <w:tcPr>
            <w:tcW w:w="555" w:type="pct"/>
            <w:vAlign w:val="center"/>
          </w:tcPr>
          <w:p>
            <w:pPr>
              <w:widowControl/>
              <w:adjustRightInd w:val="0"/>
              <w:spacing w:line="240" w:lineRule="auto"/>
              <w:ind w:firstLine="0" w:firstLineChars="0"/>
              <w:jc w:val="center"/>
              <w:rPr>
                <w:rFonts w:ascii="仿宋" w:hAnsi="仿宋" w:eastAsia="仿宋"/>
                <w:b w:val="0"/>
                <w:color w:val="000000"/>
                <w:sz w:val="22"/>
                <w:szCs w:val="22"/>
                <w:lang w:val="en-US"/>
              </w:rPr>
            </w:pPr>
            <w:r>
              <w:rPr>
                <w:rFonts w:hint="eastAsia" w:ascii="仿宋" w:hAnsi="仿宋" w:eastAsia="仿宋"/>
                <w:b w:val="0"/>
                <w:color w:val="000000"/>
                <w:sz w:val="22"/>
                <w:szCs w:val="22"/>
                <w:lang w:val="en-US"/>
              </w:rPr>
              <w:t>公安部</w:t>
            </w:r>
          </w:p>
        </w:tc>
        <w:tc>
          <w:tcPr>
            <w:tcW w:w="831" w:type="pct"/>
            <w:gridSpan w:val="2"/>
            <w:vAlign w:val="center"/>
          </w:tcPr>
          <w:p>
            <w:pPr>
              <w:widowControl/>
              <w:adjustRightInd w:val="0"/>
              <w:spacing w:line="240" w:lineRule="auto"/>
              <w:ind w:firstLine="0" w:firstLineChars="0"/>
              <w:jc w:val="center"/>
              <w:rPr>
                <w:rFonts w:ascii="仿宋" w:hAnsi="仿宋" w:eastAsia="仿宋" w:cs="宋体"/>
                <w:b w:val="0"/>
                <w:color w:val="000000"/>
                <w:sz w:val="22"/>
                <w:szCs w:val="22"/>
                <w:lang w:val="en-US"/>
              </w:rPr>
            </w:pPr>
            <w:r>
              <w:rPr>
                <w:rFonts w:hint="eastAsia" w:ascii="仿宋" w:hAnsi="仿宋" w:eastAsia="仿宋" w:cs="宋体"/>
                <w:b w:val="0"/>
                <w:color w:val="000000"/>
                <w:sz w:val="22"/>
                <w:szCs w:val="22"/>
                <w:lang w:val="en-US"/>
              </w:rPr>
              <w:t>《公安机关办理行政案件程序规定》</w:t>
            </w:r>
          </w:p>
        </w:tc>
        <w:tc>
          <w:tcPr>
            <w:tcW w:w="747" w:type="pct"/>
            <w:vAlign w:val="center"/>
          </w:tcPr>
          <w:p>
            <w:pPr>
              <w:widowControl/>
              <w:adjustRightInd w:val="0"/>
              <w:spacing w:line="240" w:lineRule="auto"/>
              <w:ind w:firstLine="0" w:firstLineChars="0"/>
              <w:jc w:val="center"/>
              <w:rPr>
                <w:rFonts w:ascii="仿宋" w:hAnsi="仿宋" w:eastAsia="仿宋"/>
                <w:b w:val="0"/>
                <w:color w:val="000000"/>
                <w:sz w:val="22"/>
                <w:szCs w:val="22"/>
                <w:lang w:val="en-US"/>
              </w:rPr>
            </w:pPr>
            <w:r>
              <w:rPr>
                <w:rFonts w:hint="eastAsia" w:ascii="仿宋" w:hAnsi="仿宋" w:eastAsia="仿宋"/>
                <w:b w:val="0"/>
                <w:color w:val="000000"/>
                <w:sz w:val="22"/>
                <w:szCs w:val="22"/>
                <w:lang w:val="en-US"/>
              </w:rPr>
              <w:t>第一百二十三条</w:t>
            </w:r>
          </w:p>
        </w:tc>
        <w:tc>
          <w:tcPr>
            <w:tcW w:w="2514" w:type="pct"/>
            <w:vAlign w:val="center"/>
          </w:tcPr>
          <w:p>
            <w:pPr>
              <w:widowControl/>
              <w:adjustRightInd w:val="0"/>
              <w:spacing w:line="240" w:lineRule="auto"/>
              <w:ind w:firstLine="0" w:firstLineChars="0"/>
              <w:jc w:val="left"/>
              <w:rPr>
                <w:rFonts w:ascii="仿宋" w:hAnsi="仿宋" w:eastAsia="仿宋" w:cs="Arial"/>
                <w:b w:val="0"/>
                <w:color w:val="333333"/>
                <w:sz w:val="22"/>
                <w:szCs w:val="22"/>
                <w:lang w:val="en-US"/>
              </w:rPr>
            </w:pPr>
            <w:r>
              <w:rPr>
                <w:rFonts w:hint="eastAsia" w:ascii="仿宋" w:hAnsi="仿宋" w:eastAsia="仿宋" w:cs="Arial"/>
                <w:b w:val="0"/>
                <w:color w:val="333333"/>
                <w:sz w:val="22"/>
                <w:szCs w:val="22"/>
                <w:lang w:val="en-US"/>
              </w:rPr>
              <w:t>在作出下列行政处罚决定之前，应当告知违法嫌疑人有要求举行听证的权利：（一）责令停产停业；（二）吊销许可证或者执照；（三）较大数额罚款；（四）法律、法规和规章规定违法嫌疑人可以要求举行听证的其他情形。</w:t>
            </w:r>
            <w:r>
              <w:rPr>
                <w:rFonts w:ascii="仿宋" w:hAnsi="仿宋" w:eastAsia="仿宋" w:cs="Arial"/>
                <w:b w:val="0"/>
                <w:color w:val="333333"/>
                <w:sz w:val="22"/>
                <w:szCs w:val="22"/>
                <w:lang w:val="en-US"/>
              </w:rPr>
              <w:t xml:space="preserve"> </w:t>
            </w:r>
            <w:r>
              <w:rPr>
                <w:rFonts w:hint="eastAsia" w:ascii="仿宋" w:hAnsi="仿宋" w:eastAsia="仿宋" w:cs="Arial"/>
                <w:b w:val="0"/>
                <w:color w:val="333333"/>
                <w:sz w:val="22"/>
                <w:szCs w:val="22"/>
                <w:lang w:val="en-US"/>
              </w:rPr>
              <w:t>前款第三项所称</w:t>
            </w:r>
            <w:r>
              <w:rPr>
                <w:rFonts w:ascii="仿宋" w:hAnsi="仿宋" w:eastAsia="仿宋" w:cs="Arial"/>
                <w:b w:val="0"/>
                <w:color w:val="333333"/>
                <w:sz w:val="22"/>
                <w:szCs w:val="22"/>
                <w:lang w:val="en-US"/>
              </w:rPr>
              <w:t>“</w:t>
            </w:r>
            <w:r>
              <w:rPr>
                <w:rFonts w:hint="eastAsia" w:ascii="仿宋" w:hAnsi="仿宋" w:eastAsia="仿宋" w:cs="Arial"/>
                <w:b w:val="0"/>
                <w:color w:val="333333"/>
                <w:sz w:val="22"/>
                <w:szCs w:val="22"/>
                <w:lang w:val="en-US"/>
              </w:rPr>
              <w:t>较大数额罚款</w:t>
            </w:r>
            <w:r>
              <w:rPr>
                <w:rFonts w:ascii="仿宋" w:hAnsi="仿宋" w:eastAsia="仿宋" w:cs="Arial"/>
                <w:b w:val="0"/>
                <w:color w:val="333333"/>
                <w:sz w:val="22"/>
                <w:szCs w:val="22"/>
                <w:lang w:val="en-US"/>
              </w:rPr>
              <w:t>”</w:t>
            </w:r>
            <w:r>
              <w:rPr>
                <w:rFonts w:hint="eastAsia" w:ascii="仿宋" w:hAnsi="仿宋" w:eastAsia="仿宋" w:cs="Arial"/>
                <w:b w:val="0"/>
                <w:color w:val="333333"/>
                <w:sz w:val="22"/>
                <w:szCs w:val="22"/>
                <w:lang w:val="en-US"/>
              </w:rPr>
              <w:t>，是指对个人处以二千元以上罚款，对单位处以一万元以上罚款，对违反边防出境入境管理法律、法规和规章的个人处以六千元以上罚款。对依据地方性法规或者地方政府规章作出的罚款处罚，适用听证的罚款数额按照地方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1" w:type="pct"/>
            <w:vAlign w:val="center"/>
          </w:tcPr>
          <w:p>
            <w:pPr>
              <w:widowControl/>
              <w:adjustRightInd w:val="0"/>
              <w:spacing w:line="240" w:lineRule="auto"/>
              <w:ind w:firstLine="0" w:firstLineChars="0"/>
              <w:jc w:val="center"/>
              <w:rPr>
                <w:rFonts w:ascii="仿宋" w:hAnsi="仿宋" w:eastAsia="仿宋"/>
                <w:b w:val="0"/>
                <w:color w:val="000000"/>
                <w:sz w:val="22"/>
                <w:szCs w:val="22"/>
                <w:lang w:val="en-US"/>
              </w:rPr>
            </w:pPr>
            <w:r>
              <w:rPr>
                <w:rFonts w:ascii="仿宋" w:hAnsi="仿宋" w:eastAsia="仿宋"/>
                <w:b w:val="0"/>
                <w:color w:val="000000"/>
                <w:sz w:val="22"/>
                <w:szCs w:val="22"/>
                <w:lang w:val="en-US"/>
              </w:rPr>
              <w:t>2</w:t>
            </w:r>
          </w:p>
        </w:tc>
        <w:tc>
          <w:tcPr>
            <w:tcW w:w="555" w:type="pct"/>
            <w:vAlign w:val="center"/>
          </w:tcPr>
          <w:p>
            <w:pPr>
              <w:widowControl/>
              <w:adjustRightInd w:val="0"/>
              <w:spacing w:line="240" w:lineRule="auto"/>
              <w:ind w:firstLine="0" w:firstLineChars="0"/>
              <w:jc w:val="center"/>
              <w:rPr>
                <w:rFonts w:ascii="仿宋" w:hAnsi="仿宋" w:eastAsia="仿宋"/>
                <w:b w:val="0"/>
                <w:color w:val="000000"/>
                <w:sz w:val="22"/>
                <w:szCs w:val="22"/>
                <w:lang w:val="en-US"/>
              </w:rPr>
            </w:pPr>
            <w:r>
              <w:rPr>
                <w:rFonts w:hint="eastAsia" w:ascii="仿宋" w:hAnsi="仿宋" w:eastAsia="仿宋"/>
                <w:b w:val="0"/>
                <w:color w:val="000000"/>
                <w:sz w:val="22"/>
                <w:szCs w:val="22"/>
                <w:lang w:val="en-US"/>
              </w:rPr>
              <w:t>财政部</w:t>
            </w:r>
          </w:p>
        </w:tc>
        <w:tc>
          <w:tcPr>
            <w:tcW w:w="831" w:type="pct"/>
            <w:gridSpan w:val="2"/>
            <w:vAlign w:val="center"/>
          </w:tcPr>
          <w:p>
            <w:pPr>
              <w:widowControl/>
              <w:adjustRightInd w:val="0"/>
              <w:spacing w:line="240" w:lineRule="auto"/>
              <w:ind w:firstLine="0" w:firstLineChars="0"/>
              <w:jc w:val="center"/>
              <w:rPr>
                <w:rFonts w:ascii="仿宋" w:hAnsi="仿宋" w:eastAsia="仿宋" w:cs="宋体"/>
                <w:b w:val="0"/>
                <w:color w:val="000000"/>
                <w:sz w:val="22"/>
                <w:szCs w:val="22"/>
                <w:lang w:val="en-US"/>
              </w:rPr>
            </w:pPr>
            <w:r>
              <w:rPr>
                <w:rFonts w:hint="eastAsia" w:ascii="仿宋" w:hAnsi="仿宋" w:eastAsia="仿宋" w:cs="宋体"/>
                <w:b w:val="0"/>
                <w:color w:val="000000"/>
                <w:sz w:val="22"/>
                <w:szCs w:val="22"/>
                <w:lang w:val="en-US"/>
              </w:rPr>
              <w:t>《财政机关行政处罚听证实施办法》</w:t>
            </w:r>
          </w:p>
        </w:tc>
        <w:tc>
          <w:tcPr>
            <w:tcW w:w="747" w:type="pct"/>
            <w:vAlign w:val="center"/>
          </w:tcPr>
          <w:p>
            <w:pPr>
              <w:widowControl/>
              <w:adjustRightInd w:val="0"/>
              <w:spacing w:line="240" w:lineRule="auto"/>
              <w:ind w:firstLine="0" w:firstLineChars="0"/>
              <w:jc w:val="center"/>
              <w:rPr>
                <w:rFonts w:ascii="仿宋" w:hAnsi="仿宋" w:eastAsia="仿宋"/>
                <w:b w:val="0"/>
                <w:color w:val="000000"/>
                <w:sz w:val="22"/>
                <w:szCs w:val="22"/>
                <w:lang w:val="en-US"/>
              </w:rPr>
            </w:pPr>
            <w:r>
              <w:rPr>
                <w:rFonts w:hint="eastAsia" w:ascii="仿宋" w:hAnsi="仿宋" w:eastAsia="仿宋"/>
                <w:b w:val="0"/>
                <w:color w:val="000000"/>
                <w:sz w:val="22"/>
                <w:szCs w:val="22"/>
                <w:lang w:val="en-US"/>
              </w:rPr>
              <w:t>第六条</w:t>
            </w:r>
          </w:p>
        </w:tc>
        <w:tc>
          <w:tcPr>
            <w:tcW w:w="2514" w:type="pct"/>
            <w:vAlign w:val="center"/>
          </w:tcPr>
          <w:p>
            <w:pPr>
              <w:widowControl/>
              <w:adjustRightInd w:val="0"/>
              <w:spacing w:line="240" w:lineRule="auto"/>
              <w:ind w:firstLine="0" w:firstLineChars="0"/>
              <w:jc w:val="left"/>
              <w:rPr>
                <w:rFonts w:ascii="仿宋" w:hAnsi="仿宋" w:eastAsia="仿宋" w:cs="宋体"/>
                <w:b w:val="0"/>
                <w:color w:val="000000"/>
                <w:sz w:val="22"/>
                <w:szCs w:val="22"/>
                <w:lang w:val="en-US"/>
              </w:rPr>
            </w:pPr>
            <w:r>
              <w:rPr>
                <w:rFonts w:hint="eastAsia" w:ascii="仿宋" w:hAnsi="仿宋" w:eastAsia="仿宋" w:cs="宋体"/>
                <w:b w:val="0"/>
                <w:color w:val="000000"/>
                <w:sz w:val="22"/>
                <w:szCs w:val="22"/>
                <w:lang w:val="en-US"/>
              </w:rPr>
              <w:t>财政机关在行政处罚案件调查终结后，对公民、法人或者其他组织依法作出下列行政处罚决定之前，应当告知当事人有要求举行听证的权利：（一）暂停会计师事务所经营业务；（二）暂停注册会计师执行业务；（三）吊销注册会计师证书； （四）吊销会计从业资格证书；（五）撤销会计师事务所；（六）取消政府采购业务代理资格；（七）较大数额罚款；（八）法律、法规和规章规定的其他应当告知听证权利的事项。财政部以及专员办作出罚款行政处罚的，其“较大数额罚款”的标准为对公民作出5000元以上罚款，对法人或者其他组织作出5万元以上罚款。地方财政机关作出罚款行政处罚的，其“较大数额罚款”的标准按照各省、自治区、直辖市人大常委会或者人民政府的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0" w:hRule="atLeast"/>
          <w:jc w:val="center"/>
        </w:trPr>
        <w:tc>
          <w:tcPr>
            <w:tcW w:w="351" w:type="pct"/>
            <w:vAlign w:val="center"/>
          </w:tcPr>
          <w:p>
            <w:pPr>
              <w:widowControl/>
              <w:adjustRightInd w:val="0"/>
              <w:spacing w:line="240" w:lineRule="auto"/>
              <w:ind w:firstLine="0" w:firstLineChars="0"/>
              <w:jc w:val="center"/>
              <w:rPr>
                <w:rFonts w:ascii="仿宋" w:hAnsi="仿宋" w:eastAsia="仿宋"/>
                <w:b w:val="0"/>
                <w:color w:val="000000"/>
                <w:sz w:val="22"/>
                <w:szCs w:val="22"/>
                <w:lang w:val="en-US"/>
              </w:rPr>
            </w:pPr>
            <w:r>
              <w:rPr>
                <w:rFonts w:ascii="仿宋" w:hAnsi="仿宋" w:eastAsia="仿宋"/>
                <w:b w:val="0"/>
                <w:color w:val="000000"/>
                <w:sz w:val="22"/>
                <w:szCs w:val="22"/>
                <w:lang w:val="en-US"/>
              </w:rPr>
              <w:t>3</w:t>
            </w:r>
          </w:p>
        </w:tc>
        <w:tc>
          <w:tcPr>
            <w:tcW w:w="555" w:type="pct"/>
            <w:vAlign w:val="center"/>
          </w:tcPr>
          <w:p>
            <w:pPr>
              <w:widowControl/>
              <w:adjustRightInd w:val="0"/>
              <w:spacing w:line="240" w:lineRule="auto"/>
              <w:ind w:firstLine="0" w:firstLineChars="0"/>
              <w:jc w:val="center"/>
              <w:rPr>
                <w:rFonts w:ascii="仿宋" w:hAnsi="仿宋" w:eastAsia="仿宋"/>
                <w:b w:val="0"/>
                <w:color w:val="000000"/>
                <w:sz w:val="22"/>
                <w:szCs w:val="22"/>
                <w:lang w:val="en-US"/>
              </w:rPr>
            </w:pPr>
            <w:r>
              <w:rPr>
                <w:rFonts w:hint="eastAsia" w:ascii="仿宋" w:hAnsi="仿宋" w:eastAsia="仿宋"/>
                <w:b w:val="0"/>
                <w:color w:val="000000"/>
                <w:sz w:val="22"/>
                <w:szCs w:val="22"/>
                <w:lang w:val="en-US"/>
              </w:rPr>
              <w:t>教育部</w:t>
            </w:r>
          </w:p>
        </w:tc>
        <w:tc>
          <w:tcPr>
            <w:tcW w:w="831" w:type="pct"/>
            <w:gridSpan w:val="2"/>
            <w:vAlign w:val="center"/>
          </w:tcPr>
          <w:p>
            <w:pPr>
              <w:widowControl/>
              <w:adjustRightInd w:val="0"/>
              <w:spacing w:line="240" w:lineRule="auto"/>
              <w:ind w:firstLine="0" w:firstLineChars="0"/>
              <w:jc w:val="center"/>
              <w:rPr>
                <w:rFonts w:hint="eastAsia" w:ascii="仿宋" w:hAnsi="仿宋" w:eastAsia="仿宋" w:cs="宋体"/>
                <w:b w:val="0"/>
                <w:color w:val="000000"/>
                <w:sz w:val="22"/>
                <w:szCs w:val="22"/>
                <w:lang w:val="en-US"/>
              </w:rPr>
            </w:pPr>
            <w:r>
              <w:rPr>
                <w:rFonts w:hint="eastAsia" w:ascii="仿宋" w:hAnsi="仿宋" w:eastAsia="仿宋" w:cs="宋体"/>
                <w:b w:val="0"/>
                <w:color w:val="000000"/>
                <w:sz w:val="22"/>
                <w:szCs w:val="22"/>
                <w:lang w:val="en-US"/>
              </w:rPr>
              <w:t>《教育行政处罚暂行实施</w:t>
            </w:r>
          </w:p>
          <w:p>
            <w:pPr>
              <w:widowControl/>
              <w:adjustRightInd w:val="0"/>
              <w:spacing w:line="240" w:lineRule="auto"/>
              <w:ind w:firstLine="0" w:firstLineChars="0"/>
              <w:jc w:val="center"/>
              <w:rPr>
                <w:rFonts w:ascii="仿宋" w:hAnsi="仿宋" w:eastAsia="仿宋" w:cs="宋体"/>
                <w:b w:val="0"/>
                <w:color w:val="000000"/>
                <w:sz w:val="22"/>
                <w:szCs w:val="22"/>
                <w:lang w:val="en-US"/>
              </w:rPr>
            </w:pPr>
            <w:r>
              <w:rPr>
                <w:rFonts w:hint="eastAsia" w:ascii="仿宋" w:hAnsi="仿宋" w:eastAsia="仿宋" w:cs="宋体"/>
                <w:b w:val="0"/>
                <w:color w:val="000000"/>
                <w:sz w:val="22"/>
                <w:szCs w:val="22"/>
                <w:lang w:val="en-US"/>
              </w:rPr>
              <w:t>办法》</w:t>
            </w:r>
          </w:p>
        </w:tc>
        <w:tc>
          <w:tcPr>
            <w:tcW w:w="747" w:type="pct"/>
            <w:vAlign w:val="center"/>
          </w:tcPr>
          <w:p>
            <w:pPr>
              <w:widowControl/>
              <w:adjustRightInd w:val="0"/>
              <w:spacing w:line="240" w:lineRule="auto"/>
              <w:ind w:firstLine="0" w:firstLineChars="0"/>
              <w:jc w:val="center"/>
              <w:rPr>
                <w:rFonts w:ascii="仿宋" w:hAnsi="仿宋" w:eastAsia="仿宋"/>
                <w:b w:val="0"/>
                <w:color w:val="000000"/>
                <w:sz w:val="22"/>
                <w:szCs w:val="22"/>
                <w:lang w:val="en-US"/>
              </w:rPr>
            </w:pPr>
            <w:r>
              <w:rPr>
                <w:rFonts w:hint="eastAsia" w:ascii="仿宋" w:hAnsi="仿宋" w:eastAsia="仿宋"/>
                <w:b w:val="0"/>
                <w:color w:val="000000"/>
                <w:sz w:val="22"/>
                <w:szCs w:val="22"/>
                <w:lang w:val="en-US"/>
              </w:rPr>
              <w:t>第二十七条</w:t>
            </w:r>
          </w:p>
        </w:tc>
        <w:tc>
          <w:tcPr>
            <w:tcW w:w="2514" w:type="pct"/>
            <w:vAlign w:val="center"/>
          </w:tcPr>
          <w:p>
            <w:pPr>
              <w:widowControl/>
              <w:adjustRightInd w:val="0"/>
              <w:spacing w:line="240" w:lineRule="auto"/>
              <w:ind w:firstLine="0" w:firstLineChars="0"/>
              <w:jc w:val="left"/>
              <w:rPr>
                <w:rFonts w:ascii="仿宋" w:hAnsi="仿宋" w:eastAsia="仿宋" w:cs="宋体"/>
                <w:b w:val="0"/>
                <w:color w:val="000000"/>
                <w:sz w:val="22"/>
                <w:szCs w:val="22"/>
                <w:lang w:val="en-US"/>
              </w:rPr>
            </w:pPr>
            <w:r>
              <w:rPr>
                <w:rFonts w:hint="eastAsia" w:ascii="仿宋" w:hAnsi="仿宋" w:eastAsia="仿宋" w:cs="宋体"/>
                <w:b w:val="0"/>
                <w:color w:val="000000"/>
                <w:sz w:val="22"/>
                <w:szCs w:val="22"/>
                <w:lang w:val="en-US"/>
              </w:rPr>
              <w:t>教育行政部门在作出本办法第九条第（三）、（四）、（五）、（六）、（七）、（八）、（九）项之一以及较大数额罚款的处罚决定前，除应当告知作出处罚决定的事实、理由和依据外，还应当书面告知当事人有要求举行听证的权利。前款所指的较大数额的罚款，标准为：由国务院教育行政部门作出罚款决定的，为五千元以上；由地方人民政府教育行政部门作出罚款决定的，具体标准由省一级人民政府决定。当事人在教育行政部门告知后三日内提出举行听证要求的，教育行政部门应当按照《中华人民共和国行政处罚法》第四十二条的规定，组织听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351" w:type="pct"/>
            <w:vAlign w:val="center"/>
          </w:tcPr>
          <w:p>
            <w:pPr>
              <w:widowControl/>
              <w:adjustRightInd w:val="0"/>
              <w:spacing w:line="240" w:lineRule="auto"/>
              <w:ind w:firstLine="0" w:firstLineChars="0"/>
              <w:jc w:val="center"/>
              <w:rPr>
                <w:rFonts w:ascii="仿宋" w:hAnsi="仿宋" w:eastAsia="仿宋"/>
                <w:b w:val="0"/>
                <w:color w:val="000000"/>
                <w:sz w:val="22"/>
                <w:szCs w:val="22"/>
                <w:lang w:val="en-US"/>
              </w:rPr>
            </w:pPr>
            <w:r>
              <w:rPr>
                <w:rFonts w:ascii="仿宋" w:hAnsi="仿宋" w:eastAsia="仿宋"/>
                <w:b w:val="0"/>
                <w:color w:val="000000"/>
                <w:sz w:val="22"/>
                <w:szCs w:val="22"/>
                <w:lang w:val="en-US"/>
              </w:rPr>
              <w:t>4</w:t>
            </w:r>
          </w:p>
        </w:tc>
        <w:tc>
          <w:tcPr>
            <w:tcW w:w="555" w:type="pct"/>
            <w:vAlign w:val="center"/>
          </w:tcPr>
          <w:p>
            <w:pPr>
              <w:widowControl/>
              <w:adjustRightInd w:val="0"/>
              <w:spacing w:line="240" w:lineRule="auto"/>
              <w:ind w:firstLine="0" w:firstLineChars="0"/>
              <w:jc w:val="center"/>
              <w:rPr>
                <w:rFonts w:ascii="仿宋" w:hAnsi="仿宋" w:eastAsia="仿宋"/>
                <w:b w:val="0"/>
                <w:color w:val="000000"/>
                <w:sz w:val="22"/>
                <w:szCs w:val="22"/>
                <w:lang w:val="en-US"/>
              </w:rPr>
            </w:pPr>
            <w:r>
              <w:rPr>
                <w:rFonts w:hint="eastAsia" w:ascii="仿宋" w:hAnsi="仿宋" w:eastAsia="仿宋"/>
                <w:b w:val="0"/>
                <w:color w:val="000000"/>
                <w:sz w:val="22"/>
                <w:szCs w:val="22"/>
                <w:lang w:val="en-US"/>
              </w:rPr>
              <w:t>司法部</w:t>
            </w:r>
          </w:p>
        </w:tc>
        <w:tc>
          <w:tcPr>
            <w:tcW w:w="831" w:type="pct"/>
            <w:gridSpan w:val="2"/>
            <w:vAlign w:val="center"/>
          </w:tcPr>
          <w:p>
            <w:pPr>
              <w:widowControl/>
              <w:adjustRightInd w:val="0"/>
              <w:spacing w:line="240" w:lineRule="auto"/>
              <w:ind w:firstLine="0" w:firstLineChars="0"/>
              <w:jc w:val="center"/>
              <w:rPr>
                <w:rFonts w:ascii="仿宋" w:hAnsi="仿宋" w:eastAsia="仿宋" w:cs="宋体"/>
                <w:b w:val="0"/>
                <w:color w:val="000000"/>
                <w:sz w:val="22"/>
                <w:szCs w:val="22"/>
                <w:lang w:val="en-US"/>
              </w:rPr>
            </w:pPr>
            <w:r>
              <w:rPr>
                <w:rFonts w:hint="eastAsia" w:ascii="仿宋" w:hAnsi="仿宋" w:eastAsia="仿宋" w:cs="宋体"/>
                <w:b w:val="0"/>
                <w:color w:val="000000"/>
                <w:sz w:val="22"/>
                <w:szCs w:val="22"/>
                <w:lang w:val="en-US"/>
              </w:rPr>
              <w:t>《司法行政机关行政处罚听证程序规定》</w:t>
            </w:r>
          </w:p>
        </w:tc>
        <w:tc>
          <w:tcPr>
            <w:tcW w:w="747" w:type="pct"/>
            <w:vAlign w:val="center"/>
          </w:tcPr>
          <w:p>
            <w:pPr>
              <w:widowControl/>
              <w:adjustRightInd w:val="0"/>
              <w:spacing w:line="240" w:lineRule="auto"/>
              <w:ind w:firstLine="0" w:firstLineChars="0"/>
              <w:jc w:val="center"/>
              <w:rPr>
                <w:rFonts w:ascii="仿宋" w:hAnsi="仿宋" w:eastAsia="仿宋"/>
                <w:b w:val="0"/>
                <w:color w:val="000000"/>
                <w:sz w:val="22"/>
                <w:szCs w:val="22"/>
                <w:lang w:val="en-US"/>
              </w:rPr>
            </w:pPr>
            <w:r>
              <w:rPr>
                <w:rFonts w:hint="eastAsia" w:ascii="仿宋" w:hAnsi="仿宋" w:eastAsia="仿宋"/>
                <w:b w:val="0"/>
                <w:color w:val="000000"/>
                <w:sz w:val="22"/>
                <w:szCs w:val="22"/>
                <w:lang w:val="en-US"/>
              </w:rPr>
              <w:t>第二十条</w:t>
            </w:r>
          </w:p>
        </w:tc>
        <w:tc>
          <w:tcPr>
            <w:tcW w:w="2514" w:type="pct"/>
            <w:vAlign w:val="center"/>
          </w:tcPr>
          <w:p>
            <w:pPr>
              <w:widowControl/>
              <w:adjustRightInd w:val="0"/>
              <w:spacing w:line="240" w:lineRule="auto"/>
              <w:ind w:firstLine="0" w:firstLineChars="0"/>
              <w:jc w:val="left"/>
              <w:rPr>
                <w:rFonts w:ascii="仿宋" w:hAnsi="仿宋" w:eastAsia="仿宋" w:cs="宋体"/>
                <w:b w:val="0"/>
                <w:color w:val="000000"/>
                <w:sz w:val="22"/>
                <w:szCs w:val="22"/>
                <w:lang w:val="en-US"/>
              </w:rPr>
            </w:pPr>
            <w:r>
              <w:rPr>
                <w:rFonts w:hint="eastAsia" w:ascii="仿宋" w:hAnsi="仿宋" w:eastAsia="仿宋" w:cs="宋体"/>
                <w:b w:val="0"/>
                <w:color w:val="000000"/>
                <w:sz w:val="22"/>
                <w:szCs w:val="22"/>
                <w:lang w:val="en-US"/>
              </w:rPr>
              <w:t>司法行政机关在作出下列行政处罚之前，案件调查部门应当告知当事人在三日内有要求举行听证的权利：（一）责令停业；（二）吊销许可证或者执业证书；（三）对个人处以三千元以上罚款，对法人或者其他组织处以二万元以上罚款；（四）法律法规以及规章规定的其他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351" w:type="pct"/>
            <w:vAlign w:val="center"/>
          </w:tcPr>
          <w:p>
            <w:pPr>
              <w:widowControl/>
              <w:adjustRightInd w:val="0"/>
              <w:spacing w:line="240" w:lineRule="auto"/>
              <w:ind w:firstLine="0" w:firstLineChars="0"/>
              <w:jc w:val="center"/>
              <w:rPr>
                <w:rFonts w:ascii="仿宋" w:hAnsi="仿宋" w:eastAsia="仿宋"/>
                <w:b w:val="0"/>
                <w:color w:val="000000"/>
                <w:sz w:val="22"/>
                <w:szCs w:val="22"/>
                <w:lang w:val="en-US"/>
              </w:rPr>
            </w:pPr>
            <w:r>
              <w:rPr>
                <w:rFonts w:ascii="仿宋" w:hAnsi="仿宋" w:eastAsia="仿宋"/>
                <w:b w:val="0"/>
                <w:color w:val="000000"/>
                <w:sz w:val="22"/>
                <w:szCs w:val="22"/>
                <w:lang w:val="en-US"/>
              </w:rPr>
              <w:t>5</w:t>
            </w:r>
          </w:p>
        </w:tc>
        <w:tc>
          <w:tcPr>
            <w:tcW w:w="555" w:type="pct"/>
            <w:vAlign w:val="center"/>
          </w:tcPr>
          <w:p>
            <w:pPr>
              <w:widowControl/>
              <w:adjustRightInd w:val="0"/>
              <w:spacing w:line="240" w:lineRule="auto"/>
              <w:ind w:firstLine="0" w:firstLineChars="0"/>
              <w:jc w:val="center"/>
              <w:rPr>
                <w:rFonts w:ascii="仿宋" w:hAnsi="仿宋" w:eastAsia="仿宋"/>
                <w:b w:val="0"/>
                <w:color w:val="000000"/>
                <w:sz w:val="22"/>
                <w:szCs w:val="22"/>
                <w:lang w:val="en-US"/>
              </w:rPr>
            </w:pPr>
            <w:r>
              <w:rPr>
                <w:rFonts w:hint="eastAsia" w:ascii="仿宋" w:hAnsi="仿宋" w:eastAsia="仿宋"/>
                <w:b w:val="0"/>
                <w:color w:val="000000"/>
                <w:sz w:val="22"/>
                <w:szCs w:val="22"/>
                <w:lang w:val="en-US"/>
              </w:rPr>
              <w:t>应急管理部</w:t>
            </w:r>
          </w:p>
        </w:tc>
        <w:tc>
          <w:tcPr>
            <w:tcW w:w="831" w:type="pct"/>
            <w:gridSpan w:val="2"/>
            <w:vAlign w:val="center"/>
          </w:tcPr>
          <w:p>
            <w:pPr>
              <w:widowControl/>
              <w:adjustRightInd w:val="0"/>
              <w:spacing w:line="240" w:lineRule="auto"/>
              <w:ind w:firstLine="0" w:firstLineChars="0"/>
              <w:jc w:val="center"/>
              <w:rPr>
                <w:rFonts w:ascii="仿宋" w:hAnsi="仿宋" w:eastAsia="仿宋" w:cs="宋体"/>
                <w:b w:val="0"/>
                <w:color w:val="000000"/>
                <w:sz w:val="22"/>
                <w:szCs w:val="22"/>
                <w:lang w:val="en-US"/>
              </w:rPr>
            </w:pPr>
            <w:r>
              <w:rPr>
                <w:rFonts w:hint="eastAsia" w:ascii="仿宋" w:hAnsi="仿宋" w:eastAsia="仿宋" w:cs="宋体"/>
                <w:b w:val="0"/>
                <w:color w:val="000000"/>
                <w:sz w:val="22"/>
                <w:szCs w:val="22"/>
                <w:lang w:val="en-US"/>
              </w:rPr>
              <w:t>《安全生产违法行为行政处罚办法》</w:t>
            </w:r>
          </w:p>
        </w:tc>
        <w:tc>
          <w:tcPr>
            <w:tcW w:w="747" w:type="pct"/>
            <w:vAlign w:val="center"/>
          </w:tcPr>
          <w:p>
            <w:pPr>
              <w:widowControl/>
              <w:adjustRightInd w:val="0"/>
              <w:spacing w:line="240" w:lineRule="auto"/>
              <w:ind w:firstLine="0" w:firstLineChars="0"/>
              <w:jc w:val="center"/>
              <w:rPr>
                <w:rFonts w:ascii="仿宋" w:hAnsi="仿宋" w:eastAsia="仿宋"/>
                <w:b w:val="0"/>
                <w:color w:val="000000"/>
                <w:sz w:val="22"/>
                <w:szCs w:val="22"/>
                <w:lang w:val="en-US"/>
              </w:rPr>
            </w:pPr>
            <w:r>
              <w:rPr>
                <w:rFonts w:hint="eastAsia" w:ascii="仿宋" w:hAnsi="仿宋" w:eastAsia="仿宋"/>
                <w:b w:val="0"/>
                <w:color w:val="000000"/>
                <w:sz w:val="22"/>
                <w:szCs w:val="22"/>
                <w:lang w:val="en-US"/>
              </w:rPr>
              <w:t>第三十二条</w:t>
            </w:r>
          </w:p>
        </w:tc>
        <w:tc>
          <w:tcPr>
            <w:tcW w:w="2514" w:type="pct"/>
            <w:vAlign w:val="center"/>
          </w:tcPr>
          <w:p>
            <w:pPr>
              <w:widowControl/>
              <w:adjustRightInd w:val="0"/>
              <w:spacing w:line="240" w:lineRule="auto"/>
              <w:ind w:firstLine="0" w:firstLineChars="0"/>
              <w:jc w:val="left"/>
              <w:rPr>
                <w:rFonts w:ascii="仿宋" w:hAnsi="仿宋" w:eastAsia="仿宋" w:cs="宋体"/>
                <w:b w:val="0"/>
                <w:color w:val="000000"/>
                <w:sz w:val="22"/>
                <w:szCs w:val="22"/>
                <w:lang w:val="en-US"/>
              </w:rPr>
            </w:pPr>
            <w:r>
              <w:rPr>
                <w:rFonts w:hint="eastAsia" w:ascii="仿宋" w:hAnsi="仿宋" w:eastAsia="仿宋" w:cs="宋体"/>
                <w:b w:val="0"/>
                <w:color w:val="000000"/>
                <w:sz w:val="22"/>
                <w:szCs w:val="22"/>
                <w:lang w:val="en-US"/>
              </w:rPr>
              <w:t>安全监管监察部门作出责令停产停业整顿、责令停产停业、吊销有关许可证、撤销有关执业资格、岗位证书或者较大数额罚款的行政处罚决定之前，应当告知当事人有要求举行听证的权利；当事人要求听证的，安全监管监察部门应当组织听证，不得向当事人收取听证费用。 前款所称较大数额罚款，为省、自治区、直辖市人大常委会或者人民政府规定的数额；没有规定数额的，其数额对个人罚款为1万元以上，对生产经营单位罚款为3万元以上。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0" w:hRule="atLeast"/>
          <w:jc w:val="center"/>
        </w:trPr>
        <w:tc>
          <w:tcPr>
            <w:tcW w:w="351" w:type="pct"/>
            <w:vAlign w:val="center"/>
          </w:tcPr>
          <w:p>
            <w:pPr>
              <w:widowControl/>
              <w:adjustRightInd w:val="0"/>
              <w:spacing w:line="240" w:lineRule="auto"/>
              <w:ind w:firstLine="0" w:firstLineChars="0"/>
              <w:jc w:val="center"/>
              <w:rPr>
                <w:rFonts w:ascii="仿宋" w:hAnsi="仿宋" w:eastAsia="仿宋"/>
                <w:b w:val="0"/>
                <w:color w:val="000000"/>
                <w:sz w:val="22"/>
                <w:szCs w:val="22"/>
                <w:lang w:val="en-US"/>
              </w:rPr>
            </w:pPr>
            <w:r>
              <w:rPr>
                <w:rFonts w:ascii="仿宋" w:hAnsi="仿宋" w:eastAsia="仿宋"/>
                <w:b w:val="0"/>
                <w:color w:val="000000"/>
                <w:sz w:val="22"/>
                <w:szCs w:val="22"/>
                <w:lang w:val="en-US"/>
              </w:rPr>
              <w:t>6</w:t>
            </w:r>
          </w:p>
        </w:tc>
        <w:tc>
          <w:tcPr>
            <w:tcW w:w="555" w:type="pct"/>
            <w:vAlign w:val="center"/>
          </w:tcPr>
          <w:p>
            <w:pPr>
              <w:widowControl/>
              <w:adjustRightInd w:val="0"/>
              <w:spacing w:line="240" w:lineRule="auto"/>
              <w:ind w:firstLine="0" w:firstLineChars="0"/>
              <w:jc w:val="center"/>
              <w:rPr>
                <w:rFonts w:ascii="仿宋" w:hAnsi="仿宋" w:eastAsia="仿宋" w:cs="宋体"/>
                <w:b w:val="0"/>
                <w:color w:val="000000"/>
                <w:sz w:val="22"/>
                <w:szCs w:val="22"/>
                <w:lang w:val="en-US"/>
              </w:rPr>
            </w:pPr>
            <w:r>
              <w:rPr>
                <w:rFonts w:hint="eastAsia" w:ascii="仿宋" w:hAnsi="仿宋" w:eastAsia="仿宋" w:cs="宋体"/>
                <w:b w:val="0"/>
                <w:color w:val="000000"/>
                <w:sz w:val="22"/>
                <w:szCs w:val="22"/>
                <w:lang w:val="en-US"/>
              </w:rPr>
              <w:t>生态环境部</w:t>
            </w:r>
          </w:p>
        </w:tc>
        <w:tc>
          <w:tcPr>
            <w:tcW w:w="831" w:type="pct"/>
            <w:gridSpan w:val="2"/>
            <w:vAlign w:val="center"/>
          </w:tcPr>
          <w:p>
            <w:pPr>
              <w:widowControl/>
              <w:adjustRightInd w:val="0"/>
              <w:spacing w:line="240" w:lineRule="auto"/>
              <w:ind w:firstLine="0" w:firstLineChars="0"/>
              <w:jc w:val="center"/>
              <w:rPr>
                <w:rFonts w:hint="eastAsia" w:ascii="仿宋" w:hAnsi="仿宋" w:eastAsia="仿宋" w:cs="宋体"/>
                <w:b w:val="0"/>
                <w:color w:val="000000"/>
                <w:sz w:val="22"/>
                <w:szCs w:val="22"/>
                <w:lang w:val="en-US"/>
              </w:rPr>
            </w:pPr>
            <w:r>
              <w:rPr>
                <w:rFonts w:hint="eastAsia" w:ascii="仿宋" w:hAnsi="仿宋" w:eastAsia="仿宋" w:cs="宋体"/>
                <w:b w:val="0"/>
                <w:color w:val="000000"/>
                <w:sz w:val="22"/>
                <w:szCs w:val="22"/>
                <w:lang w:val="en-US"/>
              </w:rPr>
              <w:t>《环境行政处罚听证程序</w:t>
            </w:r>
          </w:p>
          <w:p>
            <w:pPr>
              <w:widowControl/>
              <w:adjustRightInd w:val="0"/>
              <w:spacing w:line="240" w:lineRule="auto"/>
              <w:ind w:firstLine="0" w:firstLineChars="0"/>
              <w:jc w:val="center"/>
              <w:rPr>
                <w:rFonts w:ascii="仿宋" w:hAnsi="仿宋" w:eastAsia="仿宋" w:cs="宋体"/>
                <w:b w:val="0"/>
                <w:color w:val="000000"/>
                <w:sz w:val="22"/>
                <w:szCs w:val="22"/>
                <w:lang w:val="en-US"/>
              </w:rPr>
            </w:pPr>
            <w:r>
              <w:rPr>
                <w:rFonts w:hint="eastAsia" w:ascii="仿宋" w:hAnsi="仿宋" w:eastAsia="仿宋" w:cs="宋体"/>
                <w:b w:val="0"/>
                <w:color w:val="000000"/>
                <w:sz w:val="22"/>
                <w:szCs w:val="22"/>
                <w:lang w:val="en-US"/>
              </w:rPr>
              <w:t>规定》</w:t>
            </w:r>
          </w:p>
        </w:tc>
        <w:tc>
          <w:tcPr>
            <w:tcW w:w="747" w:type="pct"/>
            <w:vAlign w:val="center"/>
          </w:tcPr>
          <w:p>
            <w:pPr>
              <w:widowControl/>
              <w:adjustRightInd w:val="0"/>
              <w:spacing w:line="240" w:lineRule="auto"/>
              <w:ind w:firstLine="0" w:firstLineChars="0"/>
              <w:jc w:val="center"/>
              <w:rPr>
                <w:rFonts w:ascii="仿宋" w:hAnsi="仿宋" w:eastAsia="仿宋"/>
                <w:b w:val="0"/>
                <w:color w:val="000000"/>
                <w:sz w:val="22"/>
                <w:szCs w:val="22"/>
                <w:lang w:val="en-US"/>
              </w:rPr>
            </w:pPr>
            <w:r>
              <w:rPr>
                <w:rFonts w:hint="eastAsia" w:ascii="仿宋" w:hAnsi="仿宋" w:eastAsia="仿宋"/>
                <w:b w:val="0"/>
                <w:color w:val="000000"/>
                <w:sz w:val="22"/>
                <w:szCs w:val="22"/>
                <w:lang w:val="en-US"/>
              </w:rPr>
              <w:t>第五条</w:t>
            </w:r>
          </w:p>
        </w:tc>
        <w:tc>
          <w:tcPr>
            <w:tcW w:w="2514" w:type="pct"/>
            <w:vAlign w:val="center"/>
          </w:tcPr>
          <w:p>
            <w:pPr>
              <w:widowControl/>
              <w:adjustRightInd w:val="0"/>
              <w:spacing w:line="240" w:lineRule="auto"/>
              <w:ind w:firstLine="0" w:firstLineChars="0"/>
              <w:jc w:val="left"/>
              <w:rPr>
                <w:rFonts w:ascii="仿宋" w:hAnsi="仿宋" w:eastAsia="仿宋" w:cs="宋体"/>
                <w:b w:val="0"/>
                <w:color w:val="000000"/>
                <w:sz w:val="22"/>
                <w:szCs w:val="22"/>
                <w:lang w:val="en-US"/>
              </w:rPr>
            </w:pPr>
            <w:r>
              <w:rPr>
                <w:rFonts w:hint="eastAsia" w:ascii="仿宋" w:hAnsi="仿宋" w:eastAsia="仿宋" w:cs="宋体"/>
                <w:b w:val="0"/>
                <w:color w:val="000000"/>
                <w:sz w:val="22"/>
                <w:szCs w:val="22"/>
                <w:lang w:val="en-US"/>
              </w:rPr>
              <w:t>环境保护主管部门在作出以下行政处罚决定之前，应当告知当事人有申请听证的权利；当事人申请听证的，环境保护主管部门应当组织听证：</w:t>
            </w:r>
            <w:r>
              <w:rPr>
                <w:rFonts w:hint="eastAsia" w:ascii="仿宋" w:hAnsi="仿宋" w:eastAsia="仿宋" w:cs="宋体"/>
                <w:b w:val="0"/>
                <w:color w:val="000000"/>
                <w:sz w:val="22"/>
                <w:szCs w:val="22"/>
                <w:lang w:val="en-US"/>
              </w:rPr>
              <w:br w:type="textWrapping"/>
            </w:r>
            <w:r>
              <w:rPr>
                <w:rFonts w:hint="eastAsia" w:ascii="仿宋" w:hAnsi="仿宋" w:eastAsia="仿宋" w:cs="宋体"/>
                <w:b w:val="0"/>
                <w:color w:val="000000"/>
                <w:sz w:val="22"/>
                <w:szCs w:val="22"/>
                <w:lang w:val="en-US"/>
              </w:rPr>
              <w:t>（一）拟对法人、其他组织处以人民币50000元以上或者对公民处以人民币5000元以上罚款的；（二）拟对法人、其他组织处以人民币（或者等值物品价值）50000元以上或者对公民处以人民币（或者等值物品价值）5000元以上的没收违法所得或者没收非法财物的；（三）拟处以暂扣、吊销许可证或者其他具有许可性质的证件的；（四）拟责令停产、停业、关闭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jc w:val="center"/>
        </w:trPr>
        <w:tc>
          <w:tcPr>
            <w:tcW w:w="351" w:type="pct"/>
            <w:vAlign w:val="center"/>
          </w:tcPr>
          <w:p>
            <w:pPr>
              <w:widowControl/>
              <w:adjustRightInd w:val="0"/>
              <w:spacing w:line="240" w:lineRule="auto"/>
              <w:ind w:firstLine="0" w:firstLineChars="0"/>
              <w:jc w:val="center"/>
              <w:rPr>
                <w:rFonts w:ascii="仿宋" w:hAnsi="仿宋" w:eastAsia="仿宋"/>
                <w:b w:val="0"/>
                <w:color w:val="000000"/>
                <w:sz w:val="22"/>
                <w:szCs w:val="22"/>
                <w:lang w:val="en-US"/>
              </w:rPr>
            </w:pPr>
            <w:r>
              <w:rPr>
                <w:rFonts w:ascii="仿宋" w:hAnsi="仿宋" w:eastAsia="仿宋"/>
                <w:b w:val="0"/>
                <w:color w:val="000000"/>
                <w:sz w:val="22"/>
                <w:szCs w:val="22"/>
                <w:lang w:val="en-US"/>
              </w:rPr>
              <w:t>7</w:t>
            </w:r>
          </w:p>
        </w:tc>
        <w:tc>
          <w:tcPr>
            <w:tcW w:w="555" w:type="pct"/>
            <w:vAlign w:val="center"/>
          </w:tcPr>
          <w:p>
            <w:pPr>
              <w:widowControl/>
              <w:adjustRightInd w:val="0"/>
              <w:spacing w:line="240" w:lineRule="auto"/>
              <w:ind w:firstLine="0" w:firstLineChars="0"/>
              <w:jc w:val="center"/>
              <w:rPr>
                <w:rFonts w:hint="eastAsia" w:ascii="仿宋" w:hAnsi="仿宋" w:eastAsia="仿宋"/>
                <w:b w:val="0"/>
                <w:color w:val="000000"/>
                <w:sz w:val="22"/>
                <w:szCs w:val="22"/>
                <w:lang w:val="en-US"/>
              </w:rPr>
            </w:pPr>
            <w:r>
              <w:rPr>
                <w:rFonts w:hint="eastAsia" w:ascii="仿宋" w:hAnsi="仿宋" w:eastAsia="仿宋"/>
                <w:b w:val="0"/>
                <w:color w:val="000000"/>
                <w:sz w:val="22"/>
                <w:szCs w:val="22"/>
                <w:lang w:val="en-US"/>
              </w:rPr>
              <w:t>人力资源与社会保</w:t>
            </w:r>
          </w:p>
          <w:p>
            <w:pPr>
              <w:widowControl/>
              <w:adjustRightInd w:val="0"/>
              <w:spacing w:line="240" w:lineRule="auto"/>
              <w:ind w:firstLine="0" w:firstLineChars="0"/>
              <w:jc w:val="center"/>
              <w:rPr>
                <w:rFonts w:ascii="仿宋" w:hAnsi="仿宋" w:eastAsia="仿宋"/>
                <w:b w:val="0"/>
                <w:color w:val="000000"/>
                <w:sz w:val="22"/>
                <w:szCs w:val="22"/>
                <w:lang w:val="en-US"/>
              </w:rPr>
            </w:pPr>
            <w:r>
              <w:rPr>
                <w:rFonts w:hint="eastAsia" w:ascii="仿宋" w:hAnsi="仿宋" w:eastAsia="仿宋"/>
                <w:b w:val="0"/>
                <w:color w:val="000000"/>
                <w:sz w:val="22"/>
                <w:szCs w:val="22"/>
                <w:lang w:val="en-US"/>
              </w:rPr>
              <w:t>障部</w:t>
            </w:r>
          </w:p>
        </w:tc>
        <w:tc>
          <w:tcPr>
            <w:tcW w:w="831" w:type="pct"/>
            <w:gridSpan w:val="2"/>
            <w:vAlign w:val="center"/>
          </w:tcPr>
          <w:p>
            <w:pPr>
              <w:widowControl/>
              <w:adjustRightInd w:val="0"/>
              <w:spacing w:line="240" w:lineRule="auto"/>
              <w:ind w:firstLine="0" w:firstLineChars="0"/>
              <w:jc w:val="center"/>
              <w:rPr>
                <w:rFonts w:hint="eastAsia" w:ascii="仿宋" w:hAnsi="仿宋" w:eastAsia="仿宋" w:cs="宋体"/>
                <w:b w:val="0"/>
                <w:color w:val="000000"/>
                <w:sz w:val="22"/>
                <w:szCs w:val="22"/>
                <w:lang w:val="en-US"/>
              </w:rPr>
            </w:pPr>
            <w:r>
              <w:rPr>
                <w:rFonts w:hint="eastAsia" w:ascii="仿宋" w:hAnsi="仿宋" w:eastAsia="仿宋" w:cs="宋体"/>
                <w:b w:val="0"/>
                <w:color w:val="000000"/>
                <w:sz w:val="22"/>
                <w:szCs w:val="22"/>
                <w:lang w:val="en-US"/>
              </w:rPr>
              <w:t>《劳动行政处罚听证程序</w:t>
            </w:r>
          </w:p>
          <w:p>
            <w:pPr>
              <w:widowControl/>
              <w:adjustRightInd w:val="0"/>
              <w:spacing w:line="240" w:lineRule="auto"/>
              <w:ind w:firstLine="0" w:firstLineChars="0"/>
              <w:jc w:val="center"/>
              <w:rPr>
                <w:rFonts w:ascii="仿宋" w:hAnsi="仿宋" w:eastAsia="仿宋" w:cs="宋体"/>
                <w:b w:val="0"/>
                <w:color w:val="000000"/>
                <w:sz w:val="22"/>
                <w:szCs w:val="22"/>
                <w:lang w:val="en-US"/>
              </w:rPr>
            </w:pPr>
            <w:r>
              <w:rPr>
                <w:rFonts w:hint="eastAsia" w:ascii="仿宋" w:hAnsi="仿宋" w:eastAsia="仿宋" w:cs="宋体"/>
                <w:b w:val="0"/>
                <w:color w:val="000000"/>
                <w:sz w:val="22"/>
                <w:szCs w:val="22"/>
                <w:lang w:val="en-US"/>
              </w:rPr>
              <w:t>规定》</w:t>
            </w:r>
          </w:p>
        </w:tc>
        <w:tc>
          <w:tcPr>
            <w:tcW w:w="747" w:type="pct"/>
            <w:vAlign w:val="center"/>
          </w:tcPr>
          <w:p>
            <w:pPr>
              <w:widowControl/>
              <w:adjustRightInd w:val="0"/>
              <w:spacing w:line="240" w:lineRule="auto"/>
              <w:ind w:firstLine="0" w:firstLineChars="0"/>
              <w:jc w:val="center"/>
              <w:rPr>
                <w:rFonts w:ascii="仿宋" w:hAnsi="仿宋" w:eastAsia="仿宋"/>
                <w:b w:val="0"/>
                <w:color w:val="000000"/>
                <w:sz w:val="22"/>
                <w:szCs w:val="22"/>
                <w:lang w:val="en-US"/>
              </w:rPr>
            </w:pPr>
            <w:r>
              <w:rPr>
                <w:rFonts w:hint="eastAsia" w:ascii="仿宋" w:hAnsi="仿宋" w:eastAsia="仿宋"/>
                <w:b w:val="0"/>
                <w:color w:val="000000"/>
                <w:sz w:val="22"/>
                <w:szCs w:val="22"/>
                <w:lang w:val="en-US"/>
              </w:rPr>
              <w:t>第三条</w:t>
            </w:r>
          </w:p>
        </w:tc>
        <w:tc>
          <w:tcPr>
            <w:tcW w:w="2514" w:type="pct"/>
            <w:vAlign w:val="center"/>
          </w:tcPr>
          <w:p>
            <w:pPr>
              <w:widowControl/>
              <w:adjustRightInd w:val="0"/>
              <w:spacing w:line="240" w:lineRule="auto"/>
              <w:ind w:firstLine="0" w:firstLineChars="0"/>
              <w:jc w:val="left"/>
              <w:rPr>
                <w:rFonts w:ascii="仿宋" w:hAnsi="仿宋" w:eastAsia="仿宋" w:cs="宋体"/>
                <w:b w:val="0"/>
                <w:color w:val="000000"/>
                <w:sz w:val="22"/>
                <w:szCs w:val="22"/>
                <w:lang w:val="en-US"/>
              </w:rPr>
            </w:pPr>
            <w:r>
              <w:rPr>
                <w:rFonts w:hint="eastAsia" w:ascii="仿宋" w:hAnsi="仿宋" w:eastAsia="仿宋" w:cs="宋体"/>
                <w:b w:val="0"/>
                <w:color w:val="000000"/>
                <w:sz w:val="22"/>
                <w:szCs w:val="22"/>
                <w:lang w:val="en-US"/>
              </w:rPr>
              <w:t>劳动行政部门作出责令停产停业、吊销许可证、较大数额罚款等行政处罚决定之前，应当告知当事人有要求听证的权利；当事人要求听证的，劳动行政部门应当组织听证。当事人不承担组织听证的费用。 根据国务院的规定，较大数额罚款的听证范围，由省、自治区、直辖市人大常委会或人民政府确定。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jc w:val="center"/>
        </w:trPr>
        <w:tc>
          <w:tcPr>
            <w:tcW w:w="351" w:type="pct"/>
            <w:vAlign w:val="center"/>
          </w:tcPr>
          <w:p>
            <w:pPr>
              <w:widowControl/>
              <w:adjustRightInd w:val="0"/>
              <w:spacing w:line="240" w:lineRule="auto"/>
              <w:ind w:firstLine="0" w:firstLineChars="0"/>
              <w:jc w:val="center"/>
              <w:rPr>
                <w:rFonts w:ascii="仿宋" w:hAnsi="仿宋" w:eastAsia="仿宋"/>
                <w:b w:val="0"/>
                <w:color w:val="000000"/>
                <w:sz w:val="22"/>
                <w:szCs w:val="22"/>
                <w:lang w:val="en-US"/>
              </w:rPr>
            </w:pPr>
            <w:r>
              <w:rPr>
                <w:rFonts w:ascii="仿宋" w:hAnsi="仿宋" w:eastAsia="仿宋"/>
                <w:b w:val="0"/>
                <w:color w:val="000000"/>
                <w:sz w:val="22"/>
                <w:szCs w:val="22"/>
                <w:lang w:val="en-US"/>
              </w:rPr>
              <w:t>8</w:t>
            </w:r>
          </w:p>
        </w:tc>
        <w:tc>
          <w:tcPr>
            <w:tcW w:w="555" w:type="pct"/>
            <w:vAlign w:val="center"/>
          </w:tcPr>
          <w:p>
            <w:pPr>
              <w:widowControl/>
              <w:adjustRightInd w:val="0"/>
              <w:spacing w:line="240" w:lineRule="auto"/>
              <w:ind w:firstLine="0" w:firstLineChars="0"/>
              <w:jc w:val="center"/>
              <w:rPr>
                <w:rFonts w:hint="eastAsia" w:ascii="仿宋" w:hAnsi="仿宋" w:eastAsia="仿宋"/>
                <w:b w:val="0"/>
                <w:color w:val="000000"/>
                <w:sz w:val="22"/>
                <w:szCs w:val="22"/>
                <w:lang w:val="en-US"/>
              </w:rPr>
            </w:pPr>
            <w:r>
              <w:rPr>
                <w:rFonts w:hint="eastAsia" w:ascii="仿宋" w:hAnsi="仿宋" w:eastAsia="仿宋"/>
                <w:b w:val="0"/>
                <w:color w:val="000000"/>
                <w:sz w:val="22"/>
                <w:szCs w:val="22"/>
                <w:lang w:val="en-US"/>
              </w:rPr>
              <w:t>工业和信息</w:t>
            </w:r>
          </w:p>
          <w:p>
            <w:pPr>
              <w:widowControl/>
              <w:adjustRightInd w:val="0"/>
              <w:spacing w:line="240" w:lineRule="auto"/>
              <w:ind w:firstLine="0" w:firstLineChars="0"/>
              <w:jc w:val="center"/>
              <w:rPr>
                <w:rFonts w:ascii="仿宋" w:hAnsi="仿宋" w:eastAsia="仿宋"/>
                <w:b w:val="0"/>
                <w:color w:val="000000"/>
                <w:sz w:val="22"/>
                <w:szCs w:val="22"/>
                <w:lang w:val="en-US"/>
              </w:rPr>
            </w:pPr>
            <w:r>
              <w:rPr>
                <w:rFonts w:hint="eastAsia" w:ascii="仿宋" w:hAnsi="仿宋" w:eastAsia="仿宋"/>
                <w:b w:val="0"/>
                <w:color w:val="000000"/>
                <w:sz w:val="22"/>
                <w:szCs w:val="22"/>
                <w:lang w:val="en-US"/>
              </w:rPr>
              <w:t>化部</w:t>
            </w:r>
          </w:p>
        </w:tc>
        <w:tc>
          <w:tcPr>
            <w:tcW w:w="831" w:type="pct"/>
            <w:gridSpan w:val="2"/>
            <w:vAlign w:val="center"/>
          </w:tcPr>
          <w:p>
            <w:pPr>
              <w:widowControl/>
              <w:adjustRightInd w:val="0"/>
              <w:spacing w:line="240" w:lineRule="auto"/>
              <w:ind w:firstLine="0" w:firstLineChars="0"/>
              <w:jc w:val="center"/>
              <w:rPr>
                <w:rFonts w:ascii="仿宋" w:hAnsi="仿宋" w:eastAsia="仿宋" w:cs="宋体"/>
                <w:b w:val="0"/>
                <w:color w:val="000000"/>
                <w:sz w:val="22"/>
                <w:szCs w:val="22"/>
                <w:lang w:val="en-US"/>
              </w:rPr>
            </w:pPr>
            <w:r>
              <w:rPr>
                <w:rFonts w:hint="eastAsia" w:ascii="仿宋" w:hAnsi="仿宋" w:eastAsia="仿宋" w:cs="宋体"/>
                <w:b w:val="0"/>
                <w:color w:val="000000"/>
                <w:sz w:val="22"/>
                <w:szCs w:val="22"/>
                <w:lang w:val="en-US"/>
              </w:rPr>
              <w:t>《通信行政处罚程序规定》</w:t>
            </w:r>
          </w:p>
        </w:tc>
        <w:tc>
          <w:tcPr>
            <w:tcW w:w="747" w:type="pct"/>
            <w:vAlign w:val="center"/>
          </w:tcPr>
          <w:p>
            <w:pPr>
              <w:widowControl/>
              <w:adjustRightInd w:val="0"/>
              <w:spacing w:line="240" w:lineRule="auto"/>
              <w:ind w:firstLine="0" w:firstLineChars="0"/>
              <w:jc w:val="center"/>
              <w:rPr>
                <w:rFonts w:ascii="仿宋" w:hAnsi="仿宋" w:eastAsia="仿宋"/>
                <w:b w:val="0"/>
                <w:color w:val="000000"/>
                <w:sz w:val="22"/>
                <w:szCs w:val="22"/>
                <w:lang w:val="en-US"/>
              </w:rPr>
            </w:pPr>
            <w:r>
              <w:rPr>
                <w:rFonts w:hint="eastAsia" w:ascii="仿宋" w:hAnsi="仿宋" w:eastAsia="仿宋"/>
                <w:b w:val="0"/>
                <w:color w:val="000000"/>
                <w:sz w:val="22"/>
                <w:szCs w:val="22"/>
                <w:lang w:val="en-US"/>
              </w:rPr>
              <w:t>第三十条</w:t>
            </w:r>
          </w:p>
        </w:tc>
        <w:tc>
          <w:tcPr>
            <w:tcW w:w="2514" w:type="pct"/>
            <w:vAlign w:val="center"/>
          </w:tcPr>
          <w:p>
            <w:pPr>
              <w:widowControl/>
              <w:adjustRightInd w:val="0"/>
              <w:spacing w:line="240" w:lineRule="auto"/>
              <w:ind w:firstLine="0" w:firstLineChars="0"/>
              <w:jc w:val="left"/>
              <w:rPr>
                <w:rFonts w:ascii="仿宋" w:hAnsi="仿宋" w:eastAsia="仿宋" w:cs="宋体"/>
                <w:b w:val="0"/>
                <w:color w:val="000000"/>
                <w:sz w:val="22"/>
                <w:szCs w:val="22"/>
                <w:lang w:val="en-US"/>
              </w:rPr>
            </w:pPr>
            <w:r>
              <w:rPr>
                <w:rFonts w:hint="eastAsia" w:ascii="仿宋" w:hAnsi="仿宋" w:eastAsia="仿宋" w:cs="宋体"/>
                <w:b w:val="0"/>
                <w:color w:val="000000"/>
                <w:sz w:val="22"/>
                <w:szCs w:val="22"/>
                <w:lang w:val="en-US"/>
              </w:rPr>
              <w:t>通信主管部门拟作出责令停产停业（关闭网站）、吊销许可证或者执照、较大数额罚款等行政处罚决定之前，应当告知当事人有要求举行听证的权利。当事人要求听证的，应当组织听证。 本条前款所称较大数额，是指对公民罚款１万元以上、对法人或其他组织罚款１０万元以上；地方通信主管部门也可以按照省、自治区、直辖市人大常委会或者人民政府规定的标准执行。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351" w:type="pct"/>
            <w:vMerge w:val="restart"/>
            <w:vAlign w:val="center"/>
          </w:tcPr>
          <w:p>
            <w:pPr>
              <w:widowControl/>
              <w:adjustRightInd w:val="0"/>
              <w:spacing w:line="240" w:lineRule="auto"/>
              <w:ind w:firstLine="0" w:firstLineChars="0"/>
              <w:jc w:val="center"/>
              <w:rPr>
                <w:rFonts w:ascii="仿宋" w:hAnsi="仿宋" w:eastAsia="仿宋"/>
                <w:b w:val="0"/>
                <w:color w:val="000000"/>
                <w:sz w:val="22"/>
                <w:szCs w:val="22"/>
                <w:lang w:val="en-US"/>
              </w:rPr>
            </w:pPr>
            <w:r>
              <w:rPr>
                <w:rFonts w:ascii="仿宋" w:hAnsi="仿宋" w:eastAsia="仿宋"/>
                <w:b w:val="0"/>
                <w:color w:val="000000"/>
                <w:sz w:val="22"/>
                <w:szCs w:val="22"/>
                <w:lang w:val="en-US"/>
              </w:rPr>
              <w:t>9</w:t>
            </w:r>
          </w:p>
        </w:tc>
        <w:tc>
          <w:tcPr>
            <w:tcW w:w="555" w:type="pct"/>
            <w:vMerge w:val="restart"/>
            <w:vAlign w:val="center"/>
          </w:tcPr>
          <w:p>
            <w:pPr>
              <w:widowControl/>
              <w:adjustRightInd w:val="0"/>
              <w:spacing w:line="240" w:lineRule="auto"/>
              <w:ind w:firstLine="0" w:firstLineChars="0"/>
              <w:jc w:val="center"/>
              <w:rPr>
                <w:rFonts w:ascii="仿宋" w:hAnsi="仿宋" w:eastAsia="仿宋"/>
                <w:b w:val="0"/>
                <w:color w:val="000000"/>
                <w:sz w:val="22"/>
                <w:szCs w:val="22"/>
                <w:lang w:val="en-US"/>
              </w:rPr>
            </w:pPr>
            <w:r>
              <w:rPr>
                <w:rFonts w:hint="eastAsia" w:ascii="仿宋" w:hAnsi="仿宋" w:eastAsia="仿宋"/>
                <w:b w:val="0"/>
                <w:color w:val="000000"/>
                <w:sz w:val="22"/>
                <w:szCs w:val="22"/>
                <w:lang w:val="en-US"/>
              </w:rPr>
              <w:t>自然资源部</w:t>
            </w:r>
          </w:p>
        </w:tc>
        <w:tc>
          <w:tcPr>
            <w:tcW w:w="831" w:type="pct"/>
            <w:gridSpan w:val="2"/>
            <w:vAlign w:val="center"/>
          </w:tcPr>
          <w:p>
            <w:pPr>
              <w:widowControl/>
              <w:adjustRightInd w:val="0"/>
              <w:spacing w:line="240" w:lineRule="auto"/>
              <w:ind w:firstLine="0" w:firstLineChars="0"/>
              <w:jc w:val="center"/>
              <w:rPr>
                <w:rFonts w:ascii="仿宋" w:hAnsi="仿宋" w:eastAsia="仿宋" w:cs="宋体"/>
                <w:b w:val="0"/>
                <w:color w:val="000000"/>
                <w:sz w:val="22"/>
                <w:szCs w:val="22"/>
                <w:lang w:val="en-US"/>
              </w:rPr>
            </w:pPr>
            <w:r>
              <w:rPr>
                <w:rFonts w:hint="eastAsia" w:ascii="仿宋" w:hAnsi="仿宋" w:eastAsia="仿宋" w:cs="宋体"/>
                <w:b w:val="0"/>
                <w:color w:val="000000"/>
                <w:sz w:val="22"/>
                <w:szCs w:val="22"/>
                <w:lang w:val="en-US"/>
              </w:rPr>
              <w:t>《测绘行政处罚程序规定》</w:t>
            </w:r>
          </w:p>
        </w:tc>
        <w:tc>
          <w:tcPr>
            <w:tcW w:w="747" w:type="pct"/>
            <w:vAlign w:val="center"/>
          </w:tcPr>
          <w:p>
            <w:pPr>
              <w:widowControl/>
              <w:adjustRightInd w:val="0"/>
              <w:spacing w:line="240" w:lineRule="auto"/>
              <w:ind w:firstLine="0" w:firstLineChars="0"/>
              <w:jc w:val="center"/>
              <w:rPr>
                <w:rFonts w:ascii="仿宋" w:hAnsi="仿宋" w:eastAsia="仿宋"/>
                <w:b w:val="0"/>
                <w:color w:val="000000"/>
                <w:sz w:val="22"/>
                <w:szCs w:val="22"/>
                <w:lang w:val="en-US"/>
              </w:rPr>
            </w:pPr>
            <w:r>
              <w:rPr>
                <w:rFonts w:hint="eastAsia" w:ascii="仿宋" w:hAnsi="仿宋" w:eastAsia="仿宋"/>
                <w:b w:val="0"/>
                <w:color w:val="000000"/>
                <w:sz w:val="22"/>
                <w:szCs w:val="22"/>
                <w:lang w:val="en-US"/>
              </w:rPr>
              <w:t>第二十六条</w:t>
            </w:r>
          </w:p>
        </w:tc>
        <w:tc>
          <w:tcPr>
            <w:tcW w:w="2514" w:type="pct"/>
            <w:vAlign w:val="center"/>
          </w:tcPr>
          <w:p>
            <w:pPr>
              <w:widowControl/>
              <w:adjustRightInd w:val="0"/>
              <w:spacing w:line="240" w:lineRule="auto"/>
              <w:ind w:firstLine="0" w:firstLineChars="0"/>
              <w:jc w:val="left"/>
              <w:rPr>
                <w:rFonts w:ascii="仿宋" w:hAnsi="仿宋" w:eastAsia="仿宋" w:cs="宋体"/>
                <w:b w:val="0"/>
                <w:color w:val="000000"/>
                <w:sz w:val="22"/>
                <w:szCs w:val="22"/>
                <w:lang w:val="en-US"/>
              </w:rPr>
            </w:pPr>
            <w:r>
              <w:rPr>
                <w:rFonts w:hint="eastAsia" w:ascii="仿宋" w:hAnsi="仿宋" w:eastAsia="仿宋" w:cs="宋体"/>
                <w:b w:val="0"/>
                <w:color w:val="000000"/>
                <w:sz w:val="22"/>
                <w:szCs w:val="22"/>
                <w:lang w:val="en-US"/>
              </w:rPr>
              <w:t>测绘主管部门在作出下列行政处罚决定之前，应当告知当事人有要求举行听证的权利，当事人要求听证的，作出行政处罚决定的测绘主管部门应当依照法律法规的规定组织听证：(一)取消测绘资格；(二)停止测绘活动、停止地图编制活动；(三)没收违法所得、没收测绘成果；(四)对公民处以一千元以上罚款、对法人处以一万元以上罚款，省级人民政府或者省级人民政府法制部门对罚款数额另有规定的，也可以依规定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351" w:type="pct"/>
            <w:vMerge w:val="continue"/>
            <w:vAlign w:val="center"/>
          </w:tcPr>
          <w:p>
            <w:pPr>
              <w:widowControl/>
              <w:adjustRightInd w:val="0"/>
              <w:spacing w:line="240" w:lineRule="auto"/>
              <w:ind w:firstLine="0" w:firstLineChars="0"/>
              <w:jc w:val="left"/>
              <w:rPr>
                <w:rFonts w:ascii="仿宋" w:hAnsi="仿宋" w:eastAsia="仿宋"/>
                <w:b w:val="0"/>
                <w:color w:val="000000"/>
                <w:sz w:val="22"/>
                <w:szCs w:val="22"/>
                <w:lang w:val="en-US"/>
              </w:rPr>
            </w:pPr>
          </w:p>
        </w:tc>
        <w:tc>
          <w:tcPr>
            <w:tcW w:w="555" w:type="pct"/>
            <w:vMerge w:val="continue"/>
            <w:vAlign w:val="center"/>
          </w:tcPr>
          <w:p>
            <w:pPr>
              <w:widowControl/>
              <w:adjustRightInd w:val="0"/>
              <w:spacing w:line="240" w:lineRule="auto"/>
              <w:ind w:firstLine="0" w:firstLineChars="0"/>
              <w:jc w:val="left"/>
              <w:rPr>
                <w:rFonts w:ascii="仿宋" w:hAnsi="仿宋" w:eastAsia="仿宋"/>
                <w:b w:val="0"/>
                <w:color w:val="000000"/>
                <w:sz w:val="22"/>
                <w:szCs w:val="22"/>
                <w:lang w:val="en-US"/>
              </w:rPr>
            </w:pPr>
          </w:p>
        </w:tc>
        <w:tc>
          <w:tcPr>
            <w:tcW w:w="831" w:type="pct"/>
            <w:gridSpan w:val="2"/>
            <w:vAlign w:val="center"/>
          </w:tcPr>
          <w:p>
            <w:pPr>
              <w:widowControl/>
              <w:adjustRightInd w:val="0"/>
              <w:spacing w:line="240" w:lineRule="auto"/>
              <w:ind w:firstLine="0" w:firstLineChars="0"/>
              <w:jc w:val="center"/>
              <w:rPr>
                <w:rFonts w:ascii="仿宋" w:hAnsi="仿宋" w:eastAsia="仿宋" w:cs="宋体"/>
                <w:b w:val="0"/>
                <w:color w:val="000000"/>
                <w:sz w:val="22"/>
                <w:szCs w:val="22"/>
                <w:lang w:val="en-US"/>
              </w:rPr>
            </w:pPr>
            <w:r>
              <w:rPr>
                <w:rFonts w:hint="eastAsia" w:ascii="仿宋" w:hAnsi="仿宋" w:eastAsia="仿宋" w:cs="宋体"/>
                <w:b w:val="0"/>
                <w:color w:val="000000"/>
                <w:sz w:val="22"/>
                <w:szCs w:val="22"/>
                <w:lang w:val="en-US"/>
              </w:rPr>
              <w:t>《海洋行政处罚实施办法》</w:t>
            </w:r>
          </w:p>
        </w:tc>
        <w:tc>
          <w:tcPr>
            <w:tcW w:w="747" w:type="pct"/>
            <w:vAlign w:val="center"/>
          </w:tcPr>
          <w:p>
            <w:pPr>
              <w:widowControl/>
              <w:adjustRightInd w:val="0"/>
              <w:spacing w:line="240" w:lineRule="auto"/>
              <w:ind w:firstLine="0" w:firstLineChars="0"/>
              <w:jc w:val="center"/>
              <w:rPr>
                <w:rFonts w:ascii="仿宋" w:hAnsi="仿宋" w:eastAsia="仿宋"/>
                <w:b w:val="0"/>
                <w:color w:val="000000"/>
                <w:sz w:val="22"/>
                <w:szCs w:val="22"/>
                <w:lang w:val="en-US"/>
              </w:rPr>
            </w:pPr>
            <w:r>
              <w:rPr>
                <w:rFonts w:hint="eastAsia" w:ascii="仿宋" w:hAnsi="仿宋" w:eastAsia="仿宋"/>
                <w:b w:val="0"/>
                <w:color w:val="000000"/>
                <w:sz w:val="22"/>
                <w:szCs w:val="22"/>
                <w:lang w:val="en-US"/>
              </w:rPr>
              <w:t>第四十一条</w:t>
            </w:r>
          </w:p>
        </w:tc>
        <w:tc>
          <w:tcPr>
            <w:tcW w:w="2514" w:type="pct"/>
            <w:vAlign w:val="center"/>
          </w:tcPr>
          <w:p>
            <w:pPr>
              <w:widowControl/>
              <w:adjustRightInd w:val="0"/>
              <w:spacing w:line="240" w:lineRule="auto"/>
              <w:ind w:firstLine="0" w:firstLineChars="0"/>
              <w:jc w:val="left"/>
              <w:rPr>
                <w:rFonts w:ascii="仿宋" w:hAnsi="仿宋" w:eastAsia="仿宋" w:cs="宋体"/>
                <w:b w:val="0"/>
                <w:color w:val="000000"/>
                <w:sz w:val="22"/>
                <w:szCs w:val="22"/>
                <w:lang w:val="en-US"/>
              </w:rPr>
            </w:pPr>
            <w:r>
              <w:rPr>
                <w:rFonts w:hint="eastAsia" w:ascii="仿宋" w:hAnsi="仿宋" w:eastAsia="仿宋" w:cs="宋体"/>
                <w:b w:val="0"/>
                <w:color w:val="000000"/>
                <w:sz w:val="22"/>
                <w:szCs w:val="22"/>
                <w:lang w:val="en-US"/>
              </w:rPr>
              <w:t>重大海洋违法案件，是指拟作出下列海洋行政处罚的案件：（一）责令停止经批准的海底电缆管道海上作业、责令停止经批准的涉外海洋科学研究活动、责令停止经批准的海洋工程建设项目施工或者生产、使用的以及其他责令停止经批准的作业活动的；（二）吊销废弃物海洋倾倒许可证的；（三）注销海域使用权证书，收回海域使用权的；（四）对个人处以超过五千元罚款、对单位处以超过五万元罚款等海洋行政处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351" w:type="pct"/>
            <w:vAlign w:val="center"/>
          </w:tcPr>
          <w:p>
            <w:pPr>
              <w:widowControl/>
              <w:adjustRightInd w:val="0"/>
              <w:spacing w:line="240" w:lineRule="auto"/>
              <w:ind w:firstLine="0" w:firstLineChars="0"/>
              <w:jc w:val="center"/>
              <w:rPr>
                <w:rFonts w:ascii="仿宋" w:hAnsi="仿宋" w:eastAsia="仿宋"/>
                <w:b w:val="0"/>
                <w:color w:val="000000"/>
                <w:sz w:val="22"/>
                <w:szCs w:val="22"/>
                <w:lang w:val="en-US"/>
              </w:rPr>
            </w:pPr>
            <w:r>
              <w:rPr>
                <w:rFonts w:ascii="仿宋" w:hAnsi="仿宋" w:eastAsia="仿宋"/>
                <w:b w:val="0"/>
                <w:color w:val="000000"/>
                <w:sz w:val="22"/>
                <w:szCs w:val="22"/>
                <w:lang w:val="en-US"/>
              </w:rPr>
              <w:t>10</w:t>
            </w:r>
          </w:p>
        </w:tc>
        <w:tc>
          <w:tcPr>
            <w:tcW w:w="555" w:type="pct"/>
            <w:vAlign w:val="center"/>
          </w:tcPr>
          <w:p>
            <w:pPr>
              <w:widowControl/>
              <w:adjustRightInd w:val="0"/>
              <w:spacing w:line="240" w:lineRule="auto"/>
              <w:ind w:firstLine="0" w:firstLineChars="0"/>
              <w:jc w:val="center"/>
              <w:rPr>
                <w:rFonts w:ascii="仿宋" w:hAnsi="仿宋" w:eastAsia="仿宋" w:cs="宋体"/>
                <w:b w:val="0"/>
                <w:color w:val="000000"/>
                <w:sz w:val="22"/>
                <w:szCs w:val="22"/>
                <w:lang w:val="en-US"/>
              </w:rPr>
            </w:pPr>
            <w:r>
              <w:rPr>
                <w:rFonts w:hint="eastAsia" w:ascii="仿宋" w:hAnsi="仿宋" w:eastAsia="仿宋" w:cs="宋体"/>
                <w:b w:val="0"/>
                <w:color w:val="000000"/>
                <w:sz w:val="22"/>
                <w:szCs w:val="22"/>
                <w:lang w:val="en-US"/>
              </w:rPr>
              <w:t>国家卫生健康   委员会</w:t>
            </w:r>
          </w:p>
        </w:tc>
        <w:tc>
          <w:tcPr>
            <w:tcW w:w="831" w:type="pct"/>
            <w:gridSpan w:val="2"/>
            <w:vAlign w:val="center"/>
          </w:tcPr>
          <w:p>
            <w:pPr>
              <w:widowControl/>
              <w:adjustRightInd w:val="0"/>
              <w:spacing w:line="240" w:lineRule="auto"/>
              <w:ind w:firstLine="0" w:firstLineChars="0"/>
              <w:jc w:val="center"/>
              <w:rPr>
                <w:rFonts w:ascii="仿宋" w:hAnsi="仿宋" w:eastAsia="仿宋" w:cs="宋体"/>
                <w:b w:val="0"/>
                <w:color w:val="000000"/>
                <w:sz w:val="22"/>
                <w:szCs w:val="22"/>
                <w:lang w:val="en-US"/>
              </w:rPr>
            </w:pPr>
            <w:r>
              <w:rPr>
                <w:rFonts w:hint="eastAsia" w:ascii="仿宋" w:hAnsi="仿宋" w:eastAsia="仿宋" w:cs="宋体"/>
                <w:b w:val="0"/>
                <w:color w:val="000000"/>
                <w:sz w:val="22"/>
                <w:szCs w:val="22"/>
                <w:lang w:val="en-US"/>
              </w:rPr>
              <w:t>《卫生行政处罚程序》</w:t>
            </w:r>
          </w:p>
        </w:tc>
        <w:tc>
          <w:tcPr>
            <w:tcW w:w="747" w:type="pct"/>
            <w:vAlign w:val="center"/>
          </w:tcPr>
          <w:p>
            <w:pPr>
              <w:widowControl/>
              <w:adjustRightInd w:val="0"/>
              <w:spacing w:line="240" w:lineRule="auto"/>
              <w:ind w:firstLine="0" w:firstLineChars="0"/>
              <w:jc w:val="center"/>
              <w:rPr>
                <w:rFonts w:ascii="仿宋" w:hAnsi="仿宋" w:eastAsia="仿宋"/>
                <w:b w:val="0"/>
                <w:color w:val="000000"/>
                <w:sz w:val="22"/>
                <w:szCs w:val="22"/>
                <w:lang w:val="en-US"/>
              </w:rPr>
            </w:pPr>
            <w:r>
              <w:rPr>
                <w:rFonts w:hint="eastAsia" w:ascii="仿宋" w:hAnsi="仿宋" w:eastAsia="仿宋"/>
                <w:b w:val="0"/>
                <w:color w:val="000000"/>
                <w:sz w:val="22"/>
                <w:szCs w:val="22"/>
                <w:lang w:val="en-US"/>
              </w:rPr>
              <w:t>第三十条</w:t>
            </w:r>
          </w:p>
        </w:tc>
        <w:tc>
          <w:tcPr>
            <w:tcW w:w="2514" w:type="pct"/>
            <w:vAlign w:val="center"/>
          </w:tcPr>
          <w:p>
            <w:pPr>
              <w:widowControl/>
              <w:adjustRightInd w:val="0"/>
              <w:spacing w:line="240" w:lineRule="auto"/>
              <w:ind w:firstLine="0" w:firstLineChars="0"/>
              <w:jc w:val="left"/>
              <w:rPr>
                <w:rFonts w:ascii="仿宋" w:hAnsi="仿宋" w:eastAsia="仿宋" w:cs="宋体"/>
                <w:b w:val="0"/>
                <w:color w:val="000000"/>
                <w:sz w:val="22"/>
                <w:szCs w:val="22"/>
                <w:lang w:val="en-US"/>
              </w:rPr>
            </w:pPr>
            <w:r>
              <w:rPr>
                <w:rFonts w:hint="eastAsia" w:ascii="仿宋" w:hAnsi="仿宋" w:eastAsia="仿宋" w:cs="宋体"/>
                <w:b w:val="0"/>
                <w:color w:val="000000"/>
                <w:sz w:val="22"/>
                <w:szCs w:val="22"/>
                <w:lang w:val="en-US"/>
              </w:rPr>
              <w:t>卫生行政机关在作出的责令停产停业、吊销许可证或者较大数额罚款等行政处罚决定前，应当告知当事人有要求举行听证的权利。当事人要求听证的，卫生行政机关应当组织听证。听证由卫生机关内部法制机构或主管法制工作的综合机构负责。对较大数额罚款的听证范围依照省、自治区、直辖市人大常委会或人民政府的具体规定执行。国境卫生检疫机关对二万元以上数额的罚款实行听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351" w:type="pct"/>
            <w:vAlign w:val="center"/>
          </w:tcPr>
          <w:p>
            <w:pPr>
              <w:widowControl/>
              <w:adjustRightInd w:val="0"/>
              <w:spacing w:line="240" w:lineRule="auto"/>
              <w:ind w:firstLine="0" w:firstLineChars="0"/>
              <w:jc w:val="center"/>
              <w:rPr>
                <w:rFonts w:ascii="仿宋" w:hAnsi="仿宋" w:eastAsia="仿宋"/>
                <w:b w:val="0"/>
                <w:color w:val="000000"/>
                <w:sz w:val="22"/>
                <w:szCs w:val="22"/>
                <w:lang w:val="en-US"/>
              </w:rPr>
            </w:pPr>
            <w:r>
              <w:rPr>
                <w:rFonts w:ascii="仿宋" w:hAnsi="仿宋" w:eastAsia="仿宋"/>
                <w:b w:val="0"/>
                <w:color w:val="000000"/>
                <w:sz w:val="22"/>
                <w:szCs w:val="22"/>
                <w:lang w:val="en-US"/>
              </w:rPr>
              <w:t>11</w:t>
            </w:r>
          </w:p>
        </w:tc>
        <w:tc>
          <w:tcPr>
            <w:tcW w:w="555" w:type="pct"/>
            <w:vAlign w:val="center"/>
          </w:tcPr>
          <w:p>
            <w:pPr>
              <w:widowControl/>
              <w:adjustRightInd w:val="0"/>
              <w:spacing w:line="240" w:lineRule="auto"/>
              <w:ind w:firstLine="0" w:firstLineChars="0"/>
              <w:jc w:val="center"/>
              <w:rPr>
                <w:rFonts w:ascii="仿宋" w:hAnsi="仿宋" w:eastAsia="仿宋"/>
                <w:b w:val="0"/>
                <w:color w:val="000000"/>
                <w:sz w:val="22"/>
                <w:szCs w:val="22"/>
                <w:lang w:val="en-US"/>
              </w:rPr>
            </w:pPr>
            <w:r>
              <w:rPr>
                <w:rFonts w:hint="eastAsia" w:ascii="仿宋" w:hAnsi="仿宋" w:eastAsia="仿宋"/>
                <w:b w:val="0"/>
                <w:color w:val="000000"/>
                <w:sz w:val="22"/>
                <w:szCs w:val="22"/>
                <w:lang w:val="en-US"/>
              </w:rPr>
              <w:t>交通运输部</w:t>
            </w:r>
          </w:p>
        </w:tc>
        <w:tc>
          <w:tcPr>
            <w:tcW w:w="831" w:type="pct"/>
            <w:gridSpan w:val="2"/>
            <w:vAlign w:val="center"/>
          </w:tcPr>
          <w:p>
            <w:pPr>
              <w:widowControl/>
              <w:adjustRightInd w:val="0"/>
              <w:spacing w:line="240" w:lineRule="auto"/>
              <w:ind w:firstLine="0" w:firstLineChars="0"/>
              <w:jc w:val="center"/>
              <w:rPr>
                <w:rFonts w:ascii="仿宋" w:hAnsi="仿宋" w:eastAsia="仿宋" w:cs="宋体"/>
                <w:b w:val="0"/>
                <w:color w:val="000000"/>
                <w:sz w:val="22"/>
                <w:szCs w:val="22"/>
                <w:lang w:val="en-US"/>
              </w:rPr>
            </w:pPr>
            <w:r>
              <w:rPr>
                <w:rFonts w:hint="eastAsia" w:ascii="仿宋" w:hAnsi="仿宋" w:eastAsia="仿宋" w:cs="宋体"/>
                <w:b w:val="0"/>
                <w:color w:val="000000"/>
                <w:sz w:val="22"/>
                <w:szCs w:val="22"/>
                <w:lang w:val="en-US"/>
              </w:rPr>
              <w:t>《交通远输行政执法程序规定》</w:t>
            </w:r>
          </w:p>
        </w:tc>
        <w:tc>
          <w:tcPr>
            <w:tcW w:w="747" w:type="pct"/>
            <w:vAlign w:val="center"/>
          </w:tcPr>
          <w:p>
            <w:pPr>
              <w:widowControl/>
              <w:adjustRightInd w:val="0"/>
              <w:spacing w:line="240" w:lineRule="auto"/>
              <w:ind w:firstLine="0" w:firstLineChars="0"/>
              <w:jc w:val="center"/>
              <w:rPr>
                <w:rFonts w:ascii="仿宋" w:hAnsi="仿宋" w:eastAsia="仿宋"/>
                <w:b w:val="0"/>
                <w:color w:val="000000"/>
                <w:sz w:val="22"/>
                <w:szCs w:val="22"/>
                <w:lang w:val="en-US"/>
              </w:rPr>
            </w:pPr>
            <w:r>
              <w:rPr>
                <w:rFonts w:hint="eastAsia" w:ascii="仿宋" w:hAnsi="仿宋" w:eastAsia="仿宋"/>
                <w:b w:val="0"/>
                <w:color w:val="000000"/>
                <w:sz w:val="22"/>
                <w:szCs w:val="22"/>
                <w:lang w:val="en-US"/>
              </w:rPr>
              <w:t>第七十六条</w:t>
            </w:r>
          </w:p>
        </w:tc>
        <w:tc>
          <w:tcPr>
            <w:tcW w:w="2514" w:type="pct"/>
            <w:vAlign w:val="center"/>
          </w:tcPr>
          <w:p>
            <w:pPr>
              <w:widowControl/>
              <w:adjustRightInd w:val="0"/>
              <w:spacing w:line="240" w:lineRule="auto"/>
              <w:ind w:firstLine="0" w:firstLineChars="0"/>
              <w:jc w:val="left"/>
              <w:rPr>
                <w:rFonts w:ascii="仿宋" w:hAnsi="仿宋" w:eastAsia="仿宋" w:cs="宋体"/>
                <w:b w:val="0"/>
                <w:color w:val="000000"/>
                <w:sz w:val="22"/>
                <w:szCs w:val="22"/>
                <w:lang w:val="en-US"/>
              </w:rPr>
            </w:pPr>
            <w:r>
              <w:rPr>
                <w:rFonts w:hint="eastAsia" w:ascii="仿宋" w:hAnsi="仿宋" w:eastAsia="仿宋" w:cs="宋体"/>
                <w:b w:val="0"/>
                <w:color w:val="000000"/>
                <w:sz w:val="22"/>
                <w:szCs w:val="22"/>
                <w:lang w:val="en-US"/>
              </w:rPr>
              <w:t>执法部门作出下列行政处罚决定之前，应当在送达《违法行为通知书》时告知当事人有要求举行听证的权利：（一）责令停产停业；（二）吊销许可证或者执照；（三）较大数额罚款；（四）法律、法规和规章规定的当事人可以要求举行听证的其他情形。前款第（三）项规定的较大数额，地方执法部门按照省级人大常委会或者人民政府规定或者其授权部门规定的标准执行。海事执法部门按照对自然人处1万元以上、对法人或者其他组织10万元以上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351" w:type="pct"/>
            <w:vAlign w:val="center"/>
          </w:tcPr>
          <w:p>
            <w:pPr>
              <w:widowControl/>
              <w:adjustRightInd w:val="0"/>
              <w:spacing w:line="240" w:lineRule="auto"/>
              <w:ind w:firstLine="0" w:firstLineChars="0"/>
              <w:jc w:val="center"/>
              <w:rPr>
                <w:rFonts w:ascii="仿宋" w:hAnsi="仿宋" w:eastAsia="仿宋"/>
                <w:b w:val="0"/>
                <w:color w:val="000000"/>
                <w:sz w:val="22"/>
                <w:szCs w:val="22"/>
                <w:lang w:val="en-US"/>
              </w:rPr>
            </w:pPr>
            <w:r>
              <w:rPr>
                <w:rFonts w:ascii="仿宋" w:hAnsi="仿宋" w:eastAsia="仿宋"/>
                <w:b w:val="0"/>
                <w:color w:val="000000"/>
                <w:sz w:val="22"/>
                <w:szCs w:val="22"/>
                <w:lang w:val="en-US"/>
              </w:rPr>
              <w:t>12</w:t>
            </w:r>
          </w:p>
        </w:tc>
        <w:tc>
          <w:tcPr>
            <w:tcW w:w="555" w:type="pct"/>
            <w:vAlign w:val="center"/>
          </w:tcPr>
          <w:p>
            <w:pPr>
              <w:widowControl/>
              <w:adjustRightInd w:val="0"/>
              <w:spacing w:line="240" w:lineRule="auto"/>
              <w:ind w:firstLine="0" w:firstLineChars="0"/>
              <w:jc w:val="center"/>
              <w:rPr>
                <w:rFonts w:ascii="仿宋" w:hAnsi="仿宋" w:eastAsia="仿宋"/>
                <w:b w:val="0"/>
                <w:color w:val="000000"/>
                <w:sz w:val="22"/>
                <w:szCs w:val="22"/>
                <w:lang w:val="en-US"/>
              </w:rPr>
            </w:pPr>
            <w:r>
              <w:rPr>
                <w:rFonts w:hint="eastAsia" w:ascii="仿宋" w:hAnsi="仿宋" w:eastAsia="仿宋"/>
                <w:b w:val="0"/>
                <w:color w:val="000000"/>
                <w:sz w:val="22"/>
                <w:szCs w:val="22"/>
                <w:lang w:val="en-US"/>
              </w:rPr>
              <w:t>水利部</w:t>
            </w:r>
          </w:p>
        </w:tc>
        <w:tc>
          <w:tcPr>
            <w:tcW w:w="831" w:type="pct"/>
            <w:gridSpan w:val="2"/>
            <w:vAlign w:val="center"/>
          </w:tcPr>
          <w:p>
            <w:pPr>
              <w:widowControl/>
              <w:adjustRightInd w:val="0"/>
              <w:spacing w:line="240" w:lineRule="auto"/>
              <w:ind w:firstLine="0" w:firstLineChars="0"/>
              <w:jc w:val="center"/>
              <w:rPr>
                <w:rFonts w:ascii="仿宋" w:hAnsi="仿宋" w:eastAsia="仿宋" w:cs="宋体"/>
                <w:b w:val="0"/>
                <w:color w:val="000000"/>
                <w:sz w:val="22"/>
                <w:szCs w:val="22"/>
                <w:lang w:val="en-US"/>
              </w:rPr>
            </w:pPr>
            <w:r>
              <w:rPr>
                <w:rFonts w:hint="eastAsia" w:ascii="仿宋" w:hAnsi="仿宋" w:eastAsia="仿宋" w:cs="宋体"/>
                <w:b w:val="0"/>
                <w:color w:val="000000"/>
                <w:sz w:val="22"/>
                <w:szCs w:val="22"/>
                <w:lang w:val="en-US"/>
              </w:rPr>
              <w:t>《水行政处罚实施办法》</w:t>
            </w:r>
          </w:p>
        </w:tc>
        <w:tc>
          <w:tcPr>
            <w:tcW w:w="747" w:type="pct"/>
            <w:vAlign w:val="center"/>
          </w:tcPr>
          <w:p>
            <w:pPr>
              <w:widowControl/>
              <w:adjustRightInd w:val="0"/>
              <w:spacing w:line="240" w:lineRule="auto"/>
              <w:ind w:firstLine="0" w:firstLineChars="0"/>
              <w:jc w:val="center"/>
              <w:rPr>
                <w:rFonts w:ascii="仿宋" w:hAnsi="仿宋" w:eastAsia="仿宋"/>
                <w:b w:val="0"/>
                <w:color w:val="000000"/>
                <w:sz w:val="22"/>
                <w:szCs w:val="22"/>
                <w:lang w:val="en-US"/>
              </w:rPr>
            </w:pPr>
            <w:r>
              <w:rPr>
                <w:rFonts w:hint="eastAsia" w:ascii="仿宋" w:hAnsi="仿宋" w:eastAsia="仿宋"/>
                <w:b w:val="0"/>
                <w:color w:val="000000"/>
                <w:sz w:val="22"/>
                <w:szCs w:val="22"/>
                <w:lang w:val="en-US"/>
              </w:rPr>
              <w:t>第三十四条</w:t>
            </w:r>
          </w:p>
        </w:tc>
        <w:tc>
          <w:tcPr>
            <w:tcW w:w="2514" w:type="pct"/>
            <w:vAlign w:val="center"/>
          </w:tcPr>
          <w:p>
            <w:pPr>
              <w:widowControl/>
              <w:adjustRightInd w:val="0"/>
              <w:spacing w:line="240" w:lineRule="auto"/>
              <w:ind w:firstLine="0" w:firstLineChars="0"/>
              <w:jc w:val="left"/>
              <w:rPr>
                <w:rFonts w:ascii="仿宋" w:hAnsi="仿宋" w:eastAsia="仿宋" w:cs="宋体"/>
                <w:b w:val="0"/>
                <w:color w:val="000000"/>
                <w:sz w:val="22"/>
                <w:szCs w:val="22"/>
                <w:lang w:val="en-US"/>
              </w:rPr>
            </w:pPr>
            <w:r>
              <w:rPr>
                <w:rFonts w:hint="eastAsia" w:ascii="仿宋" w:hAnsi="仿宋" w:eastAsia="仿宋" w:cs="宋体"/>
                <w:b w:val="0"/>
                <w:color w:val="000000"/>
                <w:sz w:val="22"/>
                <w:szCs w:val="22"/>
                <w:lang w:val="en-US"/>
              </w:rPr>
              <w:t>水行政处罚机关作出对公民处以超过五千元、对法人或者其他组织处以超过五万元罚款以及吊销许可证等水行政处罚之前，应当告知当事人有要求举行听证的权利；当事人要求听证的，水行政处罚机关应当组织听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351" w:type="pct"/>
            <w:vAlign w:val="center"/>
          </w:tcPr>
          <w:p>
            <w:pPr>
              <w:widowControl/>
              <w:adjustRightInd w:val="0"/>
              <w:spacing w:line="240" w:lineRule="auto"/>
              <w:ind w:firstLine="0" w:firstLineChars="0"/>
              <w:jc w:val="center"/>
              <w:rPr>
                <w:rFonts w:ascii="仿宋" w:hAnsi="仿宋" w:eastAsia="仿宋"/>
                <w:b w:val="0"/>
                <w:color w:val="000000"/>
                <w:sz w:val="22"/>
                <w:szCs w:val="22"/>
                <w:lang w:val="en-US"/>
              </w:rPr>
            </w:pPr>
            <w:r>
              <w:rPr>
                <w:rFonts w:ascii="仿宋" w:hAnsi="仿宋" w:eastAsia="仿宋"/>
                <w:b w:val="0"/>
                <w:color w:val="000000"/>
                <w:sz w:val="22"/>
                <w:szCs w:val="22"/>
                <w:lang w:val="en-US"/>
              </w:rPr>
              <w:t>13</w:t>
            </w:r>
          </w:p>
        </w:tc>
        <w:tc>
          <w:tcPr>
            <w:tcW w:w="555" w:type="pct"/>
            <w:vAlign w:val="center"/>
          </w:tcPr>
          <w:p>
            <w:pPr>
              <w:widowControl/>
              <w:adjustRightInd w:val="0"/>
              <w:spacing w:line="240" w:lineRule="auto"/>
              <w:ind w:firstLine="0" w:firstLineChars="0"/>
              <w:jc w:val="center"/>
              <w:rPr>
                <w:rFonts w:ascii="仿宋" w:hAnsi="仿宋" w:eastAsia="仿宋"/>
                <w:b w:val="0"/>
                <w:color w:val="000000"/>
                <w:sz w:val="22"/>
                <w:szCs w:val="22"/>
                <w:lang w:val="en-US"/>
              </w:rPr>
            </w:pPr>
            <w:r>
              <w:rPr>
                <w:rFonts w:hint="eastAsia" w:ascii="仿宋" w:hAnsi="仿宋" w:eastAsia="仿宋"/>
                <w:b w:val="0"/>
                <w:color w:val="000000"/>
                <w:sz w:val="22"/>
                <w:szCs w:val="22"/>
                <w:lang w:val="en-US"/>
              </w:rPr>
              <w:t>农业农村部</w:t>
            </w:r>
          </w:p>
        </w:tc>
        <w:tc>
          <w:tcPr>
            <w:tcW w:w="831" w:type="pct"/>
            <w:gridSpan w:val="2"/>
            <w:vAlign w:val="center"/>
          </w:tcPr>
          <w:p>
            <w:pPr>
              <w:widowControl/>
              <w:adjustRightInd w:val="0"/>
              <w:spacing w:line="240" w:lineRule="auto"/>
              <w:ind w:firstLine="0" w:firstLineChars="0"/>
              <w:jc w:val="center"/>
              <w:rPr>
                <w:rFonts w:ascii="仿宋" w:hAnsi="仿宋" w:eastAsia="仿宋" w:cs="宋体"/>
                <w:b w:val="0"/>
                <w:color w:val="000000"/>
                <w:sz w:val="22"/>
                <w:szCs w:val="22"/>
                <w:lang w:val="en-US"/>
              </w:rPr>
            </w:pPr>
            <w:r>
              <w:rPr>
                <w:rFonts w:hint="eastAsia" w:ascii="仿宋" w:hAnsi="仿宋" w:eastAsia="仿宋" w:cs="宋体"/>
                <w:b w:val="0"/>
                <w:color w:val="000000"/>
                <w:sz w:val="22"/>
                <w:szCs w:val="22"/>
                <w:lang w:val="en-US"/>
              </w:rPr>
              <w:t>《农业行政处罚程序规定》</w:t>
            </w:r>
          </w:p>
        </w:tc>
        <w:tc>
          <w:tcPr>
            <w:tcW w:w="747" w:type="pct"/>
            <w:vAlign w:val="center"/>
          </w:tcPr>
          <w:p>
            <w:pPr>
              <w:widowControl/>
              <w:adjustRightInd w:val="0"/>
              <w:spacing w:line="240" w:lineRule="auto"/>
              <w:ind w:firstLine="0" w:firstLineChars="0"/>
              <w:jc w:val="center"/>
              <w:rPr>
                <w:rFonts w:ascii="仿宋" w:hAnsi="仿宋" w:eastAsia="仿宋"/>
                <w:b w:val="0"/>
                <w:color w:val="000000"/>
                <w:sz w:val="22"/>
                <w:szCs w:val="22"/>
                <w:lang w:val="en-US"/>
              </w:rPr>
            </w:pPr>
            <w:r>
              <w:rPr>
                <w:rFonts w:hint="eastAsia" w:ascii="仿宋" w:hAnsi="仿宋" w:eastAsia="仿宋"/>
                <w:b w:val="0"/>
                <w:color w:val="000000"/>
                <w:sz w:val="22"/>
                <w:szCs w:val="22"/>
                <w:lang w:val="en-US"/>
              </w:rPr>
              <w:t>第五十九条</w:t>
            </w:r>
          </w:p>
        </w:tc>
        <w:tc>
          <w:tcPr>
            <w:tcW w:w="2514" w:type="pct"/>
            <w:vAlign w:val="center"/>
          </w:tcPr>
          <w:p>
            <w:pPr>
              <w:widowControl/>
              <w:adjustRightInd w:val="0"/>
              <w:spacing w:line="240" w:lineRule="auto"/>
              <w:ind w:firstLine="0" w:firstLineChars="0"/>
              <w:jc w:val="left"/>
              <w:rPr>
                <w:rFonts w:ascii="仿宋" w:hAnsi="仿宋" w:eastAsia="仿宋" w:cs="宋体"/>
                <w:b w:val="0"/>
                <w:color w:val="000000"/>
                <w:sz w:val="22"/>
                <w:szCs w:val="22"/>
                <w:lang w:val="en-US"/>
              </w:rPr>
            </w:pPr>
            <w:r>
              <w:rPr>
                <w:rFonts w:hint="eastAsia" w:ascii="仿宋" w:hAnsi="仿宋" w:eastAsia="仿宋" w:cs="宋体"/>
                <w:b w:val="0"/>
                <w:color w:val="000000"/>
                <w:sz w:val="22"/>
                <w:szCs w:val="22"/>
                <w:lang w:val="en-US"/>
              </w:rPr>
              <w:t>对需要继续行驶的农业机械、渔业船舶实施暂扣或者吊销证照的行政处罚，农业行政处罚机关在实施行政处罚的同时，应当发给当事人相应的证明，允许农业机械、渔业船舶驶往预定或指定的地点。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0" w:hRule="atLeast"/>
          <w:jc w:val="center"/>
        </w:trPr>
        <w:tc>
          <w:tcPr>
            <w:tcW w:w="351" w:type="pct"/>
            <w:vAlign w:val="center"/>
          </w:tcPr>
          <w:p>
            <w:pPr>
              <w:widowControl/>
              <w:adjustRightInd w:val="0"/>
              <w:spacing w:line="240" w:lineRule="auto"/>
              <w:ind w:firstLine="0" w:firstLineChars="0"/>
              <w:jc w:val="center"/>
              <w:rPr>
                <w:rFonts w:ascii="仿宋" w:hAnsi="仿宋" w:eastAsia="仿宋"/>
                <w:b w:val="0"/>
                <w:color w:val="000000"/>
                <w:sz w:val="22"/>
                <w:szCs w:val="22"/>
                <w:lang w:val="en-US"/>
              </w:rPr>
            </w:pPr>
            <w:r>
              <w:rPr>
                <w:rFonts w:ascii="仿宋" w:hAnsi="仿宋" w:eastAsia="仿宋"/>
                <w:b w:val="0"/>
                <w:color w:val="000000"/>
                <w:sz w:val="22"/>
                <w:szCs w:val="22"/>
                <w:lang w:val="en-US"/>
              </w:rPr>
              <w:t>14</w:t>
            </w:r>
          </w:p>
        </w:tc>
        <w:tc>
          <w:tcPr>
            <w:tcW w:w="555" w:type="pct"/>
            <w:vAlign w:val="center"/>
          </w:tcPr>
          <w:p>
            <w:pPr>
              <w:widowControl/>
              <w:adjustRightInd w:val="0"/>
              <w:spacing w:line="240" w:lineRule="auto"/>
              <w:ind w:firstLine="0" w:firstLineChars="0"/>
              <w:jc w:val="center"/>
              <w:rPr>
                <w:rFonts w:ascii="仿宋" w:hAnsi="仿宋" w:eastAsia="仿宋"/>
                <w:b w:val="0"/>
                <w:color w:val="000000"/>
                <w:sz w:val="22"/>
                <w:szCs w:val="22"/>
                <w:lang w:val="en-US"/>
              </w:rPr>
            </w:pPr>
            <w:r>
              <w:rPr>
                <w:rFonts w:hint="eastAsia" w:ascii="仿宋" w:hAnsi="仿宋" w:eastAsia="仿宋"/>
                <w:b w:val="0"/>
                <w:color w:val="000000"/>
                <w:sz w:val="22"/>
                <w:szCs w:val="22"/>
                <w:lang w:val="en-US"/>
              </w:rPr>
              <w:t>商务部</w:t>
            </w:r>
          </w:p>
        </w:tc>
        <w:tc>
          <w:tcPr>
            <w:tcW w:w="831" w:type="pct"/>
            <w:gridSpan w:val="2"/>
            <w:vAlign w:val="center"/>
          </w:tcPr>
          <w:p>
            <w:pPr>
              <w:widowControl/>
              <w:adjustRightInd w:val="0"/>
              <w:spacing w:line="240" w:lineRule="auto"/>
              <w:ind w:firstLine="0" w:firstLineChars="0"/>
              <w:jc w:val="center"/>
              <w:rPr>
                <w:rFonts w:ascii="仿宋" w:hAnsi="仿宋" w:eastAsia="仿宋" w:cs="宋体"/>
                <w:b w:val="0"/>
                <w:color w:val="000000"/>
                <w:sz w:val="22"/>
                <w:szCs w:val="22"/>
                <w:lang w:val="en-US"/>
              </w:rPr>
            </w:pPr>
            <w:r>
              <w:rPr>
                <w:rFonts w:hint="eastAsia" w:ascii="仿宋" w:hAnsi="仿宋" w:eastAsia="仿宋" w:cs="宋体"/>
                <w:b w:val="0"/>
                <w:color w:val="000000"/>
                <w:sz w:val="22"/>
                <w:szCs w:val="22"/>
                <w:lang w:val="en-US"/>
              </w:rPr>
              <w:t>《商务部行政处罚实施办法》</w:t>
            </w:r>
          </w:p>
        </w:tc>
        <w:tc>
          <w:tcPr>
            <w:tcW w:w="747" w:type="pct"/>
            <w:vAlign w:val="center"/>
          </w:tcPr>
          <w:p>
            <w:pPr>
              <w:widowControl/>
              <w:adjustRightInd w:val="0"/>
              <w:spacing w:line="240" w:lineRule="auto"/>
              <w:ind w:firstLine="0" w:firstLineChars="0"/>
              <w:jc w:val="center"/>
              <w:rPr>
                <w:rFonts w:ascii="仿宋" w:hAnsi="仿宋" w:eastAsia="仿宋"/>
                <w:b w:val="0"/>
                <w:color w:val="000000"/>
                <w:sz w:val="22"/>
                <w:szCs w:val="22"/>
                <w:lang w:val="en-US"/>
              </w:rPr>
            </w:pPr>
            <w:r>
              <w:rPr>
                <w:rFonts w:hint="eastAsia" w:ascii="仿宋" w:hAnsi="仿宋" w:eastAsia="仿宋"/>
                <w:b w:val="0"/>
                <w:color w:val="000000"/>
                <w:sz w:val="22"/>
                <w:szCs w:val="22"/>
                <w:lang w:val="en-US"/>
              </w:rPr>
              <w:t>第十九条</w:t>
            </w:r>
          </w:p>
        </w:tc>
        <w:tc>
          <w:tcPr>
            <w:tcW w:w="2514" w:type="pct"/>
            <w:vAlign w:val="center"/>
          </w:tcPr>
          <w:p>
            <w:pPr>
              <w:widowControl/>
              <w:adjustRightInd w:val="0"/>
              <w:spacing w:line="240" w:lineRule="auto"/>
              <w:ind w:firstLine="0" w:firstLineChars="0"/>
              <w:jc w:val="left"/>
              <w:rPr>
                <w:rFonts w:ascii="仿宋" w:hAnsi="仿宋" w:eastAsia="仿宋" w:cs="宋体"/>
                <w:b w:val="0"/>
                <w:color w:val="000000"/>
                <w:sz w:val="22"/>
                <w:szCs w:val="22"/>
                <w:lang w:val="en-US"/>
              </w:rPr>
            </w:pPr>
            <w:r>
              <w:rPr>
                <w:rFonts w:hint="eastAsia" w:ascii="仿宋" w:hAnsi="仿宋" w:eastAsia="仿宋" w:cs="宋体"/>
                <w:b w:val="0"/>
                <w:color w:val="000000"/>
                <w:sz w:val="22"/>
                <w:szCs w:val="22"/>
                <w:lang w:val="en-US"/>
              </w:rPr>
              <w:t>法制机构应当按照行政处罚委员会审理会的处理意见制作行政处罚告知书，书面告知当事人拟作出行政处罚的事实、理由及依据，并告知当事人依法享有陈述、申辩的权利。 拟作出3万元以上（不含3万元）罚款或责令停产停业、吊销许可证或执照的行政处罚的，应当在行政处罚告知书中告知当事人有要求举行听证的权利。 当事人要求陈述、申辩或者举行听证的，应当在收到行政处罚告知书后3日内向法制机构提出。 法制机构应当充分听取当事人意见，并对有关情况进行复核。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0" w:hRule="atLeast"/>
          <w:jc w:val="center"/>
        </w:trPr>
        <w:tc>
          <w:tcPr>
            <w:tcW w:w="351" w:type="pct"/>
            <w:vAlign w:val="center"/>
          </w:tcPr>
          <w:p>
            <w:pPr>
              <w:widowControl/>
              <w:adjustRightInd w:val="0"/>
              <w:spacing w:line="240" w:lineRule="auto"/>
              <w:ind w:firstLine="0" w:firstLineChars="0"/>
              <w:jc w:val="center"/>
              <w:rPr>
                <w:rFonts w:ascii="仿宋" w:hAnsi="仿宋" w:eastAsia="仿宋"/>
                <w:b w:val="0"/>
                <w:color w:val="000000"/>
                <w:sz w:val="22"/>
                <w:szCs w:val="22"/>
                <w:lang w:val="en-US"/>
              </w:rPr>
            </w:pPr>
            <w:r>
              <w:rPr>
                <w:rFonts w:ascii="仿宋" w:hAnsi="仿宋" w:eastAsia="仿宋"/>
                <w:b w:val="0"/>
                <w:color w:val="000000"/>
                <w:sz w:val="22"/>
                <w:szCs w:val="22"/>
                <w:lang w:val="en-US"/>
              </w:rPr>
              <w:t>15</w:t>
            </w:r>
          </w:p>
        </w:tc>
        <w:tc>
          <w:tcPr>
            <w:tcW w:w="555" w:type="pct"/>
            <w:vAlign w:val="center"/>
          </w:tcPr>
          <w:p>
            <w:pPr>
              <w:widowControl/>
              <w:adjustRightInd w:val="0"/>
              <w:spacing w:line="240" w:lineRule="auto"/>
              <w:ind w:firstLine="0" w:firstLineChars="0"/>
              <w:jc w:val="center"/>
              <w:rPr>
                <w:rFonts w:ascii="仿宋" w:hAnsi="仿宋" w:eastAsia="仿宋" w:cs="宋体"/>
                <w:b w:val="0"/>
                <w:color w:val="000000"/>
                <w:sz w:val="22"/>
                <w:szCs w:val="22"/>
                <w:lang w:val="en-US"/>
              </w:rPr>
            </w:pPr>
            <w:r>
              <w:rPr>
                <w:rFonts w:hint="eastAsia" w:ascii="仿宋" w:hAnsi="仿宋" w:eastAsia="仿宋" w:cs="宋体"/>
                <w:b w:val="0"/>
                <w:color w:val="000000"/>
                <w:sz w:val="22"/>
                <w:szCs w:val="22"/>
                <w:lang w:val="en-US"/>
              </w:rPr>
              <w:t>国家文化与    旅游部</w:t>
            </w:r>
          </w:p>
        </w:tc>
        <w:tc>
          <w:tcPr>
            <w:tcW w:w="831" w:type="pct"/>
            <w:gridSpan w:val="2"/>
            <w:vAlign w:val="center"/>
          </w:tcPr>
          <w:p>
            <w:pPr>
              <w:widowControl/>
              <w:adjustRightInd w:val="0"/>
              <w:spacing w:line="240" w:lineRule="auto"/>
              <w:ind w:firstLine="0" w:firstLineChars="0"/>
              <w:jc w:val="center"/>
              <w:rPr>
                <w:rFonts w:ascii="仿宋" w:hAnsi="仿宋" w:eastAsia="仿宋" w:cs="宋体"/>
                <w:b w:val="0"/>
                <w:color w:val="000000"/>
                <w:sz w:val="22"/>
                <w:szCs w:val="22"/>
                <w:lang w:val="en-US"/>
              </w:rPr>
            </w:pPr>
            <w:r>
              <w:rPr>
                <w:rFonts w:hint="eastAsia" w:ascii="仿宋" w:hAnsi="仿宋" w:eastAsia="仿宋" w:cs="宋体"/>
                <w:b w:val="0"/>
                <w:color w:val="000000"/>
                <w:sz w:val="22"/>
                <w:szCs w:val="22"/>
                <w:lang w:val="en-US"/>
              </w:rPr>
              <w:t>《旅游行政处罚办法》</w:t>
            </w:r>
          </w:p>
        </w:tc>
        <w:tc>
          <w:tcPr>
            <w:tcW w:w="747" w:type="pct"/>
            <w:vAlign w:val="center"/>
          </w:tcPr>
          <w:p>
            <w:pPr>
              <w:widowControl/>
              <w:adjustRightInd w:val="0"/>
              <w:spacing w:line="240" w:lineRule="auto"/>
              <w:ind w:firstLine="0" w:firstLineChars="0"/>
              <w:jc w:val="center"/>
              <w:rPr>
                <w:rFonts w:ascii="仿宋" w:hAnsi="仿宋" w:eastAsia="仿宋"/>
                <w:b w:val="0"/>
                <w:color w:val="000000"/>
                <w:sz w:val="22"/>
                <w:szCs w:val="22"/>
                <w:lang w:val="en-US"/>
              </w:rPr>
            </w:pPr>
            <w:r>
              <w:rPr>
                <w:rFonts w:hint="eastAsia" w:ascii="仿宋" w:hAnsi="仿宋" w:eastAsia="仿宋"/>
                <w:b w:val="0"/>
                <w:color w:val="000000"/>
                <w:sz w:val="22"/>
                <w:szCs w:val="22"/>
                <w:lang w:val="en-US"/>
              </w:rPr>
              <w:t>第三十八条</w:t>
            </w:r>
          </w:p>
        </w:tc>
        <w:tc>
          <w:tcPr>
            <w:tcW w:w="2514" w:type="pct"/>
            <w:vAlign w:val="center"/>
          </w:tcPr>
          <w:p>
            <w:pPr>
              <w:widowControl/>
              <w:adjustRightInd w:val="0"/>
              <w:spacing w:line="240" w:lineRule="auto"/>
              <w:ind w:firstLine="0" w:firstLineChars="0"/>
              <w:jc w:val="left"/>
              <w:rPr>
                <w:rFonts w:ascii="仿宋" w:hAnsi="仿宋" w:eastAsia="仿宋" w:cs="宋体"/>
                <w:b w:val="0"/>
                <w:color w:val="000000"/>
                <w:sz w:val="22"/>
                <w:szCs w:val="22"/>
                <w:lang w:val="en-US"/>
              </w:rPr>
            </w:pPr>
            <w:r>
              <w:rPr>
                <w:rFonts w:hint="eastAsia" w:ascii="仿宋" w:hAnsi="仿宋" w:eastAsia="仿宋" w:cs="宋体"/>
                <w:b w:val="0"/>
                <w:color w:val="000000"/>
                <w:sz w:val="22"/>
                <w:szCs w:val="22"/>
                <w:lang w:val="en-US"/>
              </w:rPr>
              <w:t>旅游主管部门作出较大数额罚款、没收较大数额违法所得、取消出国（境）旅游业务经营资格、责令停业整顿、吊销旅行社业务经营许可证、导游证或者领队证等行政处罚决定前，应当以书面形式告知当事人有申请听证的权利。听证告知的内容应当包括，提出听证申请的期限，未如期提出申请的法律后果，以及受理听证申请的旅游主管部门名称、地址等内容。第一款所称较大数额，对公民为1万元人民币以上、对法人或者其他组织为5万元人民币以上；地方人民代表大会及其常务委员会或者地方人民政府另有规定的，从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351" w:type="pct"/>
            <w:vAlign w:val="center"/>
          </w:tcPr>
          <w:p>
            <w:pPr>
              <w:widowControl/>
              <w:adjustRightInd w:val="0"/>
              <w:spacing w:line="240" w:lineRule="auto"/>
              <w:ind w:firstLine="0" w:firstLineChars="0"/>
              <w:jc w:val="center"/>
              <w:rPr>
                <w:rFonts w:ascii="仿宋" w:hAnsi="仿宋" w:eastAsia="仿宋"/>
                <w:b w:val="0"/>
                <w:color w:val="000000"/>
                <w:sz w:val="22"/>
                <w:szCs w:val="22"/>
                <w:lang w:val="en-US"/>
              </w:rPr>
            </w:pPr>
            <w:r>
              <w:rPr>
                <w:rFonts w:ascii="仿宋" w:hAnsi="仿宋" w:eastAsia="仿宋"/>
                <w:b w:val="0"/>
                <w:color w:val="000000"/>
                <w:sz w:val="22"/>
                <w:szCs w:val="22"/>
                <w:lang w:val="en-US"/>
              </w:rPr>
              <w:t>16</w:t>
            </w:r>
          </w:p>
        </w:tc>
        <w:tc>
          <w:tcPr>
            <w:tcW w:w="555" w:type="pct"/>
            <w:vAlign w:val="center"/>
          </w:tcPr>
          <w:p>
            <w:pPr>
              <w:widowControl/>
              <w:adjustRightInd w:val="0"/>
              <w:spacing w:line="240" w:lineRule="auto"/>
              <w:ind w:firstLine="0" w:firstLineChars="0"/>
              <w:jc w:val="center"/>
              <w:rPr>
                <w:rFonts w:ascii="仿宋" w:hAnsi="仿宋" w:eastAsia="仿宋"/>
                <w:b w:val="0"/>
                <w:color w:val="000000"/>
                <w:sz w:val="22"/>
                <w:szCs w:val="22"/>
                <w:lang w:val="en-US"/>
              </w:rPr>
            </w:pPr>
            <w:r>
              <w:rPr>
                <w:rFonts w:hint="eastAsia" w:ascii="仿宋" w:hAnsi="仿宋" w:eastAsia="仿宋"/>
                <w:b w:val="0"/>
                <w:color w:val="000000"/>
                <w:sz w:val="22"/>
                <w:szCs w:val="22"/>
                <w:lang w:val="en-US"/>
              </w:rPr>
              <w:t>中国人民银行</w:t>
            </w:r>
          </w:p>
        </w:tc>
        <w:tc>
          <w:tcPr>
            <w:tcW w:w="831" w:type="pct"/>
            <w:gridSpan w:val="2"/>
            <w:vAlign w:val="center"/>
          </w:tcPr>
          <w:p>
            <w:pPr>
              <w:widowControl/>
              <w:adjustRightInd w:val="0"/>
              <w:spacing w:line="240" w:lineRule="auto"/>
              <w:ind w:firstLine="0" w:firstLineChars="0"/>
              <w:jc w:val="center"/>
              <w:rPr>
                <w:rFonts w:ascii="仿宋" w:hAnsi="仿宋" w:eastAsia="仿宋" w:cs="宋体"/>
                <w:b w:val="0"/>
                <w:color w:val="000000"/>
                <w:sz w:val="22"/>
                <w:szCs w:val="22"/>
                <w:lang w:val="en-US"/>
              </w:rPr>
            </w:pPr>
            <w:r>
              <w:rPr>
                <w:rFonts w:hint="eastAsia" w:ascii="仿宋" w:hAnsi="仿宋" w:eastAsia="仿宋" w:cs="宋体"/>
                <w:b w:val="0"/>
                <w:color w:val="000000"/>
                <w:sz w:val="22"/>
                <w:szCs w:val="22"/>
                <w:lang w:val="en-US"/>
              </w:rPr>
              <w:t>《关于确定中国人民银行举行听证的较大数额罚款幅度的通知》</w:t>
            </w:r>
          </w:p>
        </w:tc>
        <w:tc>
          <w:tcPr>
            <w:tcW w:w="747" w:type="pct"/>
            <w:vAlign w:val="center"/>
          </w:tcPr>
          <w:p>
            <w:pPr>
              <w:widowControl/>
              <w:adjustRightInd w:val="0"/>
              <w:spacing w:line="240" w:lineRule="auto"/>
              <w:ind w:firstLine="0" w:firstLineChars="0"/>
              <w:jc w:val="center"/>
              <w:rPr>
                <w:rFonts w:ascii="仿宋" w:hAnsi="仿宋" w:eastAsia="仿宋"/>
                <w:b w:val="0"/>
                <w:color w:val="000000"/>
                <w:sz w:val="22"/>
                <w:szCs w:val="22"/>
                <w:lang w:val="en-US"/>
              </w:rPr>
            </w:pPr>
            <w:r>
              <w:rPr>
                <w:rFonts w:ascii="仿宋" w:hAnsi="仿宋" w:eastAsia="仿宋"/>
                <w:b w:val="0"/>
                <w:color w:val="000000"/>
                <w:sz w:val="22"/>
                <w:szCs w:val="22"/>
                <w:lang w:val="en-US"/>
              </w:rPr>
              <w:t>/</w:t>
            </w:r>
          </w:p>
        </w:tc>
        <w:tc>
          <w:tcPr>
            <w:tcW w:w="2514" w:type="pct"/>
            <w:vAlign w:val="center"/>
          </w:tcPr>
          <w:p>
            <w:pPr>
              <w:widowControl/>
              <w:adjustRightInd w:val="0"/>
              <w:spacing w:line="240" w:lineRule="auto"/>
              <w:ind w:firstLine="0" w:firstLineChars="0"/>
              <w:jc w:val="left"/>
              <w:rPr>
                <w:rFonts w:ascii="仿宋" w:hAnsi="仿宋" w:eastAsia="仿宋" w:cs="宋体"/>
                <w:b w:val="0"/>
                <w:color w:val="000000"/>
                <w:sz w:val="22"/>
                <w:szCs w:val="22"/>
                <w:lang w:val="en-US"/>
              </w:rPr>
            </w:pPr>
            <w:r>
              <w:rPr>
                <w:rFonts w:hint="eastAsia" w:ascii="仿宋" w:hAnsi="仿宋" w:eastAsia="仿宋" w:cs="宋体"/>
                <w:b w:val="0"/>
                <w:color w:val="000000"/>
                <w:sz w:val="22"/>
                <w:szCs w:val="22"/>
                <w:lang w:val="en-US"/>
              </w:rPr>
              <w:t>为保障中国人民银行听证工作的顺利进行，现规定中国人民银行举行听证的“较大数额的罚款”为：县级支行五万元以上，地（市）级分行二十万元以上，省级分行五十万元以上，总行三百万元以上（均不含本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485" w:type="pct"/>
            <w:gridSpan w:val="5"/>
            <w:vAlign w:val="center"/>
          </w:tcPr>
          <w:p>
            <w:pPr>
              <w:widowControl/>
              <w:adjustRightInd w:val="0"/>
              <w:spacing w:line="240" w:lineRule="auto"/>
              <w:ind w:firstLine="0" w:firstLineChars="0"/>
              <w:jc w:val="left"/>
              <w:rPr>
                <w:rFonts w:ascii="仿宋" w:hAnsi="仿宋" w:eastAsia="仿宋"/>
                <w:bCs/>
                <w:color w:val="000000"/>
                <w:sz w:val="22"/>
                <w:szCs w:val="22"/>
                <w:lang w:val="en-US"/>
              </w:rPr>
            </w:pPr>
            <w:r>
              <w:rPr>
                <w:rFonts w:hint="eastAsia" w:ascii="仿宋" w:hAnsi="仿宋" w:eastAsia="仿宋"/>
                <w:bCs/>
                <w:color w:val="000000"/>
                <w:sz w:val="22"/>
                <w:szCs w:val="22"/>
                <w:lang w:val="en-US"/>
              </w:rPr>
              <w:t>国务院直属机构</w:t>
            </w:r>
          </w:p>
        </w:tc>
        <w:tc>
          <w:tcPr>
            <w:tcW w:w="2514" w:type="pct"/>
            <w:vAlign w:val="center"/>
          </w:tcPr>
          <w:p>
            <w:pPr>
              <w:widowControl/>
              <w:adjustRightInd w:val="0"/>
              <w:spacing w:line="240" w:lineRule="auto"/>
              <w:ind w:firstLine="0" w:firstLineChars="0"/>
              <w:jc w:val="left"/>
              <w:rPr>
                <w:rFonts w:ascii="仿宋" w:hAnsi="仿宋" w:eastAsia="仿宋" w:cs="宋体"/>
                <w:b w:val="0"/>
                <w:color w:val="000000"/>
                <w:sz w:val="22"/>
                <w:szCs w:val="22"/>
                <w:lang w:val="en-US"/>
              </w:rPr>
            </w:pPr>
            <w:r>
              <w:rPr>
                <w:rFonts w:hint="eastAsia" w:ascii="仿宋" w:hAnsi="仿宋" w:eastAsia="仿宋" w:cs="宋体"/>
                <w:b w:val="0"/>
                <w:color w:val="000000"/>
                <w:sz w:val="22"/>
                <w:szCs w:val="22"/>
                <w:lang w:val="en-U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351" w:type="pct"/>
            <w:vAlign w:val="center"/>
          </w:tcPr>
          <w:p>
            <w:pPr>
              <w:widowControl/>
              <w:adjustRightInd w:val="0"/>
              <w:spacing w:line="240" w:lineRule="auto"/>
              <w:ind w:firstLine="0" w:firstLineChars="0"/>
              <w:jc w:val="center"/>
              <w:rPr>
                <w:rFonts w:ascii="仿宋" w:hAnsi="仿宋" w:eastAsia="仿宋"/>
                <w:b w:val="0"/>
                <w:color w:val="000000"/>
                <w:sz w:val="22"/>
                <w:szCs w:val="22"/>
                <w:lang w:val="en-US"/>
              </w:rPr>
            </w:pPr>
            <w:r>
              <w:rPr>
                <w:rFonts w:ascii="仿宋" w:hAnsi="仿宋" w:eastAsia="仿宋"/>
                <w:b w:val="0"/>
                <w:color w:val="000000"/>
                <w:sz w:val="22"/>
                <w:szCs w:val="22"/>
                <w:lang w:val="en-US"/>
              </w:rPr>
              <w:t>17</w:t>
            </w:r>
          </w:p>
        </w:tc>
        <w:tc>
          <w:tcPr>
            <w:tcW w:w="555" w:type="pct"/>
            <w:vAlign w:val="center"/>
          </w:tcPr>
          <w:p>
            <w:pPr>
              <w:widowControl/>
              <w:adjustRightInd w:val="0"/>
              <w:spacing w:line="240" w:lineRule="auto"/>
              <w:ind w:firstLine="0" w:firstLineChars="0"/>
              <w:jc w:val="center"/>
              <w:rPr>
                <w:rFonts w:hint="eastAsia" w:ascii="仿宋" w:hAnsi="仿宋" w:eastAsia="仿宋"/>
                <w:b w:val="0"/>
                <w:color w:val="000000"/>
                <w:sz w:val="22"/>
                <w:szCs w:val="22"/>
                <w:lang w:val="en-US"/>
              </w:rPr>
            </w:pPr>
            <w:r>
              <w:rPr>
                <w:rFonts w:hint="eastAsia" w:ascii="仿宋" w:hAnsi="仿宋" w:eastAsia="仿宋"/>
                <w:b w:val="0"/>
                <w:color w:val="000000"/>
                <w:sz w:val="22"/>
                <w:szCs w:val="22"/>
                <w:lang w:val="en-US"/>
              </w:rPr>
              <w:t>海关</w:t>
            </w:r>
          </w:p>
          <w:p>
            <w:pPr>
              <w:widowControl/>
              <w:adjustRightInd w:val="0"/>
              <w:spacing w:line="240" w:lineRule="auto"/>
              <w:ind w:firstLine="0" w:firstLineChars="0"/>
              <w:jc w:val="center"/>
              <w:rPr>
                <w:rFonts w:ascii="仿宋" w:hAnsi="仿宋" w:eastAsia="仿宋"/>
                <w:b w:val="0"/>
                <w:color w:val="000000"/>
                <w:sz w:val="22"/>
                <w:szCs w:val="22"/>
                <w:lang w:val="en-US"/>
              </w:rPr>
            </w:pPr>
            <w:r>
              <w:rPr>
                <w:rFonts w:hint="eastAsia" w:ascii="仿宋" w:hAnsi="仿宋" w:eastAsia="仿宋"/>
                <w:b w:val="0"/>
                <w:color w:val="000000"/>
                <w:sz w:val="22"/>
                <w:szCs w:val="22"/>
                <w:lang w:val="en-US"/>
              </w:rPr>
              <w:t>总署</w:t>
            </w:r>
          </w:p>
        </w:tc>
        <w:tc>
          <w:tcPr>
            <w:tcW w:w="831" w:type="pct"/>
            <w:gridSpan w:val="2"/>
            <w:vAlign w:val="center"/>
          </w:tcPr>
          <w:p>
            <w:pPr>
              <w:widowControl/>
              <w:adjustRightInd w:val="0"/>
              <w:spacing w:line="240" w:lineRule="auto"/>
              <w:ind w:firstLine="0" w:firstLineChars="0"/>
              <w:jc w:val="center"/>
              <w:rPr>
                <w:rFonts w:hint="eastAsia" w:ascii="仿宋" w:hAnsi="仿宋" w:eastAsia="仿宋" w:cs="宋体"/>
                <w:b w:val="0"/>
                <w:color w:val="000000"/>
                <w:sz w:val="22"/>
                <w:szCs w:val="22"/>
                <w:lang w:val="en-US"/>
              </w:rPr>
            </w:pPr>
            <w:r>
              <w:rPr>
                <w:rFonts w:hint="eastAsia" w:ascii="仿宋" w:hAnsi="仿宋" w:eastAsia="仿宋" w:cs="宋体"/>
                <w:b w:val="0"/>
                <w:color w:val="000000"/>
                <w:sz w:val="22"/>
                <w:szCs w:val="22"/>
                <w:lang w:val="en-US"/>
              </w:rPr>
              <w:t>《中华人民共和国海关行政处罚听证</w:t>
            </w:r>
          </w:p>
          <w:p>
            <w:pPr>
              <w:widowControl/>
              <w:adjustRightInd w:val="0"/>
              <w:spacing w:line="240" w:lineRule="auto"/>
              <w:ind w:firstLine="0" w:firstLineChars="0"/>
              <w:jc w:val="center"/>
              <w:rPr>
                <w:rFonts w:ascii="仿宋" w:hAnsi="仿宋" w:eastAsia="仿宋" w:cs="宋体"/>
                <w:b w:val="0"/>
                <w:color w:val="000000"/>
                <w:sz w:val="22"/>
                <w:szCs w:val="22"/>
                <w:lang w:val="en-US"/>
              </w:rPr>
            </w:pPr>
            <w:r>
              <w:rPr>
                <w:rFonts w:hint="eastAsia" w:ascii="仿宋" w:hAnsi="仿宋" w:eastAsia="仿宋" w:cs="宋体"/>
                <w:b w:val="0"/>
                <w:color w:val="000000"/>
                <w:sz w:val="22"/>
                <w:szCs w:val="22"/>
                <w:lang w:val="en-US"/>
              </w:rPr>
              <w:t>办法》</w:t>
            </w:r>
          </w:p>
        </w:tc>
        <w:tc>
          <w:tcPr>
            <w:tcW w:w="747" w:type="pct"/>
            <w:vAlign w:val="center"/>
          </w:tcPr>
          <w:p>
            <w:pPr>
              <w:widowControl/>
              <w:adjustRightInd w:val="0"/>
              <w:spacing w:line="240" w:lineRule="auto"/>
              <w:ind w:firstLine="0" w:firstLineChars="0"/>
              <w:jc w:val="center"/>
              <w:rPr>
                <w:rFonts w:ascii="仿宋" w:hAnsi="仿宋" w:eastAsia="仿宋"/>
                <w:b w:val="0"/>
                <w:color w:val="000000"/>
                <w:sz w:val="22"/>
                <w:szCs w:val="22"/>
                <w:lang w:val="en-US"/>
              </w:rPr>
            </w:pPr>
            <w:r>
              <w:rPr>
                <w:rFonts w:hint="eastAsia" w:ascii="仿宋" w:hAnsi="仿宋" w:eastAsia="仿宋"/>
                <w:b w:val="0"/>
                <w:color w:val="000000"/>
                <w:sz w:val="22"/>
                <w:szCs w:val="22"/>
                <w:lang w:val="en-US"/>
              </w:rPr>
              <w:t>第三条</w:t>
            </w:r>
          </w:p>
        </w:tc>
        <w:tc>
          <w:tcPr>
            <w:tcW w:w="2514" w:type="pct"/>
            <w:vAlign w:val="center"/>
          </w:tcPr>
          <w:p>
            <w:pPr>
              <w:widowControl/>
              <w:adjustRightInd w:val="0"/>
              <w:spacing w:line="240" w:lineRule="auto"/>
              <w:ind w:firstLine="0" w:firstLineChars="0"/>
              <w:jc w:val="left"/>
              <w:rPr>
                <w:rFonts w:ascii="仿宋" w:hAnsi="仿宋" w:eastAsia="仿宋" w:cs="宋体"/>
                <w:b w:val="0"/>
                <w:color w:val="000000"/>
                <w:sz w:val="22"/>
                <w:szCs w:val="22"/>
                <w:lang w:val="en-US"/>
              </w:rPr>
            </w:pPr>
            <w:r>
              <w:rPr>
                <w:rFonts w:hint="eastAsia" w:ascii="仿宋" w:hAnsi="仿宋" w:eastAsia="仿宋" w:cs="宋体"/>
                <w:b w:val="0"/>
                <w:color w:val="000000"/>
                <w:sz w:val="22"/>
                <w:szCs w:val="22"/>
                <w:lang w:val="en-US"/>
              </w:rPr>
              <w:t>海关作出暂停从事有关业务、撤销海关注册登记、对公民处1万元以上罚款、对法人或者其他组织处10万元以上罚款、没收有关货物、物品、走私运输工具等行政处罚决定之前，应当告知当事人有要求举行听证的权利；当事人要求听证的，海关应当组织听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351" w:type="pct"/>
            <w:vAlign w:val="center"/>
          </w:tcPr>
          <w:p>
            <w:pPr>
              <w:widowControl/>
              <w:adjustRightInd w:val="0"/>
              <w:spacing w:line="240" w:lineRule="auto"/>
              <w:ind w:firstLine="0" w:firstLineChars="0"/>
              <w:jc w:val="center"/>
              <w:rPr>
                <w:rFonts w:ascii="仿宋" w:hAnsi="仿宋" w:eastAsia="仿宋"/>
                <w:b w:val="0"/>
                <w:color w:val="000000"/>
                <w:sz w:val="22"/>
                <w:szCs w:val="22"/>
                <w:lang w:val="en-US"/>
              </w:rPr>
            </w:pPr>
            <w:r>
              <w:rPr>
                <w:rFonts w:ascii="仿宋" w:hAnsi="仿宋" w:eastAsia="仿宋"/>
                <w:b w:val="0"/>
                <w:color w:val="000000"/>
                <w:sz w:val="22"/>
                <w:szCs w:val="22"/>
                <w:lang w:val="en-US"/>
              </w:rPr>
              <w:t>18</w:t>
            </w:r>
          </w:p>
        </w:tc>
        <w:tc>
          <w:tcPr>
            <w:tcW w:w="555" w:type="pct"/>
            <w:vAlign w:val="center"/>
          </w:tcPr>
          <w:p>
            <w:pPr>
              <w:widowControl/>
              <w:adjustRightInd w:val="0"/>
              <w:spacing w:line="240" w:lineRule="auto"/>
              <w:ind w:firstLine="0" w:firstLineChars="0"/>
              <w:jc w:val="center"/>
              <w:rPr>
                <w:rFonts w:hint="eastAsia" w:ascii="仿宋" w:hAnsi="仿宋" w:eastAsia="仿宋"/>
                <w:b w:val="0"/>
                <w:color w:val="000000"/>
                <w:sz w:val="22"/>
                <w:szCs w:val="22"/>
                <w:lang w:val="en-US"/>
              </w:rPr>
            </w:pPr>
            <w:r>
              <w:rPr>
                <w:rFonts w:hint="eastAsia" w:ascii="仿宋" w:hAnsi="仿宋" w:eastAsia="仿宋"/>
                <w:b w:val="0"/>
                <w:color w:val="000000"/>
                <w:sz w:val="22"/>
                <w:szCs w:val="22"/>
                <w:lang w:val="en-US"/>
              </w:rPr>
              <w:t>国家市场监督管理</w:t>
            </w:r>
          </w:p>
          <w:p>
            <w:pPr>
              <w:widowControl/>
              <w:adjustRightInd w:val="0"/>
              <w:spacing w:line="240" w:lineRule="auto"/>
              <w:ind w:firstLine="0" w:firstLineChars="0"/>
              <w:jc w:val="center"/>
              <w:rPr>
                <w:rFonts w:ascii="仿宋" w:hAnsi="仿宋" w:eastAsia="仿宋"/>
                <w:b w:val="0"/>
                <w:color w:val="000000"/>
                <w:sz w:val="22"/>
                <w:szCs w:val="22"/>
                <w:lang w:val="en-US"/>
              </w:rPr>
            </w:pPr>
            <w:r>
              <w:rPr>
                <w:rFonts w:hint="eastAsia" w:ascii="仿宋" w:hAnsi="仿宋" w:eastAsia="仿宋"/>
                <w:b w:val="0"/>
                <w:color w:val="000000"/>
                <w:sz w:val="22"/>
                <w:szCs w:val="22"/>
                <w:lang w:val="en-US"/>
              </w:rPr>
              <w:t>总局</w:t>
            </w:r>
          </w:p>
        </w:tc>
        <w:tc>
          <w:tcPr>
            <w:tcW w:w="831" w:type="pct"/>
            <w:gridSpan w:val="2"/>
            <w:vAlign w:val="center"/>
          </w:tcPr>
          <w:p>
            <w:pPr>
              <w:widowControl/>
              <w:adjustRightInd w:val="0"/>
              <w:spacing w:line="240" w:lineRule="auto"/>
              <w:ind w:firstLine="0" w:firstLineChars="0"/>
              <w:jc w:val="center"/>
              <w:rPr>
                <w:rFonts w:ascii="仿宋" w:hAnsi="仿宋" w:eastAsia="仿宋" w:cs="宋体"/>
                <w:b w:val="0"/>
                <w:color w:val="000000"/>
                <w:sz w:val="22"/>
                <w:szCs w:val="22"/>
                <w:lang w:val="en-US"/>
              </w:rPr>
            </w:pPr>
            <w:r>
              <w:rPr>
                <w:rFonts w:hint="eastAsia" w:ascii="仿宋" w:hAnsi="仿宋" w:eastAsia="仿宋" w:cs="宋体"/>
                <w:b w:val="0"/>
                <w:color w:val="000000"/>
                <w:sz w:val="22"/>
                <w:szCs w:val="22"/>
                <w:lang w:val="en-US"/>
              </w:rPr>
              <w:t>《市场监督管理行政处罚听证暂行办法》</w:t>
            </w:r>
          </w:p>
        </w:tc>
        <w:tc>
          <w:tcPr>
            <w:tcW w:w="747" w:type="pct"/>
            <w:vAlign w:val="center"/>
          </w:tcPr>
          <w:p>
            <w:pPr>
              <w:widowControl/>
              <w:adjustRightInd w:val="0"/>
              <w:spacing w:line="240" w:lineRule="auto"/>
              <w:ind w:firstLine="0" w:firstLineChars="0"/>
              <w:jc w:val="center"/>
              <w:rPr>
                <w:rFonts w:ascii="仿宋" w:hAnsi="仿宋" w:eastAsia="仿宋"/>
                <w:b w:val="0"/>
                <w:color w:val="000000"/>
                <w:sz w:val="22"/>
                <w:szCs w:val="22"/>
                <w:lang w:val="en-US"/>
              </w:rPr>
            </w:pPr>
            <w:r>
              <w:rPr>
                <w:rFonts w:hint="eastAsia" w:ascii="仿宋" w:hAnsi="仿宋" w:eastAsia="仿宋"/>
                <w:b w:val="0"/>
                <w:color w:val="000000"/>
                <w:sz w:val="22"/>
                <w:szCs w:val="22"/>
                <w:lang w:val="en-US"/>
              </w:rPr>
              <w:t>第五条</w:t>
            </w:r>
          </w:p>
        </w:tc>
        <w:tc>
          <w:tcPr>
            <w:tcW w:w="2514" w:type="pct"/>
            <w:vAlign w:val="center"/>
          </w:tcPr>
          <w:p>
            <w:pPr>
              <w:widowControl/>
              <w:adjustRightInd w:val="0"/>
              <w:spacing w:line="240" w:lineRule="auto"/>
              <w:ind w:firstLine="0" w:firstLineChars="0"/>
              <w:jc w:val="left"/>
              <w:rPr>
                <w:rFonts w:ascii="仿宋" w:hAnsi="仿宋" w:eastAsia="仿宋" w:cs="宋体"/>
                <w:b w:val="0"/>
                <w:color w:val="000000"/>
                <w:sz w:val="22"/>
                <w:szCs w:val="22"/>
                <w:lang w:val="en-US"/>
              </w:rPr>
            </w:pPr>
            <w:r>
              <w:rPr>
                <w:rFonts w:hint="eastAsia" w:ascii="仿宋" w:hAnsi="仿宋" w:eastAsia="仿宋" w:cs="宋体"/>
                <w:b w:val="0"/>
                <w:color w:val="000000"/>
                <w:sz w:val="22"/>
                <w:szCs w:val="22"/>
                <w:lang w:val="en-US"/>
              </w:rPr>
              <w:t>市场监督管理部门作出下列行政处罚决定之前，应当告知当事人有要求举行听证的权利：（一）责令停产停业；（二）吊销许可证或者执照；（三）对自然人处以一万元以上、对法人或者其他组织处以十万元以上罚款；（四）对自然人、法人或者其他组织作出没收违法所得和非法财物价值达到第三项所列数额的行政处罚。各省、自治区、直辖市人大常委会或者人民政府对前款第三项、第四项所列罚没数额有具体规定的，可以从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jc w:val="center"/>
        </w:trPr>
        <w:tc>
          <w:tcPr>
            <w:tcW w:w="351" w:type="pct"/>
            <w:vAlign w:val="center"/>
          </w:tcPr>
          <w:p>
            <w:pPr>
              <w:widowControl/>
              <w:adjustRightInd w:val="0"/>
              <w:spacing w:line="240" w:lineRule="auto"/>
              <w:ind w:firstLine="0" w:firstLineChars="0"/>
              <w:jc w:val="center"/>
              <w:rPr>
                <w:rFonts w:ascii="仿宋" w:hAnsi="仿宋" w:eastAsia="仿宋"/>
                <w:b w:val="0"/>
                <w:color w:val="000000"/>
                <w:sz w:val="22"/>
                <w:szCs w:val="22"/>
                <w:lang w:val="en-US"/>
              </w:rPr>
            </w:pPr>
            <w:r>
              <w:rPr>
                <w:rFonts w:ascii="仿宋" w:hAnsi="仿宋" w:eastAsia="仿宋"/>
                <w:b w:val="0"/>
                <w:color w:val="000000"/>
                <w:sz w:val="22"/>
                <w:szCs w:val="22"/>
                <w:lang w:val="en-US"/>
              </w:rPr>
              <w:t>19</w:t>
            </w:r>
          </w:p>
        </w:tc>
        <w:tc>
          <w:tcPr>
            <w:tcW w:w="555" w:type="pct"/>
            <w:vAlign w:val="center"/>
          </w:tcPr>
          <w:p>
            <w:pPr>
              <w:widowControl/>
              <w:adjustRightInd w:val="0"/>
              <w:spacing w:line="240" w:lineRule="auto"/>
              <w:ind w:firstLine="0" w:firstLineChars="0"/>
              <w:jc w:val="center"/>
              <w:rPr>
                <w:rFonts w:ascii="仿宋" w:hAnsi="仿宋" w:eastAsia="仿宋"/>
                <w:b w:val="0"/>
                <w:color w:val="000000"/>
                <w:sz w:val="22"/>
                <w:szCs w:val="22"/>
                <w:lang w:val="en-US"/>
              </w:rPr>
            </w:pPr>
            <w:r>
              <w:rPr>
                <w:rFonts w:hint="eastAsia" w:ascii="仿宋" w:hAnsi="仿宋" w:eastAsia="仿宋"/>
                <w:b w:val="0"/>
                <w:color w:val="000000"/>
                <w:sz w:val="22"/>
                <w:szCs w:val="22"/>
                <w:lang w:val="en-US"/>
              </w:rPr>
              <w:t>国家税务总局</w:t>
            </w:r>
          </w:p>
        </w:tc>
        <w:tc>
          <w:tcPr>
            <w:tcW w:w="831" w:type="pct"/>
            <w:gridSpan w:val="2"/>
            <w:vAlign w:val="center"/>
          </w:tcPr>
          <w:p>
            <w:pPr>
              <w:widowControl/>
              <w:adjustRightInd w:val="0"/>
              <w:spacing w:line="240" w:lineRule="auto"/>
              <w:ind w:firstLine="0" w:firstLineChars="0"/>
              <w:jc w:val="center"/>
              <w:rPr>
                <w:rFonts w:ascii="仿宋" w:hAnsi="仿宋" w:eastAsia="仿宋"/>
                <w:b w:val="0"/>
                <w:color w:val="000000"/>
                <w:sz w:val="22"/>
                <w:szCs w:val="22"/>
                <w:lang w:val="en-US"/>
              </w:rPr>
            </w:pPr>
            <w:r>
              <w:rPr>
                <w:rFonts w:hint="eastAsia" w:ascii="仿宋" w:hAnsi="仿宋" w:eastAsia="仿宋"/>
                <w:b w:val="0"/>
                <w:color w:val="000000"/>
                <w:sz w:val="22"/>
                <w:szCs w:val="22"/>
                <w:lang w:val="en-US"/>
              </w:rPr>
              <w:t>《税务行政处罚听证程序实施办法</w:t>
            </w:r>
            <w:r>
              <w:rPr>
                <w:rFonts w:ascii="仿宋" w:hAnsi="仿宋" w:eastAsia="仿宋"/>
                <w:b w:val="0"/>
                <w:color w:val="000000"/>
                <w:sz w:val="22"/>
                <w:szCs w:val="22"/>
                <w:lang w:val="en-US"/>
              </w:rPr>
              <w:t>(</w:t>
            </w:r>
            <w:r>
              <w:rPr>
                <w:rFonts w:hint="eastAsia" w:ascii="仿宋" w:hAnsi="仿宋" w:eastAsia="仿宋"/>
                <w:b w:val="0"/>
                <w:color w:val="000000"/>
                <w:sz w:val="22"/>
                <w:szCs w:val="22"/>
                <w:lang w:val="en-US"/>
              </w:rPr>
              <w:t>试行</w:t>
            </w:r>
            <w:r>
              <w:rPr>
                <w:rFonts w:ascii="仿宋" w:hAnsi="仿宋" w:eastAsia="仿宋"/>
                <w:b w:val="0"/>
                <w:color w:val="000000"/>
                <w:sz w:val="22"/>
                <w:szCs w:val="22"/>
                <w:lang w:val="en-US"/>
              </w:rPr>
              <w:t>)</w:t>
            </w:r>
            <w:r>
              <w:rPr>
                <w:rFonts w:hint="eastAsia" w:ascii="仿宋" w:hAnsi="仿宋" w:eastAsia="仿宋"/>
                <w:b w:val="0"/>
                <w:color w:val="000000"/>
                <w:sz w:val="22"/>
                <w:szCs w:val="22"/>
                <w:lang w:val="en-US"/>
              </w:rPr>
              <w:t>》</w:t>
            </w:r>
          </w:p>
        </w:tc>
        <w:tc>
          <w:tcPr>
            <w:tcW w:w="747" w:type="pct"/>
            <w:vAlign w:val="center"/>
          </w:tcPr>
          <w:p>
            <w:pPr>
              <w:widowControl/>
              <w:adjustRightInd w:val="0"/>
              <w:spacing w:line="240" w:lineRule="auto"/>
              <w:ind w:firstLine="0" w:firstLineChars="0"/>
              <w:jc w:val="center"/>
              <w:rPr>
                <w:rFonts w:ascii="仿宋" w:hAnsi="仿宋" w:eastAsia="仿宋"/>
                <w:b w:val="0"/>
                <w:color w:val="000000"/>
                <w:sz w:val="22"/>
                <w:szCs w:val="22"/>
                <w:lang w:val="en-US"/>
              </w:rPr>
            </w:pPr>
            <w:r>
              <w:rPr>
                <w:rFonts w:hint="eastAsia" w:ascii="仿宋" w:hAnsi="仿宋" w:eastAsia="仿宋"/>
                <w:b w:val="0"/>
                <w:color w:val="000000"/>
                <w:sz w:val="22"/>
                <w:szCs w:val="22"/>
                <w:lang w:val="en-US"/>
              </w:rPr>
              <w:t>第三条</w:t>
            </w:r>
          </w:p>
        </w:tc>
        <w:tc>
          <w:tcPr>
            <w:tcW w:w="2514" w:type="pct"/>
            <w:vAlign w:val="center"/>
          </w:tcPr>
          <w:p>
            <w:pPr>
              <w:widowControl/>
              <w:adjustRightInd w:val="0"/>
              <w:spacing w:line="240" w:lineRule="auto"/>
              <w:ind w:firstLine="0" w:firstLineChars="0"/>
              <w:jc w:val="left"/>
              <w:rPr>
                <w:rFonts w:ascii="仿宋" w:hAnsi="仿宋" w:eastAsia="仿宋" w:cs="宋体"/>
                <w:b w:val="0"/>
                <w:color w:val="000000"/>
                <w:sz w:val="22"/>
                <w:szCs w:val="22"/>
                <w:lang w:val="en-US"/>
              </w:rPr>
            </w:pPr>
            <w:r>
              <w:rPr>
                <w:rFonts w:hint="eastAsia" w:ascii="仿宋" w:hAnsi="仿宋" w:eastAsia="仿宋" w:cs="宋体"/>
                <w:b w:val="0"/>
                <w:color w:val="000000"/>
                <w:sz w:val="22"/>
                <w:szCs w:val="22"/>
                <w:lang w:val="en-US"/>
              </w:rPr>
              <w:t>税务机关对公民作出2000元以上（含本数）罚款或者对法人或者其他组织作出１万元以上（含本数）罚款或者对法人或者其他组织作出１万元以上（含本数）罚款的行政处罚之前，告知当事人送达《税务行政处罚事项告知书》，告知当事人已经查明的违法事实、证据、行政处罚的法律依据和拟将给予的行政处罚，并告知有要求举行听证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351" w:type="pct"/>
            <w:vAlign w:val="center"/>
          </w:tcPr>
          <w:p>
            <w:pPr>
              <w:widowControl/>
              <w:adjustRightInd w:val="0"/>
              <w:spacing w:line="240" w:lineRule="auto"/>
              <w:ind w:firstLine="0" w:firstLineChars="0"/>
              <w:jc w:val="center"/>
              <w:rPr>
                <w:rFonts w:ascii="仿宋" w:hAnsi="仿宋" w:eastAsia="仿宋"/>
                <w:b w:val="0"/>
                <w:color w:val="000000"/>
                <w:sz w:val="22"/>
                <w:szCs w:val="22"/>
                <w:lang w:val="en-US"/>
              </w:rPr>
            </w:pPr>
            <w:r>
              <w:rPr>
                <w:rFonts w:ascii="仿宋" w:hAnsi="仿宋" w:eastAsia="仿宋"/>
                <w:b w:val="0"/>
                <w:color w:val="000000"/>
                <w:sz w:val="22"/>
                <w:szCs w:val="22"/>
                <w:lang w:val="en-US"/>
              </w:rPr>
              <w:t>20</w:t>
            </w:r>
          </w:p>
        </w:tc>
        <w:tc>
          <w:tcPr>
            <w:tcW w:w="555" w:type="pct"/>
            <w:vAlign w:val="center"/>
          </w:tcPr>
          <w:p>
            <w:pPr>
              <w:widowControl/>
              <w:adjustRightInd w:val="0"/>
              <w:spacing w:line="240" w:lineRule="auto"/>
              <w:ind w:firstLine="0" w:firstLineChars="0"/>
              <w:jc w:val="center"/>
              <w:rPr>
                <w:rFonts w:ascii="仿宋" w:hAnsi="仿宋" w:eastAsia="仿宋"/>
                <w:b w:val="0"/>
                <w:color w:val="000000"/>
                <w:sz w:val="22"/>
                <w:szCs w:val="22"/>
                <w:lang w:val="en-US"/>
              </w:rPr>
            </w:pPr>
            <w:r>
              <w:rPr>
                <w:rFonts w:hint="eastAsia" w:ascii="仿宋" w:hAnsi="仿宋" w:eastAsia="仿宋"/>
                <w:b w:val="0"/>
                <w:color w:val="000000"/>
                <w:sz w:val="22"/>
                <w:szCs w:val="22"/>
                <w:lang w:val="en-US"/>
              </w:rPr>
              <w:t>国家版权局</w:t>
            </w:r>
          </w:p>
        </w:tc>
        <w:tc>
          <w:tcPr>
            <w:tcW w:w="831" w:type="pct"/>
            <w:gridSpan w:val="2"/>
            <w:vAlign w:val="center"/>
          </w:tcPr>
          <w:p>
            <w:pPr>
              <w:widowControl/>
              <w:adjustRightInd w:val="0"/>
              <w:spacing w:line="240" w:lineRule="auto"/>
              <w:ind w:firstLine="0" w:firstLineChars="0"/>
              <w:jc w:val="center"/>
              <w:rPr>
                <w:rFonts w:ascii="仿宋" w:hAnsi="仿宋" w:eastAsia="仿宋" w:cs="宋体"/>
                <w:b w:val="0"/>
                <w:color w:val="000000"/>
                <w:sz w:val="22"/>
                <w:szCs w:val="22"/>
                <w:lang w:val="en-US"/>
              </w:rPr>
            </w:pPr>
            <w:r>
              <w:rPr>
                <w:rFonts w:hint="eastAsia" w:ascii="仿宋" w:hAnsi="仿宋" w:eastAsia="仿宋" w:cs="宋体"/>
                <w:b w:val="0"/>
                <w:color w:val="000000"/>
                <w:sz w:val="22"/>
                <w:szCs w:val="22"/>
                <w:lang w:val="en-US"/>
              </w:rPr>
              <w:t>《著作权行政处罚实施办法》</w:t>
            </w:r>
          </w:p>
        </w:tc>
        <w:tc>
          <w:tcPr>
            <w:tcW w:w="747" w:type="pct"/>
            <w:vAlign w:val="center"/>
          </w:tcPr>
          <w:p>
            <w:pPr>
              <w:widowControl/>
              <w:adjustRightInd w:val="0"/>
              <w:spacing w:line="240" w:lineRule="auto"/>
              <w:ind w:firstLine="0" w:firstLineChars="0"/>
              <w:jc w:val="center"/>
              <w:rPr>
                <w:rFonts w:ascii="仿宋" w:hAnsi="仿宋" w:eastAsia="仿宋"/>
                <w:b w:val="0"/>
                <w:color w:val="000000"/>
                <w:sz w:val="22"/>
                <w:szCs w:val="22"/>
                <w:lang w:val="en-US"/>
              </w:rPr>
            </w:pPr>
            <w:r>
              <w:rPr>
                <w:rFonts w:hint="eastAsia" w:ascii="仿宋" w:hAnsi="仿宋" w:eastAsia="仿宋"/>
                <w:b w:val="0"/>
                <w:color w:val="000000"/>
                <w:sz w:val="22"/>
                <w:szCs w:val="22"/>
                <w:lang w:val="en-US"/>
              </w:rPr>
              <w:t>第三十三条</w:t>
            </w:r>
          </w:p>
        </w:tc>
        <w:tc>
          <w:tcPr>
            <w:tcW w:w="2514" w:type="pct"/>
            <w:vAlign w:val="center"/>
          </w:tcPr>
          <w:p>
            <w:pPr>
              <w:widowControl/>
              <w:adjustRightInd w:val="0"/>
              <w:spacing w:line="240" w:lineRule="auto"/>
              <w:ind w:firstLine="0" w:firstLineChars="0"/>
              <w:jc w:val="left"/>
              <w:rPr>
                <w:rFonts w:ascii="仿宋" w:hAnsi="仿宋" w:eastAsia="仿宋" w:cs="宋体"/>
                <w:b w:val="0"/>
                <w:color w:val="000000"/>
                <w:sz w:val="22"/>
                <w:szCs w:val="22"/>
                <w:lang w:val="en-US"/>
              </w:rPr>
            </w:pPr>
            <w:r>
              <w:rPr>
                <w:rFonts w:hint="eastAsia" w:ascii="仿宋" w:hAnsi="仿宋" w:eastAsia="仿宋" w:cs="宋体"/>
                <w:b w:val="0"/>
                <w:color w:val="000000"/>
                <w:sz w:val="22"/>
                <w:szCs w:val="22"/>
                <w:lang w:val="en-US"/>
              </w:rPr>
              <w:t>著作权行政管理部门作出较大数额罚款决定或者法律、行政法规规定应当听证的其他行政处罚决定前，应当告知当事人有要求举行听证的权利。 前款所称“较大数额罚款”，是指对个人处以两万元以上、对单位处以十万元以上的罚款。地方性法规、规章对听证要求另有规定的，依照地方性法规、规章办理。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351" w:type="pct"/>
            <w:vAlign w:val="center"/>
          </w:tcPr>
          <w:p>
            <w:pPr>
              <w:widowControl/>
              <w:adjustRightInd w:val="0"/>
              <w:spacing w:line="240" w:lineRule="auto"/>
              <w:ind w:firstLine="0" w:firstLineChars="0"/>
              <w:jc w:val="center"/>
              <w:rPr>
                <w:rFonts w:ascii="仿宋" w:hAnsi="仿宋" w:eastAsia="仿宋"/>
                <w:b w:val="0"/>
                <w:color w:val="000000"/>
                <w:sz w:val="22"/>
                <w:szCs w:val="22"/>
                <w:lang w:val="en-US"/>
              </w:rPr>
            </w:pPr>
            <w:r>
              <w:rPr>
                <w:rFonts w:ascii="仿宋" w:hAnsi="仿宋" w:eastAsia="仿宋"/>
                <w:b w:val="0"/>
                <w:color w:val="000000"/>
                <w:sz w:val="22"/>
                <w:szCs w:val="22"/>
                <w:lang w:val="en-US"/>
              </w:rPr>
              <w:t>21</w:t>
            </w:r>
          </w:p>
        </w:tc>
        <w:tc>
          <w:tcPr>
            <w:tcW w:w="555" w:type="pct"/>
            <w:vAlign w:val="center"/>
          </w:tcPr>
          <w:p>
            <w:pPr>
              <w:widowControl/>
              <w:adjustRightInd w:val="0"/>
              <w:spacing w:line="240" w:lineRule="auto"/>
              <w:ind w:firstLine="0" w:firstLineChars="0"/>
              <w:jc w:val="center"/>
              <w:rPr>
                <w:rFonts w:ascii="仿宋" w:hAnsi="仿宋" w:eastAsia="仿宋" w:cs="宋体"/>
                <w:b w:val="0"/>
                <w:color w:val="000000"/>
                <w:sz w:val="22"/>
                <w:szCs w:val="22"/>
                <w:lang w:val="en-US"/>
              </w:rPr>
            </w:pPr>
            <w:r>
              <w:rPr>
                <w:rFonts w:hint="eastAsia" w:ascii="仿宋" w:hAnsi="仿宋" w:eastAsia="仿宋" w:cs="宋体"/>
                <w:b w:val="0"/>
                <w:color w:val="000000"/>
                <w:sz w:val="22"/>
                <w:szCs w:val="22"/>
                <w:lang w:val="en-US"/>
              </w:rPr>
              <w:t>国家广播电视  总局</w:t>
            </w:r>
          </w:p>
        </w:tc>
        <w:tc>
          <w:tcPr>
            <w:tcW w:w="831" w:type="pct"/>
            <w:gridSpan w:val="2"/>
            <w:vAlign w:val="center"/>
          </w:tcPr>
          <w:p>
            <w:pPr>
              <w:widowControl/>
              <w:adjustRightInd w:val="0"/>
              <w:spacing w:line="240" w:lineRule="auto"/>
              <w:ind w:firstLine="0" w:firstLineChars="0"/>
              <w:jc w:val="center"/>
              <w:rPr>
                <w:rFonts w:ascii="仿宋" w:hAnsi="仿宋" w:eastAsia="仿宋" w:cs="宋体"/>
                <w:b w:val="0"/>
                <w:color w:val="000000"/>
                <w:sz w:val="22"/>
                <w:szCs w:val="22"/>
                <w:lang w:val="en-US"/>
              </w:rPr>
            </w:pPr>
            <w:r>
              <w:rPr>
                <w:rFonts w:hint="eastAsia" w:ascii="仿宋" w:hAnsi="仿宋" w:eastAsia="仿宋" w:cs="宋体"/>
                <w:b w:val="0"/>
                <w:color w:val="000000"/>
                <w:sz w:val="22"/>
                <w:szCs w:val="22"/>
                <w:lang w:val="en-US"/>
              </w:rPr>
              <w:t>《广播电影电视行政处罚程序暂行规定》</w:t>
            </w:r>
          </w:p>
        </w:tc>
        <w:tc>
          <w:tcPr>
            <w:tcW w:w="747" w:type="pct"/>
            <w:vAlign w:val="center"/>
          </w:tcPr>
          <w:p>
            <w:pPr>
              <w:widowControl/>
              <w:adjustRightInd w:val="0"/>
              <w:spacing w:line="240" w:lineRule="auto"/>
              <w:ind w:firstLine="0" w:firstLineChars="0"/>
              <w:jc w:val="center"/>
              <w:rPr>
                <w:rFonts w:ascii="仿宋" w:hAnsi="仿宋" w:eastAsia="仿宋"/>
                <w:b w:val="0"/>
                <w:color w:val="000000"/>
                <w:sz w:val="22"/>
                <w:szCs w:val="22"/>
                <w:lang w:val="en-US"/>
              </w:rPr>
            </w:pPr>
            <w:r>
              <w:rPr>
                <w:rFonts w:hint="eastAsia" w:ascii="仿宋" w:hAnsi="仿宋" w:eastAsia="仿宋"/>
                <w:b w:val="0"/>
                <w:color w:val="000000"/>
                <w:sz w:val="22"/>
                <w:szCs w:val="22"/>
                <w:lang w:val="en-US"/>
              </w:rPr>
              <w:t>第三十八条</w:t>
            </w:r>
          </w:p>
        </w:tc>
        <w:tc>
          <w:tcPr>
            <w:tcW w:w="2514" w:type="pct"/>
            <w:vAlign w:val="center"/>
          </w:tcPr>
          <w:p>
            <w:pPr>
              <w:widowControl/>
              <w:adjustRightInd w:val="0"/>
              <w:spacing w:line="240" w:lineRule="auto"/>
              <w:ind w:firstLine="0" w:firstLineChars="0"/>
              <w:jc w:val="left"/>
              <w:rPr>
                <w:rFonts w:ascii="仿宋" w:hAnsi="仿宋" w:eastAsia="仿宋" w:cs="宋体"/>
                <w:b w:val="0"/>
                <w:color w:val="000000"/>
                <w:sz w:val="22"/>
                <w:szCs w:val="22"/>
                <w:lang w:val="en-US"/>
              </w:rPr>
            </w:pPr>
            <w:r>
              <w:rPr>
                <w:rFonts w:hint="eastAsia" w:ascii="仿宋" w:hAnsi="仿宋" w:eastAsia="仿宋" w:cs="宋体"/>
                <w:b w:val="0"/>
                <w:color w:val="000000"/>
                <w:sz w:val="22"/>
                <w:szCs w:val="22"/>
                <w:lang w:val="en-US"/>
              </w:rPr>
              <w:t>对较大数额罚款的听证标准，按省、自治区、直辖市人大常委会或人民政府制定的标准执行。 广播电影电视部决定罚款十万元以上（含十万元）的，当事人可以要求听证。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00" w:type="pct"/>
            <w:gridSpan w:val="6"/>
            <w:vAlign w:val="center"/>
          </w:tcPr>
          <w:p>
            <w:pPr>
              <w:widowControl/>
              <w:adjustRightInd w:val="0"/>
              <w:spacing w:line="240" w:lineRule="auto"/>
              <w:ind w:firstLine="0" w:firstLineChars="0"/>
              <w:jc w:val="left"/>
              <w:rPr>
                <w:rFonts w:ascii="仿宋" w:hAnsi="仿宋" w:eastAsia="仿宋" w:cs="宋体"/>
                <w:b w:val="0"/>
                <w:color w:val="000000"/>
                <w:sz w:val="22"/>
                <w:szCs w:val="22"/>
                <w:lang w:val="en-US"/>
              </w:rPr>
            </w:pPr>
            <w:r>
              <w:rPr>
                <w:rFonts w:hint="eastAsia" w:ascii="仿宋" w:hAnsi="仿宋" w:eastAsia="仿宋"/>
                <w:bCs/>
                <w:color w:val="000000"/>
                <w:sz w:val="22"/>
                <w:szCs w:val="22"/>
                <w:lang w:val="en-US"/>
              </w:rPr>
              <w:t>国务院直事业单位</w:t>
            </w:r>
            <w:r>
              <w:rPr>
                <w:rFonts w:hint="eastAsia" w:ascii="仿宋" w:hAnsi="仿宋" w:eastAsia="仿宋" w:cs="宋体"/>
                <w:b w:val="0"/>
                <w:color w:val="000000"/>
                <w:sz w:val="22"/>
                <w:szCs w:val="22"/>
                <w:lang w:val="en-U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351" w:type="pct"/>
            <w:vAlign w:val="center"/>
          </w:tcPr>
          <w:p>
            <w:pPr>
              <w:widowControl/>
              <w:adjustRightInd w:val="0"/>
              <w:spacing w:line="240" w:lineRule="auto"/>
              <w:ind w:firstLine="0" w:firstLineChars="0"/>
              <w:jc w:val="center"/>
              <w:rPr>
                <w:rFonts w:ascii="仿宋" w:hAnsi="仿宋" w:eastAsia="仿宋"/>
                <w:b w:val="0"/>
                <w:color w:val="000000"/>
                <w:sz w:val="22"/>
                <w:szCs w:val="22"/>
                <w:lang w:val="en-US"/>
              </w:rPr>
            </w:pPr>
            <w:r>
              <w:rPr>
                <w:rFonts w:ascii="仿宋" w:hAnsi="仿宋" w:eastAsia="仿宋"/>
                <w:b w:val="0"/>
                <w:color w:val="000000"/>
                <w:sz w:val="22"/>
                <w:szCs w:val="22"/>
                <w:lang w:val="en-US"/>
              </w:rPr>
              <w:t>22</w:t>
            </w:r>
          </w:p>
        </w:tc>
        <w:tc>
          <w:tcPr>
            <w:tcW w:w="555" w:type="pct"/>
            <w:vAlign w:val="center"/>
          </w:tcPr>
          <w:p>
            <w:pPr>
              <w:widowControl/>
              <w:adjustRightInd w:val="0"/>
              <w:spacing w:line="240" w:lineRule="auto"/>
              <w:ind w:firstLine="0" w:firstLineChars="0"/>
              <w:jc w:val="center"/>
              <w:rPr>
                <w:rFonts w:ascii="仿宋" w:hAnsi="仿宋" w:eastAsia="仿宋"/>
                <w:b w:val="0"/>
                <w:color w:val="000000"/>
                <w:sz w:val="22"/>
                <w:szCs w:val="22"/>
                <w:lang w:val="en-US"/>
              </w:rPr>
            </w:pPr>
            <w:r>
              <w:rPr>
                <w:rFonts w:hint="eastAsia" w:ascii="仿宋" w:hAnsi="仿宋" w:eastAsia="仿宋"/>
                <w:b w:val="0"/>
                <w:color w:val="000000"/>
                <w:sz w:val="22"/>
                <w:szCs w:val="22"/>
                <w:lang w:val="en-US"/>
              </w:rPr>
              <w:t>中国气象局</w:t>
            </w:r>
          </w:p>
        </w:tc>
        <w:tc>
          <w:tcPr>
            <w:tcW w:w="827" w:type="pct"/>
            <w:vAlign w:val="center"/>
          </w:tcPr>
          <w:p>
            <w:pPr>
              <w:widowControl/>
              <w:adjustRightInd w:val="0"/>
              <w:spacing w:line="240" w:lineRule="auto"/>
              <w:ind w:firstLine="0" w:firstLineChars="0"/>
              <w:jc w:val="center"/>
              <w:rPr>
                <w:rFonts w:ascii="仿宋" w:hAnsi="仿宋" w:eastAsia="仿宋" w:cs="宋体"/>
                <w:b w:val="0"/>
                <w:color w:val="000000"/>
                <w:sz w:val="22"/>
                <w:szCs w:val="22"/>
                <w:lang w:val="en-US"/>
              </w:rPr>
            </w:pPr>
            <w:r>
              <w:rPr>
                <w:rFonts w:hint="eastAsia" w:ascii="仿宋" w:hAnsi="仿宋" w:eastAsia="仿宋" w:cs="宋体"/>
                <w:b w:val="0"/>
                <w:color w:val="000000"/>
                <w:sz w:val="22"/>
                <w:szCs w:val="22"/>
                <w:lang w:val="en-US"/>
              </w:rPr>
              <w:t>《气象行政处罚办法》</w:t>
            </w:r>
          </w:p>
        </w:tc>
        <w:tc>
          <w:tcPr>
            <w:tcW w:w="752" w:type="pct"/>
            <w:gridSpan w:val="2"/>
            <w:vAlign w:val="center"/>
          </w:tcPr>
          <w:p>
            <w:pPr>
              <w:widowControl/>
              <w:adjustRightInd w:val="0"/>
              <w:spacing w:line="240" w:lineRule="auto"/>
              <w:ind w:firstLine="0" w:firstLineChars="0"/>
              <w:jc w:val="center"/>
              <w:rPr>
                <w:rFonts w:ascii="仿宋" w:hAnsi="仿宋" w:eastAsia="仿宋"/>
                <w:b w:val="0"/>
                <w:color w:val="000000"/>
                <w:sz w:val="22"/>
                <w:szCs w:val="22"/>
                <w:lang w:val="en-US"/>
              </w:rPr>
            </w:pPr>
            <w:r>
              <w:rPr>
                <w:rFonts w:hint="eastAsia" w:ascii="仿宋" w:hAnsi="仿宋" w:eastAsia="仿宋"/>
                <w:b w:val="0"/>
                <w:color w:val="000000"/>
                <w:sz w:val="22"/>
                <w:szCs w:val="22"/>
                <w:lang w:val="en-US"/>
              </w:rPr>
              <w:t>第四十六条</w:t>
            </w:r>
          </w:p>
        </w:tc>
        <w:tc>
          <w:tcPr>
            <w:tcW w:w="2514" w:type="pct"/>
            <w:vAlign w:val="center"/>
          </w:tcPr>
          <w:p>
            <w:pPr>
              <w:widowControl/>
              <w:adjustRightInd w:val="0"/>
              <w:spacing w:line="240" w:lineRule="auto"/>
              <w:ind w:firstLine="0" w:firstLineChars="0"/>
              <w:jc w:val="left"/>
              <w:rPr>
                <w:rFonts w:ascii="仿宋" w:hAnsi="仿宋" w:eastAsia="仿宋" w:cs="宋体"/>
                <w:b w:val="0"/>
                <w:color w:val="000000"/>
                <w:sz w:val="22"/>
                <w:szCs w:val="22"/>
                <w:lang w:val="en-US"/>
              </w:rPr>
            </w:pPr>
            <w:r>
              <w:rPr>
                <w:rFonts w:hint="eastAsia" w:ascii="仿宋" w:hAnsi="仿宋" w:eastAsia="仿宋" w:cs="宋体"/>
                <w:b w:val="0"/>
                <w:color w:val="000000"/>
                <w:sz w:val="22"/>
                <w:szCs w:val="22"/>
                <w:lang w:val="en-US"/>
              </w:rPr>
              <w:t>本办法第三十四条所称“较大数额罚款”，是指对公民处以5000元（不含5000元）以上罚款，对法人或者其他组织处以3万元（不含3万元）以上罚款。 各省、自治区、直辖市通过的地方性法规或者地方政府规章对“较大数额罚款”的限额另有规定的，可以不受上述数额的限制。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0" w:hRule="atLeast"/>
          <w:jc w:val="center"/>
        </w:trPr>
        <w:tc>
          <w:tcPr>
            <w:tcW w:w="351" w:type="pct"/>
            <w:vAlign w:val="center"/>
          </w:tcPr>
          <w:p>
            <w:pPr>
              <w:widowControl/>
              <w:adjustRightInd w:val="0"/>
              <w:spacing w:line="240" w:lineRule="auto"/>
              <w:ind w:firstLine="0" w:firstLineChars="0"/>
              <w:jc w:val="center"/>
              <w:rPr>
                <w:rFonts w:ascii="仿宋" w:hAnsi="仿宋" w:eastAsia="仿宋"/>
                <w:b w:val="0"/>
                <w:color w:val="000000"/>
                <w:sz w:val="22"/>
                <w:szCs w:val="22"/>
                <w:lang w:val="en-US"/>
              </w:rPr>
            </w:pPr>
            <w:r>
              <w:rPr>
                <w:rFonts w:ascii="仿宋" w:hAnsi="仿宋" w:eastAsia="仿宋"/>
                <w:b w:val="0"/>
                <w:color w:val="000000"/>
                <w:sz w:val="22"/>
                <w:szCs w:val="22"/>
                <w:lang w:val="en-US"/>
              </w:rPr>
              <w:t>23</w:t>
            </w:r>
          </w:p>
        </w:tc>
        <w:tc>
          <w:tcPr>
            <w:tcW w:w="555" w:type="pct"/>
            <w:vAlign w:val="center"/>
          </w:tcPr>
          <w:p>
            <w:pPr>
              <w:widowControl/>
              <w:adjustRightInd w:val="0"/>
              <w:spacing w:line="240" w:lineRule="auto"/>
              <w:ind w:firstLine="0" w:firstLineChars="0"/>
              <w:jc w:val="center"/>
              <w:rPr>
                <w:rFonts w:ascii="仿宋" w:hAnsi="仿宋" w:eastAsia="仿宋"/>
                <w:b w:val="0"/>
                <w:color w:val="000000"/>
                <w:sz w:val="22"/>
                <w:szCs w:val="22"/>
                <w:lang w:val="en-US"/>
              </w:rPr>
            </w:pPr>
            <w:r>
              <w:rPr>
                <w:rFonts w:hint="eastAsia" w:ascii="仿宋" w:hAnsi="仿宋" w:eastAsia="仿宋"/>
                <w:b w:val="0"/>
                <w:color w:val="000000"/>
                <w:sz w:val="22"/>
                <w:szCs w:val="22"/>
                <w:lang w:val="en-US"/>
              </w:rPr>
              <w:t>中国证券监督管理委员会</w:t>
            </w:r>
          </w:p>
        </w:tc>
        <w:tc>
          <w:tcPr>
            <w:tcW w:w="827" w:type="pct"/>
            <w:vAlign w:val="center"/>
          </w:tcPr>
          <w:p>
            <w:pPr>
              <w:widowControl/>
              <w:adjustRightInd w:val="0"/>
              <w:spacing w:line="240" w:lineRule="auto"/>
              <w:ind w:firstLine="0" w:firstLineChars="0"/>
              <w:jc w:val="center"/>
              <w:rPr>
                <w:rFonts w:ascii="仿宋" w:hAnsi="仿宋" w:eastAsia="仿宋" w:cs="宋体"/>
                <w:b w:val="0"/>
                <w:color w:val="000000"/>
                <w:sz w:val="22"/>
                <w:szCs w:val="22"/>
                <w:lang w:val="en-US"/>
              </w:rPr>
            </w:pPr>
            <w:r>
              <w:rPr>
                <w:rFonts w:hint="eastAsia" w:ascii="仿宋" w:hAnsi="仿宋" w:eastAsia="仿宋" w:cs="宋体"/>
                <w:b w:val="0"/>
                <w:color w:val="000000"/>
                <w:sz w:val="22"/>
                <w:szCs w:val="22"/>
                <w:lang w:val="en-US"/>
              </w:rPr>
              <w:t>《中国证券监督管理委员会行政处罚听证规则》</w:t>
            </w:r>
          </w:p>
        </w:tc>
        <w:tc>
          <w:tcPr>
            <w:tcW w:w="752" w:type="pct"/>
            <w:gridSpan w:val="2"/>
            <w:vAlign w:val="center"/>
          </w:tcPr>
          <w:p>
            <w:pPr>
              <w:widowControl/>
              <w:adjustRightInd w:val="0"/>
              <w:spacing w:line="240" w:lineRule="auto"/>
              <w:ind w:firstLine="0" w:firstLineChars="0"/>
              <w:jc w:val="center"/>
              <w:rPr>
                <w:rFonts w:ascii="仿宋" w:hAnsi="仿宋" w:eastAsia="仿宋"/>
                <w:b w:val="0"/>
                <w:color w:val="000000"/>
                <w:sz w:val="22"/>
                <w:szCs w:val="22"/>
                <w:lang w:val="en-US"/>
              </w:rPr>
            </w:pPr>
            <w:r>
              <w:rPr>
                <w:rFonts w:hint="eastAsia" w:ascii="仿宋" w:hAnsi="仿宋" w:eastAsia="仿宋"/>
                <w:b w:val="0"/>
                <w:color w:val="000000"/>
                <w:sz w:val="22"/>
                <w:szCs w:val="22"/>
                <w:lang w:val="en-US"/>
              </w:rPr>
              <w:t>第五条</w:t>
            </w:r>
          </w:p>
        </w:tc>
        <w:tc>
          <w:tcPr>
            <w:tcW w:w="2514" w:type="pct"/>
            <w:vAlign w:val="center"/>
          </w:tcPr>
          <w:p>
            <w:pPr>
              <w:widowControl/>
              <w:adjustRightInd w:val="0"/>
              <w:spacing w:line="240" w:lineRule="auto"/>
              <w:ind w:firstLine="0" w:firstLineChars="0"/>
              <w:jc w:val="left"/>
              <w:rPr>
                <w:rFonts w:ascii="仿宋" w:hAnsi="仿宋" w:eastAsia="仿宋" w:cs="宋体"/>
                <w:b w:val="0"/>
                <w:color w:val="000000"/>
                <w:sz w:val="22"/>
                <w:szCs w:val="22"/>
                <w:lang w:val="en-US"/>
              </w:rPr>
            </w:pPr>
            <w:r>
              <w:rPr>
                <w:rFonts w:hint="eastAsia" w:ascii="仿宋" w:hAnsi="仿宋" w:eastAsia="仿宋" w:cs="宋体"/>
                <w:b w:val="0"/>
                <w:color w:val="000000"/>
                <w:sz w:val="22"/>
                <w:szCs w:val="22"/>
                <w:lang w:val="en-US"/>
              </w:rPr>
              <w:t>中国证监会或其派出机构拟对当事人作出以下一项或者一项以上行政处罚的，应当在向当事人送达的《行政处罚事先告知书》中载明当事人享有要求听证的权利：（一）责令停止发行证券；（二）责令停业整顿；（三）暂停、撤销或者吊销证券、期货、基金相关业务许可；（四）暂停或者撤销任职资格、从业资格；（五）对个人没收业务收入、没收违法所得、罚款，单独或者合计5万元以上；（六）对单位没收业务收入、没收违法所得、罚款，单独或者合计30万元以上；（七）法律、行政法规和规章规定或者中国证监会及其派出机构认为可以听证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0" w:hRule="atLeast"/>
          <w:jc w:val="center"/>
        </w:trPr>
        <w:tc>
          <w:tcPr>
            <w:tcW w:w="351" w:type="pct"/>
            <w:vMerge w:val="restart"/>
            <w:vAlign w:val="center"/>
          </w:tcPr>
          <w:p>
            <w:pPr>
              <w:widowControl/>
              <w:adjustRightInd w:val="0"/>
              <w:spacing w:line="240" w:lineRule="auto"/>
              <w:ind w:firstLine="0" w:firstLineChars="0"/>
              <w:jc w:val="center"/>
              <w:rPr>
                <w:rFonts w:ascii="仿宋" w:hAnsi="仿宋" w:eastAsia="仿宋"/>
                <w:b w:val="0"/>
                <w:color w:val="000000"/>
                <w:sz w:val="22"/>
                <w:szCs w:val="22"/>
                <w:lang w:val="en-US"/>
              </w:rPr>
            </w:pPr>
            <w:r>
              <w:rPr>
                <w:rFonts w:ascii="仿宋" w:hAnsi="仿宋" w:eastAsia="仿宋"/>
                <w:b w:val="0"/>
                <w:color w:val="000000"/>
                <w:sz w:val="22"/>
                <w:szCs w:val="22"/>
                <w:lang w:val="en-US"/>
              </w:rPr>
              <w:t>24</w:t>
            </w:r>
          </w:p>
        </w:tc>
        <w:tc>
          <w:tcPr>
            <w:tcW w:w="555" w:type="pct"/>
            <w:vMerge w:val="restart"/>
            <w:vAlign w:val="center"/>
          </w:tcPr>
          <w:p>
            <w:pPr>
              <w:widowControl/>
              <w:adjustRightInd w:val="0"/>
              <w:spacing w:line="240" w:lineRule="auto"/>
              <w:ind w:firstLine="0" w:firstLineChars="0"/>
              <w:jc w:val="center"/>
              <w:rPr>
                <w:rFonts w:hint="eastAsia" w:ascii="仿宋" w:hAnsi="仿宋" w:eastAsia="仿宋" w:cs="宋体"/>
                <w:b w:val="0"/>
                <w:color w:val="000000"/>
                <w:sz w:val="22"/>
                <w:szCs w:val="22"/>
                <w:lang w:val="en-US"/>
              </w:rPr>
            </w:pPr>
            <w:r>
              <w:rPr>
                <w:rFonts w:hint="eastAsia" w:ascii="仿宋" w:hAnsi="仿宋" w:eastAsia="仿宋" w:cs="宋体"/>
                <w:b w:val="0"/>
                <w:color w:val="000000"/>
                <w:sz w:val="22"/>
                <w:szCs w:val="22"/>
                <w:lang w:val="en-US"/>
              </w:rPr>
              <w:t>中国银行保险监督管理委</w:t>
            </w:r>
          </w:p>
          <w:p>
            <w:pPr>
              <w:widowControl/>
              <w:adjustRightInd w:val="0"/>
              <w:spacing w:line="240" w:lineRule="auto"/>
              <w:ind w:firstLine="0" w:firstLineChars="0"/>
              <w:jc w:val="center"/>
              <w:rPr>
                <w:rFonts w:ascii="仿宋" w:hAnsi="仿宋" w:eastAsia="仿宋" w:cs="宋体"/>
                <w:b w:val="0"/>
                <w:color w:val="000000"/>
                <w:sz w:val="22"/>
                <w:szCs w:val="22"/>
                <w:lang w:val="en-US"/>
              </w:rPr>
            </w:pPr>
            <w:r>
              <w:rPr>
                <w:rFonts w:hint="eastAsia" w:ascii="仿宋" w:hAnsi="仿宋" w:eastAsia="仿宋" w:cs="宋体"/>
                <w:b w:val="0"/>
                <w:color w:val="000000"/>
                <w:sz w:val="22"/>
                <w:szCs w:val="22"/>
                <w:lang w:val="en-US"/>
              </w:rPr>
              <w:t>员会</w:t>
            </w:r>
          </w:p>
        </w:tc>
        <w:tc>
          <w:tcPr>
            <w:tcW w:w="827" w:type="pct"/>
            <w:vAlign w:val="center"/>
          </w:tcPr>
          <w:p>
            <w:pPr>
              <w:widowControl/>
              <w:adjustRightInd w:val="0"/>
              <w:spacing w:line="240" w:lineRule="auto"/>
              <w:ind w:firstLine="0" w:firstLineChars="0"/>
              <w:jc w:val="center"/>
              <w:rPr>
                <w:rFonts w:hint="eastAsia" w:ascii="仿宋" w:hAnsi="仿宋" w:eastAsia="仿宋" w:cs="宋体"/>
                <w:b w:val="0"/>
                <w:color w:val="000000"/>
                <w:sz w:val="22"/>
                <w:szCs w:val="22"/>
                <w:lang w:val="en-US"/>
              </w:rPr>
            </w:pPr>
            <w:r>
              <w:rPr>
                <w:rFonts w:hint="eastAsia" w:ascii="仿宋" w:hAnsi="仿宋" w:eastAsia="仿宋" w:cs="宋体"/>
                <w:b w:val="0"/>
                <w:color w:val="000000"/>
                <w:sz w:val="22"/>
                <w:szCs w:val="22"/>
                <w:lang w:val="en-US"/>
              </w:rPr>
              <w:t>《中国银行业监督管理委员会行政处罚</w:t>
            </w:r>
          </w:p>
          <w:p>
            <w:pPr>
              <w:widowControl/>
              <w:adjustRightInd w:val="0"/>
              <w:spacing w:line="240" w:lineRule="auto"/>
              <w:ind w:firstLine="0" w:firstLineChars="0"/>
              <w:jc w:val="center"/>
              <w:rPr>
                <w:rFonts w:ascii="仿宋" w:hAnsi="仿宋" w:eastAsia="仿宋" w:cs="宋体"/>
                <w:b w:val="0"/>
                <w:color w:val="000000"/>
                <w:sz w:val="22"/>
                <w:szCs w:val="22"/>
                <w:lang w:val="en-US"/>
              </w:rPr>
            </w:pPr>
            <w:r>
              <w:rPr>
                <w:rFonts w:hint="eastAsia" w:ascii="仿宋" w:hAnsi="仿宋" w:eastAsia="仿宋" w:cs="宋体"/>
                <w:b w:val="0"/>
                <w:color w:val="000000"/>
                <w:sz w:val="22"/>
                <w:szCs w:val="22"/>
                <w:lang w:val="en-US"/>
              </w:rPr>
              <w:t>办法》</w:t>
            </w:r>
          </w:p>
        </w:tc>
        <w:tc>
          <w:tcPr>
            <w:tcW w:w="752" w:type="pct"/>
            <w:gridSpan w:val="2"/>
            <w:vAlign w:val="center"/>
          </w:tcPr>
          <w:p>
            <w:pPr>
              <w:widowControl/>
              <w:adjustRightInd w:val="0"/>
              <w:spacing w:line="240" w:lineRule="auto"/>
              <w:ind w:firstLine="0" w:firstLineChars="0"/>
              <w:jc w:val="center"/>
              <w:rPr>
                <w:rFonts w:ascii="仿宋" w:hAnsi="仿宋" w:eastAsia="仿宋"/>
                <w:b w:val="0"/>
                <w:color w:val="000000"/>
                <w:sz w:val="22"/>
                <w:szCs w:val="22"/>
                <w:lang w:val="en-US"/>
              </w:rPr>
            </w:pPr>
            <w:r>
              <w:rPr>
                <w:rFonts w:hint="eastAsia" w:ascii="仿宋" w:hAnsi="仿宋" w:eastAsia="仿宋"/>
                <w:b w:val="0"/>
                <w:color w:val="000000"/>
                <w:sz w:val="22"/>
                <w:szCs w:val="22"/>
                <w:lang w:val="en-US"/>
              </w:rPr>
              <w:t>第六十七条</w:t>
            </w:r>
          </w:p>
        </w:tc>
        <w:tc>
          <w:tcPr>
            <w:tcW w:w="2514" w:type="pct"/>
            <w:vAlign w:val="center"/>
          </w:tcPr>
          <w:p>
            <w:pPr>
              <w:widowControl/>
              <w:adjustRightInd w:val="0"/>
              <w:spacing w:line="240" w:lineRule="auto"/>
              <w:ind w:firstLine="0" w:firstLineChars="0"/>
              <w:jc w:val="left"/>
              <w:rPr>
                <w:rFonts w:ascii="仿宋" w:hAnsi="仿宋" w:eastAsia="仿宋" w:cs="宋体"/>
                <w:b w:val="0"/>
                <w:color w:val="000000"/>
                <w:sz w:val="22"/>
                <w:szCs w:val="22"/>
                <w:lang w:val="en-US"/>
              </w:rPr>
            </w:pPr>
            <w:r>
              <w:rPr>
                <w:rFonts w:hint="eastAsia" w:ascii="仿宋" w:hAnsi="仿宋" w:eastAsia="仿宋" w:cs="宋体"/>
                <w:b w:val="0"/>
                <w:color w:val="000000"/>
                <w:sz w:val="22"/>
                <w:szCs w:val="22"/>
                <w:lang w:val="en-US"/>
              </w:rPr>
              <w:t>银监会及其派出机构拟作出以下重大行政处罚决定前，应当在行政处罚意见告知书中告知当事人有要求举行听证的权利:（一）对银行业金融机构和其他单位作出较大数额的罚款。包括：银监会作出的500万元以上罚款；银监局作出的100万元以上罚款；银监分局作出的50万元以上罚款；（二）对个人作出较大数额的罚款。包括：银监会作出的50万元以上罚款；银监局作出的30万元以上罚款；银监分局作出的10万元以上罚款；（三）没收较大数额的违法所得。包括：银监会作出的没收500万元以上违法所得；银监局作出的没收100万元以上违法所得；银监分局作出的没收50万元以上违法所得；（四）责令停业整顿；（五）吊销金融许可证；（六）取消董（理）事、高级管理人员任职资格；（七）禁止从事银行业工作。未达到听证标准的行政处罚案件，当事人申请听证的，行政处罚委员会办公室认为有必要的，经行政处罚委员会主任委员同意，可以举行听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351" w:type="pct"/>
            <w:vMerge w:val="continue"/>
            <w:vAlign w:val="center"/>
          </w:tcPr>
          <w:p>
            <w:pPr>
              <w:widowControl/>
              <w:adjustRightInd w:val="0"/>
              <w:spacing w:line="240" w:lineRule="auto"/>
              <w:ind w:firstLine="0" w:firstLineChars="0"/>
              <w:jc w:val="left"/>
              <w:rPr>
                <w:rFonts w:ascii="仿宋" w:hAnsi="仿宋" w:eastAsia="仿宋"/>
                <w:b w:val="0"/>
                <w:color w:val="000000"/>
                <w:sz w:val="22"/>
                <w:szCs w:val="22"/>
                <w:lang w:val="en-US"/>
              </w:rPr>
            </w:pPr>
          </w:p>
        </w:tc>
        <w:tc>
          <w:tcPr>
            <w:tcW w:w="555" w:type="pct"/>
            <w:vMerge w:val="continue"/>
            <w:vAlign w:val="center"/>
          </w:tcPr>
          <w:p>
            <w:pPr>
              <w:widowControl/>
              <w:adjustRightInd w:val="0"/>
              <w:spacing w:line="240" w:lineRule="auto"/>
              <w:ind w:firstLine="0" w:firstLineChars="0"/>
              <w:jc w:val="left"/>
              <w:rPr>
                <w:rFonts w:ascii="仿宋" w:hAnsi="仿宋" w:eastAsia="仿宋" w:cs="宋体"/>
                <w:b w:val="0"/>
                <w:color w:val="000000"/>
                <w:sz w:val="22"/>
                <w:szCs w:val="22"/>
                <w:lang w:val="en-US"/>
              </w:rPr>
            </w:pPr>
          </w:p>
        </w:tc>
        <w:tc>
          <w:tcPr>
            <w:tcW w:w="827" w:type="pct"/>
            <w:vAlign w:val="center"/>
          </w:tcPr>
          <w:p>
            <w:pPr>
              <w:widowControl/>
              <w:adjustRightInd w:val="0"/>
              <w:spacing w:line="240" w:lineRule="auto"/>
              <w:ind w:firstLine="0" w:firstLineChars="0"/>
              <w:jc w:val="center"/>
              <w:rPr>
                <w:rFonts w:ascii="仿宋" w:hAnsi="仿宋" w:eastAsia="仿宋" w:cs="宋体"/>
                <w:b w:val="0"/>
                <w:color w:val="000000"/>
                <w:sz w:val="22"/>
                <w:szCs w:val="22"/>
                <w:lang w:val="en-US"/>
              </w:rPr>
            </w:pPr>
            <w:r>
              <w:rPr>
                <w:rFonts w:hint="eastAsia" w:ascii="仿宋" w:hAnsi="仿宋" w:eastAsia="仿宋" w:cs="宋体"/>
                <w:b w:val="0"/>
                <w:color w:val="000000"/>
                <w:sz w:val="22"/>
                <w:szCs w:val="22"/>
                <w:lang w:val="en-US"/>
              </w:rPr>
              <w:t>《中国保险监督管理委员会行政处罚程序规定》</w:t>
            </w:r>
          </w:p>
        </w:tc>
        <w:tc>
          <w:tcPr>
            <w:tcW w:w="752" w:type="pct"/>
            <w:gridSpan w:val="2"/>
            <w:vAlign w:val="center"/>
          </w:tcPr>
          <w:p>
            <w:pPr>
              <w:widowControl/>
              <w:adjustRightInd w:val="0"/>
              <w:spacing w:line="240" w:lineRule="auto"/>
              <w:ind w:firstLine="0" w:firstLineChars="0"/>
              <w:jc w:val="center"/>
              <w:rPr>
                <w:rFonts w:ascii="仿宋" w:hAnsi="仿宋" w:eastAsia="仿宋"/>
                <w:b w:val="0"/>
                <w:color w:val="000000"/>
                <w:sz w:val="22"/>
                <w:szCs w:val="22"/>
                <w:lang w:val="en-US"/>
              </w:rPr>
            </w:pPr>
            <w:r>
              <w:rPr>
                <w:rFonts w:hint="eastAsia" w:ascii="仿宋" w:hAnsi="仿宋" w:eastAsia="仿宋"/>
                <w:b w:val="0"/>
                <w:color w:val="000000"/>
                <w:sz w:val="22"/>
                <w:szCs w:val="22"/>
                <w:lang w:val="en-US"/>
              </w:rPr>
              <w:t>第四十七条</w:t>
            </w:r>
          </w:p>
        </w:tc>
        <w:tc>
          <w:tcPr>
            <w:tcW w:w="2514" w:type="pct"/>
            <w:vAlign w:val="center"/>
          </w:tcPr>
          <w:p>
            <w:pPr>
              <w:widowControl/>
              <w:adjustRightInd w:val="0"/>
              <w:spacing w:line="240" w:lineRule="auto"/>
              <w:ind w:firstLine="0" w:firstLineChars="0"/>
              <w:jc w:val="left"/>
              <w:rPr>
                <w:rFonts w:ascii="仿宋" w:hAnsi="仿宋" w:eastAsia="仿宋" w:cs="宋体"/>
                <w:b w:val="0"/>
                <w:color w:val="000000"/>
                <w:sz w:val="22"/>
                <w:szCs w:val="22"/>
                <w:lang w:val="en-US"/>
              </w:rPr>
            </w:pPr>
            <w:r>
              <w:rPr>
                <w:rFonts w:hint="eastAsia" w:ascii="仿宋" w:hAnsi="仿宋" w:eastAsia="仿宋" w:cs="宋体"/>
                <w:b w:val="0"/>
                <w:color w:val="000000"/>
                <w:sz w:val="22"/>
                <w:szCs w:val="22"/>
                <w:lang w:val="en-US"/>
              </w:rPr>
              <w:t>中国保监会或者派出机构拟依法作出下列行政处罚的，应当在《行政处罚事先告知书》中一并告知当事人有要求举行听证的权利：（一）对保险机构及保险资产管理机构法人处以100万元以上的罚款或者对其分支机构处以20万元以上的罚款；对保险中介机构法人处以30万元以上的罚款或者对其分支机构处以10万元以上的罚款；对其他法人、组织处以100万元以上的罚款；（二）对个人处以5万元以上的罚款；（三）限制业务范围；（四）责令停止接受新业务；（五）责令停业整顿； （六）吊销业务许可证；（七）撤销外国保险机构驻华代表机构；（八）撤销任职资格；（九）责令撤换外国保险机构驻华代表机构的首席代表；（十）禁止进入保险业；（十一）法律、行政法规和中国保监会规章规定可以要求听证的其他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00" w:type="pct"/>
            <w:gridSpan w:val="6"/>
            <w:vAlign w:val="center"/>
          </w:tcPr>
          <w:p>
            <w:pPr>
              <w:widowControl/>
              <w:adjustRightInd w:val="0"/>
              <w:spacing w:line="240" w:lineRule="auto"/>
              <w:ind w:firstLine="0" w:firstLineChars="0"/>
              <w:jc w:val="left"/>
              <w:rPr>
                <w:rFonts w:ascii="仿宋" w:hAnsi="仿宋" w:eastAsia="仿宋"/>
                <w:bCs/>
                <w:color w:val="000000"/>
                <w:sz w:val="22"/>
                <w:szCs w:val="22"/>
                <w:lang w:val="en-US"/>
              </w:rPr>
            </w:pPr>
            <w:r>
              <w:rPr>
                <w:rFonts w:hint="eastAsia" w:ascii="仿宋" w:hAnsi="仿宋" w:eastAsia="仿宋"/>
                <w:bCs/>
                <w:color w:val="000000"/>
                <w:sz w:val="22"/>
                <w:szCs w:val="22"/>
                <w:lang w:val="en-US"/>
              </w:rPr>
              <w:t>国务院部委管理的国家局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351" w:type="pct"/>
            <w:vAlign w:val="center"/>
          </w:tcPr>
          <w:p>
            <w:pPr>
              <w:widowControl/>
              <w:adjustRightInd w:val="0"/>
              <w:spacing w:line="240" w:lineRule="auto"/>
              <w:ind w:firstLine="0" w:firstLineChars="0"/>
              <w:jc w:val="center"/>
              <w:rPr>
                <w:rFonts w:ascii="仿宋" w:hAnsi="仿宋" w:eastAsia="仿宋"/>
                <w:b w:val="0"/>
                <w:color w:val="000000"/>
                <w:sz w:val="22"/>
                <w:szCs w:val="22"/>
                <w:lang w:val="en-US"/>
              </w:rPr>
            </w:pPr>
            <w:r>
              <w:rPr>
                <w:rFonts w:ascii="仿宋" w:hAnsi="仿宋" w:eastAsia="仿宋"/>
                <w:b w:val="0"/>
                <w:color w:val="000000"/>
                <w:sz w:val="22"/>
                <w:szCs w:val="22"/>
                <w:lang w:val="en-US"/>
              </w:rPr>
              <w:t>25</w:t>
            </w:r>
          </w:p>
        </w:tc>
        <w:tc>
          <w:tcPr>
            <w:tcW w:w="555" w:type="pct"/>
            <w:vAlign w:val="center"/>
          </w:tcPr>
          <w:p>
            <w:pPr>
              <w:widowControl/>
              <w:adjustRightInd w:val="0"/>
              <w:spacing w:line="240" w:lineRule="auto"/>
              <w:ind w:firstLine="0" w:firstLineChars="0"/>
              <w:jc w:val="center"/>
              <w:rPr>
                <w:rFonts w:hint="eastAsia" w:ascii="仿宋" w:hAnsi="仿宋" w:eastAsia="仿宋"/>
                <w:b w:val="0"/>
                <w:color w:val="000000"/>
                <w:sz w:val="22"/>
                <w:szCs w:val="22"/>
                <w:lang w:val="en-US"/>
              </w:rPr>
            </w:pPr>
            <w:r>
              <w:rPr>
                <w:rFonts w:hint="eastAsia" w:ascii="仿宋" w:hAnsi="仿宋" w:eastAsia="仿宋"/>
                <w:b w:val="0"/>
                <w:color w:val="000000"/>
                <w:sz w:val="22"/>
                <w:szCs w:val="22"/>
                <w:lang w:val="en-US"/>
              </w:rPr>
              <w:t>国家外汇管</w:t>
            </w:r>
          </w:p>
          <w:p>
            <w:pPr>
              <w:widowControl/>
              <w:adjustRightInd w:val="0"/>
              <w:spacing w:line="240" w:lineRule="auto"/>
              <w:ind w:firstLine="0" w:firstLineChars="0"/>
              <w:jc w:val="center"/>
              <w:rPr>
                <w:rFonts w:ascii="仿宋" w:hAnsi="仿宋" w:eastAsia="仿宋"/>
                <w:b w:val="0"/>
                <w:color w:val="000000"/>
                <w:sz w:val="22"/>
                <w:szCs w:val="22"/>
                <w:lang w:val="en-US"/>
              </w:rPr>
            </w:pPr>
            <w:r>
              <w:rPr>
                <w:rFonts w:hint="eastAsia" w:ascii="仿宋" w:hAnsi="仿宋" w:eastAsia="仿宋"/>
                <w:b w:val="0"/>
                <w:color w:val="000000"/>
                <w:sz w:val="22"/>
                <w:szCs w:val="22"/>
                <w:lang w:val="en-US"/>
              </w:rPr>
              <w:t>理局</w:t>
            </w:r>
          </w:p>
        </w:tc>
        <w:tc>
          <w:tcPr>
            <w:tcW w:w="827" w:type="pct"/>
            <w:vAlign w:val="center"/>
          </w:tcPr>
          <w:p>
            <w:pPr>
              <w:widowControl/>
              <w:adjustRightInd w:val="0"/>
              <w:spacing w:line="240" w:lineRule="auto"/>
              <w:ind w:firstLine="0" w:firstLineChars="0"/>
              <w:jc w:val="center"/>
              <w:rPr>
                <w:rFonts w:ascii="仿宋" w:hAnsi="仿宋" w:eastAsia="仿宋" w:cs="宋体"/>
                <w:b w:val="0"/>
                <w:color w:val="000000"/>
                <w:sz w:val="22"/>
                <w:szCs w:val="22"/>
                <w:lang w:val="en-US"/>
              </w:rPr>
            </w:pPr>
            <w:r>
              <w:rPr>
                <w:rFonts w:hint="eastAsia" w:ascii="仿宋" w:hAnsi="仿宋" w:eastAsia="仿宋" w:cs="宋体"/>
                <w:b w:val="0"/>
                <w:color w:val="000000"/>
                <w:sz w:val="22"/>
                <w:szCs w:val="22"/>
                <w:lang w:val="en-US"/>
              </w:rPr>
              <w:t>《国家外汇管理局行政处罚听证程序》</w:t>
            </w:r>
          </w:p>
        </w:tc>
        <w:tc>
          <w:tcPr>
            <w:tcW w:w="752" w:type="pct"/>
            <w:gridSpan w:val="2"/>
            <w:vAlign w:val="center"/>
          </w:tcPr>
          <w:p>
            <w:pPr>
              <w:widowControl/>
              <w:adjustRightInd w:val="0"/>
              <w:spacing w:line="240" w:lineRule="auto"/>
              <w:ind w:firstLine="0" w:firstLineChars="0"/>
              <w:jc w:val="center"/>
              <w:rPr>
                <w:rFonts w:ascii="仿宋" w:hAnsi="仿宋" w:eastAsia="仿宋"/>
                <w:b w:val="0"/>
                <w:color w:val="000000"/>
                <w:sz w:val="22"/>
                <w:szCs w:val="22"/>
                <w:lang w:val="en-US"/>
              </w:rPr>
            </w:pPr>
            <w:r>
              <w:rPr>
                <w:rFonts w:hint="eastAsia" w:ascii="仿宋" w:hAnsi="仿宋" w:eastAsia="仿宋"/>
                <w:b w:val="0"/>
                <w:color w:val="000000"/>
                <w:sz w:val="22"/>
                <w:szCs w:val="22"/>
                <w:lang w:val="en-US"/>
              </w:rPr>
              <w:t>第三条</w:t>
            </w:r>
          </w:p>
        </w:tc>
        <w:tc>
          <w:tcPr>
            <w:tcW w:w="2514" w:type="pct"/>
            <w:vAlign w:val="center"/>
          </w:tcPr>
          <w:p>
            <w:pPr>
              <w:widowControl/>
              <w:adjustRightInd w:val="0"/>
              <w:spacing w:line="240" w:lineRule="auto"/>
              <w:ind w:firstLine="0" w:firstLineChars="0"/>
              <w:jc w:val="left"/>
              <w:rPr>
                <w:rFonts w:ascii="仿宋" w:hAnsi="仿宋" w:eastAsia="仿宋" w:cs="宋体"/>
                <w:b w:val="0"/>
                <w:color w:val="000000"/>
                <w:sz w:val="22"/>
                <w:szCs w:val="22"/>
                <w:lang w:val="en-US"/>
              </w:rPr>
            </w:pPr>
            <w:r>
              <w:rPr>
                <w:rFonts w:hint="eastAsia" w:ascii="仿宋" w:hAnsi="仿宋" w:eastAsia="仿宋" w:cs="宋体"/>
                <w:b w:val="0"/>
                <w:color w:val="000000"/>
                <w:sz w:val="22"/>
                <w:szCs w:val="22"/>
                <w:lang w:val="en-US"/>
              </w:rPr>
              <w:t>外汇局作出下列重大处罚决定前，应当告知当事人有要求举行听证的权利：（一）责令暂停或者停止经营结售汇业务；（二）责令暂停经营外汇业务或者吊销经营外汇业务许可证；（三）较大数额罚没款；（四）其他法律、行政法规规定应当举行听证的。前款（三）项所称较大数额罚没款，是指对自然人的违法行为处以5万元人民币以上，对法人或者其他经济组织经营活动中的违法行为处以100万元人民币以上的罚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351" w:type="pct"/>
            <w:vAlign w:val="center"/>
          </w:tcPr>
          <w:p>
            <w:pPr>
              <w:widowControl/>
              <w:adjustRightInd w:val="0"/>
              <w:spacing w:line="240" w:lineRule="auto"/>
              <w:ind w:firstLine="0" w:firstLineChars="0"/>
              <w:jc w:val="center"/>
              <w:rPr>
                <w:rFonts w:ascii="仿宋" w:hAnsi="仿宋" w:eastAsia="仿宋"/>
                <w:b w:val="0"/>
                <w:color w:val="000000"/>
                <w:sz w:val="22"/>
                <w:szCs w:val="22"/>
                <w:lang w:val="en-US"/>
              </w:rPr>
            </w:pPr>
            <w:r>
              <w:rPr>
                <w:rFonts w:ascii="仿宋" w:hAnsi="仿宋" w:eastAsia="仿宋"/>
                <w:b w:val="0"/>
                <w:color w:val="000000"/>
                <w:sz w:val="22"/>
                <w:szCs w:val="22"/>
                <w:lang w:val="en-US"/>
              </w:rPr>
              <w:t>26</w:t>
            </w:r>
          </w:p>
        </w:tc>
        <w:tc>
          <w:tcPr>
            <w:tcW w:w="555" w:type="pct"/>
            <w:vAlign w:val="center"/>
          </w:tcPr>
          <w:p>
            <w:pPr>
              <w:widowControl/>
              <w:adjustRightInd w:val="0"/>
              <w:spacing w:line="240" w:lineRule="auto"/>
              <w:ind w:firstLine="0" w:firstLineChars="0"/>
              <w:jc w:val="center"/>
              <w:rPr>
                <w:rFonts w:hint="eastAsia" w:ascii="仿宋" w:hAnsi="仿宋" w:eastAsia="仿宋"/>
                <w:b w:val="0"/>
                <w:color w:val="000000"/>
                <w:sz w:val="22"/>
                <w:szCs w:val="22"/>
                <w:lang w:val="en-US"/>
              </w:rPr>
            </w:pPr>
            <w:r>
              <w:rPr>
                <w:rFonts w:hint="eastAsia" w:ascii="仿宋" w:hAnsi="仿宋" w:eastAsia="仿宋"/>
                <w:b w:val="0"/>
                <w:color w:val="000000"/>
                <w:sz w:val="22"/>
                <w:szCs w:val="22"/>
                <w:lang w:val="en-US"/>
              </w:rPr>
              <w:t>国家烟草专</w:t>
            </w:r>
          </w:p>
          <w:p>
            <w:pPr>
              <w:widowControl/>
              <w:adjustRightInd w:val="0"/>
              <w:spacing w:line="240" w:lineRule="auto"/>
              <w:ind w:firstLine="0" w:firstLineChars="0"/>
              <w:jc w:val="center"/>
              <w:rPr>
                <w:rFonts w:ascii="仿宋" w:hAnsi="仿宋" w:eastAsia="仿宋"/>
                <w:b w:val="0"/>
                <w:color w:val="000000"/>
                <w:sz w:val="22"/>
                <w:szCs w:val="22"/>
                <w:lang w:val="en-US"/>
              </w:rPr>
            </w:pPr>
            <w:r>
              <w:rPr>
                <w:rFonts w:hint="eastAsia" w:ascii="仿宋" w:hAnsi="仿宋" w:eastAsia="仿宋"/>
                <w:b w:val="0"/>
                <w:color w:val="000000"/>
                <w:sz w:val="22"/>
                <w:szCs w:val="22"/>
                <w:lang w:val="en-US"/>
              </w:rPr>
              <w:t>卖局</w:t>
            </w:r>
          </w:p>
        </w:tc>
        <w:tc>
          <w:tcPr>
            <w:tcW w:w="827" w:type="pct"/>
            <w:vAlign w:val="center"/>
          </w:tcPr>
          <w:p>
            <w:pPr>
              <w:widowControl/>
              <w:adjustRightInd w:val="0"/>
              <w:spacing w:line="240" w:lineRule="auto"/>
              <w:ind w:firstLine="0" w:firstLineChars="0"/>
              <w:jc w:val="center"/>
              <w:rPr>
                <w:rFonts w:hint="eastAsia" w:ascii="仿宋" w:hAnsi="仿宋" w:eastAsia="仿宋" w:cs="宋体"/>
                <w:b w:val="0"/>
                <w:color w:val="000000"/>
                <w:sz w:val="22"/>
                <w:szCs w:val="22"/>
                <w:lang w:val="en-US"/>
              </w:rPr>
            </w:pPr>
            <w:r>
              <w:rPr>
                <w:rFonts w:hint="eastAsia" w:ascii="仿宋" w:hAnsi="仿宋" w:eastAsia="仿宋" w:cs="宋体"/>
                <w:b w:val="0"/>
                <w:color w:val="000000"/>
                <w:sz w:val="22"/>
                <w:szCs w:val="22"/>
                <w:lang w:val="en-US"/>
              </w:rPr>
              <w:t>《烟草专卖行政处罚程序</w:t>
            </w:r>
          </w:p>
          <w:p>
            <w:pPr>
              <w:widowControl/>
              <w:adjustRightInd w:val="0"/>
              <w:spacing w:line="240" w:lineRule="auto"/>
              <w:ind w:firstLine="0" w:firstLineChars="0"/>
              <w:jc w:val="center"/>
              <w:rPr>
                <w:rFonts w:ascii="仿宋" w:hAnsi="仿宋" w:eastAsia="仿宋" w:cs="宋体"/>
                <w:b w:val="0"/>
                <w:color w:val="000000"/>
                <w:sz w:val="22"/>
                <w:szCs w:val="22"/>
                <w:lang w:val="en-US"/>
              </w:rPr>
            </w:pPr>
            <w:r>
              <w:rPr>
                <w:rFonts w:hint="eastAsia" w:ascii="仿宋" w:hAnsi="仿宋" w:eastAsia="仿宋" w:cs="宋体"/>
                <w:b w:val="0"/>
                <w:color w:val="000000"/>
                <w:sz w:val="22"/>
                <w:szCs w:val="22"/>
                <w:lang w:val="en-US"/>
              </w:rPr>
              <w:t>规定》</w:t>
            </w:r>
          </w:p>
        </w:tc>
        <w:tc>
          <w:tcPr>
            <w:tcW w:w="752" w:type="pct"/>
            <w:gridSpan w:val="2"/>
            <w:vAlign w:val="center"/>
          </w:tcPr>
          <w:p>
            <w:pPr>
              <w:widowControl/>
              <w:adjustRightInd w:val="0"/>
              <w:spacing w:line="240" w:lineRule="auto"/>
              <w:ind w:firstLine="0" w:firstLineChars="0"/>
              <w:jc w:val="center"/>
              <w:rPr>
                <w:rFonts w:ascii="仿宋" w:hAnsi="仿宋" w:eastAsia="仿宋"/>
                <w:b w:val="0"/>
                <w:color w:val="000000"/>
                <w:sz w:val="22"/>
                <w:szCs w:val="22"/>
                <w:lang w:val="en-US"/>
              </w:rPr>
            </w:pPr>
            <w:r>
              <w:rPr>
                <w:rFonts w:hint="eastAsia" w:ascii="仿宋" w:hAnsi="仿宋" w:eastAsia="仿宋"/>
                <w:b w:val="0"/>
                <w:color w:val="000000"/>
                <w:sz w:val="22"/>
                <w:szCs w:val="22"/>
                <w:lang w:val="en-US"/>
              </w:rPr>
              <w:t>第四十四条</w:t>
            </w:r>
          </w:p>
        </w:tc>
        <w:tc>
          <w:tcPr>
            <w:tcW w:w="2514" w:type="pct"/>
            <w:vAlign w:val="center"/>
          </w:tcPr>
          <w:p>
            <w:pPr>
              <w:widowControl/>
              <w:adjustRightInd w:val="0"/>
              <w:spacing w:line="240" w:lineRule="auto"/>
              <w:ind w:firstLine="0" w:firstLineChars="0"/>
              <w:jc w:val="left"/>
              <w:rPr>
                <w:rFonts w:ascii="仿宋" w:hAnsi="仿宋" w:eastAsia="仿宋" w:cs="宋体"/>
                <w:b w:val="0"/>
                <w:color w:val="000000"/>
                <w:sz w:val="22"/>
                <w:szCs w:val="22"/>
                <w:lang w:val="en-US"/>
              </w:rPr>
            </w:pPr>
            <w:r>
              <w:rPr>
                <w:rFonts w:hint="eastAsia" w:ascii="仿宋" w:hAnsi="仿宋" w:eastAsia="仿宋" w:cs="宋体"/>
                <w:b w:val="0"/>
                <w:color w:val="000000"/>
                <w:sz w:val="22"/>
                <w:szCs w:val="22"/>
                <w:lang w:val="en-US"/>
              </w:rPr>
              <w:t>烟草专卖行政主管部门在作出下列行政处罚决定之前，应当告知当事人有要求举行听证的权利：（一）一万元以上的罚款；（二）没收较大数额的违法所得或者违法烟草专卖品；（三）责令停产、停业，责令关闭；（四）取消从事烟草专卖业务的资格。 省级烟草专卖行政主管部门可以结合本地实际，调整和确定本行政区域内罚款、没收违法所得或者违法烟草专卖品的听证数额标准，报国务院烟草专卖行政主管部门批准后施行。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jc w:val="center"/>
        </w:trPr>
        <w:tc>
          <w:tcPr>
            <w:tcW w:w="351" w:type="pct"/>
            <w:vAlign w:val="center"/>
          </w:tcPr>
          <w:p>
            <w:pPr>
              <w:widowControl/>
              <w:adjustRightInd w:val="0"/>
              <w:spacing w:line="240" w:lineRule="auto"/>
              <w:ind w:firstLine="0" w:firstLineChars="0"/>
              <w:jc w:val="center"/>
              <w:rPr>
                <w:rFonts w:ascii="仿宋" w:hAnsi="仿宋" w:eastAsia="仿宋"/>
                <w:b w:val="0"/>
                <w:color w:val="000000"/>
                <w:sz w:val="22"/>
                <w:szCs w:val="22"/>
                <w:lang w:val="en-US"/>
              </w:rPr>
            </w:pPr>
            <w:r>
              <w:rPr>
                <w:rFonts w:ascii="仿宋" w:hAnsi="仿宋" w:eastAsia="仿宋"/>
                <w:b w:val="0"/>
                <w:color w:val="000000"/>
                <w:sz w:val="22"/>
                <w:szCs w:val="22"/>
                <w:lang w:val="en-US"/>
              </w:rPr>
              <w:t>27</w:t>
            </w:r>
          </w:p>
        </w:tc>
        <w:tc>
          <w:tcPr>
            <w:tcW w:w="555" w:type="pct"/>
            <w:vAlign w:val="center"/>
          </w:tcPr>
          <w:p>
            <w:pPr>
              <w:widowControl/>
              <w:adjustRightInd w:val="0"/>
              <w:spacing w:line="240" w:lineRule="auto"/>
              <w:ind w:firstLine="0" w:firstLineChars="0"/>
              <w:jc w:val="center"/>
              <w:rPr>
                <w:rFonts w:ascii="仿宋" w:hAnsi="仿宋" w:eastAsia="仿宋"/>
                <w:b w:val="0"/>
                <w:color w:val="000000"/>
                <w:sz w:val="22"/>
                <w:szCs w:val="22"/>
                <w:lang w:val="en-US"/>
              </w:rPr>
            </w:pPr>
            <w:r>
              <w:rPr>
                <w:rFonts w:hint="eastAsia" w:ascii="仿宋" w:hAnsi="仿宋" w:eastAsia="仿宋"/>
                <w:b w:val="0"/>
                <w:color w:val="000000"/>
                <w:sz w:val="22"/>
                <w:szCs w:val="22"/>
                <w:lang w:val="en-US"/>
              </w:rPr>
              <w:t>国家林业和草原局</w:t>
            </w:r>
          </w:p>
        </w:tc>
        <w:tc>
          <w:tcPr>
            <w:tcW w:w="827" w:type="pct"/>
            <w:vAlign w:val="center"/>
          </w:tcPr>
          <w:p>
            <w:pPr>
              <w:widowControl/>
              <w:adjustRightInd w:val="0"/>
              <w:spacing w:line="240" w:lineRule="auto"/>
              <w:ind w:firstLine="0" w:firstLineChars="0"/>
              <w:jc w:val="center"/>
              <w:rPr>
                <w:rFonts w:ascii="仿宋" w:hAnsi="仿宋" w:eastAsia="仿宋" w:cs="宋体"/>
                <w:b w:val="0"/>
                <w:color w:val="000000"/>
                <w:sz w:val="22"/>
                <w:szCs w:val="22"/>
                <w:lang w:val="en-US"/>
              </w:rPr>
            </w:pPr>
            <w:r>
              <w:rPr>
                <w:rFonts w:hint="eastAsia" w:ascii="仿宋" w:hAnsi="仿宋" w:eastAsia="仿宋" w:cs="宋体"/>
                <w:b w:val="0"/>
                <w:color w:val="000000"/>
                <w:sz w:val="22"/>
                <w:szCs w:val="22"/>
                <w:lang w:val="en-US"/>
              </w:rPr>
              <w:t>《林业行政处罚听证规则》</w:t>
            </w:r>
          </w:p>
        </w:tc>
        <w:tc>
          <w:tcPr>
            <w:tcW w:w="752" w:type="pct"/>
            <w:gridSpan w:val="2"/>
            <w:vAlign w:val="center"/>
          </w:tcPr>
          <w:p>
            <w:pPr>
              <w:widowControl/>
              <w:adjustRightInd w:val="0"/>
              <w:spacing w:line="240" w:lineRule="auto"/>
              <w:ind w:firstLine="0" w:firstLineChars="0"/>
              <w:jc w:val="center"/>
              <w:rPr>
                <w:rFonts w:ascii="仿宋" w:hAnsi="仿宋" w:eastAsia="仿宋"/>
                <w:b w:val="0"/>
                <w:color w:val="000000"/>
                <w:sz w:val="22"/>
                <w:szCs w:val="22"/>
                <w:lang w:val="en-US"/>
              </w:rPr>
            </w:pPr>
            <w:r>
              <w:rPr>
                <w:rFonts w:hint="eastAsia" w:ascii="仿宋" w:hAnsi="仿宋" w:eastAsia="仿宋"/>
                <w:b w:val="0"/>
                <w:color w:val="000000"/>
                <w:sz w:val="22"/>
                <w:szCs w:val="22"/>
                <w:lang w:val="en-US"/>
              </w:rPr>
              <w:t>第五条</w:t>
            </w:r>
          </w:p>
        </w:tc>
        <w:tc>
          <w:tcPr>
            <w:tcW w:w="2514" w:type="pct"/>
            <w:vAlign w:val="center"/>
          </w:tcPr>
          <w:p>
            <w:pPr>
              <w:widowControl/>
              <w:adjustRightInd w:val="0"/>
              <w:spacing w:line="240" w:lineRule="auto"/>
              <w:ind w:firstLine="0" w:firstLineChars="0"/>
              <w:jc w:val="left"/>
              <w:rPr>
                <w:rFonts w:ascii="仿宋" w:hAnsi="仿宋" w:eastAsia="仿宋" w:cs="宋体"/>
                <w:b w:val="0"/>
                <w:color w:val="000000"/>
                <w:sz w:val="22"/>
                <w:szCs w:val="22"/>
                <w:lang w:val="en-US"/>
              </w:rPr>
            </w:pPr>
            <w:r>
              <w:rPr>
                <w:rFonts w:hint="eastAsia" w:ascii="仿宋" w:hAnsi="仿宋" w:eastAsia="仿宋" w:cs="宋体"/>
                <w:b w:val="0"/>
                <w:color w:val="000000"/>
                <w:sz w:val="22"/>
                <w:szCs w:val="22"/>
                <w:lang w:val="en-US"/>
              </w:rPr>
              <w:t>林业行政主管部门依法作出责令停产停业、吊销许可证或者执照、较大数额罚款等林业行政处罚决定之前，应当告知当事人有要求举行听证的权利，并制作林业行政处罚听证权利告知书。 前款所称较大数额的罚款，按照省、自治区、直辖市人大常委会或者省级人民政府的规定执行。 国家林业局依法作出十万元以上(含十万元)罚款决定的，应当告知当事人有要求举行听证的权利。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351" w:type="pct"/>
            <w:vAlign w:val="center"/>
          </w:tcPr>
          <w:p>
            <w:pPr>
              <w:widowControl/>
              <w:adjustRightInd w:val="0"/>
              <w:spacing w:line="240" w:lineRule="auto"/>
              <w:ind w:firstLine="0" w:firstLineChars="0"/>
              <w:jc w:val="center"/>
              <w:rPr>
                <w:rFonts w:ascii="仿宋" w:hAnsi="仿宋" w:eastAsia="仿宋"/>
                <w:b w:val="0"/>
                <w:color w:val="000000"/>
                <w:sz w:val="22"/>
                <w:szCs w:val="22"/>
                <w:lang w:val="en-US"/>
              </w:rPr>
            </w:pPr>
            <w:r>
              <w:rPr>
                <w:rFonts w:ascii="仿宋" w:hAnsi="仿宋" w:eastAsia="仿宋"/>
                <w:b w:val="0"/>
                <w:color w:val="000000"/>
                <w:sz w:val="22"/>
                <w:szCs w:val="22"/>
                <w:lang w:val="en-US"/>
              </w:rPr>
              <w:t>28</w:t>
            </w:r>
          </w:p>
        </w:tc>
        <w:tc>
          <w:tcPr>
            <w:tcW w:w="555" w:type="pct"/>
            <w:vAlign w:val="center"/>
          </w:tcPr>
          <w:p>
            <w:pPr>
              <w:widowControl/>
              <w:adjustRightInd w:val="0"/>
              <w:spacing w:line="240" w:lineRule="auto"/>
              <w:ind w:firstLine="0" w:firstLineChars="0"/>
              <w:jc w:val="center"/>
              <w:rPr>
                <w:rFonts w:ascii="仿宋" w:hAnsi="仿宋" w:eastAsia="仿宋"/>
                <w:b w:val="0"/>
                <w:color w:val="000000"/>
                <w:sz w:val="22"/>
                <w:szCs w:val="22"/>
                <w:lang w:val="en-US"/>
              </w:rPr>
            </w:pPr>
            <w:r>
              <w:rPr>
                <w:rFonts w:hint="eastAsia" w:ascii="仿宋" w:hAnsi="仿宋" w:eastAsia="仿宋"/>
                <w:b w:val="0"/>
                <w:color w:val="000000"/>
                <w:sz w:val="22"/>
                <w:szCs w:val="22"/>
                <w:lang w:val="en-US"/>
              </w:rPr>
              <w:t>国家铁路局</w:t>
            </w:r>
          </w:p>
        </w:tc>
        <w:tc>
          <w:tcPr>
            <w:tcW w:w="827" w:type="pct"/>
            <w:vAlign w:val="center"/>
          </w:tcPr>
          <w:p>
            <w:pPr>
              <w:widowControl/>
              <w:adjustRightInd w:val="0"/>
              <w:spacing w:line="240" w:lineRule="auto"/>
              <w:ind w:firstLine="0" w:firstLineChars="0"/>
              <w:jc w:val="center"/>
              <w:rPr>
                <w:rFonts w:ascii="仿宋" w:hAnsi="仿宋" w:eastAsia="仿宋"/>
                <w:b w:val="0"/>
                <w:color w:val="000000"/>
                <w:sz w:val="22"/>
                <w:szCs w:val="22"/>
                <w:lang w:val="en-US"/>
              </w:rPr>
            </w:pPr>
            <w:r>
              <w:rPr>
                <w:rFonts w:hint="eastAsia" w:ascii="仿宋" w:hAnsi="仿宋" w:eastAsia="仿宋"/>
                <w:b w:val="0"/>
                <w:color w:val="000000"/>
                <w:sz w:val="22"/>
                <w:szCs w:val="22"/>
                <w:lang w:val="en-US"/>
              </w:rPr>
              <w:t>《违反</w:t>
            </w:r>
            <w:r>
              <w:rPr>
                <w:rFonts w:ascii="仿宋" w:hAnsi="仿宋" w:eastAsia="仿宋"/>
                <w:b w:val="0"/>
                <w:color w:val="000000"/>
                <w:sz w:val="22"/>
                <w:szCs w:val="22"/>
                <w:lang w:val="en-US"/>
              </w:rPr>
              <w:t>&lt;</w:t>
            </w:r>
            <w:r>
              <w:rPr>
                <w:rFonts w:hint="eastAsia" w:ascii="仿宋" w:hAnsi="仿宋" w:eastAsia="仿宋"/>
                <w:b w:val="0"/>
                <w:color w:val="000000"/>
                <w:sz w:val="22"/>
                <w:szCs w:val="22"/>
                <w:lang w:val="en-US"/>
              </w:rPr>
              <w:t>铁路安全管理条例</w:t>
            </w:r>
            <w:r>
              <w:rPr>
                <w:rFonts w:ascii="仿宋" w:hAnsi="仿宋" w:eastAsia="仿宋"/>
                <w:b w:val="0"/>
                <w:color w:val="000000"/>
                <w:sz w:val="22"/>
                <w:szCs w:val="22"/>
                <w:lang w:val="en-US"/>
              </w:rPr>
              <w:t>&gt;</w:t>
            </w:r>
            <w:r>
              <w:rPr>
                <w:rFonts w:hint="eastAsia" w:ascii="仿宋" w:hAnsi="仿宋" w:eastAsia="仿宋"/>
                <w:b w:val="0"/>
                <w:color w:val="000000"/>
                <w:sz w:val="22"/>
                <w:szCs w:val="22"/>
                <w:lang w:val="en-US"/>
              </w:rPr>
              <w:t>行政处罚实施办法》</w:t>
            </w:r>
          </w:p>
        </w:tc>
        <w:tc>
          <w:tcPr>
            <w:tcW w:w="752" w:type="pct"/>
            <w:gridSpan w:val="2"/>
            <w:vAlign w:val="center"/>
          </w:tcPr>
          <w:p>
            <w:pPr>
              <w:widowControl/>
              <w:adjustRightInd w:val="0"/>
              <w:spacing w:line="240" w:lineRule="auto"/>
              <w:ind w:firstLine="0" w:firstLineChars="0"/>
              <w:jc w:val="center"/>
              <w:rPr>
                <w:rFonts w:ascii="仿宋" w:hAnsi="仿宋" w:eastAsia="仿宋"/>
                <w:b w:val="0"/>
                <w:color w:val="000000"/>
                <w:sz w:val="22"/>
                <w:szCs w:val="22"/>
                <w:lang w:val="en-US"/>
              </w:rPr>
            </w:pPr>
            <w:r>
              <w:rPr>
                <w:rFonts w:hint="eastAsia" w:ascii="仿宋" w:hAnsi="仿宋" w:eastAsia="仿宋"/>
                <w:b w:val="0"/>
                <w:color w:val="000000"/>
                <w:sz w:val="22"/>
                <w:szCs w:val="22"/>
                <w:lang w:val="en-US"/>
              </w:rPr>
              <w:t>第七十六条</w:t>
            </w:r>
          </w:p>
        </w:tc>
        <w:tc>
          <w:tcPr>
            <w:tcW w:w="2514" w:type="pct"/>
            <w:vAlign w:val="center"/>
          </w:tcPr>
          <w:p>
            <w:pPr>
              <w:widowControl/>
              <w:adjustRightInd w:val="0"/>
              <w:spacing w:line="240" w:lineRule="auto"/>
              <w:ind w:firstLine="0" w:firstLineChars="0"/>
              <w:jc w:val="left"/>
              <w:rPr>
                <w:rFonts w:ascii="仿宋" w:hAnsi="仿宋" w:eastAsia="仿宋" w:cs="宋体"/>
                <w:b w:val="0"/>
                <w:color w:val="000000"/>
                <w:sz w:val="22"/>
                <w:szCs w:val="22"/>
                <w:lang w:val="en-US"/>
              </w:rPr>
            </w:pPr>
            <w:r>
              <w:rPr>
                <w:rFonts w:hint="eastAsia" w:ascii="仿宋" w:hAnsi="仿宋" w:eastAsia="仿宋" w:cs="宋体"/>
                <w:b w:val="0"/>
                <w:color w:val="000000"/>
                <w:sz w:val="22"/>
                <w:szCs w:val="22"/>
                <w:lang w:val="en-US"/>
              </w:rPr>
              <w:t xml:space="preserve">本办法所称“较大数额罚款”，是指对个人处以1万元以上的罚款，对单位处以10万元以上的罚款。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0" w:hRule="atLeast"/>
          <w:jc w:val="center"/>
        </w:trPr>
        <w:tc>
          <w:tcPr>
            <w:tcW w:w="351" w:type="pct"/>
            <w:vAlign w:val="center"/>
          </w:tcPr>
          <w:p>
            <w:pPr>
              <w:widowControl/>
              <w:adjustRightInd w:val="0"/>
              <w:spacing w:line="240" w:lineRule="auto"/>
              <w:ind w:firstLine="0" w:firstLineChars="0"/>
              <w:jc w:val="center"/>
              <w:rPr>
                <w:rFonts w:ascii="仿宋" w:hAnsi="仿宋" w:eastAsia="仿宋"/>
                <w:b w:val="0"/>
                <w:color w:val="000000"/>
                <w:sz w:val="22"/>
                <w:szCs w:val="22"/>
                <w:lang w:val="en-US"/>
              </w:rPr>
            </w:pPr>
            <w:r>
              <w:rPr>
                <w:rFonts w:ascii="仿宋" w:hAnsi="仿宋" w:eastAsia="仿宋"/>
                <w:b w:val="0"/>
                <w:color w:val="000000"/>
                <w:sz w:val="22"/>
                <w:szCs w:val="22"/>
                <w:lang w:val="en-US"/>
              </w:rPr>
              <w:t>29</w:t>
            </w:r>
          </w:p>
        </w:tc>
        <w:tc>
          <w:tcPr>
            <w:tcW w:w="555" w:type="pct"/>
            <w:vAlign w:val="center"/>
          </w:tcPr>
          <w:p>
            <w:pPr>
              <w:widowControl/>
              <w:adjustRightInd w:val="0"/>
              <w:spacing w:line="240" w:lineRule="auto"/>
              <w:ind w:firstLine="0" w:firstLineChars="0"/>
              <w:jc w:val="center"/>
              <w:rPr>
                <w:rFonts w:hint="eastAsia" w:ascii="仿宋" w:hAnsi="仿宋" w:eastAsia="仿宋"/>
                <w:b w:val="0"/>
                <w:color w:val="000000"/>
                <w:sz w:val="22"/>
                <w:szCs w:val="22"/>
                <w:lang w:val="en-US"/>
              </w:rPr>
            </w:pPr>
            <w:r>
              <w:rPr>
                <w:rFonts w:hint="eastAsia" w:ascii="仿宋" w:hAnsi="仿宋" w:eastAsia="仿宋"/>
                <w:b w:val="0"/>
                <w:color w:val="000000"/>
                <w:sz w:val="22"/>
                <w:szCs w:val="22"/>
                <w:lang w:val="en-US"/>
              </w:rPr>
              <w:t>中国民用航</w:t>
            </w:r>
          </w:p>
          <w:p>
            <w:pPr>
              <w:widowControl/>
              <w:adjustRightInd w:val="0"/>
              <w:spacing w:line="240" w:lineRule="auto"/>
              <w:ind w:firstLine="0" w:firstLineChars="0"/>
              <w:jc w:val="center"/>
              <w:rPr>
                <w:rFonts w:ascii="仿宋" w:hAnsi="仿宋" w:eastAsia="仿宋"/>
                <w:b w:val="0"/>
                <w:color w:val="000000"/>
                <w:sz w:val="22"/>
                <w:szCs w:val="22"/>
                <w:lang w:val="en-US"/>
              </w:rPr>
            </w:pPr>
            <w:r>
              <w:rPr>
                <w:rFonts w:hint="eastAsia" w:ascii="仿宋" w:hAnsi="仿宋" w:eastAsia="仿宋"/>
                <w:b w:val="0"/>
                <w:color w:val="000000"/>
                <w:sz w:val="22"/>
                <w:szCs w:val="22"/>
                <w:lang w:val="en-US"/>
              </w:rPr>
              <w:t>空局</w:t>
            </w:r>
          </w:p>
        </w:tc>
        <w:tc>
          <w:tcPr>
            <w:tcW w:w="827" w:type="pct"/>
            <w:vAlign w:val="center"/>
          </w:tcPr>
          <w:p>
            <w:pPr>
              <w:widowControl/>
              <w:adjustRightInd w:val="0"/>
              <w:spacing w:line="240" w:lineRule="auto"/>
              <w:ind w:firstLine="0" w:firstLineChars="0"/>
              <w:jc w:val="center"/>
              <w:rPr>
                <w:rFonts w:ascii="仿宋" w:hAnsi="仿宋" w:eastAsia="仿宋" w:cs="宋体"/>
                <w:b w:val="0"/>
                <w:color w:val="000000"/>
                <w:sz w:val="22"/>
                <w:szCs w:val="22"/>
                <w:lang w:val="en-US"/>
              </w:rPr>
            </w:pPr>
            <w:r>
              <w:rPr>
                <w:rFonts w:hint="eastAsia" w:ascii="仿宋" w:hAnsi="仿宋" w:eastAsia="仿宋" w:cs="宋体"/>
                <w:b w:val="0"/>
                <w:color w:val="000000"/>
                <w:sz w:val="22"/>
                <w:szCs w:val="22"/>
                <w:lang w:val="en-US"/>
              </w:rPr>
              <w:t>《中国民用航空行政处罚实施办法》</w:t>
            </w:r>
          </w:p>
        </w:tc>
        <w:tc>
          <w:tcPr>
            <w:tcW w:w="752" w:type="pct"/>
            <w:gridSpan w:val="2"/>
            <w:vAlign w:val="center"/>
          </w:tcPr>
          <w:p>
            <w:pPr>
              <w:widowControl/>
              <w:adjustRightInd w:val="0"/>
              <w:spacing w:line="240" w:lineRule="auto"/>
              <w:ind w:firstLine="0" w:firstLineChars="0"/>
              <w:jc w:val="center"/>
              <w:rPr>
                <w:rFonts w:ascii="仿宋" w:hAnsi="仿宋" w:eastAsia="仿宋"/>
                <w:b w:val="0"/>
                <w:color w:val="000000"/>
                <w:sz w:val="22"/>
                <w:szCs w:val="22"/>
                <w:lang w:val="en-US"/>
              </w:rPr>
            </w:pPr>
            <w:r>
              <w:rPr>
                <w:rFonts w:hint="eastAsia" w:ascii="仿宋" w:hAnsi="仿宋" w:eastAsia="仿宋"/>
                <w:b w:val="0"/>
                <w:color w:val="000000"/>
                <w:sz w:val="22"/>
                <w:szCs w:val="22"/>
                <w:lang w:val="en-US"/>
              </w:rPr>
              <w:t>第四十一条</w:t>
            </w:r>
          </w:p>
        </w:tc>
        <w:tc>
          <w:tcPr>
            <w:tcW w:w="2514" w:type="pct"/>
            <w:vAlign w:val="center"/>
          </w:tcPr>
          <w:p>
            <w:pPr>
              <w:widowControl/>
              <w:adjustRightInd w:val="0"/>
              <w:spacing w:line="240" w:lineRule="auto"/>
              <w:ind w:firstLine="0" w:firstLineChars="0"/>
              <w:jc w:val="left"/>
              <w:rPr>
                <w:rFonts w:ascii="仿宋" w:hAnsi="仿宋" w:eastAsia="仿宋" w:cs="宋体"/>
                <w:b w:val="0"/>
                <w:color w:val="000000"/>
                <w:sz w:val="22"/>
                <w:szCs w:val="22"/>
                <w:lang w:val="en-US"/>
              </w:rPr>
            </w:pPr>
            <w:r>
              <w:rPr>
                <w:rFonts w:hint="eastAsia" w:ascii="仿宋" w:hAnsi="仿宋" w:eastAsia="仿宋" w:cs="宋体"/>
                <w:b w:val="0"/>
                <w:color w:val="000000"/>
                <w:sz w:val="22"/>
                <w:szCs w:val="22"/>
                <w:lang w:val="en-US"/>
              </w:rPr>
              <w:t>民航行政机关法制职能部门收到案件承办部门提出的民用航空行政案件调查报告后，应当进行初步审查。对拟同意进行下列行政处罚的，应当在报民航行政机关作出行政处罚决定之前，按本办法附件七的规定制作《民用航空行政处罚听证告知书》，告知当事人有要求听证的权利；当事人要求组织听证的，民航行政机关应当组织听证：（一）不少于人民币30000元的罚款；（二）吊销经营许可证或者执照；（三）责令停产停业。民用航空行政处罚听证告知书应当由当事人或者当事人代表签字或者盖章。该告知书一式两份，一份送达当事人，一份归入民航行政机关案卷。 不属于本条第一款规定情形的，不组织听证，由法制职能部门提出行政处罚意见，报民航行政机关作出行政处罚决定。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351" w:type="pct"/>
            <w:vAlign w:val="center"/>
          </w:tcPr>
          <w:p>
            <w:pPr>
              <w:widowControl/>
              <w:adjustRightInd w:val="0"/>
              <w:spacing w:line="240" w:lineRule="auto"/>
              <w:ind w:firstLine="0" w:firstLineChars="0"/>
              <w:jc w:val="center"/>
              <w:rPr>
                <w:rFonts w:ascii="仿宋" w:hAnsi="仿宋" w:eastAsia="仿宋"/>
                <w:b w:val="0"/>
                <w:color w:val="000000"/>
                <w:sz w:val="22"/>
                <w:szCs w:val="22"/>
                <w:lang w:val="en-US"/>
              </w:rPr>
            </w:pPr>
            <w:r>
              <w:rPr>
                <w:rFonts w:ascii="仿宋" w:hAnsi="仿宋" w:eastAsia="仿宋"/>
                <w:b w:val="0"/>
                <w:color w:val="000000"/>
                <w:sz w:val="22"/>
                <w:szCs w:val="22"/>
                <w:lang w:val="en-US"/>
              </w:rPr>
              <w:t>30</w:t>
            </w:r>
          </w:p>
        </w:tc>
        <w:tc>
          <w:tcPr>
            <w:tcW w:w="555" w:type="pct"/>
            <w:vAlign w:val="center"/>
          </w:tcPr>
          <w:p>
            <w:pPr>
              <w:widowControl/>
              <w:adjustRightInd w:val="0"/>
              <w:spacing w:line="240" w:lineRule="auto"/>
              <w:ind w:firstLine="0" w:firstLineChars="0"/>
              <w:jc w:val="center"/>
              <w:rPr>
                <w:rFonts w:ascii="仿宋" w:hAnsi="仿宋" w:eastAsia="仿宋"/>
                <w:b w:val="0"/>
                <w:color w:val="000000"/>
                <w:sz w:val="22"/>
                <w:szCs w:val="22"/>
                <w:lang w:val="en-US"/>
              </w:rPr>
            </w:pPr>
            <w:r>
              <w:rPr>
                <w:rFonts w:hint="eastAsia" w:ascii="仿宋" w:hAnsi="仿宋" w:eastAsia="仿宋"/>
                <w:b w:val="0"/>
                <w:color w:val="000000"/>
                <w:sz w:val="22"/>
                <w:szCs w:val="22"/>
                <w:lang w:val="en-US"/>
              </w:rPr>
              <w:t>国家邮政局</w:t>
            </w:r>
          </w:p>
        </w:tc>
        <w:tc>
          <w:tcPr>
            <w:tcW w:w="827" w:type="pct"/>
            <w:vAlign w:val="center"/>
          </w:tcPr>
          <w:p>
            <w:pPr>
              <w:widowControl/>
              <w:adjustRightInd w:val="0"/>
              <w:spacing w:line="240" w:lineRule="auto"/>
              <w:ind w:firstLine="0" w:firstLineChars="0"/>
              <w:jc w:val="center"/>
              <w:rPr>
                <w:rFonts w:ascii="仿宋" w:hAnsi="仿宋" w:eastAsia="仿宋" w:cs="宋体"/>
                <w:b w:val="0"/>
                <w:color w:val="000000"/>
                <w:sz w:val="22"/>
                <w:szCs w:val="22"/>
                <w:lang w:val="en-US"/>
              </w:rPr>
            </w:pPr>
            <w:r>
              <w:rPr>
                <w:rFonts w:hint="eastAsia" w:ascii="仿宋" w:hAnsi="仿宋" w:eastAsia="仿宋" w:cs="宋体"/>
                <w:b w:val="0"/>
                <w:color w:val="000000"/>
                <w:sz w:val="22"/>
                <w:szCs w:val="22"/>
                <w:lang w:val="en-US"/>
              </w:rPr>
              <w:t>《邮政行政处罚程序规定》</w:t>
            </w:r>
          </w:p>
        </w:tc>
        <w:tc>
          <w:tcPr>
            <w:tcW w:w="752" w:type="pct"/>
            <w:gridSpan w:val="2"/>
            <w:vAlign w:val="center"/>
          </w:tcPr>
          <w:p>
            <w:pPr>
              <w:widowControl/>
              <w:adjustRightInd w:val="0"/>
              <w:spacing w:line="240" w:lineRule="auto"/>
              <w:ind w:firstLine="0" w:firstLineChars="0"/>
              <w:jc w:val="center"/>
              <w:rPr>
                <w:rFonts w:ascii="仿宋" w:hAnsi="仿宋" w:eastAsia="仿宋"/>
                <w:b w:val="0"/>
                <w:color w:val="000000"/>
                <w:sz w:val="22"/>
                <w:szCs w:val="22"/>
                <w:lang w:val="en-US"/>
              </w:rPr>
            </w:pPr>
            <w:r>
              <w:rPr>
                <w:rFonts w:hint="eastAsia" w:ascii="仿宋" w:hAnsi="仿宋" w:eastAsia="仿宋"/>
                <w:b w:val="0"/>
                <w:color w:val="000000"/>
                <w:sz w:val="22"/>
                <w:szCs w:val="22"/>
                <w:lang w:val="en-US"/>
              </w:rPr>
              <w:t>第四十二条</w:t>
            </w:r>
          </w:p>
        </w:tc>
        <w:tc>
          <w:tcPr>
            <w:tcW w:w="2514" w:type="pct"/>
            <w:vAlign w:val="center"/>
          </w:tcPr>
          <w:p>
            <w:pPr>
              <w:widowControl/>
              <w:adjustRightInd w:val="0"/>
              <w:spacing w:line="240" w:lineRule="auto"/>
              <w:ind w:firstLine="0" w:firstLineChars="0"/>
              <w:jc w:val="left"/>
              <w:rPr>
                <w:rFonts w:ascii="仿宋" w:hAnsi="仿宋" w:eastAsia="仿宋" w:cs="宋体"/>
                <w:b w:val="0"/>
                <w:color w:val="000000"/>
                <w:sz w:val="22"/>
                <w:szCs w:val="22"/>
                <w:lang w:val="en-US"/>
              </w:rPr>
            </w:pPr>
            <w:r>
              <w:rPr>
                <w:rFonts w:hint="eastAsia" w:ascii="仿宋" w:hAnsi="仿宋" w:eastAsia="仿宋" w:cs="宋体"/>
                <w:b w:val="0"/>
                <w:color w:val="000000"/>
                <w:sz w:val="22"/>
                <w:szCs w:val="22"/>
                <w:lang w:val="en-US"/>
              </w:rPr>
              <w:t>邮政管理部门作出下列行政处罚之一的，当事人有要求举行听证的权利：（一）责令停产停业的；（二）吊销许可证的；（三）较大数额罚款的；本条第一款所称较大数额，是指对公民罚款五千元以上，对法人或者其他组织罚款超过法定最高罚款数额的百分之五十且在三万元以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351" w:type="pct"/>
            <w:vAlign w:val="center"/>
          </w:tcPr>
          <w:p>
            <w:pPr>
              <w:widowControl/>
              <w:adjustRightInd w:val="0"/>
              <w:spacing w:line="240" w:lineRule="auto"/>
              <w:ind w:firstLine="0" w:firstLineChars="0"/>
              <w:jc w:val="center"/>
              <w:rPr>
                <w:rFonts w:ascii="仿宋" w:hAnsi="仿宋" w:eastAsia="仿宋"/>
                <w:b w:val="0"/>
                <w:color w:val="000000"/>
                <w:sz w:val="22"/>
                <w:szCs w:val="22"/>
                <w:lang w:val="en-US"/>
              </w:rPr>
            </w:pPr>
            <w:r>
              <w:rPr>
                <w:rFonts w:ascii="仿宋" w:hAnsi="仿宋" w:eastAsia="仿宋"/>
                <w:b w:val="0"/>
                <w:color w:val="000000"/>
                <w:sz w:val="22"/>
                <w:szCs w:val="22"/>
                <w:lang w:val="en-US"/>
              </w:rPr>
              <w:t>31</w:t>
            </w:r>
          </w:p>
        </w:tc>
        <w:tc>
          <w:tcPr>
            <w:tcW w:w="555" w:type="pct"/>
            <w:vAlign w:val="center"/>
          </w:tcPr>
          <w:p>
            <w:pPr>
              <w:widowControl/>
              <w:adjustRightInd w:val="0"/>
              <w:spacing w:line="240" w:lineRule="auto"/>
              <w:ind w:firstLine="0" w:firstLineChars="0"/>
              <w:jc w:val="center"/>
              <w:rPr>
                <w:rFonts w:ascii="仿宋" w:hAnsi="仿宋" w:eastAsia="仿宋"/>
                <w:b w:val="0"/>
                <w:color w:val="000000"/>
                <w:sz w:val="22"/>
                <w:szCs w:val="22"/>
                <w:lang w:val="en-US"/>
              </w:rPr>
            </w:pPr>
            <w:r>
              <w:rPr>
                <w:rFonts w:hint="eastAsia" w:ascii="仿宋" w:hAnsi="仿宋" w:eastAsia="仿宋"/>
                <w:b w:val="0"/>
                <w:color w:val="000000"/>
                <w:sz w:val="22"/>
                <w:szCs w:val="22"/>
                <w:lang w:val="en-US"/>
              </w:rPr>
              <w:t>国家档案局</w:t>
            </w:r>
          </w:p>
        </w:tc>
        <w:tc>
          <w:tcPr>
            <w:tcW w:w="827" w:type="pct"/>
            <w:vAlign w:val="center"/>
          </w:tcPr>
          <w:p>
            <w:pPr>
              <w:widowControl/>
              <w:adjustRightInd w:val="0"/>
              <w:spacing w:line="240" w:lineRule="auto"/>
              <w:ind w:firstLine="0" w:firstLineChars="0"/>
              <w:jc w:val="center"/>
              <w:rPr>
                <w:rFonts w:hint="eastAsia" w:ascii="仿宋" w:hAnsi="仿宋" w:eastAsia="仿宋" w:cs="宋体"/>
                <w:b w:val="0"/>
                <w:color w:val="000000"/>
                <w:sz w:val="22"/>
                <w:szCs w:val="22"/>
                <w:lang w:val="en-US"/>
              </w:rPr>
            </w:pPr>
            <w:r>
              <w:rPr>
                <w:rFonts w:hint="eastAsia" w:ascii="仿宋" w:hAnsi="仿宋" w:eastAsia="仿宋" w:cs="宋体"/>
                <w:b w:val="0"/>
                <w:color w:val="000000"/>
                <w:sz w:val="22"/>
                <w:szCs w:val="22"/>
                <w:lang w:val="en-US"/>
              </w:rPr>
              <w:t>《档案行政处罚程序暂行</w:t>
            </w:r>
          </w:p>
          <w:p>
            <w:pPr>
              <w:widowControl/>
              <w:adjustRightInd w:val="0"/>
              <w:spacing w:line="240" w:lineRule="auto"/>
              <w:ind w:firstLine="0" w:firstLineChars="0"/>
              <w:jc w:val="center"/>
              <w:rPr>
                <w:rFonts w:ascii="仿宋" w:hAnsi="仿宋" w:eastAsia="仿宋" w:cs="宋体"/>
                <w:b w:val="0"/>
                <w:color w:val="000000"/>
                <w:sz w:val="22"/>
                <w:szCs w:val="22"/>
                <w:lang w:val="en-US"/>
              </w:rPr>
            </w:pPr>
            <w:r>
              <w:rPr>
                <w:rFonts w:hint="eastAsia" w:ascii="仿宋" w:hAnsi="仿宋" w:eastAsia="仿宋" w:cs="宋体"/>
                <w:b w:val="0"/>
                <w:color w:val="000000"/>
                <w:sz w:val="22"/>
                <w:szCs w:val="22"/>
                <w:lang w:val="en-US"/>
              </w:rPr>
              <w:t>规定》</w:t>
            </w:r>
          </w:p>
        </w:tc>
        <w:tc>
          <w:tcPr>
            <w:tcW w:w="752" w:type="pct"/>
            <w:gridSpan w:val="2"/>
            <w:vAlign w:val="center"/>
          </w:tcPr>
          <w:p>
            <w:pPr>
              <w:widowControl/>
              <w:adjustRightInd w:val="0"/>
              <w:spacing w:line="240" w:lineRule="auto"/>
              <w:ind w:firstLine="0" w:firstLineChars="0"/>
              <w:jc w:val="center"/>
              <w:rPr>
                <w:rFonts w:ascii="仿宋" w:hAnsi="仿宋" w:eastAsia="仿宋"/>
                <w:b w:val="0"/>
                <w:color w:val="000000"/>
                <w:sz w:val="22"/>
                <w:szCs w:val="22"/>
                <w:lang w:val="en-US"/>
              </w:rPr>
            </w:pPr>
            <w:r>
              <w:rPr>
                <w:rFonts w:hint="eastAsia" w:ascii="仿宋" w:hAnsi="仿宋" w:eastAsia="仿宋"/>
                <w:b w:val="0"/>
                <w:color w:val="000000"/>
                <w:sz w:val="22"/>
                <w:szCs w:val="22"/>
                <w:lang w:val="en-US"/>
              </w:rPr>
              <w:t>第二十三条</w:t>
            </w:r>
          </w:p>
        </w:tc>
        <w:tc>
          <w:tcPr>
            <w:tcW w:w="2514" w:type="pct"/>
            <w:vAlign w:val="center"/>
          </w:tcPr>
          <w:p>
            <w:pPr>
              <w:widowControl/>
              <w:adjustRightInd w:val="0"/>
              <w:spacing w:line="240" w:lineRule="auto"/>
              <w:ind w:firstLine="0" w:firstLineChars="0"/>
              <w:jc w:val="left"/>
              <w:rPr>
                <w:rFonts w:ascii="仿宋" w:hAnsi="仿宋" w:eastAsia="仿宋" w:cs="宋体"/>
                <w:b w:val="0"/>
                <w:color w:val="000000"/>
                <w:sz w:val="22"/>
                <w:szCs w:val="22"/>
                <w:lang w:val="en-US"/>
              </w:rPr>
            </w:pPr>
            <w:r>
              <w:rPr>
                <w:rFonts w:hint="eastAsia" w:ascii="仿宋" w:hAnsi="仿宋" w:eastAsia="仿宋" w:cs="宋体"/>
                <w:b w:val="0"/>
                <w:color w:val="000000"/>
                <w:sz w:val="22"/>
                <w:szCs w:val="22"/>
                <w:lang w:val="en-US"/>
              </w:rPr>
              <w:t>档案行政管理部门作出对单位处以五万元以上罚款，对个人处以三千元以上罚款决定之前，应当告知当事人有要求举行听证的权利；当事人要求听证的，应当在被告知后三日内提出，档案行政管理部门应当组织听证。当事人不承担听证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jc w:val="center"/>
        </w:trPr>
        <w:tc>
          <w:tcPr>
            <w:tcW w:w="5000" w:type="pct"/>
            <w:gridSpan w:val="6"/>
            <w:vAlign w:val="center"/>
          </w:tcPr>
          <w:p>
            <w:pPr>
              <w:widowControl/>
              <w:adjustRightInd w:val="0"/>
              <w:spacing w:line="240" w:lineRule="auto"/>
              <w:ind w:firstLine="0" w:firstLineChars="0"/>
              <w:jc w:val="left"/>
              <w:rPr>
                <w:rFonts w:ascii="仿宋" w:hAnsi="仿宋" w:eastAsia="仿宋" w:cs="宋体"/>
                <w:bCs/>
                <w:color w:val="000000"/>
                <w:sz w:val="22"/>
                <w:szCs w:val="22"/>
                <w:lang w:val="en-US"/>
              </w:rPr>
            </w:pPr>
            <w:r>
              <w:rPr>
                <w:rFonts w:hint="eastAsia" w:ascii="仿宋" w:hAnsi="仿宋" w:eastAsia="仿宋" w:cs="宋体"/>
                <w:bCs/>
                <w:color w:val="000000"/>
                <w:sz w:val="22"/>
                <w:szCs w:val="22"/>
                <w:lang w:val="en-US"/>
              </w:rPr>
              <w:t>《四川省行政处罚听证程序暂行规定》：“本规定所称较大数额，是指对非经营活动中公民的违法行为处以罚款或者没收财产2000元以上、法人或者其他组织的违法行为处以罚款或者没收财产2万元以上；对在经营活动中的违法行为处以罚款或者没收财产5万元以上。国务院有关部门规定的较大数额标准低于前款规定的，从其规定。”</w:t>
            </w:r>
          </w:p>
        </w:tc>
      </w:tr>
      <w:bookmarkEnd w:id="899"/>
      <w:bookmarkEnd w:id="900"/>
      <w:bookmarkEnd w:id="901"/>
      <w:bookmarkEnd w:id="902"/>
    </w:tbl>
    <w:p>
      <w:pPr>
        <w:ind w:firstLine="0" w:firstLineChars="0"/>
        <w:rPr>
          <w:rFonts w:hint="eastAsia" w:ascii="仿宋" w:hAnsi="仿宋" w:eastAsia="仿宋"/>
        </w:rPr>
      </w:pPr>
    </w:p>
    <w:sectPr>
      <w:pgSz w:w="11906" w:h="16838"/>
      <w:pgMar w:top="1418" w:right="1134" w:bottom="1418" w:left="1701" w:header="907" w:footer="850" w:gutter="0"/>
      <w:cols w:space="720" w:num="1"/>
      <w:titlePg/>
      <w:docGrid w:type="lines" w:linePitch="43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Arial Narrow">
    <w:panose1 w:val="020B0606020202030204"/>
    <w:charset w:val="00"/>
    <w:family w:val="swiss"/>
    <w:pitch w:val="default"/>
    <w:sig w:usb0="00000287" w:usb1="00000800" w:usb2="00000000" w:usb3="00000000" w:csb0="2000009F" w:csb1="DFD70000"/>
  </w:font>
  <w:font w:name="Verdana">
    <w:panose1 w:val="020B0604030504040204"/>
    <w:charset w:val="00"/>
    <w:family w:val="swiss"/>
    <w:pitch w:val="default"/>
    <w:sig w:usb0="A00006FF" w:usb1="4000205B" w:usb2="0000001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华文仿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283" w:usb1="288F0000" w:usb2="0000000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Times New (W1)">
    <w:altName w:val="Times New Roman"/>
    <w:panose1 w:val="00000000000000000000"/>
    <w:charset w:val="00"/>
    <w:family w:val="auto"/>
    <w:pitch w:val="default"/>
    <w:sig w:usb0="00000000" w:usb1="00000000" w:usb2="00000008" w:usb3="00000000" w:csb0="000001FF" w:csb1="00000000"/>
  </w:font>
  <w:font w:name="Arial (W1)">
    <w:altName w:val="Arial"/>
    <w:panose1 w:val="00000000000000000000"/>
    <w:charset w:val="00"/>
    <w:family w:val="swiss"/>
    <w:pitch w:val="default"/>
    <w:sig w:usb0="00000000" w:usb1="00000000" w:usb2="00000008" w:usb3="00000000" w:csb0="000001FF" w:csb1="00000000"/>
  </w:font>
  <w:font w:name="华文中宋">
    <w:panose1 w:val="02010600040101010101"/>
    <w:charset w:val="86"/>
    <w:family w:val="auto"/>
    <w:pitch w:val="default"/>
    <w:sig w:usb0="00000287" w:usb1="080F0000" w:usb2="00000000" w:usb3="00000000" w:csb0="0004009F" w:csb1="DFD70000"/>
  </w:font>
  <w:font w:name="H Yg 2gj">
    <w:altName w:val="宋体"/>
    <w:panose1 w:val="00000000000000000000"/>
    <w:charset w:val="86"/>
    <w:family w:val="swiss"/>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ind w:firstLine="360"/>
      <w:rPr>
        <w:rStyle w:val="80"/>
        <w:rFonts w:hint="eastAsia"/>
      </w:rPr>
    </w:pPr>
    <w:r>
      <w:fldChar w:fldCharType="begin"/>
    </w:r>
    <w:r>
      <w:rPr>
        <w:rStyle w:val="80"/>
      </w:rPr>
      <w:instrText xml:space="preserve">PAGE  </w:instrText>
    </w:r>
    <w:r>
      <w:fldChar w:fldCharType="separate"/>
    </w:r>
    <w:r>
      <w:rPr>
        <w:rStyle w:val="80"/>
        <w:lang w:val="en-US" w:eastAsia="zh-CN"/>
      </w:rPr>
      <w:t>1</w:t>
    </w:r>
    <w:r>
      <w:fldChar w:fldCharType="end"/>
    </w:r>
  </w:p>
  <w:p>
    <w:pPr>
      <w:pStyle w:val="47"/>
      <w:ind w:firstLine="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ind w:firstLine="360"/>
      <w:rPr>
        <w:rStyle w:val="80"/>
      </w:rPr>
    </w:pPr>
    <w:r>
      <w:fldChar w:fldCharType="begin"/>
    </w:r>
    <w:r>
      <w:rPr>
        <w:rStyle w:val="80"/>
      </w:rPr>
      <w:instrText xml:space="preserve">PAGE  </w:instrText>
    </w:r>
    <w:r>
      <w:fldChar w:fldCharType="separate"/>
    </w:r>
    <w:r>
      <w:fldChar w:fldCharType="end"/>
    </w:r>
  </w:p>
  <w:p>
    <w:pPr>
      <w:pStyle w:val="4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ind w:firstLine="360"/>
    </w:pPr>
    <w:r>
      <w:pict>
        <v:shape id="文本框7" o:spid="_x0000_s2059" o:spt="202" type="#_x0000_t202" style="position:absolute;left:0pt;margin-top:0pt;height:18.1pt;width:31.55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47"/>
                  <w:ind w:firstLine="420"/>
                  <w:rPr>
                    <w:rStyle w:val="80"/>
                    <w:sz w:val="21"/>
                    <w:szCs w:val="21"/>
                  </w:rPr>
                </w:pPr>
                <w:r>
                  <w:rPr>
                    <w:sz w:val="21"/>
                    <w:szCs w:val="21"/>
                  </w:rPr>
                  <w:fldChar w:fldCharType="begin"/>
                </w:r>
                <w:r>
                  <w:rPr>
                    <w:rStyle w:val="80"/>
                    <w:sz w:val="21"/>
                    <w:szCs w:val="21"/>
                  </w:rPr>
                  <w:instrText xml:space="preserve">PAGE  </w:instrText>
                </w:r>
                <w:r>
                  <w:rPr>
                    <w:sz w:val="21"/>
                    <w:szCs w:val="21"/>
                  </w:rPr>
                  <w:fldChar w:fldCharType="separate"/>
                </w:r>
                <w:r>
                  <w:rPr>
                    <w:rStyle w:val="80"/>
                    <w:sz w:val="21"/>
                    <w:szCs w:val="21"/>
                  </w:rPr>
                  <w:t>84</w:t>
                </w:r>
                <w:r>
                  <w:rPr>
                    <w:sz w:val="21"/>
                    <w:szCs w:val="21"/>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ind w:firstLine="360"/>
      <w:rPr>
        <w:rStyle w:val="80"/>
      </w:rPr>
    </w:pPr>
    <w:r>
      <w:fldChar w:fldCharType="begin"/>
    </w:r>
    <w:r>
      <w:rPr>
        <w:rStyle w:val="80"/>
      </w:rPr>
      <w:instrText xml:space="preserve">PAGE  </w:instrText>
    </w:r>
    <w:r>
      <w:fldChar w:fldCharType="separate"/>
    </w:r>
    <w:r>
      <w:rPr>
        <w:rStyle w:val="80"/>
      </w:rPr>
      <w:t>80</w:t>
    </w:r>
    <w:r>
      <w:fldChar w:fldCharType="end"/>
    </w:r>
  </w:p>
  <w:p>
    <w:pPr>
      <w:pStyle w:val="47"/>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ind w:firstLine="420"/>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en-US" w:eastAsia="zh-CN"/>
      </w:rPr>
      <w:t>67</w:t>
    </w:r>
    <w:r>
      <w:rPr>
        <w:sz w:val="21"/>
        <w:szCs w:val="21"/>
      </w:rPr>
      <w:fldChar w:fldCharType="end"/>
    </w:r>
  </w:p>
  <w:p>
    <w:pPr>
      <w:pStyle w:val="47"/>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76"/>
      <w:tblW w:w="0" w:type="auto"/>
      <w:tblInd w:w="0" w:type="dxa"/>
      <w:tblBorders>
        <w:top w:val="none" w:color="auto" w:sz="0"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05"/>
      <w:gridCol w:w="5109"/>
      <w:gridCol w:w="3235"/>
    </w:tblGrid>
    <w:tr>
      <w:tblPrEx>
        <w:tblBorders>
          <w:top w:val="none" w:color="auto" w:sz="0" w:space="0"/>
          <w:left w:val="none" w:color="auto" w:sz="0" w:space="0"/>
          <w:bottom w:val="single" w:color="000000" w:sz="6" w:space="0"/>
          <w:right w:val="none" w:color="auto" w:sz="0" w:space="0"/>
          <w:insideH w:val="none" w:color="auto" w:sz="0" w:space="0"/>
          <w:insideV w:val="none" w:color="auto" w:sz="0" w:space="0"/>
        </w:tblBorders>
        <w:tblCellMar>
          <w:top w:w="0" w:type="dxa"/>
          <w:left w:w="108" w:type="dxa"/>
          <w:bottom w:w="0" w:type="dxa"/>
          <w:right w:w="108" w:type="dxa"/>
        </w:tblCellMar>
      </w:tblPrEx>
      <w:tc>
        <w:tcPr>
          <w:tcW w:w="705" w:type="dxa"/>
        </w:tcPr>
        <w:p>
          <w:pPr>
            <w:tabs>
              <w:tab w:val="center" w:pos="4153"/>
              <w:tab w:val="right" w:pos="8306"/>
            </w:tabs>
            <w:spacing w:line="240" w:lineRule="auto"/>
            <w:ind w:firstLine="0" w:firstLineChars="0"/>
            <w:jc w:val="left"/>
            <w:rPr>
              <w:rFonts w:hint="eastAsia" w:ascii="Times New Roman" w:hAnsi="Times New Roman"/>
              <w:b w:val="0"/>
              <w:color w:val="auto"/>
              <w:kern w:val="2"/>
              <w:sz w:val="18"/>
              <w:szCs w:val="20"/>
              <w:lang w:val="en-US"/>
            </w:rPr>
          </w:pPr>
          <w:r>
            <w:rPr>
              <w:rFonts w:ascii="Times New Roman" w:hAnsi="Times New Roman"/>
              <w:color w:val="auto"/>
              <w:kern w:val="2"/>
              <w:sz w:val="18"/>
              <w:szCs w:val="20"/>
              <w:lang w:val="en-US"/>
            </w:rPr>
            <w:drawing>
              <wp:inline distT="0" distB="0" distL="0" distR="0">
                <wp:extent cx="390525" cy="307975"/>
                <wp:effectExtent l="19050" t="0" r="9525" b="0"/>
                <wp:docPr id="2" name="图片 14"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4" descr="图片1"/>
                        <pic:cNvPicPr>
                          <a:picLocks noChangeAspect="1" noChangeArrowheads="1"/>
                        </pic:cNvPicPr>
                      </pic:nvPicPr>
                      <pic:blipFill>
                        <a:blip r:embed="rId1"/>
                        <a:srcRect/>
                        <a:stretch>
                          <a:fillRect/>
                        </a:stretch>
                      </pic:blipFill>
                      <pic:spPr>
                        <a:xfrm>
                          <a:off x="0" y="0"/>
                          <a:ext cx="390525" cy="307975"/>
                        </a:xfrm>
                        <a:prstGeom prst="rect">
                          <a:avLst/>
                        </a:prstGeom>
                        <a:noFill/>
                        <a:ln w="9525" cmpd="sng">
                          <a:noFill/>
                          <a:miter lim="800000"/>
                          <a:headEnd/>
                          <a:tailEnd/>
                        </a:ln>
                      </pic:spPr>
                    </pic:pic>
                  </a:graphicData>
                </a:graphic>
              </wp:inline>
            </w:drawing>
          </w:r>
        </w:p>
      </w:tc>
      <w:tc>
        <w:tcPr>
          <w:tcW w:w="5109" w:type="dxa"/>
        </w:tcPr>
        <w:p>
          <w:pPr>
            <w:tabs>
              <w:tab w:val="center" w:pos="4153"/>
              <w:tab w:val="right" w:pos="8306"/>
            </w:tabs>
            <w:adjustRightInd w:val="0"/>
            <w:spacing w:line="240" w:lineRule="auto"/>
            <w:ind w:firstLine="0" w:firstLineChars="0"/>
            <w:jc w:val="left"/>
            <w:rPr>
              <w:rFonts w:hint="eastAsia" w:ascii="隶书" w:hAnsi="Times New Roman" w:eastAsia="隶书"/>
              <w:color w:val="auto"/>
              <w:kern w:val="2"/>
              <w:sz w:val="24"/>
              <w:szCs w:val="24"/>
              <w:lang w:val="en-US"/>
            </w:rPr>
          </w:pPr>
          <w:r>
            <w:rPr>
              <w:rFonts w:hint="eastAsia" w:ascii="隶书" w:hAnsi="Times New Roman" w:eastAsia="隶书"/>
              <w:color w:val="auto"/>
              <w:kern w:val="2"/>
              <w:sz w:val="24"/>
              <w:szCs w:val="24"/>
              <w:lang w:val="en-US"/>
            </w:rPr>
            <w:t>四川中志招标代理有限公司</w:t>
          </w:r>
        </w:p>
        <w:p>
          <w:pPr>
            <w:tabs>
              <w:tab w:val="center" w:pos="4153"/>
              <w:tab w:val="right" w:pos="8306"/>
            </w:tabs>
            <w:adjustRightInd w:val="0"/>
            <w:spacing w:line="240" w:lineRule="auto"/>
            <w:ind w:firstLine="0" w:firstLineChars="0"/>
            <w:jc w:val="left"/>
            <w:rPr>
              <w:rFonts w:hint="eastAsia" w:ascii="黑体" w:hAnsi="黑体" w:eastAsia="黑体" w:cs="黑体"/>
              <w:b w:val="0"/>
              <w:color w:val="auto"/>
              <w:kern w:val="2"/>
              <w:sz w:val="18"/>
              <w:szCs w:val="20"/>
              <w:lang w:val="en-US"/>
            </w:rPr>
          </w:pPr>
          <w:r>
            <w:rPr>
              <w:rFonts w:hint="eastAsia" w:ascii="Cambria" w:hAnsi="黑体" w:eastAsia="黑体" w:cs="黑体"/>
              <w:color w:val="auto"/>
              <w:spacing w:val="2"/>
              <w:kern w:val="2"/>
              <w:sz w:val="14"/>
              <w:szCs w:val="14"/>
              <w:lang w:val="en-US"/>
            </w:rPr>
            <w:t>Sichuan Zhongzhi Tendering Agency Co., LTD.</w:t>
          </w:r>
          <w:r>
            <w:rPr>
              <w:rFonts w:hint="eastAsia" w:ascii="Cambria" w:hAnsi="黑体" w:eastAsia="黑体" w:cs="黑体"/>
              <w:color w:val="auto"/>
              <w:kern w:val="2"/>
              <w:sz w:val="18"/>
              <w:szCs w:val="18"/>
              <w:lang w:val="en-US"/>
            </w:rPr>
            <w:t xml:space="preserve">   </w:t>
          </w:r>
          <w:r>
            <w:rPr>
              <w:rFonts w:hint="eastAsia" w:ascii="Cambria" w:hAnsi="黑体" w:eastAsia="黑体" w:cs="黑体"/>
              <w:color w:val="auto"/>
              <w:kern w:val="2"/>
              <w:sz w:val="21"/>
              <w:szCs w:val="21"/>
              <w:lang w:val="en-US"/>
            </w:rPr>
            <w:t xml:space="preserve">                    </w:t>
          </w:r>
        </w:p>
      </w:tc>
      <w:tc>
        <w:tcPr>
          <w:tcW w:w="3235" w:type="dxa"/>
          <w:vAlign w:val="center"/>
        </w:tcPr>
        <w:p>
          <w:pPr>
            <w:tabs>
              <w:tab w:val="center" w:pos="4153"/>
              <w:tab w:val="right" w:pos="8306"/>
            </w:tabs>
            <w:adjustRightInd w:val="0"/>
            <w:spacing w:line="240" w:lineRule="auto"/>
            <w:ind w:firstLine="0" w:firstLineChars="0"/>
            <w:jc w:val="right"/>
            <w:rPr>
              <w:rFonts w:hint="eastAsia" w:ascii="Cambria" w:hAnsi="黑体" w:eastAsia="黑体" w:cs="黑体"/>
              <w:color w:val="auto"/>
              <w:kern w:val="2"/>
              <w:sz w:val="18"/>
              <w:szCs w:val="18"/>
              <w:lang w:val="en-US"/>
            </w:rPr>
          </w:pPr>
          <w:r>
            <w:rPr>
              <w:rFonts w:hint="eastAsia" w:ascii="黑体" w:hAnsi="黑体" w:eastAsia="黑体" w:cs="黑体"/>
              <w:b w:val="0"/>
              <w:bCs/>
              <w:color w:val="auto"/>
              <w:kern w:val="2"/>
              <w:sz w:val="21"/>
              <w:szCs w:val="21"/>
              <w:lang w:val="en-US"/>
            </w:rPr>
            <w:t>做精·做细·做强</w:t>
          </w:r>
        </w:p>
      </w:tc>
    </w:tr>
  </w:tbl>
  <w:p>
    <w:pPr>
      <w:pStyle w:val="49"/>
      <w:pBdr>
        <w:bottom w:val="none" w:color="auto" w:sz="0" w:space="1"/>
      </w:pBdr>
      <w:ind w:firstLine="40"/>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ind w:firstLine="360"/>
    </w:pPr>
    <w:r>
      <w:rPr>
        <w:rFonts w:hint="eastAsia"/>
      </w:rPr>
      <w:t>四川省工商行政管理局数据中心建设项目政府采购—招标文件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76"/>
      <w:tblW w:w="0" w:type="auto"/>
      <w:tblInd w:w="115" w:type="dxa"/>
      <w:tblBorders>
        <w:top w:val="none" w:color="auto" w:sz="0"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05"/>
      <w:gridCol w:w="5109"/>
      <w:gridCol w:w="3235"/>
    </w:tblGrid>
    <w:tr>
      <w:tblPrEx>
        <w:tblBorders>
          <w:top w:val="none" w:color="auto" w:sz="0" w:space="0"/>
          <w:left w:val="none" w:color="auto" w:sz="0" w:space="0"/>
          <w:bottom w:val="single" w:color="000000" w:sz="6" w:space="0"/>
          <w:right w:val="none" w:color="auto" w:sz="0" w:space="0"/>
          <w:insideH w:val="none" w:color="auto" w:sz="0" w:space="0"/>
          <w:insideV w:val="none" w:color="auto" w:sz="0" w:space="0"/>
        </w:tblBorders>
      </w:tblPrEx>
      <w:tc>
        <w:tcPr>
          <w:tcW w:w="705" w:type="dxa"/>
        </w:tcPr>
        <w:p>
          <w:pPr>
            <w:tabs>
              <w:tab w:val="center" w:pos="4153"/>
              <w:tab w:val="right" w:pos="8306"/>
            </w:tabs>
            <w:spacing w:line="240" w:lineRule="auto"/>
            <w:ind w:firstLine="0" w:firstLineChars="0"/>
            <w:jc w:val="left"/>
            <w:rPr>
              <w:rFonts w:hint="eastAsia" w:ascii="Times New Roman" w:hAnsi="Times New Roman"/>
              <w:b w:val="0"/>
              <w:color w:val="auto"/>
              <w:kern w:val="2"/>
              <w:sz w:val="18"/>
              <w:szCs w:val="20"/>
              <w:lang w:val="en-US"/>
            </w:rPr>
          </w:pPr>
          <w:r>
            <w:rPr>
              <w:rFonts w:ascii="Times New Roman" w:hAnsi="Times New Roman"/>
              <w:color w:val="auto"/>
              <w:kern w:val="2"/>
              <w:sz w:val="18"/>
              <w:szCs w:val="20"/>
              <w:lang w:val="en-US"/>
            </w:rPr>
            <w:drawing>
              <wp:inline distT="0" distB="0" distL="0" distR="0">
                <wp:extent cx="390525" cy="307975"/>
                <wp:effectExtent l="19050" t="0" r="9525" b="0"/>
                <wp:docPr id="1" name="图片 10"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 descr="图片1"/>
                        <pic:cNvPicPr>
                          <a:picLocks noChangeAspect="1" noChangeArrowheads="1"/>
                        </pic:cNvPicPr>
                      </pic:nvPicPr>
                      <pic:blipFill>
                        <a:blip r:embed="rId1"/>
                        <a:srcRect/>
                        <a:stretch>
                          <a:fillRect/>
                        </a:stretch>
                      </pic:blipFill>
                      <pic:spPr>
                        <a:xfrm>
                          <a:off x="0" y="0"/>
                          <a:ext cx="390525" cy="307975"/>
                        </a:xfrm>
                        <a:prstGeom prst="rect">
                          <a:avLst/>
                        </a:prstGeom>
                        <a:noFill/>
                        <a:ln w="9525" cmpd="sng">
                          <a:noFill/>
                          <a:miter lim="800000"/>
                          <a:headEnd/>
                          <a:tailEnd/>
                        </a:ln>
                      </pic:spPr>
                    </pic:pic>
                  </a:graphicData>
                </a:graphic>
              </wp:inline>
            </w:drawing>
          </w:r>
        </w:p>
      </w:tc>
      <w:tc>
        <w:tcPr>
          <w:tcW w:w="5109" w:type="dxa"/>
        </w:tcPr>
        <w:p>
          <w:pPr>
            <w:tabs>
              <w:tab w:val="center" w:pos="4153"/>
              <w:tab w:val="right" w:pos="8306"/>
            </w:tabs>
            <w:adjustRightInd w:val="0"/>
            <w:spacing w:line="240" w:lineRule="auto"/>
            <w:ind w:firstLine="0" w:firstLineChars="0"/>
            <w:jc w:val="left"/>
            <w:rPr>
              <w:rFonts w:hint="eastAsia" w:ascii="隶书" w:hAnsi="Times New Roman" w:eastAsia="隶书"/>
              <w:color w:val="auto"/>
              <w:kern w:val="2"/>
              <w:sz w:val="24"/>
              <w:szCs w:val="24"/>
              <w:lang w:val="en-US"/>
            </w:rPr>
          </w:pPr>
          <w:r>
            <w:rPr>
              <w:rFonts w:hint="eastAsia" w:ascii="隶书" w:hAnsi="Times New Roman" w:eastAsia="隶书"/>
              <w:color w:val="auto"/>
              <w:kern w:val="2"/>
              <w:sz w:val="24"/>
              <w:szCs w:val="24"/>
              <w:lang w:val="en-US"/>
            </w:rPr>
            <w:t>四川中志招标代理有限公司</w:t>
          </w:r>
        </w:p>
        <w:p>
          <w:pPr>
            <w:tabs>
              <w:tab w:val="center" w:pos="4153"/>
              <w:tab w:val="right" w:pos="8306"/>
            </w:tabs>
            <w:adjustRightInd w:val="0"/>
            <w:spacing w:line="240" w:lineRule="auto"/>
            <w:ind w:firstLine="0" w:firstLineChars="0"/>
            <w:jc w:val="left"/>
            <w:rPr>
              <w:rFonts w:hint="eastAsia" w:ascii="黑体" w:hAnsi="黑体" w:eastAsia="黑体" w:cs="黑体"/>
              <w:b w:val="0"/>
              <w:color w:val="auto"/>
              <w:kern w:val="2"/>
              <w:sz w:val="18"/>
              <w:szCs w:val="20"/>
              <w:lang w:val="en-US"/>
            </w:rPr>
          </w:pPr>
          <w:r>
            <w:rPr>
              <w:rFonts w:hint="eastAsia" w:ascii="Cambria" w:hAnsi="黑体" w:eastAsia="黑体" w:cs="黑体"/>
              <w:color w:val="auto"/>
              <w:spacing w:val="2"/>
              <w:kern w:val="2"/>
              <w:sz w:val="14"/>
              <w:szCs w:val="14"/>
              <w:lang w:val="en-US"/>
            </w:rPr>
            <w:t>Sichuan Zhongzhi Tendering Agency Co., LTD.</w:t>
          </w:r>
          <w:r>
            <w:rPr>
              <w:rFonts w:hint="eastAsia" w:ascii="Cambria" w:hAnsi="黑体" w:eastAsia="黑体" w:cs="黑体"/>
              <w:color w:val="auto"/>
              <w:kern w:val="2"/>
              <w:sz w:val="18"/>
              <w:szCs w:val="18"/>
              <w:lang w:val="en-US"/>
            </w:rPr>
            <w:t xml:space="preserve">   </w:t>
          </w:r>
          <w:r>
            <w:rPr>
              <w:rFonts w:hint="eastAsia" w:ascii="Cambria" w:hAnsi="黑体" w:eastAsia="黑体" w:cs="黑体"/>
              <w:color w:val="auto"/>
              <w:kern w:val="2"/>
              <w:sz w:val="21"/>
              <w:szCs w:val="21"/>
              <w:lang w:val="en-US"/>
            </w:rPr>
            <w:t xml:space="preserve">                    </w:t>
          </w:r>
        </w:p>
      </w:tc>
      <w:tc>
        <w:tcPr>
          <w:tcW w:w="3235" w:type="dxa"/>
          <w:vAlign w:val="center"/>
        </w:tcPr>
        <w:p>
          <w:pPr>
            <w:tabs>
              <w:tab w:val="center" w:pos="4153"/>
              <w:tab w:val="right" w:pos="8306"/>
            </w:tabs>
            <w:adjustRightInd w:val="0"/>
            <w:spacing w:line="240" w:lineRule="auto"/>
            <w:ind w:firstLine="0" w:firstLineChars="0"/>
            <w:jc w:val="right"/>
            <w:rPr>
              <w:rFonts w:hint="eastAsia" w:ascii="Cambria" w:hAnsi="黑体" w:eastAsia="黑体" w:cs="黑体"/>
              <w:color w:val="auto"/>
              <w:kern w:val="2"/>
              <w:sz w:val="18"/>
              <w:szCs w:val="18"/>
              <w:lang w:val="en-US"/>
            </w:rPr>
          </w:pPr>
          <w:r>
            <w:rPr>
              <w:rFonts w:hint="eastAsia" w:ascii="黑体" w:hAnsi="黑体" w:eastAsia="黑体" w:cs="黑体"/>
              <w:b w:val="0"/>
              <w:bCs/>
              <w:color w:val="auto"/>
              <w:kern w:val="2"/>
              <w:sz w:val="21"/>
              <w:szCs w:val="21"/>
              <w:lang w:val="en-US"/>
            </w:rPr>
            <w:t>做精·做细·做强</w:t>
          </w:r>
        </w:p>
      </w:tc>
    </w:tr>
  </w:tbl>
  <w:p>
    <w:pPr>
      <w:pBdr>
        <w:top w:val="none" w:color="auto" w:sz="0" w:space="1"/>
        <w:left w:val="none" w:color="auto" w:sz="0" w:space="4"/>
        <w:bottom w:val="none" w:color="auto" w:sz="0" w:space="1"/>
        <w:right w:val="none" w:color="auto" w:sz="0" w:space="4"/>
      </w:pBdr>
      <w:tabs>
        <w:tab w:val="center" w:pos="4153"/>
        <w:tab w:val="right" w:pos="8306"/>
      </w:tabs>
      <w:spacing w:line="240" w:lineRule="auto"/>
      <w:ind w:left="100" w:hanging="100" w:hangingChars="500"/>
      <w:jc w:val="left"/>
      <w:rPr>
        <w:rFonts w:hint="eastAsia" w:ascii="隶书" w:hAnsi="隶书" w:eastAsia="隶书" w:cs="隶书"/>
        <w:sz w:val="2"/>
        <w:szCs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2B60CA"/>
    <w:multiLevelType w:val="singleLevel"/>
    <w:tmpl w:val="822B60CA"/>
    <w:lvl w:ilvl="0" w:tentative="0">
      <w:start w:val="2"/>
      <w:numFmt w:val="chineseCounting"/>
      <w:suff w:val="nothing"/>
      <w:lvlText w:val="（%1）"/>
      <w:lvlJc w:val="left"/>
      <w:rPr>
        <w:rFonts w:hint="eastAsia"/>
      </w:rPr>
    </w:lvl>
  </w:abstractNum>
  <w:abstractNum w:abstractNumId="1">
    <w:nsid w:val="00000008"/>
    <w:multiLevelType w:val="multilevel"/>
    <w:tmpl w:val="00000008"/>
    <w:lvl w:ilvl="0" w:tentative="0">
      <w:start w:val="1"/>
      <w:numFmt w:val="bullet"/>
      <w:lvlText w:val=""/>
      <w:lvlJc w:val="left"/>
      <w:pPr>
        <w:tabs>
          <w:tab w:val="left" w:pos="928"/>
        </w:tabs>
        <w:ind w:left="928" w:hanging="420"/>
      </w:pPr>
      <w:rPr>
        <w:rFonts w:hint="default" w:ascii="Wingdings" w:hAnsi="Wingdings"/>
      </w:rPr>
    </w:lvl>
    <w:lvl w:ilvl="1" w:tentative="0">
      <w:start w:val="1"/>
      <w:numFmt w:val="decimal"/>
      <w:lvlText w:val="%2."/>
      <w:lvlJc w:val="left"/>
      <w:pPr>
        <w:tabs>
          <w:tab w:val="left" w:pos="1348"/>
        </w:tabs>
        <w:ind w:left="1348" w:hanging="420"/>
      </w:pPr>
      <w:rPr>
        <w:rFonts w:hint="default"/>
      </w:rPr>
    </w:lvl>
    <w:lvl w:ilvl="2" w:tentative="0">
      <w:start w:val="1"/>
      <w:numFmt w:val="decimal"/>
      <w:pStyle w:val="271"/>
      <w:lvlText w:val="%3."/>
      <w:lvlJc w:val="left"/>
      <w:pPr>
        <w:tabs>
          <w:tab w:val="left" w:pos="988"/>
        </w:tabs>
        <w:ind w:left="988" w:hanging="360"/>
      </w:pPr>
      <w:rPr>
        <w:rFonts w:hint="eastAsia"/>
      </w:rPr>
    </w:lvl>
    <w:lvl w:ilvl="3" w:tentative="0">
      <w:start w:val="1"/>
      <w:numFmt w:val="bullet"/>
      <w:lvlText w:val=""/>
      <w:lvlJc w:val="left"/>
      <w:pPr>
        <w:tabs>
          <w:tab w:val="left" w:pos="2188"/>
        </w:tabs>
        <w:ind w:left="2188" w:hanging="420"/>
      </w:pPr>
      <w:rPr>
        <w:rFonts w:hint="default" w:ascii="Wingdings" w:hAnsi="Wingdings"/>
      </w:rPr>
    </w:lvl>
    <w:lvl w:ilvl="4" w:tentative="0">
      <w:start w:val="1"/>
      <w:numFmt w:val="bullet"/>
      <w:lvlText w:val=""/>
      <w:lvlJc w:val="left"/>
      <w:pPr>
        <w:tabs>
          <w:tab w:val="left" w:pos="2608"/>
        </w:tabs>
        <w:ind w:left="2608" w:hanging="420"/>
      </w:pPr>
      <w:rPr>
        <w:rFonts w:hint="default" w:ascii="Wingdings" w:hAnsi="Wingdings"/>
      </w:rPr>
    </w:lvl>
    <w:lvl w:ilvl="5" w:tentative="0">
      <w:start w:val="1"/>
      <w:numFmt w:val="bullet"/>
      <w:lvlText w:val=""/>
      <w:lvlJc w:val="left"/>
      <w:pPr>
        <w:tabs>
          <w:tab w:val="left" w:pos="3028"/>
        </w:tabs>
        <w:ind w:left="3028" w:hanging="420"/>
      </w:pPr>
      <w:rPr>
        <w:rFonts w:hint="default" w:ascii="Wingdings" w:hAnsi="Wingdings"/>
      </w:rPr>
    </w:lvl>
    <w:lvl w:ilvl="6" w:tentative="0">
      <w:start w:val="1"/>
      <w:numFmt w:val="bullet"/>
      <w:lvlText w:val=""/>
      <w:lvlJc w:val="left"/>
      <w:pPr>
        <w:tabs>
          <w:tab w:val="left" w:pos="3448"/>
        </w:tabs>
        <w:ind w:left="3448" w:hanging="420"/>
      </w:pPr>
      <w:rPr>
        <w:rFonts w:hint="default" w:ascii="Wingdings" w:hAnsi="Wingdings"/>
      </w:rPr>
    </w:lvl>
    <w:lvl w:ilvl="7" w:tentative="0">
      <w:start w:val="1"/>
      <w:numFmt w:val="bullet"/>
      <w:lvlText w:val=""/>
      <w:lvlJc w:val="left"/>
      <w:pPr>
        <w:tabs>
          <w:tab w:val="left" w:pos="3868"/>
        </w:tabs>
        <w:ind w:left="3868" w:hanging="420"/>
      </w:pPr>
      <w:rPr>
        <w:rFonts w:hint="default" w:ascii="Wingdings" w:hAnsi="Wingdings"/>
      </w:rPr>
    </w:lvl>
    <w:lvl w:ilvl="8" w:tentative="0">
      <w:start w:val="1"/>
      <w:numFmt w:val="bullet"/>
      <w:lvlText w:val=""/>
      <w:lvlJc w:val="left"/>
      <w:pPr>
        <w:tabs>
          <w:tab w:val="left" w:pos="4288"/>
        </w:tabs>
        <w:ind w:left="4288" w:hanging="420"/>
      </w:pPr>
      <w:rPr>
        <w:rFonts w:hint="default" w:ascii="Wingdings" w:hAnsi="Wingdings"/>
      </w:rPr>
    </w:lvl>
  </w:abstractNum>
  <w:abstractNum w:abstractNumId="2">
    <w:nsid w:val="0000000A"/>
    <w:multiLevelType w:val="multilevel"/>
    <w:tmpl w:val="0000000A"/>
    <w:lvl w:ilvl="0" w:tentative="0">
      <w:start w:val="1"/>
      <w:numFmt w:val="upperLetter"/>
      <w:pStyle w:val="383"/>
      <w:suff w:val="nothing"/>
      <w:lvlText w:val="附　录　%1"/>
      <w:lvlJc w:val="left"/>
      <w:pPr>
        <w:ind w:left="0" w:firstLine="0"/>
      </w:pPr>
      <w:rPr>
        <w:rFonts w:hint="eastAsia" w:ascii="黑体" w:hAnsi="Times New Roman" w:eastAsia="黑体"/>
        <w:b w:val="0"/>
        <w:i w:val="0"/>
        <w:sz w:val="21"/>
      </w:rPr>
    </w:lvl>
    <w:lvl w:ilvl="1" w:tentative="0">
      <w:start w:val="1"/>
      <w:numFmt w:val="decimal"/>
      <w:pStyle w:val="287"/>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324"/>
      <w:suff w:val="nothing"/>
      <w:lvlText w:val="%1.%2.%3　"/>
      <w:lvlJc w:val="left"/>
      <w:pPr>
        <w:ind w:left="0" w:firstLine="0"/>
      </w:pPr>
      <w:rPr>
        <w:rFonts w:hint="eastAsia" w:ascii="黑体" w:hAnsi="Times New Roman" w:eastAsia="黑体"/>
        <w:b w:val="0"/>
        <w:i w:val="0"/>
        <w:sz w:val="21"/>
      </w:rPr>
    </w:lvl>
    <w:lvl w:ilvl="3" w:tentative="0">
      <w:start w:val="1"/>
      <w:numFmt w:val="decimal"/>
      <w:pStyle w:val="323"/>
      <w:suff w:val="nothing"/>
      <w:lvlText w:val="%1.%2.%3.%4　"/>
      <w:lvlJc w:val="left"/>
      <w:pPr>
        <w:ind w:left="0" w:firstLine="0"/>
      </w:pPr>
      <w:rPr>
        <w:rFonts w:hint="eastAsia" w:ascii="黑体" w:hAnsi="Times New Roman" w:eastAsia="黑体"/>
        <w:b w:val="0"/>
        <w:i w:val="0"/>
        <w:sz w:val="21"/>
      </w:rPr>
    </w:lvl>
    <w:lvl w:ilvl="4" w:tentative="0">
      <w:start w:val="1"/>
      <w:numFmt w:val="decimal"/>
      <w:pStyle w:val="450"/>
      <w:suff w:val="nothing"/>
      <w:lvlText w:val="%1.%2.%3.%4.%5　"/>
      <w:lvlJc w:val="left"/>
      <w:pPr>
        <w:ind w:left="0" w:firstLine="0"/>
      </w:pPr>
      <w:rPr>
        <w:rFonts w:hint="eastAsia" w:ascii="黑体" w:hAnsi="Times New Roman" w:eastAsia="黑体"/>
        <w:b w:val="0"/>
        <w:i w:val="0"/>
        <w:sz w:val="21"/>
      </w:rPr>
    </w:lvl>
    <w:lvl w:ilvl="5" w:tentative="0">
      <w:start w:val="1"/>
      <w:numFmt w:val="decimal"/>
      <w:pStyle w:val="480"/>
      <w:suff w:val="nothing"/>
      <w:lvlText w:val="%1.%2.%3.%4.%5.%6　"/>
      <w:lvlJc w:val="left"/>
      <w:pPr>
        <w:ind w:left="0" w:firstLine="0"/>
      </w:pPr>
      <w:rPr>
        <w:rFonts w:hint="eastAsia" w:ascii="黑体" w:hAnsi="Times New Roman" w:eastAsia="黑体"/>
        <w:b w:val="0"/>
        <w:i w:val="0"/>
        <w:sz w:val="21"/>
      </w:rPr>
    </w:lvl>
    <w:lvl w:ilvl="6" w:tentative="0">
      <w:start w:val="1"/>
      <w:numFmt w:val="decimal"/>
      <w:pStyle w:val="49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
    <w:nsid w:val="00000012"/>
    <w:multiLevelType w:val="multilevel"/>
    <w:tmpl w:val="00000012"/>
    <w:lvl w:ilvl="0" w:tentative="0">
      <w:start w:val="1"/>
      <w:numFmt w:val="decimal"/>
      <w:pStyle w:val="30"/>
      <w:suff w:val="nothing"/>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00000013"/>
    <w:multiLevelType w:val="multilevel"/>
    <w:tmpl w:val="00000013"/>
    <w:lvl w:ilvl="0" w:tentative="0">
      <w:start w:val="1"/>
      <w:numFmt w:val="decimal"/>
      <w:pStyle w:val="28"/>
      <w:suff w:val="nothing"/>
      <w:lvlText w:val="%1."/>
      <w:lvlJc w:val="left"/>
      <w:pPr>
        <w:ind w:left="988" w:hanging="420"/>
      </w:pPr>
      <w:rPr>
        <w:rFonts w:hint="eastAsia"/>
      </w:rPr>
    </w:lvl>
    <w:lvl w:ilvl="1" w:tentative="0">
      <w:start w:val="1"/>
      <w:numFmt w:val="decimal"/>
      <w:isLgl/>
      <w:lvlText w:val="%1.%2"/>
      <w:lvlJc w:val="left"/>
      <w:pPr>
        <w:ind w:left="1528" w:hanging="960"/>
      </w:pPr>
      <w:rPr>
        <w:rFonts w:hint="default"/>
      </w:rPr>
    </w:lvl>
    <w:lvl w:ilvl="2" w:tentative="0">
      <w:start w:val="1"/>
      <w:numFmt w:val="decimal"/>
      <w:isLgl/>
      <w:lvlText w:val="%1.%2.%3"/>
      <w:lvlJc w:val="left"/>
      <w:pPr>
        <w:ind w:left="1528" w:hanging="960"/>
      </w:pPr>
      <w:rPr>
        <w:rFonts w:hint="default"/>
      </w:rPr>
    </w:lvl>
    <w:lvl w:ilvl="3" w:tentative="0">
      <w:start w:val="1"/>
      <w:numFmt w:val="decimal"/>
      <w:isLgl/>
      <w:lvlText w:val="%1.%2.%3.%4"/>
      <w:lvlJc w:val="left"/>
      <w:pPr>
        <w:ind w:left="1648" w:hanging="1080"/>
      </w:pPr>
      <w:rPr>
        <w:rFonts w:hint="default"/>
      </w:rPr>
    </w:lvl>
    <w:lvl w:ilvl="4" w:tentative="0">
      <w:start w:val="1"/>
      <w:numFmt w:val="decimal"/>
      <w:isLgl/>
      <w:lvlText w:val="%1.%2.%3.%4.%5"/>
      <w:lvlJc w:val="left"/>
      <w:pPr>
        <w:ind w:left="1648" w:hanging="1080"/>
      </w:pPr>
      <w:rPr>
        <w:rFonts w:hint="default"/>
      </w:rPr>
    </w:lvl>
    <w:lvl w:ilvl="5" w:tentative="0">
      <w:start w:val="1"/>
      <w:numFmt w:val="decimal"/>
      <w:isLgl/>
      <w:lvlText w:val="%1.%2.%3.%4.%5.%6"/>
      <w:lvlJc w:val="left"/>
      <w:pPr>
        <w:ind w:left="2008" w:hanging="1440"/>
      </w:pPr>
      <w:rPr>
        <w:rFonts w:hint="default"/>
      </w:rPr>
    </w:lvl>
    <w:lvl w:ilvl="6" w:tentative="0">
      <w:start w:val="1"/>
      <w:numFmt w:val="decimal"/>
      <w:isLgl/>
      <w:lvlText w:val="%1.%2.%3.%4.%5.%6.%7"/>
      <w:lvlJc w:val="left"/>
      <w:pPr>
        <w:ind w:left="2368" w:hanging="1800"/>
      </w:pPr>
      <w:rPr>
        <w:rFonts w:hint="default"/>
      </w:rPr>
    </w:lvl>
    <w:lvl w:ilvl="7" w:tentative="0">
      <w:start w:val="1"/>
      <w:numFmt w:val="decimal"/>
      <w:isLgl/>
      <w:lvlText w:val="%1.%2.%3.%4.%5.%6.%7.%8"/>
      <w:lvlJc w:val="left"/>
      <w:pPr>
        <w:ind w:left="2368" w:hanging="1800"/>
      </w:pPr>
      <w:rPr>
        <w:rFonts w:hint="default"/>
      </w:rPr>
    </w:lvl>
    <w:lvl w:ilvl="8" w:tentative="0">
      <w:start w:val="1"/>
      <w:numFmt w:val="decimal"/>
      <w:isLgl/>
      <w:lvlText w:val="%1.%2.%3.%4.%5.%6.%7.%8.%9"/>
      <w:lvlJc w:val="left"/>
      <w:pPr>
        <w:ind w:left="2728" w:hanging="2160"/>
      </w:pPr>
      <w:rPr>
        <w:rFonts w:hint="default"/>
      </w:rPr>
    </w:lvl>
  </w:abstractNum>
  <w:abstractNum w:abstractNumId="5">
    <w:nsid w:val="00000016"/>
    <w:multiLevelType w:val="multilevel"/>
    <w:tmpl w:val="00000016"/>
    <w:lvl w:ilvl="0" w:tentative="0">
      <w:start w:val="1"/>
      <w:numFmt w:val="chineseCountingThousand"/>
      <w:lvlText w:val="第%1章"/>
      <w:lvlJc w:val="left"/>
      <w:pPr>
        <w:ind w:left="397" w:hanging="397"/>
      </w:pPr>
      <w:rPr>
        <w:rFonts w:hint="eastAsia" w:cs="Times New Roman"/>
        <w:sz w:val="28"/>
        <w:szCs w:val="28"/>
      </w:rPr>
    </w:lvl>
    <w:lvl w:ilvl="1" w:tentative="0">
      <w:start w:val="1"/>
      <w:numFmt w:val="decimal"/>
      <w:pStyle w:val="597"/>
      <w:isLgl/>
      <w:lvlText w:val="%1.%2"/>
      <w:lvlJc w:val="left"/>
      <w:pPr>
        <w:ind w:left="397" w:hanging="397"/>
      </w:pPr>
    </w:lvl>
    <w:lvl w:ilvl="2" w:tentative="0">
      <w:start w:val="1"/>
      <w:numFmt w:val="chineseCountingThousand"/>
      <w:lvlText w:val="%3、"/>
      <w:lvlJc w:val="left"/>
      <w:pPr>
        <w:tabs>
          <w:tab w:val="left" w:pos="851"/>
        </w:tabs>
        <w:ind w:left="397" w:hanging="397"/>
      </w:pPr>
      <w:rPr>
        <w:rFonts w:hint="eastAsia"/>
        <w:b w:val="0"/>
        <w:bCs w:val="0"/>
        <w:i w:val="0"/>
        <w:iCs w:val="0"/>
        <w:caps w:val="0"/>
        <w:smallCaps w:val="0"/>
        <w:strike w:val="0"/>
        <w:dstrike w:val="0"/>
        <w:outline w:val="0"/>
        <w:shadow w:val="0"/>
        <w:emboss w:val="0"/>
        <w:imprint w:val="0"/>
        <w:vanish w:val="0"/>
        <w:spacing w:val="0"/>
        <w:position w:val="0"/>
        <w:u w:val="none"/>
        <w:vertAlign w:val="baseline"/>
      </w:rPr>
    </w:lvl>
    <w:lvl w:ilvl="3" w:tentative="0">
      <w:start w:val="1"/>
      <w:numFmt w:val="decimal"/>
      <w:pStyle w:val="301"/>
      <w:isLgl/>
      <w:lvlText w:val="%1.%2.%3.%4"/>
      <w:lvlJc w:val="left"/>
      <w:pPr>
        <w:tabs>
          <w:tab w:val="left" w:pos="1276"/>
        </w:tabs>
        <w:ind w:left="397" w:hanging="397"/>
      </w:pPr>
      <w:rPr>
        <w:rFonts w:hint="eastAsia" w:cs="Times New Roman"/>
      </w:rPr>
    </w:lvl>
    <w:lvl w:ilvl="4" w:tentative="0">
      <w:start w:val="1"/>
      <w:numFmt w:val="decimal"/>
      <w:lvlText w:val="%1.%2.%3.%4.%5"/>
      <w:lvlJc w:val="left"/>
      <w:pPr>
        <w:ind w:left="2551" w:hanging="850"/>
      </w:pPr>
      <w:rPr>
        <w:rFonts w:hint="eastAsia" w:cs="Times New Roman"/>
      </w:rPr>
    </w:lvl>
    <w:lvl w:ilvl="5" w:tentative="0">
      <w:start w:val="1"/>
      <w:numFmt w:val="decimal"/>
      <w:lvlText w:val="%1.%2.%3.%4.%5.%6"/>
      <w:lvlJc w:val="left"/>
      <w:pPr>
        <w:ind w:left="3260" w:hanging="1134"/>
      </w:pPr>
      <w:rPr>
        <w:rFonts w:hint="eastAsia" w:cs="Times New Roman"/>
      </w:rPr>
    </w:lvl>
    <w:lvl w:ilvl="6" w:tentative="0">
      <w:start w:val="1"/>
      <w:numFmt w:val="decimal"/>
      <w:lvlText w:val="%1.%2.%3.%4.%5.%6.%7"/>
      <w:lvlJc w:val="left"/>
      <w:pPr>
        <w:ind w:left="3827" w:hanging="1276"/>
      </w:pPr>
      <w:rPr>
        <w:rFonts w:hint="eastAsia" w:cs="Times New Roman"/>
      </w:rPr>
    </w:lvl>
    <w:lvl w:ilvl="7" w:tentative="0">
      <w:start w:val="1"/>
      <w:numFmt w:val="decimal"/>
      <w:lvlText w:val="%1.%2.%3.%4.%5.%6.%7.%8"/>
      <w:lvlJc w:val="left"/>
      <w:pPr>
        <w:ind w:left="4394" w:hanging="1418"/>
      </w:pPr>
      <w:rPr>
        <w:rFonts w:hint="eastAsia" w:cs="Times New Roman"/>
      </w:rPr>
    </w:lvl>
    <w:lvl w:ilvl="8" w:tentative="0">
      <w:start w:val="1"/>
      <w:numFmt w:val="decimal"/>
      <w:lvlText w:val="%1.%2.%3.%4.%5.%6.%7.%8.%9"/>
      <w:lvlJc w:val="left"/>
      <w:pPr>
        <w:ind w:left="5102" w:hanging="1700"/>
      </w:pPr>
      <w:rPr>
        <w:rFonts w:hint="eastAsia" w:cs="Times New Roman"/>
      </w:rPr>
    </w:lvl>
  </w:abstractNum>
  <w:abstractNum w:abstractNumId="6">
    <w:nsid w:val="00000018"/>
    <w:multiLevelType w:val="multilevel"/>
    <w:tmpl w:val="00000018"/>
    <w:lvl w:ilvl="0" w:tentative="0">
      <w:start w:val="1"/>
      <w:numFmt w:val="decimal"/>
      <w:lvlText w:val="%1."/>
      <w:lvlJc w:val="left"/>
      <w:pPr>
        <w:tabs>
          <w:tab w:val="left" w:pos="1680"/>
        </w:tabs>
        <w:ind w:left="1680" w:hanging="420"/>
      </w:pPr>
    </w:lvl>
    <w:lvl w:ilvl="1" w:tentative="0">
      <w:start w:val="1"/>
      <w:numFmt w:val="lowerLetter"/>
      <w:pStyle w:val="355"/>
      <w:lvlText w:val="%2)"/>
      <w:lvlJc w:val="left"/>
      <w:pPr>
        <w:tabs>
          <w:tab w:val="left" w:pos="2100"/>
        </w:tabs>
        <w:ind w:left="2100" w:hanging="420"/>
      </w:pPr>
    </w:lvl>
    <w:lvl w:ilvl="2" w:tentative="0">
      <w:start w:val="1"/>
      <w:numFmt w:val="lowerRoman"/>
      <w:lvlText w:val="%3."/>
      <w:lvlJc w:val="right"/>
      <w:pPr>
        <w:tabs>
          <w:tab w:val="left" w:pos="2520"/>
        </w:tabs>
        <w:ind w:left="2520" w:hanging="420"/>
      </w:pPr>
    </w:lvl>
    <w:lvl w:ilvl="3" w:tentative="0">
      <w:start w:val="1"/>
      <w:numFmt w:val="decimal"/>
      <w:lvlText w:val="%4."/>
      <w:lvlJc w:val="left"/>
      <w:pPr>
        <w:tabs>
          <w:tab w:val="left" w:pos="2940"/>
        </w:tabs>
        <w:ind w:left="2940" w:hanging="420"/>
      </w:pPr>
    </w:lvl>
    <w:lvl w:ilvl="4" w:tentative="0">
      <w:start w:val="1"/>
      <w:numFmt w:val="lowerLetter"/>
      <w:lvlText w:val="%5)"/>
      <w:lvlJc w:val="left"/>
      <w:pPr>
        <w:tabs>
          <w:tab w:val="left" w:pos="3360"/>
        </w:tabs>
        <w:ind w:left="3360" w:hanging="420"/>
      </w:pPr>
    </w:lvl>
    <w:lvl w:ilvl="5" w:tentative="0">
      <w:start w:val="1"/>
      <w:numFmt w:val="lowerRoman"/>
      <w:lvlText w:val="%6."/>
      <w:lvlJc w:val="right"/>
      <w:pPr>
        <w:tabs>
          <w:tab w:val="left" w:pos="3780"/>
        </w:tabs>
        <w:ind w:left="3780" w:hanging="420"/>
      </w:pPr>
    </w:lvl>
    <w:lvl w:ilvl="6" w:tentative="0">
      <w:start w:val="1"/>
      <w:numFmt w:val="decimal"/>
      <w:lvlText w:val="%7."/>
      <w:lvlJc w:val="left"/>
      <w:pPr>
        <w:tabs>
          <w:tab w:val="left" w:pos="4200"/>
        </w:tabs>
        <w:ind w:left="4200" w:hanging="420"/>
      </w:pPr>
    </w:lvl>
    <w:lvl w:ilvl="7" w:tentative="0">
      <w:start w:val="1"/>
      <w:numFmt w:val="lowerLetter"/>
      <w:lvlText w:val="%8)"/>
      <w:lvlJc w:val="left"/>
      <w:pPr>
        <w:tabs>
          <w:tab w:val="left" w:pos="4620"/>
        </w:tabs>
        <w:ind w:left="4620" w:hanging="420"/>
      </w:pPr>
    </w:lvl>
    <w:lvl w:ilvl="8" w:tentative="0">
      <w:start w:val="1"/>
      <w:numFmt w:val="lowerRoman"/>
      <w:lvlText w:val="%9."/>
      <w:lvlJc w:val="right"/>
      <w:pPr>
        <w:tabs>
          <w:tab w:val="left" w:pos="5040"/>
        </w:tabs>
        <w:ind w:left="5040" w:hanging="420"/>
      </w:pPr>
    </w:lvl>
  </w:abstractNum>
  <w:abstractNum w:abstractNumId="7">
    <w:nsid w:val="0000001C"/>
    <w:multiLevelType w:val="singleLevel"/>
    <w:tmpl w:val="0000001C"/>
    <w:lvl w:ilvl="0" w:tentative="0">
      <w:start w:val="1"/>
      <w:numFmt w:val="bullet"/>
      <w:pStyle w:val="315"/>
      <w:lvlText w:val=""/>
      <w:lvlJc w:val="left"/>
      <w:pPr>
        <w:tabs>
          <w:tab w:val="left" w:pos="737"/>
        </w:tabs>
        <w:ind w:left="737" w:hanging="453"/>
      </w:pPr>
      <w:rPr>
        <w:rFonts w:hint="default" w:ascii="Wingdings" w:hAnsi="Wingdings"/>
      </w:rPr>
    </w:lvl>
  </w:abstractNum>
  <w:abstractNum w:abstractNumId="8">
    <w:nsid w:val="00000022"/>
    <w:multiLevelType w:val="multilevel"/>
    <w:tmpl w:val="00000022"/>
    <w:lvl w:ilvl="0" w:tentative="0">
      <w:start w:val="1"/>
      <w:numFmt w:val="decimal"/>
      <w:lvlText w:val="第%1章"/>
      <w:lvlJc w:val="left"/>
      <w:pPr>
        <w:ind w:left="3119" w:hanging="425"/>
      </w:pPr>
      <w:rPr>
        <w:rFonts w:hint="default" w:ascii="Times New Roman" w:hAnsi="Times New Roman" w:eastAsia="宋体"/>
        <w:b/>
        <w:i w:val="0"/>
        <w:sz w:val="32"/>
        <w:szCs w:val="32"/>
      </w:rPr>
    </w:lvl>
    <w:lvl w:ilvl="1" w:tentative="0">
      <w:start w:val="1"/>
      <w:numFmt w:val="decimal"/>
      <w:suff w:val="nothing"/>
      <w:lvlText w:val="%1.%2"/>
      <w:lvlJc w:val="left"/>
      <w:pPr>
        <w:ind w:left="851" w:hanging="567"/>
      </w:pPr>
      <w:rPr>
        <w:rFonts w:hint="default" w:ascii="Times New Roman" w:hAnsi="Times New Roman" w:eastAsia="宋体"/>
        <w:b/>
        <w:i w:val="0"/>
        <w:color w:val="auto"/>
        <w:sz w:val="28"/>
        <w:szCs w:val="28"/>
      </w:rPr>
    </w:lvl>
    <w:lvl w:ilvl="2" w:tentative="0">
      <w:start w:val="1"/>
      <w:numFmt w:val="decimal"/>
      <w:suff w:val="space"/>
      <w:lvlText w:val="%1.%2.%3"/>
      <w:lvlJc w:val="left"/>
      <w:pPr>
        <w:ind w:left="851" w:hanging="567"/>
      </w:pPr>
      <w:rPr>
        <w:rFonts w:hint="default" w:ascii="Times New Roman" w:hAnsi="Times New Roman" w:cs="Times New Roman"/>
        <w:b/>
        <w:i w:val="0"/>
        <w:sz w:val="24"/>
        <w:szCs w:val="24"/>
      </w:rPr>
    </w:lvl>
    <w:lvl w:ilvl="3" w:tentative="0">
      <w:start w:val="1"/>
      <w:numFmt w:val="decimal"/>
      <w:suff w:val="nothing"/>
      <w:lvlText w:val="%1.%2.%3.%4"/>
      <w:lvlJc w:val="left"/>
      <w:pPr>
        <w:ind w:left="1701" w:hanging="1417"/>
      </w:pPr>
      <w:rPr>
        <w:rFonts w:hint="default" w:ascii="Times New Roman" w:hAnsi="Times New Roman" w:eastAsia="宋体" w:cs="Calibri"/>
        <w:b/>
        <w:sz w:val="24"/>
        <w:szCs w:val="28"/>
      </w:rPr>
    </w:lvl>
    <w:lvl w:ilvl="4" w:tentative="0">
      <w:start w:val="1"/>
      <w:numFmt w:val="decimal"/>
      <w:pStyle w:val="338"/>
      <w:lvlText w:val="%1.%2.%3.%4.%5"/>
      <w:lvlJc w:val="left"/>
      <w:pPr>
        <w:ind w:left="2551" w:hanging="850"/>
      </w:pPr>
      <w:rPr>
        <w:rFonts w:hint="default" w:ascii="Times New Roman" w:hAnsi="Times New Roman" w:cs="Times New Roman"/>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9">
    <w:nsid w:val="00000023"/>
    <w:multiLevelType w:val="multilevel"/>
    <w:tmpl w:val="00000023"/>
    <w:lvl w:ilvl="0" w:tentative="0">
      <w:start w:val="1"/>
      <w:numFmt w:val="decimal"/>
      <w:pStyle w:val="519"/>
      <w:suff w:val="nothing"/>
      <w:lvlText w:val="%1."/>
      <w:lvlJc w:val="left"/>
      <w:pPr>
        <w:ind w:left="1413"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0">
    <w:nsid w:val="00000024"/>
    <w:multiLevelType w:val="multilevel"/>
    <w:tmpl w:val="00000024"/>
    <w:lvl w:ilvl="0" w:tentative="0">
      <w:start w:val="1"/>
      <w:numFmt w:val="chineseCountingThousand"/>
      <w:pStyle w:val="592"/>
      <w:lvlText w:val="第%1章."/>
      <w:lvlJc w:val="left"/>
      <w:pPr>
        <w:tabs>
          <w:tab w:val="left" w:pos="1145"/>
        </w:tabs>
        <w:ind w:left="1145" w:hanging="425"/>
      </w:pPr>
      <w:rPr>
        <w:rFonts w:hint="eastAsia" w:eastAsia="黑体"/>
        <w:color w:val="auto"/>
      </w:rPr>
    </w:lvl>
    <w:lvl w:ilvl="1" w:tentative="0">
      <w:start w:val="1"/>
      <w:numFmt w:val="decimal"/>
      <w:isLgl/>
      <w:lvlText w:val="%1.%2."/>
      <w:lvlJc w:val="left"/>
      <w:pPr>
        <w:tabs>
          <w:tab w:val="left" w:pos="567"/>
        </w:tabs>
        <w:ind w:left="567" w:hanging="567"/>
      </w:pPr>
      <w:rPr>
        <w:rFonts w:hint="eastAsia" w:ascii="黑体" w:eastAsia="黑体"/>
        <w:b/>
        <w:sz w:val="32"/>
        <w:szCs w:val="32"/>
      </w:rPr>
    </w:lvl>
    <w:lvl w:ilvl="2" w:tentative="0">
      <w:start w:val="1"/>
      <w:numFmt w:val="decimal"/>
      <w:pStyle w:val="141"/>
      <w:isLgl/>
      <w:lvlText w:val="%1.%2.%3."/>
      <w:lvlJc w:val="left"/>
      <w:pPr>
        <w:tabs>
          <w:tab w:val="left" w:pos="889"/>
        </w:tabs>
        <w:ind w:left="889" w:hanging="709"/>
      </w:pPr>
      <w:rPr>
        <w:color w:val="auto"/>
        <w:lang w:eastAsia="zh-CN"/>
      </w:rPr>
    </w:lvl>
    <w:lvl w:ilvl="3" w:tentative="0">
      <w:start w:val="1"/>
      <w:numFmt w:val="decimal"/>
      <w:pStyle w:val="185"/>
      <w:isLgl/>
      <w:lvlText w:val="%1.%2.%3.%4."/>
      <w:lvlJc w:val="left"/>
      <w:pPr>
        <w:tabs>
          <w:tab w:val="left" w:pos="1211"/>
        </w:tabs>
        <w:ind w:left="1211" w:hanging="851"/>
      </w:pPr>
      <w:rPr>
        <w:rFonts w:hint="eastAsia" w:ascii="宋体" w:hAnsi="宋体" w:eastAsia="宋体"/>
      </w:rPr>
    </w:lvl>
    <w:lvl w:ilvl="4" w:tentative="0">
      <w:start w:val="1"/>
      <w:numFmt w:val="decimal"/>
      <w:isLgl/>
      <w:lvlText w:val="%1.%2.%3.%4.%5."/>
      <w:lvlJc w:val="left"/>
      <w:pPr>
        <w:tabs>
          <w:tab w:val="left" w:pos="992"/>
        </w:tabs>
        <w:ind w:left="992" w:hanging="992"/>
      </w:pPr>
      <w:rPr>
        <w:rFonts w:hint="eastAsia"/>
      </w:rPr>
    </w:lvl>
    <w:lvl w:ilvl="5" w:tentative="0">
      <w:start w:val="1"/>
      <w:numFmt w:val="decimal"/>
      <w:isLg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1">
    <w:nsid w:val="00000027"/>
    <w:multiLevelType w:val="multilevel"/>
    <w:tmpl w:val="00000027"/>
    <w:lvl w:ilvl="0" w:tentative="0">
      <w:start w:val="1"/>
      <w:numFmt w:val="chineseCountingThousand"/>
      <w:suff w:val="nothing"/>
      <w:lvlText w:val="%1、"/>
      <w:lvlJc w:val="left"/>
      <w:pPr>
        <w:ind w:left="987" w:hanging="420"/>
      </w:pPr>
      <w:rPr>
        <w:rFonts w:hint="eastAsia"/>
        <w:b/>
        <w:color w:val="auto"/>
        <w:lang w:val="en-US"/>
      </w:rPr>
    </w:lvl>
    <w:lvl w:ilvl="1" w:tentative="0">
      <w:start w:val="1"/>
      <w:numFmt w:val="decimal"/>
      <w:lvlText w:val="%2、"/>
      <w:lvlJc w:val="left"/>
      <w:pPr>
        <w:ind w:left="2256" w:hanging="1125"/>
      </w:pPr>
      <w:rPr>
        <w:rFonts w:hint="default"/>
      </w:rPr>
    </w:lvl>
    <w:lvl w:ilvl="2" w:tentative="0">
      <w:start w:val="1"/>
      <w:numFmt w:val="lowerRoman"/>
      <w:lvlText w:val="%3."/>
      <w:lvlJc w:val="right"/>
      <w:pPr>
        <w:ind w:left="1971" w:hanging="420"/>
      </w:pPr>
    </w:lvl>
    <w:lvl w:ilvl="3" w:tentative="0">
      <w:start w:val="1"/>
      <w:numFmt w:val="decimal"/>
      <w:lvlText w:val="%4."/>
      <w:lvlJc w:val="left"/>
      <w:pPr>
        <w:ind w:left="2391" w:hanging="420"/>
      </w:pPr>
    </w:lvl>
    <w:lvl w:ilvl="4" w:tentative="0">
      <w:start w:val="1"/>
      <w:numFmt w:val="lowerLetter"/>
      <w:lvlText w:val="%5)"/>
      <w:lvlJc w:val="left"/>
      <w:pPr>
        <w:ind w:left="2811" w:hanging="420"/>
      </w:pPr>
    </w:lvl>
    <w:lvl w:ilvl="5" w:tentative="0">
      <w:start w:val="1"/>
      <w:numFmt w:val="lowerRoman"/>
      <w:lvlText w:val="%6."/>
      <w:lvlJc w:val="right"/>
      <w:pPr>
        <w:ind w:left="3231" w:hanging="420"/>
      </w:pPr>
    </w:lvl>
    <w:lvl w:ilvl="6" w:tentative="0">
      <w:start w:val="1"/>
      <w:numFmt w:val="decimal"/>
      <w:lvlText w:val="%7."/>
      <w:lvlJc w:val="left"/>
      <w:pPr>
        <w:ind w:left="3651" w:hanging="420"/>
      </w:pPr>
    </w:lvl>
    <w:lvl w:ilvl="7" w:tentative="0">
      <w:start w:val="1"/>
      <w:numFmt w:val="lowerLetter"/>
      <w:lvlText w:val="%8)"/>
      <w:lvlJc w:val="left"/>
      <w:pPr>
        <w:ind w:left="4071" w:hanging="420"/>
      </w:pPr>
    </w:lvl>
    <w:lvl w:ilvl="8" w:tentative="0">
      <w:start w:val="1"/>
      <w:numFmt w:val="lowerRoman"/>
      <w:lvlText w:val="%9."/>
      <w:lvlJc w:val="right"/>
      <w:pPr>
        <w:ind w:left="4491" w:hanging="420"/>
      </w:pPr>
    </w:lvl>
  </w:abstractNum>
  <w:abstractNum w:abstractNumId="12">
    <w:nsid w:val="00000029"/>
    <w:multiLevelType w:val="multilevel"/>
    <w:tmpl w:val="00000029"/>
    <w:lvl w:ilvl="0" w:tentative="0">
      <w:start w:val="1"/>
      <w:numFmt w:val="decimal"/>
      <w:suff w:val="nothing"/>
      <w:lvlText w:val="%1."/>
      <w:lvlJc w:val="left"/>
      <w:pPr>
        <w:ind w:left="1413" w:hanging="420"/>
      </w:pPr>
      <w:rPr>
        <w:rFonts w:hint="eastAsia"/>
      </w:rPr>
    </w:lvl>
    <w:lvl w:ilvl="1" w:tentative="0">
      <w:start w:val="1"/>
      <w:numFmt w:val="lowerLetter"/>
      <w:pStyle w:val="261"/>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3">
    <w:nsid w:val="0000002B"/>
    <w:multiLevelType w:val="multilevel"/>
    <w:tmpl w:val="0000002B"/>
    <w:lvl w:ilvl="0" w:tentative="0">
      <w:start w:val="1"/>
      <w:numFmt w:val="decimal"/>
      <w:pStyle w:val="16"/>
      <w:lvlText w:val="%1."/>
      <w:lvlJc w:val="left"/>
      <w:pPr>
        <w:ind w:left="420" w:hanging="420"/>
      </w:pPr>
    </w:lvl>
    <w:lvl w:ilvl="1" w:tentative="0">
      <w:start w:val="1"/>
      <w:numFmt w:val="decimal"/>
      <w:suff w:val="nothing"/>
      <w:lvlText w:val="%2."/>
      <w:lvlJc w:val="left"/>
      <w:pPr>
        <w:ind w:left="704" w:hanging="420"/>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00000035"/>
    <w:multiLevelType w:val="multilevel"/>
    <w:tmpl w:val="00000035"/>
    <w:lvl w:ilvl="0" w:tentative="0">
      <w:start w:val="1"/>
      <w:numFmt w:val="decimal"/>
      <w:lvlText w:val="%1、"/>
      <w:lvlJc w:val="left"/>
      <w:pPr>
        <w:tabs>
          <w:tab w:val="left" w:pos="718"/>
        </w:tabs>
        <w:ind w:left="718" w:hanging="360"/>
      </w:pPr>
      <w:rPr>
        <w:rFonts w:hint="default"/>
      </w:rPr>
    </w:lvl>
    <w:lvl w:ilvl="1" w:tentative="0">
      <w:start w:val="1"/>
      <w:numFmt w:val="japaneseCounting"/>
      <w:pStyle w:val="198"/>
      <w:lvlText w:val="%2、"/>
      <w:lvlJc w:val="left"/>
      <w:pPr>
        <w:tabs>
          <w:tab w:val="left" w:pos="1258"/>
        </w:tabs>
        <w:ind w:left="1258" w:hanging="480"/>
      </w:pPr>
      <w:rPr>
        <w:rFonts w:hint="default"/>
      </w:rPr>
    </w:lvl>
    <w:lvl w:ilvl="2" w:tentative="0">
      <w:start w:val="1"/>
      <w:numFmt w:val="lowerRoman"/>
      <w:lvlText w:val="%3."/>
      <w:lvlJc w:val="right"/>
      <w:pPr>
        <w:tabs>
          <w:tab w:val="left" w:pos="1618"/>
        </w:tabs>
        <w:ind w:left="1618" w:hanging="420"/>
      </w:pPr>
    </w:lvl>
    <w:lvl w:ilvl="3" w:tentative="0">
      <w:start w:val="1"/>
      <w:numFmt w:val="decimal"/>
      <w:lvlText w:val="%4."/>
      <w:lvlJc w:val="left"/>
      <w:pPr>
        <w:tabs>
          <w:tab w:val="left" w:pos="2038"/>
        </w:tabs>
        <w:ind w:left="2038" w:hanging="420"/>
      </w:pPr>
    </w:lvl>
    <w:lvl w:ilvl="4" w:tentative="0">
      <w:start w:val="1"/>
      <w:numFmt w:val="lowerLetter"/>
      <w:lvlText w:val="%5)"/>
      <w:lvlJc w:val="left"/>
      <w:pPr>
        <w:tabs>
          <w:tab w:val="left" w:pos="2458"/>
        </w:tabs>
        <w:ind w:left="2458" w:hanging="420"/>
      </w:pPr>
    </w:lvl>
    <w:lvl w:ilvl="5" w:tentative="0">
      <w:start w:val="1"/>
      <w:numFmt w:val="lowerRoman"/>
      <w:lvlText w:val="%6."/>
      <w:lvlJc w:val="right"/>
      <w:pPr>
        <w:tabs>
          <w:tab w:val="left" w:pos="2878"/>
        </w:tabs>
        <w:ind w:left="2878" w:hanging="420"/>
      </w:pPr>
    </w:lvl>
    <w:lvl w:ilvl="6" w:tentative="0">
      <w:start w:val="1"/>
      <w:numFmt w:val="decimal"/>
      <w:lvlText w:val="%7."/>
      <w:lvlJc w:val="left"/>
      <w:pPr>
        <w:tabs>
          <w:tab w:val="left" w:pos="3298"/>
        </w:tabs>
        <w:ind w:left="3298" w:hanging="420"/>
      </w:pPr>
    </w:lvl>
    <w:lvl w:ilvl="7" w:tentative="0">
      <w:start w:val="1"/>
      <w:numFmt w:val="lowerLetter"/>
      <w:lvlText w:val="%8)"/>
      <w:lvlJc w:val="left"/>
      <w:pPr>
        <w:tabs>
          <w:tab w:val="left" w:pos="3718"/>
        </w:tabs>
        <w:ind w:left="3718" w:hanging="420"/>
      </w:pPr>
    </w:lvl>
    <w:lvl w:ilvl="8" w:tentative="0">
      <w:start w:val="1"/>
      <w:numFmt w:val="lowerRoman"/>
      <w:lvlText w:val="%9."/>
      <w:lvlJc w:val="right"/>
      <w:pPr>
        <w:tabs>
          <w:tab w:val="left" w:pos="4138"/>
        </w:tabs>
        <w:ind w:left="4138" w:hanging="420"/>
      </w:pPr>
    </w:lvl>
  </w:abstractNum>
  <w:abstractNum w:abstractNumId="15">
    <w:nsid w:val="00000038"/>
    <w:multiLevelType w:val="singleLevel"/>
    <w:tmpl w:val="00000038"/>
    <w:lvl w:ilvl="0" w:tentative="0">
      <w:start w:val="1"/>
      <w:numFmt w:val="decimal"/>
      <w:pStyle w:val="40"/>
      <w:lvlText w:val="%1."/>
      <w:lvlJc w:val="left"/>
      <w:pPr>
        <w:tabs>
          <w:tab w:val="left" w:pos="1620"/>
        </w:tabs>
        <w:ind w:left="1620" w:hanging="360"/>
      </w:pPr>
    </w:lvl>
  </w:abstractNum>
  <w:abstractNum w:abstractNumId="16">
    <w:nsid w:val="0000003C"/>
    <w:multiLevelType w:val="multilevel"/>
    <w:tmpl w:val="0000003C"/>
    <w:lvl w:ilvl="0" w:tentative="0">
      <w:start w:val="1"/>
      <w:numFmt w:val="chineseCountingThousand"/>
      <w:pStyle w:val="14"/>
      <w:lvlText w:val="(%1)"/>
      <w:lvlJc w:val="left"/>
      <w:pPr>
        <w:tabs>
          <w:tab w:val="left" w:pos="420"/>
        </w:tabs>
        <w:ind w:left="420" w:hanging="420"/>
      </w:pPr>
    </w:lvl>
    <w:lvl w:ilvl="1" w:tentative="0">
      <w:start w:val="1"/>
      <w:numFmt w:val="decimal"/>
      <w:suff w:val="nothing"/>
      <w:lvlText w:val="(%2)"/>
      <w:lvlJc w:val="left"/>
      <w:pPr>
        <w:ind w:left="840" w:hanging="420"/>
      </w:pPr>
      <w:rPr>
        <w:rFonts w:hint="default" w:ascii="Times New Roman" w:hAnsi="Times New Roman"/>
        <w:sz w:val="28"/>
        <w:szCs w:val="28"/>
      </w:rPr>
    </w:lvl>
    <w:lvl w:ilvl="2" w:tentative="0">
      <w:start w:val="1"/>
      <w:numFmt w:val="decimal"/>
      <w:lvlText w:val="%3．"/>
      <w:lvlJc w:val="left"/>
      <w:pPr>
        <w:ind w:left="1560" w:hanging="720"/>
      </w:pPr>
      <w:rPr>
        <w:rFonts w:hint="default"/>
      </w:rPr>
    </w:lvl>
    <w:lvl w:ilvl="3" w:tentative="0">
      <w:start w:val="1"/>
      <w:numFmt w:val="japaneseCounting"/>
      <w:lvlText w:val="（%4）"/>
      <w:lvlJc w:val="left"/>
      <w:pPr>
        <w:ind w:left="1980" w:hanging="72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0000003D"/>
    <w:multiLevelType w:val="multilevel"/>
    <w:tmpl w:val="0000003D"/>
    <w:lvl w:ilvl="0" w:tentative="0">
      <w:start w:val="1"/>
      <w:numFmt w:val="chineseCountingThousand"/>
      <w:pStyle w:val="511"/>
      <w:suff w:val="nothing"/>
      <w:lvlText w:val="%1、"/>
      <w:lvlJc w:val="left"/>
      <w:pPr>
        <w:ind w:left="988" w:hanging="420"/>
      </w:pPr>
      <w:rPr>
        <w:rFonts w:hint="eastAsia"/>
        <w:b/>
      </w:rPr>
    </w:lvl>
    <w:lvl w:ilvl="1" w:tentative="0">
      <w:start w:val="1"/>
      <w:numFmt w:val="decimal"/>
      <w:lvlText w:val="%2、"/>
      <w:lvlJc w:val="left"/>
      <w:pPr>
        <w:ind w:left="2112" w:hanging="1125"/>
      </w:pPr>
      <w:rPr>
        <w:rFonts w:hint="default"/>
      </w:r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18">
    <w:nsid w:val="0000003E"/>
    <w:multiLevelType w:val="multilevel"/>
    <w:tmpl w:val="0000003E"/>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pStyle w:val="447"/>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9">
    <w:nsid w:val="00000041"/>
    <w:multiLevelType w:val="multilevel"/>
    <w:tmpl w:val="00000041"/>
    <w:lvl w:ilvl="0" w:tentative="0">
      <w:start w:val="1"/>
      <w:numFmt w:val="chineseCountingThousand"/>
      <w:suff w:val="nothing"/>
      <w:lvlText w:val="(%1)"/>
      <w:lvlJc w:val="left"/>
      <w:pPr>
        <w:ind w:left="420" w:hanging="420"/>
      </w:pPr>
      <w:rPr>
        <w:rFonts w:hint="eastAsia"/>
        <w:sz w:val="21"/>
        <w:szCs w:val="21"/>
      </w:rPr>
    </w:lvl>
    <w:lvl w:ilvl="1" w:tentative="0">
      <w:start w:val="1"/>
      <w:numFmt w:val="lowerLetter"/>
      <w:pStyle w:val="408"/>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00000042"/>
    <w:multiLevelType w:val="multilevel"/>
    <w:tmpl w:val="00000042"/>
    <w:lvl w:ilvl="0" w:tentative="0">
      <w:start w:val="1"/>
      <w:numFmt w:val="decimal"/>
      <w:pStyle w:val="18"/>
      <w:suff w:val="nothing"/>
      <w:lvlText w:val="%1."/>
      <w:lvlJc w:val="left"/>
      <w:pPr>
        <w:ind w:left="900" w:hanging="420"/>
      </w:pPr>
      <w:rPr>
        <w:rFonts w:hint="eastAsia"/>
      </w:rPr>
    </w:lvl>
    <w:lvl w:ilvl="1" w:tentative="0">
      <w:start w:val="1"/>
      <w:numFmt w:val="lowerLetter"/>
      <w:lvlText w:val="%2)"/>
      <w:lvlJc w:val="left"/>
      <w:pPr>
        <w:ind w:left="1548" w:hanging="420"/>
      </w:pPr>
    </w:lvl>
    <w:lvl w:ilvl="2" w:tentative="0">
      <w:start w:val="1"/>
      <w:numFmt w:val="lowerRoman"/>
      <w:lvlText w:val="%3."/>
      <w:lvlJc w:val="right"/>
      <w:pPr>
        <w:ind w:left="1968" w:hanging="420"/>
      </w:pPr>
    </w:lvl>
    <w:lvl w:ilvl="3" w:tentative="0">
      <w:start w:val="1"/>
      <w:numFmt w:val="decimal"/>
      <w:lvlText w:val="%4."/>
      <w:lvlJc w:val="left"/>
      <w:pPr>
        <w:ind w:left="2388" w:hanging="420"/>
      </w:pPr>
    </w:lvl>
    <w:lvl w:ilvl="4" w:tentative="0">
      <w:start w:val="1"/>
      <w:numFmt w:val="lowerLetter"/>
      <w:lvlText w:val="%5)"/>
      <w:lvlJc w:val="left"/>
      <w:pPr>
        <w:ind w:left="2808" w:hanging="420"/>
      </w:pPr>
    </w:lvl>
    <w:lvl w:ilvl="5" w:tentative="0">
      <w:start w:val="1"/>
      <w:numFmt w:val="lowerRoman"/>
      <w:lvlText w:val="%6."/>
      <w:lvlJc w:val="right"/>
      <w:pPr>
        <w:ind w:left="3228" w:hanging="420"/>
      </w:pPr>
    </w:lvl>
    <w:lvl w:ilvl="6" w:tentative="0">
      <w:start w:val="1"/>
      <w:numFmt w:val="decimal"/>
      <w:lvlText w:val="%7."/>
      <w:lvlJc w:val="left"/>
      <w:pPr>
        <w:ind w:left="3648" w:hanging="420"/>
      </w:pPr>
    </w:lvl>
    <w:lvl w:ilvl="7" w:tentative="0">
      <w:start w:val="1"/>
      <w:numFmt w:val="lowerLetter"/>
      <w:lvlText w:val="%8)"/>
      <w:lvlJc w:val="left"/>
      <w:pPr>
        <w:ind w:left="4068" w:hanging="420"/>
      </w:pPr>
    </w:lvl>
    <w:lvl w:ilvl="8" w:tentative="0">
      <w:start w:val="1"/>
      <w:numFmt w:val="lowerRoman"/>
      <w:lvlText w:val="%9."/>
      <w:lvlJc w:val="right"/>
      <w:pPr>
        <w:ind w:left="4488" w:hanging="420"/>
      </w:pPr>
    </w:lvl>
  </w:abstractNum>
  <w:abstractNum w:abstractNumId="21">
    <w:nsid w:val="00000047"/>
    <w:multiLevelType w:val="multilevel"/>
    <w:tmpl w:val="00000047"/>
    <w:lvl w:ilvl="0" w:tentative="0">
      <w:start w:val="1"/>
      <w:numFmt w:val="decimal"/>
      <w:lvlText w:val="%1."/>
      <w:lvlJc w:val="left"/>
      <w:pPr>
        <w:ind w:left="980" w:hanging="420"/>
      </w:pPr>
      <w:rPr>
        <w:rFonts w:hint="eastAsia"/>
      </w:rPr>
    </w:lvl>
    <w:lvl w:ilvl="1" w:tentative="0">
      <w:start w:val="1"/>
      <w:numFmt w:val="decimal"/>
      <w:lvlText w:val="%2."/>
      <w:lvlJc w:val="left"/>
      <w:pPr>
        <w:ind w:left="1400" w:hanging="420"/>
      </w:pPr>
      <w:rPr>
        <w:rFonts w:hint="eastAsia"/>
        <w:kern w:val="2"/>
      </w:rPr>
    </w:lvl>
    <w:lvl w:ilvl="2" w:tentative="0">
      <w:start w:val="3"/>
      <w:numFmt w:val="decimal"/>
      <w:lvlText w:val="%3"/>
      <w:lvlJc w:val="left"/>
      <w:pPr>
        <w:ind w:left="1760" w:hanging="360"/>
      </w:pPr>
      <w:rPr>
        <w:rFonts w:hint="default"/>
      </w:r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2">
    <w:nsid w:val="012D5274"/>
    <w:multiLevelType w:val="multilevel"/>
    <w:tmpl w:val="012D5274"/>
    <w:lvl w:ilvl="0" w:tentative="0">
      <w:start w:val="1"/>
      <w:numFmt w:val="decimal"/>
      <w:lvlText w:val="%1."/>
      <w:lvlJc w:val="left"/>
      <w:pPr>
        <w:ind w:left="980" w:hanging="420"/>
      </w:pPr>
      <w:rPr>
        <w:rFonts w:hint="eastAsia"/>
      </w:rPr>
    </w:lvl>
    <w:lvl w:ilvl="1" w:tentative="0">
      <w:start w:val="1"/>
      <w:numFmt w:val="decimal"/>
      <w:lvlText w:val="%2．"/>
      <w:lvlJc w:val="left"/>
      <w:pPr>
        <w:ind w:left="1400" w:hanging="420"/>
      </w:pPr>
      <w:rPr>
        <w:rFonts w:hint="eastAsia"/>
        <w:kern w:val="2"/>
      </w:rPr>
    </w:lvl>
    <w:lvl w:ilvl="2" w:tentative="0">
      <w:start w:val="3"/>
      <w:numFmt w:val="decimal"/>
      <w:lvlText w:val="%3"/>
      <w:lvlJc w:val="left"/>
      <w:pPr>
        <w:ind w:left="1760" w:hanging="360"/>
      </w:pPr>
      <w:rPr>
        <w:rFonts w:hint="default"/>
      </w:r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3">
    <w:nsid w:val="048F05C8"/>
    <w:multiLevelType w:val="multilevel"/>
    <w:tmpl w:val="048F05C8"/>
    <w:lvl w:ilvl="0" w:tentative="0">
      <w:start w:val="1"/>
      <w:numFmt w:val="decimal"/>
      <w:lvlText w:val="%1."/>
      <w:lvlJc w:val="left"/>
      <w:pPr>
        <w:ind w:left="980" w:hanging="420"/>
      </w:pPr>
      <w:rPr>
        <w:rFonts w:hint="eastAsia"/>
      </w:rPr>
    </w:lvl>
    <w:lvl w:ilvl="1" w:tentative="0">
      <w:start w:val="1"/>
      <w:numFmt w:val="decimal"/>
      <w:lvlText w:val="%2．"/>
      <w:lvlJc w:val="left"/>
      <w:pPr>
        <w:ind w:left="1400" w:hanging="420"/>
      </w:pPr>
      <w:rPr>
        <w:rFonts w:hint="eastAsia"/>
      </w:rPr>
    </w:lvl>
    <w:lvl w:ilvl="2" w:tentative="0">
      <w:start w:val="3"/>
      <w:numFmt w:val="decimal"/>
      <w:lvlText w:val="%3"/>
      <w:lvlJc w:val="left"/>
      <w:pPr>
        <w:ind w:left="1760" w:hanging="360"/>
      </w:pPr>
      <w:rPr>
        <w:rFonts w:hint="default"/>
      </w:r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4">
    <w:nsid w:val="05C201DE"/>
    <w:multiLevelType w:val="multilevel"/>
    <w:tmpl w:val="05C201DE"/>
    <w:lvl w:ilvl="0" w:tentative="0">
      <w:start w:val="1"/>
      <w:numFmt w:val="decimal"/>
      <w:lvlText w:val="%1."/>
      <w:lvlJc w:val="left"/>
      <w:pPr>
        <w:ind w:left="980" w:hanging="420"/>
      </w:pPr>
      <w:rPr>
        <w:rFonts w:hint="eastAsia"/>
      </w:rPr>
    </w:lvl>
    <w:lvl w:ilvl="1" w:tentative="0">
      <w:start w:val="1"/>
      <w:numFmt w:val="decimal"/>
      <w:lvlText w:val="%2．"/>
      <w:lvlJc w:val="left"/>
      <w:pPr>
        <w:ind w:left="1400" w:hanging="420"/>
      </w:pPr>
      <w:rPr>
        <w:rFonts w:hint="eastAsia"/>
      </w:rPr>
    </w:lvl>
    <w:lvl w:ilvl="2" w:tentative="0">
      <w:start w:val="3"/>
      <w:numFmt w:val="decimal"/>
      <w:lvlText w:val="%3"/>
      <w:lvlJc w:val="left"/>
      <w:pPr>
        <w:ind w:left="1760" w:hanging="360"/>
      </w:pPr>
      <w:rPr>
        <w:rFonts w:hint="default"/>
      </w:r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5">
    <w:nsid w:val="075502B8"/>
    <w:multiLevelType w:val="multilevel"/>
    <w:tmpl w:val="075502B8"/>
    <w:lvl w:ilvl="0" w:tentative="0">
      <w:start w:val="1"/>
      <w:numFmt w:val="decimal"/>
      <w:lvlText w:val="%1."/>
      <w:lvlJc w:val="left"/>
      <w:pPr>
        <w:ind w:left="980" w:hanging="420"/>
      </w:pPr>
      <w:rPr>
        <w:rFonts w:hint="eastAsia"/>
      </w:rPr>
    </w:lvl>
    <w:lvl w:ilvl="1" w:tentative="0">
      <w:start w:val="1"/>
      <w:numFmt w:val="decimal"/>
      <w:lvlText w:val="%2．"/>
      <w:lvlJc w:val="left"/>
      <w:pPr>
        <w:ind w:left="988" w:hanging="420"/>
      </w:pPr>
      <w:rPr>
        <w:rFonts w:hint="eastAsia"/>
      </w:rPr>
    </w:lvl>
    <w:lvl w:ilvl="2" w:tentative="0">
      <w:start w:val="3"/>
      <w:numFmt w:val="decimal"/>
      <w:lvlText w:val="%3"/>
      <w:lvlJc w:val="left"/>
      <w:pPr>
        <w:ind w:left="1760" w:hanging="360"/>
      </w:pPr>
      <w:rPr>
        <w:rFonts w:hint="default"/>
      </w:r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6">
    <w:nsid w:val="098D04B0"/>
    <w:multiLevelType w:val="multilevel"/>
    <w:tmpl w:val="098D04B0"/>
    <w:lvl w:ilvl="0" w:tentative="0">
      <w:start w:val="1"/>
      <w:numFmt w:val="decimal"/>
      <w:lvlText w:val="%1."/>
      <w:lvlJc w:val="left"/>
      <w:pPr>
        <w:ind w:left="980" w:hanging="420"/>
      </w:pPr>
      <w:rPr>
        <w:rFonts w:hint="eastAsia"/>
      </w:rPr>
    </w:lvl>
    <w:lvl w:ilvl="1" w:tentative="0">
      <w:start w:val="1"/>
      <w:numFmt w:val="decimal"/>
      <w:lvlText w:val="%2．"/>
      <w:lvlJc w:val="left"/>
      <w:pPr>
        <w:ind w:left="1400" w:hanging="420"/>
      </w:pPr>
      <w:rPr>
        <w:rFonts w:hint="eastAsia"/>
      </w:rPr>
    </w:lvl>
    <w:lvl w:ilvl="2" w:tentative="0">
      <w:start w:val="3"/>
      <w:numFmt w:val="decimal"/>
      <w:lvlText w:val="%3"/>
      <w:lvlJc w:val="left"/>
      <w:pPr>
        <w:ind w:left="1760" w:hanging="360"/>
      </w:pPr>
      <w:rPr>
        <w:rFonts w:hint="default"/>
      </w:r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7">
    <w:nsid w:val="0C636C81"/>
    <w:multiLevelType w:val="multilevel"/>
    <w:tmpl w:val="0C636C81"/>
    <w:lvl w:ilvl="0" w:tentative="0">
      <w:start w:val="1"/>
      <w:numFmt w:val="decimal"/>
      <w:lvlText w:val="%1."/>
      <w:lvlJc w:val="left"/>
      <w:pPr>
        <w:ind w:left="980" w:hanging="420"/>
      </w:pPr>
      <w:rPr>
        <w:rFonts w:hint="eastAsia"/>
      </w:rPr>
    </w:lvl>
    <w:lvl w:ilvl="1" w:tentative="0">
      <w:start w:val="1"/>
      <w:numFmt w:val="decimal"/>
      <w:lvlText w:val="%2．"/>
      <w:lvlJc w:val="left"/>
      <w:pPr>
        <w:ind w:left="1980" w:hanging="420"/>
      </w:pPr>
      <w:rPr>
        <w:rFonts w:hint="eastAsia"/>
      </w:rPr>
    </w:lvl>
    <w:lvl w:ilvl="2" w:tentative="0">
      <w:start w:val="3"/>
      <w:numFmt w:val="decimal"/>
      <w:lvlText w:val="%3"/>
      <w:lvlJc w:val="left"/>
      <w:pPr>
        <w:ind w:left="1760" w:hanging="360"/>
      </w:pPr>
      <w:rPr>
        <w:rFonts w:hint="default"/>
      </w:r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8">
    <w:nsid w:val="0EE9422C"/>
    <w:multiLevelType w:val="multilevel"/>
    <w:tmpl w:val="0EE9422C"/>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9">
    <w:nsid w:val="12BB465D"/>
    <w:multiLevelType w:val="multilevel"/>
    <w:tmpl w:val="12BB465D"/>
    <w:lvl w:ilvl="0" w:tentative="0">
      <w:start w:val="1"/>
      <w:numFmt w:val="decimal"/>
      <w:lvlText w:val="%1．"/>
      <w:lvlJc w:val="left"/>
      <w:pPr>
        <w:ind w:left="969" w:hanging="420"/>
      </w:pPr>
      <w:rPr>
        <w:rFonts w:hint="eastAsia"/>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30">
    <w:nsid w:val="16056C11"/>
    <w:multiLevelType w:val="multilevel"/>
    <w:tmpl w:val="16056C11"/>
    <w:lvl w:ilvl="0" w:tentative="0">
      <w:start w:val="1"/>
      <w:numFmt w:val="decimal"/>
      <w:lvlText w:val="%1."/>
      <w:lvlJc w:val="left"/>
      <w:pPr>
        <w:ind w:left="980" w:hanging="420"/>
      </w:pPr>
      <w:rPr>
        <w:rFonts w:hint="eastAsia"/>
      </w:rPr>
    </w:lvl>
    <w:lvl w:ilvl="1" w:tentative="0">
      <w:start w:val="1"/>
      <w:numFmt w:val="decimal"/>
      <w:lvlText w:val="%2．"/>
      <w:lvlJc w:val="left"/>
      <w:pPr>
        <w:ind w:left="1400" w:hanging="420"/>
      </w:pPr>
      <w:rPr>
        <w:rFonts w:hint="eastAsia"/>
      </w:rPr>
    </w:lvl>
    <w:lvl w:ilvl="2" w:tentative="0">
      <w:start w:val="3"/>
      <w:numFmt w:val="decimal"/>
      <w:lvlText w:val="%3"/>
      <w:lvlJc w:val="left"/>
      <w:pPr>
        <w:ind w:left="1760" w:hanging="360"/>
      </w:pPr>
      <w:rPr>
        <w:rFonts w:hint="default"/>
      </w:r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1">
    <w:nsid w:val="16DE7ABA"/>
    <w:multiLevelType w:val="multilevel"/>
    <w:tmpl w:val="16DE7ABA"/>
    <w:lvl w:ilvl="0" w:tentative="0">
      <w:start w:val="1"/>
      <w:numFmt w:val="decimal"/>
      <w:lvlText w:val="%1."/>
      <w:lvlJc w:val="left"/>
      <w:pPr>
        <w:ind w:left="980" w:hanging="420"/>
      </w:pPr>
      <w:rPr>
        <w:rFonts w:hint="eastAsia"/>
      </w:rPr>
    </w:lvl>
    <w:lvl w:ilvl="1" w:tentative="0">
      <w:start w:val="1"/>
      <w:numFmt w:val="decimal"/>
      <w:lvlText w:val="%2．"/>
      <w:lvlJc w:val="left"/>
      <w:pPr>
        <w:ind w:left="1400" w:hanging="420"/>
      </w:pPr>
      <w:rPr>
        <w:rFonts w:hint="eastAsia"/>
      </w:rPr>
    </w:lvl>
    <w:lvl w:ilvl="2" w:tentative="0">
      <w:start w:val="3"/>
      <w:numFmt w:val="decimal"/>
      <w:lvlText w:val="%3"/>
      <w:lvlJc w:val="left"/>
      <w:pPr>
        <w:ind w:left="1760" w:hanging="360"/>
      </w:pPr>
      <w:rPr>
        <w:rFonts w:hint="default"/>
      </w:r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2">
    <w:nsid w:val="16FE53D6"/>
    <w:multiLevelType w:val="multilevel"/>
    <w:tmpl w:val="16FE53D6"/>
    <w:lvl w:ilvl="0" w:tentative="0">
      <w:start w:val="1"/>
      <w:numFmt w:val="decimal"/>
      <w:lvlText w:val="%1."/>
      <w:lvlJc w:val="left"/>
      <w:pPr>
        <w:ind w:left="980" w:hanging="420"/>
      </w:pPr>
      <w:rPr>
        <w:rFonts w:hint="eastAsia"/>
      </w:rPr>
    </w:lvl>
    <w:lvl w:ilvl="1" w:tentative="0">
      <w:start w:val="1"/>
      <w:numFmt w:val="decimal"/>
      <w:lvlText w:val="%2．"/>
      <w:lvlJc w:val="left"/>
      <w:pPr>
        <w:ind w:left="1400" w:hanging="420"/>
      </w:pPr>
      <w:rPr>
        <w:rFonts w:hint="eastAsia"/>
      </w:rPr>
    </w:lvl>
    <w:lvl w:ilvl="2" w:tentative="0">
      <w:start w:val="3"/>
      <w:numFmt w:val="decimal"/>
      <w:lvlText w:val="%3"/>
      <w:lvlJc w:val="left"/>
      <w:pPr>
        <w:ind w:left="1760" w:hanging="360"/>
      </w:pPr>
      <w:rPr>
        <w:rFonts w:hint="default"/>
      </w:r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3">
    <w:nsid w:val="179B4228"/>
    <w:multiLevelType w:val="multilevel"/>
    <w:tmpl w:val="179B4228"/>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4">
    <w:nsid w:val="1BA66698"/>
    <w:multiLevelType w:val="multilevel"/>
    <w:tmpl w:val="1BA66698"/>
    <w:lvl w:ilvl="0" w:tentative="0">
      <w:start w:val="1"/>
      <w:numFmt w:val="decimal"/>
      <w:lvlText w:val="%1."/>
      <w:lvlJc w:val="left"/>
      <w:pPr>
        <w:ind w:left="980" w:hanging="420"/>
      </w:pPr>
      <w:rPr>
        <w:rFonts w:hint="eastAsia"/>
      </w:rPr>
    </w:lvl>
    <w:lvl w:ilvl="1" w:tentative="0">
      <w:start w:val="1"/>
      <w:numFmt w:val="decimal"/>
      <w:lvlText w:val="%2．"/>
      <w:lvlJc w:val="left"/>
      <w:pPr>
        <w:ind w:left="1400" w:hanging="420"/>
      </w:pPr>
      <w:rPr>
        <w:rFonts w:hint="eastAsia"/>
      </w:rPr>
    </w:lvl>
    <w:lvl w:ilvl="2" w:tentative="0">
      <w:start w:val="3"/>
      <w:numFmt w:val="decimal"/>
      <w:lvlText w:val="%3"/>
      <w:lvlJc w:val="left"/>
      <w:pPr>
        <w:ind w:left="1760" w:hanging="360"/>
      </w:pPr>
      <w:rPr>
        <w:rFonts w:hint="default"/>
      </w:r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5">
    <w:nsid w:val="1E58470C"/>
    <w:multiLevelType w:val="multilevel"/>
    <w:tmpl w:val="1E58470C"/>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6">
    <w:nsid w:val="22280895"/>
    <w:multiLevelType w:val="multilevel"/>
    <w:tmpl w:val="22280895"/>
    <w:lvl w:ilvl="0" w:tentative="0">
      <w:start w:val="1"/>
      <w:numFmt w:val="decimal"/>
      <w:lvlText w:val="%1."/>
      <w:lvlJc w:val="left"/>
      <w:pPr>
        <w:ind w:left="980" w:hanging="420"/>
      </w:pPr>
      <w:rPr>
        <w:rFonts w:hint="eastAsia"/>
      </w:rPr>
    </w:lvl>
    <w:lvl w:ilvl="1" w:tentative="0">
      <w:start w:val="1"/>
      <w:numFmt w:val="decimal"/>
      <w:lvlText w:val="%2．"/>
      <w:lvlJc w:val="left"/>
      <w:pPr>
        <w:ind w:left="988" w:hanging="420"/>
      </w:pPr>
      <w:rPr>
        <w:rFonts w:hint="eastAsia"/>
      </w:rPr>
    </w:lvl>
    <w:lvl w:ilvl="2" w:tentative="0">
      <w:start w:val="3"/>
      <w:numFmt w:val="decimal"/>
      <w:lvlText w:val="%3"/>
      <w:lvlJc w:val="left"/>
      <w:pPr>
        <w:ind w:left="1760" w:hanging="360"/>
      </w:pPr>
      <w:rPr>
        <w:rFonts w:hint="default"/>
      </w:r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7">
    <w:nsid w:val="23227C9E"/>
    <w:multiLevelType w:val="multilevel"/>
    <w:tmpl w:val="23227C9E"/>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8">
    <w:nsid w:val="23327D7C"/>
    <w:multiLevelType w:val="multilevel"/>
    <w:tmpl w:val="23327D7C"/>
    <w:lvl w:ilvl="0" w:tentative="0">
      <w:start w:val="1"/>
      <w:numFmt w:val="decimal"/>
      <w:lvlText w:val="%1."/>
      <w:lvlJc w:val="left"/>
      <w:pPr>
        <w:ind w:left="980" w:hanging="420"/>
      </w:pPr>
      <w:rPr>
        <w:rFonts w:hint="eastAsia"/>
      </w:rPr>
    </w:lvl>
    <w:lvl w:ilvl="1" w:tentative="0">
      <w:start w:val="1"/>
      <w:numFmt w:val="decimal"/>
      <w:lvlText w:val="%2．"/>
      <w:lvlJc w:val="left"/>
      <w:pPr>
        <w:ind w:left="1400" w:hanging="420"/>
      </w:pPr>
      <w:rPr>
        <w:rFonts w:hint="eastAsia"/>
      </w:rPr>
    </w:lvl>
    <w:lvl w:ilvl="2" w:tentative="0">
      <w:start w:val="3"/>
      <w:numFmt w:val="decimal"/>
      <w:lvlText w:val="%3"/>
      <w:lvlJc w:val="left"/>
      <w:pPr>
        <w:ind w:left="1760" w:hanging="360"/>
      </w:pPr>
      <w:rPr>
        <w:rFonts w:hint="default"/>
      </w:r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9">
    <w:nsid w:val="3110665D"/>
    <w:multiLevelType w:val="multilevel"/>
    <w:tmpl w:val="3110665D"/>
    <w:lvl w:ilvl="0" w:tentative="0">
      <w:start w:val="1"/>
      <w:numFmt w:val="decimal"/>
      <w:pStyle w:val="39"/>
      <w:lvlText w:val="%1."/>
      <w:lvlJc w:val="left"/>
      <w:pPr>
        <w:ind w:left="425" w:hanging="425"/>
      </w:pPr>
      <w:rPr>
        <w:rFonts w:hint="default"/>
      </w:r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40">
    <w:nsid w:val="321104C2"/>
    <w:multiLevelType w:val="multilevel"/>
    <w:tmpl w:val="321104C2"/>
    <w:lvl w:ilvl="0" w:tentative="0">
      <w:start w:val="1"/>
      <w:numFmt w:val="decimal"/>
      <w:lvlText w:val="%1."/>
      <w:lvlJc w:val="left"/>
      <w:pPr>
        <w:ind w:left="980" w:hanging="420"/>
      </w:pPr>
      <w:rPr>
        <w:rFonts w:hint="eastAsia"/>
      </w:rPr>
    </w:lvl>
    <w:lvl w:ilvl="1" w:tentative="0">
      <w:start w:val="1"/>
      <w:numFmt w:val="decimal"/>
      <w:lvlText w:val="%2．"/>
      <w:lvlJc w:val="left"/>
      <w:pPr>
        <w:ind w:left="1400" w:hanging="420"/>
      </w:pPr>
      <w:rPr>
        <w:rFonts w:hint="eastAsia"/>
      </w:rPr>
    </w:lvl>
    <w:lvl w:ilvl="2" w:tentative="0">
      <w:start w:val="3"/>
      <w:numFmt w:val="decimal"/>
      <w:lvlText w:val="%3"/>
      <w:lvlJc w:val="left"/>
      <w:pPr>
        <w:ind w:left="1760" w:hanging="360"/>
      </w:pPr>
      <w:rPr>
        <w:rFonts w:hint="default"/>
      </w:r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1">
    <w:nsid w:val="323C77E2"/>
    <w:multiLevelType w:val="multilevel"/>
    <w:tmpl w:val="323C77E2"/>
    <w:lvl w:ilvl="0" w:tentative="0">
      <w:start w:val="1"/>
      <w:numFmt w:val="decimal"/>
      <w:lvlText w:val="%1."/>
      <w:lvlJc w:val="left"/>
      <w:pPr>
        <w:ind w:left="900" w:hanging="420"/>
      </w:pPr>
    </w:lvl>
    <w:lvl w:ilvl="1" w:tentative="0">
      <w:start w:val="1"/>
      <w:numFmt w:val="decimal"/>
      <w:lvlText w:val="%2．"/>
      <w:lvlJc w:val="left"/>
      <w:pPr>
        <w:ind w:left="1320" w:hanging="420"/>
      </w:pPr>
      <w:rPr>
        <w:rFonts w:hint="eastAsia"/>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2">
    <w:nsid w:val="35955D02"/>
    <w:multiLevelType w:val="multilevel"/>
    <w:tmpl w:val="35955D02"/>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3">
    <w:nsid w:val="3B5908BE"/>
    <w:multiLevelType w:val="multilevel"/>
    <w:tmpl w:val="3B5908BE"/>
    <w:lvl w:ilvl="0" w:tentative="0">
      <w:start w:val="1"/>
      <w:numFmt w:val="decimal"/>
      <w:suff w:val="space"/>
      <w:lvlText w:val="%1"/>
      <w:lvlJc w:val="left"/>
      <w:pPr>
        <w:ind w:left="0" w:firstLine="0"/>
      </w:pPr>
      <w:rPr>
        <w:rFonts w:hint="eastAsia"/>
        <w:sz w:val="32"/>
      </w:rPr>
    </w:lvl>
    <w:lvl w:ilvl="1" w:tentative="0">
      <w:start w:val="1"/>
      <w:numFmt w:val="decimal"/>
      <w:suff w:val="space"/>
      <w:lvlText w:val="%1.%2"/>
      <w:lvlJc w:val="left"/>
      <w:pPr>
        <w:ind w:left="3686" w:firstLine="0"/>
      </w:pPr>
    </w:lvl>
    <w:lvl w:ilvl="2" w:tentative="0">
      <w:start w:val="1"/>
      <w:numFmt w:val="decimal"/>
      <w:pStyle w:val="5"/>
      <w:suff w:val="space"/>
      <w:lvlText w:val="%1.%2.%3"/>
      <w:lvlJc w:val="left"/>
      <w:pPr>
        <w:ind w:left="0" w:firstLine="0"/>
      </w:pPr>
      <w:rPr>
        <w:rFonts w:ascii="仿宋" w:hAnsi="仿宋" w:eastAsia="仿宋"/>
        <w:lang w:val="en-US"/>
      </w:rPr>
    </w:lvl>
    <w:lvl w:ilvl="3" w:tentative="0">
      <w:start w:val="1"/>
      <w:numFmt w:val="decimal"/>
      <w:pStyle w:val="6"/>
      <w:suff w:val="space"/>
      <w:lvlText w:val="%1.%2.%3.%4"/>
      <w:lvlJc w:val="left"/>
      <w:pPr>
        <w:ind w:left="0" w:firstLine="0"/>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4">
    <w:nsid w:val="459D6C9A"/>
    <w:multiLevelType w:val="multilevel"/>
    <w:tmpl w:val="459D6C9A"/>
    <w:lvl w:ilvl="0" w:tentative="0">
      <w:start w:val="1"/>
      <w:numFmt w:val="decimal"/>
      <w:lvlText w:val="%1."/>
      <w:lvlJc w:val="left"/>
      <w:pPr>
        <w:ind w:left="980" w:hanging="420"/>
      </w:pPr>
      <w:rPr>
        <w:rFonts w:hint="eastAsia"/>
      </w:rPr>
    </w:lvl>
    <w:lvl w:ilvl="1" w:tentative="0">
      <w:start w:val="1"/>
      <w:numFmt w:val="decimal"/>
      <w:lvlText w:val="%2．"/>
      <w:lvlJc w:val="left"/>
      <w:pPr>
        <w:ind w:left="846" w:hanging="420"/>
      </w:pPr>
      <w:rPr>
        <w:rFonts w:hint="eastAsia"/>
      </w:rPr>
    </w:lvl>
    <w:lvl w:ilvl="2" w:tentative="0">
      <w:start w:val="3"/>
      <w:numFmt w:val="decimal"/>
      <w:lvlText w:val="%3"/>
      <w:lvlJc w:val="left"/>
      <w:pPr>
        <w:ind w:left="1760" w:hanging="360"/>
      </w:pPr>
      <w:rPr>
        <w:rFonts w:hint="default"/>
      </w:r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5">
    <w:nsid w:val="468E73D2"/>
    <w:multiLevelType w:val="multilevel"/>
    <w:tmpl w:val="468E73D2"/>
    <w:lvl w:ilvl="0" w:tentative="0">
      <w:start w:val="1"/>
      <w:numFmt w:val="decimal"/>
      <w:lvlText w:val="%1."/>
      <w:lvlJc w:val="left"/>
      <w:pPr>
        <w:ind w:left="980" w:hanging="420"/>
      </w:pPr>
      <w:rPr>
        <w:rFonts w:hint="eastAsia"/>
      </w:rPr>
    </w:lvl>
    <w:lvl w:ilvl="1" w:tentative="0">
      <w:start w:val="1"/>
      <w:numFmt w:val="decimal"/>
      <w:lvlText w:val="%2．"/>
      <w:lvlJc w:val="left"/>
      <w:pPr>
        <w:ind w:left="1400" w:hanging="420"/>
      </w:pPr>
      <w:rPr>
        <w:rFonts w:hint="eastAsia"/>
      </w:rPr>
    </w:lvl>
    <w:lvl w:ilvl="2" w:tentative="0">
      <w:start w:val="3"/>
      <w:numFmt w:val="decimal"/>
      <w:lvlText w:val="%3"/>
      <w:lvlJc w:val="left"/>
      <w:pPr>
        <w:ind w:left="1760" w:hanging="360"/>
      </w:pPr>
      <w:rPr>
        <w:rFonts w:hint="default"/>
      </w:r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6">
    <w:nsid w:val="49272379"/>
    <w:multiLevelType w:val="multilevel"/>
    <w:tmpl w:val="49272379"/>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7">
    <w:nsid w:val="49ED5A4A"/>
    <w:multiLevelType w:val="multilevel"/>
    <w:tmpl w:val="49ED5A4A"/>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8">
    <w:nsid w:val="528D3107"/>
    <w:multiLevelType w:val="multilevel"/>
    <w:tmpl w:val="528D3107"/>
    <w:lvl w:ilvl="0" w:tentative="0">
      <w:start w:val="1"/>
      <w:numFmt w:val="decimal"/>
      <w:lvlText w:val="%1．"/>
      <w:lvlJc w:val="left"/>
      <w:pPr>
        <w:ind w:left="900" w:hanging="420"/>
      </w:pPr>
      <w:rPr>
        <w:rFonts w:hint="eastAsia"/>
      </w:rPr>
    </w:lvl>
    <w:lvl w:ilvl="1" w:tentative="0">
      <w:start w:val="1"/>
      <w:numFmt w:val="japaneseCounting"/>
      <w:lvlText w:val="（%2）"/>
      <w:lvlJc w:val="left"/>
      <w:pPr>
        <w:ind w:left="1620" w:hanging="720"/>
      </w:pPr>
      <w:rPr>
        <w:rFonts w:hint="default"/>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9">
    <w:nsid w:val="57176048"/>
    <w:multiLevelType w:val="multilevel"/>
    <w:tmpl w:val="57176048"/>
    <w:lvl w:ilvl="0" w:tentative="0">
      <w:start w:val="1"/>
      <w:numFmt w:val="decimal"/>
      <w:lvlText w:val="%1．"/>
      <w:lvlJc w:val="left"/>
      <w:pPr>
        <w:ind w:left="840" w:hanging="360"/>
      </w:pPr>
      <w:rPr>
        <w:rFonts w:hint="default"/>
        <w:color w:val="000000"/>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0">
    <w:nsid w:val="5E912AE5"/>
    <w:multiLevelType w:val="multilevel"/>
    <w:tmpl w:val="5E912AE5"/>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1">
    <w:nsid w:val="5FA01000"/>
    <w:multiLevelType w:val="singleLevel"/>
    <w:tmpl w:val="5FA01000"/>
    <w:lvl w:ilvl="0" w:tentative="0">
      <w:start w:val="3"/>
      <w:numFmt w:val="chineseCounting"/>
      <w:suff w:val="nothing"/>
      <w:lvlText w:val="%1、"/>
      <w:lvlJc w:val="left"/>
      <w:rPr>
        <w:rFonts w:hint="eastAsia"/>
      </w:rPr>
    </w:lvl>
  </w:abstractNum>
  <w:abstractNum w:abstractNumId="52">
    <w:nsid w:val="60322500"/>
    <w:multiLevelType w:val="multilevel"/>
    <w:tmpl w:val="60322500"/>
    <w:lvl w:ilvl="0" w:tentative="0">
      <w:start w:val="1"/>
      <w:numFmt w:val="decimal"/>
      <w:lvlText w:val="%1."/>
      <w:lvlJc w:val="left"/>
      <w:pPr>
        <w:ind w:left="900" w:hanging="420"/>
      </w:pPr>
    </w:lvl>
    <w:lvl w:ilvl="1" w:tentative="0">
      <w:start w:val="1"/>
      <w:numFmt w:val="decimal"/>
      <w:lvlText w:val="%2．"/>
      <w:lvlJc w:val="left"/>
      <w:pPr>
        <w:ind w:left="1320" w:hanging="420"/>
      </w:pPr>
      <w:rPr>
        <w:rFonts w:hint="eastAsia"/>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3">
    <w:nsid w:val="6129309E"/>
    <w:multiLevelType w:val="singleLevel"/>
    <w:tmpl w:val="6129309E"/>
    <w:lvl w:ilvl="0" w:tentative="0">
      <w:start w:val="2"/>
      <w:numFmt w:val="chineseCounting"/>
      <w:suff w:val="nothing"/>
      <w:lvlText w:val="（%1）"/>
      <w:lvlJc w:val="left"/>
      <w:rPr>
        <w:rFonts w:hint="eastAsia"/>
      </w:rPr>
    </w:lvl>
  </w:abstractNum>
  <w:abstractNum w:abstractNumId="54">
    <w:nsid w:val="6C294238"/>
    <w:multiLevelType w:val="multilevel"/>
    <w:tmpl w:val="6C294238"/>
    <w:lvl w:ilvl="0" w:tentative="0">
      <w:start w:val="1"/>
      <w:numFmt w:val="decimal"/>
      <w:lvlText w:val="%1."/>
      <w:lvlJc w:val="left"/>
      <w:pPr>
        <w:ind w:left="980" w:hanging="420"/>
      </w:pPr>
      <w:rPr>
        <w:rFonts w:hint="eastAsia"/>
      </w:rPr>
    </w:lvl>
    <w:lvl w:ilvl="1" w:tentative="0">
      <w:start w:val="1"/>
      <w:numFmt w:val="decimal"/>
      <w:lvlText w:val="%2．"/>
      <w:lvlJc w:val="left"/>
      <w:pPr>
        <w:ind w:left="1400" w:hanging="420"/>
      </w:pPr>
      <w:rPr>
        <w:rFonts w:hint="eastAsia"/>
      </w:rPr>
    </w:lvl>
    <w:lvl w:ilvl="2" w:tentative="0">
      <w:start w:val="3"/>
      <w:numFmt w:val="decimal"/>
      <w:lvlText w:val="%3"/>
      <w:lvlJc w:val="left"/>
      <w:pPr>
        <w:ind w:left="1760" w:hanging="360"/>
      </w:pPr>
      <w:rPr>
        <w:rFonts w:hint="default"/>
      </w:r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5">
    <w:nsid w:val="6C960C21"/>
    <w:multiLevelType w:val="multilevel"/>
    <w:tmpl w:val="6C960C21"/>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6">
    <w:nsid w:val="709273AF"/>
    <w:multiLevelType w:val="multilevel"/>
    <w:tmpl w:val="709273AF"/>
    <w:lvl w:ilvl="0" w:tentative="0">
      <w:start w:val="1"/>
      <w:numFmt w:val="decimal"/>
      <w:lvlText w:val="%1."/>
      <w:lvlJc w:val="left"/>
      <w:pPr>
        <w:ind w:left="980" w:hanging="420"/>
      </w:pPr>
      <w:rPr>
        <w:rFonts w:hint="eastAsia"/>
      </w:rPr>
    </w:lvl>
    <w:lvl w:ilvl="1" w:tentative="0">
      <w:start w:val="1"/>
      <w:numFmt w:val="decimal"/>
      <w:lvlText w:val="%2．"/>
      <w:lvlJc w:val="left"/>
      <w:pPr>
        <w:ind w:left="1400" w:hanging="420"/>
      </w:pPr>
      <w:rPr>
        <w:rFonts w:hint="eastAsia"/>
      </w:rPr>
    </w:lvl>
    <w:lvl w:ilvl="2" w:tentative="0">
      <w:start w:val="3"/>
      <w:numFmt w:val="decimal"/>
      <w:lvlText w:val="%3"/>
      <w:lvlJc w:val="left"/>
      <w:pPr>
        <w:ind w:left="1760" w:hanging="360"/>
      </w:pPr>
      <w:rPr>
        <w:rFonts w:hint="default"/>
      </w:r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7">
    <w:nsid w:val="71ABD3E8"/>
    <w:multiLevelType w:val="singleLevel"/>
    <w:tmpl w:val="71ABD3E8"/>
    <w:lvl w:ilvl="0" w:tentative="0">
      <w:start w:val="1"/>
      <w:numFmt w:val="decimal"/>
      <w:suff w:val="nothing"/>
      <w:lvlText w:val="%1、"/>
      <w:lvlJc w:val="left"/>
    </w:lvl>
  </w:abstractNum>
  <w:abstractNum w:abstractNumId="58">
    <w:nsid w:val="735D10AE"/>
    <w:multiLevelType w:val="multilevel"/>
    <w:tmpl w:val="735D10AE"/>
    <w:lvl w:ilvl="0" w:tentative="0">
      <w:start w:val="1"/>
      <w:numFmt w:val="decimal"/>
      <w:lvlText w:val="%1."/>
      <w:lvlJc w:val="left"/>
      <w:pPr>
        <w:ind w:left="980" w:hanging="420"/>
      </w:pPr>
      <w:rPr>
        <w:rFonts w:hint="eastAsia"/>
      </w:rPr>
    </w:lvl>
    <w:lvl w:ilvl="1" w:tentative="0">
      <w:start w:val="1"/>
      <w:numFmt w:val="decimal"/>
      <w:lvlText w:val="%2．"/>
      <w:lvlJc w:val="left"/>
      <w:pPr>
        <w:ind w:left="1400" w:hanging="420"/>
      </w:pPr>
      <w:rPr>
        <w:rFonts w:hint="eastAsia"/>
      </w:rPr>
    </w:lvl>
    <w:lvl w:ilvl="2" w:tentative="0">
      <w:start w:val="3"/>
      <w:numFmt w:val="decimal"/>
      <w:lvlText w:val="%3"/>
      <w:lvlJc w:val="left"/>
      <w:pPr>
        <w:ind w:left="1760" w:hanging="360"/>
      </w:pPr>
      <w:rPr>
        <w:rFonts w:hint="default"/>
      </w:r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9">
    <w:nsid w:val="789D6858"/>
    <w:multiLevelType w:val="multilevel"/>
    <w:tmpl w:val="789D6858"/>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0">
    <w:nsid w:val="798F3D89"/>
    <w:multiLevelType w:val="multilevel"/>
    <w:tmpl w:val="798F3D89"/>
    <w:lvl w:ilvl="0" w:tentative="0">
      <w:start w:val="1"/>
      <w:numFmt w:val="decimal"/>
      <w:lvlText w:val="%1."/>
      <w:lvlJc w:val="left"/>
      <w:pPr>
        <w:ind w:left="980" w:hanging="420"/>
      </w:pPr>
      <w:rPr>
        <w:rFonts w:hint="eastAsia"/>
      </w:rPr>
    </w:lvl>
    <w:lvl w:ilvl="1" w:tentative="0">
      <w:start w:val="1"/>
      <w:numFmt w:val="decimal"/>
      <w:lvlText w:val="%2．"/>
      <w:lvlJc w:val="left"/>
      <w:pPr>
        <w:ind w:left="1400" w:hanging="420"/>
      </w:pPr>
      <w:rPr>
        <w:rFonts w:hint="eastAsia"/>
      </w:rPr>
    </w:lvl>
    <w:lvl w:ilvl="2" w:tentative="0">
      <w:start w:val="3"/>
      <w:numFmt w:val="decimal"/>
      <w:lvlText w:val="%3"/>
      <w:lvlJc w:val="left"/>
      <w:pPr>
        <w:ind w:left="1760" w:hanging="360"/>
      </w:pPr>
      <w:rPr>
        <w:rFonts w:hint="default"/>
      </w:r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61">
    <w:nsid w:val="7CC26292"/>
    <w:multiLevelType w:val="multilevel"/>
    <w:tmpl w:val="7CC26292"/>
    <w:lvl w:ilvl="0" w:tentative="0">
      <w:start w:val="1"/>
      <w:numFmt w:val="decimal"/>
      <w:lvlText w:val="%1."/>
      <w:lvlJc w:val="left"/>
      <w:pPr>
        <w:ind w:left="980" w:hanging="420"/>
      </w:pPr>
      <w:rPr>
        <w:rFonts w:hint="eastAsia"/>
      </w:rPr>
    </w:lvl>
    <w:lvl w:ilvl="1" w:tentative="0">
      <w:start w:val="1"/>
      <w:numFmt w:val="decimal"/>
      <w:lvlText w:val="%2．"/>
      <w:lvlJc w:val="left"/>
      <w:pPr>
        <w:ind w:left="1400" w:hanging="420"/>
      </w:pPr>
      <w:rPr>
        <w:rFonts w:hint="eastAsia"/>
      </w:rPr>
    </w:lvl>
    <w:lvl w:ilvl="2" w:tentative="0">
      <w:start w:val="3"/>
      <w:numFmt w:val="decimal"/>
      <w:lvlText w:val="%3"/>
      <w:lvlJc w:val="left"/>
      <w:pPr>
        <w:ind w:left="1760" w:hanging="360"/>
      </w:pPr>
      <w:rPr>
        <w:rFonts w:hint="default"/>
      </w:r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62">
    <w:nsid w:val="7F4B2697"/>
    <w:multiLevelType w:val="multilevel"/>
    <w:tmpl w:val="7F4B2697"/>
    <w:lvl w:ilvl="0" w:tentative="0">
      <w:start w:val="1"/>
      <w:numFmt w:val="none"/>
      <w:lvlText w:val="一、"/>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3">
    <w:nsid w:val="7FF24DD9"/>
    <w:multiLevelType w:val="multilevel"/>
    <w:tmpl w:val="7FF24DD9"/>
    <w:lvl w:ilvl="0" w:tentative="0">
      <w:start w:val="1"/>
      <w:numFmt w:val="decimal"/>
      <w:lvlText w:val="%1."/>
      <w:lvlJc w:val="left"/>
      <w:pPr>
        <w:ind w:left="980" w:hanging="420"/>
      </w:pPr>
      <w:rPr>
        <w:rFonts w:hint="eastAsia"/>
      </w:rPr>
    </w:lvl>
    <w:lvl w:ilvl="1" w:tentative="0">
      <w:start w:val="1"/>
      <w:numFmt w:val="decimal"/>
      <w:lvlText w:val="%2．"/>
      <w:lvlJc w:val="left"/>
      <w:pPr>
        <w:ind w:left="1400" w:hanging="420"/>
      </w:pPr>
      <w:rPr>
        <w:rFonts w:hint="eastAsia"/>
      </w:rPr>
    </w:lvl>
    <w:lvl w:ilvl="2" w:tentative="0">
      <w:start w:val="3"/>
      <w:numFmt w:val="decimal"/>
      <w:lvlText w:val="%3"/>
      <w:lvlJc w:val="left"/>
      <w:pPr>
        <w:ind w:left="1760" w:hanging="360"/>
      </w:pPr>
      <w:rPr>
        <w:rFonts w:hint="default"/>
      </w:r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43"/>
  </w:num>
  <w:num w:numId="2">
    <w:abstractNumId w:val="16"/>
  </w:num>
  <w:num w:numId="3">
    <w:abstractNumId w:val="13"/>
  </w:num>
  <w:num w:numId="4">
    <w:abstractNumId w:val="20"/>
  </w:num>
  <w:num w:numId="5">
    <w:abstractNumId w:val="9"/>
  </w:num>
  <w:num w:numId="6">
    <w:abstractNumId w:val="4"/>
  </w:num>
  <w:num w:numId="7">
    <w:abstractNumId w:val="3"/>
  </w:num>
  <w:num w:numId="8">
    <w:abstractNumId w:val="39"/>
  </w:num>
  <w:num w:numId="9">
    <w:abstractNumId w:val="15"/>
  </w:num>
  <w:num w:numId="10">
    <w:abstractNumId w:val="10"/>
  </w:num>
  <w:num w:numId="11">
    <w:abstractNumId w:val="14"/>
  </w:num>
  <w:num w:numId="12">
    <w:abstractNumId w:val="12"/>
  </w:num>
  <w:num w:numId="13">
    <w:abstractNumId w:val="1"/>
  </w:num>
  <w:num w:numId="14">
    <w:abstractNumId w:val="2"/>
  </w:num>
  <w:num w:numId="15">
    <w:abstractNumId w:val="5"/>
  </w:num>
  <w:num w:numId="16">
    <w:abstractNumId w:val="7"/>
  </w:num>
  <w:num w:numId="17">
    <w:abstractNumId w:val="8"/>
  </w:num>
  <w:num w:numId="18">
    <w:abstractNumId w:val="6"/>
  </w:num>
  <w:num w:numId="19">
    <w:abstractNumId w:val="19"/>
  </w:num>
  <w:num w:numId="20">
    <w:abstractNumId w:val="18"/>
  </w:num>
  <w:num w:numId="21">
    <w:abstractNumId w:val="17"/>
  </w:num>
  <w:num w:numId="22">
    <w:abstractNumId w:val="11"/>
  </w:num>
  <w:num w:numId="23">
    <w:abstractNumId w:val="21"/>
  </w:num>
  <w:num w:numId="24">
    <w:abstractNumId w:val="59"/>
  </w:num>
  <w:num w:numId="25">
    <w:abstractNumId w:val="32"/>
  </w:num>
  <w:num w:numId="26">
    <w:abstractNumId w:val="45"/>
  </w:num>
  <w:num w:numId="27">
    <w:abstractNumId w:val="56"/>
  </w:num>
  <w:num w:numId="28">
    <w:abstractNumId w:val="29"/>
  </w:num>
  <w:num w:numId="29">
    <w:abstractNumId w:val="63"/>
  </w:num>
  <w:num w:numId="30">
    <w:abstractNumId w:val="38"/>
  </w:num>
  <w:num w:numId="31">
    <w:abstractNumId w:val="40"/>
  </w:num>
  <w:num w:numId="32">
    <w:abstractNumId w:val="61"/>
  </w:num>
  <w:num w:numId="33">
    <w:abstractNumId w:val="60"/>
  </w:num>
  <w:num w:numId="34">
    <w:abstractNumId w:val="36"/>
  </w:num>
  <w:num w:numId="35">
    <w:abstractNumId w:val="27"/>
  </w:num>
  <w:num w:numId="36">
    <w:abstractNumId w:val="25"/>
  </w:num>
  <w:num w:numId="37">
    <w:abstractNumId w:val="44"/>
  </w:num>
  <w:num w:numId="38">
    <w:abstractNumId w:val="34"/>
  </w:num>
  <w:num w:numId="39">
    <w:abstractNumId w:val="23"/>
  </w:num>
  <w:num w:numId="40">
    <w:abstractNumId w:val="24"/>
  </w:num>
  <w:num w:numId="41">
    <w:abstractNumId w:val="54"/>
  </w:num>
  <w:num w:numId="42">
    <w:abstractNumId w:val="26"/>
  </w:num>
  <w:num w:numId="43">
    <w:abstractNumId w:val="30"/>
  </w:num>
  <w:num w:numId="44">
    <w:abstractNumId w:val="58"/>
  </w:num>
  <w:num w:numId="45">
    <w:abstractNumId w:val="31"/>
  </w:num>
  <w:num w:numId="46">
    <w:abstractNumId w:val="22"/>
  </w:num>
  <w:num w:numId="47">
    <w:abstractNumId w:val="49"/>
  </w:num>
  <w:num w:numId="48">
    <w:abstractNumId w:val="62"/>
  </w:num>
  <w:num w:numId="49">
    <w:abstractNumId w:val="0"/>
  </w:num>
  <w:num w:numId="50">
    <w:abstractNumId w:val="51"/>
  </w:num>
  <w:num w:numId="51">
    <w:abstractNumId w:val="35"/>
  </w:num>
  <w:num w:numId="52">
    <w:abstractNumId w:val="33"/>
  </w:num>
  <w:num w:numId="53">
    <w:abstractNumId w:val="37"/>
  </w:num>
  <w:num w:numId="54">
    <w:abstractNumId w:val="47"/>
  </w:num>
  <w:num w:numId="55">
    <w:abstractNumId w:val="46"/>
  </w:num>
  <w:num w:numId="56">
    <w:abstractNumId w:val="50"/>
  </w:num>
  <w:num w:numId="57">
    <w:abstractNumId w:val="28"/>
  </w:num>
  <w:num w:numId="58">
    <w:abstractNumId w:val="55"/>
  </w:num>
  <w:num w:numId="59">
    <w:abstractNumId w:val="42"/>
  </w:num>
  <w:num w:numId="60">
    <w:abstractNumId w:val="57"/>
  </w:num>
  <w:num w:numId="61">
    <w:abstractNumId w:val="48"/>
  </w:num>
  <w:num w:numId="62">
    <w:abstractNumId w:val="52"/>
  </w:num>
  <w:num w:numId="63">
    <w:abstractNumId w:val="41"/>
  </w:num>
  <w:num w:numId="64">
    <w:abstractNumId w:val="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51"/>
  <w:drawingGridHorizontalSpacing w:val="321"/>
  <w:drawingGridVerticalSpacing w:val="437"/>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2659"/>
    <w:rsid w:val="00002C16"/>
    <w:rsid w:val="00003E62"/>
    <w:rsid w:val="00003ECA"/>
    <w:rsid w:val="000111D9"/>
    <w:rsid w:val="00011B69"/>
    <w:rsid w:val="00011D46"/>
    <w:rsid w:val="00013529"/>
    <w:rsid w:val="00014A29"/>
    <w:rsid w:val="00015AC1"/>
    <w:rsid w:val="00015DD7"/>
    <w:rsid w:val="00016751"/>
    <w:rsid w:val="00021BAB"/>
    <w:rsid w:val="000242FB"/>
    <w:rsid w:val="000263D7"/>
    <w:rsid w:val="00027459"/>
    <w:rsid w:val="00027D0E"/>
    <w:rsid w:val="00031569"/>
    <w:rsid w:val="000319C6"/>
    <w:rsid w:val="00031E97"/>
    <w:rsid w:val="00040A8C"/>
    <w:rsid w:val="00040E1B"/>
    <w:rsid w:val="00041FCE"/>
    <w:rsid w:val="00042CB2"/>
    <w:rsid w:val="00047A94"/>
    <w:rsid w:val="00047B7E"/>
    <w:rsid w:val="00050B82"/>
    <w:rsid w:val="00053B37"/>
    <w:rsid w:val="00055B1A"/>
    <w:rsid w:val="00057103"/>
    <w:rsid w:val="00057522"/>
    <w:rsid w:val="00060107"/>
    <w:rsid w:val="00062BD0"/>
    <w:rsid w:val="00064882"/>
    <w:rsid w:val="000658D7"/>
    <w:rsid w:val="00065929"/>
    <w:rsid w:val="00066358"/>
    <w:rsid w:val="000670DA"/>
    <w:rsid w:val="00067C09"/>
    <w:rsid w:val="00071868"/>
    <w:rsid w:val="00072053"/>
    <w:rsid w:val="0007561C"/>
    <w:rsid w:val="00075E11"/>
    <w:rsid w:val="00076687"/>
    <w:rsid w:val="00077A71"/>
    <w:rsid w:val="000825B4"/>
    <w:rsid w:val="000827DB"/>
    <w:rsid w:val="00083133"/>
    <w:rsid w:val="00083AC3"/>
    <w:rsid w:val="00083CC5"/>
    <w:rsid w:val="000852B4"/>
    <w:rsid w:val="00087263"/>
    <w:rsid w:val="000906C9"/>
    <w:rsid w:val="000915EE"/>
    <w:rsid w:val="00091C28"/>
    <w:rsid w:val="00092B11"/>
    <w:rsid w:val="00092CEB"/>
    <w:rsid w:val="00092F99"/>
    <w:rsid w:val="0009438F"/>
    <w:rsid w:val="000965EF"/>
    <w:rsid w:val="0009755E"/>
    <w:rsid w:val="00097BFF"/>
    <w:rsid w:val="000A1996"/>
    <w:rsid w:val="000A40A0"/>
    <w:rsid w:val="000A5F18"/>
    <w:rsid w:val="000A6548"/>
    <w:rsid w:val="000B054C"/>
    <w:rsid w:val="000B0A08"/>
    <w:rsid w:val="000B1355"/>
    <w:rsid w:val="000B157F"/>
    <w:rsid w:val="000B2504"/>
    <w:rsid w:val="000B2840"/>
    <w:rsid w:val="000B3771"/>
    <w:rsid w:val="000B46F4"/>
    <w:rsid w:val="000B5269"/>
    <w:rsid w:val="000B57A4"/>
    <w:rsid w:val="000B66AA"/>
    <w:rsid w:val="000B738D"/>
    <w:rsid w:val="000B76FD"/>
    <w:rsid w:val="000B7EE6"/>
    <w:rsid w:val="000C01B0"/>
    <w:rsid w:val="000C0911"/>
    <w:rsid w:val="000C0FAE"/>
    <w:rsid w:val="000C264C"/>
    <w:rsid w:val="000C31DA"/>
    <w:rsid w:val="000C3293"/>
    <w:rsid w:val="000C3575"/>
    <w:rsid w:val="000C35F9"/>
    <w:rsid w:val="000C4EE4"/>
    <w:rsid w:val="000C58A9"/>
    <w:rsid w:val="000C68BC"/>
    <w:rsid w:val="000C69A1"/>
    <w:rsid w:val="000C6D14"/>
    <w:rsid w:val="000C6E7B"/>
    <w:rsid w:val="000C705D"/>
    <w:rsid w:val="000C71BA"/>
    <w:rsid w:val="000C771F"/>
    <w:rsid w:val="000C7B46"/>
    <w:rsid w:val="000D0D2F"/>
    <w:rsid w:val="000D1009"/>
    <w:rsid w:val="000D1072"/>
    <w:rsid w:val="000D1177"/>
    <w:rsid w:val="000D15FD"/>
    <w:rsid w:val="000D3554"/>
    <w:rsid w:val="000D3998"/>
    <w:rsid w:val="000D4432"/>
    <w:rsid w:val="000D4DED"/>
    <w:rsid w:val="000D4E14"/>
    <w:rsid w:val="000D5A80"/>
    <w:rsid w:val="000D799D"/>
    <w:rsid w:val="000E08A7"/>
    <w:rsid w:val="000E3D81"/>
    <w:rsid w:val="000E52BA"/>
    <w:rsid w:val="000E63EA"/>
    <w:rsid w:val="000E778A"/>
    <w:rsid w:val="000F0010"/>
    <w:rsid w:val="000F0ED3"/>
    <w:rsid w:val="000F1351"/>
    <w:rsid w:val="000F1778"/>
    <w:rsid w:val="000F1C1A"/>
    <w:rsid w:val="000F2849"/>
    <w:rsid w:val="000F4D4E"/>
    <w:rsid w:val="000F596D"/>
    <w:rsid w:val="000F5C05"/>
    <w:rsid w:val="00100507"/>
    <w:rsid w:val="0010266F"/>
    <w:rsid w:val="00103327"/>
    <w:rsid w:val="0010369D"/>
    <w:rsid w:val="001058F2"/>
    <w:rsid w:val="00105A02"/>
    <w:rsid w:val="00110351"/>
    <w:rsid w:val="00113734"/>
    <w:rsid w:val="0011375F"/>
    <w:rsid w:val="00113F05"/>
    <w:rsid w:val="00114EBA"/>
    <w:rsid w:val="001154B1"/>
    <w:rsid w:val="0011647F"/>
    <w:rsid w:val="00122490"/>
    <w:rsid w:val="00123511"/>
    <w:rsid w:val="001235F8"/>
    <w:rsid w:val="00123675"/>
    <w:rsid w:val="00123912"/>
    <w:rsid w:val="001241A8"/>
    <w:rsid w:val="00124C94"/>
    <w:rsid w:val="0012501E"/>
    <w:rsid w:val="00127808"/>
    <w:rsid w:val="00127C85"/>
    <w:rsid w:val="00130E52"/>
    <w:rsid w:val="00130F19"/>
    <w:rsid w:val="001313B7"/>
    <w:rsid w:val="0013195F"/>
    <w:rsid w:val="00133ED8"/>
    <w:rsid w:val="0013465D"/>
    <w:rsid w:val="00134E80"/>
    <w:rsid w:val="00135006"/>
    <w:rsid w:val="00136056"/>
    <w:rsid w:val="0013759C"/>
    <w:rsid w:val="001428DB"/>
    <w:rsid w:val="00142C36"/>
    <w:rsid w:val="00142FD4"/>
    <w:rsid w:val="00143677"/>
    <w:rsid w:val="00143A86"/>
    <w:rsid w:val="001453BB"/>
    <w:rsid w:val="00145CE4"/>
    <w:rsid w:val="00147FB5"/>
    <w:rsid w:val="00147FCB"/>
    <w:rsid w:val="0015247B"/>
    <w:rsid w:val="001530FC"/>
    <w:rsid w:val="00154BC1"/>
    <w:rsid w:val="0015547F"/>
    <w:rsid w:val="0015674F"/>
    <w:rsid w:val="001569A3"/>
    <w:rsid w:val="00157B39"/>
    <w:rsid w:val="00157D06"/>
    <w:rsid w:val="001612E8"/>
    <w:rsid w:val="001676DD"/>
    <w:rsid w:val="001700DA"/>
    <w:rsid w:val="00170B5A"/>
    <w:rsid w:val="00170B7E"/>
    <w:rsid w:val="00171565"/>
    <w:rsid w:val="00173891"/>
    <w:rsid w:val="00173AA1"/>
    <w:rsid w:val="00174066"/>
    <w:rsid w:val="00175F5A"/>
    <w:rsid w:val="00181327"/>
    <w:rsid w:val="00181A86"/>
    <w:rsid w:val="00182ADD"/>
    <w:rsid w:val="0018332E"/>
    <w:rsid w:val="00183575"/>
    <w:rsid w:val="001843A0"/>
    <w:rsid w:val="001864CB"/>
    <w:rsid w:val="00186F73"/>
    <w:rsid w:val="001901AE"/>
    <w:rsid w:val="0019033D"/>
    <w:rsid w:val="001911CA"/>
    <w:rsid w:val="001915E6"/>
    <w:rsid w:val="00191F08"/>
    <w:rsid w:val="00193D14"/>
    <w:rsid w:val="00194091"/>
    <w:rsid w:val="001A0434"/>
    <w:rsid w:val="001A0480"/>
    <w:rsid w:val="001A178F"/>
    <w:rsid w:val="001A4A10"/>
    <w:rsid w:val="001A526E"/>
    <w:rsid w:val="001A5554"/>
    <w:rsid w:val="001A6909"/>
    <w:rsid w:val="001A70BD"/>
    <w:rsid w:val="001A77E5"/>
    <w:rsid w:val="001B011D"/>
    <w:rsid w:val="001B0952"/>
    <w:rsid w:val="001B1BBA"/>
    <w:rsid w:val="001B1DF5"/>
    <w:rsid w:val="001B24D1"/>
    <w:rsid w:val="001B2B01"/>
    <w:rsid w:val="001B2F4D"/>
    <w:rsid w:val="001B34D9"/>
    <w:rsid w:val="001B3F87"/>
    <w:rsid w:val="001B650A"/>
    <w:rsid w:val="001B74BD"/>
    <w:rsid w:val="001B7A09"/>
    <w:rsid w:val="001C03A3"/>
    <w:rsid w:val="001C0A96"/>
    <w:rsid w:val="001C2D1A"/>
    <w:rsid w:val="001C54E1"/>
    <w:rsid w:val="001C6FF3"/>
    <w:rsid w:val="001D0D24"/>
    <w:rsid w:val="001D1DFB"/>
    <w:rsid w:val="001D210D"/>
    <w:rsid w:val="001D55A7"/>
    <w:rsid w:val="001D728F"/>
    <w:rsid w:val="001D77A1"/>
    <w:rsid w:val="001D7D28"/>
    <w:rsid w:val="001D7F3E"/>
    <w:rsid w:val="001D7FDC"/>
    <w:rsid w:val="001E04C5"/>
    <w:rsid w:val="001E46D3"/>
    <w:rsid w:val="001E58EA"/>
    <w:rsid w:val="001E5D52"/>
    <w:rsid w:val="001E7098"/>
    <w:rsid w:val="001E764B"/>
    <w:rsid w:val="001F1189"/>
    <w:rsid w:val="001F2024"/>
    <w:rsid w:val="001F3132"/>
    <w:rsid w:val="001F4630"/>
    <w:rsid w:val="001F473F"/>
    <w:rsid w:val="001F47B8"/>
    <w:rsid w:val="001F4F1A"/>
    <w:rsid w:val="001F53E9"/>
    <w:rsid w:val="001F6455"/>
    <w:rsid w:val="00200850"/>
    <w:rsid w:val="002014C4"/>
    <w:rsid w:val="0020194D"/>
    <w:rsid w:val="00201B41"/>
    <w:rsid w:val="00202300"/>
    <w:rsid w:val="0020708F"/>
    <w:rsid w:val="00210019"/>
    <w:rsid w:val="002136F9"/>
    <w:rsid w:val="0021430C"/>
    <w:rsid w:val="002156FA"/>
    <w:rsid w:val="00215A1A"/>
    <w:rsid w:val="00215C38"/>
    <w:rsid w:val="0022087A"/>
    <w:rsid w:val="00221033"/>
    <w:rsid w:val="002217AE"/>
    <w:rsid w:val="0022373B"/>
    <w:rsid w:val="00223D58"/>
    <w:rsid w:val="002253FE"/>
    <w:rsid w:val="00225964"/>
    <w:rsid w:val="002263B1"/>
    <w:rsid w:val="002268BF"/>
    <w:rsid w:val="00226D8C"/>
    <w:rsid w:val="00227763"/>
    <w:rsid w:val="00233038"/>
    <w:rsid w:val="0023561C"/>
    <w:rsid w:val="002371F9"/>
    <w:rsid w:val="00237606"/>
    <w:rsid w:val="0023761C"/>
    <w:rsid w:val="002378A3"/>
    <w:rsid w:val="00240DFB"/>
    <w:rsid w:val="002414FD"/>
    <w:rsid w:val="00242C31"/>
    <w:rsid w:val="002432E8"/>
    <w:rsid w:val="00243EA5"/>
    <w:rsid w:val="002469AD"/>
    <w:rsid w:val="002518F9"/>
    <w:rsid w:val="00251B3D"/>
    <w:rsid w:val="00252300"/>
    <w:rsid w:val="0025286D"/>
    <w:rsid w:val="00254B47"/>
    <w:rsid w:val="0025528B"/>
    <w:rsid w:val="00255899"/>
    <w:rsid w:val="002568C8"/>
    <w:rsid w:val="00256AE7"/>
    <w:rsid w:val="00257080"/>
    <w:rsid w:val="00260965"/>
    <w:rsid w:val="00261B86"/>
    <w:rsid w:val="00262903"/>
    <w:rsid w:val="00262CD0"/>
    <w:rsid w:val="00265E03"/>
    <w:rsid w:val="002717F1"/>
    <w:rsid w:val="00277D0C"/>
    <w:rsid w:val="002809C2"/>
    <w:rsid w:val="00281B3E"/>
    <w:rsid w:val="0028202A"/>
    <w:rsid w:val="002826B6"/>
    <w:rsid w:val="00282FEE"/>
    <w:rsid w:val="002830FC"/>
    <w:rsid w:val="002831D0"/>
    <w:rsid w:val="00284A83"/>
    <w:rsid w:val="0028519A"/>
    <w:rsid w:val="002853B4"/>
    <w:rsid w:val="00286328"/>
    <w:rsid w:val="00286DF6"/>
    <w:rsid w:val="00290E1F"/>
    <w:rsid w:val="00291965"/>
    <w:rsid w:val="00292204"/>
    <w:rsid w:val="00292B9A"/>
    <w:rsid w:val="00292C94"/>
    <w:rsid w:val="00292DAD"/>
    <w:rsid w:val="0029385A"/>
    <w:rsid w:val="00293FA1"/>
    <w:rsid w:val="00294DA4"/>
    <w:rsid w:val="0029590D"/>
    <w:rsid w:val="002965F8"/>
    <w:rsid w:val="00296F0F"/>
    <w:rsid w:val="0029704E"/>
    <w:rsid w:val="00297D2C"/>
    <w:rsid w:val="00297DCC"/>
    <w:rsid w:val="002A0722"/>
    <w:rsid w:val="002A2BF6"/>
    <w:rsid w:val="002A4AE3"/>
    <w:rsid w:val="002A5E8A"/>
    <w:rsid w:val="002A758A"/>
    <w:rsid w:val="002A7D9C"/>
    <w:rsid w:val="002B07A8"/>
    <w:rsid w:val="002B2128"/>
    <w:rsid w:val="002B3318"/>
    <w:rsid w:val="002B4072"/>
    <w:rsid w:val="002B4B21"/>
    <w:rsid w:val="002B7D7C"/>
    <w:rsid w:val="002C0200"/>
    <w:rsid w:val="002C0449"/>
    <w:rsid w:val="002C0C3A"/>
    <w:rsid w:val="002C130D"/>
    <w:rsid w:val="002C20AA"/>
    <w:rsid w:val="002C3176"/>
    <w:rsid w:val="002C420C"/>
    <w:rsid w:val="002C44B5"/>
    <w:rsid w:val="002C56F3"/>
    <w:rsid w:val="002C577C"/>
    <w:rsid w:val="002D1297"/>
    <w:rsid w:val="002D23C2"/>
    <w:rsid w:val="002D406F"/>
    <w:rsid w:val="002D42E9"/>
    <w:rsid w:val="002D4ACA"/>
    <w:rsid w:val="002D5098"/>
    <w:rsid w:val="002D554D"/>
    <w:rsid w:val="002E329C"/>
    <w:rsid w:val="002E32D2"/>
    <w:rsid w:val="002E4993"/>
    <w:rsid w:val="002E64C0"/>
    <w:rsid w:val="002F079C"/>
    <w:rsid w:val="002F2364"/>
    <w:rsid w:val="002F28CE"/>
    <w:rsid w:val="002F2A34"/>
    <w:rsid w:val="002F6738"/>
    <w:rsid w:val="002F6C41"/>
    <w:rsid w:val="002F6E58"/>
    <w:rsid w:val="00300AA8"/>
    <w:rsid w:val="0030263B"/>
    <w:rsid w:val="00302F08"/>
    <w:rsid w:val="00303320"/>
    <w:rsid w:val="0030356D"/>
    <w:rsid w:val="00305FE2"/>
    <w:rsid w:val="0030604B"/>
    <w:rsid w:val="00307A8A"/>
    <w:rsid w:val="003102CF"/>
    <w:rsid w:val="00310565"/>
    <w:rsid w:val="00310853"/>
    <w:rsid w:val="003118CC"/>
    <w:rsid w:val="00311B01"/>
    <w:rsid w:val="00311CB4"/>
    <w:rsid w:val="0031224B"/>
    <w:rsid w:val="0031469C"/>
    <w:rsid w:val="0031539C"/>
    <w:rsid w:val="00315990"/>
    <w:rsid w:val="003160B9"/>
    <w:rsid w:val="00320B85"/>
    <w:rsid w:val="0032165E"/>
    <w:rsid w:val="003223AD"/>
    <w:rsid w:val="00323032"/>
    <w:rsid w:val="003275FB"/>
    <w:rsid w:val="00327ED8"/>
    <w:rsid w:val="0033060A"/>
    <w:rsid w:val="003315E9"/>
    <w:rsid w:val="00331AB4"/>
    <w:rsid w:val="00331EB2"/>
    <w:rsid w:val="00331F39"/>
    <w:rsid w:val="0033234E"/>
    <w:rsid w:val="003331CB"/>
    <w:rsid w:val="003337BE"/>
    <w:rsid w:val="00334136"/>
    <w:rsid w:val="00335053"/>
    <w:rsid w:val="00335B96"/>
    <w:rsid w:val="00337490"/>
    <w:rsid w:val="003374D7"/>
    <w:rsid w:val="003402F4"/>
    <w:rsid w:val="00340642"/>
    <w:rsid w:val="00340EB9"/>
    <w:rsid w:val="00341ACA"/>
    <w:rsid w:val="0034230B"/>
    <w:rsid w:val="00343ABF"/>
    <w:rsid w:val="00345A02"/>
    <w:rsid w:val="0034698F"/>
    <w:rsid w:val="00346BEC"/>
    <w:rsid w:val="0034782C"/>
    <w:rsid w:val="00350896"/>
    <w:rsid w:val="00350C30"/>
    <w:rsid w:val="00351212"/>
    <w:rsid w:val="003520AE"/>
    <w:rsid w:val="003524F3"/>
    <w:rsid w:val="003531B3"/>
    <w:rsid w:val="00356443"/>
    <w:rsid w:val="00356514"/>
    <w:rsid w:val="00360873"/>
    <w:rsid w:val="003621DC"/>
    <w:rsid w:val="0036350C"/>
    <w:rsid w:val="0036407B"/>
    <w:rsid w:val="00364EBC"/>
    <w:rsid w:val="003654A3"/>
    <w:rsid w:val="00367990"/>
    <w:rsid w:val="00373003"/>
    <w:rsid w:val="0037385D"/>
    <w:rsid w:val="00375CA7"/>
    <w:rsid w:val="003761D6"/>
    <w:rsid w:val="003770EB"/>
    <w:rsid w:val="00377E0B"/>
    <w:rsid w:val="003812DA"/>
    <w:rsid w:val="0038142C"/>
    <w:rsid w:val="00382872"/>
    <w:rsid w:val="00382AB9"/>
    <w:rsid w:val="00383437"/>
    <w:rsid w:val="00383756"/>
    <w:rsid w:val="003842B0"/>
    <w:rsid w:val="003850D9"/>
    <w:rsid w:val="00387E84"/>
    <w:rsid w:val="003904DB"/>
    <w:rsid w:val="00393F31"/>
    <w:rsid w:val="00394347"/>
    <w:rsid w:val="00394557"/>
    <w:rsid w:val="00396B68"/>
    <w:rsid w:val="00396F9B"/>
    <w:rsid w:val="003A081D"/>
    <w:rsid w:val="003A11FD"/>
    <w:rsid w:val="003A1D9F"/>
    <w:rsid w:val="003A201B"/>
    <w:rsid w:val="003A2258"/>
    <w:rsid w:val="003A37CB"/>
    <w:rsid w:val="003A40D1"/>
    <w:rsid w:val="003A6469"/>
    <w:rsid w:val="003A6C74"/>
    <w:rsid w:val="003A7F88"/>
    <w:rsid w:val="003B02AB"/>
    <w:rsid w:val="003B0A09"/>
    <w:rsid w:val="003B24C1"/>
    <w:rsid w:val="003B33BE"/>
    <w:rsid w:val="003B429A"/>
    <w:rsid w:val="003B45A4"/>
    <w:rsid w:val="003C061B"/>
    <w:rsid w:val="003C0B4B"/>
    <w:rsid w:val="003C2D32"/>
    <w:rsid w:val="003C315F"/>
    <w:rsid w:val="003C3601"/>
    <w:rsid w:val="003C5E10"/>
    <w:rsid w:val="003C686C"/>
    <w:rsid w:val="003C6AD3"/>
    <w:rsid w:val="003C6E48"/>
    <w:rsid w:val="003C7061"/>
    <w:rsid w:val="003C7742"/>
    <w:rsid w:val="003C790C"/>
    <w:rsid w:val="003D0424"/>
    <w:rsid w:val="003D053E"/>
    <w:rsid w:val="003D23BF"/>
    <w:rsid w:val="003D33D3"/>
    <w:rsid w:val="003D482B"/>
    <w:rsid w:val="003D4F8E"/>
    <w:rsid w:val="003D53F4"/>
    <w:rsid w:val="003D5820"/>
    <w:rsid w:val="003D5CA9"/>
    <w:rsid w:val="003D680E"/>
    <w:rsid w:val="003D7086"/>
    <w:rsid w:val="003D7CE8"/>
    <w:rsid w:val="003E0604"/>
    <w:rsid w:val="003E0802"/>
    <w:rsid w:val="003E0E89"/>
    <w:rsid w:val="003E11C1"/>
    <w:rsid w:val="003E208F"/>
    <w:rsid w:val="003E4E81"/>
    <w:rsid w:val="003E5220"/>
    <w:rsid w:val="003E5AE2"/>
    <w:rsid w:val="003E6E13"/>
    <w:rsid w:val="003E7316"/>
    <w:rsid w:val="003F079B"/>
    <w:rsid w:val="003F0E00"/>
    <w:rsid w:val="003F1DA1"/>
    <w:rsid w:val="003F1E9E"/>
    <w:rsid w:val="003F2CF1"/>
    <w:rsid w:val="003F362C"/>
    <w:rsid w:val="003F45A8"/>
    <w:rsid w:val="003F46C8"/>
    <w:rsid w:val="00400633"/>
    <w:rsid w:val="004020A4"/>
    <w:rsid w:val="00403917"/>
    <w:rsid w:val="00404D43"/>
    <w:rsid w:val="004054A2"/>
    <w:rsid w:val="004069E1"/>
    <w:rsid w:val="004108FD"/>
    <w:rsid w:val="00411145"/>
    <w:rsid w:val="00411C1E"/>
    <w:rsid w:val="00411CB6"/>
    <w:rsid w:val="00412C3E"/>
    <w:rsid w:val="0041325C"/>
    <w:rsid w:val="00413AD1"/>
    <w:rsid w:val="004142B8"/>
    <w:rsid w:val="0041537B"/>
    <w:rsid w:val="00415711"/>
    <w:rsid w:val="004178E4"/>
    <w:rsid w:val="0042279D"/>
    <w:rsid w:val="00422B3E"/>
    <w:rsid w:val="0042444C"/>
    <w:rsid w:val="00424DD2"/>
    <w:rsid w:val="00425666"/>
    <w:rsid w:val="00432E49"/>
    <w:rsid w:val="00436E8F"/>
    <w:rsid w:val="00437AD6"/>
    <w:rsid w:val="00440AD6"/>
    <w:rsid w:val="00442ED0"/>
    <w:rsid w:val="00442FFA"/>
    <w:rsid w:val="004430A5"/>
    <w:rsid w:val="0044320A"/>
    <w:rsid w:val="0044399F"/>
    <w:rsid w:val="004453CB"/>
    <w:rsid w:val="00446885"/>
    <w:rsid w:val="0044714D"/>
    <w:rsid w:val="0044717C"/>
    <w:rsid w:val="00447AC4"/>
    <w:rsid w:val="004508C0"/>
    <w:rsid w:val="0045362B"/>
    <w:rsid w:val="00453B2E"/>
    <w:rsid w:val="00453BB6"/>
    <w:rsid w:val="0045485D"/>
    <w:rsid w:val="004551F0"/>
    <w:rsid w:val="004559A9"/>
    <w:rsid w:val="00455C30"/>
    <w:rsid w:val="00457CD5"/>
    <w:rsid w:val="004600EF"/>
    <w:rsid w:val="0046026D"/>
    <w:rsid w:val="0046079B"/>
    <w:rsid w:val="00461982"/>
    <w:rsid w:val="00462241"/>
    <w:rsid w:val="00462959"/>
    <w:rsid w:val="0046326C"/>
    <w:rsid w:val="004635EC"/>
    <w:rsid w:val="00463788"/>
    <w:rsid w:val="00464679"/>
    <w:rsid w:val="00465132"/>
    <w:rsid w:val="00465D87"/>
    <w:rsid w:val="00466A63"/>
    <w:rsid w:val="004711B9"/>
    <w:rsid w:val="00471744"/>
    <w:rsid w:val="0047259F"/>
    <w:rsid w:val="004727D3"/>
    <w:rsid w:val="00472DB6"/>
    <w:rsid w:val="00472F40"/>
    <w:rsid w:val="00480B46"/>
    <w:rsid w:val="004810AA"/>
    <w:rsid w:val="00481AA0"/>
    <w:rsid w:val="00481C75"/>
    <w:rsid w:val="00482D1B"/>
    <w:rsid w:val="00482E4E"/>
    <w:rsid w:val="00483391"/>
    <w:rsid w:val="004833C1"/>
    <w:rsid w:val="004845B5"/>
    <w:rsid w:val="004858B8"/>
    <w:rsid w:val="004865D1"/>
    <w:rsid w:val="00486D19"/>
    <w:rsid w:val="004878D0"/>
    <w:rsid w:val="00487900"/>
    <w:rsid w:val="00492A44"/>
    <w:rsid w:val="00492D38"/>
    <w:rsid w:val="00493343"/>
    <w:rsid w:val="004939E0"/>
    <w:rsid w:val="00493A24"/>
    <w:rsid w:val="004953DD"/>
    <w:rsid w:val="004A232D"/>
    <w:rsid w:val="004A5595"/>
    <w:rsid w:val="004A55C5"/>
    <w:rsid w:val="004A6FDC"/>
    <w:rsid w:val="004B130A"/>
    <w:rsid w:val="004B18B6"/>
    <w:rsid w:val="004B20E7"/>
    <w:rsid w:val="004B26D9"/>
    <w:rsid w:val="004B34F9"/>
    <w:rsid w:val="004B3E6F"/>
    <w:rsid w:val="004B4D22"/>
    <w:rsid w:val="004B5044"/>
    <w:rsid w:val="004B55A0"/>
    <w:rsid w:val="004B598E"/>
    <w:rsid w:val="004B5DE8"/>
    <w:rsid w:val="004B62B8"/>
    <w:rsid w:val="004B7347"/>
    <w:rsid w:val="004B755A"/>
    <w:rsid w:val="004B7A21"/>
    <w:rsid w:val="004C0F1C"/>
    <w:rsid w:val="004C2E35"/>
    <w:rsid w:val="004C48AF"/>
    <w:rsid w:val="004C5DA9"/>
    <w:rsid w:val="004C7F9F"/>
    <w:rsid w:val="004D14CF"/>
    <w:rsid w:val="004D2682"/>
    <w:rsid w:val="004D38D4"/>
    <w:rsid w:val="004D51AF"/>
    <w:rsid w:val="004D5AEA"/>
    <w:rsid w:val="004D6CF5"/>
    <w:rsid w:val="004D6D61"/>
    <w:rsid w:val="004D7221"/>
    <w:rsid w:val="004D7233"/>
    <w:rsid w:val="004D7DC6"/>
    <w:rsid w:val="004E05B5"/>
    <w:rsid w:val="004E3FEC"/>
    <w:rsid w:val="004E4315"/>
    <w:rsid w:val="004E4C95"/>
    <w:rsid w:val="004E7852"/>
    <w:rsid w:val="004E79F2"/>
    <w:rsid w:val="004E7E69"/>
    <w:rsid w:val="004F04B1"/>
    <w:rsid w:val="004F2562"/>
    <w:rsid w:val="004F27EC"/>
    <w:rsid w:val="004F2D35"/>
    <w:rsid w:val="004F5BD2"/>
    <w:rsid w:val="004F6228"/>
    <w:rsid w:val="004F6C41"/>
    <w:rsid w:val="004F7717"/>
    <w:rsid w:val="004F7AA1"/>
    <w:rsid w:val="0050059C"/>
    <w:rsid w:val="0050095B"/>
    <w:rsid w:val="005017E2"/>
    <w:rsid w:val="005020AA"/>
    <w:rsid w:val="0050219C"/>
    <w:rsid w:val="00502290"/>
    <w:rsid w:val="0050354A"/>
    <w:rsid w:val="00505FC5"/>
    <w:rsid w:val="005064C1"/>
    <w:rsid w:val="00506574"/>
    <w:rsid w:val="00506BBE"/>
    <w:rsid w:val="00506D30"/>
    <w:rsid w:val="0050739E"/>
    <w:rsid w:val="00507D32"/>
    <w:rsid w:val="0051017E"/>
    <w:rsid w:val="005153E0"/>
    <w:rsid w:val="00515999"/>
    <w:rsid w:val="005161E8"/>
    <w:rsid w:val="005163C2"/>
    <w:rsid w:val="005166CE"/>
    <w:rsid w:val="00516906"/>
    <w:rsid w:val="005232A4"/>
    <w:rsid w:val="00524715"/>
    <w:rsid w:val="005257A1"/>
    <w:rsid w:val="00525B4D"/>
    <w:rsid w:val="00526837"/>
    <w:rsid w:val="00526AC6"/>
    <w:rsid w:val="005271C9"/>
    <w:rsid w:val="00530DED"/>
    <w:rsid w:val="005320CB"/>
    <w:rsid w:val="00532582"/>
    <w:rsid w:val="0053298E"/>
    <w:rsid w:val="0053372B"/>
    <w:rsid w:val="0053440B"/>
    <w:rsid w:val="00534AB5"/>
    <w:rsid w:val="00534BED"/>
    <w:rsid w:val="00535F8D"/>
    <w:rsid w:val="00536C82"/>
    <w:rsid w:val="00536EEB"/>
    <w:rsid w:val="005374CA"/>
    <w:rsid w:val="00537C2A"/>
    <w:rsid w:val="00542153"/>
    <w:rsid w:val="0054249A"/>
    <w:rsid w:val="00543561"/>
    <w:rsid w:val="005456D0"/>
    <w:rsid w:val="0054646A"/>
    <w:rsid w:val="00550393"/>
    <w:rsid w:val="005523D0"/>
    <w:rsid w:val="00552548"/>
    <w:rsid w:val="005535CD"/>
    <w:rsid w:val="00553AD8"/>
    <w:rsid w:val="00554E70"/>
    <w:rsid w:val="005551FB"/>
    <w:rsid w:val="005555E3"/>
    <w:rsid w:val="00562A08"/>
    <w:rsid w:val="00563071"/>
    <w:rsid w:val="00563973"/>
    <w:rsid w:val="00563EC2"/>
    <w:rsid w:val="005640ED"/>
    <w:rsid w:val="00565CEC"/>
    <w:rsid w:val="00566128"/>
    <w:rsid w:val="00566647"/>
    <w:rsid w:val="00571B28"/>
    <w:rsid w:val="00572646"/>
    <w:rsid w:val="005726CC"/>
    <w:rsid w:val="0057281F"/>
    <w:rsid w:val="00573DD9"/>
    <w:rsid w:val="00574305"/>
    <w:rsid w:val="00574FCB"/>
    <w:rsid w:val="005759D4"/>
    <w:rsid w:val="0057604C"/>
    <w:rsid w:val="005819DA"/>
    <w:rsid w:val="0058437E"/>
    <w:rsid w:val="00584B87"/>
    <w:rsid w:val="005853E4"/>
    <w:rsid w:val="00586E03"/>
    <w:rsid w:val="005871B3"/>
    <w:rsid w:val="00587F4C"/>
    <w:rsid w:val="00587F96"/>
    <w:rsid w:val="005918F8"/>
    <w:rsid w:val="00591A68"/>
    <w:rsid w:val="00593F9F"/>
    <w:rsid w:val="00594C4A"/>
    <w:rsid w:val="00595876"/>
    <w:rsid w:val="0059665B"/>
    <w:rsid w:val="00596D36"/>
    <w:rsid w:val="005A130B"/>
    <w:rsid w:val="005A1A75"/>
    <w:rsid w:val="005A4B45"/>
    <w:rsid w:val="005A5ABD"/>
    <w:rsid w:val="005A6924"/>
    <w:rsid w:val="005B05EA"/>
    <w:rsid w:val="005B09FC"/>
    <w:rsid w:val="005B144E"/>
    <w:rsid w:val="005B15D9"/>
    <w:rsid w:val="005B24B9"/>
    <w:rsid w:val="005B37DF"/>
    <w:rsid w:val="005B59B9"/>
    <w:rsid w:val="005B6137"/>
    <w:rsid w:val="005B630F"/>
    <w:rsid w:val="005B660F"/>
    <w:rsid w:val="005B75C9"/>
    <w:rsid w:val="005C0C9B"/>
    <w:rsid w:val="005C1AD7"/>
    <w:rsid w:val="005C2BEB"/>
    <w:rsid w:val="005C32B6"/>
    <w:rsid w:val="005C3A29"/>
    <w:rsid w:val="005C58E5"/>
    <w:rsid w:val="005C618F"/>
    <w:rsid w:val="005C63F8"/>
    <w:rsid w:val="005C686B"/>
    <w:rsid w:val="005C76BB"/>
    <w:rsid w:val="005D0EB9"/>
    <w:rsid w:val="005D17A5"/>
    <w:rsid w:val="005D59A3"/>
    <w:rsid w:val="005D6CAA"/>
    <w:rsid w:val="005D7A6E"/>
    <w:rsid w:val="005D7CAF"/>
    <w:rsid w:val="005E09F4"/>
    <w:rsid w:val="005E15A3"/>
    <w:rsid w:val="005E46D1"/>
    <w:rsid w:val="005E4CEF"/>
    <w:rsid w:val="005E6D76"/>
    <w:rsid w:val="005F06D4"/>
    <w:rsid w:val="005F0A1F"/>
    <w:rsid w:val="005F16F6"/>
    <w:rsid w:val="005F19D3"/>
    <w:rsid w:val="005F1F62"/>
    <w:rsid w:val="005F2981"/>
    <w:rsid w:val="005F31DD"/>
    <w:rsid w:val="005F3F0C"/>
    <w:rsid w:val="005F49AC"/>
    <w:rsid w:val="005F6CB1"/>
    <w:rsid w:val="0060299E"/>
    <w:rsid w:val="00602BA2"/>
    <w:rsid w:val="00605B68"/>
    <w:rsid w:val="006064EE"/>
    <w:rsid w:val="00606526"/>
    <w:rsid w:val="0061070B"/>
    <w:rsid w:val="00613953"/>
    <w:rsid w:val="00614719"/>
    <w:rsid w:val="0062078D"/>
    <w:rsid w:val="00621190"/>
    <w:rsid w:val="00622258"/>
    <w:rsid w:val="0062272C"/>
    <w:rsid w:val="00623254"/>
    <w:rsid w:val="00626343"/>
    <w:rsid w:val="006313CA"/>
    <w:rsid w:val="006326A4"/>
    <w:rsid w:val="00633F7C"/>
    <w:rsid w:val="00635B4C"/>
    <w:rsid w:val="00635C0B"/>
    <w:rsid w:val="00636E13"/>
    <w:rsid w:val="006401A0"/>
    <w:rsid w:val="00642615"/>
    <w:rsid w:val="00644068"/>
    <w:rsid w:val="006454B0"/>
    <w:rsid w:val="00645660"/>
    <w:rsid w:val="006478EC"/>
    <w:rsid w:val="00647A3B"/>
    <w:rsid w:val="00647A47"/>
    <w:rsid w:val="00651349"/>
    <w:rsid w:val="00652217"/>
    <w:rsid w:val="00653F2C"/>
    <w:rsid w:val="00653FEF"/>
    <w:rsid w:val="00654F83"/>
    <w:rsid w:val="00656DB6"/>
    <w:rsid w:val="00663467"/>
    <w:rsid w:val="006648F5"/>
    <w:rsid w:val="006651A1"/>
    <w:rsid w:val="00665B1F"/>
    <w:rsid w:val="00665B6A"/>
    <w:rsid w:val="0066748F"/>
    <w:rsid w:val="006675E1"/>
    <w:rsid w:val="00667EC1"/>
    <w:rsid w:val="00671DB4"/>
    <w:rsid w:val="00672193"/>
    <w:rsid w:val="00673719"/>
    <w:rsid w:val="00680C18"/>
    <w:rsid w:val="00680F6D"/>
    <w:rsid w:val="0068547E"/>
    <w:rsid w:val="006856F5"/>
    <w:rsid w:val="00685FC1"/>
    <w:rsid w:val="00687F13"/>
    <w:rsid w:val="006903D8"/>
    <w:rsid w:val="00690AEB"/>
    <w:rsid w:val="006910A1"/>
    <w:rsid w:val="006913D2"/>
    <w:rsid w:val="006919F7"/>
    <w:rsid w:val="00692BC0"/>
    <w:rsid w:val="00692CDC"/>
    <w:rsid w:val="00692FEC"/>
    <w:rsid w:val="00693C7D"/>
    <w:rsid w:val="00694D36"/>
    <w:rsid w:val="0069536E"/>
    <w:rsid w:val="00696554"/>
    <w:rsid w:val="00696C35"/>
    <w:rsid w:val="006A18B2"/>
    <w:rsid w:val="006A2649"/>
    <w:rsid w:val="006A2A03"/>
    <w:rsid w:val="006A3EE9"/>
    <w:rsid w:val="006A4FC2"/>
    <w:rsid w:val="006A680E"/>
    <w:rsid w:val="006B0588"/>
    <w:rsid w:val="006B0995"/>
    <w:rsid w:val="006B415A"/>
    <w:rsid w:val="006B46B2"/>
    <w:rsid w:val="006B4F5F"/>
    <w:rsid w:val="006B5236"/>
    <w:rsid w:val="006B703F"/>
    <w:rsid w:val="006C29C0"/>
    <w:rsid w:val="006C2BB4"/>
    <w:rsid w:val="006C38CB"/>
    <w:rsid w:val="006C4143"/>
    <w:rsid w:val="006C5ABD"/>
    <w:rsid w:val="006C5F92"/>
    <w:rsid w:val="006C7BAF"/>
    <w:rsid w:val="006D022F"/>
    <w:rsid w:val="006D0AB0"/>
    <w:rsid w:val="006D3E3C"/>
    <w:rsid w:val="006D40E5"/>
    <w:rsid w:val="006D5809"/>
    <w:rsid w:val="006D58FB"/>
    <w:rsid w:val="006D64F2"/>
    <w:rsid w:val="006D6E18"/>
    <w:rsid w:val="006D761F"/>
    <w:rsid w:val="006E0663"/>
    <w:rsid w:val="006E0BCC"/>
    <w:rsid w:val="006E11F5"/>
    <w:rsid w:val="006E1663"/>
    <w:rsid w:val="006E1D40"/>
    <w:rsid w:val="006E306C"/>
    <w:rsid w:val="006E33A5"/>
    <w:rsid w:val="006E4382"/>
    <w:rsid w:val="006E6600"/>
    <w:rsid w:val="006F0408"/>
    <w:rsid w:val="006F13DA"/>
    <w:rsid w:val="006F15D6"/>
    <w:rsid w:val="006F16D5"/>
    <w:rsid w:val="006F1DCD"/>
    <w:rsid w:val="006F3B65"/>
    <w:rsid w:val="006F3D1C"/>
    <w:rsid w:val="006F6316"/>
    <w:rsid w:val="006F73E9"/>
    <w:rsid w:val="006F7E80"/>
    <w:rsid w:val="00702DD9"/>
    <w:rsid w:val="00704237"/>
    <w:rsid w:val="007072DF"/>
    <w:rsid w:val="00710404"/>
    <w:rsid w:val="00710D1B"/>
    <w:rsid w:val="007135FE"/>
    <w:rsid w:val="00713CF6"/>
    <w:rsid w:val="00716A70"/>
    <w:rsid w:val="007204EC"/>
    <w:rsid w:val="00722753"/>
    <w:rsid w:val="00726525"/>
    <w:rsid w:val="00732837"/>
    <w:rsid w:val="00733664"/>
    <w:rsid w:val="00734336"/>
    <w:rsid w:val="0073435E"/>
    <w:rsid w:val="00734CCA"/>
    <w:rsid w:val="00735823"/>
    <w:rsid w:val="0073606C"/>
    <w:rsid w:val="00736447"/>
    <w:rsid w:val="00740BD8"/>
    <w:rsid w:val="00742A7B"/>
    <w:rsid w:val="00743701"/>
    <w:rsid w:val="00743BE3"/>
    <w:rsid w:val="00744583"/>
    <w:rsid w:val="00744BDE"/>
    <w:rsid w:val="007460E4"/>
    <w:rsid w:val="0074751A"/>
    <w:rsid w:val="00747AEB"/>
    <w:rsid w:val="00750D34"/>
    <w:rsid w:val="007529D7"/>
    <w:rsid w:val="00752A30"/>
    <w:rsid w:val="00753A5C"/>
    <w:rsid w:val="00757C1C"/>
    <w:rsid w:val="0076035C"/>
    <w:rsid w:val="0076053B"/>
    <w:rsid w:val="0076103D"/>
    <w:rsid w:val="00762C28"/>
    <w:rsid w:val="00763A79"/>
    <w:rsid w:val="0076455F"/>
    <w:rsid w:val="00764A41"/>
    <w:rsid w:val="00767653"/>
    <w:rsid w:val="00771ADC"/>
    <w:rsid w:val="00773AD5"/>
    <w:rsid w:val="00773B4D"/>
    <w:rsid w:val="00774462"/>
    <w:rsid w:val="00774971"/>
    <w:rsid w:val="00774CF2"/>
    <w:rsid w:val="007762B9"/>
    <w:rsid w:val="007765E2"/>
    <w:rsid w:val="00780B20"/>
    <w:rsid w:val="00781099"/>
    <w:rsid w:val="00781DA5"/>
    <w:rsid w:val="00782DB1"/>
    <w:rsid w:val="00784EF9"/>
    <w:rsid w:val="0078551A"/>
    <w:rsid w:val="0079002C"/>
    <w:rsid w:val="00791E87"/>
    <w:rsid w:val="007923A6"/>
    <w:rsid w:val="00792937"/>
    <w:rsid w:val="007944AD"/>
    <w:rsid w:val="007953D9"/>
    <w:rsid w:val="00796BD0"/>
    <w:rsid w:val="007A0219"/>
    <w:rsid w:val="007A0231"/>
    <w:rsid w:val="007A0735"/>
    <w:rsid w:val="007A1323"/>
    <w:rsid w:val="007A1EED"/>
    <w:rsid w:val="007A2178"/>
    <w:rsid w:val="007A3940"/>
    <w:rsid w:val="007A3E8F"/>
    <w:rsid w:val="007A558C"/>
    <w:rsid w:val="007A7229"/>
    <w:rsid w:val="007A7405"/>
    <w:rsid w:val="007B006A"/>
    <w:rsid w:val="007B2AAC"/>
    <w:rsid w:val="007B2F76"/>
    <w:rsid w:val="007B2F86"/>
    <w:rsid w:val="007B7445"/>
    <w:rsid w:val="007B75F8"/>
    <w:rsid w:val="007B7E1B"/>
    <w:rsid w:val="007C11FA"/>
    <w:rsid w:val="007C1629"/>
    <w:rsid w:val="007C1C79"/>
    <w:rsid w:val="007C2B94"/>
    <w:rsid w:val="007C399A"/>
    <w:rsid w:val="007C4F2B"/>
    <w:rsid w:val="007C59BE"/>
    <w:rsid w:val="007C6A9B"/>
    <w:rsid w:val="007C6F08"/>
    <w:rsid w:val="007C7587"/>
    <w:rsid w:val="007D2440"/>
    <w:rsid w:val="007D285B"/>
    <w:rsid w:val="007D5A02"/>
    <w:rsid w:val="007D726B"/>
    <w:rsid w:val="007D7428"/>
    <w:rsid w:val="007E1EBF"/>
    <w:rsid w:val="007E2B2A"/>
    <w:rsid w:val="007E2D13"/>
    <w:rsid w:val="007E4482"/>
    <w:rsid w:val="007E479F"/>
    <w:rsid w:val="007E4CB4"/>
    <w:rsid w:val="007E505D"/>
    <w:rsid w:val="007E5E2A"/>
    <w:rsid w:val="007E6C02"/>
    <w:rsid w:val="007E7006"/>
    <w:rsid w:val="007E7180"/>
    <w:rsid w:val="007E7F92"/>
    <w:rsid w:val="007F244B"/>
    <w:rsid w:val="007F280C"/>
    <w:rsid w:val="007F31D6"/>
    <w:rsid w:val="007F3ABF"/>
    <w:rsid w:val="007F477B"/>
    <w:rsid w:val="007F5677"/>
    <w:rsid w:val="007F698A"/>
    <w:rsid w:val="007F6B3E"/>
    <w:rsid w:val="007F76A5"/>
    <w:rsid w:val="008020EF"/>
    <w:rsid w:val="00802AD1"/>
    <w:rsid w:val="008038CB"/>
    <w:rsid w:val="00803984"/>
    <w:rsid w:val="0080727B"/>
    <w:rsid w:val="008072D8"/>
    <w:rsid w:val="00807449"/>
    <w:rsid w:val="00807480"/>
    <w:rsid w:val="008115C9"/>
    <w:rsid w:val="008124F9"/>
    <w:rsid w:val="0081440B"/>
    <w:rsid w:val="0081457B"/>
    <w:rsid w:val="008152F6"/>
    <w:rsid w:val="00816C0C"/>
    <w:rsid w:val="0081706E"/>
    <w:rsid w:val="00817ABA"/>
    <w:rsid w:val="008205B2"/>
    <w:rsid w:val="00821940"/>
    <w:rsid w:val="00821AC0"/>
    <w:rsid w:val="00821BB4"/>
    <w:rsid w:val="008248C1"/>
    <w:rsid w:val="008254E5"/>
    <w:rsid w:val="008301BF"/>
    <w:rsid w:val="00831031"/>
    <w:rsid w:val="00834905"/>
    <w:rsid w:val="00834BF7"/>
    <w:rsid w:val="008360A6"/>
    <w:rsid w:val="00836319"/>
    <w:rsid w:val="008364AC"/>
    <w:rsid w:val="008364D3"/>
    <w:rsid w:val="008365B2"/>
    <w:rsid w:val="00837881"/>
    <w:rsid w:val="0084003F"/>
    <w:rsid w:val="00840467"/>
    <w:rsid w:val="008426D1"/>
    <w:rsid w:val="008444BA"/>
    <w:rsid w:val="00845AB5"/>
    <w:rsid w:val="00847102"/>
    <w:rsid w:val="00847C8B"/>
    <w:rsid w:val="0085005A"/>
    <w:rsid w:val="0085048E"/>
    <w:rsid w:val="00850C71"/>
    <w:rsid w:val="008514D9"/>
    <w:rsid w:val="00853663"/>
    <w:rsid w:val="0085497B"/>
    <w:rsid w:val="00855C42"/>
    <w:rsid w:val="008600A2"/>
    <w:rsid w:val="00860E9F"/>
    <w:rsid w:val="00861AE9"/>
    <w:rsid w:val="008621B2"/>
    <w:rsid w:val="008627EC"/>
    <w:rsid w:val="00862878"/>
    <w:rsid w:val="0086287B"/>
    <w:rsid w:val="00862908"/>
    <w:rsid w:val="00863F0B"/>
    <w:rsid w:val="00865014"/>
    <w:rsid w:val="008652F8"/>
    <w:rsid w:val="008655F0"/>
    <w:rsid w:val="00865922"/>
    <w:rsid w:val="0086676C"/>
    <w:rsid w:val="008677AE"/>
    <w:rsid w:val="00867FA8"/>
    <w:rsid w:val="00870645"/>
    <w:rsid w:val="0087284C"/>
    <w:rsid w:val="008756BD"/>
    <w:rsid w:val="00877A47"/>
    <w:rsid w:val="0088006B"/>
    <w:rsid w:val="0088063E"/>
    <w:rsid w:val="00882DF1"/>
    <w:rsid w:val="008830C6"/>
    <w:rsid w:val="00885E67"/>
    <w:rsid w:val="00890CBE"/>
    <w:rsid w:val="00890D5E"/>
    <w:rsid w:val="00891D77"/>
    <w:rsid w:val="0089274B"/>
    <w:rsid w:val="00893BDC"/>
    <w:rsid w:val="00895E18"/>
    <w:rsid w:val="008974B2"/>
    <w:rsid w:val="00897E10"/>
    <w:rsid w:val="008A01E1"/>
    <w:rsid w:val="008A033C"/>
    <w:rsid w:val="008A2790"/>
    <w:rsid w:val="008A39D5"/>
    <w:rsid w:val="008A3D1C"/>
    <w:rsid w:val="008A4AE4"/>
    <w:rsid w:val="008A5954"/>
    <w:rsid w:val="008A599F"/>
    <w:rsid w:val="008A5B2C"/>
    <w:rsid w:val="008A601B"/>
    <w:rsid w:val="008A6BCF"/>
    <w:rsid w:val="008A6E81"/>
    <w:rsid w:val="008A7181"/>
    <w:rsid w:val="008B2888"/>
    <w:rsid w:val="008B3726"/>
    <w:rsid w:val="008C3575"/>
    <w:rsid w:val="008D1539"/>
    <w:rsid w:val="008D1CB0"/>
    <w:rsid w:val="008D2846"/>
    <w:rsid w:val="008D3B48"/>
    <w:rsid w:val="008D4BF5"/>
    <w:rsid w:val="008D5105"/>
    <w:rsid w:val="008D6BE3"/>
    <w:rsid w:val="008D77DC"/>
    <w:rsid w:val="008D7AD1"/>
    <w:rsid w:val="008E1F96"/>
    <w:rsid w:val="008E22CA"/>
    <w:rsid w:val="008E5B1C"/>
    <w:rsid w:val="008E5B47"/>
    <w:rsid w:val="008E5CAE"/>
    <w:rsid w:val="008E7820"/>
    <w:rsid w:val="008E7EF0"/>
    <w:rsid w:val="008F065E"/>
    <w:rsid w:val="008F06C3"/>
    <w:rsid w:val="008F07B6"/>
    <w:rsid w:val="008F1412"/>
    <w:rsid w:val="008F2E37"/>
    <w:rsid w:val="008F34C3"/>
    <w:rsid w:val="008F34E9"/>
    <w:rsid w:val="008F428F"/>
    <w:rsid w:val="008F5C08"/>
    <w:rsid w:val="008F5C90"/>
    <w:rsid w:val="008F5F8F"/>
    <w:rsid w:val="008F7FB0"/>
    <w:rsid w:val="009012AA"/>
    <w:rsid w:val="00903C26"/>
    <w:rsid w:val="00903C30"/>
    <w:rsid w:val="00903FC0"/>
    <w:rsid w:val="00904E1F"/>
    <w:rsid w:val="009059A1"/>
    <w:rsid w:val="0090787C"/>
    <w:rsid w:val="0091266B"/>
    <w:rsid w:val="009126A0"/>
    <w:rsid w:val="0091276D"/>
    <w:rsid w:val="00912BDF"/>
    <w:rsid w:val="00914CBC"/>
    <w:rsid w:val="00916583"/>
    <w:rsid w:val="00916BD2"/>
    <w:rsid w:val="0091752E"/>
    <w:rsid w:val="0091770A"/>
    <w:rsid w:val="009178BA"/>
    <w:rsid w:val="009178DF"/>
    <w:rsid w:val="00922F82"/>
    <w:rsid w:val="00923CF6"/>
    <w:rsid w:val="00924E6D"/>
    <w:rsid w:val="009251E4"/>
    <w:rsid w:val="0092592A"/>
    <w:rsid w:val="00926FBB"/>
    <w:rsid w:val="0093036C"/>
    <w:rsid w:val="009309AC"/>
    <w:rsid w:val="009312FB"/>
    <w:rsid w:val="00933F6D"/>
    <w:rsid w:val="00936631"/>
    <w:rsid w:val="009366CF"/>
    <w:rsid w:val="00936771"/>
    <w:rsid w:val="00936B47"/>
    <w:rsid w:val="009375A7"/>
    <w:rsid w:val="00940567"/>
    <w:rsid w:val="00940BB7"/>
    <w:rsid w:val="00941C48"/>
    <w:rsid w:val="0094281B"/>
    <w:rsid w:val="00943362"/>
    <w:rsid w:val="009442DA"/>
    <w:rsid w:val="009449E5"/>
    <w:rsid w:val="00945620"/>
    <w:rsid w:val="0094716A"/>
    <w:rsid w:val="0094743A"/>
    <w:rsid w:val="0095069A"/>
    <w:rsid w:val="00950F73"/>
    <w:rsid w:val="00951198"/>
    <w:rsid w:val="00952B4D"/>
    <w:rsid w:val="00953ACD"/>
    <w:rsid w:val="0096047F"/>
    <w:rsid w:val="009607A5"/>
    <w:rsid w:val="00961F8C"/>
    <w:rsid w:val="009625A3"/>
    <w:rsid w:val="0096349D"/>
    <w:rsid w:val="009637D2"/>
    <w:rsid w:val="00964111"/>
    <w:rsid w:val="009646E4"/>
    <w:rsid w:val="00965715"/>
    <w:rsid w:val="009658AA"/>
    <w:rsid w:val="00966507"/>
    <w:rsid w:val="00967E0A"/>
    <w:rsid w:val="009744E4"/>
    <w:rsid w:val="00974505"/>
    <w:rsid w:val="00974AD4"/>
    <w:rsid w:val="00977EA0"/>
    <w:rsid w:val="0098111C"/>
    <w:rsid w:val="009815B0"/>
    <w:rsid w:val="0098479B"/>
    <w:rsid w:val="0098599E"/>
    <w:rsid w:val="00986497"/>
    <w:rsid w:val="00986B72"/>
    <w:rsid w:val="00986EF3"/>
    <w:rsid w:val="00987A58"/>
    <w:rsid w:val="0099103A"/>
    <w:rsid w:val="009914CD"/>
    <w:rsid w:val="00991C5C"/>
    <w:rsid w:val="00992037"/>
    <w:rsid w:val="00992F19"/>
    <w:rsid w:val="00993141"/>
    <w:rsid w:val="00993F43"/>
    <w:rsid w:val="00994357"/>
    <w:rsid w:val="009945CF"/>
    <w:rsid w:val="0099474C"/>
    <w:rsid w:val="00995D89"/>
    <w:rsid w:val="009A063B"/>
    <w:rsid w:val="009A0897"/>
    <w:rsid w:val="009A2C34"/>
    <w:rsid w:val="009A4FC9"/>
    <w:rsid w:val="009A56B2"/>
    <w:rsid w:val="009A60EE"/>
    <w:rsid w:val="009A621C"/>
    <w:rsid w:val="009A66DE"/>
    <w:rsid w:val="009A6883"/>
    <w:rsid w:val="009A799D"/>
    <w:rsid w:val="009A7EF8"/>
    <w:rsid w:val="009B01B5"/>
    <w:rsid w:val="009B1388"/>
    <w:rsid w:val="009B4C32"/>
    <w:rsid w:val="009B50DE"/>
    <w:rsid w:val="009B66AB"/>
    <w:rsid w:val="009B7147"/>
    <w:rsid w:val="009B78AA"/>
    <w:rsid w:val="009B7FFA"/>
    <w:rsid w:val="009C006D"/>
    <w:rsid w:val="009C00CE"/>
    <w:rsid w:val="009C1631"/>
    <w:rsid w:val="009C170E"/>
    <w:rsid w:val="009C2FF1"/>
    <w:rsid w:val="009C3BE5"/>
    <w:rsid w:val="009C59DA"/>
    <w:rsid w:val="009C798B"/>
    <w:rsid w:val="009D10A4"/>
    <w:rsid w:val="009D1391"/>
    <w:rsid w:val="009D28B0"/>
    <w:rsid w:val="009D479A"/>
    <w:rsid w:val="009D4C74"/>
    <w:rsid w:val="009D7A6B"/>
    <w:rsid w:val="009E094D"/>
    <w:rsid w:val="009E0F1A"/>
    <w:rsid w:val="009E5F0A"/>
    <w:rsid w:val="009E6095"/>
    <w:rsid w:val="009E67C8"/>
    <w:rsid w:val="009E6B3B"/>
    <w:rsid w:val="009E6B6C"/>
    <w:rsid w:val="009E6EA3"/>
    <w:rsid w:val="009F4CAB"/>
    <w:rsid w:val="009F7763"/>
    <w:rsid w:val="00A007A1"/>
    <w:rsid w:val="00A01E7C"/>
    <w:rsid w:val="00A03280"/>
    <w:rsid w:val="00A039BF"/>
    <w:rsid w:val="00A06AEA"/>
    <w:rsid w:val="00A06B73"/>
    <w:rsid w:val="00A06EF6"/>
    <w:rsid w:val="00A07570"/>
    <w:rsid w:val="00A11127"/>
    <w:rsid w:val="00A11999"/>
    <w:rsid w:val="00A12AED"/>
    <w:rsid w:val="00A15533"/>
    <w:rsid w:val="00A16CB9"/>
    <w:rsid w:val="00A16D0A"/>
    <w:rsid w:val="00A216C3"/>
    <w:rsid w:val="00A21846"/>
    <w:rsid w:val="00A23A55"/>
    <w:rsid w:val="00A253E5"/>
    <w:rsid w:val="00A25672"/>
    <w:rsid w:val="00A257AF"/>
    <w:rsid w:val="00A26760"/>
    <w:rsid w:val="00A308D7"/>
    <w:rsid w:val="00A31444"/>
    <w:rsid w:val="00A32850"/>
    <w:rsid w:val="00A3472A"/>
    <w:rsid w:val="00A365B2"/>
    <w:rsid w:val="00A36F7D"/>
    <w:rsid w:val="00A37560"/>
    <w:rsid w:val="00A375D8"/>
    <w:rsid w:val="00A37775"/>
    <w:rsid w:val="00A41D79"/>
    <w:rsid w:val="00A42356"/>
    <w:rsid w:val="00A44470"/>
    <w:rsid w:val="00A4496C"/>
    <w:rsid w:val="00A44FBA"/>
    <w:rsid w:val="00A45400"/>
    <w:rsid w:val="00A462A8"/>
    <w:rsid w:val="00A5060C"/>
    <w:rsid w:val="00A51E19"/>
    <w:rsid w:val="00A52592"/>
    <w:rsid w:val="00A52A5A"/>
    <w:rsid w:val="00A535FE"/>
    <w:rsid w:val="00A54F75"/>
    <w:rsid w:val="00A55728"/>
    <w:rsid w:val="00A5635A"/>
    <w:rsid w:val="00A57967"/>
    <w:rsid w:val="00A57D24"/>
    <w:rsid w:val="00A6011D"/>
    <w:rsid w:val="00A602B1"/>
    <w:rsid w:val="00A60783"/>
    <w:rsid w:val="00A60987"/>
    <w:rsid w:val="00A62D3D"/>
    <w:rsid w:val="00A6419B"/>
    <w:rsid w:val="00A66D9F"/>
    <w:rsid w:val="00A677A8"/>
    <w:rsid w:val="00A67F2B"/>
    <w:rsid w:val="00A710C7"/>
    <w:rsid w:val="00A71531"/>
    <w:rsid w:val="00A71C36"/>
    <w:rsid w:val="00A71D72"/>
    <w:rsid w:val="00A723AD"/>
    <w:rsid w:val="00A7490E"/>
    <w:rsid w:val="00A74CFC"/>
    <w:rsid w:val="00A75329"/>
    <w:rsid w:val="00A80AF2"/>
    <w:rsid w:val="00A81C13"/>
    <w:rsid w:val="00A8260A"/>
    <w:rsid w:val="00A86CA5"/>
    <w:rsid w:val="00A86CC5"/>
    <w:rsid w:val="00A87050"/>
    <w:rsid w:val="00A90001"/>
    <w:rsid w:val="00A9073B"/>
    <w:rsid w:val="00A92365"/>
    <w:rsid w:val="00A928D3"/>
    <w:rsid w:val="00A93AD1"/>
    <w:rsid w:val="00A9504E"/>
    <w:rsid w:val="00A9511B"/>
    <w:rsid w:val="00A952A2"/>
    <w:rsid w:val="00A96889"/>
    <w:rsid w:val="00AA0D86"/>
    <w:rsid w:val="00AA56C2"/>
    <w:rsid w:val="00AA5800"/>
    <w:rsid w:val="00AA59C2"/>
    <w:rsid w:val="00AA7051"/>
    <w:rsid w:val="00AB2DC7"/>
    <w:rsid w:val="00AB2E37"/>
    <w:rsid w:val="00AB3DCD"/>
    <w:rsid w:val="00AB46D0"/>
    <w:rsid w:val="00AC02CA"/>
    <w:rsid w:val="00AC2273"/>
    <w:rsid w:val="00AC52A9"/>
    <w:rsid w:val="00AC780A"/>
    <w:rsid w:val="00AD12E9"/>
    <w:rsid w:val="00AD1521"/>
    <w:rsid w:val="00AD3EB5"/>
    <w:rsid w:val="00AD4A63"/>
    <w:rsid w:val="00AD564C"/>
    <w:rsid w:val="00AE07F2"/>
    <w:rsid w:val="00AE1366"/>
    <w:rsid w:val="00AE32CD"/>
    <w:rsid w:val="00AE40CD"/>
    <w:rsid w:val="00AE5507"/>
    <w:rsid w:val="00AE55F7"/>
    <w:rsid w:val="00AE5820"/>
    <w:rsid w:val="00AE6C36"/>
    <w:rsid w:val="00AE729A"/>
    <w:rsid w:val="00AE7474"/>
    <w:rsid w:val="00AE75E7"/>
    <w:rsid w:val="00AF050A"/>
    <w:rsid w:val="00AF0D72"/>
    <w:rsid w:val="00AF0D76"/>
    <w:rsid w:val="00AF1546"/>
    <w:rsid w:val="00AF155B"/>
    <w:rsid w:val="00AF2335"/>
    <w:rsid w:val="00AF38B7"/>
    <w:rsid w:val="00AF589B"/>
    <w:rsid w:val="00AF67FA"/>
    <w:rsid w:val="00AF7325"/>
    <w:rsid w:val="00AF74D7"/>
    <w:rsid w:val="00B02701"/>
    <w:rsid w:val="00B0363A"/>
    <w:rsid w:val="00B0390E"/>
    <w:rsid w:val="00B039CA"/>
    <w:rsid w:val="00B063F4"/>
    <w:rsid w:val="00B06890"/>
    <w:rsid w:val="00B06E1E"/>
    <w:rsid w:val="00B073E5"/>
    <w:rsid w:val="00B07419"/>
    <w:rsid w:val="00B1014A"/>
    <w:rsid w:val="00B1199C"/>
    <w:rsid w:val="00B12251"/>
    <w:rsid w:val="00B1296D"/>
    <w:rsid w:val="00B13DE4"/>
    <w:rsid w:val="00B13E2A"/>
    <w:rsid w:val="00B148C3"/>
    <w:rsid w:val="00B14A21"/>
    <w:rsid w:val="00B1737F"/>
    <w:rsid w:val="00B20714"/>
    <w:rsid w:val="00B21916"/>
    <w:rsid w:val="00B21FFC"/>
    <w:rsid w:val="00B22B7A"/>
    <w:rsid w:val="00B22B89"/>
    <w:rsid w:val="00B247E5"/>
    <w:rsid w:val="00B248F5"/>
    <w:rsid w:val="00B25914"/>
    <w:rsid w:val="00B274ED"/>
    <w:rsid w:val="00B27F93"/>
    <w:rsid w:val="00B30A64"/>
    <w:rsid w:val="00B3130D"/>
    <w:rsid w:val="00B335A1"/>
    <w:rsid w:val="00B33DB4"/>
    <w:rsid w:val="00B34011"/>
    <w:rsid w:val="00B34844"/>
    <w:rsid w:val="00B36344"/>
    <w:rsid w:val="00B36FB7"/>
    <w:rsid w:val="00B37B4D"/>
    <w:rsid w:val="00B415A4"/>
    <w:rsid w:val="00B4187B"/>
    <w:rsid w:val="00B41A15"/>
    <w:rsid w:val="00B43881"/>
    <w:rsid w:val="00B43D05"/>
    <w:rsid w:val="00B45432"/>
    <w:rsid w:val="00B46046"/>
    <w:rsid w:val="00B47849"/>
    <w:rsid w:val="00B50383"/>
    <w:rsid w:val="00B523D1"/>
    <w:rsid w:val="00B52485"/>
    <w:rsid w:val="00B525C6"/>
    <w:rsid w:val="00B525D4"/>
    <w:rsid w:val="00B5264D"/>
    <w:rsid w:val="00B527FD"/>
    <w:rsid w:val="00B5317C"/>
    <w:rsid w:val="00B53744"/>
    <w:rsid w:val="00B53C1B"/>
    <w:rsid w:val="00B54B71"/>
    <w:rsid w:val="00B569E7"/>
    <w:rsid w:val="00B57602"/>
    <w:rsid w:val="00B57616"/>
    <w:rsid w:val="00B578F6"/>
    <w:rsid w:val="00B61666"/>
    <w:rsid w:val="00B6469F"/>
    <w:rsid w:val="00B653F4"/>
    <w:rsid w:val="00B66BC2"/>
    <w:rsid w:val="00B67300"/>
    <w:rsid w:val="00B6744D"/>
    <w:rsid w:val="00B6796B"/>
    <w:rsid w:val="00B72758"/>
    <w:rsid w:val="00B730F1"/>
    <w:rsid w:val="00B73F5A"/>
    <w:rsid w:val="00B748B4"/>
    <w:rsid w:val="00B7517D"/>
    <w:rsid w:val="00B7632D"/>
    <w:rsid w:val="00B769B5"/>
    <w:rsid w:val="00B816E6"/>
    <w:rsid w:val="00B844ED"/>
    <w:rsid w:val="00B85C1C"/>
    <w:rsid w:val="00B8734F"/>
    <w:rsid w:val="00B87DF9"/>
    <w:rsid w:val="00B90049"/>
    <w:rsid w:val="00B91641"/>
    <w:rsid w:val="00B9238A"/>
    <w:rsid w:val="00B9245E"/>
    <w:rsid w:val="00B927CE"/>
    <w:rsid w:val="00B971A6"/>
    <w:rsid w:val="00B97483"/>
    <w:rsid w:val="00BA05D3"/>
    <w:rsid w:val="00BA0A73"/>
    <w:rsid w:val="00BA1BF1"/>
    <w:rsid w:val="00BA1D40"/>
    <w:rsid w:val="00BA228F"/>
    <w:rsid w:val="00BA492A"/>
    <w:rsid w:val="00BA4CB5"/>
    <w:rsid w:val="00BA4F1A"/>
    <w:rsid w:val="00BA5BA7"/>
    <w:rsid w:val="00BA7134"/>
    <w:rsid w:val="00BB08EF"/>
    <w:rsid w:val="00BB42AC"/>
    <w:rsid w:val="00BB4F26"/>
    <w:rsid w:val="00BB7846"/>
    <w:rsid w:val="00BB793B"/>
    <w:rsid w:val="00BB7DEE"/>
    <w:rsid w:val="00BC0629"/>
    <w:rsid w:val="00BC1838"/>
    <w:rsid w:val="00BC1F01"/>
    <w:rsid w:val="00BC2F24"/>
    <w:rsid w:val="00BC4D59"/>
    <w:rsid w:val="00BC503B"/>
    <w:rsid w:val="00BC75BB"/>
    <w:rsid w:val="00BD1A52"/>
    <w:rsid w:val="00BD1D53"/>
    <w:rsid w:val="00BD2A7A"/>
    <w:rsid w:val="00BD313B"/>
    <w:rsid w:val="00BD3D74"/>
    <w:rsid w:val="00BD4C70"/>
    <w:rsid w:val="00BD5CA0"/>
    <w:rsid w:val="00BD65ED"/>
    <w:rsid w:val="00BE09C0"/>
    <w:rsid w:val="00BE1126"/>
    <w:rsid w:val="00BE16C5"/>
    <w:rsid w:val="00BE34CF"/>
    <w:rsid w:val="00BE3728"/>
    <w:rsid w:val="00BE3807"/>
    <w:rsid w:val="00BF21D6"/>
    <w:rsid w:val="00BF489A"/>
    <w:rsid w:val="00BF49E1"/>
    <w:rsid w:val="00BF6345"/>
    <w:rsid w:val="00BF6DA0"/>
    <w:rsid w:val="00C0217C"/>
    <w:rsid w:val="00C029F8"/>
    <w:rsid w:val="00C04DEA"/>
    <w:rsid w:val="00C06584"/>
    <w:rsid w:val="00C06A71"/>
    <w:rsid w:val="00C07ED9"/>
    <w:rsid w:val="00C1105F"/>
    <w:rsid w:val="00C13944"/>
    <w:rsid w:val="00C13C79"/>
    <w:rsid w:val="00C14DFB"/>
    <w:rsid w:val="00C153FD"/>
    <w:rsid w:val="00C1544F"/>
    <w:rsid w:val="00C15521"/>
    <w:rsid w:val="00C17211"/>
    <w:rsid w:val="00C1796C"/>
    <w:rsid w:val="00C2015A"/>
    <w:rsid w:val="00C203A2"/>
    <w:rsid w:val="00C2045A"/>
    <w:rsid w:val="00C21D47"/>
    <w:rsid w:val="00C231D9"/>
    <w:rsid w:val="00C23B0C"/>
    <w:rsid w:val="00C263A9"/>
    <w:rsid w:val="00C26563"/>
    <w:rsid w:val="00C26C55"/>
    <w:rsid w:val="00C2711C"/>
    <w:rsid w:val="00C27845"/>
    <w:rsid w:val="00C27A86"/>
    <w:rsid w:val="00C3057D"/>
    <w:rsid w:val="00C321E5"/>
    <w:rsid w:val="00C33430"/>
    <w:rsid w:val="00C33F38"/>
    <w:rsid w:val="00C361BB"/>
    <w:rsid w:val="00C36E5F"/>
    <w:rsid w:val="00C37D75"/>
    <w:rsid w:val="00C402B9"/>
    <w:rsid w:val="00C4030A"/>
    <w:rsid w:val="00C413A6"/>
    <w:rsid w:val="00C43243"/>
    <w:rsid w:val="00C438BE"/>
    <w:rsid w:val="00C458C1"/>
    <w:rsid w:val="00C4667D"/>
    <w:rsid w:val="00C47413"/>
    <w:rsid w:val="00C47A0A"/>
    <w:rsid w:val="00C502BB"/>
    <w:rsid w:val="00C50E44"/>
    <w:rsid w:val="00C52092"/>
    <w:rsid w:val="00C53D0B"/>
    <w:rsid w:val="00C567C7"/>
    <w:rsid w:val="00C56C1B"/>
    <w:rsid w:val="00C60B7A"/>
    <w:rsid w:val="00C61596"/>
    <w:rsid w:val="00C621DF"/>
    <w:rsid w:val="00C62706"/>
    <w:rsid w:val="00C62847"/>
    <w:rsid w:val="00C633DF"/>
    <w:rsid w:val="00C651AC"/>
    <w:rsid w:val="00C65486"/>
    <w:rsid w:val="00C65F9C"/>
    <w:rsid w:val="00C665B3"/>
    <w:rsid w:val="00C667BB"/>
    <w:rsid w:val="00C67344"/>
    <w:rsid w:val="00C67526"/>
    <w:rsid w:val="00C67FD9"/>
    <w:rsid w:val="00C705E3"/>
    <w:rsid w:val="00C70C32"/>
    <w:rsid w:val="00C72500"/>
    <w:rsid w:val="00C725BC"/>
    <w:rsid w:val="00C73976"/>
    <w:rsid w:val="00C74660"/>
    <w:rsid w:val="00C760E4"/>
    <w:rsid w:val="00C76193"/>
    <w:rsid w:val="00C7658E"/>
    <w:rsid w:val="00C76E9A"/>
    <w:rsid w:val="00C823F5"/>
    <w:rsid w:val="00C83095"/>
    <w:rsid w:val="00C83E60"/>
    <w:rsid w:val="00C850E1"/>
    <w:rsid w:val="00C86265"/>
    <w:rsid w:val="00C87112"/>
    <w:rsid w:val="00C87E21"/>
    <w:rsid w:val="00C87FE4"/>
    <w:rsid w:val="00C90404"/>
    <w:rsid w:val="00C91754"/>
    <w:rsid w:val="00C92FE8"/>
    <w:rsid w:val="00C93F5A"/>
    <w:rsid w:val="00C973DB"/>
    <w:rsid w:val="00CA04C1"/>
    <w:rsid w:val="00CA18C2"/>
    <w:rsid w:val="00CA1D51"/>
    <w:rsid w:val="00CA203C"/>
    <w:rsid w:val="00CA2918"/>
    <w:rsid w:val="00CA31EA"/>
    <w:rsid w:val="00CA3AB1"/>
    <w:rsid w:val="00CA3D93"/>
    <w:rsid w:val="00CA4073"/>
    <w:rsid w:val="00CA46B0"/>
    <w:rsid w:val="00CA49E7"/>
    <w:rsid w:val="00CA6293"/>
    <w:rsid w:val="00CA6532"/>
    <w:rsid w:val="00CA6609"/>
    <w:rsid w:val="00CA76E1"/>
    <w:rsid w:val="00CB199F"/>
    <w:rsid w:val="00CB470C"/>
    <w:rsid w:val="00CB4946"/>
    <w:rsid w:val="00CB7D15"/>
    <w:rsid w:val="00CC1A9D"/>
    <w:rsid w:val="00CC1D3E"/>
    <w:rsid w:val="00CC202A"/>
    <w:rsid w:val="00CC664A"/>
    <w:rsid w:val="00CC7DC6"/>
    <w:rsid w:val="00CC7E3A"/>
    <w:rsid w:val="00CD02D1"/>
    <w:rsid w:val="00CD0509"/>
    <w:rsid w:val="00CD127D"/>
    <w:rsid w:val="00CD16CD"/>
    <w:rsid w:val="00CD1B2F"/>
    <w:rsid w:val="00CD3BB0"/>
    <w:rsid w:val="00CD4CF5"/>
    <w:rsid w:val="00CD7B19"/>
    <w:rsid w:val="00CE1C8A"/>
    <w:rsid w:val="00CE1DE3"/>
    <w:rsid w:val="00CE1F10"/>
    <w:rsid w:val="00CE45C5"/>
    <w:rsid w:val="00CE4AD7"/>
    <w:rsid w:val="00CE54C1"/>
    <w:rsid w:val="00CE5F48"/>
    <w:rsid w:val="00CE64E1"/>
    <w:rsid w:val="00CE719C"/>
    <w:rsid w:val="00CE7313"/>
    <w:rsid w:val="00CE7A83"/>
    <w:rsid w:val="00CE7FCF"/>
    <w:rsid w:val="00CF14F9"/>
    <w:rsid w:val="00CF1D4F"/>
    <w:rsid w:val="00CF3135"/>
    <w:rsid w:val="00CF448B"/>
    <w:rsid w:val="00CF63C9"/>
    <w:rsid w:val="00CF7133"/>
    <w:rsid w:val="00CF74CE"/>
    <w:rsid w:val="00D0060A"/>
    <w:rsid w:val="00D00B1A"/>
    <w:rsid w:val="00D00D1D"/>
    <w:rsid w:val="00D01084"/>
    <w:rsid w:val="00D02FB7"/>
    <w:rsid w:val="00D03779"/>
    <w:rsid w:val="00D03BA9"/>
    <w:rsid w:val="00D062F6"/>
    <w:rsid w:val="00D06A4F"/>
    <w:rsid w:val="00D071AC"/>
    <w:rsid w:val="00D1098D"/>
    <w:rsid w:val="00D10F92"/>
    <w:rsid w:val="00D126CB"/>
    <w:rsid w:val="00D157C7"/>
    <w:rsid w:val="00D17ECC"/>
    <w:rsid w:val="00D2019E"/>
    <w:rsid w:val="00D23351"/>
    <w:rsid w:val="00D239E7"/>
    <w:rsid w:val="00D23A17"/>
    <w:rsid w:val="00D23E33"/>
    <w:rsid w:val="00D246EE"/>
    <w:rsid w:val="00D26412"/>
    <w:rsid w:val="00D275D1"/>
    <w:rsid w:val="00D30A5D"/>
    <w:rsid w:val="00D30EC7"/>
    <w:rsid w:val="00D30FFA"/>
    <w:rsid w:val="00D31209"/>
    <w:rsid w:val="00D31360"/>
    <w:rsid w:val="00D31BB0"/>
    <w:rsid w:val="00D31E25"/>
    <w:rsid w:val="00D3282A"/>
    <w:rsid w:val="00D333C4"/>
    <w:rsid w:val="00D33F72"/>
    <w:rsid w:val="00D34225"/>
    <w:rsid w:val="00D3598F"/>
    <w:rsid w:val="00D37BA2"/>
    <w:rsid w:val="00D40DC3"/>
    <w:rsid w:val="00D412BB"/>
    <w:rsid w:val="00D43EFF"/>
    <w:rsid w:val="00D44C42"/>
    <w:rsid w:val="00D45631"/>
    <w:rsid w:val="00D46052"/>
    <w:rsid w:val="00D50E43"/>
    <w:rsid w:val="00D51F6F"/>
    <w:rsid w:val="00D54BCC"/>
    <w:rsid w:val="00D5504E"/>
    <w:rsid w:val="00D56CB5"/>
    <w:rsid w:val="00D56F4A"/>
    <w:rsid w:val="00D61EA2"/>
    <w:rsid w:val="00D61F08"/>
    <w:rsid w:val="00D630BB"/>
    <w:rsid w:val="00D63511"/>
    <w:rsid w:val="00D64552"/>
    <w:rsid w:val="00D66C70"/>
    <w:rsid w:val="00D66DB8"/>
    <w:rsid w:val="00D715F8"/>
    <w:rsid w:val="00D718B3"/>
    <w:rsid w:val="00D73D27"/>
    <w:rsid w:val="00D74531"/>
    <w:rsid w:val="00D74853"/>
    <w:rsid w:val="00D7604D"/>
    <w:rsid w:val="00D77014"/>
    <w:rsid w:val="00D770F7"/>
    <w:rsid w:val="00D81424"/>
    <w:rsid w:val="00D814D0"/>
    <w:rsid w:val="00D8253A"/>
    <w:rsid w:val="00D8347F"/>
    <w:rsid w:val="00D840B8"/>
    <w:rsid w:val="00D84A8E"/>
    <w:rsid w:val="00D862C3"/>
    <w:rsid w:val="00D8645E"/>
    <w:rsid w:val="00D86AE3"/>
    <w:rsid w:val="00D922C0"/>
    <w:rsid w:val="00D9328A"/>
    <w:rsid w:val="00D948FE"/>
    <w:rsid w:val="00D95640"/>
    <w:rsid w:val="00D96447"/>
    <w:rsid w:val="00D968A0"/>
    <w:rsid w:val="00D979EF"/>
    <w:rsid w:val="00D97EF8"/>
    <w:rsid w:val="00DA0BBF"/>
    <w:rsid w:val="00DA2002"/>
    <w:rsid w:val="00DA2AD6"/>
    <w:rsid w:val="00DA2F8A"/>
    <w:rsid w:val="00DA50E0"/>
    <w:rsid w:val="00DA5C5F"/>
    <w:rsid w:val="00DA7904"/>
    <w:rsid w:val="00DB0996"/>
    <w:rsid w:val="00DB0DAE"/>
    <w:rsid w:val="00DB4BB1"/>
    <w:rsid w:val="00DB62C2"/>
    <w:rsid w:val="00DB746F"/>
    <w:rsid w:val="00DC0ED8"/>
    <w:rsid w:val="00DC136F"/>
    <w:rsid w:val="00DC1F41"/>
    <w:rsid w:val="00DC3355"/>
    <w:rsid w:val="00DC346F"/>
    <w:rsid w:val="00DC55DF"/>
    <w:rsid w:val="00DC6128"/>
    <w:rsid w:val="00DD04B3"/>
    <w:rsid w:val="00DD0857"/>
    <w:rsid w:val="00DD0B07"/>
    <w:rsid w:val="00DD1C15"/>
    <w:rsid w:val="00DD2286"/>
    <w:rsid w:val="00DD261D"/>
    <w:rsid w:val="00DD2948"/>
    <w:rsid w:val="00DD3CC7"/>
    <w:rsid w:val="00DD7640"/>
    <w:rsid w:val="00DE031A"/>
    <w:rsid w:val="00DE150D"/>
    <w:rsid w:val="00DE1D7A"/>
    <w:rsid w:val="00DE2CC2"/>
    <w:rsid w:val="00DE3D8A"/>
    <w:rsid w:val="00DE47DC"/>
    <w:rsid w:val="00DE489B"/>
    <w:rsid w:val="00DE49F2"/>
    <w:rsid w:val="00DE4E1A"/>
    <w:rsid w:val="00DE5343"/>
    <w:rsid w:val="00DE544D"/>
    <w:rsid w:val="00DE5956"/>
    <w:rsid w:val="00DE7055"/>
    <w:rsid w:val="00DF1C69"/>
    <w:rsid w:val="00DF2096"/>
    <w:rsid w:val="00DF68A1"/>
    <w:rsid w:val="00DF7992"/>
    <w:rsid w:val="00DF7FB1"/>
    <w:rsid w:val="00E000D3"/>
    <w:rsid w:val="00E0044C"/>
    <w:rsid w:val="00E01991"/>
    <w:rsid w:val="00E02160"/>
    <w:rsid w:val="00E03541"/>
    <w:rsid w:val="00E0365A"/>
    <w:rsid w:val="00E039CA"/>
    <w:rsid w:val="00E0517B"/>
    <w:rsid w:val="00E068EC"/>
    <w:rsid w:val="00E11312"/>
    <w:rsid w:val="00E1193C"/>
    <w:rsid w:val="00E136E7"/>
    <w:rsid w:val="00E13B0E"/>
    <w:rsid w:val="00E14987"/>
    <w:rsid w:val="00E1528C"/>
    <w:rsid w:val="00E1573F"/>
    <w:rsid w:val="00E20D01"/>
    <w:rsid w:val="00E2264F"/>
    <w:rsid w:val="00E2431F"/>
    <w:rsid w:val="00E26A19"/>
    <w:rsid w:val="00E30970"/>
    <w:rsid w:val="00E30F75"/>
    <w:rsid w:val="00E3157C"/>
    <w:rsid w:val="00E32FE0"/>
    <w:rsid w:val="00E33362"/>
    <w:rsid w:val="00E338B8"/>
    <w:rsid w:val="00E342F5"/>
    <w:rsid w:val="00E348F7"/>
    <w:rsid w:val="00E3675A"/>
    <w:rsid w:val="00E36E9C"/>
    <w:rsid w:val="00E36EC8"/>
    <w:rsid w:val="00E401E7"/>
    <w:rsid w:val="00E402D2"/>
    <w:rsid w:val="00E40311"/>
    <w:rsid w:val="00E4096E"/>
    <w:rsid w:val="00E412EE"/>
    <w:rsid w:val="00E438A0"/>
    <w:rsid w:val="00E4489B"/>
    <w:rsid w:val="00E44F6C"/>
    <w:rsid w:val="00E45DE4"/>
    <w:rsid w:val="00E50B50"/>
    <w:rsid w:val="00E5175D"/>
    <w:rsid w:val="00E524D7"/>
    <w:rsid w:val="00E53A59"/>
    <w:rsid w:val="00E554FF"/>
    <w:rsid w:val="00E560BB"/>
    <w:rsid w:val="00E560C9"/>
    <w:rsid w:val="00E56323"/>
    <w:rsid w:val="00E56FEF"/>
    <w:rsid w:val="00E6126E"/>
    <w:rsid w:val="00E62981"/>
    <w:rsid w:val="00E629E8"/>
    <w:rsid w:val="00E646D3"/>
    <w:rsid w:val="00E64770"/>
    <w:rsid w:val="00E71227"/>
    <w:rsid w:val="00E71995"/>
    <w:rsid w:val="00E71B6B"/>
    <w:rsid w:val="00E72349"/>
    <w:rsid w:val="00E72C83"/>
    <w:rsid w:val="00E7358B"/>
    <w:rsid w:val="00E7572A"/>
    <w:rsid w:val="00E758FD"/>
    <w:rsid w:val="00E760F5"/>
    <w:rsid w:val="00E808FC"/>
    <w:rsid w:val="00E8225F"/>
    <w:rsid w:val="00E85222"/>
    <w:rsid w:val="00E85B3E"/>
    <w:rsid w:val="00E8604A"/>
    <w:rsid w:val="00E86E2C"/>
    <w:rsid w:val="00E909FF"/>
    <w:rsid w:val="00E91179"/>
    <w:rsid w:val="00E92AAE"/>
    <w:rsid w:val="00E9358A"/>
    <w:rsid w:val="00E9382E"/>
    <w:rsid w:val="00E94972"/>
    <w:rsid w:val="00E963E3"/>
    <w:rsid w:val="00E96B5D"/>
    <w:rsid w:val="00E96C2D"/>
    <w:rsid w:val="00E97E02"/>
    <w:rsid w:val="00EA0F59"/>
    <w:rsid w:val="00EA1414"/>
    <w:rsid w:val="00EA26CE"/>
    <w:rsid w:val="00EA2A3C"/>
    <w:rsid w:val="00EA47F9"/>
    <w:rsid w:val="00EA7118"/>
    <w:rsid w:val="00EA7F48"/>
    <w:rsid w:val="00EB029F"/>
    <w:rsid w:val="00EB23BD"/>
    <w:rsid w:val="00EB2AC9"/>
    <w:rsid w:val="00EB3C93"/>
    <w:rsid w:val="00EB4CC6"/>
    <w:rsid w:val="00EB5D86"/>
    <w:rsid w:val="00EB6906"/>
    <w:rsid w:val="00EB6FB2"/>
    <w:rsid w:val="00EC0CD0"/>
    <w:rsid w:val="00EC1AC5"/>
    <w:rsid w:val="00EC20DC"/>
    <w:rsid w:val="00EC3400"/>
    <w:rsid w:val="00EC4E41"/>
    <w:rsid w:val="00EC61D5"/>
    <w:rsid w:val="00ED10C3"/>
    <w:rsid w:val="00ED16F5"/>
    <w:rsid w:val="00ED2E83"/>
    <w:rsid w:val="00ED3711"/>
    <w:rsid w:val="00ED4E75"/>
    <w:rsid w:val="00ED54F5"/>
    <w:rsid w:val="00ED5A1E"/>
    <w:rsid w:val="00ED6048"/>
    <w:rsid w:val="00ED67E4"/>
    <w:rsid w:val="00ED7294"/>
    <w:rsid w:val="00EE0677"/>
    <w:rsid w:val="00EE073A"/>
    <w:rsid w:val="00EE1C03"/>
    <w:rsid w:val="00EE45EF"/>
    <w:rsid w:val="00EE5D56"/>
    <w:rsid w:val="00EF0A4E"/>
    <w:rsid w:val="00EF15E3"/>
    <w:rsid w:val="00EF1864"/>
    <w:rsid w:val="00EF296A"/>
    <w:rsid w:val="00EF3BC3"/>
    <w:rsid w:val="00EF5217"/>
    <w:rsid w:val="00EF6695"/>
    <w:rsid w:val="00EF73B3"/>
    <w:rsid w:val="00F010BF"/>
    <w:rsid w:val="00F0192A"/>
    <w:rsid w:val="00F0414C"/>
    <w:rsid w:val="00F048F1"/>
    <w:rsid w:val="00F049AB"/>
    <w:rsid w:val="00F055A7"/>
    <w:rsid w:val="00F059DD"/>
    <w:rsid w:val="00F07947"/>
    <w:rsid w:val="00F10207"/>
    <w:rsid w:val="00F114F6"/>
    <w:rsid w:val="00F1254B"/>
    <w:rsid w:val="00F12620"/>
    <w:rsid w:val="00F13B4B"/>
    <w:rsid w:val="00F13C3E"/>
    <w:rsid w:val="00F14AFB"/>
    <w:rsid w:val="00F14E71"/>
    <w:rsid w:val="00F15137"/>
    <w:rsid w:val="00F166FA"/>
    <w:rsid w:val="00F16DB5"/>
    <w:rsid w:val="00F17B0C"/>
    <w:rsid w:val="00F207A9"/>
    <w:rsid w:val="00F23004"/>
    <w:rsid w:val="00F23CAD"/>
    <w:rsid w:val="00F25206"/>
    <w:rsid w:val="00F26272"/>
    <w:rsid w:val="00F26720"/>
    <w:rsid w:val="00F271EA"/>
    <w:rsid w:val="00F272FC"/>
    <w:rsid w:val="00F31D6A"/>
    <w:rsid w:val="00F3244E"/>
    <w:rsid w:val="00F32D80"/>
    <w:rsid w:val="00F32EDF"/>
    <w:rsid w:val="00F32FDE"/>
    <w:rsid w:val="00F359DF"/>
    <w:rsid w:val="00F413BF"/>
    <w:rsid w:val="00F42539"/>
    <w:rsid w:val="00F426E8"/>
    <w:rsid w:val="00F429FA"/>
    <w:rsid w:val="00F448A9"/>
    <w:rsid w:val="00F449E4"/>
    <w:rsid w:val="00F4647C"/>
    <w:rsid w:val="00F4669E"/>
    <w:rsid w:val="00F46D12"/>
    <w:rsid w:val="00F46F55"/>
    <w:rsid w:val="00F475D4"/>
    <w:rsid w:val="00F506EC"/>
    <w:rsid w:val="00F50A7D"/>
    <w:rsid w:val="00F54091"/>
    <w:rsid w:val="00F56B6B"/>
    <w:rsid w:val="00F575D6"/>
    <w:rsid w:val="00F6025C"/>
    <w:rsid w:val="00F607BC"/>
    <w:rsid w:val="00F61D58"/>
    <w:rsid w:val="00F61D78"/>
    <w:rsid w:val="00F6354D"/>
    <w:rsid w:val="00F6393F"/>
    <w:rsid w:val="00F64C8C"/>
    <w:rsid w:val="00F65820"/>
    <w:rsid w:val="00F662E8"/>
    <w:rsid w:val="00F67C44"/>
    <w:rsid w:val="00F71A2E"/>
    <w:rsid w:val="00F72CEE"/>
    <w:rsid w:val="00F73031"/>
    <w:rsid w:val="00F73157"/>
    <w:rsid w:val="00F73BFE"/>
    <w:rsid w:val="00F74958"/>
    <w:rsid w:val="00F756BF"/>
    <w:rsid w:val="00F75998"/>
    <w:rsid w:val="00F770AE"/>
    <w:rsid w:val="00F77D1A"/>
    <w:rsid w:val="00F8177B"/>
    <w:rsid w:val="00F817B1"/>
    <w:rsid w:val="00F82296"/>
    <w:rsid w:val="00F829F2"/>
    <w:rsid w:val="00F830C3"/>
    <w:rsid w:val="00F83174"/>
    <w:rsid w:val="00F84B92"/>
    <w:rsid w:val="00F85BBE"/>
    <w:rsid w:val="00F85E8C"/>
    <w:rsid w:val="00F861DE"/>
    <w:rsid w:val="00F877AF"/>
    <w:rsid w:val="00F87CF8"/>
    <w:rsid w:val="00F90B2F"/>
    <w:rsid w:val="00F94A57"/>
    <w:rsid w:val="00F94AF8"/>
    <w:rsid w:val="00F96116"/>
    <w:rsid w:val="00F97533"/>
    <w:rsid w:val="00F9789F"/>
    <w:rsid w:val="00FA12D8"/>
    <w:rsid w:val="00FA24D0"/>
    <w:rsid w:val="00FA2852"/>
    <w:rsid w:val="00FA56A3"/>
    <w:rsid w:val="00FB2813"/>
    <w:rsid w:val="00FB511C"/>
    <w:rsid w:val="00FB5955"/>
    <w:rsid w:val="00FB7419"/>
    <w:rsid w:val="00FB7B43"/>
    <w:rsid w:val="00FC0A3C"/>
    <w:rsid w:val="00FC0D95"/>
    <w:rsid w:val="00FD17E4"/>
    <w:rsid w:val="00FD22BB"/>
    <w:rsid w:val="00FD24FC"/>
    <w:rsid w:val="00FD5507"/>
    <w:rsid w:val="00FD6909"/>
    <w:rsid w:val="00FE01B2"/>
    <w:rsid w:val="00FE0DE1"/>
    <w:rsid w:val="00FE16EF"/>
    <w:rsid w:val="00FE1763"/>
    <w:rsid w:val="00FE18BC"/>
    <w:rsid w:val="00FE18D6"/>
    <w:rsid w:val="00FE2741"/>
    <w:rsid w:val="00FE3B24"/>
    <w:rsid w:val="00FE63A0"/>
    <w:rsid w:val="00FF0B2A"/>
    <w:rsid w:val="00FF1D5F"/>
    <w:rsid w:val="00FF5C74"/>
    <w:rsid w:val="00FF6460"/>
    <w:rsid w:val="00FF7C12"/>
    <w:rsid w:val="011D22AF"/>
    <w:rsid w:val="01482D1B"/>
    <w:rsid w:val="015171CE"/>
    <w:rsid w:val="019D7393"/>
    <w:rsid w:val="01B56882"/>
    <w:rsid w:val="01C10DB9"/>
    <w:rsid w:val="01DF25C6"/>
    <w:rsid w:val="021C18AF"/>
    <w:rsid w:val="02265AB3"/>
    <w:rsid w:val="0251569F"/>
    <w:rsid w:val="02A060FA"/>
    <w:rsid w:val="02BA6766"/>
    <w:rsid w:val="02F508F9"/>
    <w:rsid w:val="037376DD"/>
    <w:rsid w:val="03873F9E"/>
    <w:rsid w:val="046D6E66"/>
    <w:rsid w:val="04944303"/>
    <w:rsid w:val="04BB0CD5"/>
    <w:rsid w:val="04C34214"/>
    <w:rsid w:val="051C0985"/>
    <w:rsid w:val="05871979"/>
    <w:rsid w:val="059035FD"/>
    <w:rsid w:val="06962AD8"/>
    <w:rsid w:val="069F4821"/>
    <w:rsid w:val="06BF30C3"/>
    <w:rsid w:val="07542BEC"/>
    <w:rsid w:val="07A93394"/>
    <w:rsid w:val="07C23D33"/>
    <w:rsid w:val="08527214"/>
    <w:rsid w:val="086C26E0"/>
    <w:rsid w:val="08CD0812"/>
    <w:rsid w:val="094C54D9"/>
    <w:rsid w:val="09F7481C"/>
    <w:rsid w:val="0A024608"/>
    <w:rsid w:val="0A20600E"/>
    <w:rsid w:val="0A562DCA"/>
    <w:rsid w:val="0A7A7ACB"/>
    <w:rsid w:val="0A82201A"/>
    <w:rsid w:val="0A896FB1"/>
    <w:rsid w:val="0AD252AD"/>
    <w:rsid w:val="0AF463BD"/>
    <w:rsid w:val="0B504A03"/>
    <w:rsid w:val="0B615AE4"/>
    <w:rsid w:val="0B6645C5"/>
    <w:rsid w:val="0B831BF7"/>
    <w:rsid w:val="0B947077"/>
    <w:rsid w:val="0BA8715E"/>
    <w:rsid w:val="0BCC24EB"/>
    <w:rsid w:val="0C466793"/>
    <w:rsid w:val="0CAA1624"/>
    <w:rsid w:val="0D107F07"/>
    <w:rsid w:val="0D314B1D"/>
    <w:rsid w:val="0D355669"/>
    <w:rsid w:val="0D963F9E"/>
    <w:rsid w:val="0DCB0281"/>
    <w:rsid w:val="0E886475"/>
    <w:rsid w:val="0E9F57C0"/>
    <w:rsid w:val="0EBF72DC"/>
    <w:rsid w:val="0EC917A6"/>
    <w:rsid w:val="0EEA3081"/>
    <w:rsid w:val="0F506943"/>
    <w:rsid w:val="0FDA7E1F"/>
    <w:rsid w:val="1018508E"/>
    <w:rsid w:val="103B2159"/>
    <w:rsid w:val="10CF7944"/>
    <w:rsid w:val="1124609F"/>
    <w:rsid w:val="11860761"/>
    <w:rsid w:val="11CD2FC1"/>
    <w:rsid w:val="11E27AB7"/>
    <w:rsid w:val="122A6A23"/>
    <w:rsid w:val="12630E8C"/>
    <w:rsid w:val="12A119B4"/>
    <w:rsid w:val="12B222BE"/>
    <w:rsid w:val="12CB6D9E"/>
    <w:rsid w:val="12D01DAB"/>
    <w:rsid w:val="13065C4E"/>
    <w:rsid w:val="134558CB"/>
    <w:rsid w:val="135108F7"/>
    <w:rsid w:val="13BD6E1E"/>
    <w:rsid w:val="13D777D6"/>
    <w:rsid w:val="149944A9"/>
    <w:rsid w:val="153E347F"/>
    <w:rsid w:val="157E591F"/>
    <w:rsid w:val="15812A4F"/>
    <w:rsid w:val="159E6701"/>
    <w:rsid w:val="15A569C1"/>
    <w:rsid w:val="15E16A0B"/>
    <w:rsid w:val="15F80F1A"/>
    <w:rsid w:val="16291DDA"/>
    <w:rsid w:val="16364D16"/>
    <w:rsid w:val="1654446B"/>
    <w:rsid w:val="17966540"/>
    <w:rsid w:val="179B0705"/>
    <w:rsid w:val="17AF1777"/>
    <w:rsid w:val="17CE4BD1"/>
    <w:rsid w:val="1815779B"/>
    <w:rsid w:val="188643C7"/>
    <w:rsid w:val="18CF65C3"/>
    <w:rsid w:val="18F77A9D"/>
    <w:rsid w:val="19107F57"/>
    <w:rsid w:val="19246419"/>
    <w:rsid w:val="19B542FD"/>
    <w:rsid w:val="19C843BC"/>
    <w:rsid w:val="19D03651"/>
    <w:rsid w:val="1A0E5FA9"/>
    <w:rsid w:val="1B303974"/>
    <w:rsid w:val="1BB50BE8"/>
    <w:rsid w:val="1BBC7657"/>
    <w:rsid w:val="1BEB4FB5"/>
    <w:rsid w:val="1C32267B"/>
    <w:rsid w:val="1C9B2053"/>
    <w:rsid w:val="1CA000EE"/>
    <w:rsid w:val="1CA16ABF"/>
    <w:rsid w:val="1CA335EF"/>
    <w:rsid w:val="1D2D753D"/>
    <w:rsid w:val="1D7301E8"/>
    <w:rsid w:val="1DAD7691"/>
    <w:rsid w:val="1DCF500D"/>
    <w:rsid w:val="1DD1636E"/>
    <w:rsid w:val="1E245CB3"/>
    <w:rsid w:val="1E6671E8"/>
    <w:rsid w:val="1E7355BA"/>
    <w:rsid w:val="1E8B046A"/>
    <w:rsid w:val="1EB813B1"/>
    <w:rsid w:val="1ED24FB5"/>
    <w:rsid w:val="1F42429F"/>
    <w:rsid w:val="1F706E41"/>
    <w:rsid w:val="1F81392F"/>
    <w:rsid w:val="1FB316C9"/>
    <w:rsid w:val="1FCE134E"/>
    <w:rsid w:val="202727F3"/>
    <w:rsid w:val="20375D1F"/>
    <w:rsid w:val="20430A2D"/>
    <w:rsid w:val="2080391F"/>
    <w:rsid w:val="20AE37E1"/>
    <w:rsid w:val="21252037"/>
    <w:rsid w:val="21400B40"/>
    <w:rsid w:val="2168072C"/>
    <w:rsid w:val="220B5EF3"/>
    <w:rsid w:val="221B2B4D"/>
    <w:rsid w:val="223133C4"/>
    <w:rsid w:val="22420B86"/>
    <w:rsid w:val="22671471"/>
    <w:rsid w:val="226D6870"/>
    <w:rsid w:val="229874FF"/>
    <w:rsid w:val="22B27316"/>
    <w:rsid w:val="23383D30"/>
    <w:rsid w:val="23AF5E9B"/>
    <w:rsid w:val="24845FE0"/>
    <w:rsid w:val="24923163"/>
    <w:rsid w:val="24E9724A"/>
    <w:rsid w:val="24F352BA"/>
    <w:rsid w:val="24F44387"/>
    <w:rsid w:val="24FC5332"/>
    <w:rsid w:val="25722D84"/>
    <w:rsid w:val="25C90743"/>
    <w:rsid w:val="260C1472"/>
    <w:rsid w:val="262C10C4"/>
    <w:rsid w:val="263B43B1"/>
    <w:rsid w:val="26A10A68"/>
    <w:rsid w:val="272133A1"/>
    <w:rsid w:val="27703EDB"/>
    <w:rsid w:val="27AA15AE"/>
    <w:rsid w:val="27C95AA3"/>
    <w:rsid w:val="28091942"/>
    <w:rsid w:val="280D0328"/>
    <w:rsid w:val="283508D6"/>
    <w:rsid w:val="286F4CF8"/>
    <w:rsid w:val="287C1338"/>
    <w:rsid w:val="29806A2D"/>
    <w:rsid w:val="29D83095"/>
    <w:rsid w:val="2A102E3A"/>
    <w:rsid w:val="2A472DE4"/>
    <w:rsid w:val="2A7274D1"/>
    <w:rsid w:val="2A787ACC"/>
    <w:rsid w:val="2AA3638C"/>
    <w:rsid w:val="2B610CB4"/>
    <w:rsid w:val="2B661D91"/>
    <w:rsid w:val="2BBA3039"/>
    <w:rsid w:val="2BCB7EF9"/>
    <w:rsid w:val="2C527378"/>
    <w:rsid w:val="2C6C57C9"/>
    <w:rsid w:val="2CE43334"/>
    <w:rsid w:val="2D66060D"/>
    <w:rsid w:val="2DE061DD"/>
    <w:rsid w:val="2E154105"/>
    <w:rsid w:val="2E225B2E"/>
    <w:rsid w:val="2E7617E7"/>
    <w:rsid w:val="2E826893"/>
    <w:rsid w:val="2E8B1740"/>
    <w:rsid w:val="2F1F62AF"/>
    <w:rsid w:val="2FF45DA3"/>
    <w:rsid w:val="31516B1B"/>
    <w:rsid w:val="31696CAD"/>
    <w:rsid w:val="31FD4400"/>
    <w:rsid w:val="321F4D2B"/>
    <w:rsid w:val="32361567"/>
    <w:rsid w:val="326F472A"/>
    <w:rsid w:val="32BC22C6"/>
    <w:rsid w:val="3349116E"/>
    <w:rsid w:val="336A4F5E"/>
    <w:rsid w:val="338B5EA7"/>
    <w:rsid w:val="339071A8"/>
    <w:rsid w:val="33AE5C50"/>
    <w:rsid w:val="342002C9"/>
    <w:rsid w:val="3469026A"/>
    <w:rsid w:val="3495012C"/>
    <w:rsid w:val="34DE1A61"/>
    <w:rsid w:val="34F252D4"/>
    <w:rsid w:val="34FF4EC2"/>
    <w:rsid w:val="35601E13"/>
    <w:rsid w:val="356E05DD"/>
    <w:rsid w:val="35975D6C"/>
    <w:rsid w:val="3604720D"/>
    <w:rsid w:val="360F6E73"/>
    <w:rsid w:val="36640975"/>
    <w:rsid w:val="36791152"/>
    <w:rsid w:val="368D6F7D"/>
    <w:rsid w:val="36905DC1"/>
    <w:rsid w:val="36D80AD4"/>
    <w:rsid w:val="373F69DF"/>
    <w:rsid w:val="3749267D"/>
    <w:rsid w:val="37840EF4"/>
    <w:rsid w:val="379846A8"/>
    <w:rsid w:val="380B7CEB"/>
    <w:rsid w:val="383A11E9"/>
    <w:rsid w:val="38663326"/>
    <w:rsid w:val="386B3E34"/>
    <w:rsid w:val="38A40D08"/>
    <w:rsid w:val="38AA30A9"/>
    <w:rsid w:val="38C2132C"/>
    <w:rsid w:val="38D04105"/>
    <w:rsid w:val="38D82181"/>
    <w:rsid w:val="390D7C75"/>
    <w:rsid w:val="39285B43"/>
    <w:rsid w:val="392E09A5"/>
    <w:rsid w:val="3A225667"/>
    <w:rsid w:val="3A972647"/>
    <w:rsid w:val="3ABD4823"/>
    <w:rsid w:val="3B7926AF"/>
    <w:rsid w:val="3BCE4BEB"/>
    <w:rsid w:val="3C0B770D"/>
    <w:rsid w:val="3C267569"/>
    <w:rsid w:val="3C364BFB"/>
    <w:rsid w:val="3D097EED"/>
    <w:rsid w:val="3D3D073D"/>
    <w:rsid w:val="3DFC129B"/>
    <w:rsid w:val="3E0A57E7"/>
    <w:rsid w:val="3E3F48B1"/>
    <w:rsid w:val="3E712DB0"/>
    <w:rsid w:val="3EE04644"/>
    <w:rsid w:val="3EE05D80"/>
    <w:rsid w:val="3EEC773E"/>
    <w:rsid w:val="3F090D0E"/>
    <w:rsid w:val="3F3A0F4B"/>
    <w:rsid w:val="3FCE1F72"/>
    <w:rsid w:val="3FCF1174"/>
    <w:rsid w:val="3FE04D96"/>
    <w:rsid w:val="3FE66210"/>
    <w:rsid w:val="3FFD1D10"/>
    <w:rsid w:val="40FF4F3B"/>
    <w:rsid w:val="411859B3"/>
    <w:rsid w:val="41B0516D"/>
    <w:rsid w:val="42117603"/>
    <w:rsid w:val="422B62CF"/>
    <w:rsid w:val="42A93BD2"/>
    <w:rsid w:val="42D6451F"/>
    <w:rsid w:val="4386200D"/>
    <w:rsid w:val="441F6AA0"/>
    <w:rsid w:val="4445146C"/>
    <w:rsid w:val="44EB33EE"/>
    <w:rsid w:val="45803786"/>
    <w:rsid w:val="45C67408"/>
    <w:rsid w:val="45F23FC6"/>
    <w:rsid w:val="466D2805"/>
    <w:rsid w:val="47173384"/>
    <w:rsid w:val="47542E06"/>
    <w:rsid w:val="47635CDA"/>
    <w:rsid w:val="47755652"/>
    <w:rsid w:val="477E2E7F"/>
    <w:rsid w:val="47D245C9"/>
    <w:rsid w:val="48573BDC"/>
    <w:rsid w:val="4879751A"/>
    <w:rsid w:val="48AB465C"/>
    <w:rsid w:val="48CE139D"/>
    <w:rsid w:val="48D66A2A"/>
    <w:rsid w:val="48FC7BE3"/>
    <w:rsid w:val="49477DB7"/>
    <w:rsid w:val="495834FD"/>
    <w:rsid w:val="495E5792"/>
    <w:rsid w:val="4A496641"/>
    <w:rsid w:val="4A71428E"/>
    <w:rsid w:val="4AA341EE"/>
    <w:rsid w:val="4AD17742"/>
    <w:rsid w:val="4B0D36B9"/>
    <w:rsid w:val="4B8F1340"/>
    <w:rsid w:val="4B9C1E86"/>
    <w:rsid w:val="4BB85FE8"/>
    <w:rsid w:val="4C2F5656"/>
    <w:rsid w:val="4C467E91"/>
    <w:rsid w:val="4C5226BE"/>
    <w:rsid w:val="4C64760B"/>
    <w:rsid w:val="4CF93DF1"/>
    <w:rsid w:val="4D1D5020"/>
    <w:rsid w:val="4D413C7F"/>
    <w:rsid w:val="4DA8158A"/>
    <w:rsid w:val="4DD823F1"/>
    <w:rsid w:val="4DE57B3E"/>
    <w:rsid w:val="4E1E5010"/>
    <w:rsid w:val="4EA36F2D"/>
    <w:rsid w:val="4F297B21"/>
    <w:rsid w:val="4F586BC9"/>
    <w:rsid w:val="4FAD61AE"/>
    <w:rsid w:val="500D6347"/>
    <w:rsid w:val="50267390"/>
    <w:rsid w:val="507C4EBC"/>
    <w:rsid w:val="50851881"/>
    <w:rsid w:val="5086018E"/>
    <w:rsid w:val="50D1515D"/>
    <w:rsid w:val="512B5138"/>
    <w:rsid w:val="51675C7A"/>
    <w:rsid w:val="51E62C6A"/>
    <w:rsid w:val="52296878"/>
    <w:rsid w:val="52515A54"/>
    <w:rsid w:val="527B1AE5"/>
    <w:rsid w:val="52C939F2"/>
    <w:rsid w:val="53075270"/>
    <w:rsid w:val="53201262"/>
    <w:rsid w:val="532B4B5A"/>
    <w:rsid w:val="533D4BEB"/>
    <w:rsid w:val="5379420F"/>
    <w:rsid w:val="53852165"/>
    <w:rsid w:val="543F7B60"/>
    <w:rsid w:val="544A11DA"/>
    <w:rsid w:val="54AA6940"/>
    <w:rsid w:val="54C53295"/>
    <w:rsid w:val="54E42ED4"/>
    <w:rsid w:val="54FC557E"/>
    <w:rsid w:val="551C76D0"/>
    <w:rsid w:val="55391249"/>
    <w:rsid w:val="55505F0C"/>
    <w:rsid w:val="5566022A"/>
    <w:rsid w:val="558018D8"/>
    <w:rsid w:val="55871845"/>
    <w:rsid w:val="569362B6"/>
    <w:rsid w:val="56A650B8"/>
    <w:rsid w:val="57C570FC"/>
    <w:rsid w:val="5821694F"/>
    <w:rsid w:val="58632999"/>
    <w:rsid w:val="586516B2"/>
    <w:rsid w:val="5914082F"/>
    <w:rsid w:val="594F73FA"/>
    <w:rsid w:val="59BD152A"/>
    <w:rsid w:val="5A14592C"/>
    <w:rsid w:val="5A382A3E"/>
    <w:rsid w:val="5A685A2A"/>
    <w:rsid w:val="5A811A57"/>
    <w:rsid w:val="5AA47DF2"/>
    <w:rsid w:val="5AC45044"/>
    <w:rsid w:val="5AD70E49"/>
    <w:rsid w:val="5AF77110"/>
    <w:rsid w:val="5B2E1D17"/>
    <w:rsid w:val="5BAB60E1"/>
    <w:rsid w:val="5BC176A4"/>
    <w:rsid w:val="5BDD3B2B"/>
    <w:rsid w:val="5C557B75"/>
    <w:rsid w:val="5C62280F"/>
    <w:rsid w:val="5E114EFA"/>
    <w:rsid w:val="5E4717E5"/>
    <w:rsid w:val="5E73555C"/>
    <w:rsid w:val="5ECE3F7F"/>
    <w:rsid w:val="5EF73142"/>
    <w:rsid w:val="5EFA5FD7"/>
    <w:rsid w:val="5F1C292A"/>
    <w:rsid w:val="5F451586"/>
    <w:rsid w:val="5F7E3A35"/>
    <w:rsid w:val="5F8A5434"/>
    <w:rsid w:val="5FA82F27"/>
    <w:rsid w:val="5FFC3D7B"/>
    <w:rsid w:val="60535C57"/>
    <w:rsid w:val="60604968"/>
    <w:rsid w:val="609157F8"/>
    <w:rsid w:val="609B0BC4"/>
    <w:rsid w:val="60B0673A"/>
    <w:rsid w:val="60B57181"/>
    <w:rsid w:val="610032B9"/>
    <w:rsid w:val="61E144A7"/>
    <w:rsid w:val="626C1418"/>
    <w:rsid w:val="628A2680"/>
    <w:rsid w:val="62A37F2B"/>
    <w:rsid w:val="632835F5"/>
    <w:rsid w:val="63462239"/>
    <w:rsid w:val="635B22E3"/>
    <w:rsid w:val="63915A78"/>
    <w:rsid w:val="63DE1FAD"/>
    <w:rsid w:val="640916BD"/>
    <w:rsid w:val="641D0225"/>
    <w:rsid w:val="64980364"/>
    <w:rsid w:val="64E32E12"/>
    <w:rsid w:val="64EC6ABC"/>
    <w:rsid w:val="6518497B"/>
    <w:rsid w:val="651F57BE"/>
    <w:rsid w:val="657273C3"/>
    <w:rsid w:val="65C92C84"/>
    <w:rsid w:val="66583FE0"/>
    <w:rsid w:val="667C233D"/>
    <w:rsid w:val="66ED0F26"/>
    <w:rsid w:val="673109BE"/>
    <w:rsid w:val="673D341A"/>
    <w:rsid w:val="674126C0"/>
    <w:rsid w:val="675A2F84"/>
    <w:rsid w:val="67D93AB1"/>
    <w:rsid w:val="68995053"/>
    <w:rsid w:val="68C012F0"/>
    <w:rsid w:val="68CD4512"/>
    <w:rsid w:val="6968636F"/>
    <w:rsid w:val="69742658"/>
    <w:rsid w:val="69AD4A13"/>
    <w:rsid w:val="6A2063A0"/>
    <w:rsid w:val="6A3460D4"/>
    <w:rsid w:val="6A4759C7"/>
    <w:rsid w:val="6A4B51F4"/>
    <w:rsid w:val="6A5658E2"/>
    <w:rsid w:val="6A764E92"/>
    <w:rsid w:val="6AC0027D"/>
    <w:rsid w:val="6ACA3681"/>
    <w:rsid w:val="6B590358"/>
    <w:rsid w:val="6BB72D59"/>
    <w:rsid w:val="6BD835E6"/>
    <w:rsid w:val="6CA61271"/>
    <w:rsid w:val="6CCB4949"/>
    <w:rsid w:val="6D6713FA"/>
    <w:rsid w:val="6D7B1B31"/>
    <w:rsid w:val="6DA302C1"/>
    <w:rsid w:val="6DE32A8C"/>
    <w:rsid w:val="6E010FF7"/>
    <w:rsid w:val="6E1E5C20"/>
    <w:rsid w:val="6E417AEA"/>
    <w:rsid w:val="6E874C3B"/>
    <w:rsid w:val="6EA55BB2"/>
    <w:rsid w:val="6ECF7E71"/>
    <w:rsid w:val="6EDC1E1E"/>
    <w:rsid w:val="6EF12228"/>
    <w:rsid w:val="6EF15B0A"/>
    <w:rsid w:val="6EF173B8"/>
    <w:rsid w:val="6EFC032A"/>
    <w:rsid w:val="6F120984"/>
    <w:rsid w:val="6F7360B4"/>
    <w:rsid w:val="705F70F8"/>
    <w:rsid w:val="706F10BA"/>
    <w:rsid w:val="70E67DE7"/>
    <w:rsid w:val="71044AD6"/>
    <w:rsid w:val="717179A0"/>
    <w:rsid w:val="71B17692"/>
    <w:rsid w:val="72012EFC"/>
    <w:rsid w:val="7248396D"/>
    <w:rsid w:val="725D6FF4"/>
    <w:rsid w:val="72B560E1"/>
    <w:rsid w:val="72B84A7D"/>
    <w:rsid w:val="72C853FB"/>
    <w:rsid w:val="72EA37DF"/>
    <w:rsid w:val="73012541"/>
    <w:rsid w:val="73170809"/>
    <w:rsid w:val="73543066"/>
    <w:rsid w:val="73640620"/>
    <w:rsid w:val="73D20504"/>
    <w:rsid w:val="753B6F4A"/>
    <w:rsid w:val="755B30F9"/>
    <w:rsid w:val="75647C39"/>
    <w:rsid w:val="75A06CAE"/>
    <w:rsid w:val="75AE079C"/>
    <w:rsid w:val="75EA7EE9"/>
    <w:rsid w:val="761B7A4F"/>
    <w:rsid w:val="766B475F"/>
    <w:rsid w:val="767A30E8"/>
    <w:rsid w:val="76B85BA1"/>
    <w:rsid w:val="76EC6D7D"/>
    <w:rsid w:val="770B1938"/>
    <w:rsid w:val="773D1FDA"/>
    <w:rsid w:val="77A92753"/>
    <w:rsid w:val="77C80A3F"/>
    <w:rsid w:val="781B50A8"/>
    <w:rsid w:val="782C186D"/>
    <w:rsid w:val="78AD61AB"/>
    <w:rsid w:val="78F97D20"/>
    <w:rsid w:val="7A0B1065"/>
    <w:rsid w:val="7A3A465D"/>
    <w:rsid w:val="7A5B5B5C"/>
    <w:rsid w:val="7A9E699F"/>
    <w:rsid w:val="7AF64347"/>
    <w:rsid w:val="7BFA3E80"/>
    <w:rsid w:val="7C3B5016"/>
    <w:rsid w:val="7C753976"/>
    <w:rsid w:val="7CB07EAF"/>
    <w:rsid w:val="7D1C47E7"/>
    <w:rsid w:val="7D390AFF"/>
    <w:rsid w:val="7D7E3035"/>
    <w:rsid w:val="7D8449AD"/>
    <w:rsid w:val="7DB22874"/>
    <w:rsid w:val="7DBE0BA6"/>
    <w:rsid w:val="7E344F75"/>
    <w:rsid w:val="7E433C39"/>
    <w:rsid w:val="7E682853"/>
    <w:rsid w:val="7E81542D"/>
    <w:rsid w:val="7EF81166"/>
    <w:rsid w:val="7EFE3400"/>
    <w:rsid w:val="7F0353CD"/>
    <w:rsid w:val="7F486001"/>
    <w:rsid w:val="7FC45DCB"/>
    <w:rsid w:val="7FEE7A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qFormat="1" w:unhideWhenUsed="0" w:uiPriority="0" w:semiHidden="0"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uiPriority="99"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napToGrid w:val="0"/>
      <w:spacing w:line="360" w:lineRule="auto"/>
      <w:ind w:firstLine="643" w:firstLineChars="200"/>
      <w:jc w:val="both"/>
    </w:pPr>
    <w:rPr>
      <w:rFonts w:ascii="宋体" w:hAnsi="宋体" w:eastAsia="宋体" w:cs="Times New Roman"/>
      <w:b/>
      <w:color w:val="FF0000"/>
      <w:sz w:val="32"/>
      <w:szCs w:val="32"/>
      <w:lang w:val="zh-CN" w:eastAsia="zh-CN" w:bidi="ar-SA"/>
    </w:rPr>
  </w:style>
  <w:style w:type="paragraph" w:styleId="3">
    <w:name w:val="heading 1"/>
    <w:basedOn w:val="1"/>
    <w:next w:val="1"/>
    <w:link w:val="95"/>
    <w:qFormat/>
    <w:uiPriority w:val="0"/>
    <w:pPr>
      <w:keepNext/>
      <w:keepLines/>
      <w:tabs>
        <w:tab w:val="left" w:pos="709"/>
      </w:tabs>
      <w:spacing w:before="340" w:after="330" w:line="400" w:lineRule="exact"/>
      <w:ind w:firstLine="0" w:firstLineChars="0"/>
      <w:jc w:val="center"/>
      <w:outlineLvl w:val="0"/>
    </w:pPr>
    <w:rPr>
      <w:b w:val="0"/>
      <w:color w:val="000000"/>
      <w:kern w:val="44"/>
    </w:rPr>
  </w:style>
  <w:style w:type="paragraph" w:styleId="4">
    <w:name w:val="heading 2"/>
    <w:basedOn w:val="1"/>
    <w:next w:val="1"/>
    <w:qFormat/>
    <w:uiPriority w:val="0"/>
    <w:pPr>
      <w:keepNext/>
      <w:tabs>
        <w:tab w:val="left" w:pos="567"/>
      </w:tabs>
      <w:spacing w:before="260" w:after="260"/>
      <w:jc w:val="left"/>
      <w:outlineLvl w:val="1"/>
    </w:pPr>
    <w:rPr>
      <w:b w:val="0"/>
      <w:bCs/>
      <w:sz w:val="28"/>
      <w:szCs w:val="28"/>
    </w:rPr>
  </w:style>
  <w:style w:type="paragraph" w:styleId="5">
    <w:name w:val="heading 3"/>
    <w:basedOn w:val="1"/>
    <w:next w:val="1"/>
    <w:link w:val="96"/>
    <w:qFormat/>
    <w:uiPriority w:val="0"/>
    <w:pPr>
      <w:keepNext/>
      <w:keepLines/>
      <w:numPr>
        <w:ilvl w:val="2"/>
        <w:numId w:val="1"/>
      </w:numPr>
      <w:tabs>
        <w:tab w:val="left" w:pos="709"/>
      </w:tabs>
      <w:outlineLvl w:val="2"/>
    </w:pPr>
    <w:rPr>
      <w:rFonts w:ascii="Times New Roman" w:hAnsi="Times New Roman"/>
      <w:bCs/>
      <w:color w:val="000000"/>
      <w:kern w:val="2"/>
      <w:sz w:val="28"/>
      <w:szCs w:val="28"/>
    </w:rPr>
  </w:style>
  <w:style w:type="paragraph" w:styleId="6">
    <w:name w:val="heading 4"/>
    <w:basedOn w:val="1"/>
    <w:next w:val="1"/>
    <w:link w:val="97"/>
    <w:qFormat/>
    <w:uiPriority w:val="0"/>
    <w:pPr>
      <w:keepNext/>
      <w:keepLines/>
      <w:numPr>
        <w:ilvl w:val="3"/>
        <w:numId w:val="1"/>
      </w:numPr>
      <w:spacing w:before="280" w:after="290" w:line="376" w:lineRule="auto"/>
      <w:outlineLvl w:val="3"/>
    </w:pPr>
    <w:rPr>
      <w:b w:val="0"/>
      <w:bCs/>
      <w:color w:val="auto"/>
      <w:kern w:val="2"/>
      <w:sz w:val="28"/>
      <w:szCs w:val="28"/>
    </w:rPr>
  </w:style>
  <w:style w:type="paragraph" w:styleId="7">
    <w:name w:val="heading 5"/>
    <w:basedOn w:val="1"/>
    <w:next w:val="1"/>
    <w:link w:val="98"/>
    <w:qFormat/>
    <w:uiPriority w:val="0"/>
    <w:pPr>
      <w:tabs>
        <w:tab w:val="left" w:pos="992"/>
        <w:tab w:val="left" w:pos="1134"/>
      </w:tabs>
      <w:spacing w:before="280" w:after="290"/>
      <w:ind w:left="992" w:hanging="992"/>
      <w:outlineLvl w:val="4"/>
    </w:pPr>
    <w:rPr>
      <w:rFonts w:ascii="Times New Roman" w:hAnsi="Times New Roman"/>
      <w:bCs/>
      <w:color w:val="auto"/>
      <w:sz w:val="28"/>
      <w:szCs w:val="28"/>
      <w:lang w:val="en-US"/>
    </w:rPr>
  </w:style>
  <w:style w:type="paragraph" w:styleId="8">
    <w:name w:val="heading 6"/>
    <w:basedOn w:val="1"/>
    <w:next w:val="1"/>
    <w:link w:val="99"/>
    <w:qFormat/>
    <w:uiPriority w:val="0"/>
    <w:pPr>
      <w:keepNext/>
      <w:keepLines/>
      <w:tabs>
        <w:tab w:val="left" w:pos="1134"/>
      </w:tabs>
      <w:spacing w:before="240" w:after="64" w:line="316" w:lineRule="auto"/>
      <w:ind w:left="1134" w:hanging="1134"/>
      <w:outlineLvl w:val="5"/>
    </w:pPr>
    <w:rPr>
      <w:rFonts w:ascii="Arial" w:hAnsi="Arial"/>
      <w:bCs/>
      <w:color w:val="auto"/>
      <w:sz w:val="28"/>
      <w:szCs w:val="18"/>
      <w:lang w:val="en-US"/>
    </w:rPr>
  </w:style>
  <w:style w:type="paragraph" w:styleId="9">
    <w:name w:val="heading 7"/>
    <w:basedOn w:val="1"/>
    <w:next w:val="1"/>
    <w:link w:val="100"/>
    <w:qFormat/>
    <w:uiPriority w:val="0"/>
    <w:pPr>
      <w:keepNext/>
      <w:keepLines/>
      <w:spacing w:before="240" w:after="64" w:line="320" w:lineRule="auto"/>
      <w:outlineLvl w:val="6"/>
    </w:pPr>
    <w:rPr>
      <w:rFonts w:ascii="Times New Roman" w:hAnsi="Times New Roman"/>
      <w:bCs/>
      <w:color w:val="auto"/>
      <w:kern w:val="2"/>
      <w:sz w:val="24"/>
      <w:szCs w:val="24"/>
      <w:lang w:val="en-US"/>
    </w:rPr>
  </w:style>
  <w:style w:type="paragraph" w:styleId="10">
    <w:name w:val="heading 8"/>
    <w:basedOn w:val="1"/>
    <w:next w:val="1"/>
    <w:link w:val="101"/>
    <w:qFormat/>
    <w:uiPriority w:val="0"/>
    <w:pPr>
      <w:keepNext/>
      <w:keepLines/>
      <w:spacing w:before="240" w:after="64" w:line="320" w:lineRule="auto"/>
      <w:outlineLvl w:val="7"/>
    </w:pPr>
    <w:rPr>
      <w:rFonts w:ascii="Cambria" w:hAnsi="Cambria"/>
      <w:b w:val="0"/>
      <w:color w:val="auto"/>
      <w:kern w:val="2"/>
      <w:sz w:val="24"/>
      <w:szCs w:val="24"/>
      <w:lang w:val="en-US"/>
    </w:rPr>
  </w:style>
  <w:style w:type="paragraph" w:styleId="11">
    <w:name w:val="heading 9"/>
    <w:basedOn w:val="1"/>
    <w:next w:val="1"/>
    <w:link w:val="102"/>
    <w:qFormat/>
    <w:uiPriority w:val="0"/>
    <w:pPr>
      <w:keepNext/>
      <w:keepLines/>
      <w:spacing w:before="240" w:after="64" w:line="320" w:lineRule="auto"/>
      <w:outlineLvl w:val="8"/>
    </w:pPr>
    <w:rPr>
      <w:rFonts w:ascii="Arial" w:hAnsi="Arial" w:eastAsia="黑体"/>
      <w:b w:val="0"/>
      <w:color w:val="auto"/>
      <w:kern w:val="2"/>
      <w:sz w:val="21"/>
      <w:szCs w:val="21"/>
      <w:lang w:val="en-US"/>
    </w:rPr>
  </w:style>
  <w:style w:type="character" w:default="1" w:styleId="78">
    <w:name w:val="Default Paragraph Font"/>
    <w:qFormat/>
    <w:uiPriority w:val="0"/>
  </w:style>
  <w:style w:type="table" w:default="1" w:styleId="76">
    <w:name w:val="Normal Table"/>
    <w:unhideWhenUsed/>
    <w:qFormat/>
    <w:uiPriority w:val="99"/>
    <w:tblPr>
      <w:tblCellMar>
        <w:top w:w="0" w:type="dxa"/>
        <w:left w:w="108" w:type="dxa"/>
        <w:bottom w:w="0" w:type="dxa"/>
        <w:right w:w="108" w:type="dxa"/>
      </w:tblCellMar>
    </w:tblPr>
  </w:style>
  <w:style w:type="paragraph" w:styleId="2">
    <w:name w:val="Body Text"/>
    <w:basedOn w:val="1"/>
    <w:next w:val="1"/>
    <w:link w:val="94"/>
    <w:qFormat/>
    <w:uiPriority w:val="0"/>
    <w:pPr>
      <w:spacing w:after="120"/>
    </w:pPr>
    <w:rPr>
      <w:rFonts w:ascii="Times New Roman" w:hAnsi="Times New Roman"/>
      <w:b w:val="0"/>
      <w:color w:val="auto"/>
      <w:kern w:val="2"/>
      <w:sz w:val="21"/>
      <w:szCs w:val="24"/>
    </w:rPr>
  </w:style>
  <w:style w:type="paragraph" w:styleId="12">
    <w:name w:val="List 3"/>
    <w:basedOn w:val="1"/>
    <w:qFormat/>
    <w:uiPriority w:val="0"/>
    <w:pPr>
      <w:ind w:left="100" w:leftChars="400" w:hanging="200" w:hangingChars="200"/>
    </w:pPr>
    <w:rPr>
      <w:rFonts w:ascii="Calibri" w:hAnsi="Calibri"/>
      <w:szCs w:val="22"/>
    </w:rPr>
  </w:style>
  <w:style w:type="paragraph" w:styleId="13">
    <w:name w:val="toc 7"/>
    <w:basedOn w:val="1"/>
    <w:next w:val="1"/>
    <w:qFormat/>
    <w:uiPriority w:val="39"/>
    <w:pPr>
      <w:ind w:left="1920"/>
      <w:jc w:val="left"/>
    </w:pPr>
    <w:rPr>
      <w:rFonts w:ascii="Calibri" w:hAnsi="Calibri"/>
      <w:b w:val="0"/>
      <w:sz w:val="18"/>
      <w:szCs w:val="18"/>
    </w:rPr>
  </w:style>
  <w:style w:type="paragraph" w:styleId="14">
    <w:name w:val="List Number 2"/>
    <w:basedOn w:val="1"/>
    <w:qFormat/>
    <w:uiPriority w:val="0"/>
    <w:pPr>
      <w:numPr>
        <w:ilvl w:val="0"/>
        <w:numId w:val="2"/>
      </w:numPr>
      <w:tabs>
        <w:tab w:val="left" w:pos="780"/>
        <w:tab w:val="clear" w:pos="420"/>
      </w:tabs>
    </w:pPr>
    <w:rPr>
      <w:rFonts w:ascii="Calibri" w:hAnsi="Calibri"/>
      <w:szCs w:val="22"/>
    </w:rPr>
  </w:style>
  <w:style w:type="paragraph" w:styleId="15">
    <w:name w:val="Note Heading"/>
    <w:basedOn w:val="1"/>
    <w:next w:val="1"/>
    <w:link w:val="103"/>
    <w:qFormat/>
    <w:uiPriority w:val="0"/>
    <w:pPr>
      <w:jc w:val="center"/>
    </w:pPr>
    <w:rPr>
      <w:rFonts w:ascii="Calibri" w:hAnsi="Calibri"/>
      <w:b w:val="0"/>
      <w:color w:val="auto"/>
      <w:kern w:val="2"/>
      <w:sz w:val="21"/>
      <w:szCs w:val="22"/>
    </w:rPr>
  </w:style>
  <w:style w:type="paragraph" w:styleId="16">
    <w:name w:val="List Bullet 4"/>
    <w:basedOn w:val="1"/>
    <w:qFormat/>
    <w:uiPriority w:val="0"/>
    <w:pPr>
      <w:numPr>
        <w:ilvl w:val="0"/>
        <w:numId w:val="3"/>
      </w:numPr>
      <w:tabs>
        <w:tab w:val="left" w:pos="1620"/>
      </w:tabs>
    </w:pPr>
    <w:rPr>
      <w:rFonts w:ascii="Calibri" w:hAnsi="Calibri"/>
      <w:szCs w:val="22"/>
    </w:rPr>
  </w:style>
  <w:style w:type="paragraph" w:styleId="17">
    <w:name w:val="E-mail Signature"/>
    <w:basedOn w:val="1"/>
    <w:link w:val="104"/>
    <w:qFormat/>
    <w:uiPriority w:val="0"/>
    <w:rPr>
      <w:rFonts w:ascii="Calibri" w:hAnsi="Calibri"/>
      <w:b w:val="0"/>
      <w:color w:val="auto"/>
      <w:kern w:val="2"/>
      <w:sz w:val="21"/>
      <w:szCs w:val="22"/>
    </w:rPr>
  </w:style>
  <w:style w:type="paragraph" w:styleId="18">
    <w:name w:val="List Number"/>
    <w:basedOn w:val="1"/>
    <w:qFormat/>
    <w:uiPriority w:val="0"/>
    <w:pPr>
      <w:numPr>
        <w:ilvl w:val="0"/>
        <w:numId w:val="4"/>
      </w:numPr>
      <w:tabs>
        <w:tab w:val="left" w:pos="360"/>
      </w:tabs>
    </w:pPr>
    <w:rPr>
      <w:rFonts w:ascii="Calibri" w:hAnsi="Calibri"/>
      <w:szCs w:val="22"/>
    </w:rPr>
  </w:style>
  <w:style w:type="paragraph" w:styleId="19">
    <w:name w:val="Normal Indent"/>
    <w:basedOn w:val="1"/>
    <w:link w:val="105"/>
    <w:qFormat/>
    <w:uiPriority w:val="0"/>
    <w:pPr>
      <w:ind w:firstLine="420"/>
    </w:pPr>
    <w:rPr>
      <w:rFonts w:ascii="Times New Roman" w:hAnsi="Times New Roman"/>
      <w:b w:val="0"/>
      <w:color w:val="auto"/>
      <w:kern w:val="2"/>
      <w:sz w:val="21"/>
      <w:szCs w:val="24"/>
      <w:lang w:val="en-US"/>
    </w:rPr>
  </w:style>
  <w:style w:type="paragraph" w:styleId="20">
    <w:name w:val="caption"/>
    <w:basedOn w:val="1"/>
    <w:next w:val="1"/>
    <w:qFormat/>
    <w:uiPriority w:val="0"/>
    <w:pPr>
      <w:spacing w:before="152" w:after="160"/>
    </w:pPr>
    <w:rPr>
      <w:rFonts w:ascii="Arial" w:hAnsi="Arial" w:eastAsia="黑体" w:cs="Arial"/>
      <w:sz w:val="20"/>
      <w:szCs w:val="20"/>
    </w:rPr>
  </w:style>
  <w:style w:type="paragraph" w:styleId="21">
    <w:name w:val="List Bullet"/>
    <w:basedOn w:val="1"/>
    <w:qFormat/>
    <w:uiPriority w:val="0"/>
    <w:pPr>
      <w:numPr>
        <w:ilvl w:val="0"/>
        <w:numId w:val="5"/>
      </w:numPr>
      <w:tabs>
        <w:tab w:val="left" w:pos="360"/>
      </w:tabs>
    </w:pPr>
    <w:rPr>
      <w:rFonts w:ascii="Calibri" w:hAnsi="Calibri"/>
      <w:szCs w:val="22"/>
    </w:rPr>
  </w:style>
  <w:style w:type="paragraph" w:styleId="22">
    <w:name w:val="envelope address"/>
    <w:basedOn w:val="1"/>
    <w:qFormat/>
    <w:uiPriority w:val="0"/>
    <w:pPr>
      <w:ind w:left="100" w:leftChars="1400"/>
    </w:pPr>
    <w:rPr>
      <w:rFonts w:ascii="Arial" w:hAnsi="Arial" w:cs="Arial"/>
      <w:sz w:val="24"/>
    </w:rPr>
  </w:style>
  <w:style w:type="paragraph" w:styleId="23">
    <w:name w:val="Document Map"/>
    <w:basedOn w:val="1"/>
    <w:link w:val="106"/>
    <w:qFormat/>
    <w:uiPriority w:val="0"/>
    <w:rPr>
      <w:rFonts w:hAnsi="Times New Roman"/>
      <w:b w:val="0"/>
      <w:color w:val="auto"/>
      <w:kern w:val="2"/>
      <w:sz w:val="18"/>
      <w:szCs w:val="18"/>
    </w:rPr>
  </w:style>
  <w:style w:type="paragraph" w:styleId="24">
    <w:name w:val="annotation text"/>
    <w:basedOn w:val="1"/>
    <w:link w:val="107"/>
    <w:qFormat/>
    <w:uiPriority w:val="0"/>
    <w:pPr>
      <w:jc w:val="left"/>
    </w:pPr>
  </w:style>
  <w:style w:type="paragraph" w:styleId="25">
    <w:name w:val="Salutation"/>
    <w:basedOn w:val="1"/>
    <w:next w:val="1"/>
    <w:link w:val="108"/>
    <w:qFormat/>
    <w:uiPriority w:val="0"/>
    <w:rPr>
      <w:rFonts w:ascii="Times New Roman" w:hAnsi="Times New Roman" w:eastAsia="黑体"/>
      <w:b w:val="0"/>
      <w:color w:val="auto"/>
      <w:kern w:val="2"/>
      <w:sz w:val="24"/>
      <w:szCs w:val="24"/>
    </w:rPr>
  </w:style>
  <w:style w:type="paragraph" w:styleId="26">
    <w:name w:val="Body Text 3"/>
    <w:basedOn w:val="1"/>
    <w:link w:val="109"/>
    <w:qFormat/>
    <w:uiPriority w:val="0"/>
    <w:pPr>
      <w:widowControl/>
      <w:spacing w:after="120"/>
      <w:jc w:val="left"/>
    </w:pPr>
    <w:rPr>
      <w:rFonts w:ascii="Times New Roman" w:hAnsi="Times New Roman"/>
      <w:b w:val="0"/>
      <w:color w:val="auto"/>
      <w:sz w:val="16"/>
      <w:szCs w:val="16"/>
    </w:rPr>
  </w:style>
  <w:style w:type="paragraph" w:styleId="27">
    <w:name w:val="Closing"/>
    <w:basedOn w:val="1"/>
    <w:link w:val="110"/>
    <w:qFormat/>
    <w:uiPriority w:val="0"/>
    <w:pPr>
      <w:ind w:left="100" w:leftChars="2100"/>
    </w:pPr>
    <w:rPr>
      <w:rFonts w:ascii="Calibri" w:hAnsi="Calibri"/>
      <w:b w:val="0"/>
      <w:color w:val="auto"/>
      <w:kern w:val="2"/>
      <w:sz w:val="21"/>
      <w:szCs w:val="22"/>
    </w:rPr>
  </w:style>
  <w:style w:type="paragraph" w:styleId="28">
    <w:name w:val="List Bullet 3"/>
    <w:basedOn w:val="1"/>
    <w:qFormat/>
    <w:uiPriority w:val="0"/>
    <w:pPr>
      <w:numPr>
        <w:ilvl w:val="0"/>
        <w:numId w:val="6"/>
      </w:numPr>
      <w:tabs>
        <w:tab w:val="left" w:pos="1200"/>
      </w:tabs>
    </w:pPr>
    <w:rPr>
      <w:rFonts w:ascii="Calibri" w:hAnsi="Calibri"/>
      <w:szCs w:val="22"/>
    </w:rPr>
  </w:style>
  <w:style w:type="paragraph" w:styleId="29">
    <w:name w:val="Body Text Indent"/>
    <w:basedOn w:val="1"/>
    <w:link w:val="111"/>
    <w:qFormat/>
    <w:uiPriority w:val="0"/>
    <w:pPr>
      <w:ind w:firstLine="630"/>
    </w:pPr>
    <w:rPr>
      <w:rFonts w:ascii="Times New Roman" w:hAnsi="Times New Roman"/>
      <w:b w:val="0"/>
      <w:color w:val="auto"/>
      <w:sz w:val="20"/>
      <w:szCs w:val="24"/>
    </w:rPr>
  </w:style>
  <w:style w:type="paragraph" w:styleId="30">
    <w:name w:val="List Number 3"/>
    <w:basedOn w:val="1"/>
    <w:qFormat/>
    <w:uiPriority w:val="0"/>
    <w:pPr>
      <w:numPr>
        <w:ilvl w:val="0"/>
        <w:numId w:val="7"/>
      </w:numPr>
      <w:tabs>
        <w:tab w:val="left" w:pos="1200"/>
      </w:tabs>
    </w:pPr>
    <w:rPr>
      <w:rFonts w:ascii="Calibri" w:hAnsi="Calibri"/>
      <w:szCs w:val="22"/>
    </w:rPr>
  </w:style>
  <w:style w:type="paragraph" w:styleId="31">
    <w:name w:val="List 2"/>
    <w:basedOn w:val="1"/>
    <w:qFormat/>
    <w:uiPriority w:val="0"/>
    <w:pPr>
      <w:ind w:left="100" w:leftChars="200" w:hanging="200" w:hangingChars="200"/>
    </w:pPr>
    <w:rPr>
      <w:rFonts w:ascii="Calibri" w:hAnsi="Calibri"/>
      <w:szCs w:val="22"/>
    </w:rPr>
  </w:style>
  <w:style w:type="paragraph" w:styleId="32">
    <w:name w:val="List Continue"/>
    <w:basedOn w:val="1"/>
    <w:qFormat/>
    <w:uiPriority w:val="0"/>
    <w:pPr>
      <w:spacing w:after="120"/>
      <w:ind w:left="420" w:leftChars="200"/>
    </w:pPr>
    <w:rPr>
      <w:rFonts w:ascii="Calibri" w:hAnsi="Calibri"/>
      <w:szCs w:val="22"/>
    </w:rPr>
  </w:style>
  <w:style w:type="paragraph" w:styleId="33">
    <w:name w:val="Block Text"/>
    <w:basedOn w:val="1"/>
    <w:qFormat/>
    <w:uiPriority w:val="0"/>
    <w:pPr>
      <w:ind w:left="-540" w:leftChars="-257" w:right="-334" w:rightChars="-159" w:firstLine="540" w:firstLineChars="180"/>
    </w:pPr>
    <w:rPr>
      <w:sz w:val="30"/>
    </w:rPr>
  </w:style>
  <w:style w:type="paragraph" w:styleId="34">
    <w:name w:val="List Bullet 2"/>
    <w:basedOn w:val="1"/>
    <w:qFormat/>
    <w:uiPriority w:val="0"/>
    <w:pPr>
      <w:widowControl/>
      <w:adjustRightInd w:val="0"/>
      <w:spacing w:before="120"/>
      <w:ind w:firstLine="540"/>
      <w:jc w:val="left"/>
    </w:pPr>
    <w:rPr>
      <w:spacing w:val="-5"/>
      <w:sz w:val="28"/>
    </w:rPr>
  </w:style>
  <w:style w:type="paragraph" w:styleId="35">
    <w:name w:val="HTML Address"/>
    <w:basedOn w:val="1"/>
    <w:link w:val="112"/>
    <w:qFormat/>
    <w:uiPriority w:val="0"/>
    <w:rPr>
      <w:rFonts w:ascii="Calibri" w:hAnsi="Calibri"/>
      <w:b w:val="0"/>
      <w:i/>
      <w:iCs/>
      <w:color w:val="auto"/>
      <w:kern w:val="2"/>
      <w:sz w:val="21"/>
      <w:szCs w:val="22"/>
    </w:rPr>
  </w:style>
  <w:style w:type="paragraph" w:styleId="36">
    <w:name w:val="toc 5"/>
    <w:basedOn w:val="1"/>
    <w:next w:val="1"/>
    <w:qFormat/>
    <w:uiPriority w:val="39"/>
    <w:pPr>
      <w:ind w:left="1280"/>
      <w:jc w:val="left"/>
    </w:pPr>
    <w:rPr>
      <w:rFonts w:ascii="Calibri" w:hAnsi="Calibri"/>
      <w:b w:val="0"/>
      <w:sz w:val="18"/>
      <w:szCs w:val="18"/>
    </w:rPr>
  </w:style>
  <w:style w:type="paragraph" w:styleId="37">
    <w:name w:val="toc 3"/>
    <w:basedOn w:val="1"/>
    <w:next w:val="1"/>
    <w:qFormat/>
    <w:uiPriority w:val="39"/>
    <w:pPr>
      <w:ind w:left="640"/>
      <w:jc w:val="left"/>
    </w:pPr>
    <w:rPr>
      <w:rFonts w:ascii="Calibri" w:hAnsi="Calibri"/>
      <w:b w:val="0"/>
      <w:i/>
      <w:iCs/>
      <w:sz w:val="20"/>
      <w:szCs w:val="20"/>
    </w:rPr>
  </w:style>
  <w:style w:type="paragraph" w:styleId="38">
    <w:name w:val="Plain Text"/>
    <w:basedOn w:val="1"/>
    <w:link w:val="113"/>
    <w:qFormat/>
    <w:uiPriority w:val="0"/>
    <w:rPr>
      <w:rFonts w:hAnsi="Courier New"/>
      <w:b w:val="0"/>
      <w:color w:val="auto"/>
      <w:kern w:val="2"/>
      <w:sz w:val="21"/>
      <w:szCs w:val="20"/>
      <w:lang w:val="en-US"/>
    </w:rPr>
  </w:style>
  <w:style w:type="paragraph" w:styleId="39">
    <w:name w:val="List Bullet 5"/>
    <w:basedOn w:val="1"/>
    <w:qFormat/>
    <w:uiPriority w:val="0"/>
    <w:pPr>
      <w:numPr>
        <w:ilvl w:val="0"/>
        <w:numId w:val="8"/>
      </w:numPr>
      <w:tabs>
        <w:tab w:val="left" w:pos="2040"/>
      </w:tabs>
    </w:pPr>
    <w:rPr>
      <w:rFonts w:ascii="Calibri" w:hAnsi="Calibri"/>
      <w:szCs w:val="22"/>
    </w:rPr>
  </w:style>
  <w:style w:type="paragraph" w:styleId="40">
    <w:name w:val="List Number 4"/>
    <w:basedOn w:val="1"/>
    <w:qFormat/>
    <w:uiPriority w:val="0"/>
    <w:pPr>
      <w:numPr>
        <w:ilvl w:val="0"/>
        <w:numId w:val="9"/>
      </w:numPr>
    </w:pPr>
    <w:rPr>
      <w:sz w:val="28"/>
      <w:szCs w:val="21"/>
    </w:rPr>
  </w:style>
  <w:style w:type="paragraph" w:styleId="41">
    <w:name w:val="toc 8"/>
    <w:basedOn w:val="1"/>
    <w:next w:val="1"/>
    <w:qFormat/>
    <w:uiPriority w:val="39"/>
    <w:pPr>
      <w:ind w:left="2240"/>
      <w:jc w:val="left"/>
    </w:pPr>
    <w:rPr>
      <w:rFonts w:ascii="Calibri" w:hAnsi="Calibri"/>
      <w:b w:val="0"/>
      <w:sz w:val="18"/>
      <w:szCs w:val="18"/>
    </w:rPr>
  </w:style>
  <w:style w:type="paragraph" w:styleId="42">
    <w:name w:val="index 3"/>
    <w:basedOn w:val="1"/>
    <w:next w:val="1"/>
    <w:qFormat/>
    <w:uiPriority w:val="0"/>
    <w:pPr>
      <w:ind w:left="400" w:leftChars="400"/>
    </w:pPr>
    <w:rPr>
      <w:sz w:val="24"/>
    </w:rPr>
  </w:style>
  <w:style w:type="paragraph" w:styleId="43">
    <w:name w:val="Date"/>
    <w:basedOn w:val="1"/>
    <w:next w:val="1"/>
    <w:link w:val="114"/>
    <w:qFormat/>
    <w:uiPriority w:val="0"/>
    <w:pPr>
      <w:ind w:left="100" w:leftChars="2500"/>
    </w:pPr>
    <w:rPr>
      <w:rFonts w:ascii="Times New Roman" w:hAnsi="Times New Roman"/>
      <w:b w:val="0"/>
      <w:color w:val="auto"/>
      <w:kern w:val="2"/>
      <w:sz w:val="24"/>
      <w:szCs w:val="24"/>
    </w:rPr>
  </w:style>
  <w:style w:type="paragraph" w:styleId="44">
    <w:name w:val="Body Text Indent 2"/>
    <w:basedOn w:val="1"/>
    <w:link w:val="115"/>
    <w:qFormat/>
    <w:uiPriority w:val="0"/>
    <w:pPr>
      <w:spacing w:after="120" w:line="480" w:lineRule="auto"/>
      <w:ind w:left="420" w:leftChars="200"/>
    </w:pPr>
  </w:style>
  <w:style w:type="paragraph" w:styleId="45">
    <w:name w:val="List Continue 5"/>
    <w:basedOn w:val="1"/>
    <w:qFormat/>
    <w:uiPriority w:val="0"/>
    <w:pPr>
      <w:spacing w:after="120"/>
      <w:ind w:left="2100" w:leftChars="1000"/>
    </w:pPr>
    <w:rPr>
      <w:rFonts w:ascii="Calibri" w:hAnsi="Calibri"/>
      <w:szCs w:val="22"/>
    </w:rPr>
  </w:style>
  <w:style w:type="paragraph" w:styleId="46">
    <w:name w:val="Balloon Text"/>
    <w:basedOn w:val="1"/>
    <w:link w:val="116"/>
    <w:qFormat/>
    <w:uiPriority w:val="0"/>
    <w:rPr>
      <w:rFonts w:ascii="Times New Roman" w:hAnsi="Times New Roman"/>
      <w:b w:val="0"/>
      <w:color w:val="auto"/>
      <w:kern w:val="2"/>
      <w:sz w:val="18"/>
      <w:szCs w:val="18"/>
    </w:rPr>
  </w:style>
  <w:style w:type="paragraph" w:styleId="47">
    <w:name w:val="footer"/>
    <w:basedOn w:val="1"/>
    <w:link w:val="117"/>
    <w:qFormat/>
    <w:uiPriority w:val="99"/>
    <w:pPr>
      <w:tabs>
        <w:tab w:val="center" w:pos="4153"/>
        <w:tab w:val="right" w:pos="8306"/>
      </w:tabs>
      <w:jc w:val="left"/>
    </w:pPr>
    <w:rPr>
      <w:rFonts w:ascii="Times New Roman" w:hAnsi="Times New Roman"/>
      <w:b w:val="0"/>
      <w:color w:val="auto"/>
      <w:kern w:val="2"/>
      <w:sz w:val="18"/>
      <w:szCs w:val="20"/>
    </w:rPr>
  </w:style>
  <w:style w:type="paragraph" w:styleId="48">
    <w:name w:val="envelope return"/>
    <w:basedOn w:val="1"/>
    <w:qFormat/>
    <w:uiPriority w:val="0"/>
    <w:rPr>
      <w:rFonts w:ascii="Arial" w:hAnsi="Arial" w:cs="Arial"/>
      <w:szCs w:val="22"/>
    </w:rPr>
  </w:style>
  <w:style w:type="paragraph" w:styleId="49">
    <w:name w:val="header"/>
    <w:basedOn w:val="1"/>
    <w:link w:val="118"/>
    <w:qFormat/>
    <w:uiPriority w:val="0"/>
    <w:pPr>
      <w:pBdr>
        <w:bottom w:val="single" w:color="auto" w:sz="6" w:space="1"/>
      </w:pBdr>
      <w:tabs>
        <w:tab w:val="center" w:pos="4153"/>
        <w:tab w:val="right" w:pos="8306"/>
      </w:tabs>
      <w:jc w:val="center"/>
    </w:pPr>
    <w:rPr>
      <w:rFonts w:ascii="Times New Roman" w:hAnsi="Times New Roman"/>
      <w:b w:val="0"/>
      <w:color w:val="auto"/>
      <w:kern w:val="2"/>
      <w:sz w:val="18"/>
      <w:szCs w:val="20"/>
    </w:rPr>
  </w:style>
  <w:style w:type="paragraph" w:styleId="50">
    <w:name w:val="Signature"/>
    <w:basedOn w:val="1"/>
    <w:link w:val="119"/>
    <w:qFormat/>
    <w:uiPriority w:val="0"/>
    <w:pPr>
      <w:ind w:left="100" w:leftChars="2100"/>
    </w:pPr>
    <w:rPr>
      <w:rFonts w:ascii="Calibri" w:hAnsi="Calibri"/>
      <w:b w:val="0"/>
      <w:color w:val="auto"/>
      <w:kern w:val="2"/>
      <w:sz w:val="21"/>
      <w:szCs w:val="22"/>
    </w:rPr>
  </w:style>
  <w:style w:type="paragraph" w:styleId="51">
    <w:name w:val="toc 1"/>
    <w:basedOn w:val="1"/>
    <w:next w:val="1"/>
    <w:qFormat/>
    <w:uiPriority w:val="39"/>
    <w:pPr>
      <w:spacing w:before="120" w:after="120"/>
      <w:jc w:val="left"/>
    </w:pPr>
    <w:rPr>
      <w:rFonts w:ascii="Calibri" w:hAnsi="Calibri"/>
      <w:bCs/>
      <w:caps/>
      <w:sz w:val="20"/>
      <w:szCs w:val="20"/>
    </w:rPr>
  </w:style>
  <w:style w:type="paragraph" w:styleId="52">
    <w:name w:val="List Continue 4"/>
    <w:basedOn w:val="1"/>
    <w:qFormat/>
    <w:uiPriority w:val="0"/>
    <w:pPr>
      <w:spacing w:after="120"/>
      <w:ind w:left="1680" w:leftChars="800"/>
    </w:pPr>
    <w:rPr>
      <w:rFonts w:ascii="Calibri" w:hAnsi="Calibri"/>
      <w:szCs w:val="22"/>
    </w:rPr>
  </w:style>
  <w:style w:type="paragraph" w:styleId="53">
    <w:name w:val="toc 4"/>
    <w:basedOn w:val="1"/>
    <w:next w:val="1"/>
    <w:qFormat/>
    <w:uiPriority w:val="39"/>
    <w:pPr>
      <w:ind w:left="960"/>
      <w:jc w:val="left"/>
    </w:pPr>
    <w:rPr>
      <w:rFonts w:ascii="Calibri" w:hAnsi="Calibri"/>
      <w:b w:val="0"/>
      <w:sz w:val="18"/>
      <w:szCs w:val="18"/>
    </w:rPr>
  </w:style>
  <w:style w:type="paragraph" w:styleId="54">
    <w:name w:val="Subtitle"/>
    <w:basedOn w:val="1"/>
    <w:link w:val="120"/>
    <w:qFormat/>
    <w:uiPriority w:val="0"/>
    <w:pPr>
      <w:spacing w:before="240" w:after="60" w:line="312" w:lineRule="auto"/>
      <w:jc w:val="center"/>
      <w:outlineLvl w:val="1"/>
    </w:pPr>
    <w:rPr>
      <w:rFonts w:ascii="Arial" w:hAnsi="Arial" w:cs="Arial"/>
      <w:bCs/>
      <w:color w:val="auto"/>
      <w:kern w:val="28"/>
      <w:lang w:val="en-US"/>
    </w:rPr>
  </w:style>
  <w:style w:type="paragraph" w:styleId="55">
    <w:name w:val="List Number 5"/>
    <w:basedOn w:val="1"/>
    <w:qFormat/>
    <w:uiPriority w:val="0"/>
    <w:pPr>
      <w:tabs>
        <w:tab w:val="left" w:pos="1521"/>
        <w:tab w:val="left" w:pos="2040"/>
      </w:tabs>
      <w:ind w:left="1521" w:hanging="1095"/>
    </w:pPr>
    <w:rPr>
      <w:rFonts w:ascii="Calibri" w:hAnsi="Calibri"/>
      <w:szCs w:val="22"/>
    </w:rPr>
  </w:style>
  <w:style w:type="paragraph" w:styleId="56">
    <w:name w:val="List"/>
    <w:basedOn w:val="1"/>
    <w:qFormat/>
    <w:uiPriority w:val="0"/>
    <w:pPr>
      <w:ind w:left="200" w:hanging="200" w:hangingChars="200"/>
      <w:contextualSpacing/>
    </w:pPr>
    <w:rPr>
      <w:sz w:val="18"/>
      <w:szCs w:val="18"/>
    </w:rPr>
  </w:style>
  <w:style w:type="paragraph" w:styleId="57">
    <w:name w:val="footnote text"/>
    <w:basedOn w:val="1"/>
    <w:link w:val="121"/>
    <w:qFormat/>
    <w:uiPriority w:val="0"/>
    <w:pPr>
      <w:ind w:firstLine="480"/>
      <w:jc w:val="left"/>
    </w:pPr>
    <w:rPr>
      <w:rFonts w:ascii="Times New Roman" w:hAnsi="Times New Roman"/>
      <w:b w:val="0"/>
      <w:color w:val="auto"/>
      <w:kern w:val="2"/>
      <w:sz w:val="18"/>
      <w:szCs w:val="18"/>
    </w:rPr>
  </w:style>
  <w:style w:type="paragraph" w:styleId="58">
    <w:name w:val="toc 6"/>
    <w:basedOn w:val="1"/>
    <w:next w:val="1"/>
    <w:qFormat/>
    <w:uiPriority w:val="39"/>
    <w:pPr>
      <w:ind w:left="1600"/>
      <w:jc w:val="left"/>
    </w:pPr>
    <w:rPr>
      <w:rFonts w:ascii="Calibri" w:hAnsi="Calibri"/>
      <w:b w:val="0"/>
      <w:sz w:val="18"/>
      <w:szCs w:val="18"/>
    </w:rPr>
  </w:style>
  <w:style w:type="paragraph" w:styleId="59">
    <w:name w:val="List 5"/>
    <w:basedOn w:val="1"/>
    <w:qFormat/>
    <w:uiPriority w:val="0"/>
    <w:pPr>
      <w:ind w:left="100" w:leftChars="800" w:hanging="200" w:hangingChars="200"/>
    </w:pPr>
    <w:rPr>
      <w:rFonts w:ascii="Calibri" w:hAnsi="Calibri"/>
      <w:szCs w:val="22"/>
    </w:rPr>
  </w:style>
  <w:style w:type="paragraph" w:styleId="60">
    <w:name w:val="Body Text Indent 3"/>
    <w:basedOn w:val="1"/>
    <w:link w:val="122"/>
    <w:qFormat/>
    <w:uiPriority w:val="0"/>
    <w:pPr>
      <w:spacing w:after="120"/>
      <w:ind w:left="420" w:leftChars="200"/>
    </w:pPr>
    <w:rPr>
      <w:rFonts w:ascii="Times New Roman" w:hAnsi="Times New Roman"/>
      <w:b w:val="0"/>
      <w:color w:val="auto"/>
      <w:kern w:val="2"/>
      <w:sz w:val="16"/>
      <w:szCs w:val="16"/>
    </w:rPr>
  </w:style>
  <w:style w:type="paragraph" w:styleId="61">
    <w:name w:val="table of figures"/>
    <w:basedOn w:val="1"/>
    <w:next w:val="1"/>
    <w:qFormat/>
    <w:uiPriority w:val="0"/>
  </w:style>
  <w:style w:type="paragraph" w:styleId="62">
    <w:name w:val="toc 2"/>
    <w:basedOn w:val="1"/>
    <w:next w:val="1"/>
    <w:qFormat/>
    <w:uiPriority w:val="39"/>
    <w:pPr>
      <w:ind w:left="320"/>
      <w:jc w:val="left"/>
    </w:pPr>
    <w:rPr>
      <w:rFonts w:ascii="Calibri" w:hAnsi="Calibri"/>
      <w:b w:val="0"/>
      <w:smallCaps/>
      <w:sz w:val="20"/>
      <w:szCs w:val="20"/>
    </w:rPr>
  </w:style>
  <w:style w:type="paragraph" w:styleId="63">
    <w:name w:val="toc 9"/>
    <w:basedOn w:val="1"/>
    <w:next w:val="1"/>
    <w:qFormat/>
    <w:uiPriority w:val="39"/>
    <w:pPr>
      <w:ind w:left="2560"/>
      <w:jc w:val="left"/>
    </w:pPr>
    <w:rPr>
      <w:rFonts w:ascii="Calibri" w:hAnsi="Calibri"/>
      <w:b w:val="0"/>
      <w:sz w:val="18"/>
      <w:szCs w:val="18"/>
    </w:rPr>
  </w:style>
  <w:style w:type="paragraph" w:styleId="64">
    <w:name w:val="Body Text 2"/>
    <w:basedOn w:val="1"/>
    <w:link w:val="123"/>
    <w:qFormat/>
    <w:uiPriority w:val="0"/>
    <w:pPr>
      <w:spacing w:after="120" w:line="480" w:lineRule="auto"/>
    </w:pPr>
    <w:rPr>
      <w:rFonts w:ascii="Times New Roman" w:hAnsi="Times New Roman"/>
      <w:b w:val="0"/>
      <w:color w:val="auto"/>
      <w:kern w:val="2"/>
      <w:sz w:val="18"/>
      <w:szCs w:val="18"/>
    </w:rPr>
  </w:style>
  <w:style w:type="paragraph" w:styleId="65">
    <w:name w:val="List 4"/>
    <w:basedOn w:val="1"/>
    <w:qFormat/>
    <w:uiPriority w:val="0"/>
    <w:pPr>
      <w:ind w:left="100" w:leftChars="600" w:hanging="200" w:hangingChars="200"/>
    </w:pPr>
    <w:rPr>
      <w:rFonts w:ascii="Calibri" w:hAnsi="Calibri"/>
      <w:szCs w:val="22"/>
    </w:rPr>
  </w:style>
  <w:style w:type="paragraph" w:styleId="66">
    <w:name w:val="List Continue 2"/>
    <w:basedOn w:val="1"/>
    <w:qFormat/>
    <w:uiPriority w:val="0"/>
    <w:pPr>
      <w:spacing w:after="120"/>
      <w:ind w:left="840" w:leftChars="400"/>
    </w:pPr>
    <w:rPr>
      <w:rFonts w:ascii="Calibri" w:hAnsi="Calibri"/>
      <w:szCs w:val="22"/>
    </w:rPr>
  </w:style>
  <w:style w:type="paragraph" w:styleId="67">
    <w:name w:val="Message Header"/>
    <w:basedOn w:val="1"/>
    <w:link w:val="124"/>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b w:val="0"/>
      <w:color w:val="auto"/>
      <w:kern w:val="2"/>
      <w:sz w:val="24"/>
      <w:szCs w:val="24"/>
      <w:shd w:val="pct20" w:color="auto" w:fill="auto"/>
    </w:rPr>
  </w:style>
  <w:style w:type="paragraph" w:styleId="68">
    <w:name w:val="HTML Preformatted"/>
    <w:basedOn w:val="1"/>
    <w:link w:val="125"/>
    <w:qFormat/>
    <w:uiPriority w:val="0"/>
    <w:rPr>
      <w:rFonts w:ascii="Courier New" w:hAnsi="Courier New"/>
      <w:b w:val="0"/>
      <w:color w:val="auto"/>
      <w:kern w:val="2"/>
      <w:sz w:val="20"/>
      <w:szCs w:val="20"/>
    </w:rPr>
  </w:style>
  <w:style w:type="paragraph" w:styleId="69">
    <w:name w:val="Normal (Web)"/>
    <w:basedOn w:val="1"/>
    <w:qFormat/>
    <w:uiPriority w:val="99"/>
    <w:pPr>
      <w:widowControl/>
      <w:spacing w:before="100" w:beforeAutospacing="1" w:after="100" w:afterAutospacing="1"/>
      <w:jc w:val="left"/>
    </w:pPr>
    <w:rPr>
      <w:sz w:val="18"/>
      <w:szCs w:val="18"/>
    </w:rPr>
  </w:style>
  <w:style w:type="paragraph" w:styleId="70">
    <w:name w:val="List Continue 3"/>
    <w:basedOn w:val="1"/>
    <w:qFormat/>
    <w:uiPriority w:val="0"/>
    <w:pPr>
      <w:spacing w:after="120"/>
      <w:ind w:left="1260" w:leftChars="600"/>
    </w:pPr>
    <w:rPr>
      <w:rFonts w:ascii="Calibri" w:hAnsi="Calibri"/>
      <w:szCs w:val="22"/>
    </w:rPr>
  </w:style>
  <w:style w:type="paragraph" w:styleId="71">
    <w:name w:val="index 1"/>
    <w:basedOn w:val="1"/>
    <w:next w:val="1"/>
    <w:qFormat/>
    <w:uiPriority w:val="0"/>
    <w:rPr>
      <w:szCs w:val="20"/>
    </w:rPr>
  </w:style>
  <w:style w:type="paragraph" w:styleId="72">
    <w:name w:val="Title"/>
    <w:basedOn w:val="1"/>
    <w:link w:val="126"/>
    <w:qFormat/>
    <w:uiPriority w:val="0"/>
    <w:pPr>
      <w:spacing w:before="240" w:after="60"/>
      <w:jc w:val="center"/>
      <w:outlineLvl w:val="0"/>
    </w:pPr>
    <w:rPr>
      <w:rFonts w:ascii="Arial" w:hAnsi="Arial"/>
      <w:bCs/>
      <w:color w:val="auto"/>
      <w:kern w:val="2"/>
      <w:sz w:val="44"/>
      <w:lang w:val="en-US"/>
    </w:rPr>
  </w:style>
  <w:style w:type="paragraph" w:styleId="73">
    <w:name w:val="annotation subject"/>
    <w:basedOn w:val="24"/>
    <w:next w:val="24"/>
    <w:link w:val="127"/>
    <w:qFormat/>
    <w:uiPriority w:val="99"/>
    <w:rPr>
      <w:rFonts w:ascii="Times New Roman" w:hAnsi="Times New Roman"/>
      <w:bCs/>
      <w:color w:val="auto"/>
      <w:kern w:val="2"/>
      <w:sz w:val="18"/>
      <w:szCs w:val="18"/>
    </w:rPr>
  </w:style>
  <w:style w:type="paragraph" w:styleId="74">
    <w:name w:val="Body Text First Indent"/>
    <w:basedOn w:val="2"/>
    <w:link w:val="128"/>
    <w:qFormat/>
    <w:uiPriority w:val="0"/>
    <w:pPr>
      <w:ind w:firstLine="420" w:firstLineChars="100"/>
    </w:pPr>
    <w:rPr>
      <w:sz w:val="18"/>
      <w:szCs w:val="18"/>
    </w:rPr>
  </w:style>
  <w:style w:type="paragraph" w:styleId="75">
    <w:name w:val="Body Text First Indent 2"/>
    <w:basedOn w:val="29"/>
    <w:link w:val="129"/>
    <w:qFormat/>
    <w:uiPriority w:val="0"/>
    <w:pPr>
      <w:spacing w:after="120"/>
      <w:ind w:left="420" w:leftChars="200" w:firstLine="420"/>
    </w:pPr>
    <w:rPr>
      <w:rFonts w:ascii="Calibri" w:hAnsi="Calibri"/>
      <w:kern w:val="2"/>
      <w:sz w:val="21"/>
      <w:szCs w:val="22"/>
    </w:rPr>
  </w:style>
  <w:style w:type="table" w:styleId="77">
    <w:name w:val="Table Grid"/>
    <w:basedOn w:val="76"/>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9">
    <w:name w:val="Strong"/>
    <w:qFormat/>
    <w:uiPriority w:val="22"/>
    <w:rPr>
      <w:b/>
      <w:bCs/>
    </w:rPr>
  </w:style>
  <w:style w:type="character" w:styleId="80">
    <w:name w:val="page number"/>
    <w:qFormat/>
    <w:uiPriority w:val="0"/>
  </w:style>
  <w:style w:type="character" w:styleId="81">
    <w:name w:val="FollowedHyperlink"/>
    <w:qFormat/>
    <w:uiPriority w:val="99"/>
    <w:rPr>
      <w:color w:val="800080"/>
      <w:u w:val="single"/>
    </w:rPr>
  </w:style>
  <w:style w:type="character" w:styleId="82">
    <w:name w:val="Emphasis"/>
    <w:qFormat/>
    <w:uiPriority w:val="0"/>
    <w:rPr>
      <w:i/>
      <w:iCs/>
    </w:rPr>
  </w:style>
  <w:style w:type="character" w:styleId="83">
    <w:name w:val="line number"/>
    <w:qFormat/>
    <w:uiPriority w:val="0"/>
  </w:style>
  <w:style w:type="character" w:styleId="84">
    <w:name w:val="HTML Definition"/>
    <w:qFormat/>
    <w:uiPriority w:val="0"/>
    <w:rPr>
      <w:i/>
      <w:iCs/>
    </w:rPr>
  </w:style>
  <w:style w:type="character" w:styleId="85">
    <w:name w:val="HTML Typewriter"/>
    <w:qFormat/>
    <w:uiPriority w:val="0"/>
    <w:rPr>
      <w:rFonts w:ascii="Courier New" w:hAnsi="Courier New" w:cs="Courier New"/>
      <w:sz w:val="20"/>
      <w:szCs w:val="20"/>
    </w:rPr>
  </w:style>
  <w:style w:type="character" w:styleId="86">
    <w:name w:val="HTML Acronym"/>
    <w:qFormat/>
    <w:uiPriority w:val="0"/>
  </w:style>
  <w:style w:type="character" w:styleId="87">
    <w:name w:val="HTML Variable"/>
    <w:qFormat/>
    <w:uiPriority w:val="0"/>
    <w:rPr>
      <w:i/>
      <w:iCs/>
    </w:rPr>
  </w:style>
  <w:style w:type="character" w:styleId="88">
    <w:name w:val="Hyperlink"/>
    <w:qFormat/>
    <w:uiPriority w:val="99"/>
    <w:rPr>
      <w:color w:val="0000FF"/>
      <w:u w:val="single"/>
    </w:rPr>
  </w:style>
  <w:style w:type="character" w:styleId="89">
    <w:name w:val="HTML Code"/>
    <w:qFormat/>
    <w:uiPriority w:val="0"/>
    <w:rPr>
      <w:rFonts w:ascii="Courier New" w:hAnsi="Courier New" w:cs="Courier New"/>
      <w:sz w:val="20"/>
      <w:szCs w:val="20"/>
    </w:rPr>
  </w:style>
  <w:style w:type="character" w:styleId="90">
    <w:name w:val="annotation reference"/>
    <w:qFormat/>
    <w:uiPriority w:val="0"/>
    <w:rPr>
      <w:sz w:val="21"/>
      <w:szCs w:val="21"/>
    </w:rPr>
  </w:style>
  <w:style w:type="character" w:styleId="91">
    <w:name w:val="HTML Cite"/>
    <w:qFormat/>
    <w:uiPriority w:val="0"/>
    <w:rPr>
      <w:i/>
      <w:iCs/>
    </w:rPr>
  </w:style>
  <w:style w:type="character" w:styleId="92">
    <w:name w:val="HTML Keyboard"/>
    <w:qFormat/>
    <w:uiPriority w:val="0"/>
    <w:rPr>
      <w:rFonts w:ascii="Courier New" w:hAnsi="Courier New" w:cs="Courier New"/>
      <w:sz w:val="20"/>
      <w:szCs w:val="20"/>
    </w:rPr>
  </w:style>
  <w:style w:type="character" w:styleId="93">
    <w:name w:val="HTML Sample"/>
    <w:qFormat/>
    <w:uiPriority w:val="0"/>
    <w:rPr>
      <w:rFonts w:ascii="Courier New" w:hAnsi="Courier New" w:cs="Courier New"/>
    </w:rPr>
  </w:style>
  <w:style w:type="character" w:customStyle="1" w:styleId="94">
    <w:name w:val="正文文本 Char"/>
    <w:link w:val="2"/>
    <w:qFormat/>
    <w:uiPriority w:val="0"/>
    <w:rPr>
      <w:kern w:val="2"/>
      <w:sz w:val="21"/>
      <w:szCs w:val="24"/>
    </w:rPr>
  </w:style>
  <w:style w:type="character" w:customStyle="1" w:styleId="95">
    <w:name w:val="标题 1 Char"/>
    <w:link w:val="3"/>
    <w:qFormat/>
    <w:uiPriority w:val="0"/>
    <w:rPr>
      <w:rFonts w:ascii="宋体" w:hAnsi="宋体"/>
      <w:color w:val="000000"/>
      <w:kern w:val="44"/>
      <w:sz w:val="32"/>
      <w:szCs w:val="32"/>
    </w:rPr>
  </w:style>
  <w:style w:type="character" w:customStyle="1" w:styleId="96">
    <w:name w:val="标题 3 Char"/>
    <w:link w:val="5"/>
    <w:qFormat/>
    <w:uiPriority w:val="0"/>
    <w:rPr>
      <w:b/>
      <w:bCs/>
      <w:color w:val="000000"/>
      <w:kern w:val="2"/>
      <w:sz w:val="28"/>
      <w:szCs w:val="28"/>
    </w:rPr>
  </w:style>
  <w:style w:type="character" w:customStyle="1" w:styleId="97">
    <w:name w:val="标题 4 Char"/>
    <w:link w:val="6"/>
    <w:qFormat/>
    <w:uiPriority w:val="0"/>
    <w:rPr>
      <w:rFonts w:ascii="宋体" w:hAnsi="宋体"/>
      <w:bCs/>
      <w:kern w:val="2"/>
      <w:sz w:val="28"/>
      <w:szCs w:val="28"/>
    </w:rPr>
  </w:style>
  <w:style w:type="character" w:customStyle="1" w:styleId="98">
    <w:name w:val="标题 5 Char"/>
    <w:link w:val="7"/>
    <w:qFormat/>
    <w:uiPriority w:val="0"/>
    <w:rPr>
      <w:b/>
      <w:bCs/>
      <w:sz w:val="28"/>
      <w:szCs w:val="28"/>
    </w:rPr>
  </w:style>
  <w:style w:type="character" w:customStyle="1" w:styleId="99">
    <w:name w:val="标题 6 Char"/>
    <w:link w:val="8"/>
    <w:qFormat/>
    <w:uiPriority w:val="0"/>
    <w:rPr>
      <w:rFonts w:ascii="Arial" w:hAnsi="Arial"/>
      <w:b/>
      <w:bCs/>
      <w:sz w:val="28"/>
      <w:szCs w:val="18"/>
    </w:rPr>
  </w:style>
  <w:style w:type="character" w:customStyle="1" w:styleId="100">
    <w:name w:val="标题 7 Char"/>
    <w:link w:val="9"/>
    <w:qFormat/>
    <w:uiPriority w:val="0"/>
    <w:rPr>
      <w:b/>
      <w:bCs/>
      <w:kern w:val="2"/>
      <w:sz w:val="24"/>
      <w:szCs w:val="24"/>
    </w:rPr>
  </w:style>
  <w:style w:type="character" w:customStyle="1" w:styleId="101">
    <w:name w:val="标题 8 Char"/>
    <w:link w:val="10"/>
    <w:qFormat/>
    <w:uiPriority w:val="0"/>
    <w:rPr>
      <w:rFonts w:ascii="Cambria" w:hAnsi="Cambria"/>
      <w:kern w:val="2"/>
      <w:sz w:val="24"/>
      <w:szCs w:val="24"/>
    </w:rPr>
  </w:style>
  <w:style w:type="character" w:customStyle="1" w:styleId="102">
    <w:name w:val="标题 9 Char"/>
    <w:link w:val="11"/>
    <w:qFormat/>
    <w:uiPriority w:val="0"/>
    <w:rPr>
      <w:rFonts w:ascii="Arial" w:hAnsi="Arial" w:eastAsia="黑体"/>
      <w:kern w:val="2"/>
      <w:sz w:val="21"/>
      <w:szCs w:val="21"/>
    </w:rPr>
  </w:style>
  <w:style w:type="character" w:customStyle="1" w:styleId="103">
    <w:name w:val="注释标题 Char"/>
    <w:link w:val="15"/>
    <w:qFormat/>
    <w:uiPriority w:val="0"/>
    <w:rPr>
      <w:rFonts w:ascii="Calibri" w:hAnsi="Calibri"/>
      <w:kern w:val="2"/>
      <w:sz w:val="21"/>
      <w:szCs w:val="22"/>
    </w:rPr>
  </w:style>
  <w:style w:type="character" w:customStyle="1" w:styleId="104">
    <w:name w:val="电子邮件签名 Char"/>
    <w:link w:val="17"/>
    <w:qFormat/>
    <w:uiPriority w:val="0"/>
    <w:rPr>
      <w:rFonts w:ascii="Calibri" w:hAnsi="Calibri"/>
      <w:kern w:val="2"/>
      <w:sz w:val="21"/>
      <w:szCs w:val="22"/>
    </w:rPr>
  </w:style>
  <w:style w:type="character" w:customStyle="1" w:styleId="105">
    <w:name w:val="正文缩进 Char"/>
    <w:link w:val="19"/>
    <w:qFormat/>
    <w:uiPriority w:val="0"/>
    <w:rPr>
      <w:rFonts w:eastAsia="宋体"/>
      <w:kern w:val="2"/>
      <w:sz w:val="21"/>
      <w:szCs w:val="24"/>
      <w:lang w:val="en-US" w:eastAsia="zh-CN" w:bidi="ar-SA"/>
    </w:rPr>
  </w:style>
  <w:style w:type="character" w:customStyle="1" w:styleId="106">
    <w:name w:val="文档结构图 Char"/>
    <w:link w:val="23"/>
    <w:qFormat/>
    <w:uiPriority w:val="0"/>
    <w:rPr>
      <w:rFonts w:ascii="宋体"/>
      <w:kern w:val="2"/>
      <w:sz w:val="18"/>
      <w:szCs w:val="18"/>
    </w:rPr>
  </w:style>
  <w:style w:type="character" w:customStyle="1" w:styleId="107">
    <w:name w:val="批注文字 Char"/>
    <w:link w:val="24"/>
    <w:qFormat/>
    <w:uiPriority w:val="0"/>
  </w:style>
  <w:style w:type="character" w:customStyle="1" w:styleId="108">
    <w:name w:val="称呼 Char"/>
    <w:link w:val="25"/>
    <w:qFormat/>
    <w:uiPriority w:val="0"/>
    <w:rPr>
      <w:rFonts w:eastAsia="黑体"/>
      <w:kern w:val="2"/>
      <w:sz w:val="24"/>
      <w:szCs w:val="24"/>
    </w:rPr>
  </w:style>
  <w:style w:type="character" w:customStyle="1" w:styleId="109">
    <w:name w:val="正文文本 3 Char"/>
    <w:link w:val="26"/>
    <w:qFormat/>
    <w:uiPriority w:val="0"/>
    <w:rPr>
      <w:sz w:val="16"/>
      <w:szCs w:val="16"/>
    </w:rPr>
  </w:style>
  <w:style w:type="character" w:customStyle="1" w:styleId="110">
    <w:name w:val="结束语 Char"/>
    <w:link w:val="27"/>
    <w:qFormat/>
    <w:uiPriority w:val="0"/>
    <w:rPr>
      <w:rFonts w:ascii="Calibri" w:hAnsi="Calibri"/>
      <w:kern w:val="2"/>
      <w:sz w:val="21"/>
      <w:szCs w:val="22"/>
    </w:rPr>
  </w:style>
  <w:style w:type="character" w:customStyle="1" w:styleId="111">
    <w:name w:val="正文文本缩进 Char"/>
    <w:link w:val="29"/>
    <w:qFormat/>
    <w:uiPriority w:val="0"/>
    <w:rPr>
      <w:rFonts w:ascii="Times New Roman" w:hAnsi="Times New Roman" w:eastAsia="宋体" w:cs="Times New Roman"/>
      <w:szCs w:val="24"/>
    </w:rPr>
  </w:style>
  <w:style w:type="character" w:customStyle="1" w:styleId="112">
    <w:name w:val="HTML 地址 Char"/>
    <w:link w:val="35"/>
    <w:uiPriority w:val="0"/>
    <w:rPr>
      <w:rFonts w:ascii="Calibri" w:hAnsi="Calibri"/>
      <w:i/>
      <w:iCs/>
      <w:kern w:val="2"/>
      <w:sz w:val="21"/>
      <w:szCs w:val="22"/>
    </w:rPr>
  </w:style>
  <w:style w:type="character" w:customStyle="1" w:styleId="113">
    <w:name w:val="纯文本 Char"/>
    <w:link w:val="38"/>
    <w:uiPriority w:val="0"/>
    <w:rPr>
      <w:rFonts w:ascii="宋体" w:hAnsi="Courier New" w:eastAsia="宋体"/>
      <w:kern w:val="2"/>
      <w:sz w:val="21"/>
      <w:lang w:val="en-US" w:eastAsia="zh-CN" w:bidi="ar-SA"/>
    </w:rPr>
  </w:style>
  <w:style w:type="character" w:customStyle="1" w:styleId="114">
    <w:name w:val="日期 Char"/>
    <w:link w:val="43"/>
    <w:qFormat/>
    <w:uiPriority w:val="0"/>
    <w:rPr>
      <w:kern w:val="2"/>
      <w:sz w:val="24"/>
      <w:szCs w:val="24"/>
    </w:rPr>
  </w:style>
  <w:style w:type="character" w:customStyle="1" w:styleId="115">
    <w:name w:val="正文文本缩进 2 Char"/>
    <w:link w:val="44"/>
    <w:uiPriority w:val="0"/>
  </w:style>
  <w:style w:type="character" w:customStyle="1" w:styleId="116">
    <w:name w:val="批注框文本 Char"/>
    <w:link w:val="46"/>
    <w:qFormat/>
    <w:uiPriority w:val="0"/>
    <w:rPr>
      <w:kern w:val="2"/>
      <w:sz w:val="18"/>
      <w:szCs w:val="18"/>
    </w:rPr>
  </w:style>
  <w:style w:type="character" w:customStyle="1" w:styleId="117">
    <w:name w:val="页脚 Char"/>
    <w:link w:val="47"/>
    <w:uiPriority w:val="99"/>
    <w:rPr>
      <w:kern w:val="2"/>
      <w:sz w:val="18"/>
    </w:rPr>
  </w:style>
  <w:style w:type="character" w:customStyle="1" w:styleId="118">
    <w:name w:val="页眉 Char"/>
    <w:link w:val="49"/>
    <w:uiPriority w:val="0"/>
    <w:rPr>
      <w:kern w:val="2"/>
      <w:sz w:val="18"/>
    </w:rPr>
  </w:style>
  <w:style w:type="character" w:customStyle="1" w:styleId="119">
    <w:name w:val="签名 Char"/>
    <w:link w:val="50"/>
    <w:qFormat/>
    <w:uiPriority w:val="0"/>
    <w:rPr>
      <w:rFonts w:ascii="Calibri" w:hAnsi="Calibri"/>
      <w:kern w:val="2"/>
      <w:sz w:val="21"/>
      <w:szCs w:val="22"/>
    </w:rPr>
  </w:style>
  <w:style w:type="character" w:customStyle="1" w:styleId="120">
    <w:name w:val="副标题 Char"/>
    <w:link w:val="54"/>
    <w:uiPriority w:val="0"/>
    <w:rPr>
      <w:rFonts w:ascii="Arial" w:hAnsi="Arial" w:cs="Arial"/>
      <w:b/>
      <w:bCs/>
      <w:kern w:val="28"/>
      <w:sz w:val="32"/>
      <w:szCs w:val="32"/>
    </w:rPr>
  </w:style>
  <w:style w:type="character" w:customStyle="1" w:styleId="121">
    <w:name w:val="脚注文本 Char"/>
    <w:link w:val="57"/>
    <w:qFormat/>
    <w:uiPriority w:val="0"/>
    <w:rPr>
      <w:kern w:val="2"/>
      <w:sz w:val="18"/>
      <w:szCs w:val="18"/>
    </w:rPr>
  </w:style>
  <w:style w:type="character" w:customStyle="1" w:styleId="122">
    <w:name w:val="正文文本缩进 3 Char"/>
    <w:link w:val="60"/>
    <w:qFormat/>
    <w:uiPriority w:val="0"/>
    <w:rPr>
      <w:kern w:val="2"/>
      <w:sz w:val="16"/>
      <w:szCs w:val="16"/>
    </w:rPr>
  </w:style>
  <w:style w:type="character" w:customStyle="1" w:styleId="123">
    <w:name w:val="正文文本 2 Char"/>
    <w:link w:val="64"/>
    <w:qFormat/>
    <w:uiPriority w:val="0"/>
    <w:rPr>
      <w:kern w:val="2"/>
      <w:sz w:val="18"/>
      <w:szCs w:val="18"/>
    </w:rPr>
  </w:style>
  <w:style w:type="character" w:customStyle="1" w:styleId="124">
    <w:name w:val="信息标题 Char"/>
    <w:link w:val="67"/>
    <w:uiPriority w:val="0"/>
    <w:rPr>
      <w:rFonts w:ascii="Arial" w:hAnsi="Arial" w:cs="Arial"/>
      <w:kern w:val="2"/>
      <w:sz w:val="24"/>
      <w:szCs w:val="24"/>
      <w:shd w:val="pct20" w:color="auto" w:fill="auto"/>
    </w:rPr>
  </w:style>
  <w:style w:type="character" w:customStyle="1" w:styleId="125">
    <w:name w:val="HTML 预设格式 Char"/>
    <w:link w:val="68"/>
    <w:qFormat/>
    <w:uiPriority w:val="0"/>
    <w:rPr>
      <w:rFonts w:ascii="Courier New" w:hAnsi="Courier New" w:cs="Courier New"/>
      <w:kern w:val="2"/>
    </w:rPr>
  </w:style>
  <w:style w:type="character" w:customStyle="1" w:styleId="126">
    <w:name w:val="标题 Char"/>
    <w:link w:val="72"/>
    <w:uiPriority w:val="0"/>
    <w:rPr>
      <w:rFonts w:ascii="Arial" w:hAnsi="Arial"/>
      <w:b/>
      <w:bCs/>
      <w:kern w:val="2"/>
      <w:sz w:val="44"/>
      <w:szCs w:val="32"/>
    </w:rPr>
  </w:style>
  <w:style w:type="character" w:customStyle="1" w:styleId="127">
    <w:name w:val="批注主题 Char"/>
    <w:link w:val="73"/>
    <w:uiPriority w:val="99"/>
    <w:rPr>
      <w:b/>
      <w:bCs/>
      <w:kern w:val="2"/>
      <w:sz w:val="18"/>
      <w:szCs w:val="18"/>
    </w:rPr>
  </w:style>
  <w:style w:type="character" w:customStyle="1" w:styleId="128">
    <w:name w:val="正文首行缩进 Char"/>
    <w:link w:val="74"/>
    <w:uiPriority w:val="0"/>
    <w:rPr>
      <w:kern w:val="2"/>
      <w:sz w:val="18"/>
      <w:szCs w:val="18"/>
    </w:rPr>
  </w:style>
  <w:style w:type="character" w:customStyle="1" w:styleId="129">
    <w:name w:val="正文首行缩进 2 Char"/>
    <w:link w:val="75"/>
    <w:uiPriority w:val="0"/>
    <w:rPr>
      <w:rFonts w:ascii="Calibri" w:hAnsi="Calibri"/>
      <w:kern w:val="2"/>
      <w:sz w:val="21"/>
      <w:szCs w:val="22"/>
    </w:rPr>
  </w:style>
  <w:style w:type="character" w:customStyle="1" w:styleId="130">
    <w:name w:val="Char Char7"/>
    <w:uiPriority w:val="0"/>
    <w:rPr>
      <w:kern w:val="2"/>
      <w:sz w:val="18"/>
      <w:szCs w:val="18"/>
    </w:rPr>
  </w:style>
  <w:style w:type="character" w:customStyle="1" w:styleId="131">
    <w:name w:val="Char Char4"/>
    <w:uiPriority w:val="0"/>
    <w:rPr>
      <w:kern w:val="2"/>
      <w:sz w:val="18"/>
      <w:szCs w:val="18"/>
    </w:rPr>
  </w:style>
  <w:style w:type="character" w:customStyle="1" w:styleId="132">
    <w:name w:val="副标题 Char1"/>
    <w:uiPriority w:val="11"/>
    <w:rPr>
      <w:rFonts w:ascii="Cambria" w:hAnsi="Cambria" w:cs="Times New Roman"/>
      <w:b/>
      <w:bCs/>
      <w:kern w:val="28"/>
      <w:sz w:val="32"/>
      <w:szCs w:val="32"/>
    </w:rPr>
  </w:style>
  <w:style w:type="character" w:customStyle="1" w:styleId="133">
    <w:name w:val="MM Topic 3 Char"/>
    <w:locked/>
    <w:uiPriority w:val="0"/>
    <w:rPr>
      <w:b/>
      <w:sz w:val="32"/>
    </w:rPr>
  </w:style>
  <w:style w:type="character" w:customStyle="1" w:styleId="134">
    <w:name w:val="22222 Char Char"/>
    <w:link w:val="135"/>
    <w:uiPriority w:val="0"/>
    <w:rPr>
      <w:rFonts w:ascii="宋体" w:hAnsi="宋体"/>
      <w:kern w:val="2"/>
      <w:sz w:val="30"/>
      <w:szCs w:val="30"/>
    </w:rPr>
  </w:style>
  <w:style w:type="paragraph" w:customStyle="1" w:styleId="135">
    <w:name w:val="22222"/>
    <w:basedOn w:val="1"/>
    <w:link w:val="134"/>
    <w:uiPriority w:val="0"/>
    <w:pPr>
      <w:tabs>
        <w:tab w:val="left" w:pos="420"/>
      </w:tabs>
      <w:adjustRightInd w:val="0"/>
      <w:ind w:left="420" w:right="31" w:rightChars="17" w:hanging="420"/>
    </w:pPr>
    <w:rPr>
      <w:b w:val="0"/>
      <w:color w:val="auto"/>
      <w:kern w:val="2"/>
      <w:sz w:val="30"/>
      <w:szCs w:val="30"/>
    </w:rPr>
  </w:style>
  <w:style w:type="character" w:customStyle="1" w:styleId="136">
    <w:name w:val=" Char Char18"/>
    <w:qFormat/>
    <w:uiPriority w:val="0"/>
    <w:rPr>
      <w:sz w:val="18"/>
      <w:szCs w:val="18"/>
    </w:rPr>
  </w:style>
  <w:style w:type="character" w:customStyle="1" w:styleId="137">
    <w:name w:val="签名 Char1"/>
    <w:uiPriority w:val="99"/>
    <w:rPr>
      <w:kern w:val="2"/>
      <w:sz w:val="21"/>
      <w:szCs w:val="24"/>
    </w:rPr>
  </w:style>
  <w:style w:type="character" w:customStyle="1" w:styleId="138">
    <w:name w:val="图例 Char Char"/>
    <w:link w:val="139"/>
    <w:uiPriority w:val="0"/>
    <w:rPr>
      <w:rFonts w:ascii="仿宋_GB2312" w:eastAsia="仿宋_GB2312" w:cs="宋体"/>
      <w:kern w:val="2"/>
      <w:sz w:val="24"/>
      <w:szCs w:val="24"/>
    </w:rPr>
  </w:style>
  <w:style w:type="paragraph" w:customStyle="1" w:styleId="139">
    <w:name w:val="图例"/>
    <w:basedOn w:val="1"/>
    <w:link w:val="138"/>
    <w:uiPriority w:val="0"/>
    <w:pPr>
      <w:jc w:val="center"/>
    </w:pPr>
    <w:rPr>
      <w:rFonts w:ascii="仿宋_GB2312" w:hAnsi="Times New Roman" w:eastAsia="仿宋_GB2312"/>
      <w:b w:val="0"/>
      <w:color w:val="auto"/>
      <w:kern w:val="2"/>
      <w:sz w:val="24"/>
      <w:szCs w:val="24"/>
    </w:rPr>
  </w:style>
  <w:style w:type="character" w:customStyle="1" w:styleId="140">
    <w:name w:val="样式 样式 样式 标题 3Sectionh3H3level_3PIM 3Level 3 HeadHeading 3 - old....1 Char Char"/>
    <w:link w:val="141"/>
    <w:uiPriority w:val="0"/>
    <w:rPr>
      <w:rFonts w:ascii="Arial" w:hAnsi="Arial" w:eastAsia="黑体"/>
      <w:b/>
      <w:bCs/>
      <w:sz w:val="30"/>
      <w:szCs w:val="28"/>
    </w:rPr>
  </w:style>
  <w:style w:type="paragraph" w:customStyle="1" w:styleId="141">
    <w:name w:val="样式 样式 样式 标题 3Sectionh3H3level_3PIM 3Level 3 HeadHeading 3 - old....1"/>
    <w:basedOn w:val="1"/>
    <w:link w:val="140"/>
    <w:uiPriority w:val="0"/>
    <w:pPr>
      <w:keepNext/>
      <w:keepLines/>
      <w:numPr>
        <w:ilvl w:val="2"/>
        <w:numId w:val="10"/>
      </w:numPr>
      <w:tabs>
        <w:tab w:val="left" w:pos="315"/>
        <w:tab w:val="clear" w:pos="889"/>
      </w:tabs>
      <w:spacing w:before="40" w:after="40" w:line="300" w:lineRule="auto"/>
      <w:outlineLvl w:val="2"/>
    </w:pPr>
    <w:rPr>
      <w:rFonts w:ascii="Arial" w:hAnsi="Arial" w:eastAsia="黑体"/>
      <w:bCs/>
      <w:color w:val="auto"/>
      <w:sz w:val="30"/>
      <w:szCs w:val="28"/>
    </w:rPr>
  </w:style>
  <w:style w:type="character" w:customStyle="1" w:styleId="142">
    <w:name w:val="List Paragraph Char"/>
    <w:link w:val="143"/>
    <w:qFormat/>
    <w:locked/>
    <w:uiPriority w:val="0"/>
    <w:rPr>
      <w:sz w:val="22"/>
    </w:rPr>
  </w:style>
  <w:style w:type="paragraph" w:customStyle="1" w:styleId="143">
    <w:name w:val="List Paragraph1"/>
    <w:basedOn w:val="1"/>
    <w:link w:val="142"/>
    <w:uiPriority w:val="0"/>
    <w:pPr>
      <w:widowControl/>
      <w:spacing w:after="200" w:line="276" w:lineRule="auto"/>
      <w:ind w:left="720"/>
      <w:contextualSpacing/>
      <w:jc w:val="left"/>
    </w:pPr>
    <w:rPr>
      <w:rFonts w:ascii="Times New Roman" w:hAnsi="Times New Roman"/>
      <w:b w:val="0"/>
      <w:color w:val="auto"/>
      <w:sz w:val="22"/>
      <w:szCs w:val="20"/>
    </w:rPr>
  </w:style>
  <w:style w:type="character" w:customStyle="1" w:styleId="144">
    <w:name w:val="44444 Char Char"/>
    <w:link w:val="145"/>
    <w:uiPriority w:val="0"/>
    <w:rPr>
      <w:rFonts w:ascii="宋体" w:hAnsi="宋体"/>
      <w:b/>
      <w:kern w:val="2"/>
      <w:sz w:val="30"/>
      <w:szCs w:val="30"/>
    </w:rPr>
  </w:style>
  <w:style w:type="paragraph" w:customStyle="1" w:styleId="145">
    <w:name w:val="44444"/>
    <w:basedOn w:val="1"/>
    <w:link w:val="144"/>
    <w:uiPriority w:val="0"/>
    <w:pPr>
      <w:spacing w:beforeLines="100" w:afterLines="100"/>
      <w:jc w:val="left"/>
      <w:outlineLvl w:val="2"/>
    </w:pPr>
    <w:rPr>
      <w:color w:val="auto"/>
      <w:kern w:val="2"/>
      <w:sz w:val="30"/>
      <w:szCs w:val="30"/>
    </w:rPr>
  </w:style>
  <w:style w:type="character" w:customStyle="1" w:styleId="146">
    <w:name w:val="标书（正文） Char Char"/>
    <w:uiPriority w:val="0"/>
    <w:rPr>
      <w:rFonts w:hint="eastAsia" w:ascii="宋体" w:hAnsi="宋体" w:eastAsia="宋体"/>
      <w:b/>
      <w:kern w:val="10"/>
      <w:sz w:val="21"/>
      <w:szCs w:val="21"/>
      <w:lang w:val="en-US" w:eastAsia="zh-CN" w:bidi="ar-SA"/>
    </w:rPr>
  </w:style>
  <w:style w:type="character" w:customStyle="1" w:styleId="147">
    <w:name w:val="样式 正文首行缩进 + 首行缩进:  2 字符 Char Char1"/>
    <w:link w:val="148"/>
    <w:uiPriority w:val="0"/>
    <w:rPr>
      <w:kern w:val="2"/>
      <w:sz w:val="21"/>
    </w:rPr>
  </w:style>
  <w:style w:type="paragraph" w:customStyle="1" w:styleId="148">
    <w:name w:val="样式 正文首行缩进 + 首行缩进:  2 字符 Char"/>
    <w:basedOn w:val="74"/>
    <w:link w:val="147"/>
    <w:uiPriority w:val="0"/>
    <w:pPr>
      <w:spacing w:line="300" w:lineRule="auto"/>
      <w:ind w:firstLine="200" w:firstLineChars="200"/>
    </w:pPr>
    <w:rPr>
      <w:sz w:val="21"/>
      <w:szCs w:val="20"/>
    </w:rPr>
  </w:style>
  <w:style w:type="character" w:customStyle="1" w:styleId="149">
    <w:name w:val="注释标题 Char1"/>
    <w:qFormat/>
    <w:uiPriority w:val="99"/>
    <w:rPr>
      <w:kern w:val="2"/>
      <w:sz w:val="21"/>
      <w:szCs w:val="24"/>
    </w:rPr>
  </w:style>
  <w:style w:type="character" w:customStyle="1" w:styleId="150">
    <w:name w:val="textnormchn1"/>
    <w:uiPriority w:val="0"/>
  </w:style>
  <w:style w:type="character" w:customStyle="1" w:styleId="151">
    <w:name w:val="称呼 Char1"/>
    <w:uiPriority w:val="99"/>
    <w:rPr>
      <w:kern w:val="2"/>
      <w:sz w:val="21"/>
      <w:szCs w:val="24"/>
    </w:rPr>
  </w:style>
  <w:style w:type="character" w:customStyle="1" w:styleId="152">
    <w:name w:val=" Char Char17"/>
    <w:uiPriority w:val="0"/>
    <w:rPr>
      <w:sz w:val="18"/>
      <w:szCs w:val="18"/>
    </w:rPr>
  </w:style>
  <w:style w:type="character" w:customStyle="1" w:styleId="153">
    <w:name w:val="Char Char2"/>
    <w:uiPriority w:val="0"/>
    <w:rPr>
      <w:kern w:val="2"/>
      <w:sz w:val="18"/>
      <w:szCs w:val="18"/>
    </w:rPr>
  </w:style>
  <w:style w:type="character" w:customStyle="1" w:styleId="154">
    <w:name w:val=" Char Char5"/>
    <w:uiPriority w:val="0"/>
    <w:rPr>
      <w:rFonts w:ascii="Times New Roman" w:hAnsi="Times New Roman" w:eastAsia="黑体" w:cs="Times New Roman"/>
      <w:sz w:val="24"/>
      <w:szCs w:val="24"/>
    </w:rPr>
  </w:style>
  <w:style w:type="character" w:customStyle="1" w:styleId="155">
    <w:name w:val="(符号)五标题1.1.1 Char Char"/>
    <w:link w:val="156"/>
    <w:uiPriority w:val="0"/>
    <w:rPr>
      <w:rFonts w:ascii="宋体" w:hAnsi="宋体" w:cs="宋体"/>
      <w:color w:val="000000"/>
      <w:kern w:val="2"/>
      <w:sz w:val="24"/>
    </w:rPr>
  </w:style>
  <w:style w:type="paragraph" w:customStyle="1" w:styleId="156">
    <w:name w:val="(符号)五标题1.1.1"/>
    <w:basedOn w:val="1"/>
    <w:link w:val="155"/>
    <w:uiPriority w:val="0"/>
    <w:pPr>
      <w:tabs>
        <w:tab w:val="left" w:pos="1000"/>
      </w:tabs>
      <w:spacing w:line="500" w:lineRule="exact"/>
      <w:ind w:left="1000" w:hanging="1000"/>
    </w:pPr>
    <w:rPr>
      <w:b w:val="0"/>
      <w:color w:val="000000"/>
      <w:kern w:val="2"/>
      <w:sz w:val="24"/>
      <w:szCs w:val="20"/>
    </w:rPr>
  </w:style>
  <w:style w:type="character" w:customStyle="1" w:styleId="157">
    <w:name w:val="magic-list1"/>
    <w:qFormat/>
    <w:uiPriority w:val="0"/>
    <w:rPr>
      <w:rFonts w:hint="default" w:ascii="ˎ̥" w:hAnsi="ˎ̥"/>
      <w:color w:val="000000"/>
      <w:sz w:val="20"/>
      <w:u w:val="none"/>
    </w:rPr>
  </w:style>
  <w:style w:type="character" w:customStyle="1" w:styleId="158">
    <w:name w:val="*正文 Char"/>
    <w:link w:val="159"/>
    <w:uiPriority w:val="0"/>
    <w:rPr>
      <w:rFonts w:ascii="宋体" w:hAnsi="宋体"/>
      <w:sz w:val="22"/>
      <w:szCs w:val="24"/>
    </w:rPr>
  </w:style>
  <w:style w:type="paragraph" w:customStyle="1" w:styleId="159">
    <w:name w:val="*正文"/>
    <w:basedOn w:val="1"/>
    <w:link w:val="158"/>
    <w:qFormat/>
    <w:uiPriority w:val="0"/>
    <w:pPr>
      <w:ind w:firstLine="200"/>
    </w:pPr>
    <w:rPr>
      <w:b w:val="0"/>
      <w:color w:val="auto"/>
      <w:sz w:val="22"/>
      <w:szCs w:val="24"/>
      <w:lang w:val="en-US"/>
    </w:rPr>
  </w:style>
  <w:style w:type="character" w:customStyle="1" w:styleId="160">
    <w:name w:val="表格内文字 Char"/>
    <w:link w:val="161"/>
    <w:qFormat/>
    <w:uiPriority w:val="0"/>
    <w:rPr>
      <w:rFonts w:ascii="Arial" w:hAnsi="Arial"/>
      <w:sz w:val="18"/>
      <w:szCs w:val="18"/>
    </w:rPr>
  </w:style>
  <w:style w:type="paragraph" w:customStyle="1" w:styleId="161">
    <w:name w:val="表格内文字"/>
    <w:basedOn w:val="1"/>
    <w:link w:val="160"/>
    <w:qFormat/>
    <w:uiPriority w:val="0"/>
    <w:pPr>
      <w:keepLines/>
      <w:spacing w:before="40" w:after="40"/>
      <w:textAlignment w:val="top"/>
    </w:pPr>
    <w:rPr>
      <w:rFonts w:ascii="Arial" w:hAnsi="Arial"/>
      <w:b w:val="0"/>
      <w:color w:val="auto"/>
      <w:sz w:val="18"/>
      <w:szCs w:val="18"/>
    </w:rPr>
  </w:style>
  <w:style w:type="character" w:customStyle="1" w:styleId="162">
    <w:name w:val="11111 Char Char"/>
    <w:link w:val="163"/>
    <w:qFormat/>
    <w:uiPriority w:val="0"/>
    <w:rPr>
      <w:rFonts w:ascii="宋体" w:hAnsi="宋体"/>
      <w:b/>
      <w:kern w:val="2"/>
      <w:sz w:val="30"/>
      <w:szCs w:val="30"/>
    </w:rPr>
  </w:style>
  <w:style w:type="paragraph" w:customStyle="1" w:styleId="163">
    <w:name w:val="11111"/>
    <w:basedOn w:val="1"/>
    <w:link w:val="162"/>
    <w:qFormat/>
    <w:uiPriority w:val="0"/>
    <w:pPr>
      <w:tabs>
        <w:tab w:val="left" w:pos="425"/>
      </w:tabs>
      <w:adjustRightInd w:val="0"/>
      <w:ind w:left="425" w:right="31" w:rightChars="17" w:hanging="425"/>
      <w:outlineLvl w:val="1"/>
    </w:pPr>
    <w:rPr>
      <w:color w:val="auto"/>
      <w:kern w:val="2"/>
      <w:sz w:val="30"/>
      <w:szCs w:val="30"/>
    </w:rPr>
  </w:style>
  <w:style w:type="character" w:customStyle="1" w:styleId="164">
    <w:name w:val="Header Char2"/>
    <w:semiHidden/>
    <w:qFormat/>
    <w:locked/>
    <w:uiPriority w:val="0"/>
    <w:rPr>
      <w:rFonts w:ascii="Times New Roman" w:hAnsi="Times New Roman" w:cs="Times New Roman"/>
      <w:sz w:val="18"/>
      <w:szCs w:val="18"/>
    </w:rPr>
  </w:style>
  <w:style w:type="character" w:customStyle="1" w:styleId="165">
    <w:name w:val="批注文字 字符"/>
    <w:qFormat/>
    <w:locked/>
    <w:uiPriority w:val="0"/>
    <w:rPr>
      <w:rFonts w:ascii="Arial" w:hAnsi="Arial" w:cs="Arial"/>
      <w:sz w:val="18"/>
    </w:rPr>
  </w:style>
  <w:style w:type="character" w:customStyle="1" w:styleId="166">
    <w:name w:val="WW8Num9z0"/>
    <w:qFormat/>
    <w:uiPriority w:val="0"/>
    <w:rPr>
      <w:rFonts w:ascii="Wingdings" w:hAnsi="Wingdings"/>
    </w:rPr>
  </w:style>
  <w:style w:type="character" w:customStyle="1" w:styleId="167">
    <w:name w:val=" Char Char21"/>
    <w:qFormat/>
    <w:uiPriority w:val="0"/>
    <w:rPr>
      <w:rFonts w:ascii="Arial Narrow" w:hAnsi="Arial Narrow" w:eastAsia="宋体" w:cs="Times New Roman"/>
      <w:b/>
      <w:bCs/>
      <w:iCs/>
      <w:kern w:val="0"/>
      <w:sz w:val="20"/>
      <w:szCs w:val="24"/>
      <w:lang w:eastAsia="en-US"/>
    </w:rPr>
  </w:style>
  <w:style w:type="character" w:customStyle="1" w:styleId="168">
    <w:name w:val="！标题2 Char Char"/>
    <w:link w:val="169"/>
    <w:qFormat/>
    <w:uiPriority w:val="0"/>
    <w:rPr>
      <w:rFonts w:ascii="Arial" w:hAnsi="Arial"/>
      <w:b/>
      <w:bCs/>
      <w:color w:val="000000"/>
      <w:kern w:val="2"/>
      <w:sz w:val="28"/>
      <w:szCs w:val="32"/>
    </w:rPr>
  </w:style>
  <w:style w:type="paragraph" w:customStyle="1" w:styleId="169">
    <w:name w:val="！标题2"/>
    <w:basedOn w:val="4"/>
    <w:link w:val="168"/>
    <w:qFormat/>
    <w:uiPriority w:val="0"/>
    <w:pPr>
      <w:tabs>
        <w:tab w:val="left" w:pos="993"/>
        <w:tab w:val="left" w:pos="1200"/>
        <w:tab w:val="left" w:pos="2007"/>
        <w:tab w:val="clear" w:pos="567"/>
      </w:tabs>
      <w:spacing w:line="415" w:lineRule="auto"/>
      <w:ind w:left="1200" w:leftChars="400" w:hanging="360" w:hangingChars="200"/>
      <w:jc w:val="both"/>
    </w:pPr>
    <w:rPr>
      <w:rFonts w:ascii="Arial" w:hAnsi="Arial"/>
      <w:b/>
      <w:color w:val="000000"/>
      <w:kern w:val="2"/>
      <w:szCs w:val="32"/>
    </w:rPr>
  </w:style>
  <w:style w:type="character" w:customStyle="1" w:styleId="170">
    <w:name w:val=" Char Char43"/>
    <w:qFormat/>
    <w:uiPriority w:val="0"/>
    <w:rPr>
      <w:kern w:val="2"/>
      <w:sz w:val="21"/>
      <w:szCs w:val="24"/>
    </w:rPr>
  </w:style>
  <w:style w:type="character" w:customStyle="1" w:styleId="171">
    <w:name w:val="脚注文本 Char1"/>
    <w:qFormat/>
    <w:uiPriority w:val="0"/>
    <w:rPr>
      <w:kern w:val="2"/>
      <w:sz w:val="18"/>
      <w:szCs w:val="18"/>
    </w:rPr>
  </w:style>
  <w:style w:type="character" w:customStyle="1" w:styleId="172">
    <w:name w:val=" Char Char9"/>
    <w:qFormat/>
    <w:uiPriority w:val="0"/>
    <w:rPr>
      <w:rFonts w:ascii="Times New Roman" w:hAnsi="Times New Roman" w:eastAsia="宋体" w:cs="Times New Roman"/>
      <w:sz w:val="18"/>
      <w:szCs w:val="18"/>
    </w:rPr>
  </w:style>
  <w:style w:type="character" w:customStyle="1" w:styleId="173">
    <w:name w:val="indent"/>
    <w:qFormat/>
    <w:uiPriority w:val="0"/>
    <w:rPr>
      <w:rFonts w:ascii="Verdana" w:hAnsi="Verdana" w:eastAsia="宋体"/>
      <w:lang w:val="en-US" w:eastAsia="en-US" w:bidi="ar-SA"/>
    </w:rPr>
  </w:style>
  <w:style w:type="character" w:customStyle="1" w:styleId="174">
    <w:name w:val=" Char Char11"/>
    <w:qFormat/>
    <w:uiPriority w:val="0"/>
    <w:rPr>
      <w:rFonts w:ascii="Times New Roman" w:hAnsi="Times New Roman" w:eastAsia="宋体" w:cs="Times New Roman"/>
      <w:szCs w:val="24"/>
    </w:rPr>
  </w:style>
  <w:style w:type="character" w:customStyle="1" w:styleId="175">
    <w:name w:val="textnorm_chn1"/>
    <w:qFormat/>
    <w:uiPriority w:val="0"/>
    <w:rPr>
      <w:rFonts w:hint="default" w:ascii="Arial" w:hAnsi="Arial" w:cs="Arial"/>
      <w:color w:val="21254A"/>
      <w:sz w:val="22"/>
      <w:szCs w:val="22"/>
    </w:rPr>
  </w:style>
  <w:style w:type="character" w:customStyle="1" w:styleId="176">
    <w:name w:val="Char Char3"/>
    <w:qFormat/>
    <w:uiPriority w:val="0"/>
    <w:rPr>
      <w:b/>
      <w:bCs/>
      <w:kern w:val="2"/>
      <w:sz w:val="18"/>
      <w:szCs w:val="18"/>
    </w:rPr>
  </w:style>
  <w:style w:type="character" w:customStyle="1" w:styleId="177">
    <w:name w:val="图文 Char Char"/>
    <w:link w:val="178"/>
    <w:qFormat/>
    <w:uiPriority w:val="0"/>
    <w:rPr>
      <w:rFonts w:cs="宋体"/>
      <w:kern w:val="2"/>
      <w:sz w:val="21"/>
    </w:rPr>
  </w:style>
  <w:style w:type="paragraph" w:customStyle="1" w:styleId="178">
    <w:name w:val="图文"/>
    <w:basedOn w:val="1"/>
    <w:link w:val="177"/>
    <w:qFormat/>
    <w:uiPriority w:val="0"/>
    <w:pPr>
      <w:jc w:val="center"/>
    </w:pPr>
    <w:rPr>
      <w:rFonts w:ascii="Times New Roman" w:hAnsi="Times New Roman"/>
      <w:b w:val="0"/>
      <w:color w:val="auto"/>
      <w:kern w:val="2"/>
      <w:sz w:val="21"/>
      <w:szCs w:val="20"/>
    </w:rPr>
  </w:style>
  <w:style w:type="character" w:customStyle="1" w:styleId="179">
    <w:name w:val="Char Char11"/>
    <w:qFormat/>
    <w:uiPriority w:val="0"/>
    <w:rPr>
      <w:rFonts w:hint="default" w:ascii="Arial Narrow" w:hAnsi="Arial Narrow"/>
      <w:b/>
      <w:bCs/>
      <w:iCs/>
      <w:szCs w:val="24"/>
      <w:lang w:eastAsia="en-US"/>
    </w:rPr>
  </w:style>
  <w:style w:type="character" w:customStyle="1" w:styleId="180">
    <w:name w:val="表头文字 Char"/>
    <w:link w:val="181"/>
    <w:qFormat/>
    <w:uiPriority w:val="0"/>
    <w:rPr>
      <w:b/>
      <w:sz w:val="18"/>
    </w:rPr>
  </w:style>
  <w:style w:type="paragraph" w:customStyle="1" w:styleId="181">
    <w:name w:val="表头文字"/>
    <w:basedOn w:val="1"/>
    <w:link w:val="180"/>
    <w:qFormat/>
    <w:uiPriority w:val="0"/>
    <w:pPr>
      <w:keepNext/>
      <w:spacing w:before="40" w:after="40"/>
      <w:jc w:val="center"/>
    </w:pPr>
    <w:rPr>
      <w:rFonts w:ascii="Times New Roman" w:hAnsi="Times New Roman"/>
      <w:color w:val="auto"/>
      <w:sz w:val="18"/>
      <w:szCs w:val="20"/>
    </w:rPr>
  </w:style>
  <w:style w:type="character" w:customStyle="1" w:styleId="182">
    <w:name w:val="正文文本 3 Char1"/>
    <w:qFormat/>
    <w:uiPriority w:val="99"/>
    <w:rPr>
      <w:kern w:val="2"/>
      <w:sz w:val="16"/>
      <w:szCs w:val="16"/>
    </w:rPr>
  </w:style>
  <w:style w:type="character" w:customStyle="1" w:styleId="183">
    <w:name w:val="Char Char6"/>
    <w:qFormat/>
    <w:uiPriority w:val="0"/>
    <w:rPr>
      <w:kern w:val="2"/>
      <w:sz w:val="21"/>
      <w:szCs w:val="24"/>
    </w:rPr>
  </w:style>
  <w:style w:type="character" w:customStyle="1" w:styleId="184">
    <w:name w:val="样式 标题 4(一)1.11。1h4H4Ref Heading 1rh1Heading sqlsect 1.2...2 Char Char"/>
    <w:link w:val="185"/>
    <w:qFormat/>
    <w:uiPriority w:val="0"/>
    <w:rPr>
      <w:rFonts w:ascii="Arial" w:hAnsi="Arial" w:eastAsia="黑体"/>
      <w:b/>
      <w:bCs/>
      <w:kern w:val="2"/>
      <w:sz w:val="30"/>
      <w:szCs w:val="28"/>
    </w:rPr>
  </w:style>
  <w:style w:type="paragraph" w:customStyle="1" w:styleId="185">
    <w:name w:val="样式 标题 4(一)1.11。1h4H4Ref Heading 1rh1Heading sqlsect 1.2...2"/>
    <w:basedOn w:val="6"/>
    <w:link w:val="184"/>
    <w:qFormat/>
    <w:uiPriority w:val="0"/>
    <w:pPr>
      <w:numPr>
        <w:numId w:val="10"/>
      </w:numPr>
      <w:tabs>
        <w:tab w:val="left" w:pos="315"/>
        <w:tab w:val="left" w:pos="851"/>
        <w:tab w:val="left" w:pos="1145"/>
      </w:tabs>
      <w:spacing w:before="40" w:after="40" w:line="300" w:lineRule="auto"/>
    </w:pPr>
    <w:rPr>
      <w:rFonts w:ascii="Arial" w:hAnsi="Arial" w:eastAsia="黑体"/>
      <w:b/>
      <w:sz w:val="30"/>
    </w:rPr>
  </w:style>
  <w:style w:type="character" w:customStyle="1" w:styleId="186">
    <w:name w:val=" Char Char15"/>
    <w:qFormat/>
    <w:uiPriority w:val="0"/>
    <w:rPr>
      <w:rFonts w:ascii="Times New Roman" w:hAnsi="Times New Roman" w:eastAsia="宋体" w:cs="Times New Roman"/>
      <w:sz w:val="24"/>
      <w:szCs w:val="24"/>
    </w:rPr>
  </w:style>
  <w:style w:type="character" w:customStyle="1" w:styleId="187">
    <w:name w:val=" Char Char10"/>
    <w:qFormat/>
    <w:uiPriority w:val="0"/>
    <w:rPr>
      <w:rFonts w:ascii="Times New Roman" w:hAnsi="Times New Roman" w:eastAsia="宋体" w:cs="Times New Roman"/>
      <w:sz w:val="18"/>
      <w:szCs w:val="18"/>
    </w:rPr>
  </w:style>
  <w:style w:type="character" w:customStyle="1" w:styleId="188">
    <w:name w:val=" Char Char3"/>
    <w:qFormat/>
    <w:uiPriority w:val="0"/>
    <w:rPr>
      <w:rFonts w:ascii="Times New Roman" w:hAnsi="Times New Roman"/>
      <w:sz w:val="16"/>
      <w:szCs w:val="16"/>
    </w:rPr>
  </w:style>
  <w:style w:type="character" w:customStyle="1" w:styleId="189">
    <w:name w:val="正文格式 Char Char"/>
    <w:link w:val="190"/>
    <w:qFormat/>
    <w:uiPriority w:val="0"/>
    <w:rPr>
      <w:rFonts w:ascii="宋体" w:hAnsi="宋体"/>
      <w:bCs/>
      <w:color w:val="000000"/>
      <w:sz w:val="24"/>
      <w:szCs w:val="24"/>
    </w:rPr>
  </w:style>
  <w:style w:type="paragraph" w:customStyle="1" w:styleId="190">
    <w:name w:val="正文格式"/>
    <w:basedOn w:val="1"/>
    <w:link w:val="189"/>
    <w:qFormat/>
    <w:uiPriority w:val="0"/>
    <w:pPr>
      <w:widowControl/>
      <w:adjustRightInd w:val="0"/>
      <w:spacing w:beforeLines="25" w:beforeAutospacing="1" w:after="100" w:afterAutospacing="1" w:line="440" w:lineRule="exact"/>
      <w:textAlignment w:val="baseline"/>
    </w:pPr>
    <w:rPr>
      <w:b w:val="0"/>
      <w:bCs/>
      <w:color w:val="000000"/>
      <w:sz w:val="24"/>
      <w:szCs w:val="24"/>
    </w:rPr>
  </w:style>
  <w:style w:type="character" w:customStyle="1" w:styleId="191">
    <w:name w:val="1.1.1.1.1 Char Char"/>
    <w:link w:val="192"/>
    <w:qFormat/>
    <w:uiPriority w:val="0"/>
    <w:rPr>
      <w:rFonts w:ascii="Arial" w:hAnsi="Arial"/>
      <w:b/>
      <w:bCs/>
      <w:kern w:val="10"/>
      <w:sz w:val="28"/>
      <w:szCs w:val="28"/>
    </w:rPr>
  </w:style>
  <w:style w:type="paragraph" w:customStyle="1" w:styleId="192">
    <w:name w:val="1.1.1.1.1"/>
    <w:basedOn w:val="6"/>
    <w:link w:val="191"/>
    <w:qFormat/>
    <w:uiPriority w:val="0"/>
    <w:pPr>
      <w:tabs>
        <w:tab w:val="left" w:pos="851"/>
        <w:tab w:val="left" w:pos="1211"/>
      </w:tabs>
      <w:spacing w:line="377" w:lineRule="auto"/>
      <w:ind w:left="1211" w:hanging="1211"/>
    </w:pPr>
    <w:rPr>
      <w:rFonts w:ascii="Arial" w:hAnsi="Arial"/>
      <w:b/>
      <w:kern w:val="10"/>
    </w:rPr>
  </w:style>
  <w:style w:type="character" w:customStyle="1" w:styleId="193">
    <w:name w:val="日期 Char1"/>
    <w:semiHidden/>
    <w:qFormat/>
    <w:uiPriority w:val="0"/>
    <w:rPr>
      <w:kern w:val="2"/>
      <w:sz w:val="21"/>
      <w:szCs w:val="22"/>
    </w:rPr>
  </w:style>
  <w:style w:type="character" w:customStyle="1" w:styleId="194">
    <w:name w:val=" Char Char13"/>
    <w:qFormat/>
    <w:uiPriority w:val="0"/>
    <w:rPr>
      <w:rFonts w:ascii="Times New Roman" w:hAnsi="Times New Roman" w:eastAsia="宋体" w:cs="Times New Roman"/>
      <w:sz w:val="18"/>
      <w:szCs w:val="18"/>
    </w:rPr>
  </w:style>
  <w:style w:type="character" w:customStyle="1" w:styleId="195">
    <w:name w:val="HTML 预设格式 Char1"/>
    <w:qFormat/>
    <w:uiPriority w:val="99"/>
    <w:rPr>
      <w:rFonts w:ascii="Courier New" w:hAnsi="Courier New" w:cs="Courier New"/>
      <w:kern w:val="2"/>
    </w:rPr>
  </w:style>
  <w:style w:type="character" w:customStyle="1" w:styleId="196">
    <w:name w:val="Char Char9"/>
    <w:qFormat/>
    <w:uiPriority w:val="0"/>
    <w:rPr>
      <w:kern w:val="2"/>
      <w:sz w:val="18"/>
      <w:szCs w:val="18"/>
    </w:rPr>
  </w:style>
  <w:style w:type="character" w:customStyle="1" w:styleId="197">
    <w:name w:val="样式 标题 2H2节Heading 2 HiddenHeading 2 CCBSTitle2PIM22nd lev...2 Char Char Char1"/>
    <w:link w:val="198"/>
    <w:qFormat/>
    <w:uiPriority w:val="0"/>
    <w:rPr>
      <w:rFonts w:ascii="Arial" w:hAnsi="Arial" w:eastAsia="黑体"/>
      <w:b/>
      <w:bCs/>
      <w:color w:val="000000"/>
      <w:kern w:val="2"/>
      <w:sz w:val="32"/>
      <w:szCs w:val="32"/>
    </w:rPr>
  </w:style>
  <w:style w:type="paragraph" w:customStyle="1" w:styleId="198">
    <w:name w:val="样式 标题 2H2节Heading 2 HiddenHeading 2 CCBSTitle2PIM22nd lev...2 Char Char"/>
    <w:basedOn w:val="4"/>
    <w:link w:val="197"/>
    <w:qFormat/>
    <w:uiPriority w:val="0"/>
    <w:pPr>
      <w:numPr>
        <w:ilvl w:val="1"/>
        <w:numId w:val="11"/>
      </w:numPr>
      <w:tabs>
        <w:tab w:val="left" w:pos="210"/>
        <w:tab w:val="clear" w:pos="1258"/>
        <w:tab w:val="clear" w:pos="567"/>
      </w:tabs>
      <w:spacing w:before="160" w:after="160" w:line="300" w:lineRule="auto"/>
      <w:jc w:val="both"/>
    </w:pPr>
    <w:rPr>
      <w:rFonts w:ascii="Arial" w:hAnsi="Arial" w:eastAsia="黑体"/>
      <w:b/>
      <w:color w:val="000000"/>
      <w:kern w:val="2"/>
      <w:sz w:val="32"/>
      <w:szCs w:val="32"/>
    </w:rPr>
  </w:style>
  <w:style w:type="character" w:customStyle="1" w:styleId="199">
    <w:name w:val="正文文字 Char Char"/>
    <w:link w:val="200"/>
    <w:qFormat/>
    <w:uiPriority w:val="0"/>
    <w:rPr>
      <w:kern w:val="2"/>
      <w:sz w:val="24"/>
      <w:szCs w:val="32"/>
    </w:rPr>
  </w:style>
  <w:style w:type="paragraph" w:customStyle="1" w:styleId="200">
    <w:name w:val="正文文字"/>
    <w:basedOn w:val="1"/>
    <w:link w:val="199"/>
    <w:qFormat/>
    <w:uiPriority w:val="0"/>
    <w:pPr>
      <w:ind w:firstLine="200"/>
    </w:pPr>
    <w:rPr>
      <w:rFonts w:ascii="Times New Roman" w:hAnsi="Times New Roman"/>
      <w:b w:val="0"/>
      <w:color w:val="auto"/>
      <w:kern w:val="2"/>
      <w:sz w:val="24"/>
      <w:lang w:val="en-US"/>
    </w:rPr>
  </w:style>
  <w:style w:type="character" w:customStyle="1" w:styleId="201">
    <w:name w:val="grame"/>
    <w:qFormat/>
    <w:uiPriority w:val="0"/>
  </w:style>
  <w:style w:type="character" w:customStyle="1" w:styleId="202">
    <w:name w:val="标题 2 Char1"/>
    <w:qFormat/>
    <w:uiPriority w:val="0"/>
    <w:rPr>
      <w:rFonts w:ascii="Cambria" w:hAnsi="Cambria" w:eastAsia="宋体" w:cs="Times New Roman"/>
      <w:b/>
      <w:bCs/>
      <w:kern w:val="2"/>
      <w:sz w:val="32"/>
      <w:szCs w:val="32"/>
    </w:rPr>
  </w:style>
  <w:style w:type="character" w:customStyle="1" w:styleId="203">
    <w:name w:val=" Char Char16"/>
    <w:qFormat/>
    <w:uiPriority w:val="0"/>
    <w:rPr>
      <w:rFonts w:ascii="Times New Roman" w:hAnsi="Times New Roman" w:eastAsia="宋体" w:cs="Times New Roman"/>
      <w:sz w:val="18"/>
      <w:szCs w:val="18"/>
      <w:shd w:val="clear" w:color="auto" w:fill="000080"/>
    </w:rPr>
  </w:style>
  <w:style w:type="character" w:customStyle="1" w:styleId="204">
    <w:name w:val=" Char Char20"/>
    <w:qFormat/>
    <w:uiPriority w:val="0"/>
    <w:rPr>
      <w:rFonts w:ascii="Arial" w:hAnsi="Arial" w:eastAsia="黑体" w:cs="Times New Roman"/>
      <w:sz w:val="24"/>
      <w:szCs w:val="24"/>
    </w:rPr>
  </w:style>
  <w:style w:type="character" w:customStyle="1" w:styleId="205">
    <w:name w:val=" Char Char14"/>
    <w:qFormat/>
    <w:uiPriority w:val="0"/>
    <w:rPr>
      <w:rFonts w:ascii="宋体" w:hAnsi="宋体" w:eastAsia="宋体" w:cs="Times New Roman"/>
      <w:sz w:val="28"/>
      <w:szCs w:val="28"/>
    </w:rPr>
  </w:style>
  <w:style w:type="character" w:customStyle="1" w:styleId="206">
    <w:name w:val="ziti12hei"/>
    <w:qFormat/>
    <w:uiPriority w:val="0"/>
  </w:style>
  <w:style w:type="character" w:customStyle="1" w:styleId="207">
    <w:name w:val=" Char Char2"/>
    <w:qFormat/>
    <w:uiPriority w:val="0"/>
    <w:rPr>
      <w:rFonts w:eastAsia="宋体"/>
      <w:sz w:val="24"/>
      <w:szCs w:val="24"/>
      <w:lang w:val="en-US" w:eastAsia="zh-CN" w:bidi="ar-SA"/>
    </w:rPr>
  </w:style>
  <w:style w:type="character" w:customStyle="1" w:styleId="208">
    <w:name w:val=" Char Char6"/>
    <w:qFormat/>
    <w:uiPriority w:val="0"/>
    <w:rPr>
      <w:rFonts w:ascii="宋体" w:hAnsi="宋体" w:eastAsia="宋体" w:cs="Times New Roman"/>
      <w:szCs w:val="24"/>
    </w:rPr>
  </w:style>
  <w:style w:type="character" w:customStyle="1" w:styleId="209">
    <w:name w:val=" Char Char8"/>
    <w:qFormat/>
    <w:uiPriority w:val="0"/>
    <w:rPr>
      <w:rFonts w:ascii="Times New Roman" w:hAnsi="Times New Roman" w:eastAsia="宋体" w:cs="Times New Roman"/>
      <w:b/>
      <w:bCs/>
      <w:sz w:val="18"/>
      <w:szCs w:val="18"/>
    </w:rPr>
  </w:style>
  <w:style w:type="character" w:customStyle="1" w:styleId="210">
    <w:name w:val="文章正文 Char"/>
    <w:link w:val="211"/>
    <w:qFormat/>
    <w:locked/>
    <w:uiPriority w:val="0"/>
    <w:rPr>
      <w:kern w:val="2"/>
      <w:sz w:val="24"/>
      <w:szCs w:val="24"/>
    </w:rPr>
  </w:style>
  <w:style w:type="paragraph" w:customStyle="1" w:styleId="211">
    <w:name w:val="文章正文"/>
    <w:basedOn w:val="1"/>
    <w:link w:val="210"/>
    <w:qFormat/>
    <w:uiPriority w:val="0"/>
    <w:pPr>
      <w:ind w:firstLine="420"/>
    </w:pPr>
    <w:rPr>
      <w:rFonts w:ascii="Times New Roman" w:hAnsi="Times New Roman"/>
      <w:b w:val="0"/>
      <w:color w:val="auto"/>
      <w:kern w:val="2"/>
      <w:sz w:val="24"/>
      <w:szCs w:val="24"/>
    </w:rPr>
  </w:style>
  <w:style w:type="character" w:customStyle="1" w:styleId="212">
    <w:name w:val="页脚 Char1"/>
    <w:qFormat/>
    <w:uiPriority w:val="0"/>
    <w:rPr>
      <w:rFonts w:ascii="Times New Roman" w:hAnsi="Times New Roman" w:eastAsia="宋体" w:cs="Times New Roman"/>
      <w:kern w:val="2"/>
      <w:sz w:val="18"/>
      <w:szCs w:val="18"/>
    </w:rPr>
  </w:style>
  <w:style w:type="character" w:customStyle="1" w:styleId="213">
    <w:name w:val="apple-converted-space"/>
    <w:qFormat/>
    <w:uiPriority w:val="0"/>
  </w:style>
  <w:style w:type="character" w:customStyle="1" w:styleId="214">
    <w:name w:val="fontblank12"/>
    <w:qFormat/>
    <w:uiPriority w:val="0"/>
  </w:style>
  <w:style w:type="character" w:customStyle="1" w:styleId="215">
    <w:name w:val="正文首行缩进 Char1"/>
    <w:qFormat/>
    <w:uiPriority w:val="99"/>
  </w:style>
  <w:style w:type="character" w:customStyle="1" w:styleId="216">
    <w:name w:val="列出段落 Char"/>
    <w:link w:val="217"/>
    <w:qFormat/>
    <w:uiPriority w:val="0"/>
    <w:rPr>
      <w:rFonts w:ascii="Calibri" w:hAnsi="Calibri" w:cs="Calibri"/>
      <w:kern w:val="2"/>
      <w:sz w:val="21"/>
      <w:szCs w:val="22"/>
    </w:rPr>
  </w:style>
  <w:style w:type="paragraph" w:styleId="217">
    <w:name w:val="List Paragraph"/>
    <w:basedOn w:val="1"/>
    <w:link w:val="216"/>
    <w:qFormat/>
    <w:uiPriority w:val="0"/>
    <w:pPr>
      <w:ind w:firstLine="420"/>
    </w:pPr>
    <w:rPr>
      <w:rFonts w:ascii="Calibri" w:hAnsi="Calibri" w:cs="Calibri"/>
      <w:b w:val="0"/>
      <w:color w:val="auto"/>
      <w:kern w:val="2"/>
      <w:sz w:val="21"/>
      <w:szCs w:val="22"/>
      <w:lang w:val="en-US"/>
    </w:rPr>
  </w:style>
  <w:style w:type="character" w:customStyle="1" w:styleId="218">
    <w:name w:val="电子邮件签名 Char1"/>
    <w:qFormat/>
    <w:uiPriority w:val="99"/>
    <w:rPr>
      <w:kern w:val="2"/>
      <w:sz w:val="21"/>
      <w:szCs w:val="24"/>
    </w:rPr>
  </w:style>
  <w:style w:type="character" w:customStyle="1" w:styleId="219">
    <w:name w:val="正文首行缩进两字符 Char Char"/>
    <w:link w:val="220"/>
    <w:qFormat/>
    <w:uiPriority w:val="0"/>
    <w:rPr>
      <w:kern w:val="2"/>
      <w:sz w:val="21"/>
      <w:szCs w:val="24"/>
    </w:rPr>
  </w:style>
  <w:style w:type="paragraph" w:customStyle="1" w:styleId="220">
    <w:name w:val="正文首行缩进两字符"/>
    <w:basedOn w:val="1"/>
    <w:link w:val="219"/>
    <w:qFormat/>
    <w:uiPriority w:val="0"/>
    <w:pPr>
      <w:ind w:firstLine="200"/>
    </w:pPr>
    <w:rPr>
      <w:rFonts w:ascii="Times New Roman" w:hAnsi="Times New Roman"/>
      <w:b w:val="0"/>
      <w:color w:val="auto"/>
      <w:kern w:val="2"/>
      <w:sz w:val="21"/>
      <w:szCs w:val="24"/>
    </w:rPr>
  </w:style>
  <w:style w:type="character" w:customStyle="1" w:styleId="221">
    <w:name w:val="HTML 地址 Char1"/>
    <w:uiPriority w:val="99"/>
    <w:rPr>
      <w:i/>
      <w:iCs/>
      <w:kern w:val="2"/>
      <w:sz w:val="21"/>
      <w:szCs w:val="24"/>
    </w:rPr>
  </w:style>
  <w:style w:type="character" w:customStyle="1" w:styleId="222">
    <w:name w:val="MM Topic 4 Char Char"/>
    <w:link w:val="223"/>
    <w:uiPriority w:val="0"/>
    <w:rPr>
      <w:rFonts w:hint="default" w:ascii="Arial" w:hAnsi="Arial" w:cs="Arial"/>
      <w:b/>
      <w:bCs/>
      <w:kern w:val="2"/>
      <w:sz w:val="28"/>
      <w:szCs w:val="28"/>
    </w:rPr>
  </w:style>
  <w:style w:type="paragraph" w:customStyle="1" w:styleId="223">
    <w:name w:val="MM Topic 4"/>
    <w:basedOn w:val="6"/>
    <w:link w:val="222"/>
    <w:uiPriority w:val="0"/>
    <w:pPr>
      <w:numPr>
        <w:numId w:val="0"/>
      </w:numPr>
      <w:tabs>
        <w:tab w:val="left" w:pos="851"/>
        <w:tab w:val="left" w:pos="1984"/>
      </w:tabs>
    </w:pPr>
    <w:rPr>
      <w:rFonts w:ascii="Arial" w:hAnsi="Arial"/>
      <w:b/>
    </w:rPr>
  </w:style>
  <w:style w:type="character" w:customStyle="1" w:styleId="224">
    <w:name w:val="纯文本 Char1"/>
    <w:uiPriority w:val="0"/>
    <w:rPr>
      <w:rFonts w:ascii="宋体" w:hAnsi="Courier New" w:eastAsia="宋体"/>
      <w:szCs w:val="18"/>
    </w:rPr>
  </w:style>
  <w:style w:type="character" w:customStyle="1" w:styleId="225">
    <w:name w:val="特点标题 Char"/>
    <w:uiPriority w:val="0"/>
    <w:rPr>
      <w:rFonts w:ascii="Times New Roman" w:hAnsi="Times New Roman" w:eastAsia="宋体" w:cs="Times New Roman"/>
      <w:szCs w:val="24"/>
    </w:rPr>
  </w:style>
  <w:style w:type="character" w:customStyle="1" w:styleId="226">
    <w:name w:val="标题 Char1"/>
    <w:qFormat/>
    <w:uiPriority w:val="10"/>
    <w:rPr>
      <w:rFonts w:ascii="Cambria" w:hAnsi="Cambria" w:cs="Times New Roman"/>
      <w:b/>
      <w:bCs/>
      <w:kern w:val="2"/>
      <w:sz w:val="32"/>
      <w:szCs w:val="32"/>
    </w:rPr>
  </w:style>
  <w:style w:type="character" w:customStyle="1" w:styleId="227">
    <w:name w:val=" Char Char19"/>
    <w:uiPriority w:val="0"/>
    <w:rPr>
      <w:rFonts w:ascii="Arial" w:hAnsi="Arial" w:eastAsia="黑体" w:cs="Times New Roman"/>
      <w:szCs w:val="21"/>
    </w:rPr>
  </w:style>
  <w:style w:type="character" w:customStyle="1" w:styleId="228">
    <w:name w:val="文章正文 Char Char"/>
    <w:uiPriority w:val="0"/>
    <w:rPr>
      <w:rFonts w:hint="eastAsia" w:ascii="宋体" w:hAnsi="宋体" w:eastAsia="宋体"/>
      <w:kern w:val="2"/>
      <w:sz w:val="24"/>
      <w:szCs w:val="24"/>
      <w:lang w:val="en-US" w:eastAsia="zh-CN" w:bidi="ar-SA"/>
    </w:rPr>
  </w:style>
  <w:style w:type="character" w:customStyle="1" w:styleId="229">
    <w:name w:val=" Char Char Char"/>
    <w:uiPriority w:val="0"/>
    <w:rPr>
      <w:rFonts w:eastAsia="宋体"/>
      <w:sz w:val="18"/>
      <w:szCs w:val="18"/>
      <w:lang w:val="en-US" w:eastAsia="zh-CN" w:bidi="ar-SA"/>
    </w:rPr>
  </w:style>
  <w:style w:type="character" w:customStyle="1" w:styleId="230">
    <w:name w:val="文档结构图 Char1"/>
    <w:semiHidden/>
    <w:locked/>
    <w:uiPriority w:val="0"/>
    <w:rPr>
      <w:rFonts w:ascii="宋体" w:hAnsi="Times New Roman" w:eastAsia="宋体" w:cs="Times New Roman"/>
      <w:sz w:val="18"/>
      <w:szCs w:val="18"/>
    </w:rPr>
  </w:style>
  <w:style w:type="character" w:customStyle="1" w:styleId="231">
    <w:name w:val="简单回函地址 Char"/>
    <w:link w:val="232"/>
    <w:locked/>
    <w:uiPriority w:val="0"/>
    <w:rPr>
      <w:sz w:val="21"/>
    </w:rPr>
  </w:style>
  <w:style w:type="paragraph" w:customStyle="1" w:styleId="232">
    <w:name w:val="简单回函地址"/>
    <w:basedOn w:val="1"/>
    <w:link w:val="231"/>
    <w:uiPriority w:val="0"/>
    <w:rPr>
      <w:rFonts w:ascii="Times New Roman" w:hAnsi="Times New Roman"/>
      <w:b w:val="0"/>
      <w:color w:val="auto"/>
      <w:sz w:val="21"/>
      <w:szCs w:val="20"/>
    </w:rPr>
  </w:style>
  <w:style w:type="character" w:customStyle="1" w:styleId="233">
    <w:name w:val="批注文字 Char1"/>
    <w:semiHidden/>
    <w:uiPriority w:val="99"/>
    <w:rPr>
      <w:kern w:val="2"/>
      <w:sz w:val="21"/>
      <w:szCs w:val="22"/>
    </w:rPr>
  </w:style>
  <w:style w:type="character" w:customStyle="1" w:styleId="234">
    <w:name w:val="结束语 Char1"/>
    <w:uiPriority w:val="99"/>
    <w:rPr>
      <w:kern w:val="2"/>
      <w:sz w:val="21"/>
      <w:szCs w:val="24"/>
    </w:rPr>
  </w:style>
  <w:style w:type="character" w:customStyle="1" w:styleId="235">
    <w:name w:val="Footer Char2"/>
    <w:semiHidden/>
    <w:locked/>
    <w:uiPriority w:val="0"/>
    <w:rPr>
      <w:rFonts w:ascii="Times New Roman" w:hAnsi="Times New Roman" w:cs="Times New Roman"/>
      <w:sz w:val="18"/>
      <w:szCs w:val="18"/>
    </w:rPr>
  </w:style>
  <w:style w:type="character" w:customStyle="1" w:styleId="236">
    <w:name w:val="unnamed31"/>
    <w:uiPriority w:val="0"/>
    <w:rPr>
      <w:sz w:val="22"/>
      <w:szCs w:val="22"/>
    </w:rPr>
  </w:style>
  <w:style w:type="character" w:customStyle="1" w:styleId="237">
    <w:name w:val=" Char Char4"/>
    <w:uiPriority w:val="0"/>
    <w:rPr>
      <w:rFonts w:ascii="宋体" w:hAnsi="Courier New" w:eastAsia="宋体"/>
      <w:kern w:val="2"/>
      <w:sz w:val="21"/>
      <w:lang w:val="en-US" w:eastAsia="zh-CN"/>
    </w:rPr>
  </w:style>
  <w:style w:type="character" w:customStyle="1" w:styleId="238">
    <w:name w:val="正文文本 Char1"/>
    <w:semiHidden/>
    <w:locked/>
    <w:uiPriority w:val="0"/>
    <w:rPr>
      <w:rFonts w:ascii="Times New Roman" w:hAnsi="Times New Roman"/>
      <w:kern w:val="2"/>
      <w:sz w:val="21"/>
      <w:szCs w:val="24"/>
    </w:rPr>
  </w:style>
  <w:style w:type="character" w:customStyle="1" w:styleId="239">
    <w:name w:val="信息标题 Char1"/>
    <w:uiPriority w:val="99"/>
    <w:rPr>
      <w:rFonts w:ascii="Cambria" w:hAnsi="Cambria" w:eastAsia="宋体" w:cs="Times New Roman"/>
      <w:kern w:val="2"/>
      <w:sz w:val="24"/>
      <w:szCs w:val="24"/>
      <w:shd w:val="pct20" w:color="auto" w:fill="auto"/>
    </w:rPr>
  </w:style>
  <w:style w:type="character" w:customStyle="1" w:styleId="240">
    <w:name w:val="样式 小四2 Char Char"/>
    <w:qFormat/>
    <w:uiPriority w:val="0"/>
    <w:rPr>
      <w:rFonts w:hint="eastAsia" w:ascii="宋体" w:hAnsi="宋体" w:eastAsia="宋体"/>
      <w:kern w:val="2"/>
      <w:sz w:val="24"/>
      <w:szCs w:val="24"/>
    </w:rPr>
  </w:style>
  <w:style w:type="character" w:customStyle="1" w:styleId="241">
    <w:name w:val="Char Char5"/>
    <w:uiPriority w:val="0"/>
    <w:rPr>
      <w:kern w:val="2"/>
      <w:sz w:val="21"/>
      <w:szCs w:val="24"/>
    </w:rPr>
  </w:style>
  <w:style w:type="character" w:customStyle="1" w:styleId="242">
    <w:name w:val="Char Char10"/>
    <w:uiPriority w:val="0"/>
    <w:rPr>
      <w:kern w:val="2"/>
      <w:sz w:val="24"/>
      <w:szCs w:val="24"/>
    </w:rPr>
  </w:style>
  <w:style w:type="character" w:customStyle="1" w:styleId="243">
    <w:name w:val="正文1 Char Char"/>
    <w:link w:val="244"/>
    <w:uiPriority w:val="0"/>
    <w:rPr>
      <w:rFonts w:ascii="Arial" w:hAnsi="Arial"/>
      <w:bCs/>
      <w:color w:val="000000"/>
      <w:sz w:val="30"/>
      <w:szCs w:val="30"/>
    </w:rPr>
  </w:style>
  <w:style w:type="paragraph" w:customStyle="1" w:styleId="244">
    <w:name w:val="正文1"/>
    <w:basedOn w:val="1"/>
    <w:link w:val="243"/>
    <w:uiPriority w:val="0"/>
    <w:pPr>
      <w:ind w:firstLine="567"/>
    </w:pPr>
    <w:rPr>
      <w:rFonts w:ascii="Arial" w:hAnsi="Arial"/>
      <w:b w:val="0"/>
      <w:bCs/>
      <w:color w:val="000000"/>
      <w:sz w:val="30"/>
      <w:szCs w:val="30"/>
    </w:rPr>
  </w:style>
  <w:style w:type="character" w:customStyle="1" w:styleId="245">
    <w:name w:val="正文文本缩进 3 Char1"/>
    <w:semiHidden/>
    <w:locked/>
    <w:uiPriority w:val="0"/>
    <w:rPr>
      <w:rFonts w:ascii="Times New Roman" w:hAnsi="Times New Roman" w:eastAsia="宋体" w:cs="Times New Roman"/>
      <w:sz w:val="16"/>
      <w:szCs w:val="16"/>
    </w:rPr>
  </w:style>
  <w:style w:type="character" w:customStyle="1" w:styleId="246">
    <w:name w:val="Body Char"/>
    <w:link w:val="247"/>
    <w:uiPriority w:val="0"/>
    <w:rPr>
      <w:rFonts w:ascii="仿宋_GB2312" w:hAnsi="宋体" w:eastAsia="仿宋_GB2312"/>
      <w:sz w:val="28"/>
    </w:rPr>
  </w:style>
  <w:style w:type="paragraph" w:customStyle="1" w:styleId="247">
    <w:name w:val="Body"/>
    <w:basedOn w:val="1"/>
    <w:link w:val="246"/>
    <w:uiPriority w:val="0"/>
    <w:pPr>
      <w:widowControl/>
      <w:tabs>
        <w:tab w:val="left" w:pos="8835"/>
      </w:tabs>
      <w:spacing w:before="80" w:after="80" w:line="288" w:lineRule="auto"/>
      <w:ind w:firstLine="420" w:firstLineChars="150"/>
    </w:pPr>
    <w:rPr>
      <w:rFonts w:ascii="仿宋_GB2312" w:eastAsia="仿宋_GB2312"/>
      <w:b w:val="0"/>
      <w:color w:val="auto"/>
      <w:sz w:val="28"/>
      <w:szCs w:val="20"/>
    </w:rPr>
  </w:style>
  <w:style w:type="character" w:customStyle="1" w:styleId="248">
    <w:name w:val="普通正文 Char Char"/>
    <w:link w:val="249"/>
    <w:uiPriority w:val="0"/>
    <w:rPr>
      <w:rFonts w:ascii="仿宋_GB2312" w:eastAsia="仿宋_GB2312" w:cs="宋体"/>
      <w:kern w:val="2"/>
      <w:sz w:val="28"/>
    </w:rPr>
  </w:style>
  <w:style w:type="paragraph" w:customStyle="1" w:styleId="249">
    <w:name w:val="普通正文"/>
    <w:basedOn w:val="1"/>
    <w:link w:val="248"/>
    <w:uiPriority w:val="0"/>
    <w:pPr>
      <w:spacing w:line="440" w:lineRule="exact"/>
      <w:ind w:firstLine="560"/>
    </w:pPr>
    <w:rPr>
      <w:rFonts w:ascii="仿宋_GB2312" w:hAnsi="Times New Roman" w:eastAsia="仿宋_GB2312"/>
      <w:b w:val="0"/>
      <w:color w:val="auto"/>
      <w:kern w:val="2"/>
      <w:sz w:val="28"/>
      <w:szCs w:val="20"/>
    </w:rPr>
  </w:style>
  <w:style w:type="character" w:customStyle="1" w:styleId="250">
    <w:name w:val="正文文本 2 Char1"/>
    <w:uiPriority w:val="0"/>
    <w:rPr>
      <w:kern w:val="2"/>
      <w:sz w:val="21"/>
      <w:szCs w:val="24"/>
    </w:rPr>
  </w:style>
  <w:style w:type="character" w:customStyle="1" w:styleId="251">
    <w:name w:val="keyword"/>
    <w:uiPriority w:val="0"/>
  </w:style>
  <w:style w:type="character" w:customStyle="1" w:styleId="252">
    <w:name w:val="标书正文:  0.74 厘米 Char Char"/>
    <w:qFormat/>
    <w:uiPriority w:val="0"/>
    <w:rPr>
      <w:kern w:val="2"/>
      <w:sz w:val="24"/>
    </w:rPr>
  </w:style>
  <w:style w:type="character" w:customStyle="1" w:styleId="253">
    <w:name w:val="（符号）邀请函中一、"/>
    <w:uiPriority w:val="0"/>
    <w:rPr>
      <w:rFonts w:ascii="黑体" w:hAnsi="黑体" w:eastAsia="黑体"/>
      <w:b/>
      <w:bCs/>
      <w:sz w:val="24"/>
    </w:rPr>
  </w:style>
  <w:style w:type="character" w:customStyle="1" w:styleId="254">
    <w:name w:val="正文文本缩进 Char1"/>
    <w:semiHidden/>
    <w:locked/>
    <w:uiPriority w:val="0"/>
    <w:rPr>
      <w:rFonts w:ascii="Times New Roman" w:hAnsi="Times New Roman" w:eastAsia="宋体" w:cs="Times New Roman"/>
      <w:sz w:val="32"/>
      <w:szCs w:val="20"/>
    </w:rPr>
  </w:style>
  <w:style w:type="character" w:customStyle="1" w:styleId="255">
    <w:name w:val="line2"/>
    <w:uiPriority w:val="0"/>
  </w:style>
  <w:style w:type="character" w:customStyle="1" w:styleId="256">
    <w:name w:val="表正文 Char1"/>
    <w:uiPriority w:val="0"/>
    <w:rPr>
      <w:kern w:val="2"/>
      <w:sz w:val="32"/>
      <w:szCs w:val="32"/>
    </w:rPr>
  </w:style>
  <w:style w:type="character" w:customStyle="1" w:styleId="257">
    <w:name w:val="标题 3 Char Char Char"/>
    <w:uiPriority w:val="0"/>
    <w:rPr>
      <w:rFonts w:eastAsia="宋体"/>
      <w:b/>
      <w:kern w:val="2"/>
      <w:sz w:val="32"/>
      <w:lang w:val="en-US" w:eastAsia="zh-CN" w:bidi="ar-SA"/>
    </w:rPr>
  </w:style>
  <w:style w:type="character" w:customStyle="1" w:styleId="258">
    <w:name w:val="标题 2 Char"/>
    <w:qFormat/>
    <w:uiPriority w:val="0"/>
    <w:rPr>
      <w:rFonts w:ascii="Arial" w:hAnsi="Arial"/>
      <w:b/>
      <w:bCs/>
      <w:sz w:val="28"/>
      <w:szCs w:val="32"/>
    </w:rPr>
  </w:style>
  <w:style w:type="character" w:customStyle="1" w:styleId="259">
    <w:name w:val="脚注文本 Char2"/>
    <w:uiPriority w:val="99"/>
    <w:rPr>
      <w:kern w:val="2"/>
      <w:sz w:val="18"/>
      <w:szCs w:val="18"/>
    </w:rPr>
  </w:style>
  <w:style w:type="character" w:customStyle="1" w:styleId="260">
    <w:name w:val="（符号）三标题1.1 Char Char"/>
    <w:link w:val="261"/>
    <w:uiPriority w:val="0"/>
    <w:rPr>
      <w:rFonts w:ascii="宋体" w:hAnsi="宋体"/>
      <w:kern w:val="2"/>
      <w:sz w:val="24"/>
      <w:szCs w:val="22"/>
    </w:rPr>
  </w:style>
  <w:style w:type="paragraph" w:customStyle="1" w:styleId="261">
    <w:name w:val="（符号）三标题1.1"/>
    <w:basedOn w:val="1"/>
    <w:link w:val="260"/>
    <w:qFormat/>
    <w:uiPriority w:val="0"/>
    <w:pPr>
      <w:numPr>
        <w:ilvl w:val="1"/>
        <w:numId w:val="12"/>
      </w:numPr>
      <w:tabs>
        <w:tab w:val="left" w:pos="700"/>
      </w:tabs>
      <w:spacing w:line="500" w:lineRule="exact"/>
    </w:pPr>
    <w:rPr>
      <w:b w:val="0"/>
      <w:color w:val="auto"/>
      <w:kern w:val="2"/>
      <w:sz w:val="24"/>
      <w:szCs w:val="22"/>
    </w:rPr>
  </w:style>
  <w:style w:type="character" w:customStyle="1" w:styleId="262">
    <w:name w:val="批注框文本 Char1"/>
    <w:semiHidden/>
    <w:locked/>
    <w:uiPriority w:val="0"/>
    <w:rPr>
      <w:rFonts w:ascii="Times New Roman" w:hAnsi="Times New Roman" w:eastAsia="宋体" w:cs="Times New Roman"/>
      <w:sz w:val="18"/>
      <w:szCs w:val="18"/>
    </w:rPr>
  </w:style>
  <w:style w:type="character" w:customStyle="1" w:styleId="263">
    <w:name w:val="33333 Char Char"/>
    <w:link w:val="264"/>
    <w:qFormat/>
    <w:uiPriority w:val="0"/>
    <w:rPr>
      <w:rFonts w:ascii="宋体" w:hAnsi="宋体"/>
      <w:kern w:val="2"/>
      <w:sz w:val="28"/>
      <w:szCs w:val="30"/>
    </w:rPr>
  </w:style>
  <w:style w:type="paragraph" w:customStyle="1" w:styleId="264">
    <w:name w:val="33333"/>
    <w:basedOn w:val="1"/>
    <w:link w:val="263"/>
    <w:uiPriority w:val="0"/>
    <w:pPr>
      <w:ind w:firstLine="600"/>
    </w:pPr>
    <w:rPr>
      <w:b w:val="0"/>
      <w:color w:val="auto"/>
      <w:kern w:val="2"/>
      <w:sz w:val="28"/>
      <w:szCs w:val="30"/>
    </w:rPr>
  </w:style>
  <w:style w:type="character" w:customStyle="1" w:styleId="265">
    <w:name w:val="正文首行缩进 2 Char1"/>
    <w:uiPriority w:val="99"/>
    <w:rPr>
      <w:kern w:val="2"/>
      <w:sz w:val="21"/>
      <w:szCs w:val="24"/>
    </w:rPr>
  </w:style>
  <w:style w:type="character" w:customStyle="1" w:styleId="266">
    <w:name w:val="style31"/>
    <w:uiPriority w:val="0"/>
    <w:rPr>
      <w:rFonts w:ascii="Verdana" w:hAnsi="Verdana" w:eastAsia="宋体"/>
      <w:sz w:val="22"/>
      <w:szCs w:val="22"/>
      <w:lang w:val="en-US" w:eastAsia="en-US" w:bidi="ar-SA"/>
    </w:rPr>
  </w:style>
  <w:style w:type="character" w:customStyle="1" w:styleId="267">
    <w:name w:val="para_small productdetailstext"/>
    <w:uiPriority w:val="0"/>
  </w:style>
  <w:style w:type="character" w:customStyle="1" w:styleId="268">
    <w:name w:val="apple-style-span"/>
    <w:uiPriority w:val="0"/>
  </w:style>
  <w:style w:type="character" w:customStyle="1" w:styleId="269">
    <w:name w:val=" Char Char12"/>
    <w:uiPriority w:val="0"/>
    <w:rPr>
      <w:rFonts w:ascii="Times New Roman" w:hAnsi="Times New Roman" w:eastAsia="宋体" w:cs="Times New Roman"/>
      <w:szCs w:val="24"/>
    </w:rPr>
  </w:style>
  <w:style w:type="character" w:customStyle="1" w:styleId="270">
    <w:name w:val="55555 Char Char"/>
    <w:link w:val="271"/>
    <w:uiPriority w:val="0"/>
    <w:rPr>
      <w:rFonts w:eastAsia="仿宋_GB2312"/>
      <w:kern w:val="2"/>
      <w:sz w:val="30"/>
      <w:szCs w:val="30"/>
    </w:rPr>
  </w:style>
  <w:style w:type="paragraph" w:customStyle="1" w:styleId="271">
    <w:name w:val="55555"/>
    <w:basedOn w:val="19"/>
    <w:link w:val="270"/>
    <w:uiPriority w:val="0"/>
    <w:pPr>
      <w:numPr>
        <w:ilvl w:val="2"/>
        <w:numId w:val="13"/>
      </w:numPr>
      <w:tabs>
        <w:tab w:val="left" w:pos="900"/>
      </w:tabs>
      <w:ind w:firstLineChars="0"/>
    </w:pPr>
    <w:rPr>
      <w:rFonts w:eastAsia="仿宋_GB2312"/>
      <w:sz w:val="30"/>
      <w:szCs w:val="30"/>
    </w:rPr>
  </w:style>
  <w:style w:type="character" w:customStyle="1" w:styleId="272">
    <w:name w:val="small"/>
    <w:uiPriority w:val="0"/>
  </w:style>
  <w:style w:type="character" w:customStyle="1" w:styleId="273">
    <w:name w:val="正文文本缩进 2 Char1"/>
    <w:semiHidden/>
    <w:locked/>
    <w:uiPriority w:val="0"/>
    <w:rPr>
      <w:rFonts w:ascii="Times New Roman" w:hAnsi="Times New Roman"/>
      <w:kern w:val="2"/>
      <w:sz w:val="21"/>
      <w:szCs w:val="24"/>
    </w:rPr>
  </w:style>
  <w:style w:type="character" w:customStyle="1" w:styleId="274">
    <w:name w:val="Header Char3"/>
    <w:semiHidden/>
    <w:locked/>
    <w:uiPriority w:val="0"/>
    <w:rPr>
      <w:rFonts w:ascii="Times New Roman" w:hAnsi="Times New Roman" w:cs="Times New Roman"/>
      <w:sz w:val="18"/>
      <w:szCs w:val="18"/>
    </w:rPr>
  </w:style>
  <w:style w:type="character" w:customStyle="1" w:styleId="275">
    <w:name w:val="批注主题 Char1"/>
    <w:semiHidden/>
    <w:uiPriority w:val="99"/>
    <w:rPr>
      <w:b/>
      <w:bCs/>
      <w:kern w:val="2"/>
      <w:sz w:val="21"/>
      <w:szCs w:val="22"/>
    </w:rPr>
  </w:style>
  <w:style w:type="character" w:customStyle="1" w:styleId="276">
    <w:name w:val="页眉 Char1"/>
    <w:uiPriority w:val="0"/>
    <w:rPr>
      <w:rFonts w:ascii="Times New Roman" w:hAnsi="Times New Roman" w:eastAsia="宋体" w:cs="Times New Roman"/>
      <w:kern w:val="2"/>
      <w:sz w:val="18"/>
      <w:szCs w:val="18"/>
    </w:rPr>
  </w:style>
  <w:style w:type="character" w:customStyle="1" w:styleId="277">
    <w:name w:val="MM Topic 3 Char Char"/>
    <w:link w:val="278"/>
    <w:uiPriority w:val="0"/>
    <w:rPr>
      <w:rFonts w:hint="eastAsia" w:ascii="宋体" w:hAnsi="宋体" w:eastAsia="宋体"/>
      <w:b/>
      <w:bCs/>
      <w:color w:val="000000"/>
      <w:kern w:val="2"/>
      <w:sz w:val="28"/>
      <w:szCs w:val="28"/>
    </w:rPr>
  </w:style>
  <w:style w:type="paragraph" w:customStyle="1" w:styleId="278">
    <w:name w:val="MM Topic 3"/>
    <w:basedOn w:val="5"/>
    <w:link w:val="277"/>
    <w:uiPriority w:val="0"/>
    <w:pPr>
      <w:numPr>
        <w:numId w:val="0"/>
      </w:numPr>
      <w:tabs>
        <w:tab w:val="left" w:pos="1418"/>
        <w:tab w:val="clear" w:pos="709"/>
      </w:tabs>
      <w:spacing w:before="260" w:after="260" w:line="416" w:lineRule="auto"/>
    </w:pPr>
    <w:rPr>
      <w:rFonts w:hint="eastAsia" w:ascii="宋体" w:hAnsi="宋体"/>
    </w:rPr>
  </w:style>
  <w:style w:type="character" w:customStyle="1" w:styleId="279">
    <w:name w:val=" Char Char7"/>
    <w:uiPriority w:val="0"/>
    <w:rPr>
      <w:rFonts w:ascii="Arial" w:hAnsi="Arial" w:eastAsia="宋体" w:cs="Arial"/>
      <w:b/>
      <w:bCs/>
      <w:sz w:val="32"/>
      <w:szCs w:val="32"/>
    </w:rPr>
  </w:style>
  <w:style w:type="character" w:customStyle="1" w:styleId="280">
    <w:name w:val="0921 Char"/>
    <w:uiPriority w:val="0"/>
    <w:rPr>
      <w:rFonts w:ascii="宋体" w:hAnsi="Courier New" w:eastAsia="宋体" w:cs="Courier New"/>
      <w:kern w:val="2"/>
      <w:sz w:val="21"/>
      <w:szCs w:val="21"/>
      <w:lang w:val="en-US" w:eastAsia="zh-CN" w:bidi="ar-SA"/>
    </w:rPr>
  </w:style>
  <w:style w:type="character" w:customStyle="1" w:styleId="281">
    <w:name w:val="CD正文 Char"/>
    <w:locked/>
    <w:uiPriority w:val="0"/>
    <w:rPr>
      <w:rFonts w:ascii="Times New Roman" w:hAnsi="Times New Roman"/>
      <w:sz w:val="28"/>
    </w:rPr>
  </w:style>
  <w:style w:type="character" w:customStyle="1" w:styleId="282">
    <w:name w:val="Char Char8"/>
    <w:uiPriority w:val="0"/>
    <w:rPr>
      <w:rFonts w:hint="eastAsia" w:ascii="宋体" w:hAnsi="宋体" w:eastAsia="宋体"/>
      <w:kern w:val="2"/>
      <w:sz w:val="28"/>
      <w:szCs w:val="28"/>
    </w:rPr>
  </w:style>
  <w:style w:type="character" w:customStyle="1" w:styleId="283">
    <w:name w:val="标题 3 Char1"/>
    <w:uiPriority w:val="0"/>
    <w:rPr>
      <w:b/>
      <w:bCs/>
      <w:kern w:val="2"/>
      <w:sz w:val="32"/>
      <w:szCs w:val="32"/>
    </w:rPr>
  </w:style>
  <w:style w:type="character" w:customStyle="1" w:styleId="284">
    <w:name w:val="CD正文 Char Char"/>
    <w:link w:val="285"/>
    <w:uiPriority w:val="0"/>
    <w:rPr>
      <w:kern w:val="2"/>
      <w:sz w:val="24"/>
    </w:rPr>
  </w:style>
  <w:style w:type="paragraph" w:customStyle="1" w:styleId="285">
    <w:name w:val="CD正文"/>
    <w:basedOn w:val="1"/>
    <w:link w:val="284"/>
    <w:qFormat/>
    <w:uiPriority w:val="0"/>
    <w:pPr>
      <w:ind w:firstLine="493"/>
    </w:pPr>
    <w:rPr>
      <w:rFonts w:ascii="Times New Roman" w:hAnsi="Times New Roman"/>
      <w:b w:val="0"/>
      <w:color w:val="auto"/>
      <w:kern w:val="2"/>
      <w:sz w:val="24"/>
      <w:szCs w:val="20"/>
    </w:rPr>
  </w:style>
  <w:style w:type="paragraph" w:customStyle="1" w:styleId="286">
    <w:name w:val="xl115"/>
    <w:basedOn w:val="1"/>
    <w:uiPriority w:val="0"/>
    <w:pPr>
      <w:widowControl/>
      <w:pBdr>
        <w:left w:val="single" w:color="auto" w:sz="4" w:space="0"/>
      </w:pBdr>
      <w:spacing w:before="100" w:beforeAutospacing="1" w:after="100" w:afterAutospacing="1"/>
      <w:jc w:val="left"/>
    </w:pPr>
    <w:rPr>
      <w:rFonts w:cs="宋体"/>
      <w:color w:val="000000"/>
      <w:sz w:val="18"/>
      <w:szCs w:val="18"/>
    </w:rPr>
  </w:style>
  <w:style w:type="paragraph" w:customStyle="1" w:styleId="287">
    <w:name w:val="附录章标题"/>
    <w:next w:val="6"/>
    <w:uiPriority w:val="0"/>
    <w:pPr>
      <w:numPr>
        <w:ilvl w:val="1"/>
        <w:numId w:val="14"/>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288">
    <w:name w:val="xl1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宋体"/>
      <w:color w:val="000000"/>
      <w:sz w:val="18"/>
      <w:szCs w:val="18"/>
    </w:rPr>
  </w:style>
  <w:style w:type="paragraph" w:customStyle="1" w:styleId="289">
    <w:name w:val="xl9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cs="宋体"/>
      <w:color w:val="000000"/>
      <w:sz w:val="18"/>
      <w:szCs w:val="18"/>
    </w:rPr>
  </w:style>
  <w:style w:type="paragraph" w:customStyle="1" w:styleId="290">
    <w:name w:val="xl17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cs="宋体"/>
      <w:sz w:val="18"/>
      <w:szCs w:val="18"/>
    </w:rPr>
  </w:style>
  <w:style w:type="paragraph" w:customStyle="1" w:styleId="291">
    <w:name w:val="MM Topic 6"/>
    <w:basedOn w:val="8"/>
    <w:uiPriority w:val="0"/>
    <w:pPr>
      <w:tabs>
        <w:tab w:val="left" w:pos="3260"/>
        <w:tab w:val="clear" w:pos="1134"/>
      </w:tabs>
      <w:spacing w:line="319" w:lineRule="auto"/>
      <w:ind w:left="0" w:firstLine="0" w:firstLineChars="0"/>
    </w:pPr>
    <w:rPr>
      <w:rFonts w:eastAsia="黑体"/>
      <w:kern w:val="2"/>
    </w:rPr>
  </w:style>
  <w:style w:type="paragraph" w:customStyle="1" w:styleId="292">
    <w:name w:val="样式 标题 2H2第一章 标题 2Heading 2 HiddenHeading 2 CCBSheading 2h2..."/>
    <w:basedOn w:val="4"/>
    <w:uiPriority w:val="0"/>
    <w:pPr>
      <w:tabs>
        <w:tab w:val="left" w:pos="993"/>
        <w:tab w:val="clear" w:pos="567"/>
      </w:tabs>
      <w:ind w:left="993"/>
      <w:jc w:val="both"/>
    </w:pPr>
    <w:rPr>
      <w:rFonts w:cs="宋体"/>
      <w:color w:val="000000"/>
      <w:szCs w:val="20"/>
    </w:rPr>
  </w:style>
  <w:style w:type="paragraph" w:customStyle="1" w:styleId="293">
    <w:name w:val=" Char1 Char Char Char"/>
    <w:basedOn w:val="1"/>
    <w:next w:val="1"/>
    <w:uiPriority w:val="0"/>
    <w:pPr>
      <w:spacing w:line="240" w:lineRule="atLeast"/>
      <w:ind w:left="420" w:firstLine="420"/>
      <w:jc w:val="left"/>
    </w:pPr>
    <w:rPr>
      <w:szCs w:val="20"/>
    </w:rPr>
  </w:style>
  <w:style w:type="paragraph" w:customStyle="1" w:styleId="294">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color w:val="000000"/>
      <w:sz w:val="20"/>
      <w:szCs w:val="20"/>
    </w:rPr>
  </w:style>
  <w:style w:type="paragraph" w:customStyle="1" w:styleId="295">
    <w:name w:val="项目符号：一级"/>
    <w:basedOn w:val="190"/>
    <w:next w:val="190"/>
    <w:uiPriority w:val="0"/>
    <w:pPr>
      <w:tabs>
        <w:tab w:val="left" w:pos="700"/>
      </w:tabs>
      <w:spacing w:beforeLines="0"/>
      <w:ind w:left="630" w:hanging="290"/>
    </w:pPr>
    <w:rPr>
      <w:bCs w:val="0"/>
    </w:rPr>
  </w:style>
  <w:style w:type="paragraph" w:customStyle="1" w:styleId="296">
    <w:name w:val="xl17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cs="宋体"/>
      <w:sz w:val="18"/>
      <w:szCs w:val="18"/>
    </w:rPr>
  </w:style>
  <w:style w:type="paragraph" w:customStyle="1" w:styleId="297">
    <w:name w:val="xl10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宋体"/>
      <w:sz w:val="18"/>
      <w:szCs w:val="18"/>
    </w:rPr>
  </w:style>
  <w:style w:type="paragraph" w:customStyle="1" w:styleId="298">
    <w:name w:val="xl5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b w:val="0"/>
      <w:bCs/>
      <w:color w:val="000000"/>
    </w:rPr>
  </w:style>
  <w:style w:type="paragraph" w:customStyle="1" w:styleId="299">
    <w:name w:val="xl64"/>
    <w:basedOn w:val="1"/>
    <w:uiPriority w:val="0"/>
    <w:pPr>
      <w:widowControl/>
      <w:spacing w:before="100" w:beforeAutospacing="1" w:after="100" w:afterAutospacing="1"/>
      <w:jc w:val="left"/>
    </w:pPr>
    <w:rPr>
      <w:rFonts w:cs="宋体"/>
      <w:sz w:val="22"/>
      <w:szCs w:val="22"/>
    </w:rPr>
  </w:style>
  <w:style w:type="paragraph" w:customStyle="1" w:styleId="300">
    <w:name w:val=" Char Char Char Char Char Char Char Char Char Char Char Char Char"/>
    <w:basedOn w:val="23"/>
    <w:uiPriority w:val="0"/>
    <w:pPr>
      <w:shd w:val="clear" w:color="auto" w:fill="000080"/>
    </w:pPr>
    <w:rPr>
      <w:rFonts w:ascii="Tahoma" w:hAnsi="Tahoma"/>
      <w:sz w:val="24"/>
      <w:szCs w:val="20"/>
      <w:shd w:val="clear" w:color="auto" w:fill="000080"/>
    </w:rPr>
  </w:style>
  <w:style w:type="paragraph" w:customStyle="1" w:styleId="301">
    <w:name w:val="标题4级"/>
    <w:basedOn w:val="6"/>
    <w:uiPriority w:val="0"/>
    <w:pPr>
      <w:numPr>
        <w:numId w:val="15"/>
      </w:numPr>
      <w:tabs>
        <w:tab w:val="left" w:pos="851"/>
        <w:tab w:val="left" w:pos="993"/>
      </w:tabs>
      <w:spacing w:before="0" w:after="0" w:line="360" w:lineRule="auto"/>
    </w:pPr>
    <w:rPr>
      <w:rFonts w:cs="宋体"/>
      <w:color w:val="000000"/>
      <w:kern w:val="0"/>
    </w:rPr>
  </w:style>
  <w:style w:type="paragraph" w:customStyle="1" w:styleId="302">
    <w:name w:val="xl145"/>
    <w:basedOn w:val="1"/>
    <w:uiPriority w:val="0"/>
    <w:pPr>
      <w:widowControl/>
      <w:spacing w:before="100" w:beforeAutospacing="1" w:after="100" w:afterAutospacing="1"/>
      <w:jc w:val="left"/>
    </w:pPr>
    <w:rPr>
      <w:rFonts w:cs="宋体"/>
      <w:color w:val="000000"/>
      <w:sz w:val="18"/>
      <w:szCs w:val="18"/>
    </w:rPr>
  </w:style>
  <w:style w:type="paragraph" w:customStyle="1" w:styleId="303">
    <w:name w:val="表格题注"/>
    <w:next w:val="1"/>
    <w:uiPriority w:val="0"/>
    <w:pPr>
      <w:keepLines/>
      <w:tabs>
        <w:tab w:val="left" w:pos="1559"/>
      </w:tabs>
      <w:spacing w:beforeLines="100"/>
      <w:ind w:left="1559" w:hanging="1559"/>
      <w:jc w:val="center"/>
    </w:pPr>
    <w:rPr>
      <w:rFonts w:ascii="Arial" w:hAnsi="Arial" w:eastAsia="宋体" w:cs="Times New Roman"/>
      <w:sz w:val="18"/>
      <w:lang w:val="en-US" w:eastAsia="zh-CN" w:bidi="ar-SA"/>
    </w:rPr>
  </w:style>
  <w:style w:type="paragraph" w:customStyle="1" w:styleId="304">
    <w:name w:val="xl13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宋体"/>
      <w:color w:val="000000"/>
      <w:sz w:val="18"/>
      <w:szCs w:val="18"/>
    </w:rPr>
  </w:style>
  <w:style w:type="paragraph" w:customStyle="1" w:styleId="305">
    <w:name w:val="xl144"/>
    <w:basedOn w:val="1"/>
    <w:uiPriority w:val="0"/>
    <w:pPr>
      <w:widowControl/>
      <w:pBdr>
        <w:left w:val="single" w:color="auto" w:sz="4" w:space="0"/>
      </w:pBdr>
      <w:spacing w:before="100" w:beforeAutospacing="1" w:after="100" w:afterAutospacing="1"/>
      <w:jc w:val="left"/>
    </w:pPr>
    <w:rPr>
      <w:rFonts w:cs="宋体"/>
      <w:color w:val="000000"/>
      <w:sz w:val="18"/>
      <w:szCs w:val="18"/>
    </w:rPr>
  </w:style>
  <w:style w:type="paragraph" w:customStyle="1" w:styleId="306">
    <w:name w:val="表格标题"/>
    <w:basedOn w:val="1"/>
    <w:qFormat/>
    <w:uiPriority w:val="0"/>
    <w:pPr>
      <w:jc w:val="center"/>
    </w:pPr>
    <w:rPr>
      <w:rFonts w:eastAsia="仿宋_GB2312" w:cs="宋体"/>
      <w:b w:val="0"/>
      <w:bCs/>
      <w:color w:val="000000"/>
      <w:szCs w:val="21"/>
    </w:rPr>
  </w:style>
  <w:style w:type="paragraph" w:customStyle="1" w:styleId="307">
    <w:name w:val="xl9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宋体"/>
      <w:color w:val="000000"/>
      <w:sz w:val="18"/>
      <w:szCs w:val="18"/>
    </w:rPr>
  </w:style>
  <w:style w:type="paragraph" w:styleId="308">
    <w:name w:val="No Spacing"/>
    <w:qFormat/>
    <w:uiPriority w:val="1"/>
    <w:pPr>
      <w:widowControl w:val="0"/>
      <w:spacing w:line="300" w:lineRule="auto"/>
    </w:pPr>
    <w:rPr>
      <w:rFonts w:ascii="Times New Roman" w:hAnsi="Times New Roman" w:eastAsia="华文仿宋" w:cs="Times New Roman"/>
      <w:kern w:val="2"/>
      <w:sz w:val="24"/>
      <w:szCs w:val="21"/>
      <w:lang w:val="en-US" w:eastAsia="zh-CN" w:bidi="ar-SA"/>
    </w:rPr>
  </w:style>
  <w:style w:type="paragraph" w:customStyle="1" w:styleId="309">
    <w:name w:val="xl143"/>
    <w:basedOn w:val="1"/>
    <w:uiPriority w:val="0"/>
    <w:pPr>
      <w:widowControl/>
      <w:pBdr>
        <w:top w:val="single" w:color="auto" w:sz="4" w:space="0"/>
        <w:left w:val="single" w:color="auto" w:sz="4" w:space="0"/>
        <w:bottom w:val="single" w:color="auto" w:sz="4" w:space="0"/>
        <w:right w:val="single" w:color="auto" w:sz="4" w:space="0"/>
      </w:pBdr>
      <w:shd w:val="clear" w:color="000000" w:fill="00CCFF"/>
      <w:spacing w:before="100" w:beforeAutospacing="1" w:after="100" w:afterAutospacing="1"/>
      <w:jc w:val="center"/>
    </w:pPr>
    <w:rPr>
      <w:rFonts w:cs="宋体"/>
      <w:b w:val="0"/>
      <w:bCs/>
      <w:color w:val="000000"/>
      <w:sz w:val="18"/>
      <w:szCs w:val="18"/>
    </w:rPr>
  </w:style>
  <w:style w:type="paragraph" w:customStyle="1" w:styleId="310">
    <w:name w:val="样式 行距: 1.5 倍行距 左  3.42 字符"/>
    <w:basedOn w:val="1"/>
    <w:uiPriority w:val="0"/>
    <w:pPr>
      <w:ind w:left="200" w:leftChars="200" w:firstLine="200"/>
    </w:pPr>
    <w:rPr>
      <w:rFonts w:cs="宋体"/>
      <w:szCs w:val="20"/>
    </w:rPr>
  </w:style>
  <w:style w:type="paragraph" w:customStyle="1" w:styleId="311">
    <w:name w:val="大纲正文"/>
    <w:basedOn w:val="1"/>
    <w:uiPriority w:val="0"/>
    <w:pPr>
      <w:ind w:firstLine="480"/>
    </w:pPr>
    <w:rPr>
      <w:sz w:val="24"/>
      <w:szCs w:val="20"/>
    </w:rPr>
  </w:style>
  <w:style w:type="paragraph" w:customStyle="1" w:styleId="312">
    <w:name w:val="文章正文 Char Char1"/>
    <w:basedOn w:val="1"/>
    <w:qFormat/>
    <w:uiPriority w:val="0"/>
    <w:pPr>
      <w:ind w:firstLine="420"/>
    </w:pPr>
    <w:rPr>
      <w:sz w:val="24"/>
    </w:rPr>
  </w:style>
  <w:style w:type="paragraph" w:customStyle="1" w:styleId="313">
    <w:name w:val="Char2"/>
    <w:basedOn w:val="1"/>
    <w:qFormat/>
    <w:uiPriority w:val="0"/>
    <w:pPr>
      <w:ind w:left="432" w:hanging="432"/>
    </w:pPr>
    <w:rPr>
      <w:sz w:val="24"/>
    </w:rPr>
  </w:style>
  <w:style w:type="paragraph" w:customStyle="1" w:styleId="314">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宋体"/>
      <w:color w:val="000000"/>
      <w:sz w:val="18"/>
      <w:szCs w:val="18"/>
    </w:rPr>
  </w:style>
  <w:style w:type="paragraph" w:customStyle="1" w:styleId="315">
    <w:name w:val="细目"/>
    <w:qFormat/>
    <w:uiPriority w:val="0"/>
    <w:pPr>
      <w:numPr>
        <w:ilvl w:val="0"/>
        <w:numId w:val="16"/>
      </w:numPr>
      <w:spacing w:beforeLines="100" w:line="360" w:lineRule="auto"/>
    </w:pPr>
    <w:rPr>
      <w:rFonts w:ascii="Times New Roman" w:hAnsi="Times New Roman" w:eastAsia="宋体" w:cs="Times New Roman"/>
      <w:sz w:val="24"/>
      <w:lang w:val="en-US" w:eastAsia="zh-CN" w:bidi="ar-SA"/>
    </w:rPr>
  </w:style>
  <w:style w:type="paragraph" w:customStyle="1" w:styleId="316">
    <w:name w:val="p4"/>
    <w:basedOn w:val="1"/>
    <w:qFormat/>
    <w:uiPriority w:val="0"/>
    <w:pPr>
      <w:widowControl/>
      <w:spacing w:before="100" w:beforeAutospacing="1" w:after="100" w:afterAutospacing="1"/>
      <w:ind w:firstLine="360"/>
      <w:jc w:val="left"/>
    </w:pPr>
    <w:rPr>
      <w:sz w:val="24"/>
    </w:rPr>
  </w:style>
  <w:style w:type="paragraph" w:customStyle="1" w:styleId="317">
    <w:name w:val="xl122"/>
    <w:basedOn w:val="1"/>
    <w:qFormat/>
    <w:uiPriority w:val="0"/>
    <w:pPr>
      <w:widowControl/>
      <w:pBdr>
        <w:top w:val="single" w:color="auto" w:sz="4" w:space="0"/>
        <w:left w:val="single" w:color="auto" w:sz="4" w:space="0"/>
        <w:bottom w:val="single" w:color="auto" w:sz="4" w:space="0"/>
        <w:right w:val="single" w:color="auto" w:sz="4" w:space="0"/>
      </w:pBdr>
      <w:shd w:val="clear" w:color="000000" w:fill="00CCFF"/>
      <w:spacing w:before="100" w:beforeAutospacing="1" w:after="100" w:afterAutospacing="1"/>
      <w:jc w:val="center"/>
    </w:pPr>
    <w:rPr>
      <w:rFonts w:cs="宋体"/>
      <w:b w:val="0"/>
      <w:bCs/>
      <w:color w:val="000000"/>
      <w:sz w:val="18"/>
      <w:szCs w:val="18"/>
    </w:rPr>
  </w:style>
  <w:style w:type="paragraph" w:customStyle="1" w:styleId="318">
    <w:name w:val="xl1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cs="宋体"/>
      <w:color w:val="000000"/>
      <w:sz w:val="18"/>
      <w:szCs w:val="18"/>
    </w:rPr>
  </w:style>
  <w:style w:type="paragraph" w:customStyle="1" w:styleId="319">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color w:val="000000"/>
      <w:sz w:val="20"/>
      <w:szCs w:val="20"/>
    </w:rPr>
  </w:style>
  <w:style w:type="paragraph" w:customStyle="1" w:styleId="320">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cs="宋体"/>
      <w:color w:val="000000"/>
      <w:sz w:val="18"/>
      <w:szCs w:val="18"/>
    </w:rPr>
  </w:style>
  <w:style w:type="paragraph" w:customStyle="1" w:styleId="321">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322">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Unicode MS" w:hAnsi="Arial Unicode MS" w:eastAsia="Arial Unicode MS" w:cs="Arial Unicode MS"/>
      <w:b w:val="0"/>
      <w:bCs/>
      <w:color w:val="000000"/>
      <w:sz w:val="20"/>
      <w:szCs w:val="20"/>
    </w:rPr>
  </w:style>
  <w:style w:type="paragraph" w:customStyle="1" w:styleId="323">
    <w:name w:val="附录二级条标题"/>
    <w:basedOn w:val="324"/>
    <w:next w:val="6"/>
    <w:qFormat/>
    <w:uiPriority w:val="0"/>
    <w:pPr>
      <w:numPr>
        <w:ilvl w:val="3"/>
      </w:numPr>
      <w:outlineLvl w:val="3"/>
    </w:pPr>
  </w:style>
  <w:style w:type="paragraph" w:customStyle="1" w:styleId="324">
    <w:name w:val="附录一级条标题"/>
    <w:basedOn w:val="287"/>
    <w:next w:val="6"/>
    <w:qFormat/>
    <w:uiPriority w:val="0"/>
    <w:pPr>
      <w:numPr>
        <w:ilvl w:val="2"/>
      </w:numPr>
      <w:autoSpaceDN w:val="0"/>
      <w:spacing w:beforeLines="0" w:afterLines="0"/>
      <w:outlineLvl w:val="2"/>
    </w:pPr>
  </w:style>
  <w:style w:type="paragraph" w:customStyle="1" w:styleId="325">
    <w:name w:val=" Char Char Char Char Char Char"/>
    <w:basedOn w:val="1"/>
    <w:qFormat/>
    <w:uiPriority w:val="0"/>
    <w:rPr>
      <w:rFonts w:ascii="Tahoma" w:hAnsi="Tahoma"/>
      <w:sz w:val="24"/>
      <w:szCs w:val="20"/>
    </w:rPr>
  </w:style>
  <w:style w:type="paragraph" w:customStyle="1" w:styleId="326">
    <w:name w:val="font7"/>
    <w:basedOn w:val="1"/>
    <w:qFormat/>
    <w:uiPriority w:val="0"/>
    <w:pPr>
      <w:widowControl/>
      <w:spacing w:before="100" w:beforeAutospacing="1" w:after="100" w:afterAutospacing="1"/>
      <w:jc w:val="left"/>
    </w:pPr>
    <w:rPr>
      <w:rFonts w:cs="宋体"/>
      <w:sz w:val="18"/>
      <w:szCs w:val="18"/>
    </w:rPr>
  </w:style>
  <w:style w:type="paragraph" w:customStyle="1" w:styleId="327">
    <w:name w:val="xl68"/>
    <w:basedOn w:val="1"/>
    <w:qFormat/>
    <w:uiPriority w:val="0"/>
    <w:pPr>
      <w:widowControl/>
      <w:pBdr>
        <w:top w:val="single" w:color="auto" w:sz="4" w:space="0"/>
        <w:bottom w:val="single" w:color="auto" w:sz="4" w:space="0"/>
      </w:pBdr>
      <w:spacing w:before="100" w:beforeAutospacing="1" w:after="100" w:afterAutospacing="1"/>
      <w:jc w:val="left"/>
    </w:pPr>
    <w:rPr>
      <w:rFonts w:cs="宋体"/>
      <w:sz w:val="22"/>
      <w:szCs w:val="22"/>
    </w:rPr>
  </w:style>
  <w:style w:type="paragraph" w:customStyle="1" w:styleId="328">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sz w:val="20"/>
      <w:szCs w:val="20"/>
    </w:rPr>
  </w:style>
  <w:style w:type="paragraph" w:customStyle="1" w:styleId="329">
    <w:name w:val="xl116"/>
    <w:basedOn w:val="1"/>
    <w:qFormat/>
    <w:uiPriority w:val="0"/>
    <w:pPr>
      <w:widowControl/>
      <w:spacing w:before="100" w:beforeAutospacing="1" w:after="100" w:afterAutospacing="1"/>
      <w:jc w:val="left"/>
    </w:pPr>
    <w:rPr>
      <w:rFonts w:cs="宋体"/>
      <w:color w:val="000000"/>
      <w:sz w:val="18"/>
      <w:szCs w:val="18"/>
    </w:rPr>
  </w:style>
  <w:style w:type="paragraph" w:customStyle="1" w:styleId="330">
    <w:name w:val=" Char1"/>
    <w:basedOn w:val="1"/>
    <w:next w:val="1"/>
    <w:qFormat/>
    <w:uiPriority w:val="0"/>
    <w:pPr>
      <w:spacing w:line="240" w:lineRule="atLeast"/>
      <w:ind w:left="420" w:firstLine="420"/>
      <w:jc w:val="left"/>
    </w:pPr>
    <w:rPr>
      <w:szCs w:val="21"/>
    </w:rPr>
  </w:style>
  <w:style w:type="paragraph" w:customStyle="1" w:styleId="331">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332">
    <w:name w:val="xl186"/>
    <w:basedOn w:val="1"/>
    <w:qFormat/>
    <w:uiPriority w:val="0"/>
    <w:pPr>
      <w:widowControl/>
      <w:pBdr>
        <w:top w:val="single" w:color="auto" w:sz="4" w:space="0"/>
        <w:left w:val="single" w:color="auto" w:sz="4" w:space="0"/>
        <w:bottom w:val="single" w:color="auto" w:sz="4" w:space="0"/>
        <w:right w:val="single" w:color="auto" w:sz="4" w:space="0"/>
      </w:pBdr>
      <w:shd w:val="clear" w:color="000000" w:fill="FFCC00"/>
      <w:spacing w:before="100" w:beforeAutospacing="1" w:after="100" w:afterAutospacing="1"/>
      <w:jc w:val="center"/>
    </w:pPr>
    <w:rPr>
      <w:rFonts w:cs="宋体"/>
      <w:b w:val="0"/>
      <w:bCs/>
      <w:color w:val="000000"/>
      <w:sz w:val="18"/>
      <w:szCs w:val="18"/>
    </w:rPr>
  </w:style>
  <w:style w:type="paragraph" w:customStyle="1" w:styleId="333">
    <w:name w:val="Body Text 2"/>
    <w:basedOn w:val="1"/>
    <w:qFormat/>
    <w:uiPriority w:val="0"/>
    <w:pPr>
      <w:adjustRightInd w:val="0"/>
      <w:spacing w:line="300" w:lineRule="auto"/>
      <w:jc w:val="center"/>
      <w:textAlignment w:val="baseline"/>
    </w:pPr>
    <w:rPr>
      <w:sz w:val="24"/>
      <w:szCs w:val="20"/>
    </w:rPr>
  </w:style>
  <w:style w:type="paragraph" w:customStyle="1" w:styleId="334">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Arial Unicode MS" w:hAnsi="Arial Unicode MS" w:eastAsia="Arial Unicode MS" w:cs="Arial Unicode MS"/>
      <w:b w:val="0"/>
      <w:bCs/>
      <w:color w:val="000000"/>
      <w:sz w:val="20"/>
      <w:szCs w:val="20"/>
    </w:rPr>
  </w:style>
  <w:style w:type="paragraph" w:customStyle="1" w:styleId="335">
    <w:name w:val="标书（正文）"/>
    <w:basedOn w:val="1"/>
    <w:qFormat/>
    <w:uiPriority w:val="0"/>
    <w:pPr>
      <w:ind w:firstLine="560"/>
    </w:pPr>
    <w:rPr>
      <w:kern w:val="10"/>
      <w:sz w:val="28"/>
      <w:szCs w:val="28"/>
    </w:rPr>
  </w:style>
  <w:style w:type="paragraph" w:customStyle="1" w:styleId="336">
    <w:name w:val="项目内容"/>
    <w:basedOn w:val="1"/>
    <w:qFormat/>
    <w:uiPriority w:val="0"/>
    <w:pPr>
      <w:tabs>
        <w:tab w:val="left" w:pos="840"/>
      </w:tabs>
      <w:ind w:left="840" w:hanging="420"/>
    </w:pPr>
    <w:rPr>
      <w:sz w:val="24"/>
      <w:szCs w:val="20"/>
    </w:rPr>
  </w:style>
  <w:style w:type="paragraph" w:customStyle="1" w:styleId="337">
    <w:name w:val="表格中条目序号"/>
    <w:basedOn w:val="1"/>
    <w:qFormat/>
    <w:uiPriority w:val="0"/>
    <w:pPr>
      <w:spacing w:line="288" w:lineRule="auto"/>
      <w:jc w:val="center"/>
    </w:pPr>
    <w:rPr>
      <w:rFonts w:ascii="新宋体" w:hAnsi="新宋体" w:eastAsia="新宋体" w:cs="宋体"/>
      <w:sz w:val="24"/>
    </w:rPr>
  </w:style>
  <w:style w:type="paragraph" w:customStyle="1" w:styleId="338">
    <w:name w:val="标题 5 + 首行缩进:  2 字符"/>
    <w:basedOn w:val="7"/>
    <w:next w:val="29"/>
    <w:qFormat/>
    <w:uiPriority w:val="0"/>
    <w:pPr>
      <w:numPr>
        <w:ilvl w:val="4"/>
        <w:numId w:val="17"/>
      </w:numPr>
      <w:tabs>
        <w:tab w:val="left" w:pos="1560"/>
        <w:tab w:val="clear" w:pos="992"/>
        <w:tab w:val="clear" w:pos="1134"/>
      </w:tabs>
      <w:spacing w:beforeLines="50" w:afterLines="50"/>
      <w:ind w:left="3570" w:firstLine="482"/>
    </w:pPr>
    <w:rPr>
      <w:rFonts w:ascii="Calibri" w:hAnsi="Calibri"/>
      <w:color w:val="000000"/>
      <w:szCs w:val="20"/>
    </w:rPr>
  </w:style>
  <w:style w:type="paragraph" w:customStyle="1" w:styleId="339">
    <w:name w:val="xl164"/>
    <w:basedOn w:val="1"/>
    <w:qFormat/>
    <w:uiPriority w:val="0"/>
    <w:pPr>
      <w:widowControl/>
      <w:spacing w:before="100" w:beforeAutospacing="1" w:after="100" w:afterAutospacing="1"/>
      <w:jc w:val="left"/>
    </w:pPr>
    <w:rPr>
      <w:rFonts w:cs="宋体"/>
      <w:color w:val="000000"/>
      <w:sz w:val="18"/>
      <w:szCs w:val="18"/>
    </w:rPr>
  </w:style>
  <w:style w:type="paragraph" w:customStyle="1" w:styleId="340">
    <w:name w:val="默认段落字体 Para Char"/>
    <w:basedOn w:val="1"/>
    <w:qFormat/>
    <w:uiPriority w:val="0"/>
    <w:rPr>
      <w:rFonts w:ascii="Tahoma" w:hAnsi="Tahoma"/>
      <w:sz w:val="24"/>
      <w:szCs w:val="20"/>
    </w:rPr>
  </w:style>
  <w:style w:type="paragraph" w:customStyle="1" w:styleId="341">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sz w:val="20"/>
      <w:szCs w:val="20"/>
    </w:rPr>
  </w:style>
  <w:style w:type="paragraph" w:customStyle="1" w:styleId="342">
    <w:name w:val="xl1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宋体"/>
      <w:sz w:val="18"/>
      <w:szCs w:val="18"/>
    </w:rPr>
  </w:style>
  <w:style w:type="paragraph" w:customStyle="1" w:styleId="343">
    <w:name w:val="xl1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宋体"/>
      <w:color w:val="000000"/>
      <w:sz w:val="18"/>
      <w:szCs w:val="18"/>
    </w:rPr>
  </w:style>
  <w:style w:type="paragraph" w:customStyle="1" w:styleId="344">
    <w:name w:val="正文缩进1"/>
    <w:basedOn w:val="1"/>
    <w:next w:val="1"/>
    <w:qFormat/>
    <w:uiPriority w:val="0"/>
    <w:pPr>
      <w:widowControl/>
      <w:ind w:firstLine="420"/>
    </w:pPr>
    <w:rPr>
      <w:color w:val="000000"/>
      <w:szCs w:val="20"/>
    </w:rPr>
  </w:style>
  <w:style w:type="paragraph" w:customStyle="1" w:styleId="345">
    <w:name w:val="xl1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cs="宋体"/>
      <w:sz w:val="18"/>
      <w:szCs w:val="18"/>
    </w:rPr>
  </w:style>
  <w:style w:type="paragraph" w:customStyle="1" w:styleId="346">
    <w:name w:val="Char1"/>
    <w:basedOn w:val="1"/>
    <w:next w:val="1"/>
    <w:qFormat/>
    <w:uiPriority w:val="0"/>
    <w:pPr>
      <w:spacing w:line="240" w:lineRule="atLeast"/>
      <w:ind w:left="420" w:firstLine="420"/>
      <w:jc w:val="left"/>
    </w:pPr>
    <w:rPr>
      <w:szCs w:val="21"/>
    </w:rPr>
  </w:style>
  <w:style w:type="paragraph" w:customStyle="1" w:styleId="347">
    <w:name w:val="kerning2lochf13hichaf2db"/>
    <w:qFormat/>
    <w:uiPriority w:val="0"/>
    <w:pPr>
      <w:widowControl w:val="0"/>
      <w:autoSpaceDE w:val="0"/>
      <w:autoSpaceDN w:val="0"/>
      <w:adjustRightInd w:val="0"/>
      <w:jc w:val="both"/>
    </w:pPr>
    <w:rPr>
      <w:rFonts w:ascii="Times New Roman" w:hAnsi="Times New Roman" w:eastAsia="宋体" w:cs="Times New Roman"/>
      <w:sz w:val="21"/>
      <w:szCs w:val="21"/>
      <w:lang w:val="en-US" w:eastAsia="zh-CN" w:bidi="ar-SA"/>
    </w:rPr>
  </w:style>
  <w:style w:type="paragraph" w:customStyle="1" w:styleId="348">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20"/>
      <w:szCs w:val="20"/>
    </w:rPr>
  </w:style>
  <w:style w:type="paragraph" w:customStyle="1" w:styleId="349">
    <w:name w:val="xl1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宋体"/>
      <w:sz w:val="18"/>
      <w:szCs w:val="18"/>
    </w:rPr>
  </w:style>
  <w:style w:type="paragraph" w:customStyle="1" w:styleId="350">
    <w:name w:val="xl1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cs="宋体"/>
      <w:color w:val="000000"/>
      <w:sz w:val="18"/>
      <w:szCs w:val="18"/>
    </w:rPr>
  </w:style>
  <w:style w:type="paragraph" w:customStyle="1" w:styleId="351">
    <w:name w:val="No Spacing1"/>
    <w:qFormat/>
    <w:uiPriority w:val="0"/>
    <w:pPr>
      <w:widowControl w:val="0"/>
      <w:spacing w:line="300" w:lineRule="auto"/>
      <w:jc w:val="center"/>
    </w:pPr>
    <w:rPr>
      <w:rFonts w:ascii="宋体" w:hAnsi="宋体" w:eastAsia="宋体" w:cs="Times New Roman"/>
      <w:kern w:val="2"/>
      <w:sz w:val="24"/>
      <w:szCs w:val="21"/>
      <w:lang w:val="en-US" w:eastAsia="zh-CN" w:bidi="ar-SA"/>
    </w:rPr>
  </w:style>
  <w:style w:type="paragraph" w:customStyle="1" w:styleId="352">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cs="宋体"/>
      <w:sz w:val="18"/>
      <w:szCs w:val="18"/>
    </w:rPr>
  </w:style>
  <w:style w:type="paragraph" w:customStyle="1" w:styleId="353">
    <w:name w:val="正文段落"/>
    <w:basedOn w:val="1"/>
    <w:qFormat/>
    <w:uiPriority w:val="0"/>
    <w:pPr>
      <w:spacing w:line="300" w:lineRule="auto"/>
      <w:ind w:firstLine="510"/>
    </w:pPr>
    <w:rPr>
      <w:sz w:val="24"/>
      <w:szCs w:val="20"/>
    </w:rPr>
  </w:style>
  <w:style w:type="paragraph" w:customStyle="1" w:styleId="354">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宋体"/>
      <w:sz w:val="18"/>
      <w:szCs w:val="18"/>
    </w:rPr>
  </w:style>
  <w:style w:type="paragraph" w:customStyle="1" w:styleId="355">
    <w:name w:val="样式 样式 样式 标题 2 + 宋体 五号 非加粗 黑色 + 段前: 6 磅 段后: 0 磅 行距: 单倍行距 + 段前: 12..."/>
    <w:basedOn w:val="1"/>
    <w:qFormat/>
    <w:uiPriority w:val="0"/>
    <w:pPr>
      <w:keepNext/>
      <w:keepLines/>
      <w:numPr>
        <w:ilvl w:val="1"/>
        <w:numId w:val="18"/>
      </w:numPr>
      <w:adjustRightInd w:val="0"/>
      <w:spacing w:before="240"/>
      <w:jc w:val="left"/>
      <w:textAlignment w:val="baseline"/>
      <w:outlineLvl w:val="1"/>
    </w:pPr>
    <w:rPr>
      <w:rFonts w:cs="宋体"/>
      <w:color w:val="000000"/>
      <w:szCs w:val="20"/>
    </w:rPr>
  </w:style>
  <w:style w:type="paragraph" w:customStyle="1" w:styleId="356">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宋体"/>
      <w:color w:val="000000"/>
      <w:sz w:val="18"/>
      <w:szCs w:val="18"/>
    </w:rPr>
  </w:style>
  <w:style w:type="paragraph" w:customStyle="1" w:styleId="357">
    <w:name w:val="样式 行距: 固定值 25 磅 首行缩进:  2 字符"/>
    <w:basedOn w:val="1"/>
    <w:qFormat/>
    <w:uiPriority w:val="0"/>
    <w:pPr>
      <w:adjustRightInd w:val="0"/>
      <w:spacing w:line="500" w:lineRule="exact"/>
      <w:ind w:firstLine="560"/>
      <w:textAlignment w:val="baseline"/>
    </w:pPr>
    <w:rPr>
      <w:sz w:val="28"/>
      <w:szCs w:val="28"/>
    </w:rPr>
  </w:style>
  <w:style w:type="paragraph" w:customStyle="1" w:styleId="358">
    <w:name w:val="MM Topic 1"/>
    <w:basedOn w:val="3"/>
    <w:qFormat/>
    <w:uiPriority w:val="0"/>
    <w:pPr>
      <w:tabs>
        <w:tab w:val="left" w:pos="425"/>
        <w:tab w:val="clear" w:pos="709"/>
      </w:tabs>
    </w:pPr>
    <w:rPr>
      <w:bCs/>
      <w:color w:val="auto"/>
      <w:sz w:val="44"/>
    </w:rPr>
  </w:style>
  <w:style w:type="paragraph" w:customStyle="1" w:styleId="359">
    <w:name w:val="默认段落字体 Para Char Char Char Char"/>
    <w:basedOn w:val="1"/>
    <w:qFormat/>
    <w:uiPriority w:val="0"/>
  </w:style>
  <w:style w:type="paragraph" w:customStyle="1" w:styleId="360">
    <w:name w:val="xl163"/>
    <w:basedOn w:val="1"/>
    <w:qFormat/>
    <w:uiPriority w:val="0"/>
    <w:pPr>
      <w:widowControl/>
      <w:pBdr>
        <w:top w:val="single" w:color="auto" w:sz="4" w:space="0"/>
        <w:left w:val="single" w:color="auto" w:sz="4" w:space="0"/>
        <w:bottom w:val="single" w:color="auto" w:sz="4" w:space="0"/>
        <w:right w:val="single" w:color="auto" w:sz="4" w:space="0"/>
      </w:pBdr>
      <w:shd w:val="clear" w:color="000000" w:fill="00CCFF"/>
      <w:spacing w:before="100" w:beforeAutospacing="1" w:after="100" w:afterAutospacing="1"/>
      <w:jc w:val="center"/>
    </w:pPr>
    <w:rPr>
      <w:rFonts w:cs="宋体"/>
      <w:b w:val="0"/>
      <w:bCs/>
      <w:color w:val="000000"/>
      <w:sz w:val="18"/>
      <w:szCs w:val="18"/>
    </w:rPr>
  </w:style>
  <w:style w:type="paragraph" w:customStyle="1" w:styleId="361">
    <w:name w:val=" Char2 Char Char Char Char Char Char"/>
    <w:basedOn w:val="1"/>
    <w:qFormat/>
    <w:uiPriority w:val="0"/>
    <w:rPr>
      <w:rFonts w:ascii="仿宋_GB2312"/>
      <w:b w:val="0"/>
      <w:sz w:val="30"/>
      <w:szCs w:val="20"/>
    </w:rPr>
  </w:style>
  <w:style w:type="paragraph" w:customStyle="1" w:styleId="362">
    <w:name w:val=" Char Char Char Char Char Char Char Char Char"/>
    <w:basedOn w:val="1"/>
    <w:qFormat/>
    <w:uiPriority w:val="0"/>
    <w:pPr>
      <w:widowControl/>
      <w:spacing w:after="160" w:line="240" w:lineRule="exact"/>
      <w:jc w:val="left"/>
    </w:pPr>
    <w:rPr>
      <w:rFonts w:ascii="Verdana" w:hAnsi="Verdana" w:eastAsia="仿宋_GB2312"/>
      <w:sz w:val="24"/>
      <w:szCs w:val="20"/>
      <w:lang w:eastAsia="en-US"/>
    </w:rPr>
  </w:style>
  <w:style w:type="paragraph" w:customStyle="1" w:styleId="363">
    <w:name w:val=" Char Char1 Char Char Char Char Char Char"/>
    <w:basedOn w:val="1"/>
    <w:qFormat/>
    <w:uiPriority w:val="0"/>
    <w:pPr>
      <w:widowControl/>
      <w:spacing w:after="160" w:line="240" w:lineRule="exact"/>
      <w:jc w:val="left"/>
    </w:pPr>
    <w:rPr>
      <w:rFonts w:ascii="Verdana" w:hAnsi="Verdana" w:eastAsia="仿宋_GB2312"/>
      <w:sz w:val="24"/>
      <w:szCs w:val="20"/>
      <w:lang w:eastAsia="en-US"/>
    </w:rPr>
  </w:style>
  <w:style w:type="paragraph" w:customStyle="1" w:styleId="36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65">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b w:val="0"/>
      <w:bCs/>
      <w:color w:val="000000"/>
      <w:sz w:val="20"/>
      <w:szCs w:val="20"/>
    </w:rPr>
  </w:style>
  <w:style w:type="paragraph" w:customStyle="1" w:styleId="366">
    <w:name w:val="xl1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宋体"/>
      <w:sz w:val="18"/>
      <w:szCs w:val="18"/>
    </w:rPr>
  </w:style>
  <w:style w:type="paragraph" w:customStyle="1" w:styleId="367">
    <w:name w:val="xl114"/>
    <w:basedOn w:val="1"/>
    <w:qFormat/>
    <w:uiPriority w:val="0"/>
    <w:pPr>
      <w:widowControl/>
      <w:pBdr>
        <w:top w:val="single" w:color="auto" w:sz="4" w:space="0"/>
        <w:left w:val="single" w:color="auto" w:sz="4" w:space="0"/>
        <w:bottom w:val="single" w:color="auto" w:sz="4" w:space="0"/>
        <w:right w:val="single" w:color="auto" w:sz="4" w:space="0"/>
      </w:pBdr>
      <w:shd w:val="clear" w:color="000000" w:fill="00CCFF"/>
      <w:spacing w:before="100" w:beforeAutospacing="1" w:after="100" w:afterAutospacing="1"/>
      <w:jc w:val="center"/>
    </w:pPr>
    <w:rPr>
      <w:rFonts w:cs="宋体"/>
      <w:b w:val="0"/>
      <w:bCs/>
      <w:color w:val="000000"/>
      <w:sz w:val="18"/>
      <w:szCs w:val="18"/>
    </w:rPr>
  </w:style>
  <w:style w:type="paragraph" w:customStyle="1" w:styleId="368">
    <w:name w:val="xl1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cs="宋体"/>
      <w:sz w:val="18"/>
      <w:szCs w:val="18"/>
    </w:rPr>
  </w:style>
  <w:style w:type="paragraph" w:customStyle="1" w:styleId="369">
    <w:name w:val="MM Topic 9"/>
    <w:basedOn w:val="11"/>
    <w:qFormat/>
    <w:uiPriority w:val="0"/>
    <w:pPr>
      <w:tabs>
        <w:tab w:val="left" w:pos="5102"/>
      </w:tabs>
      <w:spacing w:line="319" w:lineRule="auto"/>
    </w:pPr>
  </w:style>
  <w:style w:type="paragraph" w:customStyle="1" w:styleId="370">
    <w:name w:val="xl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cs="宋体"/>
      <w:sz w:val="18"/>
      <w:szCs w:val="18"/>
    </w:rPr>
  </w:style>
  <w:style w:type="paragraph" w:customStyle="1" w:styleId="371">
    <w:name w:val="列出段落1"/>
    <w:basedOn w:val="1"/>
    <w:qFormat/>
    <w:uiPriority w:val="34"/>
    <w:pPr>
      <w:ind w:firstLine="420"/>
    </w:pPr>
    <w:rPr>
      <w:rFonts w:ascii="Calibri" w:hAnsi="Calibri"/>
      <w:szCs w:val="22"/>
    </w:rPr>
  </w:style>
  <w:style w:type="paragraph" w:customStyle="1" w:styleId="372">
    <w:name w:val="xl171"/>
    <w:basedOn w:val="1"/>
    <w:qFormat/>
    <w:uiPriority w:val="0"/>
    <w:pPr>
      <w:widowControl/>
      <w:pBdr>
        <w:top w:val="single" w:color="auto" w:sz="4" w:space="0"/>
        <w:left w:val="single" w:color="auto" w:sz="4" w:space="0"/>
        <w:bottom w:val="single" w:color="auto" w:sz="4" w:space="0"/>
        <w:right w:val="single" w:color="auto" w:sz="4" w:space="0"/>
      </w:pBdr>
      <w:shd w:val="clear" w:color="000000" w:fill="00CCFF"/>
      <w:spacing w:before="100" w:beforeAutospacing="1" w:after="100" w:afterAutospacing="1"/>
      <w:jc w:val="center"/>
    </w:pPr>
    <w:rPr>
      <w:rFonts w:cs="宋体"/>
      <w:b w:val="0"/>
      <w:bCs/>
      <w:color w:val="000000"/>
      <w:sz w:val="18"/>
      <w:szCs w:val="18"/>
    </w:rPr>
  </w:style>
  <w:style w:type="paragraph" w:customStyle="1" w:styleId="373">
    <w:name w:val="xl184"/>
    <w:basedOn w:val="1"/>
    <w:qFormat/>
    <w:uiPriority w:val="0"/>
    <w:pPr>
      <w:widowControl/>
      <w:pBdr>
        <w:top w:val="single" w:color="auto" w:sz="4" w:space="0"/>
        <w:left w:val="single" w:color="auto" w:sz="4" w:space="0"/>
        <w:bottom w:val="single" w:color="auto" w:sz="4" w:space="0"/>
        <w:right w:val="single" w:color="auto" w:sz="4" w:space="0"/>
      </w:pBdr>
      <w:shd w:val="clear" w:color="000000" w:fill="FFCC00"/>
      <w:spacing w:before="100" w:beforeAutospacing="1" w:after="100" w:afterAutospacing="1"/>
      <w:jc w:val="center"/>
    </w:pPr>
    <w:rPr>
      <w:rFonts w:cs="宋体"/>
      <w:b w:val="0"/>
      <w:bCs/>
      <w:color w:val="000000"/>
      <w:sz w:val="18"/>
      <w:szCs w:val="18"/>
    </w:rPr>
  </w:style>
  <w:style w:type="paragraph" w:customStyle="1" w:styleId="374">
    <w:name w:val="xl4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b w:val="0"/>
      <w:bCs/>
      <w:color w:val="000000"/>
      <w:sz w:val="20"/>
      <w:szCs w:val="20"/>
    </w:rPr>
  </w:style>
  <w:style w:type="paragraph" w:customStyle="1" w:styleId="375">
    <w:name w:val="样式 宋体 小四 行距: 1.5 倍行距"/>
    <w:basedOn w:val="1"/>
    <w:qFormat/>
    <w:uiPriority w:val="0"/>
    <w:pPr>
      <w:tabs>
        <w:tab w:val="left" w:pos="5190"/>
      </w:tabs>
      <w:spacing w:before="100" w:beforeAutospacing="1" w:after="100" w:afterAutospacing="1" w:line="288" w:lineRule="auto"/>
      <w:ind w:firstLine="480"/>
    </w:pPr>
    <w:rPr>
      <w:bCs/>
      <w:sz w:val="24"/>
    </w:rPr>
  </w:style>
  <w:style w:type="paragraph" w:customStyle="1" w:styleId="376">
    <w:name w:val="样式 标题 4 + 宋体"/>
    <w:basedOn w:val="6"/>
    <w:qFormat/>
    <w:uiPriority w:val="0"/>
    <w:pPr>
      <w:numPr>
        <w:numId w:val="0"/>
      </w:numPr>
      <w:tabs>
        <w:tab w:val="left" w:pos="851"/>
      </w:tabs>
      <w:spacing w:line="360" w:lineRule="auto"/>
      <w:ind w:right="240" w:rightChars="100"/>
    </w:pPr>
  </w:style>
  <w:style w:type="paragraph" w:customStyle="1" w:styleId="377">
    <w:name w:val=" Char2 Char Char Char"/>
    <w:basedOn w:val="1"/>
    <w:qFormat/>
    <w:uiPriority w:val="0"/>
    <w:rPr>
      <w:rFonts w:ascii="仿宋_GB2312"/>
      <w:b w:val="0"/>
      <w:sz w:val="30"/>
      <w:szCs w:val="20"/>
    </w:rPr>
  </w:style>
  <w:style w:type="paragraph" w:customStyle="1" w:styleId="378">
    <w:name w:val="xl1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cs="宋体"/>
      <w:color w:val="000000"/>
      <w:sz w:val="18"/>
      <w:szCs w:val="18"/>
    </w:rPr>
  </w:style>
  <w:style w:type="paragraph" w:customStyle="1" w:styleId="379">
    <w:name w:val="正文序号 1"/>
    <w:basedOn w:val="1"/>
    <w:qFormat/>
    <w:uiPriority w:val="0"/>
    <w:pPr>
      <w:tabs>
        <w:tab w:val="left" w:pos="360"/>
        <w:tab w:val="left" w:pos="839"/>
      </w:tabs>
      <w:spacing w:before="60"/>
      <w:ind w:left="360" w:hanging="360"/>
    </w:pPr>
    <w:rPr>
      <w:szCs w:val="20"/>
    </w:rPr>
  </w:style>
  <w:style w:type="paragraph" w:customStyle="1" w:styleId="380">
    <w:name w:val="样式2"/>
    <w:basedOn w:val="1"/>
    <w:qFormat/>
    <w:uiPriority w:val="0"/>
    <w:pPr>
      <w:adjustRightInd w:val="0"/>
      <w:spacing w:line="410" w:lineRule="atLeast"/>
      <w:textAlignment w:val="baseline"/>
    </w:pPr>
    <w:rPr>
      <w:sz w:val="24"/>
      <w:szCs w:val="20"/>
    </w:rPr>
  </w:style>
  <w:style w:type="paragraph" w:customStyle="1" w:styleId="381">
    <w:name w:val="xl136"/>
    <w:basedOn w:val="1"/>
    <w:qFormat/>
    <w:uiPriority w:val="0"/>
    <w:pPr>
      <w:widowControl/>
      <w:spacing w:before="100" w:beforeAutospacing="1" w:after="100" w:afterAutospacing="1"/>
      <w:jc w:val="left"/>
    </w:pPr>
    <w:rPr>
      <w:rFonts w:cs="宋体"/>
      <w:color w:val="000000"/>
      <w:sz w:val="18"/>
      <w:szCs w:val="18"/>
    </w:rPr>
  </w:style>
  <w:style w:type="paragraph" w:customStyle="1" w:styleId="382">
    <w:name w:val="样式 楷体_GB2312 小四 行距: 1.5 倍行距"/>
    <w:basedOn w:val="1"/>
    <w:qFormat/>
    <w:uiPriority w:val="0"/>
    <w:pPr>
      <w:ind w:firstLine="200"/>
    </w:pPr>
    <w:rPr>
      <w:rFonts w:ascii="楷体_GB2312" w:eastAsia="楷体_GB2312" w:cs="宋体"/>
      <w:sz w:val="24"/>
      <w:szCs w:val="20"/>
    </w:rPr>
  </w:style>
  <w:style w:type="paragraph" w:customStyle="1" w:styleId="383">
    <w:name w:val="附录标识"/>
    <w:basedOn w:val="1"/>
    <w:qFormat/>
    <w:uiPriority w:val="0"/>
    <w:pPr>
      <w:widowControl/>
      <w:numPr>
        <w:ilvl w:val="0"/>
        <w:numId w:val="14"/>
      </w:numPr>
      <w:shd w:val="clear" w:color="FFFFFF" w:fill="FFFFFF"/>
      <w:tabs>
        <w:tab w:val="left" w:pos="6405"/>
      </w:tabs>
      <w:spacing w:before="640" w:after="200"/>
      <w:jc w:val="center"/>
      <w:outlineLvl w:val="0"/>
    </w:pPr>
    <w:rPr>
      <w:rFonts w:ascii="黑体" w:eastAsia="黑体"/>
      <w:szCs w:val="20"/>
    </w:rPr>
  </w:style>
  <w:style w:type="paragraph" w:customStyle="1" w:styleId="384">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color w:val="000000"/>
      <w:sz w:val="20"/>
      <w:szCs w:val="20"/>
    </w:rPr>
  </w:style>
  <w:style w:type="paragraph" w:customStyle="1" w:styleId="385">
    <w:name w:val="默认段落字体 Para Char Char Char Char Char Char Char Char Char1 Char Char Char Char"/>
    <w:basedOn w:val="1"/>
    <w:qFormat/>
    <w:uiPriority w:val="0"/>
    <w:rPr>
      <w:rFonts w:ascii="Tahoma" w:hAnsi="Tahoma"/>
      <w:sz w:val="24"/>
      <w:szCs w:val="20"/>
    </w:rPr>
  </w:style>
  <w:style w:type="paragraph" w:customStyle="1" w:styleId="386">
    <w:name w:val="表格(五号)"/>
    <w:basedOn w:val="1"/>
    <w:qFormat/>
    <w:uiPriority w:val="0"/>
    <w:pPr>
      <w:adjustRightInd w:val="0"/>
      <w:spacing w:before="60" w:after="60"/>
      <w:ind w:left="11"/>
      <w:jc w:val="center"/>
    </w:pPr>
    <w:rPr>
      <w:szCs w:val="21"/>
      <w:lang w:val="en-US" w:eastAsia="zh-CN"/>
    </w:rPr>
  </w:style>
  <w:style w:type="paragraph" w:customStyle="1" w:styleId="387">
    <w:name w:val="xl43"/>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Arial Unicode MS" w:hAnsi="Arial Unicode MS" w:eastAsia="Arial Unicode MS" w:cs="Arial Unicode MS"/>
      <w:color w:val="000000"/>
      <w:sz w:val="20"/>
      <w:szCs w:val="20"/>
    </w:rPr>
  </w:style>
  <w:style w:type="paragraph" w:customStyle="1" w:styleId="388">
    <w:name w:val="标题样式"/>
    <w:basedOn w:val="1"/>
    <w:qFormat/>
    <w:uiPriority w:val="0"/>
    <w:pPr>
      <w:tabs>
        <w:tab w:val="left" w:pos="420"/>
      </w:tabs>
    </w:pPr>
    <w:rPr>
      <w:sz w:val="24"/>
      <w:szCs w:val="20"/>
      <w:lang w:val="en-US" w:eastAsia="zh-CN"/>
    </w:rPr>
  </w:style>
  <w:style w:type="paragraph" w:customStyle="1" w:styleId="389">
    <w:name w:val="xl1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cs="宋体"/>
      <w:color w:val="000000"/>
      <w:sz w:val="18"/>
      <w:szCs w:val="18"/>
    </w:rPr>
  </w:style>
  <w:style w:type="paragraph" w:customStyle="1" w:styleId="390">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cs="宋体"/>
      <w:sz w:val="18"/>
      <w:szCs w:val="18"/>
    </w:rPr>
  </w:style>
  <w:style w:type="paragraph" w:customStyle="1" w:styleId="391">
    <w:name w:val="xl87"/>
    <w:basedOn w:val="1"/>
    <w:qFormat/>
    <w:uiPriority w:val="0"/>
    <w:pPr>
      <w:widowControl/>
      <w:spacing w:before="100" w:beforeAutospacing="1" w:after="100" w:afterAutospacing="1"/>
      <w:jc w:val="left"/>
    </w:pPr>
    <w:rPr>
      <w:rFonts w:cs="宋体"/>
      <w:sz w:val="18"/>
      <w:szCs w:val="18"/>
    </w:rPr>
  </w:style>
  <w:style w:type="paragraph" w:customStyle="1" w:styleId="392">
    <w:name w:val=" Char2"/>
    <w:basedOn w:val="23"/>
    <w:qFormat/>
    <w:uiPriority w:val="0"/>
    <w:pPr>
      <w:shd w:val="clear" w:color="auto" w:fill="000080"/>
    </w:pPr>
    <w:rPr>
      <w:rFonts w:ascii="Tahoma" w:hAnsi="Tahoma"/>
      <w:sz w:val="24"/>
      <w:szCs w:val="24"/>
      <w:lang w:val="en-US"/>
    </w:rPr>
  </w:style>
  <w:style w:type="paragraph" w:customStyle="1" w:styleId="393">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color w:val="000000"/>
      <w:sz w:val="20"/>
      <w:szCs w:val="20"/>
    </w:rPr>
  </w:style>
  <w:style w:type="paragraph" w:customStyle="1" w:styleId="394">
    <w:name w:val="图"/>
    <w:basedOn w:val="1"/>
    <w:next w:val="395"/>
    <w:qFormat/>
    <w:uiPriority w:val="0"/>
    <w:pPr>
      <w:jc w:val="center"/>
    </w:pPr>
    <w:rPr>
      <w:sz w:val="24"/>
      <w:lang w:val="en-US" w:eastAsia="zh-CN"/>
    </w:rPr>
  </w:style>
  <w:style w:type="paragraph" w:customStyle="1" w:styleId="395">
    <w:name w:val="图题"/>
    <w:basedOn w:val="394"/>
    <w:next w:val="19"/>
    <w:qFormat/>
    <w:uiPriority w:val="0"/>
    <w:pPr>
      <w:outlineLvl w:val="5"/>
    </w:pPr>
    <w:rPr>
      <w:sz w:val="21"/>
    </w:rPr>
  </w:style>
  <w:style w:type="paragraph" w:customStyle="1" w:styleId="396">
    <w:name w:val="Item List"/>
    <w:qFormat/>
    <w:uiPriority w:val="0"/>
    <w:pPr>
      <w:widowControl w:val="0"/>
      <w:adjustRightInd w:val="0"/>
      <w:spacing w:line="360" w:lineRule="auto"/>
      <w:jc w:val="both"/>
      <w:textAlignment w:val="baseline"/>
    </w:pPr>
    <w:rPr>
      <w:rFonts w:ascii="Times New Roman" w:hAnsi="Times New Roman" w:eastAsia="宋体" w:cs="Times New Roman"/>
      <w:kern w:val="2"/>
      <w:sz w:val="24"/>
      <w:lang w:val="en-US" w:eastAsia="zh-CN" w:bidi="ar-SA"/>
    </w:rPr>
  </w:style>
  <w:style w:type="paragraph" w:customStyle="1" w:styleId="397">
    <w:name w:val="xl1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cs="宋体"/>
      <w:color w:val="000000"/>
      <w:sz w:val="18"/>
      <w:szCs w:val="18"/>
    </w:rPr>
  </w:style>
  <w:style w:type="paragraph" w:customStyle="1" w:styleId="398">
    <w:name w:val=" Char"/>
    <w:basedOn w:val="1"/>
    <w:next w:val="1"/>
    <w:qFormat/>
    <w:uiPriority w:val="0"/>
    <w:pPr>
      <w:spacing w:line="240" w:lineRule="atLeast"/>
      <w:ind w:left="420" w:firstLine="420"/>
      <w:jc w:val="left"/>
    </w:pPr>
    <w:rPr>
      <w:szCs w:val="21"/>
    </w:rPr>
  </w:style>
  <w:style w:type="paragraph" w:customStyle="1" w:styleId="399">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宋体"/>
      <w:color w:val="000000"/>
      <w:sz w:val="18"/>
      <w:szCs w:val="18"/>
    </w:rPr>
  </w:style>
  <w:style w:type="paragraph" w:customStyle="1" w:styleId="400">
    <w:name w:val="样式 样式 样式 样式 行距: 1.5 倍行距 首行缩进:  2 字符 + 首行缩进:  2 字符 + 左侧:  17 字符 首..."/>
    <w:basedOn w:val="1"/>
    <w:qFormat/>
    <w:uiPriority w:val="0"/>
    <w:pPr>
      <w:widowControl/>
      <w:tabs>
        <w:tab w:val="left" w:pos="1050"/>
        <w:tab w:val="left" w:pos="2100"/>
      </w:tabs>
      <w:ind w:left="700" w:leftChars="700" w:firstLine="200"/>
      <w:jc w:val="left"/>
    </w:pPr>
    <w:rPr>
      <w:rFonts w:ascii="Calibri" w:hAnsi="Calibri"/>
      <w:sz w:val="24"/>
      <w:szCs w:val="20"/>
    </w:rPr>
  </w:style>
  <w:style w:type="paragraph" w:customStyle="1" w:styleId="401">
    <w:name w:val="font6"/>
    <w:basedOn w:val="1"/>
    <w:qFormat/>
    <w:uiPriority w:val="0"/>
    <w:pPr>
      <w:widowControl/>
      <w:spacing w:before="100" w:beforeAutospacing="1" w:after="100" w:afterAutospacing="1"/>
      <w:jc w:val="left"/>
    </w:pPr>
    <w:rPr>
      <w:rFonts w:cs="宋体"/>
      <w:sz w:val="18"/>
      <w:szCs w:val="18"/>
    </w:rPr>
  </w:style>
  <w:style w:type="paragraph" w:customStyle="1" w:styleId="402">
    <w:name w:val="xl135"/>
    <w:basedOn w:val="1"/>
    <w:qFormat/>
    <w:uiPriority w:val="0"/>
    <w:pPr>
      <w:widowControl/>
      <w:pBdr>
        <w:left w:val="single" w:color="auto" w:sz="4" w:space="0"/>
      </w:pBdr>
      <w:spacing w:before="100" w:beforeAutospacing="1" w:after="100" w:afterAutospacing="1"/>
      <w:jc w:val="left"/>
    </w:pPr>
    <w:rPr>
      <w:rFonts w:cs="宋体"/>
      <w:color w:val="000000"/>
      <w:sz w:val="18"/>
      <w:szCs w:val="18"/>
    </w:rPr>
  </w:style>
  <w:style w:type="paragraph" w:customStyle="1" w:styleId="403">
    <w:name w:val="xl95"/>
    <w:basedOn w:val="1"/>
    <w:qFormat/>
    <w:uiPriority w:val="0"/>
    <w:pPr>
      <w:widowControl/>
      <w:spacing w:before="100" w:beforeAutospacing="1" w:after="100" w:afterAutospacing="1"/>
      <w:jc w:val="left"/>
    </w:pPr>
    <w:rPr>
      <w:rFonts w:cs="宋体"/>
      <w:color w:val="000000"/>
      <w:sz w:val="18"/>
      <w:szCs w:val="18"/>
    </w:rPr>
  </w:style>
  <w:style w:type="paragraph" w:customStyle="1" w:styleId="404">
    <w:name w:val="Normal"/>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405">
    <w:name w:val="xl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cs="宋体"/>
      <w:color w:val="000000"/>
      <w:sz w:val="18"/>
      <w:szCs w:val="18"/>
    </w:rPr>
  </w:style>
  <w:style w:type="paragraph" w:customStyle="1" w:styleId="406">
    <w:name w:val="xl35"/>
    <w:basedOn w:val="1"/>
    <w:qFormat/>
    <w:uiPriority w:val="0"/>
    <w:pPr>
      <w:widowControl/>
      <w:spacing w:before="100" w:beforeAutospacing="1" w:after="100" w:afterAutospacing="1"/>
      <w:jc w:val="left"/>
    </w:pPr>
    <w:rPr>
      <w:rFonts w:ascii="Arial Unicode MS" w:hAnsi="Arial Unicode MS" w:eastAsia="Arial Unicode MS" w:cs="Arial Unicode MS"/>
      <w:color w:val="000000"/>
      <w:sz w:val="20"/>
      <w:szCs w:val="20"/>
    </w:rPr>
  </w:style>
  <w:style w:type="paragraph" w:customStyle="1" w:styleId="407">
    <w:name w:val="Revision"/>
    <w:qFormat/>
    <w:uiPriority w:val="99"/>
    <w:rPr>
      <w:rFonts w:ascii="Times New Roman" w:hAnsi="Times New Roman" w:eastAsia="宋体" w:cs="Times New Roman"/>
      <w:kern w:val="2"/>
      <w:sz w:val="21"/>
      <w:lang w:val="en-US" w:eastAsia="zh-CN" w:bidi="ar-SA"/>
    </w:rPr>
  </w:style>
  <w:style w:type="paragraph" w:customStyle="1" w:styleId="408">
    <w:name w:val="标题 2 + 楷体_GB2312"/>
    <w:basedOn w:val="4"/>
    <w:qFormat/>
    <w:uiPriority w:val="0"/>
    <w:pPr>
      <w:numPr>
        <w:ilvl w:val="1"/>
        <w:numId w:val="19"/>
      </w:numPr>
      <w:tabs>
        <w:tab w:val="left" w:pos="576"/>
        <w:tab w:val="clear" w:pos="567"/>
      </w:tabs>
      <w:spacing w:before="0" w:after="0"/>
      <w:jc w:val="both"/>
    </w:pPr>
    <w:rPr>
      <w:rFonts w:ascii="楷体_GB2312" w:eastAsia="楷体_GB2312"/>
      <w:b/>
      <w:bCs w:val="0"/>
      <w:i/>
      <w:sz w:val="24"/>
      <w:szCs w:val="20"/>
    </w:rPr>
  </w:style>
  <w:style w:type="paragraph" w:customStyle="1" w:styleId="409">
    <w:name w:val="xl1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cs="宋体"/>
      <w:sz w:val="18"/>
      <w:szCs w:val="18"/>
    </w:rPr>
  </w:style>
  <w:style w:type="paragraph" w:customStyle="1" w:styleId="410">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color w:val="000000"/>
      <w:sz w:val="22"/>
      <w:szCs w:val="22"/>
    </w:rPr>
  </w:style>
  <w:style w:type="paragraph" w:customStyle="1" w:styleId="411">
    <w:name w:val="MM Topic 8"/>
    <w:basedOn w:val="10"/>
    <w:next w:val="211"/>
    <w:qFormat/>
    <w:uiPriority w:val="0"/>
    <w:pPr>
      <w:tabs>
        <w:tab w:val="left" w:pos="4394"/>
      </w:tabs>
    </w:pPr>
    <w:rPr>
      <w:rFonts w:ascii="Arial" w:hAnsi="Arial" w:eastAsia="黑体"/>
    </w:rPr>
  </w:style>
  <w:style w:type="paragraph" w:customStyle="1" w:styleId="412">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Unicode MS" w:hAnsi="Arial Unicode MS" w:eastAsia="Arial Unicode MS" w:cs="Arial Unicode MS"/>
      <w:b w:val="0"/>
      <w:bCs/>
      <w:color w:val="000000"/>
      <w:sz w:val="16"/>
      <w:szCs w:val="16"/>
    </w:rPr>
  </w:style>
  <w:style w:type="paragraph" w:customStyle="1" w:styleId="413">
    <w:name w:val="xl1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宋体"/>
      <w:color w:val="000000"/>
      <w:sz w:val="18"/>
      <w:szCs w:val="18"/>
    </w:rPr>
  </w:style>
  <w:style w:type="paragraph" w:customStyle="1" w:styleId="414">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cs="宋体"/>
      <w:color w:val="000000"/>
      <w:sz w:val="18"/>
      <w:szCs w:val="18"/>
    </w:rPr>
  </w:style>
  <w:style w:type="paragraph" w:customStyle="1" w:styleId="415">
    <w:name w:val="条目正文"/>
    <w:basedOn w:val="1"/>
    <w:qFormat/>
    <w:uiPriority w:val="0"/>
    <w:pPr>
      <w:tabs>
        <w:tab w:val="left" w:pos="1050"/>
      </w:tabs>
      <w:spacing w:after="120"/>
      <w:ind w:left="1050" w:hanging="450"/>
    </w:pPr>
    <w:rPr>
      <w:rFonts w:hAnsi="Arial" w:cs="Arial"/>
      <w:sz w:val="24"/>
      <w:szCs w:val="20"/>
      <w:lang w:val="en-US" w:eastAsia="zh-CN"/>
    </w:rPr>
  </w:style>
  <w:style w:type="paragraph" w:customStyle="1" w:styleId="416">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cs="宋体"/>
      <w:sz w:val="18"/>
      <w:szCs w:val="18"/>
    </w:rPr>
  </w:style>
  <w:style w:type="paragraph" w:customStyle="1" w:styleId="417">
    <w:name w:val="xl1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cs="宋体"/>
      <w:sz w:val="18"/>
      <w:szCs w:val="18"/>
    </w:rPr>
  </w:style>
  <w:style w:type="paragraph" w:customStyle="1" w:styleId="418">
    <w:name w:val="xl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cs="宋体"/>
      <w:sz w:val="18"/>
      <w:szCs w:val="18"/>
    </w:rPr>
  </w:style>
  <w:style w:type="paragraph" w:customStyle="1" w:styleId="419">
    <w:name w:val="Char"/>
    <w:basedOn w:val="1"/>
    <w:next w:val="1"/>
    <w:qFormat/>
    <w:uiPriority w:val="0"/>
    <w:pPr>
      <w:spacing w:line="240" w:lineRule="atLeast"/>
      <w:ind w:left="420" w:firstLine="420"/>
      <w:jc w:val="left"/>
    </w:pPr>
    <w:rPr>
      <w:szCs w:val="21"/>
    </w:rPr>
  </w:style>
  <w:style w:type="paragraph" w:customStyle="1" w:styleId="420">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sz w:val="20"/>
      <w:szCs w:val="20"/>
    </w:rPr>
  </w:style>
  <w:style w:type="paragraph" w:customStyle="1" w:styleId="421">
    <w:name w:val="样式 标题 5 + 倾斜"/>
    <w:basedOn w:val="7"/>
    <w:qFormat/>
    <w:uiPriority w:val="0"/>
    <w:pPr>
      <w:widowControl/>
      <w:tabs>
        <w:tab w:val="left" w:pos="1560"/>
        <w:tab w:val="clear" w:pos="992"/>
        <w:tab w:val="clear" w:pos="1134"/>
      </w:tabs>
      <w:overflowPunct w:val="0"/>
      <w:autoSpaceDE w:val="0"/>
      <w:autoSpaceDN w:val="0"/>
      <w:adjustRightInd w:val="0"/>
      <w:spacing w:before="100" w:beforeAutospacing="1" w:after="100" w:afterAutospacing="1" w:line="288" w:lineRule="auto"/>
      <w:ind w:left="0" w:firstLine="0"/>
      <w:jc w:val="left"/>
    </w:pPr>
    <w:rPr>
      <w:rFonts w:ascii="Arial" w:hAnsi="Arial"/>
      <w:bCs w:val="0"/>
      <w:iCs/>
      <w:color w:val="000000"/>
    </w:rPr>
  </w:style>
  <w:style w:type="paragraph" w:customStyle="1" w:styleId="422">
    <w:name w:val="font10"/>
    <w:basedOn w:val="1"/>
    <w:qFormat/>
    <w:uiPriority w:val="0"/>
    <w:pPr>
      <w:widowControl/>
      <w:spacing w:before="100" w:beforeAutospacing="1" w:after="100" w:afterAutospacing="1"/>
      <w:jc w:val="left"/>
    </w:pPr>
    <w:rPr>
      <w:rFonts w:ascii="Arial" w:hAnsi="Arial" w:cs="Arial"/>
      <w:b w:val="0"/>
      <w:bCs/>
      <w:sz w:val="20"/>
      <w:szCs w:val="20"/>
    </w:rPr>
  </w:style>
  <w:style w:type="paragraph" w:customStyle="1" w:styleId="423">
    <w:name w:val="xl153"/>
    <w:basedOn w:val="1"/>
    <w:qFormat/>
    <w:uiPriority w:val="0"/>
    <w:pPr>
      <w:widowControl/>
      <w:spacing w:before="100" w:beforeAutospacing="1" w:after="100" w:afterAutospacing="1"/>
      <w:jc w:val="left"/>
    </w:pPr>
    <w:rPr>
      <w:rFonts w:cs="宋体"/>
      <w:color w:val="000000"/>
      <w:sz w:val="18"/>
      <w:szCs w:val="18"/>
    </w:rPr>
  </w:style>
  <w:style w:type="paragraph" w:customStyle="1" w:styleId="424">
    <w:name w:val="xl1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宋体"/>
      <w:color w:val="000000"/>
      <w:sz w:val="18"/>
      <w:szCs w:val="18"/>
    </w:rPr>
  </w:style>
  <w:style w:type="paragraph" w:customStyle="1" w:styleId="425">
    <w:name w:val="xl151"/>
    <w:basedOn w:val="1"/>
    <w:qFormat/>
    <w:uiPriority w:val="0"/>
    <w:pPr>
      <w:widowControl/>
      <w:pBdr>
        <w:top w:val="single" w:color="auto" w:sz="4" w:space="0"/>
        <w:left w:val="single" w:color="auto" w:sz="4" w:space="0"/>
        <w:bottom w:val="single" w:color="auto" w:sz="4" w:space="0"/>
        <w:right w:val="single" w:color="auto" w:sz="4" w:space="0"/>
      </w:pBdr>
      <w:shd w:val="clear" w:color="000000" w:fill="00CCFF"/>
      <w:spacing w:before="100" w:beforeAutospacing="1" w:after="100" w:afterAutospacing="1"/>
      <w:jc w:val="center"/>
    </w:pPr>
    <w:rPr>
      <w:rFonts w:cs="宋体"/>
      <w:b w:val="0"/>
      <w:bCs/>
      <w:color w:val="000000"/>
      <w:sz w:val="18"/>
      <w:szCs w:val="18"/>
    </w:rPr>
  </w:style>
  <w:style w:type="paragraph" w:customStyle="1" w:styleId="426">
    <w:name w:val="xl1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宋体"/>
      <w:sz w:val="18"/>
      <w:szCs w:val="18"/>
    </w:rPr>
  </w:style>
  <w:style w:type="paragraph" w:customStyle="1" w:styleId="427">
    <w:name w:val="1 Char"/>
    <w:basedOn w:val="1"/>
    <w:qFormat/>
    <w:uiPriority w:val="0"/>
    <w:pPr>
      <w:widowControl/>
      <w:spacing w:after="160" w:line="240" w:lineRule="exact"/>
      <w:jc w:val="left"/>
    </w:pPr>
    <w:rPr>
      <w:rFonts w:ascii="Tahoma" w:hAnsi="Tahoma" w:eastAsia="Times New Roman"/>
      <w:sz w:val="24"/>
      <w:lang w:eastAsia="en-US"/>
    </w:rPr>
  </w:style>
  <w:style w:type="paragraph" w:customStyle="1" w:styleId="428">
    <w:name w:val="正文序号 3"/>
    <w:basedOn w:val="1"/>
    <w:qFormat/>
    <w:uiPriority w:val="0"/>
    <w:pPr>
      <w:tabs>
        <w:tab w:val="left" w:pos="1259"/>
      </w:tabs>
      <w:spacing w:before="60"/>
      <w:ind w:left="1260" w:hanging="420"/>
    </w:pPr>
    <w:rPr>
      <w:szCs w:val="20"/>
    </w:rPr>
  </w:style>
  <w:style w:type="paragraph" w:customStyle="1" w:styleId="429">
    <w:name w:val="a0"/>
    <w:basedOn w:val="1"/>
    <w:qFormat/>
    <w:uiPriority w:val="0"/>
    <w:pPr>
      <w:widowControl/>
      <w:spacing w:before="100" w:beforeAutospacing="1" w:after="100" w:afterAutospacing="1"/>
      <w:jc w:val="left"/>
    </w:pPr>
    <w:rPr>
      <w:rFonts w:cs="宋体"/>
      <w:sz w:val="24"/>
    </w:rPr>
  </w:style>
  <w:style w:type="paragraph" w:customStyle="1" w:styleId="430">
    <w:name w:val="xl105"/>
    <w:basedOn w:val="1"/>
    <w:qFormat/>
    <w:uiPriority w:val="0"/>
    <w:pPr>
      <w:widowControl/>
      <w:pBdr>
        <w:top w:val="single" w:color="auto" w:sz="4" w:space="0"/>
        <w:left w:val="single" w:color="auto" w:sz="4" w:space="0"/>
        <w:bottom w:val="single" w:color="auto" w:sz="4" w:space="0"/>
        <w:right w:val="single" w:color="auto" w:sz="4" w:space="0"/>
      </w:pBdr>
      <w:shd w:val="clear" w:color="000000" w:fill="00CCFF"/>
      <w:spacing w:before="100" w:beforeAutospacing="1" w:after="100" w:afterAutospacing="1"/>
      <w:jc w:val="center"/>
    </w:pPr>
    <w:rPr>
      <w:rFonts w:cs="宋体"/>
      <w:b w:val="0"/>
      <w:bCs/>
      <w:color w:val="000000"/>
      <w:sz w:val="18"/>
      <w:szCs w:val="18"/>
    </w:rPr>
  </w:style>
  <w:style w:type="paragraph" w:customStyle="1" w:styleId="431">
    <w:name w:val="zw1"/>
    <w:basedOn w:val="1"/>
    <w:qFormat/>
    <w:uiPriority w:val="0"/>
    <w:pPr>
      <w:widowControl/>
      <w:ind w:firstLine="480"/>
    </w:pPr>
    <w:rPr>
      <w:sz w:val="24"/>
      <w:szCs w:val="20"/>
    </w:rPr>
  </w:style>
  <w:style w:type="paragraph" w:customStyle="1" w:styleId="432">
    <w:name w:val="xl44"/>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sz w:val="24"/>
    </w:rPr>
  </w:style>
  <w:style w:type="paragraph" w:customStyle="1" w:styleId="433">
    <w:name w:val="(符号)三标题1.1"/>
    <w:basedOn w:val="1"/>
    <w:qFormat/>
    <w:uiPriority w:val="0"/>
    <w:pPr>
      <w:tabs>
        <w:tab w:val="left" w:pos="420"/>
      </w:tabs>
      <w:spacing w:before="140" w:after="140" w:line="500" w:lineRule="exact"/>
      <w:ind w:left="430" w:hanging="430"/>
      <w:outlineLvl w:val="2"/>
    </w:pPr>
    <w:rPr>
      <w:rFonts w:ascii="楷体_GB2312" w:eastAsia="楷体_GB2312" w:cs="宋体"/>
      <w:b w:val="0"/>
      <w:bCs/>
      <w:sz w:val="28"/>
      <w:szCs w:val="20"/>
    </w:rPr>
  </w:style>
  <w:style w:type="paragraph" w:customStyle="1" w:styleId="434">
    <w:name w:val="标题3"/>
    <w:basedOn w:val="5"/>
    <w:qFormat/>
    <w:uiPriority w:val="0"/>
    <w:pPr>
      <w:numPr>
        <w:numId w:val="0"/>
      </w:numPr>
    </w:pPr>
    <w:rPr>
      <w:rFonts w:ascii="宋体" w:hAnsi="宋体"/>
    </w:rPr>
  </w:style>
  <w:style w:type="paragraph" w:customStyle="1" w:styleId="435">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宋体"/>
      <w:color w:val="000000"/>
      <w:sz w:val="18"/>
      <w:szCs w:val="18"/>
    </w:rPr>
  </w:style>
  <w:style w:type="paragraph" w:customStyle="1" w:styleId="436">
    <w:name w:val="xl180"/>
    <w:basedOn w:val="1"/>
    <w:qFormat/>
    <w:uiPriority w:val="0"/>
    <w:pPr>
      <w:widowControl/>
      <w:pBdr>
        <w:top w:val="single" w:color="auto" w:sz="4" w:space="0"/>
        <w:left w:val="single" w:color="auto" w:sz="4" w:space="0"/>
        <w:bottom w:val="single" w:color="auto" w:sz="4" w:space="0"/>
        <w:right w:val="single" w:color="auto" w:sz="4" w:space="0"/>
      </w:pBdr>
      <w:shd w:val="clear" w:color="000000" w:fill="FFCC00"/>
      <w:spacing w:before="100" w:beforeAutospacing="1" w:after="100" w:afterAutospacing="1"/>
      <w:jc w:val="center"/>
    </w:pPr>
    <w:rPr>
      <w:rFonts w:cs="宋体"/>
      <w:b w:val="0"/>
      <w:bCs/>
      <w:sz w:val="18"/>
      <w:szCs w:val="18"/>
    </w:rPr>
  </w:style>
  <w:style w:type="paragraph" w:customStyle="1" w:styleId="437">
    <w:name w:val="xl1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cs="宋体"/>
      <w:color w:val="000000"/>
      <w:sz w:val="18"/>
      <w:szCs w:val="18"/>
    </w:rPr>
  </w:style>
  <w:style w:type="paragraph" w:customStyle="1" w:styleId="438">
    <w:name w:val="xl36"/>
    <w:basedOn w:val="1"/>
    <w:qFormat/>
    <w:uiPriority w:val="0"/>
    <w:pPr>
      <w:widowControl/>
      <w:spacing w:before="100" w:beforeAutospacing="1" w:after="100" w:afterAutospacing="1"/>
      <w:jc w:val="center"/>
    </w:pPr>
    <w:rPr>
      <w:rFonts w:ascii="Arial Unicode MS" w:hAnsi="Arial Unicode MS" w:eastAsia="Arial Unicode MS" w:cs="Arial Unicode MS"/>
      <w:color w:val="000000"/>
      <w:sz w:val="20"/>
      <w:szCs w:val="20"/>
    </w:rPr>
  </w:style>
  <w:style w:type="paragraph" w:customStyle="1" w:styleId="439">
    <w:name w:val="样式 样式 首行缩进:  2 字符 + 仿宋_GB2312 五号 行距: 1.5 倍行距1"/>
    <w:basedOn w:val="1"/>
    <w:qFormat/>
    <w:uiPriority w:val="0"/>
    <w:rPr>
      <w:rFonts w:eastAsia="仿宋_GB2312" w:cs="宋体"/>
      <w:szCs w:val="20"/>
    </w:rPr>
  </w:style>
  <w:style w:type="paragraph" w:customStyle="1" w:styleId="440">
    <w:name w:val="正文 + 宋体"/>
    <w:basedOn w:val="1"/>
    <w:qFormat/>
    <w:uiPriority w:val="0"/>
    <w:pPr>
      <w:widowControl/>
      <w:ind w:left="360" w:hanging="360"/>
      <w:jc w:val="left"/>
    </w:pPr>
    <w:rPr>
      <w:rFonts w:cs="宋体"/>
      <w:b w:val="0"/>
      <w:bCs/>
      <w:color w:val="000000"/>
      <w:sz w:val="18"/>
      <w:szCs w:val="18"/>
    </w:rPr>
  </w:style>
  <w:style w:type="paragraph" w:customStyle="1" w:styleId="441">
    <w:name w:val="font9"/>
    <w:basedOn w:val="1"/>
    <w:uiPriority w:val="0"/>
    <w:pPr>
      <w:widowControl/>
      <w:spacing w:before="100" w:beforeAutospacing="1" w:after="100" w:afterAutospacing="1"/>
      <w:jc w:val="left"/>
    </w:pPr>
    <w:rPr>
      <w:rFonts w:hint="eastAsia" w:cs="Arial Unicode MS"/>
      <w:color w:val="000000"/>
      <w:sz w:val="20"/>
      <w:szCs w:val="20"/>
    </w:rPr>
  </w:style>
  <w:style w:type="paragraph" w:customStyle="1" w:styleId="442">
    <w:name w:val="Style8"/>
    <w:basedOn w:val="1"/>
    <w:qFormat/>
    <w:uiPriority w:val="0"/>
    <w:pPr>
      <w:tabs>
        <w:tab w:val="left" w:pos="1304"/>
      </w:tabs>
      <w:spacing w:beforeLines="50" w:afterLines="50" w:line="276" w:lineRule="auto"/>
      <w:ind w:left="1304" w:hanging="397"/>
    </w:pPr>
    <w:rPr>
      <w:rFonts w:ascii="Arial" w:hAnsi="Arial"/>
      <w:sz w:val="24"/>
    </w:rPr>
  </w:style>
  <w:style w:type="paragraph" w:customStyle="1" w:styleId="443">
    <w:name w:val="表题"/>
    <w:next w:val="444"/>
    <w:qFormat/>
    <w:uiPriority w:val="0"/>
    <w:pPr>
      <w:spacing w:line="360" w:lineRule="auto"/>
      <w:jc w:val="center"/>
      <w:outlineLvl w:val="5"/>
    </w:pPr>
    <w:rPr>
      <w:rFonts w:ascii="Times New Roman" w:hAnsi="Times New Roman" w:eastAsia="宋体" w:cs="Times New Roman"/>
      <w:sz w:val="24"/>
      <w:lang w:val="en-US" w:eastAsia="zh-CN" w:bidi="ar-SA"/>
    </w:rPr>
  </w:style>
  <w:style w:type="paragraph" w:customStyle="1" w:styleId="444">
    <w:name w:val="表格文字"/>
    <w:basedOn w:val="1"/>
    <w:qFormat/>
    <w:uiPriority w:val="0"/>
    <w:pPr>
      <w:spacing w:beforeLines="25" w:afterLines="25"/>
    </w:pPr>
    <w:rPr>
      <w:rFonts w:ascii="Times New (W1)" w:hAnsi="Times New (W1)"/>
      <w:spacing w:val="10"/>
    </w:rPr>
  </w:style>
  <w:style w:type="paragraph" w:customStyle="1" w:styleId="445">
    <w:name w:val="xl154"/>
    <w:basedOn w:val="1"/>
    <w:uiPriority w:val="0"/>
    <w:pPr>
      <w:widowControl/>
      <w:pBdr>
        <w:top w:val="single" w:color="auto" w:sz="4" w:space="0"/>
        <w:left w:val="single" w:color="auto" w:sz="4" w:space="0"/>
        <w:bottom w:val="single" w:color="auto" w:sz="4" w:space="0"/>
        <w:right w:val="single" w:color="auto" w:sz="4" w:space="0"/>
      </w:pBdr>
      <w:shd w:val="clear" w:color="000000" w:fill="00CCFF"/>
      <w:spacing w:before="100" w:beforeAutospacing="1" w:after="100" w:afterAutospacing="1"/>
      <w:jc w:val="center"/>
    </w:pPr>
    <w:rPr>
      <w:rFonts w:cs="宋体"/>
      <w:b w:val="0"/>
      <w:bCs/>
      <w:color w:val="000000"/>
      <w:sz w:val="18"/>
      <w:szCs w:val="18"/>
    </w:rPr>
  </w:style>
  <w:style w:type="paragraph" w:customStyle="1" w:styleId="446">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宋体"/>
      <w:sz w:val="18"/>
      <w:szCs w:val="18"/>
    </w:rPr>
  </w:style>
  <w:style w:type="paragraph" w:customStyle="1" w:styleId="447">
    <w:name w:val="列表1"/>
    <w:basedOn w:val="1"/>
    <w:qFormat/>
    <w:uiPriority w:val="0"/>
    <w:pPr>
      <w:numPr>
        <w:ilvl w:val="1"/>
        <w:numId w:val="20"/>
      </w:numPr>
      <w:adjustRightInd w:val="0"/>
      <w:textAlignment w:val="baseline"/>
    </w:pPr>
    <w:rPr>
      <w:sz w:val="24"/>
      <w:szCs w:val="20"/>
    </w:rPr>
  </w:style>
  <w:style w:type="paragraph" w:customStyle="1" w:styleId="448">
    <w:name w:val="大标题"/>
    <w:basedOn w:val="1"/>
    <w:qFormat/>
    <w:uiPriority w:val="0"/>
    <w:pPr>
      <w:jc w:val="center"/>
    </w:pPr>
    <w:rPr>
      <w:sz w:val="72"/>
    </w:rPr>
  </w:style>
  <w:style w:type="paragraph" w:customStyle="1" w:styleId="449">
    <w:name w:val="gb_master正文"/>
    <w:basedOn w:val="1"/>
    <w:uiPriority w:val="0"/>
    <w:pPr>
      <w:ind w:firstLine="200"/>
    </w:pPr>
  </w:style>
  <w:style w:type="paragraph" w:customStyle="1" w:styleId="450">
    <w:name w:val="附录三级条标题"/>
    <w:basedOn w:val="323"/>
    <w:next w:val="6"/>
    <w:qFormat/>
    <w:uiPriority w:val="0"/>
    <w:pPr>
      <w:numPr>
        <w:ilvl w:val="4"/>
      </w:numPr>
      <w:outlineLvl w:val="4"/>
    </w:pPr>
  </w:style>
  <w:style w:type="paragraph" w:customStyle="1" w:styleId="451">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cs="宋体"/>
      <w:sz w:val="20"/>
      <w:szCs w:val="20"/>
    </w:rPr>
  </w:style>
  <w:style w:type="paragraph" w:customStyle="1" w:styleId="452">
    <w:name w:val="xl1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cs="宋体"/>
      <w:color w:val="000000"/>
      <w:sz w:val="18"/>
      <w:szCs w:val="18"/>
    </w:rPr>
  </w:style>
  <w:style w:type="paragraph" w:customStyle="1" w:styleId="453">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宋体"/>
      <w:sz w:val="20"/>
      <w:szCs w:val="20"/>
    </w:rPr>
  </w:style>
  <w:style w:type="paragraph" w:customStyle="1" w:styleId="454">
    <w:name w:val="Char1 Char Char Char"/>
    <w:basedOn w:val="1"/>
    <w:next w:val="1"/>
    <w:uiPriority w:val="0"/>
    <w:pPr>
      <w:spacing w:line="240" w:lineRule="atLeast"/>
      <w:ind w:left="420" w:firstLine="420"/>
      <w:jc w:val="left"/>
    </w:pPr>
    <w:rPr>
      <w:szCs w:val="21"/>
    </w:rPr>
  </w:style>
  <w:style w:type="paragraph" w:customStyle="1" w:styleId="455">
    <w:name w:val="xl93"/>
    <w:basedOn w:val="1"/>
    <w:uiPriority w:val="0"/>
    <w:pPr>
      <w:widowControl/>
      <w:pBdr>
        <w:top w:val="single" w:color="auto" w:sz="4" w:space="0"/>
        <w:left w:val="single" w:color="auto" w:sz="4" w:space="0"/>
        <w:bottom w:val="single" w:color="auto" w:sz="4" w:space="0"/>
        <w:right w:val="single" w:color="auto" w:sz="4" w:space="0"/>
      </w:pBdr>
      <w:shd w:val="clear" w:color="000000" w:fill="00CCFF"/>
      <w:spacing w:before="100" w:beforeAutospacing="1" w:after="100" w:afterAutospacing="1"/>
      <w:jc w:val="center"/>
    </w:pPr>
    <w:rPr>
      <w:rFonts w:cs="宋体"/>
      <w:b w:val="0"/>
      <w:bCs/>
      <w:color w:val="000000"/>
      <w:sz w:val="18"/>
      <w:szCs w:val="18"/>
    </w:rPr>
  </w:style>
  <w:style w:type="paragraph" w:customStyle="1" w:styleId="456">
    <w:name w:val="正文序号 2"/>
    <w:basedOn w:val="1"/>
    <w:uiPriority w:val="0"/>
    <w:pPr>
      <w:tabs>
        <w:tab w:val="left" w:pos="840"/>
        <w:tab w:val="left" w:pos="1049"/>
      </w:tabs>
      <w:spacing w:before="60"/>
      <w:ind w:left="840" w:hanging="420"/>
    </w:pPr>
    <w:rPr>
      <w:szCs w:val="20"/>
    </w:rPr>
  </w:style>
  <w:style w:type="paragraph" w:customStyle="1" w:styleId="457">
    <w:name w:val="xl1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cs="宋体"/>
      <w:sz w:val="18"/>
      <w:szCs w:val="18"/>
    </w:rPr>
  </w:style>
  <w:style w:type="paragraph" w:customStyle="1" w:styleId="458">
    <w:name w:val="xl1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宋体"/>
      <w:color w:val="000000"/>
      <w:sz w:val="18"/>
      <w:szCs w:val="18"/>
    </w:rPr>
  </w:style>
  <w:style w:type="paragraph" w:customStyle="1" w:styleId="459">
    <w:name w:val="plaintext"/>
    <w:basedOn w:val="1"/>
    <w:qFormat/>
    <w:uiPriority w:val="0"/>
    <w:pPr>
      <w:widowControl/>
      <w:spacing w:before="100" w:beforeAutospacing="1" w:after="100" w:afterAutospacing="1"/>
      <w:jc w:val="left"/>
    </w:pPr>
    <w:rPr>
      <w:sz w:val="24"/>
    </w:rPr>
  </w:style>
  <w:style w:type="paragraph" w:customStyle="1" w:styleId="460">
    <w:name w:val="细目加粗"/>
    <w:basedOn w:val="315"/>
    <w:qFormat/>
    <w:uiPriority w:val="0"/>
    <w:pPr>
      <w:tabs>
        <w:tab w:val="clear" w:pos="737"/>
      </w:tabs>
    </w:pPr>
    <w:rPr>
      <w:b/>
    </w:rPr>
  </w:style>
  <w:style w:type="paragraph" w:customStyle="1" w:styleId="461">
    <w:name w:val="默认"/>
    <w:qFormat/>
    <w:uiPriority w:val="0"/>
    <w:pPr>
      <w:tabs>
        <w:tab w:val="left" w:pos="420"/>
      </w:tabs>
      <w:suppressAutoHyphens/>
      <w:spacing w:line="200" w:lineRule="atLeast"/>
      <w:jc w:val="both"/>
    </w:pPr>
    <w:rPr>
      <w:rFonts w:ascii="Times New Roman" w:hAnsi="Times New Roman" w:eastAsia="宋体" w:cs="Times New Roman"/>
      <w:kern w:val="2"/>
      <w:sz w:val="21"/>
      <w:szCs w:val="24"/>
      <w:lang w:val="en-US" w:eastAsia="zh-CN" w:bidi="ar-SA"/>
    </w:rPr>
  </w:style>
  <w:style w:type="paragraph" w:customStyle="1" w:styleId="462">
    <w:name w:val="xl4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Arial Unicode MS" w:hAnsi="Arial Unicode MS" w:eastAsia="Arial Unicode MS" w:cs="Arial Unicode MS"/>
      <w:b w:val="0"/>
      <w:bCs/>
      <w:color w:val="000000"/>
      <w:sz w:val="20"/>
      <w:szCs w:val="20"/>
    </w:rPr>
  </w:style>
  <w:style w:type="paragraph" w:customStyle="1" w:styleId="463">
    <w:name w:val="xl7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sz w:val="20"/>
      <w:szCs w:val="20"/>
    </w:rPr>
  </w:style>
  <w:style w:type="paragraph" w:customStyle="1" w:styleId="464">
    <w:name w:val="正文 首行缩进:  2 字符 Char Char"/>
    <w:basedOn w:val="1"/>
    <w:qFormat/>
    <w:uiPriority w:val="0"/>
    <w:pPr>
      <w:ind w:firstLine="480"/>
    </w:pPr>
    <w:rPr>
      <w:rFonts w:cs="宋体"/>
      <w:sz w:val="24"/>
      <w:szCs w:val="20"/>
    </w:rPr>
  </w:style>
  <w:style w:type="paragraph" w:customStyle="1" w:styleId="465">
    <w:name w:val="Char Char Char"/>
    <w:basedOn w:val="1"/>
    <w:qFormat/>
    <w:uiPriority w:val="0"/>
    <w:rPr>
      <w:rFonts w:ascii="Tahoma" w:hAnsi="Tahoma"/>
      <w:sz w:val="24"/>
      <w:szCs w:val="20"/>
    </w:rPr>
  </w:style>
  <w:style w:type="paragraph" w:customStyle="1" w:styleId="466">
    <w:name w:val="xl37"/>
    <w:basedOn w:val="1"/>
    <w:uiPriority w:val="0"/>
    <w:pPr>
      <w:widowControl/>
      <w:spacing w:before="100" w:beforeAutospacing="1" w:after="100" w:afterAutospacing="1"/>
      <w:jc w:val="left"/>
    </w:pPr>
    <w:rPr>
      <w:rFonts w:ascii="Arial Unicode MS" w:hAnsi="Arial Unicode MS" w:eastAsia="Arial Unicode MS" w:cs="Arial Unicode MS"/>
      <w:color w:val="000000"/>
      <w:sz w:val="20"/>
      <w:szCs w:val="20"/>
    </w:rPr>
  </w:style>
  <w:style w:type="paragraph" w:customStyle="1" w:styleId="467">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宋体"/>
      <w:color w:val="000000"/>
      <w:sz w:val="18"/>
      <w:szCs w:val="18"/>
    </w:rPr>
  </w:style>
  <w:style w:type="paragraph" w:customStyle="1" w:styleId="468">
    <w:name w:val="xl188"/>
    <w:basedOn w:val="1"/>
    <w:uiPriority w:val="0"/>
    <w:pPr>
      <w:widowControl/>
      <w:pBdr>
        <w:top w:val="single" w:color="auto" w:sz="4" w:space="0"/>
        <w:left w:val="single" w:color="auto" w:sz="4" w:space="0"/>
        <w:bottom w:val="single" w:color="auto" w:sz="4" w:space="0"/>
        <w:right w:val="single" w:color="auto" w:sz="4" w:space="0"/>
      </w:pBdr>
      <w:shd w:val="clear" w:color="000000" w:fill="FFCC00"/>
      <w:spacing w:before="100" w:beforeAutospacing="1" w:after="100" w:afterAutospacing="1"/>
      <w:jc w:val="center"/>
    </w:pPr>
    <w:rPr>
      <w:rFonts w:cs="宋体"/>
      <w:b w:val="0"/>
      <w:bCs/>
      <w:sz w:val="18"/>
      <w:szCs w:val="18"/>
    </w:rPr>
  </w:style>
  <w:style w:type="paragraph" w:customStyle="1" w:styleId="469">
    <w:name w:val="RFI Heading 3rd Level"/>
    <w:basedOn w:val="1"/>
    <w:uiPriority w:val="0"/>
    <w:pPr>
      <w:widowControl/>
      <w:tabs>
        <w:tab w:val="left" w:pos="720"/>
      </w:tabs>
      <w:ind w:left="720" w:hanging="720"/>
      <w:jc w:val="left"/>
    </w:pPr>
    <w:rPr>
      <w:rFonts w:ascii="Arial (W1)" w:hAnsi="Arial (W1)"/>
      <w:color w:val="000000"/>
      <w:sz w:val="24"/>
      <w:lang w:val="en-GB" w:eastAsia="en-US"/>
    </w:rPr>
  </w:style>
  <w:style w:type="paragraph" w:customStyle="1" w:styleId="470">
    <w:name w:val="È±Ê¡ÎÄ±¾"/>
    <w:basedOn w:val="1"/>
    <w:uiPriority w:val="0"/>
    <w:pPr>
      <w:widowControl/>
      <w:overflowPunct w:val="0"/>
      <w:autoSpaceDE w:val="0"/>
      <w:autoSpaceDN w:val="0"/>
      <w:adjustRightInd w:val="0"/>
      <w:jc w:val="left"/>
      <w:textAlignment w:val="baseline"/>
    </w:pPr>
    <w:rPr>
      <w:bCs/>
      <w:sz w:val="24"/>
    </w:rPr>
  </w:style>
  <w:style w:type="paragraph" w:customStyle="1" w:styleId="471">
    <w:name w:val="Char1 Char Char Char Char Char Char"/>
    <w:basedOn w:val="1"/>
    <w:uiPriority w:val="0"/>
    <w:rPr>
      <w:rFonts w:ascii="Tahoma" w:hAnsi="Tahoma"/>
      <w:sz w:val="24"/>
      <w:szCs w:val="20"/>
    </w:rPr>
  </w:style>
  <w:style w:type="paragraph" w:customStyle="1" w:styleId="472">
    <w:name w:val="插图题注"/>
    <w:next w:val="1"/>
    <w:uiPriority w:val="0"/>
    <w:pPr>
      <w:spacing w:afterLines="100"/>
      <w:ind w:left="4066"/>
      <w:jc w:val="center"/>
    </w:pPr>
    <w:rPr>
      <w:rFonts w:ascii="Arial" w:hAnsi="Arial" w:eastAsia="宋体" w:cs="Times New Roman"/>
      <w:sz w:val="18"/>
      <w:szCs w:val="18"/>
      <w:lang w:val="en-US" w:eastAsia="zh-CN" w:bidi="ar-SA"/>
    </w:rPr>
  </w:style>
  <w:style w:type="paragraph" w:customStyle="1" w:styleId="473">
    <w:name w:val="样式 小四 首行缩进:  0.74 厘米"/>
    <w:basedOn w:val="1"/>
    <w:uiPriority w:val="0"/>
    <w:pPr>
      <w:spacing w:before="100" w:beforeAutospacing="1" w:after="100" w:afterAutospacing="1" w:line="300" w:lineRule="auto"/>
      <w:ind w:firstLine="420" w:firstLineChars="175"/>
    </w:pPr>
    <w:rPr>
      <w:sz w:val="24"/>
    </w:rPr>
  </w:style>
  <w:style w:type="paragraph" w:customStyle="1" w:styleId="474">
    <w:name w:val="标准正文"/>
    <w:basedOn w:val="1"/>
    <w:next w:val="60"/>
    <w:qFormat/>
    <w:uiPriority w:val="0"/>
    <w:pPr>
      <w:spacing w:before="60" w:after="60"/>
      <w:ind w:firstLine="482"/>
    </w:pPr>
    <w:rPr>
      <w:rFonts w:cs="宋体"/>
      <w:sz w:val="24"/>
    </w:rPr>
  </w:style>
  <w:style w:type="paragraph" w:customStyle="1" w:styleId="475">
    <w:name w:val="样式 标题 1 + 宋体 居中 段前: 17 磅 段后: 16.5 磅"/>
    <w:basedOn w:val="3"/>
    <w:uiPriority w:val="0"/>
    <w:pPr>
      <w:pageBreakBefore/>
      <w:widowControl/>
      <w:tabs>
        <w:tab w:val="left" w:pos="840"/>
        <w:tab w:val="clear" w:pos="709"/>
      </w:tabs>
      <w:ind w:left="840" w:hanging="420"/>
    </w:pPr>
    <w:rPr>
      <w:rFonts w:ascii="华文中宋" w:hAnsi="华文中宋" w:eastAsia="华文中宋" w:cs="宋体"/>
      <w:bCs/>
      <w:sz w:val="28"/>
      <w:szCs w:val="20"/>
    </w:rPr>
  </w:style>
  <w:style w:type="paragraph" w:customStyle="1" w:styleId="476">
    <w:name w:val="WW-正文（首行缩进两字）"/>
    <w:basedOn w:val="1"/>
    <w:uiPriority w:val="0"/>
    <w:pPr>
      <w:autoSpaceDE w:val="0"/>
      <w:autoSpaceDN w:val="0"/>
      <w:adjustRightInd w:val="0"/>
      <w:ind w:firstLine="420"/>
    </w:pPr>
    <w:rPr>
      <w:szCs w:val="21"/>
    </w:rPr>
  </w:style>
  <w:style w:type="paragraph" w:customStyle="1" w:styleId="477">
    <w:name w:val="xl13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cs="宋体"/>
      <w:color w:val="000000"/>
      <w:sz w:val="18"/>
      <w:szCs w:val="18"/>
    </w:rPr>
  </w:style>
  <w:style w:type="paragraph" w:customStyle="1" w:styleId="478">
    <w:name w:val=" Char1 Char Char Char Char Char Char"/>
    <w:basedOn w:val="1"/>
    <w:qFormat/>
    <w:uiPriority w:val="0"/>
    <w:rPr>
      <w:rFonts w:ascii="Tahoma" w:hAnsi="Tahoma"/>
      <w:sz w:val="24"/>
      <w:szCs w:val="20"/>
    </w:rPr>
  </w:style>
  <w:style w:type="paragraph" w:customStyle="1" w:styleId="479">
    <w:name w:val="正文标书"/>
    <w:basedOn w:val="1"/>
    <w:uiPriority w:val="0"/>
    <w:pPr>
      <w:spacing w:line="560" w:lineRule="exact"/>
      <w:ind w:firstLine="200"/>
    </w:pPr>
    <w:rPr>
      <w:sz w:val="28"/>
      <w:szCs w:val="28"/>
    </w:rPr>
  </w:style>
  <w:style w:type="paragraph" w:customStyle="1" w:styleId="480">
    <w:name w:val="附录四级条标题"/>
    <w:basedOn w:val="450"/>
    <w:next w:val="6"/>
    <w:uiPriority w:val="0"/>
    <w:pPr>
      <w:numPr>
        <w:ilvl w:val="5"/>
      </w:numPr>
      <w:outlineLvl w:val="5"/>
    </w:pPr>
  </w:style>
  <w:style w:type="paragraph" w:customStyle="1" w:styleId="481">
    <w:name w:val="xl165"/>
    <w:basedOn w:val="1"/>
    <w:uiPriority w:val="0"/>
    <w:pPr>
      <w:widowControl/>
      <w:pBdr>
        <w:top w:val="single" w:color="auto" w:sz="4" w:space="0"/>
        <w:left w:val="single" w:color="auto" w:sz="4" w:space="0"/>
        <w:bottom w:val="single" w:color="auto" w:sz="4" w:space="0"/>
        <w:right w:val="single" w:color="auto" w:sz="4" w:space="0"/>
      </w:pBdr>
      <w:shd w:val="clear" w:color="000000" w:fill="00CCFF"/>
      <w:spacing w:before="100" w:beforeAutospacing="1" w:after="100" w:afterAutospacing="1"/>
      <w:jc w:val="center"/>
    </w:pPr>
    <w:rPr>
      <w:rFonts w:cs="宋体"/>
      <w:b w:val="0"/>
      <w:bCs/>
      <w:color w:val="000000"/>
      <w:sz w:val="18"/>
      <w:szCs w:val="18"/>
    </w:rPr>
  </w:style>
  <w:style w:type="paragraph" w:customStyle="1" w:styleId="482">
    <w:name w:val="xl106"/>
    <w:basedOn w:val="1"/>
    <w:uiPriority w:val="0"/>
    <w:pPr>
      <w:widowControl/>
      <w:pBdr>
        <w:left w:val="single" w:color="auto" w:sz="4" w:space="0"/>
      </w:pBdr>
      <w:spacing w:before="100" w:beforeAutospacing="1" w:after="100" w:afterAutospacing="1"/>
      <w:jc w:val="left"/>
    </w:pPr>
    <w:rPr>
      <w:rFonts w:cs="宋体"/>
      <w:color w:val="000000"/>
      <w:sz w:val="18"/>
      <w:szCs w:val="18"/>
    </w:rPr>
  </w:style>
  <w:style w:type="paragraph" w:customStyle="1" w:styleId="483">
    <w:name w:val="font5"/>
    <w:basedOn w:val="1"/>
    <w:uiPriority w:val="0"/>
    <w:pPr>
      <w:widowControl/>
      <w:spacing w:before="100" w:beforeAutospacing="1" w:after="100" w:afterAutospacing="1"/>
      <w:jc w:val="left"/>
    </w:pPr>
    <w:rPr>
      <w:rFonts w:cs="宋体"/>
      <w:color w:val="000000"/>
      <w:sz w:val="18"/>
      <w:szCs w:val="18"/>
    </w:rPr>
  </w:style>
  <w:style w:type="paragraph" w:customStyle="1" w:styleId="484">
    <w:name w:val="xl8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宋体"/>
      <w:sz w:val="20"/>
      <w:szCs w:val="20"/>
    </w:rPr>
  </w:style>
  <w:style w:type="paragraph" w:customStyle="1" w:styleId="485">
    <w:name w:val="xl18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cs="宋体"/>
      <w:color w:val="000000"/>
      <w:sz w:val="18"/>
      <w:szCs w:val="18"/>
    </w:rPr>
  </w:style>
  <w:style w:type="paragraph" w:customStyle="1" w:styleId="486">
    <w:name w:val="样式 标题 3 + (西文) 仿宋_GB2312 (中文) 仿宋_GB2312 四号"/>
    <w:basedOn w:val="5"/>
    <w:uiPriority w:val="0"/>
    <w:pPr>
      <w:ind w:leftChars="-1"/>
    </w:pPr>
    <w:rPr>
      <w:rFonts w:ascii="仿宋_GB2312" w:hAnsi="仿宋_GB2312" w:eastAsia="仿宋_GB2312"/>
      <w:lang w:val="en-US"/>
    </w:rPr>
  </w:style>
  <w:style w:type="paragraph" w:customStyle="1" w:styleId="487">
    <w:name w:val="MM Topic 5"/>
    <w:basedOn w:val="7"/>
    <w:uiPriority w:val="0"/>
    <w:pPr>
      <w:keepNext/>
      <w:keepLines/>
      <w:tabs>
        <w:tab w:val="clear" w:pos="992"/>
        <w:tab w:val="clear" w:pos="1134"/>
      </w:tabs>
      <w:spacing w:line="376" w:lineRule="auto"/>
      <w:ind w:left="0" w:firstLine="0"/>
    </w:pPr>
    <w:rPr>
      <w:kern w:val="2"/>
    </w:rPr>
  </w:style>
  <w:style w:type="paragraph" w:customStyle="1" w:styleId="488">
    <w:name w:val="xl15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宋体"/>
      <w:color w:val="000000"/>
      <w:sz w:val="18"/>
      <w:szCs w:val="18"/>
    </w:rPr>
  </w:style>
  <w:style w:type="paragraph" w:customStyle="1" w:styleId="489">
    <w:name w:val="样式 MM Topic 4 + 行距: 多倍行距 1.57 字行"/>
    <w:basedOn w:val="223"/>
    <w:uiPriority w:val="0"/>
    <w:pPr>
      <w:tabs>
        <w:tab w:val="left" w:pos="993"/>
        <w:tab w:val="left" w:pos="2218"/>
        <w:tab w:val="clear" w:pos="851"/>
        <w:tab w:val="clear" w:pos="1984"/>
      </w:tabs>
      <w:spacing w:line="377" w:lineRule="auto"/>
      <w:ind w:left="2218" w:hanging="420"/>
    </w:pPr>
    <w:rPr>
      <w:rFonts w:cs="宋体"/>
      <w:szCs w:val="20"/>
    </w:rPr>
  </w:style>
  <w:style w:type="paragraph" w:customStyle="1" w:styleId="490">
    <w:name w:val="a"/>
    <w:basedOn w:val="1"/>
    <w:uiPriority w:val="0"/>
    <w:pPr>
      <w:widowControl/>
      <w:spacing w:line="460" w:lineRule="atLeast"/>
      <w:ind w:firstLine="567"/>
    </w:pPr>
    <w:rPr>
      <w:rFonts w:ascii="Arial Narrow" w:hAnsi="Arial Narrow" w:cs="宋体"/>
      <w:sz w:val="28"/>
      <w:szCs w:val="28"/>
    </w:rPr>
  </w:style>
  <w:style w:type="paragraph" w:customStyle="1" w:styleId="491">
    <w:name w:val="xl152"/>
    <w:basedOn w:val="1"/>
    <w:uiPriority w:val="0"/>
    <w:pPr>
      <w:widowControl/>
      <w:pBdr>
        <w:top w:val="single" w:color="auto" w:sz="4" w:space="0"/>
        <w:left w:val="single" w:color="auto" w:sz="4" w:space="0"/>
        <w:bottom w:val="single" w:color="auto" w:sz="4" w:space="0"/>
        <w:right w:val="single" w:color="auto" w:sz="4" w:space="0"/>
      </w:pBdr>
      <w:shd w:val="clear" w:color="000000" w:fill="00CCFF"/>
      <w:spacing w:before="100" w:beforeAutospacing="1" w:after="100" w:afterAutospacing="1"/>
      <w:jc w:val="center"/>
    </w:pPr>
    <w:rPr>
      <w:rFonts w:cs="宋体"/>
      <w:b w:val="0"/>
      <w:bCs/>
      <w:color w:val="000000"/>
      <w:sz w:val="18"/>
      <w:szCs w:val="18"/>
    </w:rPr>
  </w:style>
  <w:style w:type="paragraph" w:customStyle="1" w:styleId="492">
    <w:name w:val="附录五级条标题"/>
    <w:basedOn w:val="480"/>
    <w:next w:val="6"/>
    <w:uiPriority w:val="0"/>
    <w:pPr>
      <w:numPr>
        <w:ilvl w:val="6"/>
      </w:numPr>
      <w:outlineLvl w:val="6"/>
    </w:pPr>
  </w:style>
  <w:style w:type="paragraph" w:customStyle="1" w:styleId="493">
    <w:name w:val="样式 正文缩进 + (中文) 仿宋_GB2312 小四 Char"/>
    <w:basedOn w:val="19"/>
    <w:uiPriority w:val="0"/>
    <w:pPr>
      <w:ind w:firstLine="480"/>
    </w:pPr>
    <w:rPr>
      <w:rFonts w:ascii="宋体" w:hAnsi="宋体"/>
      <w:sz w:val="24"/>
    </w:rPr>
  </w:style>
  <w:style w:type="paragraph" w:customStyle="1" w:styleId="494">
    <w:name w:val="xl19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cs="宋体"/>
      <w:color w:val="000000"/>
      <w:sz w:val="18"/>
      <w:szCs w:val="18"/>
    </w:rPr>
  </w:style>
  <w:style w:type="paragraph" w:customStyle="1" w:styleId="495">
    <w:name w:val="Plain Text"/>
    <w:basedOn w:val="1"/>
    <w:uiPriority w:val="0"/>
    <w:pPr>
      <w:adjustRightInd w:val="0"/>
      <w:textAlignment w:val="baseline"/>
    </w:pPr>
    <w:rPr>
      <w:rFonts w:hAnsi="Courier New"/>
      <w:szCs w:val="20"/>
    </w:rPr>
  </w:style>
  <w:style w:type="paragraph" w:customStyle="1" w:styleId="496">
    <w:name w:val="程序"/>
    <w:basedOn w:val="38"/>
    <w:uiPriority w:val="0"/>
    <w:pPr>
      <w:spacing w:line="329" w:lineRule="exact"/>
      <w:ind w:firstLine="425"/>
    </w:pPr>
    <w:rPr>
      <w:rFonts w:ascii="Courier New"/>
    </w:rPr>
  </w:style>
  <w:style w:type="paragraph" w:customStyle="1" w:styleId="497">
    <w:name w:val="xl12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宋体"/>
      <w:sz w:val="18"/>
      <w:szCs w:val="18"/>
    </w:rPr>
  </w:style>
  <w:style w:type="paragraph" w:customStyle="1" w:styleId="498">
    <w:name w:val="xl10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cs="宋体"/>
      <w:color w:val="000000"/>
      <w:sz w:val="18"/>
      <w:szCs w:val="18"/>
    </w:rPr>
  </w:style>
  <w:style w:type="paragraph" w:customStyle="1" w:styleId="499">
    <w:name w:val="MM Title"/>
    <w:basedOn w:val="1"/>
    <w:uiPriority w:val="0"/>
    <w:pPr>
      <w:spacing w:before="240" w:after="60"/>
      <w:jc w:val="center"/>
      <w:outlineLvl w:val="0"/>
    </w:pPr>
    <w:rPr>
      <w:rFonts w:ascii="Arial" w:hAnsi="Arial" w:cs="Arial"/>
      <w:b w:val="0"/>
      <w:bCs/>
    </w:rPr>
  </w:style>
  <w:style w:type="paragraph" w:customStyle="1" w:styleId="500">
    <w:name w:val="Char2 Char Char Char Char Char Char"/>
    <w:basedOn w:val="1"/>
    <w:uiPriority w:val="0"/>
    <w:rPr>
      <w:rFonts w:ascii="仿宋_GB2312"/>
      <w:b w:val="0"/>
      <w:sz w:val="30"/>
    </w:rPr>
  </w:style>
  <w:style w:type="paragraph" w:customStyle="1" w:styleId="501">
    <w:name w:val="xl10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cs="宋体"/>
      <w:color w:val="000000"/>
      <w:sz w:val="18"/>
      <w:szCs w:val="18"/>
    </w:rPr>
  </w:style>
  <w:style w:type="paragraph" w:customStyle="1" w:styleId="502">
    <w:name w:val="Char2 Char Char Char"/>
    <w:basedOn w:val="1"/>
    <w:uiPriority w:val="0"/>
    <w:rPr>
      <w:rFonts w:ascii="仿宋_GB2312"/>
      <w:b w:val="0"/>
      <w:sz w:val="30"/>
    </w:rPr>
  </w:style>
  <w:style w:type="paragraph" w:customStyle="1" w:styleId="503">
    <w:name w:val="font8"/>
    <w:basedOn w:val="1"/>
    <w:uiPriority w:val="0"/>
    <w:pPr>
      <w:widowControl/>
      <w:spacing w:before="100" w:beforeAutospacing="1" w:after="100" w:afterAutospacing="1"/>
      <w:jc w:val="left"/>
    </w:pPr>
    <w:rPr>
      <w:sz w:val="36"/>
      <w:szCs w:val="36"/>
    </w:rPr>
  </w:style>
  <w:style w:type="paragraph" w:customStyle="1" w:styleId="504">
    <w:name w:val="xl18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cs="宋体"/>
      <w:color w:val="000000"/>
      <w:sz w:val="18"/>
      <w:szCs w:val="18"/>
    </w:rPr>
  </w:style>
  <w:style w:type="paragraph" w:customStyle="1" w:styleId="505">
    <w:name w:val="Char Char1"/>
    <w:basedOn w:val="1"/>
    <w:next w:val="1"/>
    <w:uiPriority w:val="0"/>
    <w:pPr>
      <w:spacing w:line="240" w:lineRule="atLeast"/>
      <w:ind w:left="420" w:firstLine="420"/>
      <w:jc w:val="left"/>
    </w:pPr>
    <w:rPr>
      <w:rFonts w:ascii="楷体_GB2312" w:eastAsia="楷体_GB2312"/>
      <w:bCs/>
      <w:color w:val="000000"/>
      <w:sz w:val="28"/>
      <w:szCs w:val="28"/>
    </w:rPr>
  </w:style>
  <w:style w:type="paragraph" w:customStyle="1" w:styleId="506">
    <w:name w:val="xl96"/>
    <w:basedOn w:val="1"/>
    <w:uiPriority w:val="0"/>
    <w:pPr>
      <w:widowControl/>
      <w:pBdr>
        <w:top w:val="single" w:color="auto" w:sz="4" w:space="0"/>
        <w:left w:val="single" w:color="auto" w:sz="4" w:space="0"/>
        <w:bottom w:val="single" w:color="auto" w:sz="4" w:space="0"/>
        <w:right w:val="single" w:color="auto" w:sz="4" w:space="0"/>
      </w:pBdr>
      <w:shd w:val="clear" w:color="000000" w:fill="00CCFF"/>
      <w:spacing w:before="100" w:beforeAutospacing="1" w:after="100" w:afterAutospacing="1"/>
      <w:jc w:val="center"/>
    </w:pPr>
    <w:rPr>
      <w:rFonts w:cs="宋体"/>
      <w:b w:val="0"/>
      <w:bCs/>
      <w:color w:val="000000"/>
      <w:sz w:val="18"/>
      <w:szCs w:val="18"/>
    </w:rPr>
  </w:style>
  <w:style w:type="paragraph" w:customStyle="1" w:styleId="507">
    <w:name w:val="样式 小四2"/>
    <w:basedOn w:val="1"/>
    <w:uiPriority w:val="0"/>
    <w:rPr>
      <w:sz w:val="24"/>
    </w:rPr>
  </w:style>
  <w:style w:type="paragraph" w:customStyle="1" w:styleId="508">
    <w:name w:val="xl2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color w:val="000000"/>
      <w:sz w:val="20"/>
      <w:szCs w:val="20"/>
    </w:rPr>
  </w:style>
  <w:style w:type="paragraph" w:customStyle="1" w:styleId="509">
    <w:name w:val="xl94"/>
    <w:basedOn w:val="1"/>
    <w:uiPriority w:val="0"/>
    <w:pPr>
      <w:widowControl/>
      <w:pBdr>
        <w:top w:val="single" w:color="auto" w:sz="4" w:space="0"/>
        <w:left w:val="single" w:color="auto" w:sz="4" w:space="0"/>
        <w:bottom w:val="single" w:color="auto" w:sz="4" w:space="0"/>
        <w:right w:val="single" w:color="auto" w:sz="4" w:space="0"/>
      </w:pBdr>
      <w:shd w:val="clear" w:color="000000" w:fill="00CCFF"/>
      <w:spacing w:before="100" w:beforeAutospacing="1" w:after="100" w:afterAutospacing="1"/>
      <w:jc w:val="center"/>
    </w:pPr>
    <w:rPr>
      <w:rFonts w:cs="宋体"/>
      <w:b w:val="0"/>
      <w:bCs/>
      <w:color w:val="000000"/>
      <w:sz w:val="18"/>
      <w:szCs w:val="18"/>
    </w:rPr>
  </w:style>
  <w:style w:type="paragraph" w:customStyle="1" w:styleId="510">
    <w:name w:val="MM Topic 2"/>
    <w:basedOn w:val="4"/>
    <w:uiPriority w:val="0"/>
    <w:pPr>
      <w:tabs>
        <w:tab w:val="left" w:pos="1276"/>
        <w:tab w:val="clear" w:pos="567"/>
      </w:tabs>
      <w:spacing w:line="416" w:lineRule="auto"/>
      <w:ind w:left="284" w:firstLine="0" w:firstLineChars="0"/>
      <w:jc w:val="both"/>
    </w:pPr>
    <w:rPr>
      <w:rFonts w:eastAsia="黑体"/>
      <w:sz w:val="32"/>
      <w:szCs w:val="32"/>
    </w:rPr>
  </w:style>
  <w:style w:type="paragraph" w:customStyle="1" w:styleId="511">
    <w:name w:val="！标题1"/>
    <w:basedOn w:val="3"/>
    <w:uiPriority w:val="0"/>
    <w:pPr>
      <w:numPr>
        <w:ilvl w:val="0"/>
        <w:numId w:val="21"/>
      </w:numPr>
      <w:tabs>
        <w:tab w:val="left" w:pos="1200"/>
        <w:tab w:val="clear" w:pos="709"/>
      </w:tabs>
      <w:spacing w:line="576" w:lineRule="auto"/>
      <w:ind w:left="1200" w:leftChars="400" w:hanging="360" w:hangingChars="200"/>
      <w:jc w:val="both"/>
    </w:pPr>
    <w:rPr>
      <w:rFonts w:ascii="Times New Roman"/>
      <w:bCs/>
      <w:color w:val="auto"/>
      <w:szCs w:val="44"/>
    </w:rPr>
  </w:style>
  <w:style w:type="paragraph" w:customStyle="1" w:styleId="512">
    <w:name w:val="TOC Heading"/>
    <w:basedOn w:val="3"/>
    <w:next w:val="1"/>
    <w:qFormat/>
    <w:uiPriority w:val="39"/>
    <w:pPr>
      <w:widowControl/>
      <w:tabs>
        <w:tab w:val="clear" w:pos="709"/>
      </w:tabs>
      <w:snapToGrid/>
      <w:spacing w:before="480" w:after="0" w:line="276" w:lineRule="auto"/>
      <w:jc w:val="left"/>
      <w:outlineLvl w:val="9"/>
    </w:pPr>
    <w:rPr>
      <w:rFonts w:ascii="Cambria" w:hAnsi="Cambria"/>
      <w:b/>
      <w:bCs/>
      <w:color w:val="365F91"/>
      <w:kern w:val="0"/>
      <w:sz w:val="28"/>
      <w:szCs w:val="28"/>
      <w:lang w:val="en-US"/>
    </w:rPr>
  </w:style>
  <w:style w:type="paragraph" w:customStyle="1" w:styleId="513">
    <w:name w:val="标题1"/>
    <w:basedOn w:val="3"/>
    <w:uiPriority w:val="0"/>
    <w:pPr>
      <w:spacing w:before="0" w:after="0"/>
    </w:pPr>
    <w:rPr>
      <w:bCs/>
      <w:color w:val="auto"/>
    </w:rPr>
  </w:style>
  <w:style w:type="paragraph" w:customStyle="1" w:styleId="514">
    <w:name w:val="Char Char Char Char Char Char Char"/>
    <w:basedOn w:val="1"/>
    <w:uiPriority w:val="0"/>
    <w:pPr>
      <w:widowControl/>
      <w:spacing w:line="240" w:lineRule="exact"/>
      <w:jc w:val="left"/>
    </w:pPr>
    <w:rPr>
      <w:rFonts w:ascii="Verdana" w:hAnsi="Verdana"/>
      <w:sz w:val="20"/>
      <w:szCs w:val="20"/>
      <w:lang w:eastAsia="en-US"/>
    </w:rPr>
  </w:style>
  <w:style w:type="paragraph" w:customStyle="1" w:styleId="515">
    <w:name w:val="列出段落11"/>
    <w:basedOn w:val="1"/>
    <w:uiPriority w:val="0"/>
    <w:pPr>
      <w:numPr>
        <w:ilvl w:val="0"/>
        <w:numId w:val="5"/>
      </w:numPr>
      <w:spacing w:line="312" w:lineRule="auto"/>
    </w:pPr>
    <w:rPr>
      <w:sz w:val="24"/>
    </w:rPr>
  </w:style>
  <w:style w:type="paragraph" w:customStyle="1" w:styleId="516">
    <w:name w:val="xl3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Unicode MS" w:hAnsi="Arial Unicode MS" w:eastAsia="Arial Unicode MS" w:cs="Arial Unicode MS"/>
      <w:color w:val="000000"/>
      <w:sz w:val="20"/>
      <w:szCs w:val="20"/>
    </w:rPr>
  </w:style>
  <w:style w:type="paragraph" w:customStyle="1" w:styleId="517">
    <w:name w:val="xl196"/>
    <w:basedOn w:val="1"/>
    <w:uiPriority w:val="0"/>
    <w:pPr>
      <w:widowControl/>
      <w:pBdr>
        <w:top w:val="single" w:color="auto" w:sz="4" w:space="0"/>
        <w:left w:val="single" w:color="auto" w:sz="4" w:space="0"/>
        <w:bottom w:val="single" w:color="auto" w:sz="4" w:space="0"/>
        <w:right w:val="single" w:color="auto" w:sz="4" w:space="0"/>
      </w:pBdr>
      <w:shd w:val="clear" w:color="000000" w:fill="FFCC00"/>
      <w:spacing w:before="100" w:beforeAutospacing="1" w:after="100" w:afterAutospacing="1"/>
      <w:jc w:val="center"/>
    </w:pPr>
    <w:rPr>
      <w:rFonts w:cs="宋体"/>
      <w:b w:val="0"/>
      <w:bCs/>
      <w:color w:val="000000"/>
      <w:sz w:val="18"/>
      <w:szCs w:val="18"/>
    </w:rPr>
  </w:style>
  <w:style w:type="paragraph" w:customStyle="1" w:styleId="518">
    <w:name w:val="表格标题栏"/>
    <w:basedOn w:val="1"/>
    <w:uiPriority w:val="0"/>
    <w:pPr>
      <w:jc w:val="center"/>
    </w:pPr>
    <w:rPr>
      <w:rFonts w:ascii="华文中宋" w:hAnsi="华文中宋" w:eastAsia="华文中宋"/>
      <w:b w:val="0"/>
      <w:sz w:val="28"/>
      <w:szCs w:val="28"/>
    </w:rPr>
  </w:style>
  <w:style w:type="paragraph" w:customStyle="1" w:styleId="519">
    <w:name w:val="Char Char Char Char"/>
    <w:basedOn w:val="1"/>
    <w:uiPriority w:val="0"/>
    <w:pPr>
      <w:numPr>
        <w:ilvl w:val="0"/>
        <w:numId w:val="5"/>
      </w:numPr>
      <w:tabs>
        <w:tab w:val="left" w:pos="600"/>
      </w:tabs>
    </w:pPr>
    <w:rPr>
      <w:sz w:val="24"/>
    </w:rPr>
  </w:style>
  <w:style w:type="paragraph" w:customStyle="1" w:styleId="520">
    <w:name w:val="xl19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cs="宋体"/>
      <w:color w:val="000000"/>
      <w:sz w:val="18"/>
      <w:szCs w:val="18"/>
    </w:rPr>
  </w:style>
  <w:style w:type="paragraph" w:customStyle="1" w:styleId="521">
    <w:name w:val="标题2-1"/>
    <w:basedOn w:val="1"/>
    <w:uiPriority w:val="0"/>
    <w:pPr>
      <w:tabs>
        <w:tab w:val="left" w:pos="0"/>
      </w:tabs>
      <w:autoSpaceDE w:val="0"/>
      <w:autoSpaceDN w:val="0"/>
      <w:adjustRightInd w:val="0"/>
      <w:spacing w:beforeLines="50"/>
      <w:jc w:val="left"/>
      <w:outlineLvl w:val="1"/>
    </w:pPr>
    <w:rPr>
      <w:rFonts w:ascii="Arial" w:cs="Arial"/>
      <w:b w:val="0"/>
      <w:bCs/>
      <w:color w:val="292929"/>
      <w:sz w:val="28"/>
      <w:szCs w:val="28"/>
    </w:rPr>
  </w:style>
  <w:style w:type="paragraph" w:customStyle="1" w:styleId="522">
    <w:name w:val="xl137"/>
    <w:basedOn w:val="1"/>
    <w:uiPriority w:val="0"/>
    <w:pPr>
      <w:widowControl/>
      <w:pBdr>
        <w:top w:val="single" w:color="auto" w:sz="4" w:space="0"/>
        <w:left w:val="single" w:color="auto" w:sz="4" w:space="0"/>
        <w:bottom w:val="single" w:color="auto" w:sz="4" w:space="0"/>
        <w:right w:val="single" w:color="auto" w:sz="4" w:space="0"/>
      </w:pBdr>
      <w:shd w:val="clear" w:color="000000" w:fill="00CCFF"/>
      <w:spacing w:before="100" w:beforeAutospacing="1" w:after="100" w:afterAutospacing="1"/>
      <w:jc w:val="center"/>
    </w:pPr>
    <w:rPr>
      <w:rFonts w:cs="宋体"/>
      <w:b w:val="0"/>
      <w:bCs/>
      <w:color w:val="000000"/>
      <w:sz w:val="18"/>
      <w:szCs w:val="18"/>
    </w:rPr>
  </w:style>
  <w:style w:type="paragraph" w:customStyle="1" w:styleId="523">
    <w:name w:val="xl3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FF6600"/>
      <w:sz w:val="20"/>
      <w:szCs w:val="20"/>
    </w:rPr>
  </w:style>
  <w:style w:type="paragraph" w:customStyle="1" w:styleId="524">
    <w:name w:val="xl14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宋体"/>
      <w:sz w:val="18"/>
      <w:szCs w:val="18"/>
    </w:rPr>
  </w:style>
  <w:style w:type="paragraph" w:customStyle="1" w:styleId="525">
    <w:name w:val="Char Char1 Char Char Char Char Char Char Char Char Char Char Char Char Char Char Char"/>
    <w:basedOn w:val="1"/>
    <w:qFormat/>
    <w:uiPriority w:val="0"/>
    <w:pPr>
      <w:widowControl/>
      <w:spacing w:after="160" w:line="240" w:lineRule="exact"/>
      <w:jc w:val="left"/>
    </w:pPr>
    <w:rPr>
      <w:rFonts w:ascii="Verdana" w:hAnsi="Verdana"/>
      <w:sz w:val="20"/>
      <w:szCs w:val="20"/>
      <w:lang w:eastAsia="en-US"/>
    </w:rPr>
  </w:style>
  <w:style w:type="paragraph" w:customStyle="1" w:styleId="526">
    <w:name w:val="xl3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eastAsia="Arial Unicode MS"/>
      <w:color w:val="000000"/>
      <w:sz w:val="20"/>
      <w:szCs w:val="20"/>
    </w:rPr>
  </w:style>
  <w:style w:type="paragraph" w:customStyle="1" w:styleId="527">
    <w:name w:val="正文序号 4"/>
    <w:basedOn w:val="1"/>
    <w:uiPriority w:val="0"/>
    <w:pPr>
      <w:tabs>
        <w:tab w:val="left" w:pos="1469"/>
        <w:tab w:val="left" w:pos="1680"/>
      </w:tabs>
      <w:spacing w:before="60"/>
      <w:ind w:left="1680" w:hanging="420"/>
    </w:pPr>
    <w:rPr>
      <w:szCs w:val="20"/>
    </w:rPr>
  </w:style>
  <w:style w:type="paragraph" w:customStyle="1" w:styleId="528">
    <w:name w:val="标书正文格式"/>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529">
    <w:name w:val="xl66"/>
    <w:basedOn w:val="1"/>
    <w:uiPriority w:val="0"/>
    <w:pPr>
      <w:widowControl/>
      <w:spacing w:before="100" w:beforeAutospacing="1" w:after="100" w:afterAutospacing="1"/>
      <w:jc w:val="center"/>
    </w:pPr>
    <w:rPr>
      <w:rFonts w:cs="宋体"/>
      <w:sz w:val="22"/>
      <w:szCs w:val="22"/>
    </w:rPr>
  </w:style>
  <w:style w:type="paragraph" w:customStyle="1" w:styleId="530">
    <w:name w:val="xl3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eastAsia="Arial Unicode MS"/>
      <w:color w:val="000000"/>
      <w:sz w:val="20"/>
      <w:szCs w:val="20"/>
    </w:rPr>
  </w:style>
  <w:style w:type="paragraph" w:customStyle="1" w:styleId="531">
    <w:name w:val="xl69"/>
    <w:basedOn w:val="1"/>
    <w:uiPriority w:val="0"/>
    <w:pPr>
      <w:widowControl/>
      <w:pBdr>
        <w:top w:val="single" w:color="auto" w:sz="4" w:space="0"/>
        <w:bottom w:val="single" w:color="auto" w:sz="4" w:space="0"/>
        <w:right w:val="single" w:color="auto" w:sz="4" w:space="0"/>
      </w:pBdr>
      <w:spacing w:before="100" w:beforeAutospacing="1" w:after="100" w:afterAutospacing="1"/>
      <w:jc w:val="left"/>
    </w:pPr>
    <w:rPr>
      <w:rFonts w:cs="宋体"/>
      <w:sz w:val="22"/>
      <w:szCs w:val="22"/>
    </w:rPr>
  </w:style>
  <w:style w:type="paragraph" w:customStyle="1" w:styleId="532">
    <w:name w:val="xl11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cs="宋体"/>
      <w:sz w:val="18"/>
      <w:szCs w:val="18"/>
    </w:rPr>
  </w:style>
  <w:style w:type="paragraph" w:customStyle="1" w:styleId="533">
    <w:name w:val="xl123"/>
    <w:basedOn w:val="1"/>
    <w:uiPriority w:val="0"/>
    <w:pPr>
      <w:widowControl/>
      <w:pBdr>
        <w:top w:val="single" w:color="auto" w:sz="4" w:space="0"/>
        <w:left w:val="single" w:color="auto" w:sz="4" w:space="0"/>
        <w:bottom w:val="single" w:color="auto" w:sz="4" w:space="0"/>
        <w:right w:val="single" w:color="auto" w:sz="4" w:space="0"/>
      </w:pBdr>
      <w:shd w:val="clear" w:color="000000" w:fill="00CCFF"/>
      <w:spacing w:before="100" w:beforeAutospacing="1" w:after="100" w:afterAutospacing="1"/>
      <w:jc w:val="center"/>
    </w:pPr>
    <w:rPr>
      <w:rFonts w:cs="宋体"/>
      <w:b w:val="0"/>
      <w:bCs/>
      <w:color w:val="000000"/>
      <w:sz w:val="18"/>
      <w:szCs w:val="18"/>
    </w:rPr>
  </w:style>
  <w:style w:type="paragraph" w:customStyle="1" w:styleId="534">
    <w:name w:val="样式 仿宋_GB2312 小四 左侧:  0.63 厘米"/>
    <w:basedOn w:val="1"/>
    <w:uiPriority w:val="0"/>
    <w:pPr>
      <w:spacing w:before="120" w:after="120"/>
      <w:ind w:left="357" w:firstLine="200"/>
    </w:pPr>
    <w:rPr>
      <w:rFonts w:ascii="仿宋_GB2312" w:hAnsi="仿宋_GB2312" w:eastAsia="仿宋_GB2312" w:cs="宋体"/>
      <w:sz w:val="24"/>
      <w:szCs w:val="20"/>
    </w:rPr>
  </w:style>
  <w:style w:type="paragraph" w:customStyle="1" w:styleId="535">
    <w:name w:val="xl16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cs="宋体"/>
      <w:color w:val="000000"/>
      <w:sz w:val="18"/>
      <w:szCs w:val="18"/>
    </w:rPr>
  </w:style>
  <w:style w:type="paragraph" w:customStyle="1" w:styleId="536">
    <w:name w:val="xl13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cs="宋体"/>
      <w:color w:val="000000"/>
      <w:sz w:val="18"/>
      <w:szCs w:val="18"/>
    </w:rPr>
  </w:style>
  <w:style w:type="paragraph" w:customStyle="1" w:styleId="537">
    <w:name w:val="xl108"/>
    <w:basedOn w:val="1"/>
    <w:uiPriority w:val="0"/>
    <w:pPr>
      <w:widowControl/>
      <w:pBdr>
        <w:top w:val="single" w:color="auto" w:sz="4" w:space="0"/>
        <w:left w:val="single" w:color="auto" w:sz="4" w:space="0"/>
        <w:bottom w:val="single" w:color="auto" w:sz="4" w:space="0"/>
        <w:right w:val="single" w:color="auto" w:sz="4" w:space="0"/>
      </w:pBdr>
      <w:shd w:val="clear" w:color="000000" w:fill="00CCFF"/>
      <w:spacing w:before="100" w:beforeAutospacing="1" w:after="100" w:afterAutospacing="1"/>
      <w:jc w:val="center"/>
    </w:pPr>
    <w:rPr>
      <w:rFonts w:cs="宋体"/>
      <w:b w:val="0"/>
      <w:bCs/>
      <w:color w:val="000000"/>
      <w:sz w:val="18"/>
      <w:szCs w:val="18"/>
    </w:rPr>
  </w:style>
  <w:style w:type="paragraph" w:customStyle="1" w:styleId="538">
    <w:name w:val="xl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cs="宋体"/>
      <w:sz w:val="22"/>
      <w:szCs w:val="22"/>
    </w:rPr>
  </w:style>
  <w:style w:type="paragraph" w:customStyle="1" w:styleId="539">
    <w:name w:val="xl134"/>
    <w:basedOn w:val="1"/>
    <w:uiPriority w:val="0"/>
    <w:pPr>
      <w:widowControl/>
      <w:pBdr>
        <w:top w:val="single" w:color="auto" w:sz="4" w:space="0"/>
        <w:left w:val="single" w:color="auto" w:sz="4" w:space="0"/>
        <w:bottom w:val="single" w:color="auto" w:sz="4" w:space="0"/>
        <w:right w:val="single" w:color="auto" w:sz="4" w:space="0"/>
      </w:pBdr>
      <w:shd w:val="clear" w:color="000000" w:fill="00CCFF"/>
      <w:spacing w:before="100" w:beforeAutospacing="1" w:after="100" w:afterAutospacing="1"/>
      <w:jc w:val="center"/>
    </w:pPr>
    <w:rPr>
      <w:rFonts w:cs="宋体"/>
      <w:b w:val="0"/>
      <w:bCs/>
      <w:color w:val="000000"/>
      <w:sz w:val="18"/>
      <w:szCs w:val="18"/>
    </w:rPr>
  </w:style>
  <w:style w:type="paragraph" w:customStyle="1" w:styleId="540">
    <w:name w:val="xl17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cs="宋体"/>
      <w:sz w:val="18"/>
      <w:szCs w:val="18"/>
    </w:rPr>
  </w:style>
  <w:style w:type="paragraph" w:customStyle="1" w:styleId="541">
    <w:name w:val="文档正文"/>
    <w:basedOn w:val="1"/>
    <w:uiPriority w:val="0"/>
    <w:pPr>
      <w:ind w:firstLine="480"/>
    </w:pPr>
    <w:rPr>
      <w:rFonts w:cs="Arial"/>
      <w:bCs/>
      <w:sz w:val="24"/>
    </w:rPr>
  </w:style>
  <w:style w:type="paragraph" w:customStyle="1" w:styleId="542">
    <w:name w:val="我的正文"/>
    <w:basedOn w:val="1"/>
    <w:uiPriority w:val="0"/>
    <w:pPr>
      <w:ind w:firstLine="420"/>
    </w:pPr>
  </w:style>
  <w:style w:type="paragraph" w:customStyle="1" w:styleId="543">
    <w:name w:val="xl18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cs="宋体"/>
      <w:color w:val="000000"/>
      <w:sz w:val="18"/>
      <w:szCs w:val="18"/>
    </w:rPr>
  </w:style>
  <w:style w:type="paragraph" w:customStyle="1" w:styleId="544">
    <w:name w:val="样式 首行缩进:  2 字符"/>
    <w:basedOn w:val="1"/>
    <w:uiPriority w:val="0"/>
    <w:pPr>
      <w:spacing w:line="400" w:lineRule="exact"/>
      <w:ind w:firstLine="200"/>
    </w:pPr>
    <w:rPr>
      <w:rFonts w:cs="宋体"/>
      <w:sz w:val="24"/>
    </w:rPr>
  </w:style>
  <w:style w:type="paragraph" w:customStyle="1" w:styleId="545">
    <w:name w:val="xl11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宋体"/>
      <w:color w:val="000000"/>
      <w:sz w:val="18"/>
      <w:szCs w:val="18"/>
    </w:rPr>
  </w:style>
  <w:style w:type="paragraph" w:customStyle="1" w:styleId="546">
    <w:name w:val="xl16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cs="宋体"/>
      <w:color w:val="000000"/>
      <w:sz w:val="18"/>
      <w:szCs w:val="18"/>
    </w:rPr>
  </w:style>
  <w:style w:type="paragraph" w:customStyle="1" w:styleId="547">
    <w:name w:val="表格"/>
    <w:basedOn w:val="1"/>
    <w:uiPriority w:val="0"/>
    <w:pPr>
      <w:spacing w:line="400" w:lineRule="exact"/>
    </w:pPr>
    <w:rPr>
      <w:sz w:val="24"/>
    </w:rPr>
  </w:style>
  <w:style w:type="paragraph" w:customStyle="1" w:styleId="548">
    <w:name w:val="xl8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宋体"/>
      <w:sz w:val="20"/>
      <w:szCs w:val="20"/>
    </w:rPr>
  </w:style>
  <w:style w:type="paragraph" w:customStyle="1" w:styleId="549">
    <w:name w:val="p0"/>
    <w:basedOn w:val="1"/>
    <w:uiPriority w:val="0"/>
    <w:pPr>
      <w:widowControl/>
    </w:pPr>
    <w:rPr>
      <w:szCs w:val="20"/>
    </w:rPr>
  </w:style>
  <w:style w:type="paragraph" w:customStyle="1" w:styleId="550">
    <w:name w:val="xl14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cs="宋体"/>
      <w:sz w:val="18"/>
      <w:szCs w:val="18"/>
    </w:rPr>
  </w:style>
  <w:style w:type="paragraph" w:customStyle="1" w:styleId="551">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宋体"/>
      <w:color w:val="000000"/>
      <w:sz w:val="18"/>
      <w:szCs w:val="18"/>
    </w:rPr>
  </w:style>
  <w:style w:type="paragraph" w:customStyle="1" w:styleId="552">
    <w:name w:val="xl11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宋体"/>
      <w:color w:val="000000"/>
      <w:sz w:val="18"/>
      <w:szCs w:val="18"/>
    </w:rPr>
  </w:style>
  <w:style w:type="paragraph" w:customStyle="1" w:styleId="553">
    <w:name w:val="默认段落字体 Para Char Char Char1 Char"/>
    <w:basedOn w:val="1"/>
    <w:next w:val="1"/>
    <w:uiPriority w:val="0"/>
    <w:pPr>
      <w:spacing w:line="240" w:lineRule="atLeast"/>
      <w:ind w:left="420" w:firstLine="420"/>
      <w:jc w:val="left"/>
    </w:pPr>
    <w:rPr>
      <w:szCs w:val="21"/>
    </w:rPr>
  </w:style>
  <w:style w:type="paragraph" w:customStyle="1" w:styleId="554">
    <w:name w:val="表栏名"/>
    <w:basedOn w:val="1"/>
    <w:next w:val="444"/>
    <w:uiPriority w:val="0"/>
    <w:pPr>
      <w:jc w:val="center"/>
    </w:pPr>
    <w:rPr>
      <w:b w:val="0"/>
    </w:rPr>
  </w:style>
  <w:style w:type="paragraph" w:customStyle="1" w:styleId="555">
    <w:name w:val="xl16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cs="宋体"/>
      <w:color w:val="000000"/>
      <w:sz w:val="18"/>
      <w:szCs w:val="18"/>
    </w:rPr>
  </w:style>
  <w:style w:type="paragraph" w:customStyle="1" w:styleId="556">
    <w:name w:val="Char Char Char Char3"/>
    <w:basedOn w:val="1"/>
    <w:uiPriority w:val="0"/>
    <w:rPr>
      <w:rFonts w:ascii="Tahoma" w:hAnsi="Tahoma" w:cs="Tahoma"/>
      <w:szCs w:val="21"/>
    </w:rPr>
  </w:style>
  <w:style w:type="paragraph" w:customStyle="1" w:styleId="557">
    <w:name w:val="xl124"/>
    <w:basedOn w:val="1"/>
    <w:uiPriority w:val="0"/>
    <w:pPr>
      <w:widowControl/>
      <w:spacing w:before="100" w:beforeAutospacing="1" w:after="100" w:afterAutospacing="1"/>
      <w:jc w:val="left"/>
    </w:pPr>
    <w:rPr>
      <w:rFonts w:cs="宋体"/>
      <w:color w:val="000000"/>
      <w:sz w:val="18"/>
      <w:szCs w:val="18"/>
    </w:rPr>
  </w:style>
  <w:style w:type="paragraph" w:customStyle="1" w:styleId="558">
    <w:name w:val=" Char Char Char Char"/>
    <w:basedOn w:val="1"/>
    <w:uiPriority w:val="0"/>
    <w:pPr>
      <w:tabs>
        <w:tab w:val="left" w:pos="900"/>
      </w:tabs>
      <w:ind w:left="900" w:hanging="420"/>
    </w:pPr>
    <w:rPr>
      <w:rFonts w:ascii="Verdana" w:hAnsi="Verdana"/>
      <w:sz w:val="24"/>
      <w:szCs w:val="21"/>
      <w:lang w:eastAsia="en-US"/>
    </w:rPr>
  </w:style>
  <w:style w:type="paragraph" w:customStyle="1" w:styleId="559">
    <w:name w:val="Style Style4 + First line:  2 ch Before:  0.5 line After:  0.5 li..."/>
    <w:basedOn w:val="1"/>
    <w:uiPriority w:val="0"/>
    <w:pPr>
      <w:spacing w:beforeLines="50" w:afterLines="50" w:line="276" w:lineRule="auto"/>
      <w:ind w:firstLine="480"/>
    </w:pPr>
    <w:rPr>
      <w:rFonts w:ascii="Arial" w:hAnsi="Arial"/>
      <w:sz w:val="24"/>
      <w:szCs w:val="20"/>
    </w:rPr>
  </w:style>
  <w:style w:type="paragraph" w:customStyle="1" w:styleId="560">
    <w:name w:val="xl8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cs="宋体"/>
      <w:sz w:val="20"/>
      <w:szCs w:val="20"/>
    </w:rPr>
  </w:style>
  <w:style w:type="paragraph" w:customStyle="1" w:styleId="561">
    <w:name w:val="xl194"/>
    <w:basedOn w:val="1"/>
    <w:uiPriority w:val="0"/>
    <w:pPr>
      <w:widowControl/>
      <w:pBdr>
        <w:top w:val="single" w:color="auto" w:sz="4" w:space="0"/>
        <w:left w:val="single" w:color="auto" w:sz="4" w:space="0"/>
        <w:bottom w:val="single" w:color="auto" w:sz="4" w:space="0"/>
        <w:right w:val="single" w:color="auto" w:sz="4" w:space="0"/>
      </w:pBdr>
      <w:shd w:val="clear" w:color="000000" w:fill="FFCC00"/>
      <w:spacing w:before="100" w:beforeAutospacing="1" w:after="100" w:afterAutospacing="1"/>
      <w:jc w:val="center"/>
    </w:pPr>
    <w:rPr>
      <w:rFonts w:cs="宋体"/>
      <w:b w:val="0"/>
      <w:bCs/>
      <w:sz w:val="18"/>
      <w:szCs w:val="18"/>
    </w:rPr>
  </w:style>
  <w:style w:type="paragraph" w:customStyle="1" w:styleId="562">
    <w:name w:val="xl190"/>
    <w:basedOn w:val="1"/>
    <w:uiPriority w:val="0"/>
    <w:pPr>
      <w:widowControl/>
      <w:pBdr>
        <w:top w:val="single" w:color="auto" w:sz="4" w:space="0"/>
        <w:left w:val="single" w:color="auto" w:sz="4" w:space="0"/>
        <w:bottom w:val="single" w:color="auto" w:sz="4" w:space="0"/>
        <w:right w:val="single" w:color="auto" w:sz="4" w:space="0"/>
      </w:pBdr>
      <w:shd w:val="clear" w:color="000000" w:fill="FFCC00"/>
      <w:spacing w:before="100" w:beforeAutospacing="1" w:after="100" w:afterAutospacing="1"/>
      <w:jc w:val="center"/>
    </w:pPr>
    <w:rPr>
      <w:rFonts w:cs="宋体"/>
      <w:b w:val="0"/>
      <w:bCs/>
      <w:sz w:val="18"/>
      <w:szCs w:val="18"/>
    </w:rPr>
  </w:style>
  <w:style w:type="paragraph" w:customStyle="1" w:styleId="563">
    <w:name w:val="xl107"/>
    <w:basedOn w:val="1"/>
    <w:uiPriority w:val="0"/>
    <w:pPr>
      <w:widowControl/>
      <w:spacing w:before="100" w:beforeAutospacing="1" w:after="100" w:afterAutospacing="1"/>
      <w:jc w:val="left"/>
    </w:pPr>
    <w:rPr>
      <w:rFonts w:cs="宋体"/>
      <w:color w:val="000000"/>
      <w:sz w:val="18"/>
      <w:szCs w:val="18"/>
    </w:rPr>
  </w:style>
  <w:style w:type="paragraph" w:customStyle="1" w:styleId="564">
    <w:name w:val="xl2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Arial Unicode MS" w:hAnsi="Arial Unicode MS" w:eastAsia="Arial Unicode MS" w:cs="Arial Unicode MS"/>
      <w:b w:val="0"/>
      <w:bCs/>
      <w:color w:val="000000"/>
      <w:sz w:val="20"/>
      <w:szCs w:val="20"/>
    </w:rPr>
  </w:style>
  <w:style w:type="paragraph" w:customStyle="1" w:styleId="565">
    <w:name w:val="图示"/>
    <w:basedOn w:val="19"/>
    <w:next w:val="19"/>
    <w:uiPriority w:val="0"/>
    <w:pPr>
      <w:widowControl/>
      <w:ind w:firstLine="0" w:firstLineChars="0"/>
      <w:jc w:val="center"/>
    </w:pPr>
    <w:rPr>
      <w:kern w:val="0"/>
      <w:szCs w:val="20"/>
    </w:rPr>
  </w:style>
  <w:style w:type="paragraph" w:customStyle="1" w:styleId="566">
    <w:name w:val="样式 标题 2proj2proj21proj22proj23proj24proj25proj26proj27p...1"/>
    <w:basedOn w:val="4"/>
    <w:uiPriority w:val="0"/>
    <w:pPr>
      <w:keepNext w:val="0"/>
      <w:adjustRightInd w:val="0"/>
      <w:spacing w:before="0" w:after="0" w:line="360" w:lineRule="exact"/>
      <w:ind w:firstLine="0" w:firstLineChars="0"/>
      <w:jc w:val="center"/>
      <w:textAlignment w:val="baseline"/>
      <w:outlineLvl w:val="9"/>
    </w:pPr>
    <w:rPr>
      <w:b/>
      <w:bCs w:val="0"/>
      <w:sz w:val="24"/>
      <w:szCs w:val="20"/>
    </w:rPr>
  </w:style>
  <w:style w:type="paragraph" w:customStyle="1" w:styleId="567">
    <w:name w:val="xl8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cs="宋体"/>
      <w:sz w:val="18"/>
      <w:szCs w:val="18"/>
    </w:rPr>
  </w:style>
  <w:style w:type="paragraph" w:customStyle="1" w:styleId="568">
    <w:name w:val="xl192"/>
    <w:basedOn w:val="1"/>
    <w:uiPriority w:val="0"/>
    <w:pPr>
      <w:widowControl/>
      <w:pBdr>
        <w:top w:val="single" w:color="auto" w:sz="4" w:space="0"/>
        <w:left w:val="single" w:color="auto" w:sz="4" w:space="0"/>
        <w:bottom w:val="single" w:color="auto" w:sz="4" w:space="0"/>
        <w:right w:val="single" w:color="auto" w:sz="4" w:space="0"/>
      </w:pBdr>
      <w:shd w:val="clear" w:color="000000" w:fill="FFCC00"/>
      <w:spacing w:before="100" w:beforeAutospacing="1" w:after="100" w:afterAutospacing="1"/>
      <w:jc w:val="center"/>
    </w:pPr>
    <w:rPr>
      <w:rFonts w:cs="宋体"/>
      <w:b w:val="0"/>
      <w:bCs/>
      <w:sz w:val="18"/>
      <w:szCs w:val="18"/>
    </w:rPr>
  </w:style>
  <w:style w:type="paragraph" w:customStyle="1" w:styleId="569">
    <w:name w:val="xl19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cs="宋体"/>
      <w:color w:val="000000"/>
      <w:sz w:val="18"/>
      <w:szCs w:val="18"/>
    </w:rPr>
  </w:style>
  <w:style w:type="paragraph" w:customStyle="1" w:styleId="570">
    <w:name w:val="xl17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cs="宋体"/>
      <w:sz w:val="18"/>
      <w:szCs w:val="18"/>
    </w:rPr>
  </w:style>
  <w:style w:type="paragraph" w:customStyle="1" w:styleId="571">
    <w:name w:val="xl26"/>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sz w:val="24"/>
    </w:rPr>
  </w:style>
  <w:style w:type="paragraph" w:customStyle="1" w:styleId="572">
    <w:name w:val="xl4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b w:val="0"/>
      <w:bCs/>
      <w:color w:val="000000"/>
      <w:sz w:val="22"/>
      <w:szCs w:val="22"/>
    </w:rPr>
  </w:style>
  <w:style w:type="paragraph" w:customStyle="1" w:styleId="573">
    <w:name w:val="p5"/>
    <w:basedOn w:val="1"/>
    <w:uiPriority w:val="0"/>
    <w:pPr>
      <w:tabs>
        <w:tab w:val="left" w:pos="720"/>
      </w:tabs>
      <w:spacing w:line="240" w:lineRule="atLeast"/>
      <w:jc w:val="left"/>
    </w:pPr>
    <w:rPr>
      <w:snapToGrid w:val="0"/>
      <w:sz w:val="24"/>
      <w:szCs w:val="20"/>
      <w:lang w:val="en-GB" w:eastAsia="de-DE"/>
    </w:rPr>
  </w:style>
  <w:style w:type="paragraph" w:customStyle="1" w:styleId="574">
    <w:name w:val="xl8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宋体"/>
      <w:sz w:val="20"/>
      <w:szCs w:val="20"/>
    </w:rPr>
  </w:style>
  <w:style w:type="paragraph" w:customStyle="1" w:styleId="575">
    <w:name w:val="xl10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宋体"/>
      <w:color w:val="000000"/>
      <w:sz w:val="18"/>
      <w:szCs w:val="18"/>
    </w:rPr>
  </w:style>
  <w:style w:type="paragraph" w:customStyle="1" w:styleId="576">
    <w:name w:val="文字"/>
    <w:basedOn w:val="1"/>
    <w:qFormat/>
    <w:uiPriority w:val="0"/>
    <w:pPr>
      <w:tabs>
        <w:tab w:val="left" w:pos="8520"/>
      </w:tabs>
      <w:spacing w:line="312" w:lineRule="auto"/>
      <w:ind w:right="-210" w:firstLine="556"/>
    </w:pPr>
    <w:rPr>
      <w:rFonts w:ascii="楷体_GB2312" w:eastAsia="楷体_GB2312"/>
      <w:sz w:val="28"/>
      <w:szCs w:val="20"/>
    </w:rPr>
  </w:style>
  <w:style w:type="paragraph" w:customStyle="1" w:styleId="577">
    <w:name w:val="xl125"/>
    <w:basedOn w:val="1"/>
    <w:uiPriority w:val="0"/>
    <w:pPr>
      <w:widowControl/>
      <w:pBdr>
        <w:top w:val="single" w:color="auto" w:sz="4" w:space="0"/>
        <w:left w:val="single" w:color="auto" w:sz="4" w:space="0"/>
        <w:bottom w:val="single" w:color="auto" w:sz="4" w:space="0"/>
        <w:right w:val="single" w:color="auto" w:sz="4" w:space="0"/>
      </w:pBdr>
      <w:shd w:val="clear" w:color="000000" w:fill="00CCFF"/>
      <w:spacing w:before="100" w:beforeAutospacing="1" w:after="100" w:afterAutospacing="1"/>
      <w:jc w:val="center"/>
    </w:pPr>
    <w:rPr>
      <w:rFonts w:cs="宋体"/>
      <w:b w:val="0"/>
      <w:bCs/>
      <w:color w:val="000000"/>
      <w:sz w:val="18"/>
      <w:szCs w:val="18"/>
    </w:rPr>
  </w:style>
  <w:style w:type="paragraph" w:customStyle="1" w:styleId="578">
    <w:name w:val=" Char Char1 Char Char Char Char Char Char Char Char Char Char Char Char Char Char"/>
    <w:basedOn w:val="1"/>
    <w:uiPriority w:val="0"/>
    <w:pPr>
      <w:widowControl/>
      <w:spacing w:after="160" w:line="240" w:lineRule="exact"/>
      <w:jc w:val="left"/>
    </w:pPr>
    <w:rPr>
      <w:rFonts w:ascii="Verdana" w:hAnsi="Verdana"/>
      <w:sz w:val="20"/>
      <w:szCs w:val="20"/>
      <w:lang w:eastAsia="en-US"/>
    </w:rPr>
  </w:style>
  <w:style w:type="paragraph" w:customStyle="1" w:styleId="579">
    <w:name w:val="xl16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宋体"/>
      <w:color w:val="000000"/>
      <w:sz w:val="18"/>
      <w:szCs w:val="18"/>
    </w:rPr>
  </w:style>
  <w:style w:type="paragraph" w:customStyle="1" w:styleId="580">
    <w:name w:val="默认段落字体 Para Char Char Char Char Char Char Char Char Char Char Char Char Char Char"/>
    <w:basedOn w:val="1"/>
    <w:uiPriority w:val="0"/>
    <w:pPr>
      <w:spacing w:line="240" w:lineRule="atLeast"/>
      <w:ind w:left="420" w:firstLine="420"/>
    </w:pPr>
    <w:rPr>
      <w:szCs w:val="21"/>
    </w:rPr>
  </w:style>
  <w:style w:type="paragraph" w:customStyle="1" w:styleId="581">
    <w:name w:val="xl182"/>
    <w:basedOn w:val="1"/>
    <w:uiPriority w:val="0"/>
    <w:pPr>
      <w:widowControl/>
      <w:pBdr>
        <w:top w:val="single" w:color="auto" w:sz="4" w:space="0"/>
        <w:left w:val="single" w:color="auto" w:sz="4" w:space="0"/>
        <w:bottom w:val="single" w:color="auto" w:sz="4" w:space="0"/>
        <w:right w:val="single" w:color="auto" w:sz="4" w:space="0"/>
      </w:pBdr>
      <w:shd w:val="clear" w:color="000000" w:fill="FFCC00"/>
      <w:spacing w:before="100" w:beforeAutospacing="1" w:after="100" w:afterAutospacing="1"/>
      <w:jc w:val="center"/>
    </w:pPr>
    <w:rPr>
      <w:rFonts w:cs="宋体"/>
      <w:b w:val="0"/>
      <w:bCs/>
      <w:sz w:val="18"/>
      <w:szCs w:val="18"/>
    </w:rPr>
  </w:style>
  <w:style w:type="paragraph" w:customStyle="1" w:styleId="582">
    <w:name w:val="xl4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b w:val="0"/>
      <w:bCs/>
      <w:color w:val="000000"/>
      <w:sz w:val="20"/>
      <w:szCs w:val="20"/>
    </w:rPr>
  </w:style>
  <w:style w:type="paragraph" w:customStyle="1" w:styleId="583">
    <w:name w:val="xl9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cs="宋体"/>
      <w:sz w:val="18"/>
      <w:szCs w:val="18"/>
    </w:rPr>
  </w:style>
  <w:style w:type="paragraph" w:customStyle="1" w:styleId="584">
    <w:name w:val="table head"/>
    <w:basedOn w:val="1"/>
    <w:uiPriority w:val="0"/>
    <w:pPr>
      <w:keepNext/>
      <w:keepLines/>
      <w:adjustRightInd w:val="0"/>
      <w:spacing w:line="312" w:lineRule="atLeast"/>
      <w:jc w:val="center"/>
      <w:textAlignment w:val="baseline"/>
    </w:pPr>
    <w:rPr>
      <w:b w:val="0"/>
      <w:szCs w:val="20"/>
    </w:rPr>
  </w:style>
  <w:style w:type="paragraph" w:customStyle="1" w:styleId="585">
    <w:name w:val="xl76"/>
    <w:basedOn w:val="1"/>
    <w:uiPriority w:val="0"/>
    <w:pPr>
      <w:widowControl/>
      <w:spacing w:before="100" w:beforeAutospacing="1" w:after="100" w:afterAutospacing="1"/>
      <w:jc w:val="left"/>
    </w:pPr>
    <w:rPr>
      <w:color w:val="000000"/>
      <w:sz w:val="20"/>
      <w:szCs w:val="20"/>
    </w:rPr>
  </w:style>
  <w:style w:type="paragraph" w:customStyle="1" w:styleId="586">
    <w:name w:val=" Char Char1"/>
    <w:basedOn w:val="1"/>
    <w:uiPriority w:val="0"/>
    <w:pPr>
      <w:widowControl/>
      <w:spacing w:after="160" w:line="240" w:lineRule="exact"/>
      <w:jc w:val="left"/>
    </w:pPr>
    <w:rPr>
      <w:rFonts w:ascii="Verdana" w:hAnsi="Verdana"/>
      <w:sz w:val="20"/>
      <w:szCs w:val="20"/>
      <w:lang w:eastAsia="en-US"/>
    </w:rPr>
  </w:style>
  <w:style w:type="paragraph" w:customStyle="1" w:styleId="587">
    <w:name w:val="默认段落字体 Para Char Char Char Char Char Char Char"/>
    <w:basedOn w:val="1"/>
    <w:uiPriority w:val="0"/>
    <w:rPr>
      <w:rFonts w:ascii="Tahoma" w:hAnsi="Tahoma"/>
      <w:sz w:val="24"/>
      <w:szCs w:val="20"/>
    </w:rPr>
  </w:style>
  <w:style w:type="paragraph" w:customStyle="1" w:styleId="588">
    <w:name w:val="MM Topic 7"/>
    <w:basedOn w:val="9"/>
    <w:uiPriority w:val="0"/>
    <w:pPr>
      <w:tabs>
        <w:tab w:val="left" w:pos="3827"/>
      </w:tabs>
      <w:spacing w:line="319" w:lineRule="auto"/>
    </w:pPr>
  </w:style>
  <w:style w:type="paragraph" w:customStyle="1" w:styleId="589">
    <w:name w:val="Pa0"/>
    <w:basedOn w:val="1"/>
    <w:next w:val="1"/>
    <w:uiPriority w:val="0"/>
    <w:pPr>
      <w:autoSpaceDE w:val="0"/>
      <w:autoSpaceDN w:val="0"/>
      <w:adjustRightInd w:val="0"/>
      <w:spacing w:line="181" w:lineRule="atLeast"/>
      <w:jc w:val="left"/>
    </w:pPr>
    <w:rPr>
      <w:rFonts w:ascii="H Yg 2gj" w:eastAsia="H Yg 2gj"/>
      <w:sz w:val="24"/>
    </w:rPr>
  </w:style>
  <w:style w:type="paragraph" w:customStyle="1" w:styleId="590">
    <w:name w:val="样式 右侧:  1 字符1"/>
    <w:basedOn w:val="1"/>
    <w:uiPriority w:val="0"/>
    <w:pPr>
      <w:ind w:left="240" w:leftChars="100" w:right="240" w:rightChars="100"/>
    </w:pPr>
    <w:rPr>
      <w:rFonts w:eastAsia="仿宋_GB2312" w:cs="宋体"/>
      <w:sz w:val="28"/>
      <w:szCs w:val="20"/>
    </w:rPr>
  </w:style>
  <w:style w:type="paragraph" w:customStyle="1" w:styleId="591">
    <w:name w:val="Char Char Char Char Char Char Char Char Char Char Char Char Char"/>
    <w:basedOn w:val="23"/>
    <w:uiPriority w:val="0"/>
    <w:pPr>
      <w:shd w:val="clear" w:color="auto" w:fill="000080"/>
    </w:pPr>
    <w:rPr>
      <w:rFonts w:ascii="Tahoma" w:hAnsi="Tahoma"/>
      <w:sz w:val="24"/>
      <w:szCs w:val="24"/>
      <w:shd w:val="clear" w:color="auto" w:fill="000080"/>
    </w:rPr>
  </w:style>
  <w:style w:type="paragraph" w:customStyle="1" w:styleId="592">
    <w:name w:val="样式 样式 标题 1章H1PartPIM 1h1H11H12H13H14H15H16H17H18H19H... Char Cha..."/>
    <w:basedOn w:val="1"/>
    <w:uiPriority w:val="0"/>
    <w:pPr>
      <w:keepNext/>
      <w:keepLines/>
      <w:numPr>
        <w:ilvl w:val="0"/>
        <w:numId w:val="10"/>
      </w:numPr>
      <w:spacing w:before="160" w:after="160" w:line="300" w:lineRule="auto"/>
      <w:contextualSpacing/>
      <w:outlineLvl w:val="0"/>
    </w:pPr>
    <w:rPr>
      <w:rFonts w:ascii="Arial" w:hAnsi="Arial" w:eastAsia="黑体"/>
      <w:b w:val="0"/>
      <w:bCs/>
      <w:kern w:val="44"/>
      <w:sz w:val="36"/>
      <w:szCs w:val="36"/>
    </w:rPr>
  </w:style>
  <w:style w:type="paragraph" w:customStyle="1" w:styleId="593">
    <w:name w:val="封面部门名"/>
    <w:basedOn w:val="1"/>
    <w:uiPriority w:val="0"/>
    <w:pPr>
      <w:wordWrap w:val="0"/>
      <w:jc w:val="center"/>
    </w:pPr>
    <w:rPr>
      <w:b w:val="0"/>
      <w:bCs/>
      <w:sz w:val="44"/>
    </w:rPr>
  </w:style>
  <w:style w:type="paragraph" w:customStyle="1" w:styleId="594">
    <w:name w:val="xl46"/>
    <w:basedOn w:val="1"/>
    <w:uiPriority w:val="0"/>
    <w:pPr>
      <w:widowControl/>
      <w:pBdr>
        <w:top w:val="single" w:color="auto" w:sz="4" w:space="0"/>
        <w:bottom w:val="single" w:color="auto" w:sz="4" w:space="0"/>
      </w:pBdr>
      <w:spacing w:before="100" w:beforeAutospacing="1" w:after="100" w:afterAutospacing="1"/>
      <w:jc w:val="left"/>
    </w:pPr>
    <w:rPr>
      <w:rFonts w:ascii="Arial Unicode MS" w:hAnsi="Arial Unicode MS" w:eastAsia="Arial Unicode MS" w:cs="Arial Unicode MS"/>
      <w:b w:val="0"/>
      <w:bCs/>
      <w:color w:val="000000"/>
      <w:sz w:val="20"/>
      <w:szCs w:val="20"/>
    </w:rPr>
  </w:style>
  <w:style w:type="paragraph" w:customStyle="1" w:styleId="595">
    <w:name w:val="Table Text"/>
    <w:basedOn w:val="1"/>
    <w:uiPriority w:val="0"/>
    <w:pPr>
      <w:widowControl/>
      <w:spacing w:before="60" w:after="60"/>
      <w:jc w:val="left"/>
    </w:pPr>
  </w:style>
  <w:style w:type="paragraph" w:customStyle="1" w:styleId="596">
    <w:name w:val="xl3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color w:val="000000"/>
      <w:sz w:val="16"/>
      <w:szCs w:val="16"/>
    </w:rPr>
  </w:style>
  <w:style w:type="paragraph" w:customStyle="1" w:styleId="597">
    <w:name w:val="标题2级"/>
    <w:basedOn w:val="4"/>
    <w:uiPriority w:val="0"/>
    <w:pPr>
      <w:keepLines/>
      <w:numPr>
        <w:ilvl w:val="1"/>
        <w:numId w:val="15"/>
      </w:numPr>
      <w:tabs>
        <w:tab w:val="left" w:pos="0"/>
        <w:tab w:val="clear" w:pos="567"/>
      </w:tabs>
      <w:spacing w:before="0" w:after="0"/>
      <w:jc w:val="both"/>
    </w:pPr>
    <w:rPr>
      <w:color w:val="000000"/>
      <w:szCs w:val="24"/>
    </w:rPr>
  </w:style>
  <w:style w:type="paragraph" w:customStyle="1" w:styleId="598">
    <w:name w:val="标书正文:  0.74 厘米"/>
    <w:basedOn w:val="1"/>
    <w:uiPriority w:val="0"/>
    <w:pPr>
      <w:ind w:firstLine="420"/>
    </w:pPr>
    <w:rPr>
      <w:sz w:val="24"/>
      <w:szCs w:val="18"/>
    </w:rPr>
  </w:style>
  <w:style w:type="paragraph" w:customStyle="1" w:styleId="599">
    <w:name w:val="xl41"/>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Arial Unicode MS" w:hAnsi="Arial Unicode MS" w:eastAsia="Arial Unicode MS" w:cs="Arial Unicode MS"/>
      <w:color w:val="000000"/>
      <w:sz w:val="20"/>
      <w:szCs w:val="20"/>
    </w:rPr>
  </w:style>
  <w:style w:type="paragraph" w:customStyle="1" w:styleId="600">
    <w:name w:val="xl10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cs="宋体"/>
      <w:color w:val="000000"/>
      <w:sz w:val="18"/>
      <w:szCs w:val="18"/>
    </w:rPr>
  </w:style>
  <w:style w:type="paragraph" w:customStyle="1" w:styleId="601">
    <w:name w:val="论文正文"/>
    <w:basedOn w:val="1"/>
    <w:uiPriority w:val="0"/>
    <w:rPr>
      <w:bCs/>
      <w:color w:val="000000"/>
      <w:sz w:val="24"/>
    </w:rPr>
  </w:style>
  <w:style w:type="paragraph" w:customStyle="1" w:styleId="602">
    <w:name w:val="xl6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宋体"/>
      <w:sz w:val="22"/>
      <w:szCs w:val="22"/>
    </w:rPr>
  </w:style>
  <w:style w:type="paragraph" w:customStyle="1" w:styleId="603">
    <w:name w:val="表格中文字格式"/>
    <w:basedOn w:val="1"/>
    <w:uiPriority w:val="0"/>
    <w:pPr>
      <w:spacing w:line="288" w:lineRule="auto"/>
    </w:pPr>
    <w:rPr>
      <w:rFonts w:ascii="新宋体" w:hAnsi="新宋体" w:eastAsia="新宋体" w:cs="宋体"/>
      <w:sz w:val="24"/>
    </w:rPr>
  </w:style>
  <w:style w:type="paragraph" w:customStyle="1" w:styleId="604">
    <w:name w:val="xl9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宋体"/>
      <w:sz w:val="18"/>
      <w:szCs w:val="18"/>
    </w:rPr>
  </w:style>
  <w:style w:type="paragraph" w:customStyle="1" w:styleId="605">
    <w:name w:val="tabletext"/>
    <w:basedOn w:val="1"/>
    <w:uiPriority w:val="0"/>
    <w:pPr>
      <w:widowControl/>
      <w:spacing w:line="300" w:lineRule="atLeast"/>
      <w:jc w:val="left"/>
    </w:pPr>
    <w:rPr>
      <w:rFonts w:cs="宋体"/>
      <w:sz w:val="18"/>
      <w:szCs w:val="18"/>
    </w:rPr>
  </w:style>
  <w:style w:type="paragraph" w:customStyle="1" w:styleId="606">
    <w:name w:val=" Char Char Char Char Char Char1 Char"/>
    <w:basedOn w:val="23"/>
    <w:uiPriority w:val="0"/>
    <w:pPr>
      <w:shd w:val="clear" w:color="auto" w:fill="000080"/>
    </w:pPr>
    <w:rPr>
      <w:rFonts w:ascii="Tahoma" w:hAnsi="Tahoma"/>
      <w:sz w:val="24"/>
      <w:szCs w:val="24"/>
    </w:rPr>
  </w:style>
  <w:style w:type="paragraph" w:customStyle="1" w:styleId="607">
    <w:name w:val="xl15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cs="宋体"/>
      <w:sz w:val="18"/>
      <w:szCs w:val="18"/>
    </w:rPr>
  </w:style>
  <w:style w:type="paragraph" w:customStyle="1" w:styleId="608">
    <w:name w:val="样式1"/>
    <w:basedOn w:val="1"/>
    <w:uiPriority w:val="0"/>
    <w:rPr>
      <w:rFonts w:eastAsia="隶书"/>
      <w:i/>
      <w:dstrike/>
      <w:sz w:val="28"/>
      <w:szCs w:val="18"/>
    </w:rPr>
  </w:style>
  <w:style w:type="paragraph" w:customStyle="1" w:styleId="609">
    <w:name w:val="样式"/>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610">
    <w:name w:val="xl67"/>
    <w:basedOn w:val="1"/>
    <w:uiPriority w:val="0"/>
    <w:pPr>
      <w:widowControl/>
      <w:pBdr>
        <w:top w:val="single" w:color="auto" w:sz="4" w:space="0"/>
        <w:left w:val="single" w:color="auto" w:sz="4" w:space="0"/>
        <w:bottom w:val="single" w:color="auto" w:sz="4" w:space="0"/>
      </w:pBdr>
      <w:spacing w:before="100" w:beforeAutospacing="1" w:after="100" w:afterAutospacing="1"/>
      <w:jc w:val="left"/>
    </w:pPr>
    <w:rPr>
      <w:rFonts w:cs="宋体"/>
      <w:sz w:val="22"/>
      <w:szCs w:val="22"/>
    </w:rPr>
  </w:style>
  <w:style w:type="paragraph" w:customStyle="1" w:styleId="611">
    <w:name w:val="Body Text 21"/>
    <w:basedOn w:val="1"/>
    <w:uiPriority w:val="0"/>
    <w:pPr>
      <w:adjustRightInd w:val="0"/>
      <w:spacing w:line="300" w:lineRule="auto"/>
      <w:jc w:val="center"/>
      <w:textAlignment w:val="baseline"/>
    </w:pPr>
    <w:rPr>
      <w:sz w:val="24"/>
      <w:szCs w:val="20"/>
    </w:rPr>
  </w:style>
  <w:style w:type="table" w:customStyle="1" w:styleId="612">
    <w:name w:val="网格型1"/>
    <w:basedOn w:val="76"/>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59"/>
    <customShpInfo spid="_x0000_s1056"/>
    <customShpInfo spid="_x0000_s105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87</Pages>
  <Words>47407</Words>
  <Characters>48308</Characters>
  <Lines>379</Lines>
  <Paragraphs>106</Paragraphs>
  <TotalTime>94</TotalTime>
  <ScaleCrop>false</ScaleCrop>
  <LinksUpToDate>false</LinksUpToDate>
  <CharactersWithSpaces>49704</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2021-07-30T02:48:00Z</dcterms:created>
  <dc:creator>www.hao123d.com</dc:creator>
  <cp:lastModifiedBy>WPS_1615221070</cp:lastModifiedBy>
  <cp:lastPrinted>2021-05-20T02:57:00Z</cp:lastPrinted>
  <dcterms:modified xsi:type="dcterms:W3CDTF">2021-08-03T01:30:08Z</dcterms:modified>
  <dc:title>招 标 文 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y fmtid="{D5CDD505-2E9C-101B-9397-08002B2CF9AE}" pid="3" name="ICV">
    <vt:lpwstr>747F3EB569B84DC3AA736DEF27021A38</vt:lpwstr>
  </property>
</Properties>
</file>