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olor w:val="auto"/>
          <w:sz w:val="30"/>
          <w:szCs w:val="30"/>
        </w:rPr>
      </w:pPr>
      <w:r>
        <w:rPr>
          <w:rFonts w:hint="eastAsia" w:ascii="黑体" w:hAnsi="黑体" w:eastAsia="黑体"/>
          <w:color w:val="auto"/>
          <w:sz w:val="30"/>
          <w:szCs w:val="30"/>
        </w:rPr>
        <w:t>招标编号：510108202100087</w:t>
      </w:r>
    </w:p>
    <w:p>
      <w:pPr>
        <w:rPr>
          <w:rFonts w:ascii="黑体" w:hAnsi="黑体" w:eastAsia="黑体"/>
          <w:color w:val="auto"/>
          <w:sz w:val="52"/>
          <w:szCs w:val="52"/>
        </w:rPr>
      </w:pPr>
    </w:p>
    <w:p>
      <w:pPr>
        <w:tabs>
          <w:tab w:val="left" w:pos="2505"/>
          <w:tab w:val="center" w:pos="4204"/>
        </w:tabs>
        <w:jc w:val="center"/>
        <w:rPr>
          <w:rFonts w:ascii="黑体" w:hAnsi="黑体" w:eastAsia="黑体"/>
          <w:color w:val="auto"/>
          <w:sz w:val="52"/>
          <w:szCs w:val="52"/>
        </w:rPr>
      </w:pPr>
      <w:r>
        <w:rPr>
          <w:rFonts w:hint="eastAsia" w:ascii="黑体" w:hAnsi="黑体" w:eastAsia="黑体"/>
          <w:color w:val="auto"/>
          <w:sz w:val="48"/>
          <w:szCs w:val="48"/>
          <w:lang w:eastAsia="zh-CN"/>
        </w:rPr>
        <w:t>成华区“数字孪生社区”试点项目（杉板桥社区）</w:t>
      </w:r>
    </w:p>
    <w:p>
      <w:pPr>
        <w:tabs>
          <w:tab w:val="left" w:pos="2505"/>
          <w:tab w:val="center" w:pos="4204"/>
        </w:tabs>
        <w:jc w:val="center"/>
        <w:rPr>
          <w:rFonts w:hint="eastAsia" w:ascii="黑体" w:hAnsi="黑体" w:eastAsia="黑体"/>
          <w:color w:val="auto"/>
          <w:sz w:val="52"/>
          <w:szCs w:val="52"/>
        </w:rPr>
      </w:pPr>
    </w:p>
    <w:p>
      <w:pPr>
        <w:pStyle w:val="2"/>
        <w:rPr>
          <w:rFonts w:hint="eastAsia"/>
        </w:rPr>
      </w:pPr>
    </w:p>
    <w:p>
      <w:pPr>
        <w:tabs>
          <w:tab w:val="left" w:pos="2505"/>
          <w:tab w:val="center" w:pos="4204"/>
        </w:tabs>
        <w:jc w:val="center"/>
        <w:rPr>
          <w:rFonts w:ascii="黑体" w:hAnsi="黑体" w:eastAsia="黑体"/>
          <w:color w:val="auto"/>
          <w:sz w:val="52"/>
          <w:szCs w:val="52"/>
        </w:rPr>
      </w:pPr>
      <w:r>
        <w:rPr>
          <w:rFonts w:hint="eastAsia" w:ascii="黑体" w:hAnsi="黑体" w:eastAsia="黑体"/>
          <w:color w:val="auto"/>
          <w:sz w:val="52"/>
          <w:szCs w:val="52"/>
        </w:rPr>
        <w:t>招</w:t>
      </w:r>
    </w:p>
    <w:p>
      <w:pPr>
        <w:jc w:val="center"/>
        <w:rPr>
          <w:rFonts w:ascii="黑体" w:hAnsi="黑体" w:eastAsia="黑体"/>
          <w:color w:val="auto"/>
          <w:sz w:val="52"/>
          <w:szCs w:val="52"/>
        </w:rPr>
      </w:pPr>
      <w:r>
        <w:rPr>
          <w:rFonts w:hint="eastAsia" w:ascii="黑体" w:hAnsi="黑体" w:eastAsia="黑体"/>
          <w:color w:val="auto"/>
          <w:sz w:val="52"/>
          <w:szCs w:val="52"/>
        </w:rPr>
        <w:t>标</w:t>
      </w:r>
    </w:p>
    <w:p>
      <w:pPr>
        <w:jc w:val="center"/>
        <w:rPr>
          <w:rFonts w:ascii="黑体" w:hAnsi="黑体" w:eastAsia="黑体"/>
          <w:color w:val="auto"/>
          <w:sz w:val="52"/>
          <w:szCs w:val="52"/>
        </w:rPr>
      </w:pPr>
      <w:r>
        <w:rPr>
          <w:rFonts w:hint="eastAsia" w:ascii="黑体" w:hAnsi="黑体" w:eastAsia="黑体"/>
          <w:color w:val="auto"/>
          <w:sz w:val="52"/>
          <w:szCs w:val="52"/>
        </w:rPr>
        <w:t>文</w:t>
      </w:r>
    </w:p>
    <w:p>
      <w:pPr>
        <w:jc w:val="center"/>
        <w:rPr>
          <w:rFonts w:ascii="黑体" w:hAnsi="黑体" w:eastAsia="黑体"/>
          <w:color w:val="auto"/>
          <w:sz w:val="52"/>
          <w:szCs w:val="52"/>
        </w:rPr>
      </w:pPr>
      <w:r>
        <w:rPr>
          <w:rFonts w:hint="eastAsia" w:ascii="黑体" w:hAnsi="黑体" w:eastAsia="黑体"/>
          <w:color w:val="auto"/>
          <w:sz w:val="52"/>
          <w:szCs w:val="52"/>
        </w:rPr>
        <w:t>件</w:t>
      </w:r>
    </w:p>
    <w:p>
      <w:pPr>
        <w:spacing w:line="360" w:lineRule="auto"/>
        <w:rPr>
          <w:rFonts w:ascii="黑体" w:hAnsi="黑体" w:eastAsia="黑体"/>
          <w:color w:val="auto"/>
          <w:sz w:val="32"/>
          <w:szCs w:val="32"/>
        </w:rPr>
      </w:pPr>
    </w:p>
    <w:p>
      <w:pPr>
        <w:pStyle w:val="2"/>
      </w:pPr>
    </w:p>
    <w:p>
      <w:pPr>
        <w:spacing w:line="360" w:lineRule="auto"/>
        <w:jc w:val="center"/>
        <w:rPr>
          <w:rFonts w:ascii="黑体" w:hAnsi="黑体" w:eastAsia="黑体" w:cs="宋体"/>
          <w:color w:val="auto"/>
          <w:sz w:val="32"/>
          <w:szCs w:val="32"/>
        </w:rPr>
      </w:pPr>
      <w:r>
        <w:rPr>
          <w:rFonts w:hint="eastAsia" w:ascii="黑体" w:hAnsi="黑体" w:eastAsia="黑体" w:cs="宋体"/>
          <w:color w:val="auto"/>
          <w:sz w:val="32"/>
          <w:szCs w:val="32"/>
        </w:rPr>
        <w:t>成都市成华区智慧城市治理中心</w:t>
      </w:r>
    </w:p>
    <w:p>
      <w:pPr>
        <w:spacing w:line="360" w:lineRule="auto"/>
        <w:jc w:val="center"/>
        <w:rPr>
          <w:rFonts w:ascii="黑体" w:hAnsi="黑体" w:eastAsia="黑体" w:cs="宋体"/>
          <w:color w:val="auto"/>
          <w:sz w:val="32"/>
          <w:szCs w:val="32"/>
        </w:rPr>
      </w:pPr>
      <w:r>
        <w:rPr>
          <w:rFonts w:hint="eastAsia" w:ascii="黑体" w:hAnsi="黑体" w:eastAsia="黑体" w:cs="宋体"/>
          <w:color w:val="auto"/>
          <w:sz w:val="32"/>
          <w:szCs w:val="32"/>
        </w:rPr>
        <w:t>四川中志招标代理有限公司</w:t>
      </w:r>
    </w:p>
    <w:p>
      <w:pPr>
        <w:spacing w:line="360" w:lineRule="auto"/>
        <w:jc w:val="center"/>
        <w:rPr>
          <w:rFonts w:ascii="黑体" w:hAnsi="黑体" w:eastAsia="黑体" w:cs="宋体"/>
          <w:color w:val="auto"/>
          <w:sz w:val="32"/>
          <w:szCs w:val="32"/>
        </w:rPr>
      </w:pPr>
      <w:r>
        <w:rPr>
          <w:rFonts w:hint="eastAsia" w:ascii="黑体" w:hAnsi="黑体" w:eastAsia="黑体" w:cs="宋体"/>
          <w:color w:val="auto"/>
          <w:sz w:val="32"/>
          <w:szCs w:val="32"/>
        </w:rPr>
        <w:t>共同编制</w:t>
      </w:r>
    </w:p>
    <w:p>
      <w:pPr>
        <w:spacing w:line="360" w:lineRule="auto"/>
        <w:jc w:val="center"/>
        <w:rPr>
          <w:rFonts w:ascii="黑体" w:hAnsi="黑体" w:eastAsia="黑体"/>
          <w:color w:val="auto"/>
          <w:sz w:val="24"/>
        </w:rPr>
        <w:sectPr>
          <w:headerReference r:id="rId3" w:type="default"/>
          <w:footerReference r:id="rId4" w:type="default"/>
          <w:footerReference r:id="rId5" w:type="even"/>
          <w:pgSz w:w="11907" w:h="16840"/>
          <w:pgMar w:top="1418" w:right="1514" w:bottom="1418" w:left="1985" w:header="851" w:footer="992" w:gutter="0"/>
          <w:pgNumType w:start="1"/>
          <w:cols w:space="720" w:num="1"/>
          <w:titlePg/>
          <w:docGrid w:linePitch="312" w:charSpace="0"/>
        </w:sectPr>
      </w:pPr>
      <w:r>
        <w:rPr>
          <w:rFonts w:hint="eastAsia" w:ascii="黑体" w:hAnsi="黑体" w:eastAsia="黑体" w:cs="宋体"/>
          <w:color w:val="auto"/>
          <w:sz w:val="32"/>
          <w:szCs w:val="32"/>
        </w:rPr>
        <w:t>2021</w:t>
      </w:r>
      <w:r>
        <w:rPr>
          <w:rFonts w:hint="eastAsia" w:ascii="黑体" w:hAnsi="黑体" w:eastAsia="黑体" w:cs="宋体"/>
          <w:color w:val="auto"/>
          <w:sz w:val="32"/>
          <w:szCs w:val="32"/>
          <w:lang w:val="zh-CN"/>
        </w:rPr>
        <w:t>年</w:t>
      </w:r>
      <w:r>
        <w:rPr>
          <w:rFonts w:hint="eastAsia" w:ascii="黑体" w:hAnsi="黑体" w:eastAsia="黑体" w:cs="宋体"/>
          <w:color w:val="auto"/>
          <w:sz w:val="32"/>
          <w:szCs w:val="32"/>
        </w:rPr>
        <w:t>6</w:t>
      </w:r>
      <w:r>
        <w:rPr>
          <w:rFonts w:hint="eastAsia" w:ascii="黑体" w:hAnsi="黑体" w:eastAsia="黑体" w:cs="宋体"/>
          <w:color w:val="auto"/>
          <w:sz w:val="32"/>
          <w:szCs w:val="32"/>
          <w:lang w:val="zh-CN"/>
        </w:rPr>
        <w:t>月</w:t>
      </w:r>
    </w:p>
    <w:p>
      <w:pPr>
        <w:jc w:val="center"/>
        <w:rPr>
          <w:rFonts w:ascii="仿宋" w:hAnsi="仿宋" w:eastAsia="仿宋"/>
          <w:b/>
          <w:bCs/>
          <w:color w:val="auto"/>
          <w:sz w:val="36"/>
          <w:szCs w:val="36"/>
        </w:rPr>
      </w:pPr>
      <w:bookmarkStart w:id="0" w:name="_Hlt101233737"/>
      <w:bookmarkEnd w:id="0"/>
      <w:bookmarkStart w:id="1" w:name="_Hlt101843627"/>
      <w:bookmarkEnd w:id="1"/>
      <w:r>
        <w:rPr>
          <w:rFonts w:hint="eastAsia" w:ascii="仿宋" w:hAnsi="仿宋" w:eastAsia="仿宋"/>
          <w:b/>
          <w:bCs/>
          <w:color w:val="auto"/>
          <w:sz w:val="36"/>
          <w:szCs w:val="36"/>
        </w:rPr>
        <w:t>目    录</w:t>
      </w:r>
    </w:p>
    <w:p>
      <w:pPr>
        <w:jc w:val="center"/>
        <w:rPr>
          <w:rFonts w:ascii="仿宋" w:hAnsi="仿宋" w:eastAsia="仿宋"/>
          <w:b/>
          <w:bCs/>
          <w:color w:val="auto"/>
          <w:sz w:val="36"/>
          <w:szCs w:val="36"/>
        </w:rPr>
      </w:pPr>
    </w:p>
    <w:p>
      <w:pPr>
        <w:pStyle w:val="19"/>
        <w:tabs>
          <w:tab w:val="right" w:leader="middleDot" w:pos="8959"/>
        </w:tabs>
        <w:spacing w:line="480" w:lineRule="auto"/>
        <w:rPr>
          <w:rFonts w:ascii="仿宋" w:hAnsi="仿宋" w:eastAsia="仿宋" w:cs="宋体"/>
          <w:color w:val="auto"/>
          <w:sz w:val="28"/>
          <w:szCs w:val="28"/>
        </w:rPr>
      </w:pP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TOC \o "1-1" \h \u </w:instrText>
      </w:r>
      <w:r>
        <w:rPr>
          <w:rFonts w:hint="eastAsia" w:ascii="仿宋" w:hAnsi="仿宋" w:eastAsia="仿宋" w:cs="宋体"/>
          <w:color w:val="auto"/>
          <w:sz w:val="28"/>
          <w:szCs w:val="28"/>
        </w:rPr>
        <w:fldChar w:fldCharType="separate"/>
      </w:r>
      <w:r>
        <w:rPr>
          <w:color w:val="auto"/>
        </w:rPr>
        <w:fldChar w:fldCharType="begin"/>
      </w:r>
      <w:r>
        <w:rPr>
          <w:color w:val="auto"/>
        </w:rPr>
        <w:instrText xml:space="preserve"> HYPERLINK \l "_Toc6066" </w:instrText>
      </w:r>
      <w:r>
        <w:rPr>
          <w:color w:val="auto"/>
        </w:rPr>
        <w:fldChar w:fldCharType="separate"/>
      </w:r>
      <w:r>
        <w:rPr>
          <w:rFonts w:hint="eastAsia" w:ascii="仿宋" w:hAnsi="仿宋" w:eastAsia="仿宋" w:cs="宋体"/>
          <w:color w:val="auto"/>
          <w:sz w:val="28"/>
          <w:szCs w:val="28"/>
        </w:rPr>
        <w:t>第一章  投标</w:t>
      </w:r>
      <w:bookmarkStart w:id="2" w:name="_Hlt493498728"/>
      <w:bookmarkStart w:id="3" w:name="_Hlt493498729"/>
      <w:r>
        <w:rPr>
          <w:rFonts w:hint="eastAsia" w:ascii="仿宋" w:hAnsi="仿宋" w:eastAsia="仿宋" w:cs="宋体"/>
          <w:color w:val="auto"/>
          <w:sz w:val="28"/>
          <w:szCs w:val="28"/>
        </w:rPr>
        <w:t>邀</w:t>
      </w:r>
      <w:bookmarkEnd w:id="2"/>
      <w:bookmarkEnd w:id="3"/>
      <w:r>
        <w:rPr>
          <w:rFonts w:hint="eastAsia" w:ascii="仿宋" w:hAnsi="仿宋" w:eastAsia="仿宋" w:cs="宋体"/>
          <w:color w:val="auto"/>
          <w:sz w:val="28"/>
          <w:szCs w:val="28"/>
        </w:rPr>
        <w:t>请</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_Toc6066 </w:instrText>
      </w:r>
      <w:r>
        <w:rPr>
          <w:rFonts w:hint="eastAsia" w:ascii="仿宋" w:hAnsi="仿宋" w:eastAsia="仿宋" w:cs="宋体"/>
          <w:color w:val="auto"/>
          <w:sz w:val="28"/>
          <w:szCs w:val="28"/>
        </w:rPr>
        <w:fldChar w:fldCharType="separate"/>
      </w:r>
      <w:r>
        <w:rPr>
          <w:rFonts w:hint="eastAsia" w:ascii="仿宋" w:hAnsi="仿宋" w:eastAsia="仿宋" w:cs="宋体"/>
          <w:color w:val="auto"/>
          <w:sz w:val="28"/>
          <w:szCs w:val="28"/>
        </w:rPr>
        <w:t>3</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pStyle w:val="19"/>
        <w:tabs>
          <w:tab w:val="right" w:leader="middleDot" w:pos="8959"/>
        </w:tabs>
        <w:spacing w:line="480" w:lineRule="auto"/>
        <w:rPr>
          <w:rFonts w:ascii="仿宋" w:hAnsi="仿宋" w:eastAsia="仿宋" w:cs="宋体"/>
          <w:color w:val="auto"/>
          <w:sz w:val="28"/>
          <w:szCs w:val="28"/>
        </w:rPr>
      </w:pPr>
      <w:r>
        <w:rPr>
          <w:color w:val="auto"/>
        </w:rPr>
        <w:fldChar w:fldCharType="begin"/>
      </w:r>
      <w:r>
        <w:rPr>
          <w:color w:val="auto"/>
        </w:rPr>
        <w:instrText xml:space="preserve"> HYPERLINK \l "_Toc12420" </w:instrText>
      </w:r>
      <w:r>
        <w:rPr>
          <w:color w:val="auto"/>
        </w:rPr>
        <w:fldChar w:fldCharType="separate"/>
      </w:r>
      <w:r>
        <w:rPr>
          <w:rFonts w:hint="eastAsia" w:ascii="仿宋" w:hAnsi="仿宋" w:eastAsia="仿宋" w:cs="宋体"/>
          <w:color w:val="auto"/>
          <w:sz w:val="28"/>
          <w:szCs w:val="28"/>
        </w:rPr>
        <w:t>第二章  投标人须知</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_Toc12420 </w:instrText>
      </w:r>
      <w:r>
        <w:rPr>
          <w:rFonts w:hint="eastAsia" w:ascii="仿宋" w:hAnsi="仿宋" w:eastAsia="仿宋" w:cs="宋体"/>
          <w:color w:val="auto"/>
          <w:sz w:val="28"/>
          <w:szCs w:val="28"/>
        </w:rPr>
        <w:fldChar w:fldCharType="separate"/>
      </w:r>
      <w:r>
        <w:rPr>
          <w:rFonts w:hint="eastAsia" w:ascii="仿宋" w:hAnsi="仿宋" w:eastAsia="仿宋" w:cs="宋体"/>
          <w:color w:val="auto"/>
          <w:sz w:val="28"/>
          <w:szCs w:val="28"/>
        </w:rPr>
        <w:t>5</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pStyle w:val="19"/>
        <w:tabs>
          <w:tab w:val="right" w:leader="middleDot" w:pos="8959"/>
        </w:tabs>
        <w:spacing w:line="480" w:lineRule="auto"/>
        <w:rPr>
          <w:rFonts w:ascii="仿宋" w:hAnsi="仿宋" w:eastAsia="仿宋" w:cs="宋体"/>
          <w:color w:val="auto"/>
          <w:sz w:val="28"/>
          <w:szCs w:val="28"/>
        </w:rPr>
      </w:pPr>
      <w:r>
        <w:rPr>
          <w:color w:val="auto"/>
        </w:rPr>
        <w:fldChar w:fldCharType="begin"/>
      </w:r>
      <w:r>
        <w:rPr>
          <w:color w:val="auto"/>
        </w:rPr>
        <w:instrText xml:space="preserve"> HYPERLINK \l "_Toc24369" </w:instrText>
      </w:r>
      <w:r>
        <w:rPr>
          <w:color w:val="auto"/>
        </w:rPr>
        <w:fldChar w:fldCharType="separate"/>
      </w:r>
      <w:r>
        <w:rPr>
          <w:rFonts w:hint="eastAsia" w:ascii="仿宋" w:hAnsi="仿宋" w:eastAsia="仿宋" w:cs="宋体"/>
          <w:color w:val="auto"/>
          <w:sz w:val="28"/>
          <w:szCs w:val="28"/>
        </w:rPr>
        <w:t>第三章  投标文件格式</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_Toc24369 </w:instrText>
      </w:r>
      <w:r>
        <w:rPr>
          <w:rFonts w:hint="eastAsia" w:ascii="仿宋" w:hAnsi="仿宋" w:eastAsia="仿宋" w:cs="宋体"/>
          <w:color w:val="auto"/>
          <w:sz w:val="28"/>
          <w:szCs w:val="28"/>
        </w:rPr>
        <w:fldChar w:fldCharType="separate"/>
      </w:r>
      <w:r>
        <w:rPr>
          <w:rFonts w:hint="eastAsia" w:ascii="仿宋" w:hAnsi="仿宋" w:eastAsia="仿宋" w:cs="宋体"/>
          <w:color w:val="auto"/>
          <w:sz w:val="28"/>
          <w:szCs w:val="28"/>
        </w:rPr>
        <w:t>23</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pStyle w:val="19"/>
        <w:tabs>
          <w:tab w:val="right" w:leader="middleDot" w:pos="8959"/>
        </w:tabs>
        <w:spacing w:line="480" w:lineRule="auto"/>
        <w:rPr>
          <w:rFonts w:ascii="仿宋" w:hAnsi="仿宋" w:eastAsia="仿宋" w:cs="宋体"/>
          <w:color w:val="auto"/>
          <w:sz w:val="28"/>
          <w:szCs w:val="28"/>
        </w:rPr>
      </w:pPr>
      <w:r>
        <w:rPr>
          <w:color w:val="auto"/>
        </w:rPr>
        <w:fldChar w:fldCharType="begin"/>
      </w:r>
      <w:r>
        <w:rPr>
          <w:color w:val="auto"/>
        </w:rPr>
        <w:instrText xml:space="preserve"> HYPERLINK \l "_Toc28654" </w:instrText>
      </w:r>
      <w:r>
        <w:rPr>
          <w:color w:val="auto"/>
        </w:rPr>
        <w:fldChar w:fldCharType="separate"/>
      </w:r>
      <w:r>
        <w:rPr>
          <w:rFonts w:hint="eastAsia" w:ascii="仿宋" w:hAnsi="仿宋" w:eastAsia="仿宋" w:cs="宋体"/>
          <w:color w:val="auto"/>
          <w:sz w:val="28"/>
          <w:szCs w:val="28"/>
        </w:rPr>
        <w:t>第四章  投标人和投标产品的资格、资质性及其他类似效力要求</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_Toc28654 </w:instrText>
      </w:r>
      <w:r>
        <w:rPr>
          <w:rFonts w:hint="eastAsia" w:ascii="仿宋" w:hAnsi="仿宋" w:eastAsia="仿宋" w:cs="宋体"/>
          <w:color w:val="auto"/>
          <w:sz w:val="28"/>
          <w:szCs w:val="28"/>
        </w:rPr>
        <w:fldChar w:fldCharType="separate"/>
      </w:r>
      <w:r>
        <w:rPr>
          <w:rFonts w:hint="eastAsia" w:ascii="仿宋" w:hAnsi="仿宋" w:eastAsia="仿宋" w:cs="宋体"/>
          <w:color w:val="auto"/>
          <w:sz w:val="28"/>
          <w:szCs w:val="28"/>
        </w:rPr>
        <w:t>37</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pStyle w:val="19"/>
        <w:tabs>
          <w:tab w:val="right" w:leader="middleDot" w:pos="8959"/>
        </w:tabs>
        <w:spacing w:line="480" w:lineRule="auto"/>
        <w:rPr>
          <w:rFonts w:ascii="仿宋" w:hAnsi="仿宋" w:eastAsia="仿宋" w:cs="宋体"/>
          <w:color w:val="auto"/>
          <w:sz w:val="28"/>
          <w:szCs w:val="28"/>
        </w:rPr>
      </w:pPr>
      <w:r>
        <w:rPr>
          <w:color w:val="auto"/>
        </w:rPr>
        <w:fldChar w:fldCharType="begin"/>
      </w:r>
      <w:r>
        <w:rPr>
          <w:color w:val="auto"/>
        </w:rPr>
        <w:instrText xml:space="preserve"> HYPERLINK \l "_Toc3806" </w:instrText>
      </w:r>
      <w:r>
        <w:rPr>
          <w:color w:val="auto"/>
        </w:rPr>
        <w:fldChar w:fldCharType="separate"/>
      </w:r>
      <w:r>
        <w:rPr>
          <w:rFonts w:hint="eastAsia" w:ascii="仿宋" w:hAnsi="仿宋" w:eastAsia="仿宋" w:cs="宋体"/>
          <w:color w:val="auto"/>
          <w:sz w:val="28"/>
          <w:szCs w:val="28"/>
        </w:rPr>
        <w:t>第五章  投标人应当提供的资格、资质性及其他类似效力要求的相关证明材料</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_Toc3806 </w:instrText>
      </w:r>
      <w:r>
        <w:rPr>
          <w:rFonts w:hint="eastAsia" w:ascii="仿宋" w:hAnsi="仿宋" w:eastAsia="仿宋" w:cs="宋体"/>
          <w:color w:val="auto"/>
          <w:sz w:val="28"/>
          <w:szCs w:val="28"/>
        </w:rPr>
        <w:fldChar w:fldCharType="separate"/>
      </w:r>
      <w:r>
        <w:rPr>
          <w:rFonts w:hint="eastAsia" w:ascii="仿宋" w:hAnsi="仿宋" w:eastAsia="仿宋" w:cs="宋体"/>
          <w:color w:val="auto"/>
          <w:sz w:val="28"/>
          <w:szCs w:val="28"/>
        </w:rPr>
        <w:t>43</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pStyle w:val="19"/>
        <w:tabs>
          <w:tab w:val="right" w:leader="middleDot" w:pos="8959"/>
        </w:tabs>
        <w:spacing w:line="480" w:lineRule="auto"/>
        <w:rPr>
          <w:rFonts w:ascii="仿宋" w:hAnsi="仿宋" w:eastAsia="仿宋" w:cs="宋体"/>
          <w:color w:val="auto"/>
          <w:sz w:val="28"/>
          <w:szCs w:val="28"/>
        </w:rPr>
      </w:pPr>
      <w:r>
        <w:rPr>
          <w:color w:val="auto"/>
        </w:rPr>
        <w:fldChar w:fldCharType="begin"/>
      </w:r>
      <w:r>
        <w:rPr>
          <w:color w:val="auto"/>
        </w:rPr>
        <w:instrText xml:space="preserve"> HYPERLINK \l "_Toc2122" </w:instrText>
      </w:r>
      <w:r>
        <w:rPr>
          <w:color w:val="auto"/>
        </w:rPr>
        <w:fldChar w:fldCharType="separate"/>
      </w:r>
      <w:r>
        <w:rPr>
          <w:rFonts w:hint="eastAsia" w:ascii="仿宋" w:hAnsi="仿宋" w:eastAsia="仿宋" w:cs="宋体"/>
          <w:color w:val="auto"/>
          <w:sz w:val="28"/>
          <w:szCs w:val="28"/>
        </w:rPr>
        <w:t>第六章  招标项目技术、服务、商务及其他要求</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_Toc2122 </w:instrText>
      </w:r>
      <w:r>
        <w:rPr>
          <w:rFonts w:hint="eastAsia" w:ascii="仿宋" w:hAnsi="仿宋" w:eastAsia="仿宋" w:cs="宋体"/>
          <w:color w:val="auto"/>
          <w:sz w:val="28"/>
          <w:szCs w:val="28"/>
        </w:rPr>
        <w:fldChar w:fldCharType="separate"/>
      </w:r>
      <w:r>
        <w:rPr>
          <w:rFonts w:hint="eastAsia" w:ascii="仿宋" w:hAnsi="仿宋" w:eastAsia="仿宋" w:cs="宋体"/>
          <w:color w:val="auto"/>
          <w:sz w:val="28"/>
          <w:szCs w:val="28"/>
        </w:rPr>
        <w:t>44</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pStyle w:val="19"/>
        <w:tabs>
          <w:tab w:val="right" w:leader="middleDot" w:pos="8959"/>
        </w:tabs>
        <w:spacing w:line="480" w:lineRule="auto"/>
        <w:rPr>
          <w:rFonts w:ascii="仿宋" w:hAnsi="仿宋" w:eastAsia="仿宋" w:cs="宋体"/>
          <w:color w:val="auto"/>
          <w:sz w:val="28"/>
          <w:szCs w:val="28"/>
        </w:rPr>
      </w:pPr>
      <w:r>
        <w:rPr>
          <w:color w:val="auto"/>
        </w:rPr>
        <w:fldChar w:fldCharType="begin"/>
      </w:r>
      <w:r>
        <w:rPr>
          <w:color w:val="auto"/>
        </w:rPr>
        <w:instrText xml:space="preserve"> HYPERLINK \l "_Toc31810" </w:instrText>
      </w:r>
      <w:r>
        <w:rPr>
          <w:color w:val="auto"/>
        </w:rPr>
        <w:fldChar w:fldCharType="separate"/>
      </w:r>
      <w:r>
        <w:rPr>
          <w:rFonts w:hint="eastAsia" w:ascii="仿宋" w:hAnsi="仿宋" w:eastAsia="仿宋" w:cs="宋体"/>
          <w:color w:val="auto"/>
          <w:sz w:val="28"/>
          <w:szCs w:val="28"/>
        </w:rPr>
        <w:t>第七章  评标办法</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_Toc31810 </w:instrText>
      </w:r>
      <w:r>
        <w:rPr>
          <w:rFonts w:hint="eastAsia" w:ascii="仿宋" w:hAnsi="仿宋" w:eastAsia="仿宋" w:cs="宋体"/>
          <w:color w:val="auto"/>
          <w:sz w:val="28"/>
          <w:szCs w:val="28"/>
        </w:rPr>
        <w:fldChar w:fldCharType="separate"/>
      </w:r>
      <w:r>
        <w:rPr>
          <w:rFonts w:hint="eastAsia" w:ascii="仿宋" w:hAnsi="仿宋" w:eastAsia="仿宋" w:cs="宋体"/>
          <w:color w:val="auto"/>
          <w:sz w:val="28"/>
          <w:szCs w:val="28"/>
        </w:rPr>
        <w:t>81</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pStyle w:val="19"/>
        <w:tabs>
          <w:tab w:val="right" w:leader="middleDot" w:pos="8959"/>
        </w:tabs>
        <w:spacing w:line="480" w:lineRule="auto"/>
        <w:rPr>
          <w:rFonts w:ascii="仿宋" w:hAnsi="仿宋" w:eastAsia="仿宋" w:cs="宋体"/>
          <w:color w:val="auto"/>
          <w:sz w:val="28"/>
          <w:szCs w:val="28"/>
        </w:rPr>
      </w:pPr>
      <w:r>
        <w:rPr>
          <w:color w:val="auto"/>
        </w:rPr>
        <w:fldChar w:fldCharType="begin"/>
      </w:r>
      <w:r>
        <w:rPr>
          <w:color w:val="auto"/>
        </w:rPr>
        <w:instrText xml:space="preserve"> HYPERLINK \l "_Toc5845" </w:instrText>
      </w:r>
      <w:r>
        <w:rPr>
          <w:color w:val="auto"/>
        </w:rPr>
        <w:fldChar w:fldCharType="separate"/>
      </w:r>
      <w:r>
        <w:rPr>
          <w:rFonts w:hint="eastAsia" w:ascii="仿宋" w:hAnsi="仿宋" w:eastAsia="仿宋" w:cs="宋体"/>
          <w:color w:val="auto"/>
          <w:sz w:val="28"/>
          <w:szCs w:val="28"/>
        </w:rPr>
        <w:t>第八章  政府采购合同</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_Toc5845 </w:instrText>
      </w:r>
      <w:r>
        <w:rPr>
          <w:rFonts w:hint="eastAsia" w:ascii="仿宋" w:hAnsi="仿宋" w:eastAsia="仿宋" w:cs="宋体"/>
          <w:color w:val="auto"/>
          <w:sz w:val="28"/>
          <w:szCs w:val="28"/>
        </w:rPr>
        <w:fldChar w:fldCharType="separate"/>
      </w:r>
      <w:r>
        <w:rPr>
          <w:rFonts w:hint="eastAsia" w:ascii="仿宋" w:hAnsi="仿宋" w:eastAsia="仿宋" w:cs="宋体"/>
          <w:color w:val="auto"/>
          <w:sz w:val="28"/>
          <w:szCs w:val="28"/>
        </w:rPr>
        <w:t>94</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spacing w:line="480" w:lineRule="auto"/>
        <w:rPr>
          <w:rFonts w:ascii="仿宋" w:hAnsi="仿宋" w:eastAsia="仿宋"/>
          <w:color w:val="auto"/>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color w:val="auto"/>
          <w:sz w:val="28"/>
          <w:szCs w:val="28"/>
        </w:rPr>
        <w:fldChar w:fldCharType="end"/>
      </w:r>
      <w:bookmarkStart w:id="4" w:name="_Toc6066"/>
      <w:bookmarkStart w:id="5" w:name="_Toc24584"/>
    </w:p>
    <w:p>
      <w:pPr>
        <w:pStyle w:val="3"/>
        <w:spacing w:line="240" w:lineRule="atLeast"/>
        <w:jc w:val="center"/>
        <w:rPr>
          <w:rFonts w:ascii="仿宋" w:hAnsi="仿宋" w:eastAsia="仿宋"/>
          <w:color w:val="auto"/>
          <w:sz w:val="36"/>
          <w:szCs w:val="36"/>
        </w:rPr>
      </w:pPr>
      <w:r>
        <w:rPr>
          <w:rFonts w:hint="eastAsia" w:ascii="仿宋" w:hAnsi="仿宋" w:eastAsia="仿宋"/>
          <w:color w:val="auto"/>
          <w:sz w:val="36"/>
          <w:szCs w:val="36"/>
        </w:rPr>
        <w:t>第一章  投标邀请</w:t>
      </w:r>
      <w:bookmarkEnd w:id="4"/>
      <w:bookmarkEnd w:id="5"/>
    </w:p>
    <w:p>
      <w:pPr>
        <w:tabs>
          <w:tab w:val="left" w:pos="7665"/>
        </w:tabs>
        <w:spacing w:line="400" w:lineRule="exact"/>
        <w:ind w:firstLine="600" w:firstLineChars="250"/>
        <w:rPr>
          <w:rFonts w:ascii="仿宋" w:hAnsi="仿宋" w:eastAsia="仿宋" w:cs="宋体"/>
          <w:color w:val="auto"/>
          <w:sz w:val="24"/>
        </w:rPr>
      </w:pPr>
      <w:r>
        <w:rPr>
          <w:rFonts w:hint="eastAsia" w:ascii="仿宋" w:hAnsi="仿宋" w:eastAsia="仿宋" w:cs="宋体"/>
          <w:color w:val="auto"/>
          <w:sz w:val="24"/>
          <w:u w:val="single"/>
        </w:rPr>
        <w:t>四川中志招标代理有限公司</w:t>
      </w:r>
      <w:r>
        <w:rPr>
          <w:rFonts w:hint="eastAsia" w:ascii="仿宋" w:hAnsi="仿宋" w:eastAsia="仿宋" w:cs="宋体"/>
          <w:color w:val="auto"/>
          <w:sz w:val="24"/>
        </w:rPr>
        <w:t>受</w:t>
      </w:r>
      <w:r>
        <w:rPr>
          <w:rFonts w:hint="eastAsia" w:ascii="仿宋" w:hAnsi="仿宋" w:eastAsia="仿宋" w:cs="宋体"/>
          <w:color w:val="auto"/>
          <w:sz w:val="24"/>
          <w:u w:val="single"/>
        </w:rPr>
        <w:t>成都市成华区智慧城市治理中心</w:t>
      </w:r>
      <w:r>
        <w:rPr>
          <w:rFonts w:hint="eastAsia" w:ascii="仿宋" w:hAnsi="仿宋" w:eastAsia="仿宋" w:cs="宋体"/>
          <w:color w:val="auto"/>
          <w:sz w:val="24"/>
        </w:rPr>
        <w:t>委托，拟对</w:t>
      </w:r>
      <w:r>
        <w:rPr>
          <w:rFonts w:hint="eastAsia" w:ascii="仿宋" w:hAnsi="仿宋" w:eastAsia="仿宋" w:cs="宋体"/>
          <w:color w:val="auto"/>
          <w:sz w:val="24"/>
          <w:u w:val="single"/>
          <w:lang w:eastAsia="zh-CN"/>
        </w:rPr>
        <w:t>成华区“数字孪生社区”试点项目（杉板桥社区）</w:t>
      </w:r>
      <w:r>
        <w:rPr>
          <w:rFonts w:ascii="仿宋" w:hAnsi="仿宋" w:eastAsia="仿宋" w:cs="宋体"/>
          <w:color w:val="auto"/>
          <w:sz w:val="24"/>
          <w:u w:val="single"/>
        </w:rPr>
        <w:t xml:space="preserve"> </w:t>
      </w:r>
      <w:bookmarkStart w:id="6" w:name="PO_默认文件内容_4"/>
      <w:r>
        <w:rPr>
          <w:rFonts w:hint="eastAsia" w:ascii="仿宋" w:hAnsi="仿宋" w:eastAsia="仿宋" w:cs="宋体"/>
          <w:color w:val="auto"/>
          <w:sz w:val="24"/>
        </w:rPr>
        <w:t>进行国内公开招标，兹邀请符合本次招标要求的供应商参加投标。</w:t>
      </w:r>
      <w:bookmarkEnd w:id="6"/>
    </w:p>
    <w:p>
      <w:pPr>
        <w:spacing w:line="360" w:lineRule="auto"/>
        <w:ind w:firstLine="482" w:firstLineChars="200"/>
        <w:rPr>
          <w:rFonts w:ascii="仿宋" w:hAnsi="仿宋" w:eastAsia="仿宋"/>
          <w:b/>
          <w:color w:val="auto"/>
          <w:sz w:val="24"/>
        </w:rPr>
      </w:pPr>
      <w:r>
        <w:rPr>
          <w:rFonts w:hint="eastAsia" w:ascii="仿宋" w:hAnsi="仿宋" w:eastAsia="仿宋"/>
          <w:b/>
          <w:color w:val="auto"/>
          <w:sz w:val="24"/>
        </w:rPr>
        <w:t>一、招标编号：</w:t>
      </w:r>
      <w:r>
        <w:rPr>
          <w:rFonts w:hint="eastAsia" w:ascii="仿宋" w:hAnsi="仿宋" w:eastAsia="仿宋"/>
          <w:bCs/>
          <w:color w:val="auto"/>
          <w:sz w:val="24"/>
        </w:rPr>
        <w:t>510108202100087。</w:t>
      </w:r>
    </w:p>
    <w:p>
      <w:pPr>
        <w:spacing w:line="360" w:lineRule="auto"/>
        <w:ind w:right="31" w:rightChars="15" w:firstLine="482" w:firstLineChars="200"/>
        <w:rPr>
          <w:rFonts w:ascii="仿宋" w:hAnsi="仿宋" w:eastAsia="仿宋"/>
          <w:b/>
          <w:color w:val="auto"/>
          <w:sz w:val="24"/>
          <w:szCs w:val="32"/>
        </w:rPr>
      </w:pPr>
      <w:r>
        <w:rPr>
          <w:rFonts w:hint="eastAsia" w:ascii="仿宋" w:hAnsi="仿宋" w:eastAsia="仿宋"/>
          <w:b/>
          <w:bCs/>
          <w:color w:val="auto"/>
          <w:sz w:val="24"/>
        </w:rPr>
        <w:t>二、</w:t>
      </w:r>
      <w:r>
        <w:rPr>
          <w:rFonts w:hint="eastAsia" w:ascii="仿宋" w:hAnsi="仿宋" w:eastAsia="仿宋"/>
          <w:b/>
          <w:color w:val="auto"/>
          <w:sz w:val="24"/>
        </w:rPr>
        <w:t>招标项目：</w:t>
      </w:r>
      <w:r>
        <w:rPr>
          <w:rFonts w:hint="eastAsia" w:ascii="仿宋" w:hAnsi="仿宋" w:eastAsia="仿宋"/>
          <w:color w:val="auto"/>
          <w:sz w:val="24"/>
          <w:lang w:eastAsia="zh-CN"/>
        </w:rPr>
        <w:t>成华区“数字孪生社区”试点项目（杉板桥社区）</w:t>
      </w:r>
      <w:r>
        <w:rPr>
          <w:rFonts w:hint="eastAsia" w:ascii="仿宋" w:hAnsi="仿宋" w:eastAsia="仿宋"/>
          <w:b/>
          <w:color w:val="auto"/>
          <w:sz w:val="24"/>
          <w:szCs w:val="32"/>
        </w:rPr>
        <w:t>。</w:t>
      </w:r>
    </w:p>
    <w:p>
      <w:pPr>
        <w:spacing w:line="360" w:lineRule="auto"/>
        <w:ind w:right="31" w:rightChars="15" w:firstLine="482" w:firstLineChars="200"/>
        <w:rPr>
          <w:rFonts w:ascii="仿宋" w:hAnsi="仿宋" w:eastAsia="仿宋"/>
          <w:b/>
          <w:bCs/>
          <w:color w:val="auto"/>
          <w:sz w:val="24"/>
        </w:rPr>
      </w:pPr>
      <w:r>
        <w:rPr>
          <w:rFonts w:hint="eastAsia" w:ascii="仿宋" w:hAnsi="仿宋" w:eastAsia="仿宋"/>
          <w:b/>
          <w:color w:val="auto"/>
          <w:sz w:val="24"/>
          <w:szCs w:val="28"/>
        </w:rPr>
        <w:t>三、资金来源：</w:t>
      </w:r>
      <w:r>
        <w:rPr>
          <w:rFonts w:hint="eastAsia" w:ascii="仿宋" w:hAnsi="仿宋" w:eastAsia="仿宋"/>
          <w:color w:val="auto"/>
          <w:sz w:val="24"/>
        </w:rPr>
        <w:t>财政性资金</w:t>
      </w:r>
    </w:p>
    <w:p>
      <w:pPr>
        <w:spacing w:line="360" w:lineRule="auto"/>
        <w:ind w:firstLine="482" w:firstLineChars="200"/>
        <w:rPr>
          <w:rFonts w:ascii="仿宋" w:hAnsi="仿宋" w:eastAsia="仿宋"/>
          <w:color w:val="auto"/>
          <w:sz w:val="24"/>
        </w:rPr>
      </w:pPr>
      <w:r>
        <w:rPr>
          <w:rFonts w:hint="eastAsia" w:ascii="仿宋" w:hAnsi="仿宋" w:eastAsia="仿宋"/>
          <w:b/>
          <w:color w:val="auto"/>
          <w:sz w:val="24"/>
        </w:rPr>
        <w:t>四</w:t>
      </w:r>
      <w:r>
        <w:rPr>
          <w:rFonts w:hint="eastAsia" w:ascii="仿宋" w:hAnsi="仿宋" w:eastAsia="仿宋"/>
          <w:b/>
          <w:bCs/>
          <w:color w:val="auto"/>
          <w:sz w:val="24"/>
        </w:rPr>
        <w:t>、</w:t>
      </w:r>
      <w:r>
        <w:rPr>
          <w:rFonts w:hint="eastAsia" w:ascii="仿宋" w:hAnsi="仿宋" w:eastAsia="仿宋"/>
          <w:b/>
          <w:color w:val="auto"/>
          <w:sz w:val="24"/>
        </w:rPr>
        <w:t>招标项目简介：</w:t>
      </w:r>
    </w:p>
    <w:p>
      <w:pPr>
        <w:spacing w:after="120" w:afterLines="50" w:line="420" w:lineRule="exact"/>
        <w:ind w:firstLine="480" w:firstLineChars="200"/>
        <w:rPr>
          <w:rFonts w:ascii="仿宋" w:hAnsi="仿宋" w:eastAsia="仿宋"/>
          <w:color w:val="auto"/>
          <w:sz w:val="24"/>
          <w:szCs w:val="28"/>
        </w:rPr>
      </w:pPr>
      <w:bookmarkStart w:id="7" w:name="PO_默认文件内容_3"/>
      <w:r>
        <w:rPr>
          <w:rFonts w:hint="eastAsia" w:ascii="仿宋" w:hAnsi="仿宋" w:eastAsia="仿宋"/>
          <w:color w:val="auto"/>
          <w:sz w:val="24"/>
          <w:lang w:eastAsia="zh-CN"/>
        </w:rPr>
        <w:t>成华区“数字孪生社区”试点项目（杉板桥社区）</w:t>
      </w:r>
      <w:r>
        <w:rPr>
          <w:rFonts w:hint="eastAsia" w:ascii="仿宋" w:hAnsi="仿宋" w:eastAsia="仿宋"/>
          <w:color w:val="auto"/>
          <w:sz w:val="24"/>
          <w:szCs w:val="28"/>
        </w:rPr>
        <w:t>（具体详见招标文件第六章）。</w:t>
      </w:r>
      <w:bookmarkEnd w:id="7"/>
    </w:p>
    <w:p>
      <w:pPr>
        <w:spacing w:after="120" w:afterLines="50" w:line="420" w:lineRule="exact"/>
        <w:ind w:firstLine="482" w:firstLineChars="200"/>
        <w:rPr>
          <w:rFonts w:ascii="仿宋" w:hAnsi="仿宋" w:eastAsia="仿宋"/>
          <w:b/>
          <w:bCs/>
          <w:color w:val="auto"/>
          <w:sz w:val="24"/>
        </w:rPr>
      </w:pPr>
      <w:r>
        <w:rPr>
          <w:rFonts w:hint="eastAsia" w:ascii="仿宋" w:hAnsi="仿宋" w:eastAsia="仿宋"/>
          <w:b/>
          <w:bCs/>
          <w:color w:val="auto"/>
          <w:sz w:val="24"/>
        </w:rPr>
        <w:t>五、供应商参加本次政府采购活动，应当在提交投标文件前具备下列条件：</w:t>
      </w:r>
    </w:p>
    <w:p>
      <w:pPr>
        <w:pStyle w:val="45"/>
        <w:spacing w:line="420" w:lineRule="exact"/>
        <w:ind w:firstLine="600" w:firstLineChars="250"/>
        <w:rPr>
          <w:rFonts w:ascii="仿宋" w:hAnsi="仿宋" w:eastAsia="仿宋" w:cs="宋体"/>
          <w:color w:val="auto"/>
          <w:sz w:val="24"/>
        </w:rPr>
      </w:pPr>
      <w:bookmarkStart w:id="8" w:name="PO_供应商资格条件_1"/>
      <w:r>
        <w:rPr>
          <w:rFonts w:ascii="仿宋" w:hAnsi="仿宋" w:eastAsia="仿宋" w:cs="宋体"/>
          <w:color w:val="auto"/>
          <w:sz w:val="24"/>
        </w:rPr>
        <w:t>1、</w:t>
      </w:r>
      <w:r>
        <w:rPr>
          <w:rFonts w:hint="eastAsia" w:ascii="仿宋" w:hAnsi="仿宋" w:eastAsia="仿宋" w:cs="宋体"/>
          <w:color w:val="auto"/>
          <w:sz w:val="24"/>
        </w:rPr>
        <w:t>满足《中华人民共和国政府采购法》第二十二条规定</w:t>
      </w:r>
      <w:r>
        <w:rPr>
          <w:rFonts w:ascii="仿宋" w:hAnsi="仿宋" w:eastAsia="仿宋" w:cs="宋体"/>
          <w:color w:val="auto"/>
          <w:sz w:val="24"/>
        </w:rPr>
        <w:t>；</w:t>
      </w:r>
    </w:p>
    <w:p>
      <w:pPr>
        <w:tabs>
          <w:tab w:val="left" w:pos="7665"/>
        </w:tabs>
        <w:spacing w:line="400" w:lineRule="exact"/>
        <w:ind w:firstLine="600" w:firstLineChars="250"/>
        <w:rPr>
          <w:rFonts w:ascii="仿宋" w:hAnsi="仿宋" w:eastAsia="仿宋" w:cs="宋体"/>
          <w:color w:val="auto"/>
          <w:sz w:val="24"/>
        </w:rPr>
      </w:pPr>
      <w:r>
        <w:rPr>
          <w:rFonts w:ascii="仿宋" w:hAnsi="仿宋" w:eastAsia="仿宋" w:cs="宋体"/>
          <w:color w:val="auto"/>
          <w:sz w:val="24"/>
        </w:rPr>
        <w:t>2、</w:t>
      </w:r>
      <w:r>
        <w:rPr>
          <w:rFonts w:hint="eastAsia" w:ascii="仿宋" w:hAnsi="仿宋" w:eastAsia="仿宋" w:cs="宋体"/>
          <w:color w:val="auto"/>
          <w:sz w:val="24"/>
        </w:rPr>
        <w:t>落实政府采购政策需满足的资格要求：</w:t>
      </w:r>
    </w:p>
    <w:p>
      <w:pPr>
        <w:tabs>
          <w:tab w:val="left" w:pos="7665"/>
        </w:tabs>
        <w:spacing w:line="400" w:lineRule="exact"/>
        <w:ind w:firstLine="960" w:firstLineChars="400"/>
        <w:rPr>
          <w:rFonts w:ascii="仿宋" w:hAnsi="仿宋" w:eastAsia="仿宋" w:cs="宋体"/>
          <w:color w:val="auto"/>
          <w:sz w:val="24"/>
        </w:rPr>
      </w:pPr>
      <w:r>
        <w:rPr>
          <w:rFonts w:hint="eastAsia" w:ascii="仿宋" w:hAnsi="仿宋" w:eastAsia="仿宋" w:cs="宋体"/>
          <w:color w:val="auto"/>
          <w:sz w:val="24"/>
        </w:rPr>
        <w:t>无</w:t>
      </w:r>
      <w:r>
        <w:rPr>
          <w:rFonts w:ascii="仿宋" w:hAnsi="仿宋" w:eastAsia="仿宋"/>
          <w:color w:val="auto"/>
          <w:sz w:val="24"/>
        </w:rPr>
        <w:t>。</w:t>
      </w:r>
    </w:p>
    <w:p>
      <w:pPr>
        <w:pStyle w:val="45"/>
        <w:spacing w:line="420" w:lineRule="exact"/>
        <w:ind w:firstLine="600" w:firstLineChars="250"/>
        <w:rPr>
          <w:rFonts w:ascii="仿宋" w:hAnsi="仿宋" w:eastAsia="仿宋" w:cs="宋体"/>
          <w:color w:val="auto"/>
          <w:sz w:val="24"/>
        </w:rPr>
      </w:pPr>
      <w:r>
        <w:rPr>
          <w:rFonts w:ascii="仿宋" w:hAnsi="仿宋" w:eastAsia="仿宋" w:cs="宋体"/>
          <w:color w:val="auto"/>
          <w:sz w:val="24"/>
        </w:rPr>
        <w:t>3</w:t>
      </w:r>
      <w:r>
        <w:rPr>
          <w:rFonts w:hint="eastAsia" w:ascii="仿宋" w:hAnsi="仿宋" w:eastAsia="仿宋" w:cs="宋体"/>
          <w:color w:val="auto"/>
          <w:sz w:val="24"/>
        </w:rPr>
        <w:t>、本项目的特定资格要求：</w:t>
      </w:r>
    </w:p>
    <w:p>
      <w:pPr>
        <w:pStyle w:val="45"/>
        <w:spacing w:line="420" w:lineRule="exact"/>
        <w:ind w:firstLine="960" w:firstLineChars="400"/>
        <w:rPr>
          <w:rFonts w:ascii="仿宋" w:hAnsi="仿宋" w:eastAsia="仿宋" w:cs="宋体"/>
          <w:color w:val="auto"/>
          <w:sz w:val="24"/>
        </w:rPr>
      </w:pPr>
      <w:r>
        <w:rPr>
          <w:rFonts w:hint="eastAsia" w:ascii="仿宋" w:hAnsi="仿宋" w:eastAsia="仿宋" w:cs="宋体"/>
          <w:color w:val="auto"/>
          <w:sz w:val="24"/>
        </w:rPr>
        <w:t>无</w:t>
      </w:r>
      <w:r>
        <w:rPr>
          <w:rFonts w:ascii="仿宋" w:hAnsi="仿宋" w:eastAsia="仿宋" w:cs="宋体"/>
          <w:color w:val="auto"/>
          <w:sz w:val="24"/>
        </w:rPr>
        <w:t>。</w:t>
      </w:r>
      <w:bookmarkEnd w:id="8"/>
    </w:p>
    <w:p>
      <w:pPr>
        <w:spacing w:line="400" w:lineRule="exact"/>
        <w:ind w:firstLine="480" w:firstLineChars="200"/>
        <w:rPr>
          <w:rFonts w:ascii="仿宋" w:hAnsi="仿宋" w:eastAsia="仿宋"/>
          <w:color w:val="auto"/>
          <w:sz w:val="24"/>
        </w:rPr>
      </w:pPr>
      <w:bookmarkStart w:id="9" w:name="PO_默认文件内容_7"/>
      <w:r>
        <w:rPr>
          <w:rFonts w:hint="eastAsia" w:ascii="仿宋" w:hAnsi="仿宋" w:eastAsia="仿宋" w:cs="宋体"/>
          <w:color w:val="auto"/>
          <w:sz w:val="24"/>
        </w:rPr>
        <w:t>4、根</w:t>
      </w:r>
      <w:r>
        <w:rPr>
          <w:rFonts w:hint="eastAsia" w:ascii="仿宋" w:hAnsi="仿宋" w:eastAsia="仿宋"/>
          <w:color w:val="auto"/>
          <w:sz w:val="24"/>
        </w:rPr>
        <w:t>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bookmarkEnd w:id="9"/>
    </w:p>
    <w:p>
      <w:pPr>
        <w:spacing w:after="50" w:line="420" w:lineRule="exact"/>
        <w:ind w:firstLine="482" w:firstLineChars="200"/>
        <w:rPr>
          <w:rFonts w:ascii="仿宋" w:hAnsi="仿宋" w:eastAsia="仿宋"/>
          <w:b/>
          <w:color w:val="auto"/>
          <w:sz w:val="24"/>
        </w:rPr>
      </w:pPr>
      <w:r>
        <w:rPr>
          <w:rFonts w:hint="eastAsia" w:ascii="仿宋" w:hAnsi="仿宋" w:eastAsia="仿宋"/>
          <w:b/>
          <w:color w:val="auto"/>
          <w:sz w:val="24"/>
        </w:rPr>
        <w:t>六、招标文件获取：</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招标文件获取时间：2021年6月1</w:t>
      </w:r>
      <w:r>
        <w:rPr>
          <w:rFonts w:hint="eastAsia" w:ascii="仿宋" w:hAnsi="仿宋" w:eastAsia="仿宋"/>
          <w:color w:val="auto"/>
          <w:sz w:val="24"/>
          <w:lang w:val="en-US" w:eastAsia="zh-CN"/>
        </w:rPr>
        <w:t>8</w:t>
      </w:r>
      <w:r>
        <w:rPr>
          <w:rFonts w:hint="eastAsia" w:ascii="仿宋" w:hAnsi="仿宋" w:eastAsia="仿宋"/>
          <w:color w:val="auto"/>
          <w:sz w:val="24"/>
        </w:rPr>
        <w:t>日9:00至2021年6月2</w:t>
      </w:r>
      <w:r>
        <w:rPr>
          <w:rFonts w:hint="eastAsia" w:ascii="仿宋" w:hAnsi="仿宋" w:eastAsia="仿宋"/>
          <w:color w:val="auto"/>
          <w:sz w:val="24"/>
          <w:lang w:val="en-US" w:eastAsia="zh-CN"/>
        </w:rPr>
        <w:t>4</w:t>
      </w:r>
      <w:r>
        <w:rPr>
          <w:rFonts w:hint="eastAsia" w:ascii="仿宋" w:hAnsi="仿宋" w:eastAsia="仿宋"/>
          <w:color w:val="auto"/>
          <w:sz w:val="24"/>
        </w:rPr>
        <w:t>日17：00（北京时间）</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招标文件获取方式：投标人从“政府采购云平台”获取采购文件（网址：</w:t>
      </w:r>
      <w:r>
        <w:rPr>
          <w:color w:val="auto"/>
        </w:rPr>
        <w:fldChar w:fldCharType="begin"/>
      </w:r>
      <w:r>
        <w:rPr>
          <w:color w:val="auto"/>
        </w:rPr>
        <w:instrText xml:space="preserve"> HYPERLINK "https://www.zcygov.cn）项目采购—获取采购文件—申请获取采购文件。_x0005_" </w:instrText>
      </w:r>
      <w:r>
        <w:rPr>
          <w:color w:val="auto"/>
        </w:rPr>
        <w:fldChar w:fldCharType="separate"/>
      </w:r>
      <w:r>
        <w:rPr>
          <w:rFonts w:hint="eastAsia" w:ascii="仿宋" w:hAnsi="仿宋" w:eastAsia="仿宋"/>
          <w:color w:val="auto"/>
          <w:sz w:val="24"/>
        </w:rPr>
        <w:t>https://www.zcygov.cn）。登录政府采购云平台—项目采购—获取采购文件—申请获取采购文件</w:t>
      </w:r>
      <w:r>
        <w:rPr>
          <w:rFonts w:hint="eastAsia" w:ascii="仿宋" w:hAnsi="仿宋" w:eastAsia="仿宋"/>
          <w:color w:val="auto"/>
          <w:sz w:val="24"/>
        </w:rPr>
        <w:fldChar w:fldCharType="end"/>
      </w:r>
      <w:r>
        <w:rPr>
          <w:rFonts w:hint="eastAsia" w:ascii="仿宋" w:hAnsi="仿宋" w:eastAsia="仿宋"/>
          <w:color w:val="auto"/>
          <w:sz w:val="24"/>
        </w:rPr>
        <w:t>。</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提示：</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（1）本项目招标文件免费获取。</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（3）本项目为电子招标投标项目，投标人参与本项目全过程中凡涉及系统操作请详见《供应商政府采购项目电子交易操作指南》。（操作指南以政府采购云平台网站发布为准，获取方式详见：</w:t>
      </w:r>
      <w:r>
        <w:rPr>
          <w:rFonts w:hint="eastAsia" w:ascii="仿宋" w:hAnsi="仿宋" w:eastAsia="仿宋"/>
          <w:b/>
          <w:bCs/>
          <w:color w:val="auto"/>
          <w:sz w:val="24"/>
        </w:rPr>
        <w:t>附件三-政府采购云平台使用介绍</w:t>
      </w:r>
      <w:r>
        <w:rPr>
          <w:rFonts w:hint="eastAsia" w:ascii="仿宋" w:hAnsi="仿宋" w:eastAsia="仿宋"/>
          <w:color w:val="auto"/>
          <w:sz w:val="24"/>
        </w:rPr>
        <w:t>）</w:t>
      </w:r>
    </w:p>
    <w:p>
      <w:pPr>
        <w:spacing w:after="50" w:line="420" w:lineRule="exact"/>
        <w:ind w:firstLine="482" w:firstLineChars="200"/>
        <w:rPr>
          <w:rFonts w:ascii="仿宋" w:hAnsi="仿宋" w:eastAsia="仿宋"/>
          <w:b/>
          <w:color w:val="auto"/>
          <w:sz w:val="24"/>
        </w:rPr>
      </w:pPr>
      <w:r>
        <w:rPr>
          <w:rFonts w:hint="eastAsia" w:ascii="仿宋" w:hAnsi="仿宋" w:eastAsia="仿宋"/>
          <w:b/>
          <w:color w:val="auto"/>
          <w:sz w:val="24"/>
          <w:szCs w:val="28"/>
        </w:rPr>
        <w:t>七、</w:t>
      </w:r>
      <w:r>
        <w:rPr>
          <w:rFonts w:hint="eastAsia" w:ascii="仿宋" w:hAnsi="仿宋" w:eastAsia="仿宋"/>
          <w:b/>
          <w:color w:val="auto"/>
          <w:sz w:val="24"/>
        </w:rPr>
        <w:t>投标截止时间和开标时间：</w:t>
      </w:r>
      <w:r>
        <w:rPr>
          <w:rFonts w:hint="eastAsia" w:ascii="仿宋" w:hAnsi="仿宋" w:eastAsia="仿宋"/>
          <w:color w:val="auto"/>
          <w:sz w:val="24"/>
        </w:rPr>
        <w:t>2021年7月</w:t>
      </w:r>
      <w:r>
        <w:rPr>
          <w:rFonts w:hint="eastAsia" w:ascii="仿宋" w:hAnsi="仿宋" w:eastAsia="仿宋"/>
          <w:color w:val="auto"/>
          <w:sz w:val="24"/>
          <w:lang w:val="en-US" w:eastAsia="zh-CN"/>
        </w:rPr>
        <w:t>8</w:t>
      </w:r>
      <w:r>
        <w:rPr>
          <w:rFonts w:hint="eastAsia" w:ascii="仿宋" w:hAnsi="仿宋" w:eastAsia="仿宋"/>
          <w:color w:val="auto"/>
          <w:sz w:val="24"/>
        </w:rPr>
        <w:t>日</w:t>
      </w:r>
      <w:r>
        <w:rPr>
          <w:rFonts w:hint="eastAsia"/>
          <w:color w:val="auto"/>
          <w:sz w:val="24"/>
        </w:rPr>
        <w:t>11</w:t>
      </w:r>
      <w:r>
        <w:rPr>
          <w:color w:val="auto"/>
          <w:sz w:val="24"/>
        </w:rPr>
        <w:t>:</w:t>
      </w:r>
      <w:r>
        <w:rPr>
          <w:rFonts w:hint="eastAsia"/>
          <w:color w:val="auto"/>
          <w:sz w:val="24"/>
        </w:rPr>
        <w:t>00</w:t>
      </w:r>
      <w:r>
        <w:rPr>
          <w:color w:val="auto"/>
          <w:sz w:val="24"/>
        </w:rPr>
        <w:t>（北京时间）</w:t>
      </w:r>
      <w:r>
        <w:rPr>
          <w:rFonts w:hint="eastAsia" w:ascii="仿宋" w:hAnsi="仿宋" w:eastAsia="仿宋"/>
          <w:color w:val="auto"/>
          <w:sz w:val="24"/>
          <w:szCs w:val="28"/>
        </w:rPr>
        <w:t>。</w:t>
      </w:r>
    </w:p>
    <w:p>
      <w:pPr>
        <w:pStyle w:val="12"/>
        <w:spacing w:after="120" w:afterLines="50" w:line="420" w:lineRule="exact"/>
        <w:ind w:firstLine="480"/>
        <w:rPr>
          <w:rFonts w:ascii="仿宋" w:hAnsi="仿宋" w:eastAsia="仿宋"/>
          <w:color w:val="auto"/>
          <w:sz w:val="24"/>
          <w:szCs w:val="28"/>
        </w:rPr>
      </w:pPr>
      <w:r>
        <w:rPr>
          <w:rFonts w:hint="eastAsia" w:ascii="仿宋" w:hAnsi="仿宋" w:eastAsia="仿宋"/>
          <w:color w:val="auto"/>
          <w:sz w:val="24"/>
          <w:szCs w:val="28"/>
        </w:rPr>
        <w:t>投标截止时间前，投标人应将加密的电子投标文件递交至“政府采购云平台”对应项目。</w:t>
      </w:r>
    </w:p>
    <w:p>
      <w:pPr>
        <w:spacing w:after="50" w:line="420" w:lineRule="exact"/>
        <w:ind w:firstLine="489" w:firstLineChars="203"/>
        <w:rPr>
          <w:rFonts w:ascii="仿宋" w:hAnsi="仿宋" w:eastAsia="仿宋"/>
          <w:b/>
          <w:color w:val="auto"/>
          <w:sz w:val="24"/>
          <w:szCs w:val="28"/>
        </w:rPr>
      </w:pPr>
      <w:r>
        <w:rPr>
          <w:rFonts w:hint="eastAsia" w:ascii="仿宋" w:hAnsi="仿宋" w:eastAsia="仿宋"/>
          <w:b/>
          <w:color w:val="auto"/>
          <w:sz w:val="24"/>
          <w:szCs w:val="28"/>
        </w:rPr>
        <w:t>八、开标地点：</w:t>
      </w:r>
    </w:p>
    <w:p>
      <w:pPr>
        <w:spacing w:after="50" w:line="420" w:lineRule="exact"/>
        <w:ind w:firstLine="487" w:firstLineChars="203"/>
        <w:rPr>
          <w:rFonts w:ascii="仿宋" w:hAnsi="仿宋" w:eastAsia="仿宋"/>
          <w:color w:val="auto"/>
          <w:sz w:val="24"/>
          <w:szCs w:val="28"/>
        </w:rPr>
      </w:pPr>
      <w:r>
        <w:rPr>
          <w:rFonts w:hint="eastAsia" w:ascii="仿宋" w:hAnsi="仿宋" w:eastAsia="仿宋"/>
          <w:color w:val="auto"/>
          <w:sz w:val="24"/>
          <w:szCs w:val="28"/>
        </w:rPr>
        <w:t>（1）本项目为不见面开标项目。</w:t>
      </w:r>
    </w:p>
    <w:p>
      <w:pPr>
        <w:spacing w:after="50" w:line="420" w:lineRule="exact"/>
        <w:ind w:firstLine="487" w:firstLineChars="203"/>
        <w:rPr>
          <w:rFonts w:ascii="仿宋" w:hAnsi="仿宋" w:eastAsia="仿宋"/>
          <w:color w:val="auto"/>
          <w:sz w:val="24"/>
          <w:szCs w:val="28"/>
        </w:rPr>
      </w:pPr>
      <w:r>
        <w:rPr>
          <w:rFonts w:hint="eastAsia" w:ascii="仿宋" w:hAnsi="仿宋" w:eastAsia="仿宋"/>
          <w:color w:val="auto"/>
          <w:sz w:val="24"/>
          <w:szCs w:val="28"/>
        </w:rPr>
        <w:t>（2）开标地点：政府采购云平台(https://www.zcygov.cn)</w:t>
      </w:r>
    </w:p>
    <w:p>
      <w:pPr>
        <w:spacing w:after="50" w:line="420" w:lineRule="exact"/>
        <w:ind w:firstLine="487" w:firstLineChars="203"/>
        <w:rPr>
          <w:rFonts w:ascii="仿宋" w:hAnsi="仿宋" w:eastAsia="仿宋"/>
          <w:color w:val="auto"/>
          <w:sz w:val="24"/>
          <w:szCs w:val="28"/>
        </w:rPr>
      </w:pPr>
      <w:r>
        <w:rPr>
          <w:rFonts w:hint="eastAsia" w:ascii="仿宋" w:hAnsi="仿宋" w:eastAsia="仿宋"/>
          <w:color w:val="auto"/>
          <w:sz w:val="24"/>
          <w:szCs w:val="28"/>
        </w:rPr>
        <w:t>（3）本项目只接受投标人加密并递交至“政府采购云平台”的投标文件。</w:t>
      </w:r>
    </w:p>
    <w:p>
      <w:pPr>
        <w:pStyle w:val="45"/>
        <w:spacing w:line="420" w:lineRule="exact"/>
        <w:ind w:firstLine="482"/>
        <w:rPr>
          <w:rFonts w:ascii="仿宋" w:hAnsi="仿宋" w:eastAsia="仿宋"/>
          <w:b/>
          <w:color w:val="auto"/>
          <w:sz w:val="24"/>
        </w:rPr>
      </w:pPr>
      <w:bookmarkStart w:id="10" w:name="PO_默认文件内容_13"/>
      <w:r>
        <w:rPr>
          <w:rFonts w:hint="eastAsia" w:ascii="仿宋" w:hAnsi="仿宋" w:eastAsia="仿宋"/>
          <w:b/>
          <w:color w:val="auto"/>
          <w:sz w:val="24"/>
        </w:rPr>
        <w:t>九、本投标邀请在四川政府采购网上以公告形式发布。</w:t>
      </w:r>
      <w:bookmarkEnd w:id="10"/>
    </w:p>
    <w:p>
      <w:pPr>
        <w:pStyle w:val="45"/>
        <w:spacing w:line="420" w:lineRule="exact"/>
        <w:ind w:firstLine="482"/>
        <w:rPr>
          <w:rFonts w:ascii="仿宋" w:hAnsi="仿宋" w:eastAsia="仿宋"/>
          <w:b/>
          <w:color w:val="auto"/>
          <w:sz w:val="24"/>
        </w:rPr>
      </w:pPr>
      <w:r>
        <w:rPr>
          <w:rFonts w:hint="eastAsia" w:ascii="仿宋" w:hAnsi="仿宋" w:eastAsia="仿宋"/>
          <w:b/>
          <w:color w:val="auto"/>
          <w:sz w:val="24"/>
        </w:rPr>
        <w:t>十、供应商信用融资：</w:t>
      </w:r>
    </w:p>
    <w:p>
      <w:pPr>
        <w:pStyle w:val="45"/>
        <w:spacing w:line="420" w:lineRule="exact"/>
        <w:ind w:firstLine="480"/>
        <w:rPr>
          <w:rFonts w:ascii="仿宋" w:hAnsi="仿宋" w:eastAsia="仿宋"/>
          <w:color w:val="auto"/>
          <w:sz w:val="24"/>
        </w:rPr>
      </w:pPr>
      <w:r>
        <w:rPr>
          <w:rFonts w:hint="eastAsia" w:ascii="仿宋" w:hAnsi="仿宋" w:eastAsia="仿宋"/>
          <w:color w:val="auto"/>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5"/>
        <w:spacing w:line="420" w:lineRule="exact"/>
        <w:ind w:firstLine="480"/>
        <w:rPr>
          <w:rFonts w:ascii="仿宋" w:hAnsi="仿宋" w:eastAsia="仿宋"/>
          <w:color w:val="auto"/>
          <w:sz w:val="24"/>
        </w:rPr>
      </w:pPr>
      <w:r>
        <w:rPr>
          <w:rFonts w:hint="eastAsia" w:ascii="仿宋" w:hAnsi="仿宋" w:eastAsia="仿宋"/>
          <w:color w:val="auto"/>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color w:val="auto"/>
          <w:sz w:val="24"/>
        </w:rPr>
        <w:t>20</w:t>
      </w:r>
      <w:r>
        <w:rPr>
          <w:rFonts w:hint="eastAsia" w:ascii="仿宋" w:hAnsi="仿宋" w:eastAsia="仿宋"/>
          <w:color w:val="auto"/>
          <w:sz w:val="24"/>
        </w:rPr>
        <w:t>〕</w:t>
      </w:r>
      <w:r>
        <w:rPr>
          <w:rFonts w:ascii="仿宋" w:hAnsi="仿宋" w:eastAsia="仿宋"/>
          <w:color w:val="auto"/>
          <w:sz w:val="24"/>
        </w:rPr>
        <w:t>20</w:t>
      </w:r>
      <w:r>
        <w:rPr>
          <w:rFonts w:hint="eastAsia" w:ascii="仿宋" w:hAnsi="仿宋" w:eastAsia="仿宋"/>
          <w:color w:val="auto"/>
          <w:sz w:val="24"/>
        </w:rPr>
        <w:t>号”）。</w:t>
      </w:r>
    </w:p>
    <w:p>
      <w:pPr>
        <w:pStyle w:val="45"/>
        <w:spacing w:line="420" w:lineRule="exact"/>
        <w:ind w:firstLine="480"/>
        <w:rPr>
          <w:rFonts w:ascii="仿宋" w:hAnsi="仿宋" w:eastAsia="仿宋"/>
          <w:color w:val="auto"/>
          <w:sz w:val="24"/>
        </w:rPr>
      </w:pPr>
    </w:p>
    <w:p>
      <w:pPr>
        <w:pStyle w:val="45"/>
        <w:spacing w:line="420" w:lineRule="exact"/>
        <w:ind w:firstLine="482"/>
        <w:rPr>
          <w:rFonts w:ascii="仿宋" w:hAnsi="仿宋" w:eastAsia="仿宋"/>
          <w:b/>
          <w:color w:val="auto"/>
          <w:sz w:val="24"/>
        </w:rPr>
      </w:pPr>
      <w:r>
        <w:rPr>
          <w:rFonts w:hint="eastAsia" w:ascii="仿宋" w:hAnsi="仿宋" w:eastAsia="仿宋"/>
          <w:b/>
          <w:color w:val="auto"/>
          <w:sz w:val="24"/>
        </w:rPr>
        <w:t>十一、联系方式</w:t>
      </w:r>
    </w:p>
    <w:p>
      <w:pPr>
        <w:pStyle w:val="45"/>
        <w:spacing w:line="420" w:lineRule="exact"/>
        <w:ind w:firstLine="1260" w:firstLineChars="525"/>
        <w:rPr>
          <w:rFonts w:ascii="仿宋" w:hAnsi="仿宋" w:eastAsia="仿宋"/>
          <w:b/>
          <w:bCs/>
          <w:color w:val="auto"/>
          <w:sz w:val="24"/>
        </w:rPr>
      </w:pPr>
      <w:r>
        <w:rPr>
          <w:rFonts w:hint="eastAsia" w:ascii="仿宋" w:hAnsi="仿宋" w:eastAsia="仿宋"/>
          <w:bCs/>
          <w:color w:val="auto"/>
          <w:sz w:val="24"/>
        </w:rPr>
        <w:t>采 购 人</w:t>
      </w:r>
      <w:r>
        <w:rPr>
          <w:rFonts w:hint="eastAsia" w:ascii="仿宋" w:hAnsi="仿宋" w:eastAsia="仿宋"/>
          <w:b/>
          <w:color w:val="auto"/>
          <w:sz w:val="24"/>
        </w:rPr>
        <w:t>：</w:t>
      </w:r>
      <w:r>
        <w:rPr>
          <w:rFonts w:hint="eastAsia" w:ascii="仿宋" w:hAnsi="仿宋" w:eastAsia="仿宋"/>
          <w:bCs/>
          <w:color w:val="auto"/>
          <w:sz w:val="24"/>
        </w:rPr>
        <w:t>成都市成华区智慧城市治理中心</w:t>
      </w:r>
    </w:p>
    <w:p>
      <w:pPr>
        <w:pStyle w:val="45"/>
        <w:spacing w:line="420" w:lineRule="exact"/>
        <w:ind w:firstLine="1260" w:firstLineChars="525"/>
        <w:rPr>
          <w:rFonts w:ascii="仿宋" w:hAnsi="仿宋" w:eastAsia="仿宋"/>
          <w:color w:val="auto"/>
          <w:sz w:val="24"/>
        </w:rPr>
      </w:pPr>
      <w:r>
        <w:rPr>
          <w:rFonts w:hint="eastAsia" w:ascii="仿宋" w:hAnsi="仿宋" w:eastAsia="仿宋"/>
          <w:bCs/>
          <w:color w:val="auto"/>
          <w:sz w:val="24"/>
        </w:rPr>
        <w:t>地    址：成都市成华区一环路东三段148号附1</w:t>
      </w:r>
    </w:p>
    <w:p>
      <w:pPr>
        <w:pStyle w:val="45"/>
        <w:spacing w:line="420" w:lineRule="exact"/>
        <w:ind w:firstLine="1260" w:firstLineChars="525"/>
        <w:rPr>
          <w:rFonts w:ascii="仿宋" w:hAnsi="仿宋" w:eastAsia="仿宋"/>
          <w:color w:val="auto"/>
          <w:sz w:val="24"/>
        </w:rPr>
      </w:pPr>
      <w:r>
        <w:rPr>
          <w:rFonts w:hint="eastAsia" w:ascii="仿宋" w:hAnsi="仿宋" w:eastAsia="仿宋"/>
          <w:color w:val="auto"/>
          <w:sz w:val="24"/>
        </w:rPr>
        <w:t>联 系 人：赖老师、罗老师</w:t>
      </w:r>
    </w:p>
    <w:p>
      <w:pPr>
        <w:pStyle w:val="45"/>
        <w:spacing w:line="420" w:lineRule="exact"/>
        <w:ind w:firstLine="1260" w:firstLineChars="525"/>
        <w:rPr>
          <w:rFonts w:ascii="仿宋" w:hAnsi="仿宋" w:eastAsia="仿宋"/>
          <w:color w:val="auto"/>
          <w:sz w:val="24"/>
        </w:rPr>
      </w:pPr>
      <w:r>
        <w:rPr>
          <w:rFonts w:hint="eastAsia" w:ascii="仿宋" w:hAnsi="仿宋" w:eastAsia="仿宋"/>
          <w:color w:val="auto"/>
          <w:sz w:val="24"/>
        </w:rPr>
        <w:t xml:space="preserve">联系电话：028-84301912 </w:t>
      </w:r>
    </w:p>
    <w:p>
      <w:pPr>
        <w:pStyle w:val="45"/>
        <w:spacing w:line="420" w:lineRule="exact"/>
        <w:ind w:firstLine="1260" w:firstLineChars="525"/>
        <w:rPr>
          <w:rFonts w:ascii="仿宋" w:hAnsi="仿宋" w:eastAsia="仿宋"/>
          <w:b/>
          <w:color w:val="auto"/>
          <w:sz w:val="24"/>
        </w:rPr>
      </w:pPr>
      <w:r>
        <w:rPr>
          <w:rFonts w:hint="eastAsia" w:ascii="仿宋" w:hAnsi="仿宋" w:eastAsia="仿宋"/>
          <w:bCs/>
          <w:color w:val="auto"/>
          <w:sz w:val="24"/>
        </w:rPr>
        <w:t>采购代理机构：四川中志招标代理有限公司</w:t>
      </w:r>
    </w:p>
    <w:p>
      <w:pPr>
        <w:pStyle w:val="45"/>
        <w:spacing w:line="420" w:lineRule="exact"/>
        <w:ind w:firstLine="1260" w:firstLineChars="525"/>
        <w:rPr>
          <w:rFonts w:ascii="仿宋" w:hAnsi="仿宋" w:eastAsia="仿宋"/>
          <w:color w:val="auto"/>
          <w:sz w:val="24"/>
        </w:rPr>
      </w:pPr>
      <w:r>
        <w:rPr>
          <w:rFonts w:hint="eastAsia" w:ascii="仿宋" w:hAnsi="仿宋" w:eastAsia="仿宋"/>
          <w:color w:val="auto"/>
          <w:sz w:val="24"/>
        </w:rPr>
        <w:t>地    址：</w:t>
      </w:r>
      <w:r>
        <w:rPr>
          <w:rFonts w:ascii="仿宋" w:hAnsi="仿宋" w:eastAsia="仿宋"/>
          <w:color w:val="auto"/>
          <w:sz w:val="24"/>
        </w:rPr>
        <w:t>成都市高新区吉泰五路88号3栋7层1号</w:t>
      </w:r>
      <w:r>
        <w:rPr>
          <w:rFonts w:hint="eastAsia" w:ascii="仿宋" w:hAnsi="仿宋" w:eastAsia="仿宋"/>
          <w:color w:val="auto"/>
          <w:sz w:val="24"/>
        </w:rPr>
        <w:t>（花样年</w:t>
      </w:r>
      <w:r>
        <w:rPr>
          <w:rFonts w:hint="eastAsia" w:cs="宋体"/>
          <w:color w:val="auto"/>
          <w:sz w:val="24"/>
        </w:rPr>
        <w:t>•</w:t>
      </w:r>
      <w:r>
        <w:rPr>
          <w:rFonts w:hint="eastAsia" w:ascii="仿宋" w:hAnsi="仿宋" w:eastAsia="仿宋" w:cs="仿宋"/>
          <w:color w:val="auto"/>
          <w:sz w:val="24"/>
        </w:rPr>
        <w:t>香年广场</w:t>
      </w:r>
      <w:r>
        <w:rPr>
          <w:rFonts w:hint="eastAsia" w:ascii="仿宋" w:hAnsi="仿宋" w:eastAsia="仿宋"/>
          <w:color w:val="auto"/>
          <w:sz w:val="24"/>
        </w:rPr>
        <w:t>）</w:t>
      </w:r>
    </w:p>
    <w:p>
      <w:pPr>
        <w:pStyle w:val="45"/>
        <w:spacing w:line="420" w:lineRule="exact"/>
        <w:ind w:firstLine="1260" w:firstLineChars="525"/>
        <w:rPr>
          <w:rFonts w:ascii="仿宋" w:hAnsi="仿宋" w:eastAsia="仿宋"/>
          <w:color w:val="auto"/>
          <w:sz w:val="24"/>
        </w:rPr>
      </w:pPr>
      <w:bookmarkStart w:id="11" w:name="_Toc12420"/>
      <w:bookmarkStart w:id="12" w:name="_Toc12497"/>
      <w:bookmarkStart w:id="13" w:name="_Toc213396945"/>
      <w:bookmarkStart w:id="14" w:name="_Toc217446031"/>
      <w:bookmarkStart w:id="15" w:name="_Toc213397009"/>
      <w:bookmarkStart w:id="16" w:name="_Toc213496267"/>
      <w:bookmarkStart w:id="17" w:name="_Toc213396759"/>
      <w:r>
        <w:rPr>
          <w:rFonts w:hint="eastAsia" w:ascii="仿宋" w:hAnsi="仿宋" w:eastAsia="仿宋"/>
          <w:color w:val="auto"/>
          <w:sz w:val="24"/>
        </w:rPr>
        <w:t>联 系 人：杨女士</w:t>
      </w:r>
    </w:p>
    <w:p>
      <w:pPr>
        <w:pStyle w:val="45"/>
        <w:spacing w:line="420" w:lineRule="exact"/>
        <w:ind w:firstLine="1260" w:firstLineChars="525"/>
        <w:rPr>
          <w:rFonts w:ascii="仿宋" w:hAnsi="仿宋" w:eastAsia="仿宋"/>
          <w:color w:val="auto"/>
          <w:sz w:val="24"/>
        </w:rPr>
      </w:pPr>
      <w:r>
        <w:rPr>
          <w:rFonts w:hint="eastAsia" w:ascii="仿宋" w:hAnsi="仿宋" w:eastAsia="仿宋"/>
          <w:color w:val="auto"/>
          <w:sz w:val="24"/>
        </w:rPr>
        <w:t>电    话：028-87333799-0（报名相关事宜咨询）</w:t>
      </w:r>
    </w:p>
    <w:p>
      <w:pPr>
        <w:pStyle w:val="45"/>
        <w:spacing w:line="420" w:lineRule="exact"/>
        <w:ind w:firstLine="2460" w:firstLineChars="1025"/>
        <w:rPr>
          <w:rFonts w:ascii="仿宋" w:hAnsi="仿宋" w:eastAsia="仿宋"/>
          <w:color w:val="auto"/>
          <w:sz w:val="24"/>
        </w:rPr>
      </w:pPr>
      <w:r>
        <w:rPr>
          <w:rFonts w:hint="eastAsia" w:ascii="仿宋" w:hAnsi="仿宋" w:eastAsia="仿宋"/>
          <w:color w:val="auto"/>
          <w:sz w:val="24"/>
        </w:rPr>
        <w:t>028-84510079-8006（采购项目相关事宜咨询）</w:t>
      </w:r>
    </w:p>
    <w:p>
      <w:pPr>
        <w:pStyle w:val="45"/>
        <w:spacing w:line="420" w:lineRule="exact"/>
        <w:ind w:firstLine="1260" w:firstLineChars="525"/>
        <w:rPr>
          <w:rFonts w:ascii="仿宋" w:hAnsi="仿宋" w:eastAsia="仿宋"/>
          <w:color w:val="auto"/>
          <w:sz w:val="24"/>
        </w:rPr>
      </w:pPr>
      <w:r>
        <w:rPr>
          <w:rFonts w:hint="eastAsia" w:ascii="仿宋" w:hAnsi="仿宋" w:eastAsia="仿宋"/>
          <w:color w:val="auto"/>
          <w:sz w:val="24"/>
        </w:rPr>
        <w:t>电子邮件：sczz@sczz84510079.com</w:t>
      </w:r>
    </w:p>
    <w:p>
      <w:pPr>
        <w:pStyle w:val="24"/>
        <w:spacing w:after="50" w:afterAutospacing="0" w:line="420" w:lineRule="exact"/>
        <w:rPr>
          <w:rFonts w:ascii="仿宋" w:hAnsi="仿宋" w:eastAsia="仿宋"/>
          <w:color w:val="auto"/>
          <w:sz w:val="36"/>
          <w:szCs w:val="36"/>
        </w:rPr>
      </w:pPr>
    </w:p>
    <w:p>
      <w:pPr>
        <w:rPr>
          <w:rFonts w:ascii="仿宋" w:hAnsi="仿宋" w:eastAsia="仿宋"/>
          <w:color w:val="auto"/>
          <w:sz w:val="36"/>
          <w:szCs w:val="36"/>
        </w:rPr>
      </w:pPr>
      <w:r>
        <w:rPr>
          <w:rFonts w:hint="eastAsia" w:ascii="仿宋" w:hAnsi="仿宋" w:eastAsia="仿宋"/>
          <w:color w:val="auto"/>
          <w:sz w:val="36"/>
          <w:szCs w:val="36"/>
        </w:rPr>
        <w:br w:type="page"/>
      </w:r>
    </w:p>
    <w:p>
      <w:pPr>
        <w:pStyle w:val="3"/>
        <w:jc w:val="center"/>
        <w:rPr>
          <w:rFonts w:ascii="仿宋" w:hAnsi="仿宋" w:eastAsia="仿宋"/>
          <w:color w:val="auto"/>
          <w:sz w:val="36"/>
          <w:szCs w:val="36"/>
        </w:rPr>
      </w:pPr>
      <w:r>
        <w:rPr>
          <w:rFonts w:hint="eastAsia" w:ascii="仿宋" w:hAnsi="仿宋" w:eastAsia="仿宋"/>
          <w:color w:val="auto"/>
          <w:sz w:val="36"/>
          <w:szCs w:val="36"/>
        </w:rPr>
        <w:t>第二章  投标人须知</w:t>
      </w:r>
      <w:bookmarkEnd w:id="11"/>
      <w:bookmarkEnd w:id="12"/>
    </w:p>
    <w:p>
      <w:pPr>
        <w:pStyle w:val="4"/>
        <w:spacing w:line="240" w:lineRule="atLeast"/>
        <w:jc w:val="center"/>
        <w:rPr>
          <w:rFonts w:ascii="仿宋" w:hAnsi="仿宋" w:eastAsia="仿宋"/>
          <w:color w:val="auto"/>
        </w:rPr>
      </w:pPr>
      <w:r>
        <w:rPr>
          <w:rFonts w:hint="eastAsia" w:ascii="仿宋" w:hAnsi="仿宋" w:eastAsia="仿宋"/>
          <w:color w:val="auto"/>
        </w:rPr>
        <w:t>一、投标人须知附表</w:t>
      </w:r>
      <w:bookmarkEnd w:id="13"/>
      <w:bookmarkEnd w:id="14"/>
      <w:bookmarkEnd w:id="15"/>
      <w:bookmarkEnd w:id="16"/>
      <w:bookmarkEnd w:id="17"/>
    </w:p>
    <w:tbl>
      <w:tblPr>
        <w:tblStyle w:val="26"/>
        <w:tblW w:w="946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076"/>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4"/>
              <w:ind w:left="9"/>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序号</w:t>
            </w:r>
          </w:p>
        </w:tc>
        <w:tc>
          <w:tcPr>
            <w:tcW w:w="2552" w:type="dxa"/>
            <w:vAlign w:val="center"/>
          </w:tcPr>
          <w:p>
            <w:pPr>
              <w:pStyle w:val="44"/>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条款名称</w:t>
            </w:r>
          </w:p>
        </w:tc>
        <w:tc>
          <w:tcPr>
            <w:tcW w:w="6076" w:type="dxa"/>
            <w:vAlign w:val="center"/>
          </w:tcPr>
          <w:p>
            <w:pPr>
              <w:pStyle w:val="4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38" w:type="dxa"/>
            <w:vMerge w:val="restart"/>
            <w:vAlign w:val="center"/>
          </w:tcPr>
          <w:p>
            <w:pPr>
              <w:pStyle w:val="44"/>
              <w:ind w:right="230"/>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w:t>
            </w:r>
          </w:p>
        </w:tc>
        <w:tc>
          <w:tcPr>
            <w:tcW w:w="2552" w:type="dxa"/>
            <w:tcBorders>
              <w:bottom w:val="single" w:color="auto" w:sz="4" w:space="0"/>
            </w:tcBorders>
            <w:vAlign w:val="center"/>
          </w:tcPr>
          <w:p>
            <w:pPr>
              <w:pStyle w:val="44"/>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采购预算</w:t>
            </w:r>
          </w:p>
          <w:p>
            <w:pPr>
              <w:pStyle w:val="44"/>
              <w:ind w:left="38"/>
              <w:jc w:val="center"/>
              <w:rPr>
                <w:rFonts w:ascii="仿宋" w:hAnsi="仿宋" w:eastAsia="仿宋" w:cs="Times New Roman"/>
                <w:color w:val="auto"/>
                <w:kern w:val="2"/>
                <w:sz w:val="21"/>
                <w:szCs w:val="21"/>
              </w:rPr>
            </w:pPr>
            <w:r>
              <w:rPr>
                <w:rFonts w:hint="eastAsia" w:ascii="仿宋" w:hAnsi="仿宋" w:eastAsia="仿宋"/>
                <w:color w:val="auto"/>
                <w:sz w:val="21"/>
                <w:szCs w:val="21"/>
              </w:rPr>
              <w:t>（实质性要求）</w:t>
            </w:r>
          </w:p>
        </w:tc>
        <w:tc>
          <w:tcPr>
            <w:tcW w:w="6076" w:type="dxa"/>
            <w:tcBorders>
              <w:bottom w:val="single" w:color="auto" w:sz="4" w:space="0"/>
            </w:tcBorders>
          </w:tcPr>
          <w:p>
            <w:pPr>
              <w:widowControl/>
              <w:rPr>
                <w:rFonts w:ascii="仿宋" w:hAnsi="仿宋" w:eastAsia="仿宋"/>
                <w:color w:val="auto"/>
                <w:kern w:val="0"/>
                <w:szCs w:val="21"/>
              </w:rPr>
            </w:pPr>
            <w:r>
              <w:rPr>
                <w:rFonts w:ascii="仿宋" w:hAnsi="仿宋" w:eastAsia="仿宋"/>
                <w:color w:val="auto"/>
                <w:kern w:val="0"/>
                <w:szCs w:val="21"/>
                <w:lang w:val="zh-CN"/>
              </w:rPr>
              <w:t>本项目备案号：</w:t>
            </w:r>
            <w:r>
              <w:rPr>
                <w:rFonts w:hint="eastAsia" w:ascii="仿宋" w:hAnsi="仿宋" w:eastAsia="仿宋"/>
                <w:color w:val="auto"/>
                <w:kern w:val="0"/>
                <w:szCs w:val="21"/>
                <w:lang w:val="zh-CN"/>
              </w:rPr>
              <w:t>（</w:t>
            </w:r>
            <w:r>
              <w:rPr>
                <w:rFonts w:hint="eastAsia" w:ascii="仿宋" w:hAnsi="仿宋" w:eastAsia="仿宋"/>
                <w:color w:val="auto"/>
                <w:kern w:val="0"/>
                <w:szCs w:val="21"/>
              </w:rPr>
              <w:t>2021</w:t>
            </w:r>
            <w:r>
              <w:rPr>
                <w:rFonts w:hint="eastAsia" w:ascii="仿宋" w:hAnsi="仿宋" w:eastAsia="仿宋"/>
                <w:color w:val="auto"/>
                <w:kern w:val="0"/>
                <w:szCs w:val="21"/>
                <w:lang w:val="zh-CN"/>
              </w:rPr>
              <w:t>）</w:t>
            </w:r>
            <w:r>
              <w:rPr>
                <w:rFonts w:hint="eastAsia" w:ascii="仿宋" w:hAnsi="仿宋" w:eastAsia="仿宋"/>
                <w:color w:val="auto"/>
                <w:kern w:val="0"/>
                <w:szCs w:val="21"/>
              </w:rPr>
              <w:t>0478号</w:t>
            </w:r>
            <w:r>
              <w:rPr>
                <w:rFonts w:ascii="仿宋" w:hAnsi="仿宋" w:eastAsia="仿宋"/>
                <w:color w:val="auto"/>
                <w:kern w:val="0"/>
                <w:szCs w:val="21"/>
                <w:lang w:val="zh-CN"/>
              </w:rPr>
              <w:t xml:space="preserve">，采购预算品目为 </w:t>
            </w:r>
            <w:r>
              <w:rPr>
                <w:rFonts w:hint="eastAsia" w:ascii="仿宋" w:hAnsi="仿宋" w:eastAsia="仿宋"/>
                <w:color w:val="auto"/>
                <w:kern w:val="0"/>
                <w:szCs w:val="21"/>
              </w:rPr>
              <w:t>C020103 应用软件开发服务</w:t>
            </w:r>
            <w:r>
              <w:rPr>
                <w:rFonts w:ascii="仿宋" w:hAnsi="仿宋" w:eastAsia="仿宋"/>
                <w:color w:val="auto"/>
                <w:kern w:val="0"/>
                <w:szCs w:val="21"/>
                <w:lang w:val="zh-CN"/>
              </w:rPr>
              <w:t>，预算金额为人民币</w:t>
            </w:r>
            <w:r>
              <w:rPr>
                <w:rFonts w:hint="eastAsia" w:ascii="仿宋" w:hAnsi="仿宋" w:eastAsia="仿宋"/>
                <w:color w:val="auto"/>
                <w:kern w:val="0"/>
                <w:szCs w:val="21"/>
              </w:rPr>
              <w:t>515</w:t>
            </w:r>
            <w:r>
              <w:rPr>
                <w:rFonts w:ascii="仿宋" w:hAnsi="仿宋" w:eastAsia="仿宋"/>
                <w:color w:val="auto"/>
                <w:kern w:val="0"/>
                <w:szCs w:val="21"/>
                <w:lang w:val="zh-CN"/>
              </w:rPr>
              <w:t>万元。</w:t>
            </w:r>
          </w:p>
          <w:p>
            <w:pPr>
              <w:pStyle w:val="44"/>
              <w:jc w:val="both"/>
              <w:rPr>
                <w:rFonts w:ascii="仿宋" w:hAnsi="仿宋" w:eastAsia="仿宋" w:cs="Times New Roman"/>
                <w:color w:val="auto"/>
                <w:kern w:val="2"/>
                <w:sz w:val="21"/>
                <w:szCs w:val="21"/>
              </w:rPr>
            </w:pPr>
            <w:r>
              <w:rPr>
                <w:rFonts w:hint="eastAsia" w:ascii="仿宋" w:hAnsi="仿宋" w:eastAsia="仿宋"/>
                <w:color w:val="auto"/>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ascii="仿宋" w:hAnsi="仿宋" w:eastAsia="仿宋"/>
                <w:color w:val="auto"/>
                <w:szCs w:val="21"/>
              </w:rPr>
            </w:pPr>
          </w:p>
        </w:tc>
        <w:tc>
          <w:tcPr>
            <w:tcW w:w="2552" w:type="dxa"/>
            <w:tcBorders>
              <w:top w:val="single" w:color="auto" w:sz="4" w:space="0"/>
            </w:tcBorders>
            <w:vAlign w:val="center"/>
          </w:tcPr>
          <w:p>
            <w:pPr>
              <w:pStyle w:val="4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最高限价</w:t>
            </w:r>
          </w:p>
          <w:p>
            <w:pPr>
              <w:pStyle w:val="44"/>
              <w:jc w:val="center"/>
              <w:rPr>
                <w:rFonts w:ascii="仿宋" w:hAnsi="仿宋" w:eastAsia="仿宋" w:cs="Times New Roman"/>
                <w:color w:val="auto"/>
                <w:kern w:val="2"/>
                <w:sz w:val="21"/>
                <w:szCs w:val="21"/>
              </w:rPr>
            </w:pPr>
            <w:r>
              <w:rPr>
                <w:rFonts w:hint="eastAsia" w:ascii="仿宋" w:hAnsi="仿宋" w:eastAsia="仿宋"/>
                <w:color w:val="auto"/>
                <w:sz w:val="21"/>
                <w:szCs w:val="21"/>
              </w:rPr>
              <w:t>（实质性要求）</w:t>
            </w:r>
          </w:p>
        </w:tc>
        <w:tc>
          <w:tcPr>
            <w:tcW w:w="6076" w:type="dxa"/>
            <w:tcBorders>
              <w:top w:val="single" w:color="auto" w:sz="4" w:space="0"/>
            </w:tcBorders>
          </w:tcPr>
          <w:p>
            <w:pPr>
              <w:pStyle w:val="44"/>
              <w:jc w:val="both"/>
              <w:rPr>
                <w:rFonts w:ascii="仿宋" w:hAnsi="仿宋" w:eastAsia="仿宋"/>
                <w:color w:val="auto"/>
                <w:sz w:val="21"/>
                <w:szCs w:val="21"/>
                <w:lang w:val="zh-CN"/>
              </w:rPr>
            </w:pPr>
            <w:bookmarkStart w:id="18" w:name="PO_默认文件内容_27"/>
            <w:r>
              <w:rPr>
                <w:rFonts w:hint="eastAsia" w:ascii="仿宋" w:hAnsi="仿宋" w:eastAsia="仿宋"/>
                <w:color w:val="auto"/>
                <w:sz w:val="21"/>
                <w:szCs w:val="21"/>
              </w:rPr>
              <w:t>最高限价：515</w:t>
            </w:r>
            <w:r>
              <w:rPr>
                <w:rFonts w:hint="eastAsia" w:ascii="仿宋" w:hAnsi="仿宋" w:eastAsia="仿宋"/>
                <w:color w:val="auto"/>
                <w:sz w:val="21"/>
                <w:szCs w:val="21"/>
                <w:lang w:val="zh-CN"/>
              </w:rPr>
              <w:t>万元；</w:t>
            </w:r>
          </w:p>
          <w:p>
            <w:pPr>
              <w:pStyle w:val="44"/>
              <w:jc w:val="both"/>
              <w:rPr>
                <w:rFonts w:ascii="仿宋" w:hAnsi="仿宋" w:eastAsia="仿宋"/>
                <w:color w:val="auto"/>
                <w:szCs w:val="21"/>
              </w:rPr>
            </w:pPr>
            <w:r>
              <w:rPr>
                <w:rFonts w:hint="eastAsia" w:ascii="仿宋" w:hAnsi="仿宋" w:eastAsia="仿宋"/>
                <w:color w:val="auto"/>
                <w:sz w:val="21"/>
                <w:szCs w:val="21"/>
              </w:rPr>
              <w:t>超过最高限价的报价为无效投标。</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46" w:hRule="atLeast"/>
          <w:jc w:val="center"/>
        </w:trPr>
        <w:tc>
          <w:tcPr>
            <w:tcW w:w="838" w:type="dxa"/>
            <w:vAlign w:val="center"/>
          </w:tcPr>
          <w:p>
            <w:pPr>
              <w:pStyle w:val="44"/>
              <w:ind w:right="230"/>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2</w:t>
            </w:r>
          </w:p>
        </w:tc>
        <w:tc>
          <w:tcPr>
            <w:tcW w:w="2552" w:type="dxa"/>
            <w:vAlign w:val="center"/>
          </w:tcPr>
          <w:p>
            <w:pPr>
              <w:pStyle w:val="44"/>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不正当竞争预防措施</w:t>
            </w:r>
          </w:p>
          <w:p>
            <w:pPr>
              <w:pStyle w:val="44"/>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（实质性要求）</w:t>
            </w:r>
          </w:p>
        </w:tc>
        <w:tc>
          <w:tcPr>
            <w:tcW w:w="6076" w:type="dxa"/>
            <w:vAlign w:val="center"/>
          </w:tcPr>
          <w:p>
            <w:pPr>
              <w:pStyle w:val="44"/>
              <w:jc w:val="both"/>
              <w:rPr>
                <w:rFonts w:ascii="仿宋" w:hAnsi="仿宋" w:eastAsia="仿宋"/>
                <w:color w:val="auto"/>
                <w:sz w:val="21"/>
                <w:szCs w:val="21"/>
              </w:rPr>
            </w:pPr>
            <w:bookmarkStart w:id="19" w:name="PO_默认文件内容_1"/>
            <w:r>
              <w:rPr>
                <w:rFonts w:hint="eastAsia" w:ascii="仿宋" w:hAnsi="仿宋" w:eastAsia="仿宋"/>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pPr>
              <w:pStyle w:val="44"/>
              <w:jc w:val="both"/>
              <w:rPr>
                <w:rFonts w:ascii="仿宋" w:hAnsi="仿宋" w:eastAsia="仿宋"/>
                <w:color w:val="auto"/>
                <w:sz w:val="21"/>
                <w:szCs w:val="21"/>
              </w:rPr>
            </w:pPr>
            <w:r>
              <w:rPr>
                <w:rFonts w:hint="eastAsia" w:ascii="仿宋" w:hAnsi="仿宋" w:eastAsia="仿宋"/>
                <w:b/>
                <w:bCs/>
                <w:color w:val="auto"/>
                <w:sz w:val="21"/>
                <w:szCs w:val="21"/>
              </w:rPr>
              <w:t>注：</w:t>
            </w:r>
            <w:r>
              <w:rPr>
                <w:rFonts w:hint="eastAsia" w:ascii="仿宋" w:hAnsi="仿宋" w:eastAsia="仿宋"/>
                <w:b/>
                <w:bCs/>
                <w:color w:val="auto"/>
                <w:sz w:val="21"/>
                <w:szCs w:val="21"/>
                <w:lang w:val="zh-CN"/>
              </w:rPr>
              <w:t>投标人提交的书面说明、相关证明材料（如涉及），应当加盖投标人（法定名称）电子签章，在评标委员会要求的时间内通过政府采购云平台进行递交，否则无效（给予供应商澄清、说明的时间不得少于</w:t>
            </w:r>
            <w:r>
              <w:rPr>
                <w:rFonts w:hint="eastAsia" w:ascii="仿宋" w:hAnsi="仿宋" w:eastAsia="仿宋"/>
                <w:b/>
                <w:bCs/>
                <w:color w:val="auto"/>
                <w:sz w:val="21"/>
                <w:szCs w:val="21"/>
              </w:rPr>
              <w:t>30分钟，供应商已明确表示澄清、说明完毕的除外</w:t>
            </w:r>
            <w:r>
              <w:rPr>
                <w:rFonts w:hint="eastAsia" w:ascii="仿宋" w:hAnsi="仿宋" w:eastAsia="仿宋"/>
                <w:b/>
                <w:bCs/>
                <w:color w:val="auto"/>
                <w:sz w:val="21"/>
                <w:szCs w:val="21"/>
                <w:lang w:val="zh-CN"/>
              </w:rPr>
              <w:t>）。如因断电、断网、系统故障或其他不可抗力等因素，导致系统无法使用的，由投标人按评标委员会的要求进行澄清或者说明。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4"/>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3</w:t>
            </w:r>
          </w:p>
        </w:tc>
        <w:tc>
          <w:tcPr>
            <w:tcW w:w="2552" w:type="dxa"/>
            <w:vAlign w:val="center"/>
          </w:tcPr>
          <w:p>
            <w:pPr>
              <w:pStyle w:val="44"/>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进口产品（实质性要求）</w:t>
            </w:r>
          </w:p>
        </w:tc>
        <w:tc>
          <w:tcPr>
            <w:tcW w:w="6076" w:type="dxa"/>
            <w:vAlign w:val="center"/>
          </w:tcPr>
          <w:p>
            <w:pPr>
              <w:pStyle w:val="44"/>
              <w:ind w:firstLine="210" w:firstLineChars="100"/>
              <w:jc w:val="both"/>
              <w:rPr>
                <w:rFonts w:ascii="仿宋" w:hAnsi="仿宋" w:eastAsia="仿宋"/>
                <w:color w:val="auto"/>
                <w:sz w:val="21"/>
                <w:szCs w:val="21"/>
                <w:lang w:val="zh-CN"/>
              </w:rPr>
            </w:pPr>
            <w:bookmarkStart w:id="20" w:name="PO_默认文件内容_15"/>
            <w:r>
              <w:rPr>
                <w:rFonts w:hint="eastAsia" w:ascii="仿宋" w:hAnsi="仿宋" w:eastAsia="仿宋"/>
                <w:color w:val="auto"/>
                <w:sz w:val="21"/>
                <w:szCs w:val="21"/>
              </w:rPr>
              <w:t>本项目招标文件中未载明“允许采购进口产品”的产品，视为拒绝进口产品参与竞争，</w:t>
            </w:r>
            <w:r>
              <w:rPr>
                <w:rFonts w:ascii="仿宋" w:hAnsi="仿宋" w:eastAsia="仿宋"/>
                <w:color w:val="auto"/>
                <w:sz w:val="21"/>
                <w:szCs w:val="21"/>
              </w:rPr>
              <w:t>供应商以</w:t>
            </w:r>
            <w:r>
              <w:rPr>
                <w:rFonts w:hint="eastAsia" w:ascii="仿宋" w:hAnsi="仿宋" w:eastAsia="仿宋"/>
                <w:color w:val="auto"/>
                <w:sz w:val="21"/>
                <w:szCs w:val="21"/>
              </w:rPr>
              <w:t>进口</w:t>
            </w:r>
            <w:r>
              <w:rPr>
                <w:rFonts w:ascii="仿宋" w:hAnsi="仿宋" w:eastAsia="仿宋"/>
                <w:color w:val="auto"/>
                <w:sz w:val="21"/>
                <w:szCs w:val="21"/>
              </w:rPr>
              <w:t>产品投标</w:t>
            </w:r>
            <w:r>
              <w:rPr>
                <w:rFonts w:hint="eastAsia" w:ascii="仿宋" w:hAnsi="仿宋" w:eastAsia="仿宋"/>
                <w:color w:val="auto"/>
                <w:sz w:val="21"/>
                <w:szCs w:val="21"/>
              </w:rPr>
              <w:t>时</w:t>
            </w:r>
            <w:r>
              <w:rPr>
                <w:rFonts w:ascii="仿宋" w:hAnsi="仿宋" w:eastAsia="仿宋"/>
                <w:color w:val="auto"/>
                <w:sz w:val="21"/>
                <w:szCs w:val="21"/>
              </w:rPr>
              <w:t>，将按无效投标处理</w:t>
            </w:r>
            <w:r>
              <w:rPr>
                <w:rFonts w:hint="eastAsia" w:ascii="仿宋" w:hAnsi="仿宋" w:eastAsia="仿宋"/>
                <w:color w:val="auto"/>
                <w:sz w:val="21"/>
                <w:szCs w:val="21"/>
              </w:rPr>
              <w:t>。载明“允许采购进口产品”的产品，不限制国产产品参与竞争。</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4"/>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4</w:t>
            </w:r>
          </w:p>
        </w:tc>
        <w:tc>
          <w:tcPr>
            <w:tcW w:w="2552" w:type="dxa"/>
            <w:vAlign w:val="center"/>
          </w:tcPr>
          <w:p>
            <w:pPr>
              <w:pStyle w:val="44"/>
              <w:spacing w:after="0"/>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小微企业（监狱企业、残疾人福利性单位</w:t>
            </w:r>
            <w:r>
              <w:rPr>
                <w:rFonts w:hint="eastAsia" w:ascii="仿宋" w:hAnsi="仿宋" w:eastAsia="仿宋"/>
                <w:color w:val="auto"/>
                <w:sz w:val="21"/>
                <w:szCs w:val="21"/>
              </w:rPr>
              <w:t>视同小微企业</w:t>
            </w:r>
            <w:r>
              <w:rPr>
                <w:rFonts w:hint="eastAsia" w:ascii="仿宋" w:hAnsi="仿宋" w:eastAsia="仿宋" w:cs="Times New Roman"/>
                <w:color w:val="auto"/>
                <w:kern w:val="2"/>
                <w:sz w:val="21"/>
                <w:szCs w:val="21"/>
              </w:rPr>
              <w:t>）价格扣除</w:t>
            </w:r>
          </w:p>
        </w:tc>
        <w:tc>
          <w:tcPr>
            <w:tcW w:w="6076" w:type="dxa"/>
            <w:vAlign w:val="center"/>
          </w:tcPr>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一、小微企业（监狱企业、残疾人福利性单位均视同小微企业）价格扣除</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2、参加政府采购活动的中小企业提供《中小企业声明函》原件，未提供的，视为放弃享受小微企业价格扣除优惠政策。</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color w:val="auto"/>
                <w:kern w:val="0"/>
                <w:szCs w:val="21"/>
              </w:rPr>
            </w:pPr>
            <w:r>
              <w:rPr>
                <w:rFonts w:ascii="仿宋" w:hAnsi="仿宋" w:eastAsia="仿宋"/>
                <w:color w:val="auto"/>
                <w:kern w:val="0"/>
                <w:szCs w:val="21"/>
              </w:rPr>
              <w:t>6</w:t>
            </w:r>
            <w:r>
              <w:rPr>
                <w:rFonts w:hint="eastAsia" w:ascii="仿宋" w:hAnsi="仿宋" w:eastAsia="仿宋"/>
                <w:color w:val="auto"/>
                <w:kern w:val="0"/>
                <w:szCs w:val="21"/>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4"/>
              <w:spacing w:before="72" w:after="72"/>
              <w:ind w:right="264"/>
              <w:jc w:val="center"/>
              <w:rPr>
                <w:rFonts w:ascii="仿宋" w:hAnsi="仿宋" w:eastAsia="仿宋" w:cs="Courier New"/>
                <w:color w:val="auto"/>
                <w:sz w:val="21"/>
                <w:szCs w:val="21"/>
                <w:lang w:val="zh-CN"/>
              </w:rPr>
            </w:pPr>
            <w:r>
              <w:rPr>
                <w:rFonts w:ascii="仿宋" w:hAnsi="仿宋" w:eastAsia="仿宋" w:cs="Times New Roman"/>
                <w:color w:val="auto"/>
                <w:kern w:val="2"/>
                <w:sz w:val="21"/>
                <w:szCs w:val="21"/>
              </w:rPr>
              <w:t>5</w:t>
            </w:r>
          </w:p>
        </w:tc>
        <w:tc>
          <w:tcPr>
            <w:tcW w:w="2552" w:type="dxa"/>
            <w:vAlign w:val="center"/>
          </w:tcPr>
          <w:p>
            <w:pPr>
              <w:spacing w:line="340" w:lineRule="exact"/>
              <w:ind w:left="105" w:leftChars="50" w:right="105" w:rightChars="50"/>
              <w:jc w:val="center"/>
              <w:rPr>
                <w:rFonts w:ascii="仿宋" w:hAnsi="仿宋" w:eastAsia="仿宋"/>
                <w:color w:val="auto"/>
                <w:kern w:val="0"/>
                <w:szCs w:val="21"/>
              </w:rPr>
            </w:pPr>
            <w:r>
              <w:rPr>
                <w:rFonts w:hint="eastAsia" w:ascii="仿宋" w:hAnsi="仿宋" w:eastAsia="仿宋"/>
                <w:color w:val="auto"/>
                <w:kern w:val="0"/>
                <w:szCs w:val="21"/>
              </w:rPr>
              <w:t>节能、环保及无线局域网产品政府采购政策</w:t>
            </w:r>
          </w:p>
        </w:tc>
        <w:tc>
          <w:tcPr>
            <w:tcW w:w="6076" w:type="dxa"/>
            <w:vAlign w:val="center"/>
          </w:tcPr>
          <w:p>
            <w:pPr>
              <w:spacing w:after="0" w:line="340" w:lineRule="exact"/>
              <w:ind w:right="105" w:rightChars="50"/>
              <w:rPr>
                <w:rFonts w:ascii="仿宋" w:hAnsi="仿宋" w:eastAsia="仿宋"/>
                <w:b/>
                <w:color w:val="auto"/>
                <w:szCs w:val="21"/>
              </w:rPr>
            </w:pPr>
            <w:r>
              <w:rPr>
                <w:rFonts w:hint="eastAsia" w:ascii="仿宋" w:hAnsi="仿宋" w:eastAsia="仿宋"/>
                <w:b/>
                <w:color w:val="auto"/>
                <w:szCs w:val="21"/>
              </w:rPr>
              <w:t>一</w:t>
            </w:r>
            <w:r>
              <w:rPr>
                <w:rFonts w:ascii="仿宋" w:hAnsi="仿宋" w:eastAsia="仿宋"/>
                <w:b/>
                <w:color w:val="auto"/>
                <w:szCs w:val="21"/>
              </w:rPr>
              <w:t>、</w:t>
            </w:r>
            <w:r>
              <w:rPr>
                <w:rFonts w:hint="eastAsia" w:ascii="仿宋" w:hAnsi="仿宋" w:eastAsia="仿宋"/>
                <w:b/>
                <w:color w:val="auto"/>
                <w:szCs w:val="21"/>
              </w:rPr>
              <w:t>节能、</w:t>
            </w:r>
            <w:r>
              <w:rPr>
                <w:rFonts w:ascii="仿宋" w:hAnsi="仿宋" w:eastAsia="仿宋"/>
                <w:b/>
                <w:color w:val="auto"/>
                <w:szCs w:val="21"/>
              </w:rPr>
              <w:t>环保产品政府采购政策：</w:t>
            </w:r>
          </w:p>
          <w:p>
            <w:pPr>
              <w:spacing w:after="0" w:line="340" w:lineRule="exact"/>
              <w:ind w:right="105" w:rightChars="50"/>
              <w:rPr>
                <w:rFonts w:ascii="仿宋" w:hAnsi="仿宋" w:eastAsia="仿宋"/>
                <w:color w:val="auto"/>
                <w:szCs w:val="21"/>
              </w:rPr>
            </w:pPr>
            <w:r>
              <w:rPr>
                <w:rFonts w:hint="eastAsia" w:ascii="仿宋" w:hAnsi="仿宋" w:eastAsia="仿宋"/>
                <w:color w:val="auto"/>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color w:val="auto"/>
                <w:szCs w:val="21"/>
              </w:rPr>
            </w:pPr>
            <w:r>
              <w:rPr>
                <w:rFonts w:hint="eastAsia" w:ascii="仿宋" w:hAnsi="仿宋" w:eastAsia="仿宋"/>
                <w:color w:val="auto"/>
                <w:szCs w:val="21"/>
              </w:rPr>
              <w:t>本项目采购的产品属于品目清单强制采购范围的，供应商应按上述要求提供产品认证证书复印件并加盖供应商单位公章，否则投标无效。</w:t>
            </w:r>
            <w:r>
              <w:rPr>
                <w:rFonts w:hint="eastAsia" w:ascii="仿宋" w:hAnsi="仿宋" w:eastAsia="仿宋"/>
                <w:b/>
                <w:color w:val="auto"/>
                <w:szCs w:val="21"/>
              </w:rPr>
              <w:t>（实质性要求）</w:t>
            </w:r>
          </w:p>
          <w:p>
            <w:pPr>
              <w:spacing w:after="0" w:line="340" w:lineRule="exact"/>
              <w:ind w:right="105" w:rightChars="50"/>
              <w:rPr>
                <w:rFonts w:ascii="仿宋" w:hAnsi="仿宋" w:eastAsia="仿宋"/>
                <w:color w:val="auto"/>
                <w:szCs w:val="21"/>
              </w:rPr>
            </w:pPr>
            <w:r>
              <w:rPr>
                <w:rFonts w:hint="eastAsia" w:ascii="仿宋" w:hAnsi="仿宋" w:eastAsia="仿宋"/>
                <w:color w:val="auto"/>
                <w:szCs w:val="21"/>
              </w:rPr>
              <w:t>本项目采购的产品属于品目清单优先采购范围的，按照第七章《综合评分明细表》的规则进行加分。</w:t>
            </w:r>
          </w:p>
          <w:p>
            <w:pPr>
              <w:spacing w:after="0" w:line="340" w:lineRule="exact"/>
              <w:ind w:right="105" w:rightChars="50"/>
              <w:rPr>
                <w:rFonts w:ascii="仿宋" w:hAnsi="仿宋" w:eastAsia="仿宋"/>
                <w:color w:val="auto"/>
                <w:szCs w:val="21"/>
              </w:rPr>
            </w:pPr>
            <w:r>
              <w:rPr>
                <w:rFonts w:hint="eastAsia" w:ascii="仿宋" w:hAnsi="仿宋" w:eastAsia="仿宋"/>
                <w:color w:val="auto"/>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color w:val="auto"/>
                <w:szCs w:val="21"/>
              </w:rPr>
            </w:pPr>
            <w:r>
              <w:rPr>
                <w:rFonts w:hint="eastAsia" w:ascii="仿宋" w:hAnsi="仿宋" w:eastAsia="仿宋"/>
                <w:b/>
                <w:color w:val="auto"/>
                <w:szCs w:val="21"/>
              </w:rPr>
              <w:t>二</w:t>
            </w:r>
            <w:r>
              <w:rPr>
                <w:rFonts w:ascii="仿宋" w:hAnsi="仿宋" w:eastAsia="仿宋"/>
                <w:b/>
                <w:color w:val="auto"/>
                <w:szCs w:val="21"/>
              </w:rPr>
              <w:t>、</w:t>
            </w:r>
            <w:r>
              <w:rPr>
                <w:rFonts w:hint="eastAsia" w:ascii="仿宋" w:hAnsi="仿宋" w:eastAsia="仿宋"/>
                <w:b/>
                <w:color w:val="auto"/>
                <w:szCs w:val="21"/>
              </w:rPr>
              <w:t>无线局域网产品政府采购政策：</w:t>
            </w:r>
          </w:p>
          <w:p>
            <w:pPr>
              <w:spacing w:after="0" w:line="340" w:lineRule="exact"/>
              <w:ind w:right="105" w:rightChars="50"/>
              <w:rPr>
                <w:rFonts w:ascii="仿宋" w:hAnsi="仿宋" w:eastAsia="仿宋"/>
                <w:color w:val="auto"/>
                <w:szCs w:val="21"/>
              </w:rPr>
            </w:pPr>
            <w:r>
              <w:rPr>
                <w:rFonts w:hint="eastAsia" w:ascii="仿宋" w:hAnsi="仿宋" w:eastAsia="仿宋"/>
                <w:color w:val="auto"/>
                <w:szCs w:val="21"/>
              </w:rPr>
              <w:t>本项目采购的产品属于中国</w:t>
            </w:r>
            <w:r>
              <w:rPr>
                <w:rFonts w:ascii="仿宋" w:hAnsi="仿宋" w:eastAsia="仿宋"/>
                <w:color w:val="auto"/>
                <w:szCs w:val="21"/>
              </w:rPr>
              <w:t>政府采购网公布的</w:t>
            </w:r>
            <w:r>
              <w:rPr>
                <w:rFonts w:hint="eastAsia" w:ascii="仿宋" w:hAnsi="仿宋" w:eastAsia="仿宋"/>
                <w:color w:val="auto"/>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3" w:hRule="atLeast"/>
          <w:jc w:val="center"/>
        </w:trPr>
        <w:tc>
          <w:tcPr>
            <w:tcW w:w="838" w:type="dxa"/>
            <w:vAlign w:val="center"/>
          </w:tcPr>
          <w:p>
            <w:pPr>
              <w:pStyle w:val="44"/>
              <w:ind w:right="230"/>
              <w:jc w:val="center"/>
              <w:rPr>
                <w:rFonts w:ascii="仿宋" w:hAnsi="仿宋" w:eastAsia="仿宋" w:cs="Times New Roman"/>
                <w:color w:val="auto"/>
                <w:kern w:val="2"/>
                <w:sz w:val="21"/>
                <w:szCs w:val="21"/>
              </w:rPr>
            </w:pPr>
            <w:r>
              <w:rPr>
                <w:rFonts w:ascii="仿宋" w:hAnsi="仿宋" w:eastAsia="仿宋" w:cs="Times New Roman"/>
                <w:color w:val="auto"/>
                <w:kern w:val="2"/>
                <w:sz w:val="21"/>
                <w:szCs w:val="21"/>
              </w:rPr>
              <w:t>6</w:t>
            </w:r>
          </w:p>
        </w:tc>
        <w:tc>
          <w:tcPr>
            <w:tcW w:w="2552" w:type="dxa"/>
            <w:vAlign w:val="center"/>
          </w:tcPr>
          <w:p>
            <w:pPr>
              <w:spacing w:line="340" w:lineRule="exact"/>
              <w:ind w:left="105" w:leftChars="50" w:right="105" w:rightChars="50"/>
              <w:jc w:val="center"/>
              <w:rPr>
                <w:rFonts w:ascii="仿宋" w:hAnsi="仿宋" w:eastAsia="仿宋"/>
                <w:color w:val="auto"/>
                <w:szCs w:val="21"/>
              </w:rPr>
            </w:pPr>
            <w:r>
              <w:rPr>
                <w:rFonts w:hint="eastAsia" w:ascii="仿宋" w:hAnsi="仿宋" w:eastAsia="仿宋"/>
                <w:color w:val="auto"/>
                <w:kern w:val="0"/>
                <w:szCs w:val="21"/>
              </w:rPr>
              <w:t>评标情况公告</w:t>
            </w:r>
          </w:p>
        </w:tc>
        <w:tc>
          <w:tcPr>
            <w:tcW w:w="6076" w:type="dxa"/>
            <w:vAlign w:val="center"/>
          </w:tcPr>
          <w:p>
            <w:pPr>
              <w:widowControl/>
              <w:jc w:val="left"/>
              <w:rPr>
                <w:rFonts w:ascii="仿宋" w:hAnsi="仿宋" w:eastAsia="仿宋"/>
                <w:color w:val="auto"/>
                <w:szCs w:val="21"/>
              </w:rPr>
            </w:pPr>
            <w:bookmarkStart w:id="21" w:name="PO_默认文件内容_6"/>
            <w:r>
              <w:rPr>
                <w:rFonts w:hint="eastAsia" w:ascii="仿宋" w:hAnsi="仿宋" w:eastAsia="仿宋"/>
                <w:color w:val="auto"/>
                <w:kern w:val="0"/>
                <w:szCs w:val="21"/>
              </w:rPr>
              <w:t>所有供应商投标文件资格性、符合性检查情况、采用综合评分法时的总得分和分项汇总得分情况、评标结果等将在四川政府采购网上采购结果公告栏中予以公告。</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3" w:hRule="atLeast"/>
          <w:jc w:val="center"/>
        </w:trPr>
        <w:tc>
          <w:tcPr>
            <w:tcW w:w="838" w:type="dxa"/>
            <w:vAlign w:val="center"/>
          </w:tcPr>
          <w:p>
            <w:pPr>
              <w:pStyle w:val="44"/>
              <w:spacing w:line="360" w:lineRule="auto"/>
              <w:ind w:right="230"/>
              <w:jc w:val="center"/>
              <w:rPr>
                <w:rFonts w:ascii="仿宋" w:hAnsi="仿宋" w:eastAsia="仿宋" w:cs="Times New Roman"/>
                <w:color w:val="auto"/>
                <w:kern w:val="2"/>
                <w:sz w:val="21"/>
                <w:szCs w:val="21"/>
              </w:rPr>
            </w:pPr>
            <w:r>
              <w:rPr>
                <w:rFonts w:ascii="仿宋" w:hAnsi="仿宋" w:eastAsia="仿宋" w:cs="Times New Roman"/>
                <w:color w:val="auto"/>
                <w:kern w:val="2"/>
                <w:sz w:val="21"/>
                <w:szCs w:val="21"/>
              </w:rPr>
              <w:t>7</w:t>
            </w:r>
          </w:p>
        </w:tc>
        <w:tc>
          <w:tcPr>
            <w:tcW w:w="2552" w:type="dxa"/>
            <w:vAlign w:val="center"/>
          </w:tcPr>
          <w:p>
            <w:pPr>
              <w:pStyle w:val="44"/>
              <w:spacing w:line="240" w:lineRule="auto"/>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投标保证金</w:t>
            </w:r>
          </w:p>
        </w:tc>
        <w:tc>
          <w:tcPr>
            <w:tcW w:w="6076" w:type="dxa"/>
            <w:vAlign w:val="center"/>
          </w:tcPr>
          <w:p>
            <w:pPr>
              <w:pStyle w:val="44"/>
              <w:spacing w:after="120" w:afterLines="50" w:line="240" w:lineRule="auto"/>
              <w:jc w:val="both"/>
              <w:rPr>
                <w:rFonts w:ascii="仿宋" w:hAnsi="仿宋" w:eastAsia="仿宋"/>
                <w:b/>
                <w:color w:val="auto"/>
                <w:sz w:val="21"/>
                <w:szCs w:val="21"/>
                <w:lang w:val="zh-CN"/>
              </w:rPr>
            </w:pPr>
            <w:r>
              <w:rPr>
                <w:rFonts w:hint="eastAsia" w:ascii="仿宋" w:hAnsi="仿宋" w:eastAsia="仿宋"/>
                <w:bCs/>
                <w:color w:val="auto"/>
                <w:sz w:val="21"/>
                <w:szCs w:val="21"/>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4"/>
              <w:ind w:right="264"/>
              <w:jc w:val="center"/>
              <w:rPr>
                <w:rFonts w:ascii="仿宋" w:hAnsi="仿宋" w:eastAsia="仿宋" w:cs="Times New Roman"/>
                <w:color w:val="auto"/>
                <w:kern w:val="2"/>
                <w:sz w:val="21"/>
                <w:szCs w:val="21"/>
              </w:rPr>
            </w:pPr>
            <w:r>
              <w:rPr>
                <w:rFonts w:ascii="仿宋" w:hAnsi="仿宋" w:eastAsia="仿宋" w:cs="Times New Roman"/>
                <w:color w:val="auto"/>
                <w:kern w:val="2"/>
                <w:sz w:val="21"/>
                <w:szCs w:val="21"/>
              </w:rPr>
              <w:t>8</w:t>
            </w:r>
          </w:p>
        </w:tc>
        <w:tc>
          <w:tcPr>
            <w:tcW w:w="2552" w:type="dxa"/>
            <w:vAlign w:val="center"/>
          </w:tcPr>
          <w:p>
            <w:pPr>
              <w:pStyle w:val="44"/>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履约保证金</w:t>
            </w:r>
          </w:p>
          <w:p>
            <w:pPr>
              <w:pStyle w:val="44"/>
              <w:ind w:left="96"/>
              <w:jc w:val="center"/>
              <w:rPr>
                <w:rFonts w:ascii="仿宋" w:hAnsi="仿宋" w:eastAsia="仿宋"/>
                <w:color w:val="auto"/>
                <w:sz w:val="21"/>
                <w:szCs w:val="21"/>
                <w:lang w:val="zh-CN"/>
              </w:rPr>
            </w:pPr>
          </w:p>
        </w:tc>
        <w:tc>
          <w:tcPr>
            <w:tcW w:w="6076" w:type="dxa"/>
            <w:vAlign w:val="center"/>
          </w:tcPr>
          <w:p>
            <w:pPr>
              <w:pStyle w:val="44"/>
              <w:rPr>
                <w:rFonts w:ascii="仿宋" w:hAnsi="仿宋" w:eastAsia="仿宋"/>
                <w:color w:val="auto"/>
                <w:sz w:val="21"/>
                <w:szCs w:val="21"/>
                <w:lang w:val="zh-CN"/>
              </w:rPr>
            </w:pPr>
            <w:bookmarkStart w:id="22" w:name="PO_默认文件内容_11"/>
            <w:r>
              <w:rPr>
                <w:rFonts w:hint="eastAsia" w:ascii="仿宋" w:hAnsi="仿宋" w:eastAsia="仿宋"/>
                <w:color w:val="auto"/>
                <w:sz w:val="21"/>
                <w:szCs w:val="21"/>
                <w:lang w:val="zh-CN"/>
              </w:rPr>
              <w:t xml:space="preserve">金 </w:t>
            </w:r>
            <w:bookmarkEnd w:id="22"/>
            <w:r>
              <w:rPr>
                <w:rFonts w:hint="eastAsia" w:ascii="仿宋" w:hAnsi="仿宋" w:eastAsia="仿宋"/>
                <w:color w:val="auto"/>
                <w:sz w:val="21"/>
                <w:szCs w:val="21"/>
                <w:lang w:val="zh-CN"/>
              </w:rPr>
              <w:t>额：采购合同总金额的</w:t>
            </w:r>
            <w:r>
              <w:rPr>
                <w:rFonts w:hint="eastAsia" w:ascii="仿宋" w:hAnsi="仿宋" w:eastAsia="仿宋"/>
                <w:color w:val="auto"/>
                <w:sz w:val="21"/>
                <w:szCs w:val="21"/>
              </w:rPr>
              <w:t>5</w:t>
            </w:r>
            <w:r>
              <w:rPr>
                <w:rFonts w:hint="eastAsia" w:ascii="仿宋" w:hAnsi="仿宋" w:eastAsia="仿宋"/>
                <w:color w:val="auto"/>
                <w:sz w:val="21"/>
                <w:szCs w:val="21"/>
                <w:lang w:val="zh-CN"/>
              </w:rPr>
              <w:t xml:space="preserve"> %。</w:t>
            </w:r>
          </w:p>
          <w:p>
            <w:pPr>
              <w:pStyle w:val="44"/>
              <w:rPr>
                <w:rFonts w:ascii="仿宋" w:hAnsi="仿宋" w:eastAsia="仿宋"/>
                <w:color w:val="auto"/>
                <w:sz w:val="21"/>
                <w:szCs w:val="21"/>
                <w:lang w:val="zh-CN"/>
              </w:rPr>
            </w:pPr>
            <w:r>
              <w:rPr>
                <w:rFonts w:hint="eastAsia" w:ascii="仿宋" w:hAnsi="仿宋" w:eastAsia="仿宋"/>
                <w:color w:val="auto"/>
                <w:sz w:val="21"/>
                <w:szCs w:val="21"/>
                <w:lang w:val="zh-CN"/>
              </w:rPr>
              <w:t>交款方式：履约保证金</w:t>
            </w:r>
            <w:r>
              <w:rPr>
                <w:rFonts w:hint="eastAsia" w:ascii="仿宋" w:hAnsi="仿宋" w:eastAsia="仿宋"/>
                <w:color w:val="auto"/>
                <w:sz w:val="21"/>
                <w:szCs w:val="21"/>
                <w:lang w:val="en-US" w:eastAsia="zh-Hans"/>
              </w:rPr>
              <w:t>以</w:t>
            </w:r>
            <w:r>
              <w:rPr>
                <w:rFonts w:hint="eastAsia" w:ascii="仿宋" w:hAnsi="仿宋" w:eastAsia="仿宋"/>
                <w:color w:val="auto"/>
                <w:sz w:val="21"/>
                <w:szCs w:val="21"/>
                <w:lang w:val="zh-CN"/>
              </w:rPr>
              <w:t>金融机构出具的保函形式提交。</w:t>
            </w:r>
          </w:p>
          <w:p>
            <w:pPr>
              <w:pStyle w:val="44"/>
              <w:rPr>
                <w:rFonts w:ascii="仿宋" w:hAnsi="仿宋" w:eastAsia="仿宋"/>
                <w:color w:val="auto"/>
                <w:sz w:val="21"/>
                <w:szCs w:val="21"/>
                <w:lang w:val="zh-CN"/>
              </w:rPr>
            </w:pPr>
            <w:r>
              <w:rPr>
                <w:rFonts w:hint="eastAsia" w:ascii="仿宋" w:hAnsi="仿宋" w:eastAsia="仿宋"/>
                <w:color w:val="auto"/>
                <w:sz w:val="21"/>
                <w:szCs w:val="21"/>
                <w:lang w:val="zh-CN"/>
              </w:rPr>
              <w:t>收款单位：成都市成华区智慧城市治理中心。</w:t>
            </w:r>
          </w:p>
          <w:p>
            <w:pPr>
              <w:pStyle w:val="44"/>
              <w:rPr>
                <w:rFonts w:ascii="仿宋" w:hAnsi="仿宋" w:eastAsia="仿宋"/>
                <w:color w:val="auto"/>
                <w:sz w:val="21"/>
                <w:szCs w:val="21"/>
                <w:lang w:val="zh-CN"/>
              </w:rPr>
            </w:pPr>
            <w:r>
              <w:rPr>
                <w:rFonts w:hint="eastAsia" w:ascii="仿宋" w:hAnsi="仿宋" w:eastAsia="仿宋"/>
                <w:color w:val="auto"/>
                <w:sz w:val="21"/>
                <w:szCs w:val="21"/>
                <w:lang w:val="zh-CN"/>
              </w:rPr>
              <w:t>开 户 行：成都银行成华支行。</w:t>
            </w:r>
          </w:p>
          <w:p>
            <w:pPr>
              <w:pStyle w:val="44"/>
              <w:rPr>
                <w:rFonts w:ascii="仿宋" w:hAnsi="仿宋" w:eastAsia="仿宋"/>
                <w:color w:val="auto"/>
                <w:sz w:val="21"/>
                <w:szCs w:val="21"/>
                <w:lang w:val="zh-CN"/>
              </w:rPr>
            </w:pPr>
            <w:r>
              <w:rPr>
                <w:rFonts w:hint="eastAsia" w:ascii="仿宋" w:hAnsi="仿宋" w:eastAsia="仿宋"/>
                <w:color w:val="auto"/>
                <w:sz w:val="21"/>
                <w:szCs w:val="21"/>
                <w:lang w:val="zh-CN"/>
              </w:rPr>
              <w:t>银行账号：1001420000001390。</w:t>
            </w:r>
          </w:p>
          <w:p>
            <w:pPr>
              <w:pStyle w:val="44"/>
              <w:rPr>
                <w:rFonts w:ascii="仿宋" w:hAnsi="仿宋" w:eastAsia="仿宋"/>
                <w:color w:val="auto"/>
                <w:sz w:val="21"/>
                <w:szCs w:val="21"/>
                <w:lang w:val="zh-CN"/>
              </w:rPr>
            </w:pPr>
            <w:r>
              <w:rPr>
                <w:rFonts w:hint="eastAsia" w:ascii="仿宋" w:hAnsi="仿宋" w:eastAsia="仿宋"/>
                <w:color w:val="auto"/>
                <w:sz w:val="21"/>
                <w:szCs w:val="21"/>
                <w:lang w:val="zh-CN"/>
              </w:rPr>
              <w:t>交款时间：中标通知书发放后，政府采购合同签订前。</w:t>
            </w:r>
          </w:p>
          <w:p>
            <w:pPr>
              <w:pStyle w:val="44"/>
              <w:rPr>
                <w:rFonts w:ascii="仿宋" w:hAnsi="仿宋" w:eastAsia="仿宋"/>
                <w:color w:val="auto"/>
                <w:sz w:val="21"/>
                <w:szCs w:val="21"/>
                <w:lang w:val="zh-CN"/>
              </w:rPr>
            </w:pPr>
            <w:r>
              <w:rPr>
                <w:rFonts w:hint="eastAsia" w:ascii="仿宋" w:hAnsi="仿宋" w:eastAsia="仿宋"/>
                <w:color w:val="auto"/>
                <w:sz w:val="21"/>
                <w:szCs w:val="21"/>
                <w:lang w:val="zh-CN"/>
              </w:rPr>
              <w:t xml:space="preserve">注：提供保函的担保机构必须是依法成立的具有相关资质和偿付能力的担保机构。保函是银行等金融机构出具的，保函必须要在中国人民银行征信系统能够进行查询，否则将取消中标资格，采购人将重新确定中标人，并依法追究法律责任。 </w:t>
            </w:r>
          </w:p>
          <w:p>
            <w:pPr>
              <w:pStyle w:val="44"/>
              <w:rPr>
                <w:rFonts w:ascii="仿宋" w:hAnsi="仿宋" w:eastAsia="仿宋"/>
                <w:color w:val="auto"/>
                <w:sz w:val="21"/>
                <w:szCs w:val="21"/>
                <w:lang w:val="zh-CN"/>
              </w:rPr>
            </w:pPr>
            <w:r>
              <w:rPr>
                <w:rFonts w:hint="eastAsia" w:ascii="仿宋" w:hAnsi="仿宋" w:eastAsia="仿宋"/>
                <w:color w:val="auto"/>
                <w:sz w:val="21"/>
                <w:szCs w:val="21"/>
                <w:lang w:val="zh-CN"/>
              </w:rPr>
              <w:t>履约保证金不予退还的，将按照有关规定上缴国库。逾期退还履约保证金的，将依法承担法律责任，并赔偿供应商损失。</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4"/>
              <w:ind w:right="26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9</w:t>
            </w:r>
          </w:p>
        </w:tc>
        <w:tc>
          <w:tcPr>
            <w:tcW w:w="2552" w:type="dxa"/>
            <w:vAlign w:val="center"/>
          </w:tcPr>
          <w:p>
            <w:pPr>
              <w:ind w:firstLine="105" w:firstLineChars="50"/>
              <w:jc w:val="center"/>
              <w:rPr>
                <w:rFonts w:ascii="仿宋" w:hAnsi="仿宋" w:eastAsia="仿宋"/>
                <w:color w:val="auto"/>
                <w:szCs w:val="21"/>
              </w:rPr>
            </w:pPr>
            <w:r>
              <w:rPr>
                <w:rFonts w:hint="eastAsia" w:ascii="仿宋" w:hAnsi="仿宋" w:eastAsia="仿宋"/>
                <w:color w:val="auto"/>
                <w:szCs w:val="21"/>
              </w:rPr>
              <w:t>合同分包</w:t>
            </w:r>
          </w:p>
          <w:p>
            <w:pPr>
              <w:ind w:firstLine="105" w:firstLineChars="50"/>
              <w:jc w:val="center"/>
              <w:rPr>
                <w:rFonts w:ascii="仿宋" w:hAnsi="仿宋" w:eastAsia="仿宋"/>
                <w:color w:val="auto"/>
                <w:szCs w:val="21"/>
              </w:rPr>
            </w:pPr>
            <w:r>
              <w:rPr>
                <w:rFonts w:hint="eastAsia" w:ascii="仿宋" w:hAnsi="仿宋" w:eastAsia="仿宋"/>
                <w:color w:val="auto"/>
                <w:szCs w:val="21"/>
              </w:rPr>
              <w:t>（实质性要求）</w:t>
            </w:r>
          </w:p>
        </w:tc>
        <w:tc>
          <w:tcPr>
            <w:tcW w:w="6076" w:type="dxa"/>
            <w:vAlign w:val="center"/>
          </w:tcPr>
          <w:p>
            <w:pPr>
              <w:pStyle w:val="44"/>
              <w:spacing w:line="360" w:lineRule="auto"/>
              <w:ind w:firstLine="240" w:firstLineChars="100"/>
              <w:jc w:val="both"/>
              <w:rPr>
                <w:rFonts w:ascii="仿宋" w:hAnsi="仿宋" w:eastAsia="仿宋" w:cs="Times New Roman"/>
                <w:b/>
                <w:color w:val="auto"/>
                <w:kern w:val="2"/>
                <w:sz w:val="21"/>
                <w:szCs w:val="21"/>
              </w:rPr>
            </w:pPr>
            <w:r>
              <w:rPr>
                <w:rFonts w:ascii="Segoe UI Symbol" w:hAnsi="Segoe UI Symbol" w:eastAsia="仿宋" w:cs="Segoe UI Symbol"/>
                <w:color w:val="auto"/>
                <w:kern w:val="2"/>
              </w:rPr>
              <w:t>☑</w:t>
            </w:r>
            <w:r>
              <w:rPr>
                <w:rFonts w:hint="eastAsia" w:ascii="仿宋" w:hAnsi="仿宋" w:eastAsia="仿宋" w:cs="Times New Roman"/>
                <w:b/>
                <w:color w:val="auto"/>
                <w:kern w:val="2"/>
                <w:sz w:val="21"/>
                <w:szCs w:val="21"/>
              </w:rPr>
              <w:t>本项目不接受合同分包。</w:t>
            </w:r>
          </w:p>
          <w:p>
            <w:pPr>
              <w:pStyle w:val="44"/>
              <w:spacing w:line="360" w:lineRule="auto"/>
              <w:ind w:firstLine="210" w:firstLineChars="100"/>
              <w:jc w:val="both"/>
              <w:rPr>
                <w:rFonts w:ascii="仿宋" w:hAnsi="仿宋" w:eastAsia="仿宋" w:cs="Times New Roman"/>
                <w:b/>
                <w:color w:val="auto"/>
                <w:kern w:val="2"/>
                <w:sz w:val="21"/>
                <w:szCs w:val="21"/>
              </w:rPr>
            </w:pPr>
            <w:r>
              <w:rPr>
                <w:rFonts w:hint="eastAsia" w:ascii="仿宋" w:hAnsi="仿宋" w:eastAsia="仿宋" w:cs="Times New Roman"/>
                <w:color w:val="auto"/>
                <w:kern w:val="2"/>
                <w:sz w:val="21"/>
                <w:szCs w:val="21"/>
              </w:rPr>
              <w:t>□</w:t>
            </w:r>
            <w:r>
              <w:rPr>
                <w:rFonts w:hint="eastAsia" w:ascii="仿宋" w:hAnsi="仿宋" w:eastAsia="仿宋" w:cs="Times New Roman"/>
                <w:b/>
                <w:color w:val="auto"/>
                <w:kern w:val="2"/>
                <w:sz w:val="21"/>
                <w:szCs w:val="21"/>
              </w:rPr>
              <w:t>本项目接受合同分包，具体要求如下：</w:t>
            </w:r>
          </w:p>
          <w:p>
            <w:pPr>
              <w:pStyle w:val="44"/>
              <w:spacing w:line="360" w:lineRule="auto"/>
              <w:ind w:firstLine="210" w:firstLineChars="100"/>
              <w:jc w:val="both"/>
              <w:rPr>
                <w:rFonts w:ascii="仿宋" w:hAnsi="仿宋" w:eastAsia="仿宋" w:cs="Times New Roman"/>
                <w:color w:val="auto"/>
                <w:kern w:val="2"/>
                <w:sz w:val="21"/>
                <w:szCs w:val="21"/>
              </w:rPr>
            </w:pPr>
            <w:r>
              <w:rPr>
                <w:rFonts w:ascii="仿宋" w:hAnsi="仿宋" w:eastAsia="仿宋" w:cs="Times New Roman"/>
                <w:color w:val="auto"/>
                <w:kern w:val="2"/>
                <w:sz w:val="21"/>
                <w:szCs w:val="21"/>
              </w:rPr>
              <w:t>1.</w:t>
            </w:r>
            <w:r>
              <w:rPr>
                <w:rFonts w:hint="eastAsia" w:ascii="仿宋" w:hAnsi="仿宋" w:eastAsia="仿宋" w:cs="Times New Roman"/>
                <w:color w:val="auto"/>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44"/>
              <w:spacing w:line="360" w:lineRule="auto"/>
              <w:ind w:firstLine="210" w:firstLineChars="100"/>
              <w:jc w:val="both"/>
              <w:rPr>
                <w:rFonts w:ascii="仿宋" w:hAnsi="仿宋" w:eastAsia="仿宋" w:cs="Times New Roman"/>
                <w:color w:val="auto"/>
                <w:kern w:val="2"/>
                <w:sz w:val="21"/>
                <w:szCs w:val="21"/>
              </w:rPr>
            </w:pPr>
            <w:r>
              <w:rPr>
                <w:rFonts w:ascii="仿宋" w:hAnsi="仿宋" w:eastAsia="仿宋" w:cs="Times New Roman"/>
                <w:color w:val="auto"/>
                <w:kern w:val="2"/>
                <w:sz w:val="21"/>
                <w:szCs w:val="21"/>
              </w:rPr>
              <w:t>2.</w:t>
            </w:r>
            <w:r>
              <w:rPr>
                <w:rFonts w:hint="eastAsia" w:ascii="仿宋" w:hAnsi="仿宋" w:eastAsia="仿宋" w:cs="Times New Roman"/>
                <w:color w:val="auto"/>
                <w:kern w:val="2"/>
                <w:sz w:val="21"/>
                <w:szCs w:val="21"/>
              </w:rPr>
              <w:t>分包履行合同的部分应当为采购项目的非主体、非关键性工作，不属于中标人的主要合同义务。本</w:t>
            </w:r>
            <w:r>
              <w:rPr>
                <w:rFonts w:ascii="仿宋" w:hAnsi="仿宋" w:eastAsia="仿宋" w:cs="Times New Roman"/>
                <w:color w:val="auto"/>
                <w:kern w:val="2"/>
                <w:sz w:val="21"/>
                <w:szCs w:val="21"/>
              </w:rPr>
              <w:t>项目</w:t>
            </w:r>
            <w:r>
              <w:rPr>
                <w:rFonts w:hint="eastAsia" w:ascii="仿宋" w:hAnsi="仿宋" w:eastAsia="仿宋" w:cs="Times New Roman"/>
                <w:color w:val="auto"/>
                <w:kern w:val="2"/>
                <w:sz w:val="21"/>
                <w:szCs w:val="21"/>
              </w:rPr>
              <w:t>可以分包履行的具体内容、金额或者比例：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4"/>
              <w:ind w:right="26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10</w:t>
            </w:r>
          </w:p>
        </w:tc>
        <w:tc>
          <w:tcPr>
            <w:tcW w:w="2552" w:type="dxa"/>
            <w:tcBorders>
              <w:top w:val="single" w:color="auto" w:sz="4" w:space="0"/>
              <w:bottom w:val="single" w:color="auto" w:sz="4" w:space="0"/>
            </w:tcBorders>
            <w:vAlign w:val="center"/>
          </w:tcPr>
          <w:p>
            <w:pPr>
              <w:pStyle w:val="44"/>
              <w:jc w:val="center"/>
              <w:rPr>
                <w:rFonts w:ascii="仿宋" w:hAnsi="仿宋" w:eastAsia="仿宋" w:cs="Times New Roman"/>
                <w:color w:val="auto"/>
                <w:kern w:val="2"/>
                <w:sz w:val="21"/>
                <w:szCs w:val="21"/>
              </w:rPr>
            </w:pPr>
            <w:r>
              <w:rPr>
                <w:rFonts w:hint="eastAsia" w:ascii="仿宋" w:hAnsi="仿宋" w:eastAsia="仿宋" w:cs="Times New Roman"/>
                <w:b/>
                <w:bCs/>
                <w:color w:val="auto"/>
                <w:kern w:val="2"/>
                <w:sz w:val="21"/>
                <w:szCs w:val="21"/>
              </w:rPr>
              <w:t>采购项目具体事项/采购文件内容咨询</w:t>
            </w:r>
          </w:p>
        </w:tc>
        <w:tc>
          <w:tcPr>
            <w:tcW w:w="6076"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 xml:space="preserve">联系人：杨女士。 </w:t>
            </w:r>
          </w:p>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联系电话：028-84510079-8006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4"/>
              <w:spacing w:before="72" w:after="72"/>
              <w:ind w:right="26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11</w:t>
            </w:r>
          </w:p>
        </w:tc>
        <w:tc>
          <w:tcPr>
            <w:tcW w:w="2552" w:type="dxa"/>
            <w:tcBorders>
              <w:top w:val="single" w:color="auto" w:sz="4" w:space="0"/>
              <w:bottom w:val="single" w:color="auto" w:sz="4" w:space="0"/>
            </w:tcBorders>
            <w:vAlign w:val="center"/>
          </w:tcPr>
          <w:p>
            <w:pPr>
              <w:pStyle w:val="4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开标、评标工作咨询</w:t>
            </w:r>
          </w:p>
        </w:tc>
        <w:tc>
          <w:tcPr>
            <w:tcW w:w="6076"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 xml:space="preserve">联系人：杨女士。    </w:t>
            </w:r>
          </w:p>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联系电话：028-84510079-8006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4"/>
              <w:ind w:right="26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color w:val="auto"/>
                <w:szCs w:val="21"/>
              </w:rPr>
            </w:pPr>
            <w:r>
              <w:rPr>
                <w:rFonts w:hint="eastAsia" w:ascii="仿宋" w:hAnsi="仿宋" w:eastAsia="仿宋"/>
                <w:color w:val="auto"/>
                <w:szCs w:val="21"/>
              </w:rPr>
              <w:t>中标通知书领取</w:t>
            </w:r>
          </w:p>
        </w:tc>
        <w:tc>
          <w:tcPr>
            <w:tcW w:w="6076" w:type="dxa"/>
            <w:tcBorders>
              <w:top w:val="single" w:color="auto" w:sz="4" w:space="0"/>
            </w:tcBorders>
            <w:vAlign w:val="center"/>
          </w:tcPr>
          <w:p>
            <w:pPr>
              <w:rPr>
                <w:rFonts w:ascii="仿宋" w:hAnsi="仿宋" w:eastAsia="仿宋"/>
                <w:color w:val="auto"/>
                <w:szCs w:val="21"/>
                <w:lang w:val="zh-CN"/>
              </w:rPr>
            </w:pPr>
            <w:r>
              <w:rPr>
                <w:rFonts w:hint="eastAsia" w:ascii="仿宋" w:hAnsi="仿宋" w:eastAsia="仿宋"/>
                <w:color w:val="auto"/>
                <w:szCs w:val="21"/>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4"/>
              <w:ind w:right="26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13</w:t>
            </w:r>
          </w:p>
        </w:tc>
        <w:tc>
          <w:tcPr>
            <w:tcW w:w="2552" w:type="dxa"/>
            <w:tcBorders>
              <w:top w:val="single" w:color="auto" w:sz="4" w:space="0"/>
            </w:tcBorders>
            <w:vAlign w:val="center"/>
          </w:tcPr>
          <w:p>
            <w:pPr>
              <w:pStyle w:val="4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供应商询问</w:t>
            </w:r>
          </w:p>
        </w:tc>
        <w:tc>
          <w:tcPr>
            <w:tcW w:w="6076" w:type="dxa"/>
            <w:tcBorders>
              <w:top w:val="single" w:color="auto" w:sz="4" w:space="0"/>
            </w:tcBorders>
          </w:tcPr>
          <w:p>
            <w:pPr>
              <w:ind w:firstLine="105" w:firstLineChars="50"/>
              <w:rPr>
                <w:rFonts w:ascii="仿宋" w:hAnsi="仿宋" w:eastAsia="仿宋"/>
                <w:color w:val="auto"/>
                <w:szCs w:val="21"/>
                <w:lang w:val="zh-CN"/>
              </w:rPr>
            </w:pPr>
            <w:r>
              <w:rPr>
                <w:rFonts w:hint="eastAsia" w:ascii="仿宋" w:hAnsi="仿宋" w:eastAsia="仿宋"/>
                <w:color w:val="auto"/>
                <w:szCs w:val="21"/>
                <w:lang w:val="zh-CN"/>
              </w:rPr>
              <w:t>根据委托代理协议约定，供应商询问由采购代理机构负责答复。</w:t>
            </w:r>
          </w:p>
          <w:p>
            <w:pPr>
              <w:ind w:firstLine="105" w:firstLineChars="50"/>
              <w:rPr>
                <w:rFonts w:ascii="仿宋" w:hAnsi="仿宋" w:eastAsia="仿宋"/>
                <w:color w:val="auto"/>
                <w:szCs w:val="21"/>
                <w:lang w:val="zh-CN"/>
              </w:rPr>
            </w:pPr>
            <w:r>
              <w:rPr>
                <w:rFonts w:hint="eastAsia" w:ascii="仿宋" w:hAnsi="仿宋" w:eastAsia="仿宋"/>
                <w:color w:val="auto"/>
                <w:szCs w:val="21"/>
                <w:lang w:val="zh-CN"/>
              </w:rPr>
              <w:t>项目问题询问：</w:t>
            </w:r>
          </w:p>
          <w:p>
            <w:pPr>
              <w:ind w:firstLine="105" w:firstLineChars="50"/>
              <w:rPr>
                <w:rFonts w:ascii="仿宋" w:hAnsi="仿宋" w:eastAsia="仿宋"/>
                <w:color w:val="auto"/>
                <w:szCs w:val="21"/>
              </w:rPr>
            </w:pPr>
            <w:r>
              <w:rPr>
                <w:rFonts w:hint="eastAsia" w:ascii="仿宋" w:hAnsi="仿宋" w:eastAsia="仿宋"/>
                <w:color w:val="auto"/>
                <w:szCs w:val="21"/>
                <w:lang w:val="zh-CN"/>
              </w:rPr>
              <w:t>联系人：</w:t>
            </w:r>
            <w:r>
              <w:rPr>
                <w:rFonts w:hint="eastAsia" w:ascii="仿宋" w:hAnsi="仿宋" w:eastAsia="仿宋"/>
                <w:color w:val="auto"/>
                <w:szCs w:val="21"/>
              </w:rPr>
              <w:t>杨女士</w:t>
            </w:r>
          </w:p>
          <w:p>
            <w:pPr>
              <w:ind w:firstLine="105" w:firstLineChars="50"/>
              <w:rPr>
                <w:rFonts w:ascii="仿宋" w:hAnsi="仿宋" w:eastAsia="仿宋"/>
                <w:color w:val="auto"/>
                <w:szCs w:val="21"/>
                <w:lang w:val="zh-CN"/>
              </w:rPr>
            </w:pPr>
            <w:r>
              <w:rPr>
                <w:rFonts w:hint="eastAsia" w:ascii="仿宋" w:hAnsi="仿宋" w:eastAsia="仿宋"/>
                <w:color w:val="auto"/>
                <w:szCs w:val="21"/>
                <w:lang w:val="zh-CN"/>
              </w:rPr>
              <w:t>联系电话：028-84510079-8006</w:t>
            </w:r>
          </w:p>
          <w:p>
            <w:pPr>
              <w:ind w:firstLine="105" w:firstLineChars="50"/>
              <w:rPr>
                <w:rFonts w:ascii="仿宋" w:hAnsi="仿宋" w:eastAsia="仿宋"/>
                <w:color w:val="auto"/>
                <w:szCs w:val="21"/>
              </w:rPr>
            </w:pPr>
            <w:r>
              <w:rPr>
                <w:rFonts w:hint="eastAsia" w:ascii="仿宋" w:hAnsi="仿宋" w:eastAsia="仿宋"/>
                <w:color w:val="auto"/>
                <w:szCs w:val="21"/>
                <w:lang w:val="zh-CN"/>
              </w:rPr>
              <w:t>联系地址：成都市高新区吉泰五路88号3栋7层1号（花样年•香年广场）。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4"/>
              <w:ind w:right="26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14</w:t>
            </w:r>
          </w:p>
        </w:tc>
        <w:tc>
          <w:tcPr>
            <w:tcW w:w="2552" w:type="dxa"/>
            <w:vAlign w:val="center"/>
          </w:tcPr>
          <w:p>
            <w:pPr>
              <w:pStyle w:val="4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供应商质疑</w:t>
            </w:r>
          </w:p>
        </w:tc>
        <w:tc>
          <w:tcPr>
            <w:tcW w:w="6076" w:type="dxa"/>
            <w:vAlign w:val="center"/>
          </w:tcPr>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根据委托代理协议约定，供应商质疑由采购代理机构负责答复。</w:t>
            </w:r>
          </w:p>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联系方式：</w:t>
            </w:r>
            <w:r>
              <w:rPr>
                <w:rFonts w:hint="eastAsia" w:ascii="仿宋" w:hAnsi="仿宋" w:eastAsia="仿宋"/>
                <w:color w:val="auto"/>
                <w:szCs w:val="21"/>
                <w:lang w:val="zh-CN"/>
              </w:rPr>
              <w:t>028-84510079-8006</w:t>
            </w:r>
            <w:r>
              <w:rPr>
                <w:rFonts w:hint="eastAsia" w:ascii="仿宋" w:hAnsi="仿宋" w:eastAsia="仿宋"/>
                <w:color w:val="auto"/>
                <w:szCs w:val="21"/>
              </w:rPr>
              <w:t>。</w:t>
            </w:r>
          </w:p>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地址：</w:t>
            </w:r>
            <w:r>
              <w:rPr>
                <w:rFonts w:hint="eastAsia" w:ascii="仿宋" w:hAnsi="仿宋" w:eastAsia="仿宋"/>
                <w:color w:val="auto"/>
                <w:szCs w:val="21"/>
                <w:lang w:val="zh-CN"/>
              </w:rPr>
              <w:t>成都市高新区吉泰五路88号3栋7层1号（花样年•香年广场）</w:t>
            </w:r>
            <w:r>
              <w:rPr>
                <w:rFonts w:hint="eastAsia" w:ascii="仿宋" w:hAnsi="仿宋" w:eastAsia="仿宋"/>
                <w:color w:val="auto"/>
                <w:szCs w:val="21"/>
              </w:rPr>
              <w:t>。</w:t>
            </w:r>
          </w:p>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315" w:firstLineChars="150"/>
              <w:rPr>
                <w:rFonts w:ascii="仿宋" w:hAnsi="仿宋" w:eastAsia="仿宋"/>
                <w:color w:val="auto"/>
                <w:szCs w:val="21"/>
              </w:rPr>
            </w:pPr>
          </w:p>
          <w:p>
            <w:pPr>
              <w:ind w:firstLine="105" w:firstLineChars="50"/>
              <w:rPr>
                <w:rFonts w:ascii="仿宋" w:hAnsi="仿宋" w:eastAsia="仿宋"/>
                <w:color w:val="auto"/>
                <w:szCs w:val="21"/>
              </w:rPr>
            </w:pPr>
            <w:r>
              <w:rPr>
                <w:rFonts w:hint="eastAsia" w:ascii="仿宋" w:hAnsi="仿宋" w:eastAsia="仿宋"/>
                <w:color w:val="auto"/>
                <w:szCs w:val="21"/>
              </w:rPr>
              <w:t>15</w:t>
            </w:r>
          </w:p>
        </w:tc>
        <w:tc>
          <w:tcPr>
            <w:tcW w:w="2552" w:type="dxa"/>
            <w:vAlign w:val="center"/>
          </w:tcPr>
          <w:p>
            <w:pPr>
              <w:pStyle w:val="4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供应商投诉</w:t>
            </w:r>
          </w:p>
        </w:tc>
        <w:tc>
          <w:tcPr>
            <w:tcW w:w="6076" w:type="dxa"/>
          </w:tcPr>
          <w:p>
            <w:pPr>
              <w:spacing w:line="340" w:lineRule="exact"/>
              <w:ind w:right="105" w:rightChars="50"/>
              <w:rPr>
                <w:rFonts w:ascii="仿宋" w:hAnsi="仿宋" w:eastAsia="仿宋"/>
                <w:color w:val="auto"/>
                <w:szCs w:val="21"/>
              </w:rPr>
            </w:pPr>
            <w:r>
              <w:rPr>
                <w:rFonts w:hint="eastAsia" w:ascii="仿宋" w:hAnsi="仿宋" w:eastAsia="仿宋"/>
                <w:color w:val="auto"/>
                <w:szCs w:val="21"/>
              </w:rPr>
              <w:t>投诉受理单位：本采购项目同级财政部门，成都市成华区财政局</w:t>
            </w:r>
            <w:r>
              <w:rPr>
                <w:rFonts w:hint="eastAsia" w:ascii="仿宋" w:hAnsi="仿宋" w:eastAsia="仿宋"/>
                <w:color w:val="auto"/>
                <w:szCs w:val="21"/>
                <w:lang w:val="zh-CN"/>
              </w:rPr>
              <w:t>。</w:t>
            </w:r>
          </w:p>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联系电话：028-84356267。</w:t>
            </w:r>
          </w:p>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地址：成都市成华区一环路东三段148号。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auto"/>
                <w:szCs w:val="21"/>
              </w:rPr>
            </w:pPr>
            <w:r>
              <w:rPr>
                <w:rFonts w:hint="eastAsia" w:ascii="仿宋" w:hAnsi="仿宋" w:eastAsia="仿宋"/>
                <w:color w:val="auto"/>
                <w:szCs w:val="21"/>
              </w:rPr>
              <w:t>16</w:t>
            </w:r>
          </w:p>
        </w:tc>
        <w:tc>
          <w:tcPr>
            <w:tcW w:w="2552" w:type="dxa"/>
            <w:tcBorders>
              <w:right w:val="single" w:color="auto" w:sz="4" w:space="0"/>
            </w:tcBorders>
          </w:tcPr>
          <w:p>
            <w:pPr>
              <w:jc w:val="center"/>
              <w:rPr>
                <w:rFonts w:ascii="仿宋" w:hAnsi="仿宋" w:eastAsia="仿宋"/>
                <w:color w:val="auto"/>
                <w:szCs w:val="21"/>
              </w:rPr>
            </w:pPr>
          </w:p>
          <w:p>
            <w:pPr>
              <w:ind w:firstLine="105" w:firstLineChars="50"/>
              <w:jc w:val="center"/>
              <w:rPr>
                <w:rFonts w:ascii="仿宋" w:hAnsi="仿宋" w:eastAsia="仿宋"/>
                <w:color w:val="auto"/>
                <w:szCs w:val="21"/>
              </w:rPr>
            </w:pPr>
            <w:r>
              <w:rPr>
                <w:rFonts w:hint="eastAsia" w:ascii="仿宋" w:hAnsi="仿宋" w:eastAsia="仿宋"/>
                <w:color w:val="auto"/>
                <w:szCs w:val="21"/>
              </w:rPr>
              <w:t>政府采购合同</w:t>
            </w:r>
          </w:p>
          <w:p>
            <w:pPr>
              <w:ind w:firstLine="105" w:firstLineChars="50"/>
              <w:jc w:val="center"/>
              <w:rPr>
                <w:rFonts w:ascii="仿宋" w:hAnsi="仿宋" w:eastAsia="仿宋"/>
                <w:color w:val="auto"/>
                <w:szCs w:val="21"/>
              </w:rPr>
            </w:pPr>
            <w:r>
              <w:rPr>
                <w:rFonts w:hint="eastAsia" w:ascii="仿宋" w:hAnsi="仿宋" w:eastAsia="仿宋"/>
                <w:color w:val="auto"/>
                <w:szCs w:val="21"/>
              </w:rPr>
              <w:t>公告备案</w:t>
            </w:r>
          </w:p>
        </w:tc>
        <w:tc>
          <w:tcPr>
            <w:tcW w:w="6076" w:type="dxa"/>
            <w:tcBorders>
              <w:left w:val="single" w:color="auto" w:sz="4" w:space="0"/>
            </w:tcBorders>
            <w:vAlign w:val="center"/>
          </w:tcPr>
          <w:p>
            <w:pPr>
              <w:rPr>
                <w:rFonts w:ascii="仿宋" w:hAnsi="仿宋" w:eastAsia="仿宋"/>
                <w:color w:val="auto"/>
                <w:szCs w:val="21"/>
              </w:rPr>
            </w:pPr>
            <w:bookmarkStart w:id="23" w:name="PO_默认文件内容_38"/>
            <w:r>
              <w:rPr>
                <w:rFonts w:hint="eastAsia" w:ascii="仿宋" w:hAnsi="仿宋" w:eastAsia="仿宋"/>
                <w:color w:val="auto"/>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olor w:val="auto"/>
                <w:szCs w:val="21"/>
                <w:lang w:val="zh-CN"/>
              </w:rPr>
              <w:t>。</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6" w:hRule="atLeast"/>
          <w:jc w:val="center"/>
        </w:trPr>
        <w:tc>
          <w:tcPr>
            <w:tcW w:w="838" w:type="dxa"/>
            <w:vAlign w:val="center"/>
          </w:tcPr>
          <w:p>
            <w:pPr>
              <w:ind w:firstLine="105" w:firstLineChars="50"/>
              <w:rPr>
                <w:rFonts w:ascii="仿宋" w:hAnsi="仿宋" w:eastAsia="仿宋"/>
                <w:color w:val="auto"/>
                <w:szCs w:val="21"/>
              </w:rPr>
            </w:pPr>
            <w:r>
              <w:rPr>
                <w:rFonts w:hint="eastAsia" w:ascii="仿宋" w:hAnsi="仿宋" w:eastAsia="仿宋"/>
                <w:color w:val="auto"/>
                <w:szCs w:val="21"/>
              </w:rPr>
              <w:t>17</w:t>
            </w:r>
          </w:p>
        </w:tc>
        <w:tc>
          <w:tcPr>
            <w:tcW w:w="2552" w:type="dxa"/>
            <w:tcBorders>
              <w:right w:val="single" w:color="auto" w:sz="4" w:space="0"/>
            </w:tcBorders>
            <w:vAlign w:val="center"/>
          </w:tcPr>
          <w:p>
            <w:pPr>
              <w:pStyle w:val="44"/>
              <w:ind w:left="96"/>
              <w:jc w:val="center"/>
              <w:rPr>
                <w:rFonts w:ascii="仿宋" w:hAnsi="仿宋" w:eastAsia="仿宋"/>
                <w:color w:val="auto"/>
                <w:sz w:val="21"/>
                <w:szCs w:val="21"/>
              </w:rPr>
            </w:pPr>
            <w:r>
              <w:rPr>
                <w:rFonts w:hint="eastAsia" w:ascii="仿宋" w:hAnsi="仿宋" w:eastAsia="仿宋"/>
                <w:color w:val="auto"/>
                <w:sz w:val="21"/>
                <w:szCs w:val="21"/>
                <w:lang w:val="zh-CN"/>
              </w:rPr>
              <w:t>招标服务费</w:t>
            </w:r>
          </w:p>
        </w:tc>
        <w:tc>
          <w:tcPr>
            <w:tcW w:w="6076" w:type="dxa"/>
            <w:tcBorders>
              <w:left w:val="single" w:color="auto" w:sz="4" w:space="0"/>
            </w:tcBorders>
            <w:vAlign w:val="center"/>
          </w:tcPr>
          <w:p>
            <w:pPr>
              <w:widowControl/>
              <w:spacing w:after="0" w:line="240" w:lineRule="auto"/>
              <w:ind w:firstLine="420" w:firstLineChars="200"/>
              <w:jc w:val="left"/>
              <w:rPr>
                <w:rFonts w:ascii="仿宋" w:hAnsi="仿宋" w:eastAsia="仿宋"/>
                <w:color w:val="auto"/>
                <w:szCs w:val="21"/>
                <w:lang w:val="zh-CN"/>
              </w:rPr>
            </w:pPr>
            <w:bookmarkStart w:id="24" w:name="PO_默认文件内容_8"/>
            <w:r>
              <w:rPr>
                <w:rFonts w:hint="eastAsia" w:ascii="仿宋" w:hAnsi="仿宋" w:eastAsia="仿宋"/>
                <w:color w:val="auto"/>
                <w:szCs w:val="21"/>
              </w:rPr>
              <w:t>1.</w:t>
            </w:r>
            <w:r>
              <w:rPr>
                <w:rFonts w:hint="eastAsia" w:ascii="仿宋" w:hAnsi="仿宋" w:eastAsia="仿宋"/>
                <w:color w:val="auto"/>
                <w:szCs w:val="21"/>
                <w:lang w:val="zh-CN"/>
              </w:rPr>
              <w:t xml:space="preserve"> </w:t>
            </w:r>
            <w:bookmarkEnd w:id="24"/>
            <w:r>
              <w:rPr>
                <w:rFonts w:hint="eastAsia" w:ascii="仿宋" w:hAnsi="仿宋" w:eastAsia="仿宋"/>
                <w:color w:val="auto"/>
                <w:szCs w:val="21"/>
                <w:lang w:val="zh-CN"/>
              </w:rPr>
              <w:t>根据成本加合理利润原则，经与采购人协商，本招标文件约定，招标代理服务费中标人向采购代理机构支付，招标代理服务费</w:t>
            </w:r>
            <w:r>
              <w:rPr>
                <w:rFonts w:hint="eastAsia" w:ascii="仿宋" w:hAnsi="仿宋" w:eastAsia="仿宋"/>
                <w:color w:val="auto"/>
                <w:szCs w:val="21"/>
              </w:rPr>
              <w:t>为37600.00元</w:t>
            </w:r>
            <w:r>
              <w:rPr>
                <w:rFonts w:hint="eastAsia" w:ascii="仿宋" w:hAnsi="仿宋" w:eastAsia="仿宋"/>
                <w:color w:val="auto"/>
                <w:szCs w:val="21"/>
                <w:lang w:val="zh-CN"/>
              </w:rPr>
              <w:t>。</w:t>
            </w:r>
          </w:p>
          <w:p>
            <w:pPr>
              <w:widowControl/>
              <w:spacing w:after="0" w:line="240" w:lineRule="auto"/>
              <w:ind w:firstLine="420" w:firstLineChars="200"/>
              <w:jc w:val="left"/>
              <w:rPr>
                <w:rFonts w:ascii="仿宋" w:hAnsi="仿宋" w:eastAsia="仿宋" w:cs="宋体"/>
                <w:color w:val="auto"/>
                <w:kern w:val="0"/>
                <w:szCs w:val="21"/>
                <w:lang w:val="zh-CN"/>
              </w:rPr>
            </w:pPr>
            <w:r>
              <w:rPr>
                <w:rFonts w:hint="eastAsia" w:ascii="仿宋" w:hAnsi="仿宋" w:eastAsia="仿宋"/>
                <w:color w:val="auto"/>
                <w:szCs w:val="21"/>
                <w:lang w:val="zh-CN"/>
              </w:rPr>
              <w:t>2．招标代理服务费可使用银行转账或采购代理机构认可的方式支付。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50" w:hRule="atLeast"/>
          <w:jc w:val="center"/>
        </w:trPr>
        <w:tc>
          <w:tcPr>
            <w:tcW w:w="838" w:type="dxa"/>
            <w:vAlign w:val="center"/>
          </w:tcPr>
          <w:p>
            <w:pPr>
              <w:ind w:firstLine="105" w:firstLineChars="50"/>
              <w:rPr>
                <w:rFonts w:ascii="仿宋" w:hAnsi="仿宋" w:eastAsia="仿宋"/>
                <w:color w:val="auto"/>
                <w:szCs w:val="21"/>
              </w:rPr>
            </w:pPr>
            <w:r>
              <w:rPr>
                <w:rFonts w:hint="eastAsia" w:ascii="仿宋" w:hAnsi="仿宋" w:eastAsia="仿宋"/>
                <w:color w:val="auto"/>
                <w:szCs w:val="21"/>
              </w:rPr>
              <w:t>18</w:t>
            </w:r>
          </w:p>
        </w:tc>
        <w:tc>
          <w:tcPr>
            <w:tcW w:w="2552" w:type="dxa"/>
            <w:tcBorders>
              <w:right w:val="single" w:color="auto" w:sz="4" w:space="0"/>
            </w:tcBorders>
            <w:vAlign w:val="center"/>
          </w:tcPr>
          <w:p>
            <w:pPr>
              <w:pStyle w:val="44"/>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送样提醒</w:t>
            </w:r>
          </w:p>
        </w:tc>
        <w:tc>
          <w:tcPr>
            <w:tcW w:w="6076" w:type="dxa"/>
            <w:tcBorders>
              <w:left w:val="single" w:color="auto" w:sz="4" w:space="0"/>
            </w:tcBorders>
            <w:vAlign w:val="center"/>
          </w:tcPr>
          <w:p>
            <w:pPr>
              <w:pStyle w:val="44"/>
              <w:jc w:val="both"/>
              <w:rPr>
                <w:rFonts w:ascii="仿宋" w:hAnsi="仿宋" w:eastAsia="仿宋"/>
                <w:color w:val="auto"/>
                <w:sz w:val="21"/>
                <w:szCs w:val="21"/>
                <w:lang w:val="zh-CN"/>
              </w:rPr>
            </w:pPr>
            <w:bookmarkStart w:id="267" w:name="_GoBack"/>
            <w:bookmarkEnd w:id="267"/>
            <w:r>
              <w:rPr>
                <w:rFonts w:hint="eastAsia" w:ascii="仿宋" w:hAnsi="仿宋" w:eastAsia="仿宋"/>
                <w:b/>
                <w:bCs/>
                <w:color w:val="auto"/>
                <w:sz w:val="21"/>
                <w:szCs w:val="21"/>
                <w:lang w:val="zh-CN"/>
              </w:rPr>
              <w:t>注：若涉及样品，样品评审环节采取线下方式进行。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auto"/>
                <w:szCs w:val="21"/>
              </w:rPr>
            </w:pPr>
            <w:r>
              <w:rPr>
                <w:rFonts w:hint="eastAsia" w:ascii="仿宋" w:hAnsi="仿宋" w:eastAsia="仿宋"/>
                <w:color w:val="auto"/>
                <w:szCs w:val="21"/>
              </w:rPr>
              <w:t>19</w:t>
            </w:r>
          </w:p>
        </w:tc>
        <w:tc>
          <w:tcPr>
            <w:tcW w:w="2552" w:type="dxa"/>
            <w:tcBorders>
              <w:right w:val="single" w:color="auto" w:sz="4" w:space="0"/>
            </w:tcBorders>
            <w:vAlign w:val="center"/>
          </w:tcPr>
          <w:p>
            <w:pPr>
              <w:pStyle w:val="44"/>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承诺提醒</w:t>
            </w:r>
          </w:p>
        </w:tc>
        <w:tc>
          <w:tcPr>
            <w:tcW w:w="6076" w:type="dxa"/>
            <w:tcBorders>
              <w:left w:val="single" w:color="auto" w:sz="4" w:space="0"/>
            </w:tcBorders>
            <w:vAlign w:val="center"/>
          </w:tcPr>
          <w:p>
            <w:pPr>
              <w:pStyle w:val="44"/>
              <w:jc w:val="both"/>
              <w:rPr>
                <w:rFonts w:ascii="仿宋" w:hAnsi="仿宋" w:eastAsia="仿宋"/>
                <w:color w:val="auto"/>
                <w:sz w:val="21"/>
                <w:szCs w:val="21"/>
                <w:lang w:val="zh-CN"/>
              </w:rPr>
            </w:pPr>
            <w:r>
              <w:rPr>
                <w:rFonts w:hint="eastAsia" w:ascii="仿宋" w:hAnsi="仿宋" w:eastAsia="仿宋"/>
                <w:color w:val="auto"/>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42" w:hRule="atLeast"/>
          <w:jc w:val="center"/>
        </w:trPr>
        <w:tc>
          <w:tcPr>
            <w:tcW w:w="838" w:type="dxa"/>
            <w:vAlign w:val="center"/>
          </w:tcPr>
          <w:p>
            <w:pPr>
              <w:ind w:firstLine="105" w:firstLineChars="50"/>
              <w:rPr>
                <w:rFonts w:ascii="仿宋" w:hAnsi="仿宋" w:eastAsia="仿宋"/>
                <w:color w:val="auto"/>
                <w:szCs w:val="21"/>
              </w:rPr>
            </w:pPr>
            <w:r>
              <w:rPr>
                <w:rFonts w:hint="eastAsia" w:ascii="仿宋" w:hAnsi="仿宋" w:eastAsia="仿宋"/>
                <w:color w:val="auto"/>
                <w:szCs w:val="21"/>
              </w:rPr>
              <w:t>20</w:t>
            </w:r>
          </w:p>
        </w:tc>
        <w:tc>
          <w:tcPr>
            <w:tcW w:w="2552" w:type="dxa"/>
            <w:tcBorders>
              <w:right w:val="single" w:color="auto" w:sz="4" w:space="0"/>
            </w:tcBorders>
            <w:vAlign w:val="center"/>
          </w:tcPr>
          <w:p>
            <w:pPr>
              <w:pStyle w:val="44"/>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联合</w:t>
            </w:r>
            <w:r>
              <w:rPr>
                <w:rFonts w:ascii="仿宋" w:hAnsi="仿宋" w:eastAsia="仿宋"/>
                <w:color w:val="auto"/>
                <w:sz w:val="21"/>
                <w:szCs w:val="21"/>
                <w:lang w:val="zh-CN"/>
              </w:rPr>
              <w:t>体</w:t>
            </w:r>
            <w:r>
              <w:rPr>
                <w:rFonts w:hint="eastAsia" w:ascii="仿宋" w:hAnsi="仿宋" w:eastAsia="仿宋"/>
                <w:color w:val="auto"/>
                <w:sz w:val="21"/>
                <w:szCs w:val="21"/>
                <w:lang w:val="zh-CN"/>
              </w:rPr>
              <w:t>（实质性</w:t>
            </w:r>
            <w:r>
              <w:rPr>
                <w:rFonts w:ascii="仿宋" w:hAnsi="仿宋" w:eastAsia="仿宋"/>
                <w:color w:val="auto"/>
                <w:sz w:val="21"/>
                <w:szCs w:val="21"/>
                <w:lang w:val="zh-CN"/>
              </w:rPr>
              <w:t>要求</w:t>
            </w:r>
            <w:r>
              <w:rPr>
                <w:rFonts w:hint="eastAsia" w:ascii="仿宋" w:hAnsi="仿宋" w:eastAsia="仿宋"/>
                <w:color w:val="auto"/>
                <w:sz w:val="21"/>
                <w:szCs w:val="21"/>
                <w:lang w:val="zh-CN"/>
              </w:rPr>
              <w:t>）</w:t>
            </w:r>
          </w:p>
        </w:tc>
        <w:tc>
          <w:tcPr>
            <w:tcW w:w="6076" w:type="dxa"/>
            <w:tcBorders>
              <w:left w:val="single" w:color="auto" w:sz="4" w:space="0"/>
            </w:tcBorders>
            <w:vAlign w:val="center"/>
          </w:tcPr>
          <w:p>
            <w:pPr>
              <w:pStyle w:val="44"/>
              <w:rPr>
                <w:rFonts w:ascii="仿宋" w:hAnsi="仿宋" w:eastAsia="仿宋"/>
                <w:b/>
                <w:color w:val="auto"/>
                <w:sz w:val="21"/>
                <w:szCs w:val="21"/>
                <w:lang w:val="zh-CN"/>
              </w:rPr>
            </w:pPr>
            <w:r>
              <w:rPr>
                <w:rFonts w:ascii="Segoe UI Symbol" w:hAnsi="Segoe UI Symbol" w:eastAsia="仿宋" w:cs="Segoe UI Symbol"/>
                <w:b/>
                <w:color w:val="auto"/>
                <w:kern w:val="2"/>
              </w:rPr>
              <w:t>☑</w:t>
            </w:r>
            <w:r>
              <w:rPr>
                <w:rFonts w:hint="eastAsia" w:ascii="仿宋" w:hAnsi="仿宋" w:eastAsia="仿宋"/>
                <w:b/>
                <w:color w:val="auto"/>
                <w:sz w:val="21"/>
                <w:szCs w:val="21"/>
                <w:lang w:val="zh-CN"/>
              </w:rPr>
              <w:t>本项目不允许</w:t>
            </w:r>
            <w:r>
              <w:rPr>
                <w:rFonts w:ascii="仿宋" w:hAnsi="仿宋" w:eastAsia="仿宋"/>
                <w:b/>
                <w:color w:val="auto"/>
                <w:sz w:val="21"/>
                <w:szCs w:val="21"/>
                <w:lang w:val="zh-CN"/>
              </w:rPr>
              <w:t>联合体</w:t>
            </w:r>
            <w:r>
              <w:rPr>
                <w:rFonts w:hint="eastAsia" w:ascii="仿宋" w:hAnsi="仿宋" w:eastAsia="仿宋"/>
                <w:b/>
                <w:color w:val="auto"/>
                <w:sz w:val="21"/>
                <w:szCs w:val="21"/>
                <w:lang w:val="zh-CN"/>
              </w:rPr>
              <w:t>参加</w:t>
            </w:r>
            <w:r>
              <w:rPr>
                <w:rFonts w:ascii="仿宋" w:hAnsi="仿宋" w:eastAsia="仿宋"/>
                <w:b/>
                <w:color w:val="auto"/>
                <w:sz w:val="21"/>
                <w:szCs w:val="21"/>
                <w:lang w:val="zh-CN"/>
              </w:rPr>
              <w:t xml:space="preserve">    </w:t>
            </w:r>
          </w:p>
          <w:p>
            <w:pPr>
              <w:pStyle w:val="44"/>
              <w:jc w:val="both"/>
              <w:rPr>
                <w:rFonts w:ascii="仿宋" w:hAnsi="仿宋" w:eastAsia="仿宋"/>
                <w:color w:val="auto"/>
                <w:sz w:val="21"/>
                <w:szCs w:val="21"/>
                <w:lang w:val="zh-CN"/>
              </w:rPr>
            </w:pPr>
            <w:r>
              <w:rPr>
                <w:rFonts w:ascii="仿宋" w:hAnsi="仿宋" w:eastAsia="仿宋"/>
                <w:b/>
                <w:color w:val="auto"/>
                <w:sz w:val="21"/>
                <w:szCs w:val="21"/>
                <w:lang w:val="zh-CN"/>
              </w:rPr>
              <w:t>□</w:t>
            </w:r>
            <w:r>
              <w:rPr>
                <w:rFonts w:hint="eastAsia" w:ascii="仿宋" w:hAnsi="仿宋" w:eastAsia="仿宋"/>
                <w:b/>
                <w:color w:val="auto"/>
                <w:sz w:val="21"/>
                <w:szCs w:val="21"/>
                <w:lang w:val="zh-CN"/>
              </w:rPr>
              <w:t>本项目允许</w:t>
            </w:r>
            <w:r>
              <w:rPr>
                <w:rFonts w:ascii="仿宋" w:hAnsi="仿宋" w:eastAsia="仿宋"/>
                <w:b/>
                <w:color w:val="auto"/>
                <w:sz w:val="21"/>
                <w:szCs w:val="21"/>
                <w:lang w:val="zh-CN"/>
              </w:rPr>
              <w:t>联合体</w:t>
            </w:r>
            <w:r>
              <w:rPr>
                <w:rFonts w:hint="eastAsia" w:ascii="仿宋" w:hAnsi="仿宋" w:eastAsia="仿宋"/>
                <w:b/>
                <w:color w:val="auto"/>
                <w:sz w:val="21"/>
                <w:szCs w:val="21"/>
                <w:lang w:val="zh-CN"/>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auto"/>
                <w:szCs w:val="21"/>
              </w:rPr>
            </w:pPr>
            <w:r>
              <w:rPr>
                <w:rFonts w:hint="eastAsia" w:ascii="仿宋" w:hAnsi="仿宋" w:eastAsia="仿宋"/>
                <w:color w:val="auto"/>
                <w:szCs w:val="21"/>
              </w:rPr>
              <w:t>21</w:t>
            </w:r>
          </w:p>
        </w:tc>
        <w:tc>
          <w:tcPr>
            <w:tcW w:w="2552" w:type="dxa"/>
            <w:tcBorders>
              <w:right w:val="single" w:color="auto" w:sz="4" w:space="0"/>
            </w:tcBorders>
            <w:vAlign w:val="center"/>
          </w:tcPr>
          <w:p>
            <w:pPr>
              <w:pStyle w:val="44"/>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温馨提示</w:t>
            </w:r>
          </w:p>
        </w:tc>
        <w:tc>
          <w:tcPr>
            <w:tcW w:w="6076" w:type="dxa"/>
            <w:tcBorders>
              <w:left w:val="single" w:color="auto" w:sz="4" w:space="0"/>
            </w:tcBorders>
            <w:vAlign w:val="center"/>
          </w:tcPr>
          <w:p>
            <w:pPr>
              <w:pStyle w:val="44"/>
              <w:numPr>
                <w:ilvl w:val="0"/>
                <w:numId w:val="1"/>
              </w:numPr>
              <w:rPr>
                <w:rFonts w:ascii="仿宋" w:hAnsi="仿宋" w:eastAsia="仿宋"/>
                <w:color w:val="auto"/>
                <w:sz w:val="21"/>
                <w:szCs w:val="21"/>
                <w:lang w:val="zh-CN"/>
              </w:rPr>
            </w:pPr>
            <w:r>
              <w:rPr>
                <w:rFonts w:hint="eastAsia" w:ascii="仿宋" w:hAnsi="仿宋" w:eastAsia="仿宋"/>
                <w:color w:val="auto"/>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p>
            <w:pPr>
              <w:pStyle w:val="44"/>
              <w:jc w:val="both"/>
              <w:rPr>
                <w:rFonts w:ascii="仿宋" w:hAnsi="仿宋" w:eastAsia="仿宋"/>
                <w:color w:val="auto"/>
                <w:sz w:val="21"/>
                <w:szCs w:val="21"/>
                <w:lang w:val="zh-CN"/>
              </w:rPr>
            </w:pPr>
            <w:r>
              <w:rPr>
                <w:rFonts w:hint="eastAsia" w:ascii="仿宋" w:hAnsi="仿宋" w:eastAsia="仿宋"/>
                <w:color w:val="auto"/>
                <w:sz w:val="21"/>
                <w:szCs w:val="21"/>
              </w:rPr>
              <w:t>2.</w:t>
            </w:r>
            <w:r>
              <w:rPr>
                <w:rFonts w:hint="eastAsia" w:ascii="仿宋" w:hAnsi="仿宋" w:eastAsia="仿宋"/>
                <w:color w:val="auto"/>
                <w:sz w:val="21"/>
                <w:szCs w:val="21"/>
                <w:lang w:val="zh-CN"/>
              </w:rPr>
              <w:t>政府采购云平台供应商注册地址：</w:t>
            </w:r>
          </w:p>
          <w:p>
            <w:pPr>
              <w:pStyle w:val="44"/>
              <w:jc w:val="both"/>
              <w:rPr>
                <w:rFonts w:ascii="仿宋" w:hAnsi="仿宋" w:eastAsia="仿宋"/>
                <w:color w:val="auto"/>
                <w:sz w:val="21"/>
                <w:szCs w:val="21"/>
              </w:rPr>
            </w:pPr>
            <w:r>
              <w:rPr>
                <w:rFonts w:hint="eastAsia" w:ascii="仿宋" w:hAnsi="仿宋" w:eastAsia="仿宋"/>
                <w:color w:val="auto"/>
                <w:sz w:val="21"/>
                <w:szCs w:val="21"/>
                <w:lang w:val="zh-CN"/>
              </w:rPr>
              <w:t>https://middle.zcygov.cn/v-settle-front/registry?settleCategory=1&amp;entranceType=119&amp;utm=a0017.b1347.cl50.3.c0de9400b91b11eb870ad7da87d69c97</w:t>
            </w:r>
          </w:p>
        </w:tc>
      </w:tr>
    </w:tbl>
    <w:p>
      <w:pPr>
        <w:rPr>
          <w:rFonts w:ascii="仿宋" w:hAnsi="仿宋" w:eastAsia="仿宋"/>
          <w:color w:val="auto"/>
        </w:rPr>
      </w:pPr>
    </w:p>
    <w:p>
      <w:pPr>
        <w:pStyle w:val="4"/>
        <w:spacing w:line="400" w:lineRule="exact"/>
        <w:jc w:val="center"/>
        <w:rPr>
          <w:rFonts w:ascii="仿宋" w:hAnsi="仿宋" w:eastAsia="仿宋"/>
          <w:bCs w:val="0"/>
          <w:color w:val="auto"/>
        </w:rPr>
      </w:pPr>
      <w:r>
        <w:rPr>
          <w:rFonts w:hint="eastAsia" w:ascii="仿宋" w:hAnsi="仿宋" w:eastAsia="仿宋"/>
          <w:bCs w:val="0"/>
          <w:color w:val="auto"/>
        </w:rPr>
        <w:t>二、总  则</w:t>
      </w:r>
    </w:p>
    <w:p>
      <w:pPr>
        <w:pStyle w:val="5"/>
        <w:spacing w:line="400" w:lineRule="exact"/>
        <w:ind w:firstLine="482" w:firstLineChars="200"/>
        <w:rPr>
          <w:rFonts w:ascii="仿宋" w:hAnsi="仿宋" w:eastAsia="仿宋"/>
          <w:color w:val="auto"/>
          <w:sz w:val="24"/>
          <w:szCs w:val="24"/>
        </w:rPr>
      </w:pPr>
      <w:bookmarkStart w:id="25" w:name="_Toc183682342"/>
      <w:bookmarkStart w:id="26" w:name="_Toc183582205"/>
      <w:bookmarkStart w:id="27" w:name="_Toc217446034"/>
      <w:bookmarkStart w:id="28" w:name="PO_默认文件内容_19"/>
      <w:r>
        <w:rPr>
          <w:rFonts w:hint="eastAsia" w:ascii="仿宋" w:hAnsi="仿宋" w:eastAsia="仿宋"/>
          <w:color w:val="auto"/>
          <w:sz w:val="24"/>
          <w:szCs w:val="24"/>
        </w:rPr>
        <w:t>1.</w:t>
      </w:r>
      <w:bookmarkEnd w:id="25"/>
      <w:bookmarkEnd w:id="26"/>
      <w:r>
        <w:rPr>
          <w:rFonts w:hint="eastAsia" w:ascii="仿宋" w:hAnsi="仿宋" w:eastAsia="仿宋"/>
          <w:color w:val="auto"/>
          <w:sz w:val="24"/>
          <w:szCs w:val="24"/>
        </w:rPr>
        <w:t xml:space="preserve"> 适用范围</w:t>
      </w:r>
      <w:bookmarkEnd w:id="27"/>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1.1 本招标文件仅适用于本次招标采购项目。</w:t>
      </w:r>
    </w:p>
    <w:p>
      <w:pPr>
        <w:pStyle w:val="5"/>
        <w:spacing w:line="400" w:lineRule="exact"/>
        <w:ind w:firstLine="482" w:firstLineChars="200"/>
        <w:rPr>
          <w:rFonts w:ascii="仿宋" w:hAnsi="仿宋" w:eastAsia="仿宋"/>
          <w:color w:val="auto"/>
          <w:sz w:val="24"/>
        </w:rPr>
      </w:pPr>
      <w:bookmarkStart w:id="29" w:name="_Toc183582206"/>
      <w:bookmarkStart w:id="30" w:name="_Toc183682343"/>
      <w:bookmarkStart w:id="31" w:name="_Toc217446035"/>
      <w:r>
        <w:rPr>
          <w:rFonts w:hint="eastAsia" w:ascii="仿宋" w:hAnsi="仿宋" w:eastAsia="仿宋"/>
          <w:color w:val="auto"/>
          <w:sz w:val="24"/>
        </w:rPr>
        <w:t xml:space="preserve">2. </w:t>
      </w:r>
      <w:bookmarkEnd w:id="29"/>
      <w:bookmarkEnd w:id="30"/>
      <w:r>
        <w:rPr>
          <w:rFonts w:hint="eastAsia" w:ascii="仿宋" w:hAnsi="仿宋" w:eastAsia="仿宋"/>
          <w:color w:val="auto"/>
          <w:sz w:val="24"/>
        </w:rPr>
        <w:t>有关</w:t>
      </w:r>
      <w:r>
        <w:rPr>
          <w:rFonts w:hint="eastAsia" w:ascii="仿宋" w:hAnsi="仿宋" w:eastAsia="仿宋"/>
          <w:color w:val="auto"/>
          <w:sz w:val="24"/>
          <w:szCs w:val="24"/>
        </w:rPr>
        <w:t>定义</w:t>
      </w:r>
      <w:bookmarkEnd w:id="31"/>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2.1 “采购人”系指依法进行政府采购的国家机关、事业单位、团体组织。本次招标的采购人是</w:t>
      </w:r>
      <w:bookmarkEnd w:id="28"/>
      <w:r>
        <w:rPr>
          <w:rFonts w:hint="eastAsia" w:ascii="仿宋" w:hAnsi="仿宋" w:eastAsia="仿宋"/>
          <w:color w:val="auto"/>
          <w:sz w:val="24"/>
        </w:rPr>
        <w:t xml:space="preserve"> </w:t>
      </w:r>
      <w:r>
        <w:rPr>
          <w:rFonts w:hint="eastAsia" w:ascii="仿宋" w:hAnsi="仿宋" w:eastAsia="仿宋"/>
          <w:color w:val="auto"/>
          <w:sz w:val="24"/>
          <w:u w:val="single"/>
        </w:rPr>
        <w:t>成都市成华区智慧城市治理中心</w:t>
      </w:r>
      <w:r>
        <w:rPr>
          <w:rFonts w:hint="eastAsia" w:ascii="仿宋" w:hAnsi="仿宋" w:eastAsia="仿宋"/>
          <w:color w:val="auto"/>
          <w:sz w:val="24"/>
        </w:rPr>
        <w:t>。</w:t>
      </w:r>
    </w:p>
    <w:p>
      <w:pPr>
        <w:tabs>
          <w:tab w:val="left" w:pos="7665"/>
        </w:tabs>
        <w:spacing w:line="400" w:lineRule="exact"/>
        <w:ind w:firstLine="480" w:firstLineChars="200"/>
        <w:rPr>
          <w:rFonts w:ascii="仿宋" w:hAnsi="仿宋" w:eastAsia="仿宋"/>
          <w:color w:val="auto"/>
          <w:sz w:val="24"/>
        </w:rPr>
      </w:pPr>
      <w:bookmarkStart w:id="32" w:name="PO_默认文件内容_20"/>
      <w:r>
        <w:rPr>
          <w:rFonts w:hint="eastAsia" w:ascii="仿宋" w:hAnsi="仿宋" w:eastAsia="仿宋"/>
          <w:color w:val="auto"/>
          <w:sz w:val="24"/>
        </w:rPr>
        <w:t>2.2 “采购代理机构” 系指根据采购人的委托依法办理招标事宜的采购机构。本次招标的采购代理机构是</w:t>
      </w:r>
      <w:r>
        <w:rPr>
          <w:rFonts w:hint="eastAsia" w:ascii="仿宋" w:hAnsi="仿宋" w:eastAsia="仿宋"/>
          <w:b/>
          <w:bCs/>
          <w:color w:val="auto"/>
          <w:sz w:val="24"/>
          <w:u w:val="single"/>
        </w:rPr>
        <w:t>四川中志招标代理有限公司</w:t>
      </w:r>
      <w:r>
        <w:rPr>
          <w:rFonts w:hint="eastAsia" w:ascii="仿宋" w:hAnsi="仿宋" w:eastAsia="仿宋"/>
          <w:color w:val="auto"/>
          <w:sz w:val="24"/>
        </w:rPr>
        <w:t>。</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2.3 “招标采购单位”系指“采购人”和“采购代理机构”的统称。</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2.4 “投标人”系指购买了招标文件拟参加投标和向采购人提供货物及相应服务的供应商。</w:t>
      </w:r>
    </w:p>
    <w:p>
      <w:pPr>
        <w:pStyle w:val="5"/>
        <w:spacing w:line="400" w:lineRule="exact"/>
        <w:ind w:firstLine="482" w:firstLineChars="200"/>
        <w:rPr>
          <w:rFonts w:ascii="仿宋" w:hAnsi="仿宋" w:eastAsia="仿宋"/>
          <w:color w:val="auto"/>
          <w:sz w:val="24"/>
        </w:rPr>
      </w:pPr>
      <w:bookmarkStart w:id="33" w:name="_Toc217390843"/>
      <w:bookmarkStart w:id="34" w:name="_Toc217446036"/>
      <w:bookmarkStart w:id="35" w:name="_Toc183682344"/>
      <w:bookmarkStart w:id="36" w:name="_Toc183582207"/>
      <w:r>
        <w:rPr>
          <w:rFonts w:hint="eastAsia" w:ascii="仿宋" w:hAnsi="仿宋" w:eastAsia="仿宋"/>
          <w:color w:val="auto"/>
          <w:sz w:val="24"/>
        </w:rPr>
        <w:t>3. 合格的投标人</w:t>
      </w:r>
      <w:bookmarkEnd w:id="33"/>
      <w:bookmarkEnd w:id="34"/>
      <w:bookmarkEnd w:id="35"/>
      <w:bookmarkEnd w:id="36"/>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合格的投标人应具备以下条件：</w:t>
      </w:r>
    </w:p>
    <w:p>
      <w:pPr>
        <w:tabs>
          <w:tab w:val="left" w:pos="7665"/>
        </w:tabs>
        <w:spacing w:line="400" w:lineRule="exact"/>
        <w:ind w:firstLine="480" w:firstLineChars="200"/>
        <w:rPr>
          <w:rFonts w:ascii="仿宋" w:hAnsi="仿宋" w:eastAsia="仿宋"/>
          <w:color w:val="auto"/>
          <w:spacing w:val="-4"/>
          <w:sz w:val="24"/>
        </w:rPr>
      </w:pPr>
      <w:r>
        <w:rPr>
          <w:rFonts w:hint="eastAsia" w:ascii="仿宋" w:hAnsi="仿宋" w:eastAsia="仿宋"/>
          <w:color w:val="auto"/>
          <w:sz w:val="24"/>
        </w:rPr>
        <w:t>（1）本招标文件规定的供应商资格条件</w:t>
      </w:r>
      <w:r>
        <w:rPr>
          <w:rFonts w:hint="eastAsia" w:ascii="仿宋" w:hAnsi="仿宋" w:eastAsia="仿宋"/>
          <w:color w:val="auto"/>
          <w:spacing w:val="-4"/>
          <w:sz w:val="24"/>
        </w:rPr>
        <w:t>；</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（2）遵守国家有关的法律、法规、规章和其他政策制度；</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（3）按照招标文件第一章第六条要求规定获取了招标文件。</w:t>
      </w:r>
      <w:bookmarkEnd w:id="32"/>
    </w:p>
    <w:p>
      <w:pPr>
        <w:pStyle w:val="5"/>
        <w:spacing w:line="400" w:lineRule="exact"/>
        <w:ind w:firstLine="482" w:firstLineChars="200"/>
        <w:rPr>
          <w:rFonts w:ascii="仿宋" w:hAnsi="仿宋" w:eastAsia="仿宋"/>
          <w:color w:val="auto"/>
          <w:sz w:val="24"/>
        </w:rPr>
      </w:pPr>
      <w:bookmarkStart w:id="37" w:name="_Toc217446037"/>
      <w:bookmarkStart w:id="38" w:name="_Toc183582208"/>
      <w:bookmarkStart w:id="39" w:name="_Toc183682345"/>
      <w:bookmarkStart w:id="40" w:name="PO_默认文件内容_16"/>
      <w:r>
        <w:rPr>
          <w:rFonts w:hint="eastAsia" w:ascii="仿宋" w:hAnsi="仿宋" w:eastAsia="仿宋"/>
          <w:color w:val="auto"/>
          <w:sz w:val="24"/>
        </w:rPr>
        <w:t>4. 投标费用</w:t>
      </w:r>
      <w:bookmarkEnd w:id="37"/>
      <w:bookmarkEnd w:id="38"/>
      <w:bookmarkEnd w:id="39"/>
      <w:r>
        <w:rPr>
          <w:rFonts w:hint="eastAsia" w:ascii="仿宋" w:hAnsi="仿宋" w:eastAsia="仿宋"/>
          <w:color w:val="auto"/>
          <w:sz w:val="24"/>
          <w:szCs w:val="24"/>
        </w:rPr>
        <w:t>（实质性要求）</w:t>
      </w:r>
    </w:p>
    <w:p>
      <w:pPr>
        <w:tabs>
          <w:tab w:val="left" w:pos="7665"/>
        </w:tabs>
        <w:spacing w:line="400" w:lineRule="exact"/>
        <w:ind w:firstLine="480"/>
        <w:rPr>
          <w:rFonts w:ascii="仿宋" w:hAnsi="仿宋" w:eastAsia="仿宋"/>
          <w:color w:val="auto"/>
          <w:sz w:val="24"/>
        </w:rPr>
      </w:pPr>
      <w:r>
        <w:rPr>
          <w:rFonts w:hint="eastAsia" w:ascii="仿宋" w:hAnsi="仿宋" w:eastAsia="仿宋"/>
          <w:color w:val="auto"/>
          <w:sz w:val="24"/>
        </w:rPr>
        <w:t>投标人参加投标的有关费用由投标人自行承担。</w:t>
      </w:r>
    </w:p>
    <w:p>
      <w:pPr>
        <w:pStyle w:val="5"/>
        <w:spacing w:line="400" w:lineRule="exact"/>
        <w:ind w:firstLine="482" w:firstLineChars="200"/>
        <w:rPr>
          <w:rFonts w:ascii="仿宋" w:hAnsi="仿宋" w:eastAsia="仿宋"/>
          <w:color w:val="auto"/>
          <w:sz w:val="24"/>
        </w:rPr>
      </w:pPr>
      <w:r>
        <w:rPr>
          <w:rFonts w:hint="eastAsia" w:ascii="仿宋" w:hAnsi="仿宋" w:eastAsia="仿宋"/>
          <w:color w:val="auto"/>
          <w:sz w:val="24"/>
        </w:rPr>
        <w:t>5. 充分、公平竞争保障措施</w:t>
      </w:r>
      <w:r>
        <w:rPr>
          <w:rFonts w:hint="eastAsia" w:ascii="仿宋" w:hAnsi="仿宋" w:eastAsia="仿宋"/>
          <w:color w:val="auto"/>
          <w:sz w:val="24"/>
          <w:szCs w:val="24"/>
        </w:rPr>
        <w:t>（实质性要求）</w:t>
      </w:r>
    </w:p>
    <w:p>
      <w:pPr>
        <w:pStyle w:val="42"/>
        <w:spacing w:line="460" w:lineRule="exact"/>
        <w:ind w:left="1" w:firstLine="482" w:firstLineChars="200"/>
        <w:rPr>
          <w:rFonts w:ascii="仿宋" w:hAnsi="仿宋" w:eastAsia="仿宋"/>
          <w:color w:val="auto"/>
          <w:sz w:val="24"/>
        </w:rPr>
      </w:pPr>
      <w:r>
        <w:rPr>
          <w:rFonts w:hint="eastAsia" w:ascii="仿宋" w:hAnsi="仿宋" w:eastAsia="仿宋"/>
          <w:b/>
          <w:color w:val="auto"/>
          <w:sz w:val="24"/>
        </w:rPr>
        <w:t>5.1利害关系供应商处理。</w:t>
      </w:r>
      <w:r>
        <w:rPr>
          <w:rFonts w:hint="eastAsia" w:ascii="仿宋" w:hAnsi="仿宋" w:eastAsia="仿宋"/>
          <w:color w:val="auto"/>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2"/>
        <w:spacing w:line="460" w:lineRule="exact"/>
        <w:ind w:left="1" w:firstLine="482" w:firstLineChars="200"/>
        <w:rPr>
          <w:rFonts w:ascii="仿宋" w:hAnsi="仿宋" w:eastAsia="仿宋"/>
          <w:color w:val="auto"/>
          <w:sz w:val="24"/>
        </w:rPr>
      </w:pPr>
      <w:r>
        <w:rPr>
          <w:rFonts w:hint="eastAsia" w:ascii="仿宋" w:hAnsi="仿宋" w:eastAsia="仿宋"/>
          <w:b/>
          <w:color w:val="auto"/>
          <w:sz w:val="24"/>
        </w:rPr>
        <w:t>5.2 前期参与供应商处理。</w:t>
      </w:r>
      <w:r>
        <w:rPr>
          <w:rFonts w:hint="eastAsia" w:ascii="仿宋" w:hAnsi="仿宋" w:eastAsia="仿宋"/>
          <w:color w:val="auto"/>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2"/>
        <w:spacing w:line="460" w:lineRule="exact"/>
        <w:ind w:left="1" w:firstLine="482" w:firstLineChars="200"/>
        <w:rPr>
          <w:rFonts w:ascii="仿宋" w:hAnsi="仿宋" w:eastAsia="仿宋"/>
          <w:color w:val="auto"/>
          <w:sz w:val="24"/>
        </w:rPr>
      </w:pPr>
      <w:r>
        <w:rPr>
          <w:rFonts w:hint="eastAsia" w:ascii="仿宋" w:hAnsi="仿宋" w:eastAsia="仿宋"/>
          <w:b/>
          <w:color w:val="auto"/>
          <w:sz w:val="24"/>
        </w:rPr>
        <w:t>5.3 利害关系代理人处理。</w:t>
      </w:r>
      <w:r>
        <w:rPr>
          <w:rFonts w:hint="eastAsia" w:ascii="仿宋" w:hAnsi="仿宋" w:eastAsia="仿宋"/>
          <w:color w:val="auto"/>
          <w:sz w:val="24"/>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仿宋" w:hAnsi="仿宋" w:eastAsia="仿宋"/>
          <w:bCs w:val="0"/>
          <w:color w:val="auto"/>
        </w:rPr>
      </w:pPr>
      <w:bookmarkStart w:id="41" w:name="_Toc217446038"/>
      <w:bookmarkStart w:id="42" w:name="_Toc183682346"/>
      <w:bookmarkStart w:id="43" w:name="_Toc183582209"/>
      <w:bookmarkStart w:id="44" w:name="_Toc89075875"/>
      <w:bookmarkStart w:id="45" w:name="_Toc77400779"/>
      <w:r>
        <w:rPr>
          <w:rFonts w:hint="eastAsia" w:ascii="仿宋" w:hAnsi="仿宋" w:eastAsia="仿宋"/>
          <w:bCs w:val="0"/>
          <w:color w:val="auto"/>
        </w:rPr>
        <w:t>三、招标文件</w:t>
      </w:r>
      <w:bookmarkEnd w:id="41"/>
      <w:bookmarkEnd w:id="42"/>
      <w:bookmarkEnd w:id="43"/>
      <w:bookmarkEnd w:id="44"/>
      <w:bookmarkEnd w:id="45"/>
    </w:p>
    <w:p>
      <w:pPr>
        <w:pStyle w:val="5"/>
        <w:spacing w:line="400" w:lineRule="exact"/>
        <w:ind w:firstLine="482" w:firstLineChars="200"/>
        <w:rPr>
          <w:rFonts w:ascii="仿宋" w:hAnsi="仿宋" w:eastAsia="仿宋"/>
          <w:color w:val="auto"/>
          <w:sz w:val="24"/>
        </w:rPr>
      </w:pPr>
      <w:bookmarkStart w:id="46" w:name="_Toc217446039"/>
      <w:bookmarkStart w:id="47" w:name="_Toc183582210"/>
      <w:bookmarkStart w:id="48" w:name="_Toc183682347"/>
      <w:r>
        <w:rPr>
          <w:rFonts w:hint="eastAsia" w:ascii="仿宋" w:hAnsi="仿宋" w:eastAsia="仿宋"/>
          <w:color w:val="auto"/>
          <w:sz w:val="24"/>
        </w:rPr>
        <w:t>6．招标文件的构成</w:t>
      </w:r>
      <w:bookmarkEnd w:id="46"/>
      <w:bookmarkEnd w:id="47"/>
      <w:bookmarkEnd w:id="48"/>
    </w:p>
    <w:p>
      <w:pPr>
        <w:tabs>
          <w:tab w:val="left" w:pos="7665"/>
        </w:tabs>
        <w:spacing w:line="400" w:lineRule="exact"/>
        <w:ind w:firstLine="480" w:firstLineChars="200"/>
        <w:rPr>
          <w:rFonts w:ascii="仿宋" w:hAnsi="仿宋" w:eastAsia="仿宋"/>
          <w:color w:val="auto"/>
          <w:kern w:val="0"/>
          <w:sz w:val="24"/>
          <w:szCs w:val="22"/>
        </w:rPr>
      </w:pPr>
      <w:r>
        <w:rPr>
          <w:rFonts w:hint="eastAsia" w:ascii="仿宋" w:hAnsi="仿宋" w:eastAsia="仿宋"/>
          <w:color w:val="auto"/>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kern w:val="0"/>
          <w:sz w:val="24"/>
          <w:szCs w:val="22"/>
        </w:rPr>
        <w:t>（一）投标</w:t>
      </w:r>
      <w:r>
        <w:rPr>
          <w:rFonts w:hint="eastAsia" w:ascii="仿宋" w:hAnsi="仿宋" w:eastAsia="仿宋"/>
          <w:color w:val="auto"/>
          <w:sz w:val="24"/>
        </w:rPr>
        <w:t>邀请；</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（二）投标人须知；</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（三）投标文件格式；</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（四）投标人和投标产品的资格、资质性及其他类似效力要求；</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（五）投标人应当提供的资格、资质性及其他类似效力要求的相关证明材料；</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（六）招标项目技术、商务及其他要求；</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（七）评标办法；</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（八）合同主要条款。</w:t>
      </w:r>
    </w:p>
    <w:p>
      <w:pPr>
        <w:pStyle w:val="5"/>
        <w:spacing w:line="400" w:lineRule="exact"/>
        <w:ind w:firstLine="482" w:firstLineChars="200"/>
        <w:rPr>
          <w:rFonts w:ascii="仿宋" w:hAnsi="仿宋" w:eastAsia="仿宋"/>
          <w:color w:val="auto"/>
          <w:sz w:val="24"/>
        </w:rPr>
      </w:pPr>
      <w:bookmarkStart w:id="49" w:name="_Toc183682348"/>
      <w:bookmarkStart w:id="50" w:name="_Toc183582211"/>
      <w:bookmarkStart w:id="51" w:name="_Toc217446040"/>
      <w:r>
        <w:rPr>
          <w:rFonts w:hint="eastAsia" w:ascii="仿宋" w:hAnsi="仿宋" w:eastAsia="仿宋"/>
          <w:color w:val="auto"/>
          <w:sz w:val="24"/>
        </w:rPr>
        <w:t>7. 招标文件的澄清</w:t>
      </w:r>
      <w:bookmarkEnd w:id="49"/>
      <w:bookmarkEnd w:id="50"/>
      <w:r>
        <w:rPr>
          <w:rFonts w:hint="eastAsia" w:ascii="仿宋" w:hAnsi="仿宋" w:eastAsia="仿宋"/>
          <w:color w:val="auto"/>
          <w:sz w:val="24"/>
        </w:rPr>
        <w:t>和修改</w:t>
      </w:r>
      <w:bookmarkEnd w:id="51"/>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7.1 招标采购单位可以依法对招标文件进行澄清或者修改。</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更正通知通过投标人获取招标文件时登记的电子邮箱发送至所有获取招标文件的投标人，投标人在收到相应更正通知后，以书面形式给予确认。如投标人未给予书面回复，则视为收到并认可该更正通知的内容。</w:t>
      </w:r>
    </w:p>
    <w:p>
      <w:pPr>
        <w:pStyle w:val="5"/>
        <w:spacing w:line="400" w:lineRule="exact"/>
        <w:ind w:firstLine="482" w:firstLineChars="200"/>
        <w:rPr>
          <w:rFonts w:ascii="仿宋" w:hAnsi="仿宋" w:eastAsia="仿宋"/>
          <w:color w:val="auto"/>
          <w:sz w:val="24"/>
        </w:rPr>
      </w:pPr>
      <w:bookmarkStart w:id="52" w:name="_Toc208848971"/>
      <w:bookmarkStart w:id="53" w:name="_Toc217446041"/>
      <w:r>
        <w:rPr>
          <w:rFonts w:hint="eastAsia" w:ascii="仿宋" w:hAnsi="仿宋" w:eastAsia="仿宋"/>
          <w:color w:val="auto"/>
          <w:sz w:val="24"/>
        </w:rPr>
        <w:t>8. 答疑会和现场考察</w:t>
      </w:r>
      <w:bookmarkEnd w:id="52"/>
      <w:bookmarkEnd w:id="53"/>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现场考察或标前答疑会时间：本项目不组织。</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现场考察或标前答疑会地点：本项目不组织。</w:t>
      </w:r>
      <w:bookmarkEnd w:id="40"/>
    </w:p>
    <w:p>
      <w:pPr>
        <w:tabs>
          <w:tab w:val="left" w:pos="7665"/>
        </w:tabs>
        <w:spacing w:line="400" w:lineRule="exact"/>
        <w:ind w:firstLine="480" w:firstLineChars="200"/>
        <w:rPr>
          <w:rFonts w:ascii="仿宋" w:hAnsi="仿宋" w:eastAsia="仿宋"/>
          <w:color w:val="auto"/>
          <w:sz w:val="24"/>
        </w:rPr>
      </w:pPr>
      <w:bookmarkStart w:id="54" w:name="PO_默认文件内容_18"/>
      <w:r>
        <w:rPr>
          <w:rFonts w:hint="eastAsia" w:ascii="仿宋" w:hAnsi="仿宋" w:eastAsia="仿宋"/>
          <w:color w:val="auto"/>
          <w:sz w:val="24"/>
        </w:rPr>
        <w:t>8.2 供应商考察现场所发生的一切费用由供应商自己承担。</w:t>
      </w:r>
    </w:p>
    <w:p>
      <w:pPr>
        <w:pStyle w:val="4"/>
        <w:spacing w:line="400" w:lineRule="exact"/>
        <w:jc w:val="center"/>
        <w:rPr>
          <w:rFonts w:ascii="仿宋" w:hAnsi="仿宋" w:eastAsia="仿宋"/>
          <w:bCs w:val="0"/>
          <w:color w:val="auto"/>
        </w:rPr>
      </w:pPr>
      <w:bookmarkStart w:id="55" w:name="_Toc217446042"/>
      <w:bookmarkStart w:id="56" w:name="_Toc183682351"/>
      <w:bookmarkStart w:id="57" w:name="_Toc77400780"/>
      <w:bookmarkStart w:id="58" w:name="_Toc183582214"/>
      <w:bookmarkStart w:id="59" w:name="_Toc89075876"/>
      <w:r>
        <w:rPr>
          <w:rFonts w:hint="eastAsia" w:ascii="仿宋" w:hAnsi="仿宋" w:eastAsia="仿宋"/>
          <w:bCs w:val="0"/>
          <w:color w:val="auto"/>
        </w:rPr>
        <w:t>四、投标文件</w:t>
      </w:r>
      <w:bookmarkEnd w:id="55"/>
      <w:bookmarkEnd w:id="56"/>
      <w:bookmarkEnd w:id="57"/>
      <w:bookmarkEnd w:id="58"/>
      <w:bookmarkEnd w:id="59"/>
    </w:p>
    <w:p>
      <w:pPr>
        <w:pStyle w:val="5"/>
        <w:spacing w:line="400" w:lineRule="exact"/>
        <w:ind w:firstLine="482" w:firstLineChars="200"/>
        <w:rPr>
          <w:rFonts w:ascii="仿宋" w:hAnsi="仿宋" w:eastAsia="仿宋"/>
          <w:bCs w:val="0"/>
          <w:color w:val="auto"/>
          <w:sz w:val="24"/>
        </w:rPr>
      </w:pPr>
      <w:bookmarkStart w:id="60" w:name="_Toc183682352"/>
      <w:bookmarkStart w:id="61" w:name="_Toc217446043"/>
      <w:bookmarkStart w:id="62" w:name="_Toc183582215"/>
      <w:r>
        <w:rPr>
          <w:rFonts w:hint="eastAsia" w:ascii="仿宋" w:hAnsi="仿宋" w:eastAsia="仿宋"/>
          <w:bCs w:val="0"/>
          <w:color w:val="auto"/>
          <w:sz w:val="24"/>
        </w:rPr>
        <w:t>9．投标文件的语言</w:t>
      </w:r>
      <w:bookmarkEnd w:id="60"/>
      <w:bookmarkEnd w:id="61"/>
      <w:bookmarkEnd w:id="62"/>
      <w:r>
        <w:rPr>
          <w:rFonts w:hint="eastAsia" w:ascii="仿宋" w:hAnsi="仿宋" w:eastAsia="仿宋"/>
          <w:color w:val="auto"/>
          <w:sz w:val="24"/>
          <w:szCs w:val="24"/>
        </w:rPr>
        <w:t>（实质性要求）</w:t>
      </w:r>
    </w:p>
    <w:p>
      <w:pPr>
        <w:tabs>
          <w:tab w:val="left" w:pos="1134"/>
        </w:tabs>
        <w:spacing w:line="360" w:lineRule="auto"/>
        <w:ind w:firstLine="480" w:firstLineChars="200"/>
        <w:jc w:val="left"/>
        <w:rPr>
          <w:rFonts w:ascii="仿宋" w:hAnsi="仿宋" w:eastAsia="仿宋"/>
          <w:color w:val="auto"/>
          <w:sz w:val="24"/>
        </w:rPr>
      </w:pPr>
      <w:bookmarkStart w:id="63" w:name="_Toc183682353"/>
      <w:bookmarkStart w:id="64" w:name="_Toc183582216"/>
      <w:bookmarkStart w:id="65" w:name="_Toc217446044"/>
      <w:r>
        <w:rPr>
          <w:rFonts w:hint="eastAsia" w:ascii="仿宋" w:hAnsi="仿宋" w:eastAsia="仿宋"/>
          <w:color w:val="auto"/>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auto"/>
          <w:sz w:val="24"/>
        </w:rPr>
      </w:pPr>
      <w:r>
        <w:rPr>
          <w:rFonts w:hint="eastAsia" w:ascii="仿宋" w:hAnsi="仿宋" w:eastAsia="仿宋" w:cs="宋体"/>
          <w:color w:val="auto"/>
          <w:sz w:val="24"/>
        </w:rPr>
        <w:t>9.3 如因未翻译而造成的废标，由投标人承担。</w:t>
      </w:r>
    </w:p>
    <w:p>
      <w:pPr>
        <w:pStyle w:val="5"/>
        <w:spacing w:line="400" w:lineRule="exact"/>
        <w:ind w:firstLine="482" w:firstLineChars="200"/>
        <w:rPr>
          <w:rFonts w:ascii="仿宋" w:hAnsi="仿宋" w:eastAsia="仿宋"/>
          <w:color w:val="auto"/>
          <w:sz w:val="24"/>
        </w:rPr>
      </w:pPr>
      <w:r>
        <w:rPr>
          <w:rFonts w:hint="eastAsia" w:ascii="仿宋" w:hAnsi="仿宋" w:eastAsia="仿宋"/>
          <w:color w:val="auto"/>
          <w:sz w:val="24"/>
        </w:rPr>
        <w:t>10．计量单位</w:t>
      </w:r>
      <w:bookmarkEnd w:id="63"/>
      <w:bookmarkEnd w:id="64"/>
      <w:bookmarkEnd w:id="65"/>
      <w:r>
        <w:rPr>
          <w:rFonts w:hint="eastAsia" w:ascii="仿宋" w:hAnsi="仿宋" w:eastAsia="仿宋"/>
          <w:color w:val="auto"/>
          <w:sz w:val="24"/>
          <w:szCs w:val="24"/>
        </w:rPr>
        <w:t>（实质性要求）</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除招标文件中另有规定外，本次采购项目所有合同项下的投标均采用国家法定的计量单位。</w:t>
      </w:r>
    </w:p>
    <w:p>
      <w:pPr>
        <w:pStyle w:val="5"/>
        <w:spacing w:line="400" w:lineRule="exact"/>
        <w:ind w:firstLine="482" w:firstLineChars="200"/>
        <w:rPr>
          <w:rFonts w:ascii="仿宋" w:hAnsi="仿宋" w:eastAsia="仿宋"/>
          <w:color w:val="auto"/>
          <w:sz w:val="24"/>
        </w:rPr>
      </w:pPr>
      <w:bookmarkStart w:id="66" w:name="_Toc217446045"/>
      <w:r>
        <w:rPr>
          <w:rFonts w:hint="eastAsia" w:ascii="仿宋" w:hAnsi="仿宋" w:eastAsia="仿宋"/>
          <w:color w:val="auto"/>
          <w:sz w:val="24"/>
        </w:rPr>
        <w:t>11. 投标货币</w:t>
      </w:r>
      <w:bookmarkEnd w:id="66"/>
      <w:r>
        <w:rPr>
          <w:rFonts w:hint="eastAsia" w:ascii="仿宋" w:hAnsi="仿宋" w:eastAsia="仿宋"/>
          <w:color w:val="auto"/>
          <w:sz w:val="24"/>
        </w:rPr>
        <w:t>（实质性要求）</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本次招标项目的投标均以人民币报价。</w:t>
      </w:r>
    </w:p>
    <w:p>
      <w:pPr>
        <w:pStyle w:val="5"/>
        <w:spacing w:line="400" w:lineRule="exact"/>
        <w:ind w:firstLine="482" w:firstLineChars="200"/>
        <w:rPr>
          <w:rFonts w:ascii="仿宋" w:hAnsi="仿宋" w:eastAsia="仿宋"/>
          <w:color w:val="auto"/>
          <w:sz w:val="24"/>
        </w:rPr>
      </w:pPr>
      <w:bookmarkStart w:id="67" w:name="_Toc217446046"/>
      <w:r>
        <w:rPr>
          <w:rFonts w:hint="eastAsia" w:ascii="仿宋" w:hAnsi="仿宋" w:eastAsia="仿宋"/>
          <w:color w:val="auto"/>
          <w:sz w:val="24"/>
        </w:rPr>
        <w:t>12. 联合体投标</w:t>
      </w:r>
      <w:bookmarkEnd w:id="67"/>
      <w:r>
        <w:rPr>
          <w:rFonts w:hint="eastAsia" w:ascii="仿宋" w:hAnsi="仿宋" w:eastAsia="仿宋"/>
          <w:color w:val="auto"/>
          <w:sz w:val="24"/>
        </w:rPr>
        <w:t>（仅适用于允许联合体参与的项目）</w:t>
      </w:r>
    </w:p>
    <w:p>
      <w:pPr>
        <w:spacing w:line="400" w:lineRule="exact"/>
        <w:ind w:firstLine="470" w:firstLineChars="196"/>
        <w:rPr>
          <w:rFonts w:ascii="仿宋" w:hAnsi="仿宋" w:eastAsia="仿宋"/>
          <w:color w:val="auto"/>
          <w:sz w:val="24"/>
        </w:rPr>
      </w:pPr>
      <w:bookmarkStart w:id="68" w:name="_Toc217446047"/>
      <w:r>
        <w:rPr>
          <w:rFonts w:hint="eastAsia" w:ascii="仿宋" w:hAnsi="仿宋" w:eastAsia="仿宋"/>
          <w:color w:val="auto"/>
          <w:sz w:val="24"/>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color w:val="auto"/>
          <w:sz w:val="24"/>
        </w:rPr>
      </w:pPr>
      <w:bookmarkStart w:id="69" w:name="_Toc308164797"/>
      <w:r>
        <w:rPr>
          <w:rFonts w:hint="eastAsia" w:ascii="仿宋" w:hAnsi="仿宋" w:eastAsia="仿宋"/>
          <w:color w:val="auto"/>
          <w:sz w:val="24"/>
        </w:rPr>
        <w:t>13. 知识产权</w:t>
      </w:r>
      <w:bookmarkEnd w:id="68"/>
      <w:bookmarkEnd w:id="69"/>
      <w:r>
        <w:rPr>
          <w:rFonts w:hint="eastAsia" w:ascii="仿宋" w:hAnsi="仿宋" w:eastAsia="仿宋"/>
          <w:color w:val="auto"/>
          <w:sz w:val="24"/>
        </w:rPr>
        <w:t>（实质性要求）</w:t>
      </w:r>
    </w:p>
    <w:p>
      <w:pPr>
        <w:pStyle w:val="12"/>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2"/>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13.2 采购人享有本项目实施过程中产生的知识成果及知识产权。</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olor w:val="auto"/>
          <w:sz w:val="24"/>
        </w:rPr>
      </w:pPr>
      <w:r>
        <w:rPr>
          <w:rFonts w:hint="eastAsia" w:ascii="仿宋" w:hAnsi="仿宋" w:eastAsia="仿宋"/>
          <w:color w:val="auto"/>
          <w:sz w:val="24"/>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eastAsia="仿宋"/>
          <w:color w:val="auto"/>
          <w:sz w:val="24"/>
        </w:rPr>
      </w:pPr>
      <w:bookmarkStart w:id="70" w:name="_Toc217446048"/>
      <w:bookmarkStart w:id="71" w:name="_Toc308164798"/>
      <w:bookmarkStart w:id="72" w:name="_Toc183682354"/>
      <w:bookmarkStart w:id="73" w:name="_Toc183582217"/>
      <w:r>
        <w:rPr>
          <w:rFonts w:hint="eastAsia" w:ascii="仿宋" w:hAnsi="仿宋" w:eastAsia="仿宋"/>
          <w:color w:val="auto"/>
          <w:sz w:val="24"/>
        </w:rPr>
        <w:t>14．投标文件的组成</w:t>
      </w:r>
      <w:bookmarkEnd w:id="70"/>
      <w:bookmarkEnd w:id="71"/>
      <w:bookmarkEnd w:id="72"/>
      <w:bookmarkEnd w:id="73"/>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color w:val="auto"/>
          <w:sz w:val="24"/>
        </w:rPr>
      </w:pPr>
      <w:r>
        <w:rPr>
          <w:rFonts w:hint="eastAsia" w:ascii="仿宋" w:hAnsi="仿宋" w:eastAsia="仿宋"/>
          <w:b/>
          <w:color w:val="auto"/>
          <w:sz w:val="24"/>
        </w:rPr>
        <w:t>文件一：资格性投标文件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严格按照第四、五章要求提供相关资格、资质性及其他类似效力要求的相关证明材料。</w:t>
      </w:r>
    </w:p>
    <w:p>
      <w:pPr>
        <w:spacing w:line="400" w:lineRule="exact"/>
        <w:ind w:firstLine="482" w:firstLineChars="200"/>
        <w:rPr>
          <w:rFonts w:ascii="仿宋" w:hAnsi="仿宋" w:eastAsia="仿宋"/>
          <w:b/>
          <w:color w:val="auto"/>
          <w:sz w:val="24"/>
        </w:rPr>
      </w:pPr>
      <w:r>
        <w:rPr>
          <w:rFonts w:hint="eastAsia" w:ascii="仿宋" w:hAnsi="仿宋" w:eastAsia="仿宋"/>
          <w:b/>
          <w:color w:val="auto"/>
          <w:sz w:val="24"/>
        </w:rPr>
        <w:t>文件二：其他响应性投标文件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严格按照招标文件要求提供以下五个方面的相关材料：</w:t>
      </w:r>
    </w:p>
    <w:p>
      <w:pPr>
        <w:pStyle w:val="49"/>
        <w:numPr>
          <w:ilvl w:val="0"/>
          <w:numId w:val="2"/>
        </w:numPr>
        <w:spacing w:line="400" w:lineRule="exact"/>
        <w:ind w:firstLineChars="0"/>
        <w:rPr>
          <w:rFonts w:ascii="仿宋" w:hAnsi="仿宋" w:eastAsia="仿宋"/>
          <w:b/>
          <w:color w:val="auto"/>
          <w:sz w:val="24"/>
        </w:rPr>
      </w:pPr>
      <w:r>
        <w:rPr>
          <w:rFonts w:hint="eastAsia" w:ascii="仿宋" w:hAnsi="仿宋" w:eastAsia="仿宋"/>
          <w:b/>
          <w:color w:val="auto"/>
          <w:sz w:val="24"/>
        </w:rPr>
        <w:t>报价部分。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 xml:space="preserve">1、投标人按照招标文件要求填写的“开标一览表”、“报价明细表”（如涉及）。 </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2、本次招标报价要求：</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（1）投标人的报价是投标人响应招标项目要求的全部工作内容的价格体现，包括投标人完成本项目所需的一切费用。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（2）投标人对每一种服务的报价，在合同履行过程中是固定不变的。</w:t>
      </w:r>
    </w:p>
    <w:p>
      <w:pPr>
        <w:spacing w:line="400" w:lineRule="exact"/>
        <w:ind w:firstLine="482" w:firstLineChars="200"/>
        <w:rPr>
          <w:rFonts w:ascii="仿宋" w:hAnsi="仿宋" w:eastAsia="仿宋"/>
          <w:b/>
          <w:bCs/>
          <w:color w:val="auto"/>
          <w:sz w:val="24"/>
        </w:rPr>
      </w:pPr>
      <w:r>
        <w:rPr>
          <w:rFonts w:hint="eastAsia" w:ascii="仿宋" w:hAnsi="仿宋" w:eastAsia="仿宋"/>
          <w:b/>
          <w:color w:val="auto"/>
          <w:sz w:val="24"/>
        </w:rPr>
        <w:t>（二）服务部分。</w:t>
      </w:r>
      <w:r>
        <w:rPr>
          <w:rFonts w:hint="eastAsia" w:ascii="仿宋" w:hAnsi="仿宋" w:eastAsia="仿宋"/>
          <w:color w:val="auto"/>
          <w:sz w:val="24"/>
        </w:rPr>
        <w:t>投标人按照招标文件要求做出的服务应答，主要是针对招标项目的技术指标、技术要求、服务要求做出的实质性响应和满足。投标人的应答包括下列内容（如涉及）：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（1）投标产品本身的详细的技术指标和参数（应当尽可能提供检测报告、产品使用说明书、用户手册等材料予以佐证）；</w:t>
      </w:r>
    </w:p>
    <w:p>
      <w:pPr>
        <w:spacing w:line="400" w:lineRule="exact"/>
        <w:ind w:firstLine="480" w:firstLineChars="200"/>
        <w:rPr>
          <w:rFonts w:eastAsia="仿宋"/>
          <w:color w:val="auto"/>
        </w:rPr>
      </w:pPr>
      <w:r>
        <w:rPr>
          <w:rFonts w:hint="eastAsia" w:ascii="仿宋" w:hAnsi="仿宋" w:eastAsia="仿宋"/>
          <w:color w:val="auto"/>
          <w:sz w:val="24"/>
        </w:rPr>
        <w:t>（2）技术方案、项目实施方案；</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（3）服务偏离表。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（4）投标人认为需要提供的文件和资料。</w:t>
      </w:r>
    </w:p>
    <w:p>
      <w:pPr>
        <w:spacing w:line="400" w:lineRule="exact"/>
        <w:ind w:firstLine="482" w:firstLineChars="200"/>
        <w:rPr>
          <w:rFonts w:ascii="仿宋" w:hAnsi="仿宋" w:eastAsia="仿宋"/>
          <w:color w:val="auto"/>
          <w:sz w:val="24"/>
        </w:rPr>
      </w:pPr>
      <w:r>
        <w:rPr>
          <w:rFonts w:hint="eastAsia" w:ascii="仿宋" w:hAnsi="仿宋" w:eastAsia="仿宋"/>
          <w:b/>
          <w:color w:val="auto"/>
          <w:sz w:val="24"/>
        </w:rPr>
        <w:t>（三）商务部分。</w:t>
      </w:r>
      <w:r>
        <w:rPr>
          <w:rFonts w:hint="eastAsia" w:ascii="仿宋" w:hAnsi="仿宋" w:eastAsia="仿宋"/>
          <w:color w:val="auto"/>
          <w:sz w:val="24"/>
        </w:rPr>
        <w:t>投标人按照招标文件要求提供的有关文件及优惠承诺。包括以下内容（如涉及）：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（1）投标函；</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w:t>
      </w:r>
      <w:r>
        <w:rPr>
          <w:rFonts w:ascii="仿宋" w:hAnsi="仿宋" w:eastAsia="仿宋"/>
          <w:color w:val="auto"/>
          <w:sz w:val="24"/>
        </w:rPr>
        <w:t>2</w:t>
      </w:r>
      <w:r>
        <w:rPr>
          <w:rFonts w:hint="eastAsia" w:ascii="仿宋" w:hAnsi="仿宋" w:eastAsia="仿宋"/>
          <w:color w:val="auto"/>
          <w:sz w:val="24"/>
        </w:rPr>
        <w:t>）证明投标人业绩和荣誉的有关材料复印件；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w:t>
      </w:r>
      <w:r>
        <w:rPr>
          <w:rFonts w:ascii="仿宋" w:hAnsi="仿宋" w:eastAsia="仿宋"/>
          <w:color w:val="auto"/>
          <w:sz w:val="24"/>
        </w:rPr>
        <w:t>3</w:t>
      </w:r>
      <w:r>
        <w:rPr>
          <w:rFonts w:hint="eastAsia" w:ascii="仿宋" w:hAnsi="仿宋" w:eastAsia="仿宋"/>
          <w:color w:val="auto"/>
          <w:sz w:val="24"/>
        </w:rPr>
        <w:t>）商务应答表；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w:t>
      </w:r>
      <w:r>
        <w:rPr>
          <w:rFonts w:ascii="仿宋" w:hAnsi="仿宋" w:eastAsia="仿宋"/>
          <w:color w:val="auto"/>
          <w:sz w:val="24"/>
        </w:rPr>
        <w:t>4</w:t>
      </w:r>
      <w:r>
        <w:rPr>
          <w:rFonts w:hint="eastAsia" w:ascii="仿宋" w:hAnsi="仿宋" w:eastAsia="仿宋"/>
          <w:color w:val="auto"/>
          <w:sz w:val="24"/>
        </w:rPr>
        <w:t>）其他投标人认为需要提供的文件和资料。</w:t>
      </w:r>
    </w:p>
    <w:p>
      <w:pPr>
        <w:spacing w:line="400" w:lineRule="exact"/>
        <w:ind w:firstLine="482" w:firstLineChars="200"/>
        <w:rPr>
          <w:rFonts w:ascii="仿宋" w:hAnsi="仿宋" w:eastAsia="仿宋"/>
          <w:b/>
          <w:bCs/>
          <w:color w:val="auto"/>
          <w:sz w:val="24"/>
        </w:rPr>
      </w:pPr>
      <w:r>
        <w:rPr>
          <w:rFonts w:hint="eastAsia" w:ascii="仿宋" w:hAnsi="仿宋" w:eastAsia="仿宋"/>
          <w:b/>
          <w:color w:val="auto"/>
          <w:sz w:val="24"/>
        </w:rPr>
        <w:t>（四）售后服务。</w:t>
      </w:r>
      <w:r>
        <w:rPr>
          <w:rFonts w:hint="eastAsia" w:ascii="仿宋" w:hAnsi="仿宋" w:eastAsia="仿宋"/>
          <w:color w:val="auto"/>
          <w:sz w:val="24"/>
        </w:rPr>
        <w:t>投标人按照招标文件中售后服务要求作出的积极响应和承诺。包括以下内容（如涉及）：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（2）培训措施：说明培训内容及培训的时间、地点、目标、培训人数、收费标准和办法；</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（3）其他有利于用户的服务承诺。</w:t>
      </w:r>
    </w:p>
    <w:p>
      <w:pPr>
        <w:adjustRightInd w:val="0"/>
        <w:snapToGrid w:val="0"/>
        <w:spacing w:line="400" w:lineRule="exact"/>
        <w:ind w:firstLine="482" w:firstLineChars="200"/>
        <w:rPr>
          <w:rFonts w:ascii="仿宋" w:hAnsi="仿宋" w:eastAsia="仿宋"/>
          <w:color w:val="auto"/>
          <w:sz w:val="24"/>
        </w:rPr>
      </w:pPr>
      <w:r>
        <w:rPr>
          <w:rFonts w:hint="eastAsia" w:ascii="仿宋" w:hAnsi="仿宋" w:eastAsia="仿宋"/>
          <w:b/>
          <w:bCs/>
          <w:color w:val="auto"/>
          <w:sz w:val="24"/>
        </w:rPr>
        <w:t>（五）其他部分。</w:t>
      </w:r>
      <w:r>
        <w:rPr>
          <w:rFonts w:hint="eastAsia" w:ascii="仿宋" w:hAnsi="仿宋" w:eastAsia="仿宋"/>
          <w:bCs/>
          <w:color w:val="auto"/>
          <w:sz w:val="24"/>
        </w:rPr>
        <w:t>投标人按照招标文件要求作出的其他应答和承诺。</w:t>
      </w:r>
    </w:p>
    <w:p>
      <w:pPr>
        <w:pStyle w:val="5"/>
        <w:tabs>
          <w:tab w:val="left" w:pos="3480"/>
        </w:tabs>
        <w:spacing w:line="400" w:lineRule="exact"/>
        <w:ind w:firstLine="482" w:firstLineChars="200"/>
        <w:rPr>
          <w:rFonts w:ascii="仿宋" w:hAnsi="仿宋" w:eastAsia="仿宋"/>
          <w:color w:val="auto"/>
          <w:sz w:val="24"/>
        </w:rPr>
      </w:pPr>
      <w:bookmarkStart w:id="74" w:name="_Toc183682355"/>
      <w:bookmarkStart w:id="75" w:name="_Toc183582218"/>
      <w:bookmarkStart w:id="76" w:name="_Toc217446049"/>
      <w:bookmarkStart w:id="77" w:name="_Toc308164799"/>
      <w:r>
        <w:rPr>
          <w:rFonts w:hint="eastAsia" w:ascii="仿宋" w:hAnsi="仿宋" w:eastAsia="仿宋"/>
          <w:color w:val="auto"/>
          <w:sz w:val="24"/>
        </w:rPr>
        <w:t>15．投标文件格式</w:t>
      </w:r>
      <w:bookmarkEnd w:id="74"/>
      <w:bookmarkEnd w:id="75"/>
      <w:bookmarkEnd w:id="76"/>
      <w:bookmarkEnd w:id="77"/>
    </w:p>
    <w:p>
      <w:pPr>
        <w:tabs>
          <w:tab w:val="left" w:pos="7665"/>
        </w:tabs>
        <w:spacing w:line="400" w:lineRule="exact"/>
        <w:ind w:left="13" w:leftChars="6" w:firstLine="480" w:firstLineChars="200"/>
        <w:rPr>
          <w:rFonts w:ascii="仿宋" w:hAnsi="仿宋" w:eastAsia="仿宋"/>
          <w:color w:val="auto"/>
          <w:sz w:val="24"/>
        </w:rPr>
      </w:pPr>
      <w:r>
        <w:rPr>
          <w:rFonts w:hint="eastAsia" w:ascii="仿宋" w:hAnsi="仿宋" w:eastAsia="仿宋"/>
          <w:color w:val="auto"/>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color w:val="auto"/>
          <w:sz w:val="24"/>
        </w:rPr>
      </w:pPr>
      <w:r>
        <w:rPr>
          <w:rFonts w:hint="eastAsia" w:ascii="仿宋" w:hAnsi="仿宋" w:eastAsia="仿宋"/>
          <w:color w:val="auto"/>
          <w:sz w:val="24"/>
        </w:rPr>
        <w:t>15.2 对于没有格式要求的投标文件由投标人自行编写。</w:t>
      </w:r>
    </w:p>
    <w:p>
      <w:pPr>
        <w:pStyle w:val="5"/>
        <w:spacing w:line="400" w:lineRule="exact"/>
        <w:ind w:firstLine="482" w:firstLineChars="200"/>
        <w:rPr>
          <w:rFonts w:ascii="仿宋" w:hAnsi="仿宋" w:eastAsia="仿宋"/>
          <w:bCs w:val="0"/>
          <w:color w:val="auto"/>
          <w:sz w:val="24"/>
        </w:rPr>
      </w:pPr>
      <w:bookmarkStart w:id="78" w:name="_Toc308164801"/>
      <w:bookmarkStart w:id="79" w:name="_Toc183682361"/>
      <w:bookmarkStart w:id="80" w:name="_Toc217446051"/>
      <w:bookmarkStart w:id="81" w:name="_Toc183582224"/>
      <w:r>
        <w:rPr>
          <w:rFonts w:hint="eastAsia" w:ascii="仿宋" w:hAnsi="仿宋" w:eastAsia="仿宋"/>
          <w:bCs w:val="0"/>
          <w:color w:val="auto"/>
          <w:sz w:val="24"/>
        </w:rPr>
        <w:t>16．投标有效期</w:t>
      </w:r>
      <w:bookmarkEnd w:id="78"/>
      <w:bookmarkEnd w:id="79"/>
      <w:bookmarkEnd w:id="80"/>
      <w:bookmarkEnd w:id="81"/>
      <w:r>
        <w:rPr>
          <w:rFonts w:hint="eastAsia" w:ascii="仿宋" w:hAnsi="仿宋" w:eastAsia="仿宋"/>
          <w:color w:val="auto"/>
          <w:sz w:val="24"/>
          <w:szCs w:val="24"/>
        </w:rPr>
        <w:t>（实质性要求）</w:t>
      </w:r>
    </w:p>
    <w:p>
      <w:pPr>
        <w:tabs>
          <w:tab w:val="left" w:pos="7665"/>
        </w:tabs>
        <w:spacing w:line="400" w:lineRule="exact"/>
        <w:ind w:left="13" w:leftChars="6" w:firstLine="360" w:firstLineChars="150"/>
        <w:rPr>
          <w:rFonts w:ascii="仿宋" w:hAnsi="仿宋" w:eastAsia="仿宋"/>
          <w:color w:val="auto"/>
          <w:sz w:val="24"/>
        </w:rPr>
      </w:pPr>
      <w:r>
        <w:rPr>
          <w:rFonts w:hint="eastAsia" w:ascii="仿宋" w:hAnsi="仿宋" w:eastAsia="仿宋"/>
          <w:color w:val="auto"/>
          <w:sz w:val="24"/>
        </w:rPr>
        <w:t>16.1 本项目投标有效期为投标截止时间届满后</w:t>
      </w:r>
      <w:r>
        <w:rPr>
          <w:rFonts w:hint="eastAsia" w:ascii="仿宋" w:hAnsi="仿宋" w:eastAsia="仿宋"/>
          <w:b/>
          <w:bCs/>
          <w:color w:val="auto"/>
          <w:sz w:val="24"/>
        </w:rPr>
        <w:t>90</w:t>
      </w:r>
      <w:r>
        <w:rPr>
          <w:rFonts w:hint="eastAsia" w:ascii="仿宋" w:hAnsi="仿宋" w:eastAsia="仿宋"/>
          <w:color w:val="auto"/>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color w:val="auto"/>
          <w:sz w:val="24"/>
        </w:rPr>
      </w:pPr>
      <w:r>
        <w:rPr>
          <w:rFonts w:hint="eastAsia" w:ascii="仿宋" w:hAnsi="仿宋" w:eastAsia="仿宋"/>
          <w:color w:val="auto"/>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color w:val="auto"/>
          <w:sz w:val="24"/>
        </w:rPr>
      </w:pPr>
      <w:r>
        <w:rPr>
          <w:rFonts w:hint="eastAsia" w:ascii="仿宋" w:hAnsi="仿宋" w:eastAsia="仿宋"/>
          <w:color w:val="auto"/>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仿宋" w:hAnsi="仿宋" w:eastAsia="仿宋"/>
          <w:bCs w:val="0"/>
          <w:color w:val="auto"/>
          <w:sz w:val="24"/>
        </w:rPr>
      </w:pPr>
      <w:bookmarkStart w:id="82" w:name="_Toc217446052"/>
      <w:bookmarkStart w:id="83" w:name="_Toc183682362"/>
      <w:bookmarkStart w:id="84" w:name="_Toc308164802"/>
      <w:bookmarkStart w:id="85" w:name="_Toc183582225"/>
      <w:r>
        <w:rPr>
          <w:rFonts w:hint="eastAsia" w:ascii="仿宋" w:hAnsi="仿宋" w:eastAsia="仿宋"/>
          <w:bCs w:val="0"/>
          <w:color w:val="auto"/>
          <w:sz w:val="24"/>
        </w:rPr>
        <w:t>17．</w:t>
      </w:r>
      <w:bookmarkEnd w:id="82"/>
      <w:bookmarkEnd w:id="83"/>
      <w:bookmarkEnd w:id="84"/>
      <w:bookmarkEnd w:id="85"/>
      <w:r>
        <w:rPr>
          <w:rFonts w:hint="eastAsia" w:ascii="仿宋" w:hAnsi="仿宋" w:eastAsia="仿宋"/>
          <w:bCs w:val="0"/>
          <w:color w:val="auto"/>
          <w:sz w:val="24"/>
        </w:rPr>
        <w:t>投标文件的制作和签章、加密</w:t>
      </w:r>
    </w:p>
    <w:p>
      <w:pPr>
        <w:tabs>
          <w:tab w:val="left" w:pos="7665"/>
        </w:tabs>
        <w:spacing w:line="400" w:lineRule="exact"/>
        <w:ind w:left="13" w:leftChars="6" w:firstLine="360" w:firstLineChars="150"/>
        <w:rPr>
          <w:rFonts w:ascii="仿宋" w:hAnsi="仿宋" w:eastAsia="仿宋"/>
          <w:color w:val="auto"/>
          <w:sz w:val="24"/>
        </w:rPr>
      </w:pPr>
      <w:bookmarkStart w:id="86" w:name="_Toc183582227"/>
      <w:bookmarkStart w:id="87" w:name="_Toc183682364"/>
      <w:bookmarkStart w:id="88" w:name="_Toc217446054"/>
      <w:bookmarkStart w:id="89" w:name="_Toc308164804"/>
      <w:r>
        <w:rPr>
          <w:rFonts w:hint="eastAsia" w:ascii="仿宋" w:hAnsi="仿宋" w:eastAsia="仿宋"/>
          <w:color w:val="auto"/>
          <w:sz w:val="24"/>
        </w:rPr>
        <w:t>17.1 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ascii="仿宋" w:hAnsi="仿宋" w:eastAsia="仿宋"/>
          <w:b/>
          <w:bCs/>
          <w:color w:val="auto"/>
          <w:sz w:val="24"/>
        </w:rPr>
        <w:t>（实质性要求）</w:t>
      </w:r>
    </w:p>
    <w:p>
      <w:pPr>
        <w:tabs>
          <w:tab w:val="left" w:pos="7665"/>
        </w:tabs>
        <w:spacing w:line="400" w:lineRule="exact"/>
        <w:ind w:left="13" w:leftChars="6" w:firstLine="361" w:firstLineChars="150"/>
        <w:rPr>
          <w:rFonts w:ascii="仿宋" w:hAnsi="仿宋" w:eastAsia="仿宋"/>
          <w:b/>
          <w:bCs/>
          <w:color w:val="auto"/>
          <w:sz w:val="24"/>
        </w:rPr>
      </w:pPr>
      <w:r>
        <w:rPr>
          <w:rFonts w:hint="eastAsia" w:ascii="仿宋" w:hAnsi="仿宋" w:eastAsia="仿宋"/>
          <w:b/>
          <w:bCs/>
          <w:color w:val="auto"/>
          <w:sz w:val="24"/>
        </w:rPr>
        <w:t>17.2 投标文件每页均应加盖投标人（法定名称）电子签章，不得使用投标人专用章（如经济合同章、投标专用章等）或下属单位印章代替。（实质性要求）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color w:val="auto"/>
          <w:sz w:val="24"/>
        </w:rPr>
      </w:pPr>
      <w:r>
        <w:rPr>
          <w:rFonts w:hint="eastAsia" w:ascii="仿宋" w:hAnsi="仿宋" w:eastAsia="仿宋"/>
          <w:color w:val="auto"/>
          <w:sz w:val="24"/>
        </w:rPr>
        <w:t>17.3 投标人应使用本企业CA数字证书对投标文件进行加密。</w:t>
      </w:r>
      <w:r>
        <w:rPr>
          <w:rFonts w:hint="eastAsia" w:ascii="仿宋" w:hAnsi="仿宋" w:eastAsia="仿宋"/>
          <w:b/>
          <w:bCs/>
          <w:color w:val="auto"/>
          <w:sz w:val="24"/>
        </w:rPr>
        <w:t>（实质性要求）</w:t>
      </w:r>
    </w:p>
    <w:p>
      <w:pPr>
        <w:tabs>
          <w:tab w:val="left" w:pos="7665"/>
        </w:tabs>
        <w:spacing w:line="400" w:lineRule="exact"/>
        <w:ind w:left="13" w:leftChars="6" w:firstLine="360" w:firstLineChars="150"/>
        <w:rPr>
          <w:rFonts w:ascii="仿宋" w:hAnsi="仿宋" w:eastAsia="仿宋"/>
          <w:color w:val="auto"/>
          <w:sz w:val="24"/>
        </w:rPr>
      </w:pPr>
      <w:r>
        <w:rPr>
          <w:rFonts w:hint="eastAsia" w:ascii="仿宋" w:hAnsi="仿宋" w:eastAsia="仿宋"/>
          <w:color w:val="auto"/>
          <w:sz w:val="24"/>
        </w:rPr>
        <w:t>17.4 招标文件若有修改，投标人根据修改后的招标文件制作或修改并递交投标文件。</w:t>
      </w:r>
    </w:p>
    <w:p>
      <w:pPr>
        <w:tabs>
          <w:tab w:val="left" w:pos="7665"/>
        </w:tabs>
        <w:spacing w:line="400" w:lineRule="exact"/>
        <w:ind w:left="13" w:leftChars="6" w:firstLine="360" w:firstLineChars="150"/>
        <w:rPr>
          <w:rFonts w:ascii="仿宋" w:hAnsi="仿宋" w:eastAsia="仿宋"/>
          <w:color w:val="auto"/>
          <w:sz w:val="24"/>
        </w:rPr>
      </w:pPr>
      <w:r>
        <w:rPr>
          <w:rFonts w:hint="eastAsia" w:ascii="仿宋" w:hAnsi="仿宋" w:eastAsia="仿宋"/>
          <w:color w:val="auto"/>
          <w:sz w:val="24"/>
        </w:rPr>
        <w:t>17.5 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ascii="仿宋" w:hAnsi="仿宋" w:eastAsia="仿宋"/>
          <w:b/>
          <w:bCs/>
          <w:color w:val="auto"/>
          <w:sz w:val="24"/>
        </w:rPr>
        <w:t>（实质性要求）</w:t>
      </w:r>
    </w:p>
    <w:p>
      <w:pPr>
        <w:pStyle w:val="5"/>
        <w:spacing w:line="400" w:lineRule="exact"/>
        <w:ind w:firstLine="482" w:firstLineChars="200"/>
        <w:rPr>
          <w:rFonts w:ascii="仿宋" w:hAnsi="仿宋" w:eastAsia="仿宋"/>
          <w:bCs w:val="0"/>
          <w:color w:val="auto"/>
          <w:sz w:val="24"/>
          <w:szCs w:val="24"/>
        </w:rPr>
      </w:pPr>
      <w:r>
        <w:rPr>
          <w:rFonts w:hint="eastAsia" w:ascii="仿宋" w:hAnsi="仿宋" w:eastAsia="仿宋"/>
          <w:bCs w:val="0"/>
          <w:color w:val="auto"/>
          <w:sz w:val="24"/>
          <w:szCs w:val="24"/>
        </w:rPr>
        <w:t>18</w:t>
      </w:r>
      <w:r>
        <w:rPr>
          <w:rFonts w:hint="eastAsia" w:ascii="仿宋" w:hAnsi="仿宋" w:eastAsia="仿宋"/>
          <w:bCs w:val="0"/>
          <w:color w:val="auto"/>
          <w:sz w:val="28"/>
          <w:szCs w:val="28"/>
        </w:rPr>
        <w:t>．</w:t>
      </w:r>
      <w:r>
        <w:rPr>
          <w:rFonts w:hint="eastAsia" w:ascii="仿宋" w:hAnsi="仿宋" w:eastAsia="仿宋"/>
          <w:bCs w:val="0"/>
          <w:color w:val="auto"/>
          <w:sz w:val="24"/>
          <w:szCs w:val="24"/>
        </w:rPr>
        <w:t>投标文件的</w:t>
      </w:r>
      <w:bookmarkEnd w:id="86"/>
      <w:bookmarkEnd w:id="87"/>
      <w:r>
        <w:rPr>
          <w:rFonts w:hint="eastAsia" w:ascii="仿宋" w:hAnsi="仿宋" w:eastAsia="仿宋"/>
          <w:bCs w:val="0"/>
          <w:color w:val="auto"/>
          <w:sz w:val="24"/>
          <w:szCs w:val="24"/>
        </w:rPr>
        <w:t>递交</w:t>
      </w:r>
      <w:bookmarkEnd w:id="88"/>
      <w:bookmarkEnd w:id="89"/>
    </w:p>
    <w:p>
      <w:pPr>
        <w:tabs>
          <w:tab w:val="left" w:pos="1095"/>
        </w:tabs>
        <w:spacing w:line="400" w:lineRule="exact"/>
        <w:ind w:firstLine="460" w:firstLineChars="192"/>
        <w:rPr>
          <w:rFonts w:ascii="仿宋" w:hAnsi="仿宋" w:eastAsia="仿宋"/>
          <w:color w:val="auto"/>
          <w:sz w:val="24"/>
        </w:rPr>
      </w:pPr>
      <w:r>
        <w:rPr>
          <w:rFonts w:hint="eastAsia" w:ascii="仿宋" w:hAnsi="仿宋" w:eastAsia="仿宋"/>
          <w:color w:val="auto"/>
          <w:sz w:val="24"/>
        </w:rPr>
        <w:t>18.1 投标人应当在投标文件递交截止时间前，将生成的已加密的电子投标文件成功递交至“政府采购云平台”。</w:t>
      </w:r>
    </w:p>
    <w:p>
      <w:pPr>
        <w:tabs>
          <w:tab w:val="left" w:pos="1095"/>
        </w:tabs>
        <w:spacing w:line="400" w:lineRule="exact"/>
        <w:ind w:firstLine="460" w:firstLineChars="192"/>
        <w:rPr>
          <w:rFonts w:ascii="仿宋" w:hAnsi="仿宋" w:eastAsia="仿宋"/>
          <w:color w:val="auto"/>
          <w:sz w:val="24"/>
        </w:rPr>
      </w:pPr>
      <w:r>
        <w:rPr>
          <w:rFonts w:hint="eastAsia" w:ascii="仿宋" w:hAnsi="仿宋" w:eastAsia="仿宋"/>
          <w:color w:val="auto"/>
          <w:sz w:val="24"/>
        </w:rPr>
        <w:t>18.2投标人应充分考虑递交文件的不可预见因素，在投标截止时间后将无法递交。</w:t>
      </w:r>
    </w:p>
    <w:p>
      <w:pPr>
        <w:pStyle w:val="5"/>
        <w:spacing w:line="400" w:lineRule="exact"/>
        <w:ind w:firstLine="482" w:firstLineChars="200"/>
        <w:rPr>
          <w:rFonts w:ascii="仿宋" w:hAnsi="仿宋" w:eastAsia="仿宋"/>
          <w:bCs w:val="0"/>
          <w:color w:val="auto"/>
          <w:sz w:val="24"/>
          <w:szCs w:val="24"/>
        </w:rPr>
      </w:pPr>
      <w:bookmarkStart w:id="90" w:name="_Toc183682365"/>
      <w:bookmarkStart w:id="91" w:name="_Toc183582228"/>
      <w:bookmarkStart w:id="92" w:name="_Toc217446055"/>
      <w:r>
        <w:rPr>
          <w:rFonts w:hint="eastAsia" w:ascii="仿宋" w:hAnsi="仿宋" w:eastAsia="仿宋"/>
          <w:bCs w:val="0"/>
          <w:color w:val="auto"/>
          <w:sz w:val="24"/>
          <w:szCs w:val="24"/>
        </w:rPr>
        <w:t>19.</w:t>
      </w:r>
      <w:r>
        <w:rPr>
          <w:rFonts w:ascii="仿宋" w:hAnsi="仿宋" w:eastAsia="仿宋"/>
          <w:bCs w:val="0"/>
          <w:color w:val="auto"/>
          <w:sz w:val="24"/>
          <w:szCs w:val="24"/>
        </w:rPr>
        <w:t>投标文件的</w:t>
      </w:r>
      <w:r>
        <w:rPr>
          <w:rFonts w:hint="eastAsia" w:ascii="仿宋" w:hAnsi="仿宋" w:eastAsia="仿宋"/>
          <w:bCs w:val="0"/>
          <w:color w:val="auto"/>
          <w:sz w:val="24"/>
          <w:szCs w:val="24"/>
        </w:rPr>
        <w:t>补充</w:t>
      </w:r>
      <w:r>
        <w:rPr>
          <w:rFonts w:ascii="仿宋" w:hAnsi="仿宋" w:eastAsia="仿宋"/>
          <w:bCs w:val="0"/>
          <w:color w:val="auto"/>
          <w:sz w:val="24"/>
          <w:szCs w:val="24"/>
        </w:rPr>
        <w:t>、</w:t>
      </w:r>
      <w:r>
        <w:rPr>
          <w:rFonts w:hint="eastAsia" w:ascii="仿宋" w:hAnsi="仿宋" w:eastAsia="仿宋"/>
          <w:bCs w:val="0"/>
          <w:color w:val="auto"/>
          <w:sz w:val="24"/>
          <w:szCs w:val="24"/>
        </w:rPr>
        <w:t>修改或撤</w:t>
      </w:r>
      <w:bookmarkEnd w:id="90"/>
      <w:bookmarkEnd w:id="91"/>
      <w:r>
        <w:rPr>
          <w:rFonts w:hint="eastAsia" w:ascii="仿宋" w:hAnsi="仿宋" w:eastAsia="仿宋"/>
          <w:bCs w:val="0"/>
          <w:color w:val="auto"/>
          <w:sz w:val="24"/>
          <w:szCs w:val="24"/>
        </w:rPr>
        <w:t>回</w:t>
      </w:r>
      <w:bookmarkEnd w:id="92"/>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19.1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19.2投标截止时间后，投标人不得对其递交的投标文件做任何补充、修改。</w:t>
      </w:r>
    </w:p>
    <w:p>
      <w:pPr>
        <w:spacing w:line="400" w:lineRule="exact"/>
        <w:ind w:firstLine="472" w:firstLineChars="196"/>
        <w:outlineLvl w:val="2"/>
        <w:rPr>
          <w:rFonts w:ascii="仿宋" w:hAnsi="仿宋" w:eastAsia="仿宋"/>
          <w:b/>
          <w:bCs/>
          <w:color w:val="auto"/>
          <w:sz w:val="24"/>
        </w:rPr>
      </w:pPr>
      <w:r>
        <w:rPr>
          <w:rFonts w:hint="eastAsia" w:ascii="仿宋" w:hAnsi="仿宋" w:eastAsia="仿宋"/>
          <w:b/>
          <w:bCs/>
          <w:color w:val="auto"/>
          <w:sz w:val="24"/>
        </w:rPr>
        <w:t>20.投标文件的解密</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投标人登录政府采购云平台，点击“项目采购—开标评标”模块，进入本项目“开标大厅”，等待代理机构开启解密后，进行线上解密。除因断电、断网、系统故障或其他不可抗力等因素，导致系统无法使用外，投标人在规定的解密时间内，未成功解密的投标文件将视为无效投标文件。</w:t>
      </w:r>
    </w:p>
    <w:p>
      <w:pPr>
        <w:spacing w:line="400" w:lineRule="exact"/>
        <w:ind w:firstLine="470" w:firstLineChars="196"/>
        <w:rPr>
          <w:rFonts w:ascii="仿宋" w:hAnsi="仿宋" w:eastAsia="仿宋"/>
          <w:color w:val="auto"/>
          <w:sz w:val="24"/>
        </w:rPr>
      </w:pPr>
    </w:p>
    <w:p>
      <w:pPr>
        <w:spacing w:line="400" w:lineRule="exact"/>
        <w:ind w:firstLine="480"/>
        <w:rPr>
          <w:rFonts w:ascii="仿宋" w:hAnsi="仿宋" w:eastAsia="仿宋"/>
          <w:color w:val="auto"/>
          <w:sz w:val="24"/>
        </w:rPr>
      </w:pPr>
    </w:p>
    <w:p>
      <w:pPr>
        <w:pStyle w:val="4"/>
        <w:spacing w:line="400" w:lineRule="exact"/>
        <w:jc w:val="center"/>
        <w:rPr>
          <w:rFonts w:ascii="仿宋" w:hAnsi="仿宋" w:eastAsia="仿宋"/>
          <w:color w:val="auto"/>
        </w:rPr>
      </w:pPr>
      <w:bookmarkStart w:id="93" w:name="_Toc183682368"/>
      <w:bookmarkStart w:id="94" w:name="_Toc217446056"/>
      <w:bookmarkStart w:id="95" w:name="_Toc183582231"/>
      <w:bookmarkStart w:id="96" w:name="_Toc308164805"/>
      <w:bookmarkStart w:id="97" w:name="_Toc77400782"/>
      <w:bookmarkStart w:id="98" w:name="_Toc89075878"/>
      <w:r>
        <w:rPr>
          <w:rFonts w:hint="eastAsia" w:ascii="仿宋" w:hAnsi="仿宋" w:eastAsia="仿宋"/>
          <w:color w:val="auto"/>
        </w:rPr>
        <w:t>五、开标和中标</w:t>
      </w:r>
      <w:bookmarkEnd w:id="93"/>
      <w:bookmarkEnd w:id="94"/>
      <w:bookmarkEnd w:id="95"/>
      <w:bookmarkEnd w:id="96"/>
      <w:bookmarkEnd w:id="97"/>
      <w:bookmarkEnd w:id="98"/>
    </w:p>
    <w:p>
      <w:pPr>
        <w:pStyle w:val="5"/>
        <w:spacing w:line="400" w:lineRule="exact"/>
        <w:ind w:firstLine="482" w:firstLineChars="200"/>
        <w:rPr>
          <w:rFonts w:ascii="仿宋" w:hAnsi="仿宋" w:eastAsia="仿宋"/>
          <w:bCs w:val="0"/>
          <w:color w:val="auto"/>
          <w:sz w:val="24"/>
        </w:rPr>
      </w:pPr>
      <w:bookmarkStart w:id="99" w:name="_Toc217446057"/>
      <w:bookmarkStart w:id="100" w:name="_Toc183582232"/>
      <w:bookmarkStart w:id="101" w:name="_Toc183682369"/>
      <w:bookmarkStart w:id="102" w:name="_Toc308164806"/>
      <w:r>
        <w:rPr>
          <w:rFonts w:hint="eastAsia" w:ascii="仿宋" w:hAnsi="仿宋" w:eastAsia="仿宋"/>
          <w:bCs w:val="0"/>
          <w:color w:val="auto"/>
          <w:sz w:val="24"/>
        </w:rPr>
        <w:t>21．开标</w:t>
      </w:r>
      <w:bookmarkEnd w:id="99"/>
      <w:bookmarkEnd w:id="100"/>
      <w:bookmarkEnd w:id="101"/>
      <w:bookmarkEnd w:id="102"/>
      <w:r>
        <w:rPr>
          <w:rFonts w:hint="eastAsia" w:ascii="仿宋" w:hAnsi="仿宋" w:eastAsia="仿宋"/>
          <w:bCs w:val="0"/>
          <w:color w:val="auto"/>
          <w:sz w:val="24"/>
        </w:rPr>
        <w:t>及开标程序</w:t>
      </w:r>
    </w:p>
    <w:p>
      <w:pPr>
        <w:ind w:firstLine="480" w:firstLineChars="200"/>
        <w:rPr>
          <w:rFonts w:eastAsia="仿宋"/>
          <w:color w:val="auto"/>
        </w:rPr>
      </w:pPr>
      <w:r>
        <w:rPr>
          <w:rFonts w:hint="eastAsia" w:ascii="仿宋" w:hAnsi="仿宋" w:eastAsia="仿宋"/>
          <w:color w:val="auto"/>
          <w:sz w:val="24"/>
        </w:rPr>
        <w:t>21.1本项目为不见面开标项目。（递交电子投标文件的投标人不足3家的，不予开标。）</w:t>
      </w:r>
    </w:p>
    <w:p>
      <w:pPr>
        <w:spacing w:before="120" w:line="400" w:lineRule="exact"/>
        <w:ind w:firstLine="480" w:firstLineChars="200"/>
        <w:rPr>
          <w:rFonts w:ascii="仿宋" w:hAnsi="仿宋" w:eastAsia="仿宋"/>
          <w:color w:val="auto"/>
          <w:sz w:val="24"/>
        </w:rPr>
      </w:pPr>
      <w:r>
        <w:rPr>
          <w:rFonts w:hint="eastAsia" w:ascii="仿宋" w:hAnsi="仿宋" w:eastAsia="仿宋"/>
          <w:color w:val="auto"/>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color w:val="auto"/>
          <w:sz w:val="24"/>
        </w:rPr>
      </w:pPr>
      <w:r>
        <w:rPr>
          <w:rFonts w:hint="eastAsia" w:ascii="仿宋" w:hAnsi="仿宋" w:eastAsia="仿宋"/>
          <w:b/>
          <w:bCs/>
          <w:color w:val="auto"/>
          <w:sz w:val="24"/>
        </w:rPr>
        <w:t>提示：投标人未按时登录不见面开标系统，错过开标解密时间的，由投标人自行承担不利后果。</w:t>
      </w:r>
    </w:p>
    <w:p>
      <w:pPr>
        <w:spacing w:before="120" w:line="400" w:lineRule="exact"/>
        <w:ind w:firstLine="480" w:firstLineChars="200"/>
        <w:rPr>
          <w:rFonts w:ascii="仿宋" w:hAnsi="仿宋" w:eastAsia="仿宋"/>
          <w:color w:val="auto"/>
          <w:sz w:val="24"/>
        </w:rPr>
      </w:pPr>
      <w:r>
        <w:rPr>
          <w:rFonts w:hint="eastAsia" w:ascii="仿宋" w:hAnsi="仿宋" w:eastAsia="仿宋"/>
          <w:color w:val="auto"/>
          <w:sz w:val="24"/>
        </w:rPr>
        <w:t>21.3解密投标文件。等待代理机构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spacing w:before="120" w:line="400" w:lineRule="exact"/>
        <w:ind w:firstLine="480" w:firstLineChars="200"/>
        <w:rPr>
          <w:rFonts w:ascii="仿宋" w:hAnsi="仿宋" w:eastAsia="仿宋"/>
          <w:color w:val="auto"/>
          <w:sz w:val="24"/>
        </w:rPr>
      </w:pPr>
      <w:r>
        <w:rPr>
          <w:rFonts w:hint="eastAsia" w:ascii="仿宋" w:hAnsi="仿宋" w:eastAsia="仿宋"/>
          <w:color w:val="auto"/>
          <w:sz w:val="24"/>
        </w:rPr>
        <w:t>21.4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spacing w:before="120" w:line="400" w:lineRule="exact"/>
        <w:ind w:firstLine="480" w:firstLineChars="200"/>
        <w:rPr>
          <w:rFonts w:ascii="仿宋" w:hAnsi="仿宋" w:eastAsia="仿宋"/>
          <w:color w:val="auto"/>
          <w:sz w:val="24"/>
        </w:rPr>
      </w:pPr>
      <w:bookmarkStart w:id="103" w:name="_Toc308164807"/>
      <w:bookmarkStart w:id="104" w:name="_Toc217446058"/>
      <w:r>
        <w:rPr>
          <w:rFonts w:hint="eastAsia" w:ascii="仿宋" w:hAnsi="仿宋" w:eastAsia="仿宋"/>
          <w:color w:val="auto"/>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color w:val="auto"/>
        </w:rPr>
      </w:pPr>
      <w:r>
        <w:rPr>
          <w:rFonts w:hint="eastAsia" w:ascii="仿宋" w:hAnsi="仿宋" w:eastAsia="仿宋"/>
          <w:color w:val="auto"/>
          <w:sz w:val="24"/>
        </w:rPr>
        <w:t>21.6因断电、断网、系统故障或其他不可抗力等因素导致不见面开标系统无法正常运行的，开标活动中止或延迟，待系统恢复正常后继续进行开标活动。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color w:val="auto"/>
          <w:sz w:val="24"/>
        </w:rPr>
      </w:pPr>
      <w:r>
        <w:rPr>
          <w:rFonts w:hint="eastAsia" w:ascii="仿宋" w:hAnsi="仿宋" w:eastAsia="仿宋"/>
          <w:color w:val="auto"/>
          <w:sz w:val="24"/>
        </w:rPr>
        <w:t>21.7不见面开标过程中，各方主体均应遵守互联网有关规定，不得发表与交易活动无关的言论。</w:t>
      </w:r>
      <w:bookmarkEnd w:id="103"/>
      <w:bookmarkEnd w:id="104"/>
    </w:p>
    <w:p>
      <w:pPr>
        <w:pStyle w:val="5"/>
        <w:spacing w:line="400" w:lineRule="exact"/>
        <w:ind w:firstLine="482" w:firstLineChars="200"/>
        <w:rPr>
          <w:rFonts w:ascii="仿宋" w:hAnsi="仿宋" w:eastAsia="仿宋"/>
          <w:color w:val="auto"/>
          <w:sz w:val="24"/>
        </w:rPr>
      </w:pPr>
      <w:bookmarkStart w:id="105" w:name="_Toc183682375"/>
      <w:bookmarkStart w:id="106" w:name="_Toc183582238"/>
      <w:bookmarkStart w:id="107" w:name="_Toc308164809"/>
      <w:bookmarkStart w:id="108" w:name="_Toc217446063"/>
      <w:r>
        <w:rPr>
          <w:rFonts w:hint="eastAsia" w:ascii="仿宋" w:hAnsi="仿宋" w:eastAsia="仿宋"/>
          <w:color w:val="auto"/>
          <w:sz w:val="24"/>
        </w:rPr>
        <w:t>22．开评标过程存档</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开标和评标过程进行全过程电子监控，并将电子监控资料存储介质留存归档。</w:t>
      </w:r>
    </w:p>
    <w:p>
      <w:pPr>
        <w:pStyle w:val="5"/>
        <w:spacing w:line="400" w:lineRule="exact"/>
        <w:ind w:firstLine="482" w:firstLineChars="200"/>
        <w:rPr>
          <w:rFonts w:ascii="仿宋" w:hAnsi="仿宋" w:eastAsia="仿宋"/>
          <w:color w:val="auto"/>
          <w:sz w:val="24"/>
        </w:rPr>
      </w:pPr>
      <w:r>
        <w:rPr>
          <w:rFonts w:hint="eastAsia" w:ascii="仿宋" w:hAnsi="仿宋" w:eastAsia="仿宋"/>
          <w:color w:val="auto"/>
          <w:sz w:val="24"/>
        </w:rPr>
        <w:t>23.评标情况公告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rPr>
          <w:rFonts w:ascii="仿宋" w:hAnsi="仿宋" w:eastAsia="仿宋"/>
          <w:b w:val="0"/>
          <w:color w:val="auto"/>
          <w:sz w:val="24"/>
          <w:szCs w:val="24"/>
        </w:rPr>
      </w:pPr>
      <w:r>
        <w:rPr>
          <w:rFonts w:hint="eastAsia" w:ascii="仿宋" w:hAnsi="仿宋" w:eastAsia="仿宋"/>
          <w:bCs w:val="0"/>
          <w:color w:val="auto"/>
          <w:sz w:val="24"/>
          <w:szCs w:val="24"/>
        </w:rPr>
        <w:t>24.采购人确定中标人过程中，发现中标候选人有下列情形之一的，应当不予确定其为中标人：</w:t>
      </w:r>
    </w:p>
    <w:p>
      <w:pPr>
        <w:spacing w:after="0" w:line="400" w:lineRule="exact"/>
        <w:ind w:firstLine="480" w:firstLineChars="200"/>
        <w:rPr>
          <w:rFonts w:ascii="仿宋" w:hAnsi="仿宋" w:eastAsia="仿宋"/>
          <w:color w:val="auto"/>
          <w:sz w:val="24"/>
        </w:rPr>
      </w:pPr>
      <w:r>
        <w:rPr>
          <w:rFonts w:hint="eastAsia" w:ascii="仿宋" w:hAnsi="仿宋" w:eastAsia="仿宋"/>
          <w:color w:val="auto"/>
          <w:sz w:val="24"/>
        </w:rPr>
        <w:t>（1）发现中标候选人存在禁止参加本项目采购活动的违法行为的；</w:t>
      </w:r>
    </w:p>
    <w:p>
      <w:pPr>
        <w:spacing w:after="0" w:line="400" w:lineRule="exact"/>
        <w:ind w:firstLine="480" w:firstLineChars="200"/>
        <w:rPr>
          <w:rFonts w:ascii="仿宋" w:hAnsi="仿宋" w:eastAsia="仿宋"/>
          <w:color w:val="auto"/>
          <w:sz w:val="24"/>
        </w:rPr>
      </w:pPr>
      <w:r>
        <w:rPr>
          <w:rFonts w:hint="eastAsia" w:ascii="仿宋" w:hAnsi="仿宋" w:eastAsia="仿宋"/>
          <w:color w:val="auto"/>
          <w:sz w:val="24"/>
        </w:rPr>
        <w:t>（2）中标候选人因不可抗力，不能继续参加政府采购活动；</w:t>
      </w:r>
    </w:p>
    <w:p>
      <w:pPr>
        <w:spacing w:after="0" w:line="400" w:lineRule="exact"/>
        <w:ind w:firstLine="480" w:firstLineChars="200"/>
        <w:rPr>
          <w:rFonts w:ascii="仿宋" w:hAnsi="仿宋" w:eastAsia="仿宋"/>
          <w:color w:val="auto"/>
          <w:sz w:val="24"/>
        </w:rPr>
      </w:pPr>
      <w:r>
        <w:rPr>
          <w:rFonts w:hint="eastAsia" w:ascii="仿宋" w:hAnsi="仿宋" w:eastAsia="仿宋"/>
          <w:color w:val="auto"/>
          <w:sz w:val="24"/>
        </w:rPr>
        <w:t>（3）中标候选人无偿赠与或者低于成本价竞争；</w:t>
      </w:r>
    </w:p>
    <w:p>
      <w:pPr>
        <w:spacing w:after="0" w:line="400" w:lineRule="exact"/>
        <w:ind w:firstLine="480" w:firstLineChars="200"/>
        <w:rPr>
          <w:rFonts w:ascii="仿宋" w:hAnsi="仿宋" w:eastAsia="仿宋"/>
          <w:color w:val="auto"/>
          <w:sz w:val="24"/>
        </w:rPr>
      </w:pPr>
      <w:r>
        <w:rPr>
          <w:rFonts w:hint="eastAsia" w:ascii="仿宋" w:hAnsi="仿宋" w:eastAsia="仿宋"/>
          <w:color w:val="auto"/>
          <w:sz w:val="24"/>
        </w:rPr>
        <w:t>（4）中标候选人提供虚假材料；</w:t>
      </w:r>
    </w:p>
    <w:p>
      <w:pPr>
        <w:spacing w:after="0" w:line="400" w:lineRule="exact"/>
        <w:ind w:firstLine="480" w:firstLineChars="200"/>
        <w:rPr>
          <w:rFonts w:ascii="仿宋" w:hAnsi="仿宋" w:eastAsia="仿宋"/>
          <w:color w:val="auto"/>
          <w:sz w:val="24"/>
        </w:rPr>
      </w:pPr>
      <w:r>
        <w:rPr>
          <w:rFonts w:hint="eastAsia" w:ascii="仿宋" w:hAnsi="仿宋" w:eastAsia="仿宋"/>
          <w:color w:val="auto"/>
          <w:sz w:val="24"/>
        </w:rPr>
        <w:t>（5</w:t>
      </w:r>
      <w:r>
        <w:rPr>
          <w:rFonts w:ascii="仿宋" w:hAnsi="仿宋" w:eastAsia="仿宋"/>
          <w:color w:val="auto"/>
          <w:sz w:val="24"/>
        </w:rPr>
        <w:t>）</w:t>
      </w:r>
      <w:r>
        <w:rPr>
          <w:rFonts w:hint="eastAsia" w:ascii="仿宋" w:hAnsi="仿宋" w:eastAsia="仿宋"/>
          <w:color w:val="auto"/>
          <w:sz w:val="24"/>
        </w:rPr>
        <w:t>中标候选人恶意串通。</w:t>
      </w:r>
    </w:p>
    <w:p>
      <w:pPr>
        <w:pStyle w:val="5"/>
        <w:spacing w:line="400" w:lineRule="exact"/>
        <w:ind w:firstLine="482" w:firstLineChars="200"/>
        <w:rPr>
          <w:rFonts w:ascii="仿宋" w:hAnsi="仿宋" w:eastAsia="仿宋"/>
          <w:bCs w:val="0"/>
          <w:color w:val="auto"/>
          <w:sz w:val="24"/>
          <w:szCs w:val="24"/>
        </w:rPr>
      </w:pPr>
      <w:r>
        <w:rPr>
          <w:rFonts w:hint="eastAsia" w:ascii="仿宋" w:hAnsi="仿宋" w:eastAsia="仿宋"/>
          <w:bCs w:val="0"/>
          <w:color w:val="auto"/>
          <w:sz w:val="24"/>
          <w:szCs w:val="24"/>
        </w:rPr>
        <w:t>25.中标通知</w:t>
      </w:r>
      <w:bookmarkEnd w:id="105"/>
      <w:bookmarkEnd w:id="106"/>
      <w:r>
        <w:rPr>
          <w:rFonts w:hint="eastAsia" w:ascii="仿宋" w:hAnsi="仿宋" w:eastAsia="仿宋"/>
          <w:bCs w:val="0"/>
          <w:color w:val="auto"/>
          <w:sz w:val="24"/>
          <w:szCs w:val="24"/>
        </w:rPr>
        <w:t>书</w:t>
      </w:r>
      <w:bookmarkEnd w:id="107"/>
      <w:bookmarkEnd w:id="108"/>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25</w:t>
      </w:r>
      <w:r>
        <w:rPr>
          <w:rFonts w:hint="eastAsia" w:ascii="仿宋" w:hAnsi="仿宋" w:eastAsia="仿宋"/>
          <w:bCs/>
          <w:color w:val="auto"/>
          <w:sz w:val="24"/>
        </w:rPr>
        <w:t>.</w:t>
      </w:r>
      <w:r>
        <w:rPr>
          <w:rFonts w:hint="eastAsia" w:ascii="仿宋" w:hAnsi="仿宋" w:eastAsia="仿宋"/>
          <w:color w:val="auto"/>
          <w:sz w:val="24"/>
        </w:rPr>
        <w:t>1 中标通知书为签订政府采购合同的依据之一，是合同的有效组成部分。</w:t>
      </w:r>
    </w:p>
    <w:p>
      <w:pPr>
        <w:tabs>
          <w:tab w:val="left" w:pos="7665"/>
        </w:tabs>
        <w:spacing w:line="400" w:lineRule="exact"/>
        <w:ind w:firstLine="480"/>
        <w:rPr>
          <w:rFonts w:ascii="仿宋" w:hAnsi="仿宋" w:eastAsia="仿宋"/>
          <w:color w:val="auto"/>
          <w:sz w:val="24"/>
        </w:rPr>
      </w:pPr>
      <w:r>
        <w:rPr>
          <w:rFonts w:hint="eastAsia" w:ascii="仿宋" w:hAnsi="仿宋" w:eastAsia="仿宋"/>
          <w:color w:val="auto"/>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color w:val="auto"/>
          <w:sz w:val="24"/>
        </w:rPr>
      </w:pPr>
      <w:r>
        <w:rPr>
          <w:rFonts w:hint="eastAsia" w:ascii="仿宋" w:hAnsi="仿宋" w:eastAsia="仿宋"/>
          <w:color w:val="auto"/>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color w:val="auto"/>
          <w:sz w:val="24"/>
        </w:rPr>
      </w:pPr>
      <w:r>
        <w:rPr>
          <w:rFonts w:hint="eastAsia" w:ascii="仿宋" w:hAnsi="仿宋" w:eastAsia="仿宋"/>
          <w:color w:val="auto"/>
          <w:sz w:val="24"/>
        </w:rPr>
        <w:t>25.4</w:t>
      </w:r>
      <w:r>
        <w:rPr>
          <w:rFonts w:hint="eastAsia" w:ascii="仿宋" w:hAnsi="仿宋" w:eastAsia="仿宋"/>
          <w:color w:val="auto"/>
          <w:sz w:val="24"/>
          <w:lang w:val="zh-CN"/>
        </w:rPr>
        <w:t>在四川政府采购网公告中标结果同时发出中标通知书，中标供应商自行登录政府采购云平台下载中标通知书。</w:t>
      </w:r>
    </w:p>
    <w:p>
      <w:pPr>
        <w:pStyle w:val="4"/>
        <w:spacing w:line="400" w:lineRule="exact"/>
        <w:jc w:val="center"/>
        <w:rPr>
          <w:rFonts w:ascii="仿宋" w:hAnsi="仿宋" w:eastAsia="仿宋"/>
          <w:color w:val="auto"/>
          <w:szCs w:val="28"/>
        </w:rPr>
      </w:pPr>
      <w:bookmarkStart w:id="109" w:name="_Toc217446064"/>
      <w:bookmarkStart w:id="110" w:name="_Toc308164810"/>
      <w:bookmarkStart w:id="111" w:name="_Toc183582240"/>
      <w:bookmarkStart w:id="112" w:name="_Toc183682377"/>
      <w:r>
        <w:rPr>
          <w:rFonts w:hint="eastAsia" w:ascii="仿宋" w:hAnsi="仿宋" w:eastAsia="仿宋"/>
          <w:color w:val="auto"/>
          <w:szCs w:val="28"/>
        </w:rPr>
        <w:t>六、签订及履行合同和验收</w:t>
      </w:r>
      <w:bookmarkEnd w:id="109"/>
      <w:bookmarkEnd w:id="110"/>
    </w:p>
    <w:p>
      <w:pPr>
        <w:pStyle w:val="5"/>
        <w:spacing w:line="400" w:lineRule="exact"/>
        <w:ind w:firstLine="482" w:firstLineChars="200"/>
        <w:rPr>
          <w:rFonts w:ascii="仿宋" w:hAnsi="仿宋" w:eastAsia="仿宋"/>
          <w:b w:val="0"/>
          <w:color w:val="auto"/>
          <w:sz w:val="24"/>
          <w:szCs w:val="24"/>
        </w:rPr>
      </w:pPr>
      <w:bookmarkStart w:id="113" w:name="_Toc217446065"/>
      <w:bookmarkStart w:id="114" w:name="_Toc308164811"/>
      <w:r>
        <w:rPr>
          <w:rFonts w:hint="eastAsia" w:ascii="仿宋" w:hAnsi="仿宋" w:eastAsia="仿宋"/>
          <w:color w:val="auto"/>
          <w:sz w:val="24"/>
        </w:rPr>
        <w:t>26.</w:t>
      </w:r>
      <w:r>
        <w:rPr>
          <w:rFonts w:hint="eastAsia" w:ascii="仿宋" w:hAnsi="仿宋" w:eastAsia="仿宋"/>
          <w:color w:val="auto"/>
          <w:sz w:val="24"/>
          <w:szCs w:val="24"/>
        </w:rPr>
        <w:t>签订合同</w:t>
      </w:r>
      <w:bookmarkEnd w:id="113"/>
      <w:bookmarkEnd w:id="114"/>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color w:val="auto"/>
          <w:sz w:val="24"/>
        </w:rPr>
      </w:pPr>
      <w:r>
        <w:rPr>
          <w:rFonts w:hint="eastAsia" w:ascii="仿宋" w:hAnsi="仿宋" w:eastAsia="仿宋"/>
          <w:color w:val="auto"/>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color w:val="auto"/>
          <w:sz w:val="24"/>
        </w:rPr>
      </w:pPr>
      <w:r>
        <w:rPr>
          <w:rFonts w:hint="eastAsia" w:ascii="仿宋" w:hAnsi="仿宋" w:eastAsia="仿宋"/>
          <w:color w:val="auto"/>
          <w:sz w:val="24"/>
        </w:rPr>
        <w:t>26.3 中标人拒绝与采购人签订合同的，采购人可以按照评审报告推荐的中标候选人名单排序，确定下一候选人为中标供应商，也可以重新开展政府采购活动。</w:t>
      </w:r>
    </w:p>
    <w:p>
      <w:pPr>
        <w:pStyle w:val="5"/>
        <w:spacing w:line="400" w:lineRule="exact"/>
        <w:ind w:firstLine="482" w:firstLineChars="200"/>
        <w:rPr>
          <w:rFonts w:ascii="仿宋" w:hAnsi="仿宋" w:eastAsia="仿宋"/>
          <w:color w:val="auto"/>
          <w:sz w:val="24"/>
          <w:szCs w:val="24"/>
        </w:rPr>
      </w:pPr>
      <w:r>
        <w:rPr>
          <w:rFonts w:hint="eastAsia" w:ascii="仿宋" w:hAnsi="仿宋" w:eastAsia="仿宋"/>
          <w:color w:val="auto"/>
          <w:sz w:val="24"/>
          <w:szCs w:val="24"/>
        </w:rPr>
        <w:t>27. 合同分包（实质性要求）</w:t>
      </w:r>
    </w:p>
    <w:p>
      <w:pPr>
        <w:spacing w:line="400" w:lineRule="exact"/>
        <w:ind w:firstLine="480" w:firstLineChars="200"/>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7</w:t>
      </w:r>
      <w:r>
        <w:rPr>
          <w:rFonts w:ascii="仿宋" w:hAnsi="仿宋" w:eastAsia="仿宋"/>
          <w:color w:val="auto"/>
          <w:sz w:val="24"/>
        </w:rPr>
        <w:t>.1</w:t>
      </w:r>
      <w:r>
        <w:rPr>
          <w:rFonts w:hint="eastAsia" w:ascii="仿宋" w:hAnsi="仿宋" w:eastAsia="仿宋"/>
          <w:color w:val="auto"/>
          <w:sz w:val="24"/>
        </w:rPr>
        <w:t>本项目合同接受分包与否，以“投标人须知附表”勾选项为准。</w:t>
      </w:r>
    </w:p>
    <w:p>
      <w:pPr>
        <w:spacing w:line="400" w:lineRule="exact"/>
        <w:ind w:firstLine="480" w:firstLineChars="200"/>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7</w:t>
      </w:r>
      <w:r>
        <w:rPr>
          <w:rFonts w:ascii="仿宋" w:hAnsi="仿宋" w:eastAsia="仿宋"/>
          <w:color w:val="auto"/>
          <w:sz w:val="24"/>
        </w:rPr>
        <w:t>.</w:t>
      </w:r>
      <w:r>
        <w:rPr>
          <w:rFonts w:hint="eastAsia" w:ascii="仿宋" w:hAnsi="仿宋" w:eastAsia="仿宋"/>
          <w:color w:val="auto"/>
          <w:sz w:val="24"/>
        </w:rPr>
        <w:t>2</w:t>
      </w:r>
      <w:r>
        <w:rPr>
          <w:rFonts w:ascii="仿宋" w:hAnsi="仿宋" w:eastAsia="仿宋"/>
          <w:color w:val="auto"/>
          <w:sz w:val="24"/>
        </w:rPr>
        <w:t xml:space="preserve"> 中小企业依据</w:t>
      </w:r>
      <w:r>
        <w:rPr>
          <w:rFonts w:hint="eastAsia" w:ascii="仿宋" w:hAnsi="仿宋" w:eastAsia="仿宋"/>
          <w:color w:val="auto"/>
          <w:sz w:val="24"/>
        </w:rPr>
        <w:t>《政府采购促进中小企业发展管理办法》（财库〔2020〕46号）</w:t>
      </w:r>
      <w:r>
        <w:rPr>
          <w:rFonts w:ascii="仿宋" w:hAnsi="仿宋" w:eastAsia="仿宋"/>
          <w:color w:val="auto"/>
          <w:sz w:val="24"/>
        </w:rPr>
        <w:t>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eastAsia="仿宋"/>
          <w:color w:val="auto"/>
          <w:sz w:val="24"/>
          <w:szCs w:val="24"/>
        </w:rPr>
      </w:pPr>
      <w:r>
        <w:rPr>
          <w:rFonts w:hint="eastAsia" w:ascii="仿宋" w:hAnsi="仿宋" w:eastAsia="仿宋"/>
          <w:color w:val="auto"/>
          <w:sz w:val="24"/>
          <w:szCs w:val="24"/>
        </w:rPr>
        <w:t>28.合同转包（实质性要求）</w:t>
      </w:r>
    </w:p>
    <w:p>
      <w:pPr>
        <w:spacing w:line="400" w:lineRule="exact"/>
        <w:ind w:firstLine="540" w:firstLineChars="225"/>
        <w:rPr>
          <w:rFonts w:ascii="仿宋" w:hAnsi="仿宋" w:eastAsia="仿宋"/>
          <w:color w:val="auto"/>
          <w:sz w:val="24"/>
        </w:rPr>
      </w:pPr>
      <w:r>
        <w:rPr>
          <w:rFonts w:hint="eastAsia" w:ascii="仿宋" w:hAnsi="仿宋" w:eastAsia="仿宋"/>
          <w:color w:val="auto"/>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color w:val="auto"/>
          <w:sz w:val="24"/>
        </w:rPr>
      </w:pPr>
      <w:r>
        <w:rPr>
          <w:rFonts w:hint="eastAsia" w:ascii="仿宋" w:hAnsi="仿宋" w:eastAsia="仿宋"/>
          <w:color w:val="auto"/>
          <w:sz w:val="24"/>
        </w:rPr>
        <w:t>中标人转包的，视同拒绝履行政府采购合同义务，将依法追究法律责任。</w:t>
      </w:r>
    </w:p>
    <w:p>
      <w:pPr>
        <w:pStyle w:val="5"/>
        <w:spacing w:line="400" w:lineRule="exact"/>
        <w:ind w:firstLine="482" w:firstLineChars="200"/>
        <w:rPr>
          <w:rFonts w:ascii="仿宋" w:hAnsi="仿宋" w:eastAsia="仿宋"/>
          <w:color w:val="auto"/>
          <w:sz w:val="24"/>
          <w:szCs w:val="24"/>
        </w:rPr>
      </w:pPr>
      <w:bookmarkStart w:id="115" w:name="_Toc217446066"/>
      <w:r>
        <w:rPr>
          <w:rFonts w:hint="eastAsia" w:ascii="仿宋" w:hAnsi="仿宋" w:eastAsia="仿宋"/>
          <w:color w:val="auto"/>
          <w:sz w:val="24"/>
          <w:szCs w:val="24"/>
        </w:rPr>
        <w:t>29.</w:t>
      </w:r>
      <w:bookmarkEnd w:id="115"/>
      <w:r>
        <w:rPr>
          <w:rFonts w:hint="eastAsia" w:ascii="仿宋" w:hAnsi="仿宋" w:eastAsia="仿宋"/>
          <w:color w:val="auto"/>
          <w:sz w:val="24"/>
          <w:szCs w:val="24"/>
        </w:rPr>
        <w:t xml:space="preserve"> 补充合同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eastAsia="仿宋"/>
          <w:b w:val="0"/>
          <w:color w:val="auto"/>
          <w:sz w:val="24"/>
          <w:szCs w:val="24"/>
        </w:rPr>
      </w:pPr>
      <w:bookmarkStart w:id="116" w:name="_Toc308164812"/>
      <w:bookmarkStart w:id="117" w:name="_Toc217446068"/>
      <w:r>
        <w:rPr>
          <w:rFonts w:hint="eastAsia" w:ascii="仿宋" w:hAnsi="仿宋" w:eastAsia="仿宋"/>
          <w:color w:val="auto"/>
          <w:sz w:val="24"/>
          <w:szCs w:val="24"/>
        </w:rPr>
        <w:t>30</w:t>
      </w:r>
      <w:r>
        <w:rPr>
          <w:rFonts w:hint="eastAsia" w:ascii="仿宋" w:hAnsi="仿宋" w:eastAsia="仿宋"/>
          <w:b w:val="0"/>
          <w:color w:val="auto"/>
          <w:sz w:val="24"/>
          <w:szCs w:val="24"/>
        </w:rPr>
        <w:t xml:space="preserve">. </w:t>
      </w:r>
      <w:r>
        <w:rPr>
          <w:rFonts w:hint="eastAsia" w:ascii="仿宋" w:hAnsi="仿宋" w:eastAsia="仿宋"/>
          <w:color w:val="auto"/>
          <w:sz w:val="24"/>
          <w:szCs w:val="24"/>
        </w:rPr>
        <w:t>履约保证金</w:t>
      </w:r>
      <w:bookmarkEnd w:id="116"/>
      <w:bookmarkEnd w:id="117"/>
      <w:r>
        <w:rPr>
          <w:rFonts w:hint="eastAsia" w:ascii="仿宋" w:hAnsi="仿宋" w:eastAsia="仿宋"/>
          <w:color w:val="auto"/>
          <w:sz w:val="24"/>
          <w:szCs w:val="24"/>
        </w:rPr>
        <w:t>（实质性要求）</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30.1 中标人应在合同签订之前交纳招标文件规定数额的履约保证金。</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30.2 如果中标人在规定的合同签订时间内，没有按照招标文件的规定交纳履约保证金，且又无正当理由的，将视为放弃中标。</w:t>
      </w:r>
    </w:p>
    <w:p>
      <w:pPr>
        <w:pStyle w:val="5"/>
        <w:spacing w:line="400" w:lineRule="exact"/>
        <w:ind w:firstLine="482" w:firstLineChars="200"/>
        <w:rPr>
          <w:rFonts w:ascii="仿宋" w:hAnsi="仿宋" w:eastAsia="仿宋"/>
          <w:color w:val="auto"/>
          <w:sz w:val="24"/>
          <w:szCs w:val="24"/>
        </w:rPr>
      </w:pPr>
      <w:bookmarkStart w:id="118" w:name="_Toc217446069"/>
      <w:bookmarkStart w:id="119" w:name="_Toc308164813"/>
      <w:r>
        <w:rPr>
          <w:rFonts w:hint="eastAsia" w:ascii="仿宋" w:hAnsi="仿宋" w:eastAsia="仿宋"/>
          <w:color w:val="auto"/>
          <w:sz w:val="24"/>
          <w:szCs w:val="24"/>
        </w:rPr>
        <w:t>31.合同公告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eastAsia="仿宋"/>
          <w:color w:val="auto"/>
          <w:sz w:val="24"/>
          <w:szCs w:val="24"/>
        </w:rPr>
      </w:pPr>
      <w:r>
        <w:rPr>
          <w:rFonts w:hint="eastAsia" w:ascii="仿宋" w:hAnsi="仿宋" w:eastAsia="仿宋"/>
          <w:color w:val="auto"/>
          <w:sz w:val="24"/>
          <w:szCs w:val="24"/>
        </w:rPr>
        <w:t>32.合同备案</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采购人应当将政府采购合同副本自签订之日起七个工作日内通过四川政府采购网报同级财政部门备案。</w:t>
      </w:r>
    </w:p>
    <w:p>
      <w:pPr>
        <w:pStyle w:val="5"/>
        <w:spacing w:line="400" w:lineRule="exact"/>
        <w:ind w:firstLine="482" w:firstLineChars="200"/>
        <w:rPr>
          <w:rFonts w:ascii="仿宋" w:hAnsi="仿宋" w:eastAsia="仿宋"/>
          <w:b w:val="0"/>
          <w:color w:val="auto"/>
          <w:sz w:val="24"/>
          <w:szCs w:val="24"/>
        </w:rPr>
      </w:pPr>
      <w:r>
        <w:rPr>
          <w:rFonts w:hint="eastAsia" w:ascii="仿宋" w:hAnsi="仿宋" w:eastAsia="仿宋"/>
          <w:color w:val="auto"/>
          <w:sz w:val="24"/>
          <w:szCs w:val="24"/>
        </w:rPr>
        <w:t>33.履行合同</w:t>
      </w:r>
      <w:bookmarkEnd w:id="118"/>
      <w:bookmarkEnd w:id="119"/>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33.2 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b w:val="0"/>
          <w:color w:val="auto"/>
          <w:sz w:val="24"/>
          <w:szCs w:val="24"/>
        </w:rPr>
      </w:pPr>
      <w:bookmarkStart w:id="120" w:name="_Toc308164814"/>
      <w:bookmarkStart w:id="121" w:name="_Toc217446070"/>
      <w:r>
        <w:rPr>
          <w:rFonts w:hint="eastAsia" w:ascii="仿宋" w:hAnsi="仿宋" w:eastAsia="仿宋"/>
          <w:color w:val="auto"/>
          <w:sz w:val="24"/>
          <w:szCs w:val="24"/>
        </w:rPr>
        <w:t>34.验收</w:t>
      </w:r>
      <w:bookmarkEnd w:id="120"/>
      <w:bookmarkEnd w:id="121"/>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pPr>
        <w:pStyle w:val="5"/>
        <w:spacing w:line="400" w:lineRule="exact"/>
        <w:ind w:firstLine="482" w:firstLineChars="200"/>
        <w:rPr>
          <w:rFonts w:ascii="仿宋" w:hAnsi="仿宋" w:eastAsia="仿宋"/>
          <w:color w:val="auto"/>
          <w:sz w:val="24"/>
          <w:szCs w:val="24"/>
        </w:rPr>
      </w:pPr>
      <w:bookmarkStart w:id="123" w:name="_Toc308164818"/>
      <w:bookmarkStart w:id="124" w:name="_Toc217446077"/>
      <w:r>
        <w:rPr>
          <w:rFonts w:hint="eastAsia" w:ascii="仿宋" w:hAnsi="仿宋" w:eastAsia="仿宋"/>
          <w:color w:val="auto"/>
          <w:sz w:val="24"/>
          <w:szCs w:val="24"/>
        </w:rPr>
        <w:t>35.资金支付</w:t>
      </w:r>
      <w:bookmarkEnd w:id="123"/>
      <w:bookmarkEnd w:id="124"/>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采购人将按照政府采购合同规定，及时向中标供应商支付采购资金。本项目采购资金付款详见第六章商务要求中付款方式。</w:t>
      </w:r>
      <w:bookmarkEnd w:id="111"/>
      <w:bookmarkEnd w:id="112"/>
      <w:bookmarkEnd w:id="122"/>
    </w:p>
    <w:p>
      <w:pPr>
        <w:pStyle w:val="4"/>
        <w:spacing w:line="400" w:lineRule="exact"/>
        <w:jc w:val="center"/>
        <w:rPr>
          <w:rFonts w:ascii="仿宋" w:hAnsi="仿宋" w:eastAsia="仿宋"/>
          <w:color w:val="auto"/>
          <w:szCs w:val="28"/>
        </w:rPr>
      </w:pPr>
      <w:bookmarkStart w:id="125" w:name="_Toc308164815"/>
      <w:bookmarkStart w:id="126" w:name="_Toc217446074"/>
      <w:bookmarkStart w:id="127" w:name="_Toc183682380"/>
      <w:bookmarkStart w:id="128" w:name="_Toc183582243"/>
      <w:r>
        <w:rPr>
          <w:rFonts w:hint="eastAsia" w:ascii="仿宋" w:hAnsi="仿宋" w:eastAsia="仿宋"/>
          <w:color w:val="auto"/>
          <w:szCs w:val="28"/>
        </w:rPr>
        <w:t>七、投标纪律要求</w:t>
      </w:r>
      <w:bookmarkEnd w:id="125"/>
      <w:bookmarkEnd w:id="126"/>
    </w:p>
    <w:p>
      <w:pPr>
        <w:pStyle w:val="5"/>
        <w:spacing w:line="400" w:lineRule="exact"/>
        <w:ind w:firstLine="482" w:firstLineChars="200"/>
        <w:rPr>
          <w:rFonts w:ascii="仿宋" w:hAnsi="仿宋" w:eastAsia="仿宋"/>
          <w:bCs w:val="0"/>
          <w:color w:val="auto"/>
          <w:sz w:val="24"/>
          <w:szCs w:val="24"/>
        </w:rPr>
      </w:pPr>
      <w:bookmarkStart w:id="129" w:name="_Toc308164816"/>
      <w:bookmarkStart w:id="130" w:name="_Toc217446075"/>
      <w:r>
        <w:rPr>
          <w:rFonts w:hint="eastAsia" w:ascii="仿宋" w:hAnsi="仿宋" w:eastAsia="仿宋"/>
          <w:color w:val="auto"/>
          <w:sz w:val="24"/>
        </w:rPr>
        <w:t xml:space="preserve">36. </w:t>
      </w:r>
      <w:r>
        <w:rPr>
          <w:rFonts w:hint="eastAsia" w:ascii="仿宋" w:hAnsi="仿宋" w:eastAsia="仿宋"/>
          <w:bCs w:val="0"/>
          <w:color w:val="auto"/>
          <w:sz w:val="24"/>
          <w:szCs w:val="24"/>
        </w:rPr>
        <w:t>投标人</w:t>
      </w:r>
      <w:bookmarkEnd w:id="129"/>
      <w:bookmarkEnd w:id="130"/>
      <w:r>
        <w:rPr>
          <w:rFonts w:hint="eastAsia" w:ascii="仿宋" w:hAnsi="仿宋" w:eastAsia="仿宋"/>
          <w:bCs w:val="0"/>
          <w:color w:val="auto"/>
          <w:sz w:val="24"/>
          <w:szCs w:val="24"/>
        </w:rPr>
        <w:t>纪律要求</w:t>
      </w:r>
    </w:p>
    <w:p>
      <w:pPr>
        <w:pStyle w:val="8"/>
        <w:spacing w:line="400" w:lineRule="exact"/>
        <w:ind w:firstLine="480"/>
        <w:rPr>
          <w:rFonts w:ascii="仿宋" w:hAnsi="仿宋" w:eastAsia="仿宋"/>
          <w:color w:val="auto"/>
          <w:sz w:val="24"/>
        </w:rPr>
      </w:pPr>
      <w:r>
        <w:rPr>
          <w:rFonts w:hint="eastAsia" w:ascii="仿宋" w:hAnsi="仿宋" w:eastAsia="仿宋"/>
          <w:color w:val="auto"/>
          <w:sz w:val="24"/>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eastAsia="仿宋"/>
          <w:color w:val="auto"/>
          <w:sz w:val="24"/>
        </w:rPr>
      </w:pPr>
      <w:r>
        <w:rPr>
          <w:rFonts w:hint="eastAsia" w:ascii="仿宋" w:hAnsi="仿宋" w:eastAsia="仿宋"/>
          <w:color w:val="auto"/>
          <w:sz w:val="24"/>
        </w:rPr>
        <w:t>在评标过程中发现投标人有上述情形的，评标委员会应当认定其投标无效，并书面报告本级财政部门。</w:t>
      </w:r>
    </w:p>
    <w:p>
      <w:pPr>
        <w:pStyle w:val="5"/>
        <w:rPr>
          <w:color w:val="auto"/>
        </w:rPr>
      </w:pPr>
      <w:r>
        <w:rPr>
          <w:rFonts w:hint="eastAsia" w:ascii="仿宋" w:hAnsi="仿宋" w:eastAsia="仿宋"/>
          <w:color w:val="auto"/>
          <w:sz w:val="24"/>
          <w:szCs w:val="24"/>
        </w:rPr>
        <w:t>37. 投标人参加本项目投标不得有下列情形</w:t>
      </w:r>
      <w:r>
        <w:rPr>
          <w:rFonts w:hint="eastAsia"/>
          <w:color w:val="auto"/>
        </w:rPr>
        <w:t>：</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（1）提供虚假材料谋取中标；</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（2）采取不正当手段诋毁、排挤其他投标人；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（3）与招标采购单位、其他投标人恶意串通；</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（4）向招标采购单位、评标委员会成员行贿或者提供其他不正当利益；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（5）在招标过程中与招标采购单位进行协商谈判；</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（6）中标或者成交后无正当理由拒不与采购人签订政府采购合同；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（7）未按照采购文件确定的事项签订政府采购合同；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（8）将政府采购合同转包或者违规分包；</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（9）提供假冒伪劣产品；</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（10）擅自变更、中止或者终止政府采购合同；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（11）拒绝有关部门的监督检查或者向监督检查部门提供虚假情况；</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（12）法律法规规定的其他情形。</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投标人有上述情形的，按照规定追究法律责任，具备（1）-（10）条情形之一的，同时将取消中标资格或者认定中标无效。</w:t>
      </w:r>
      <w:bookmarkEnd w:id="54"/>
    </w:p>
    <w:p>
      <w:pPr>
        <w:spacing w:line="400" w:lineRule="exact"/>
        <w:ind w:firstLine="482" w:firstLineChars="200"/>
        <w:outlineLvl w:val="2"/>
        <w:rPr>
          <w:rFonts w:ascii="仿宋" w:hAnsi="仿宋" w:eastAsia="仿宋"/>
          <w:color w:val="auto"/>
          <w:sz w:val="24"/>
        </w:rPr>
      </w:pPr>
      <w:bookmarkStart w:id="131" w:name="PO_默认文件内容_23"/>
      <w:r>
        <w:rPr>
          <w:rFonts w:hint="eastAsia" w:ascii="仿宋" w:hAnsi="仿宋" w:eastAsia="仿宋"/>
          <w:b/>
          <w:bCs/>
          <w:color w:val="auto"/>
          <w:sz w:val="24"/>
        </w:rPr>
        <w:t>38. 投标人有下列情形之一的，视为投标人串通投标，其投标无效</w:t>
      </w:r>
      <w:r>
        <w:rPr>
          <w:rFonts w:hint="eastAsia" w:ascii="仿宋" w:hAnsi="仿宋" w:eastAsia="仿宋"/>
          <w:color w:val="auto"/>
          <w:sz w:val="24"/>
        </w:rPr>
        <w:t>：</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（1）不同投标人的投标文件由同一单位或者个人编制；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（2）不同投标人委托同一单位或者个人办理投标事宜；</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（3）不同投标人的投标文件载明的项目管理成员或者联系人员为同一人；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（4）不同投标人的投标文件异常一致或者投标报价呈规律性差异；</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（5）不同投标人的投标文件相互混装；</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（6）不同投标人的投标保证金从同一单位或者个人的账户转出。</w:t>
      </w:r>
    </w:p>
    <w:p>
      <w:pPr>
        <w:pStyle w:val="4"/>
        <w:spacing w:line="400" w:lineRule="exact"/>
        <w:jc w:val="center"/>
        <w:rPr>
          <w:rFonts w:ascii="仿宋" w:hAnsi="仿宋" w:eastAsia="仿宋"/>
          <w:bCs w:val="0"/>
          <w:color w:val="auto"/>
          <w:szCs w:val="28"/>
        </w:rPr>
      </w:pPr>
      <w:bookmarkStart w:id="132" w:name="_Toc217446078"/>
      <w:bookmarkStart w:id="133" w:name="_Toc308164819"/>
      <w:r>
        <w:rPr>
          <w:rFonts w:hint="eastAsia" w:ascii="仿宋" w:hAnsi="仿宋" w:eastAsia="仿宋"/>
          <w:bCs w:val="0"/>
          <w:color w:val="auto"/>
          <w:szCs w:val="28"/>
        </w:rPr>
        <w:t>八、询问、质疑和投诉</w:t>
      </w:r>
      <w:bookmarkEnd w:id="132"/>
      <w:bookmarkEnd w:id="133"/>
      <w:bookmarkStart w:id="134" w:name="_Toc217446079"/>
      <w:bookmarkEnd w:id="134"/>
    </w:p>
    <w:p>
      <w:pPr>
        <w:widowControl/>
        <w:spacing w:line="360" w:lineRule="atLeast"/>
        <w:ind w:firstLine="472" w:firstLineChars="196"/>
        <w:jc w:val="left"/>
        <w:outlineLvl w:val="2"/>
        <w:rPr>
          <w:rFonts w:ascii="仿宋" w:hAnsi="仿宋" w:eastAsia="仿宋"/>
          <w:color w:val="auto"/>
          <w:sz w:val="24"/>
        </w:rPr>
      </w:pPr>
      <w:r>
        <w:rPr>
          <w:rFonts w:hint="eastAsia" w:ascii="仿宋" w:hAnsi="仿宋" w:eastAsia="仿宋"/>
          <w:b/>
          <w:color w:val="auto"/>
          <w:sz w:val="24"/>
        </w:rPr>
        <w:t>3</w:t>
      </w:r>
      <w:bookmarkEnd w:id="127"/>
      <w:bookmarkEnd w:id="128"/>
      <w:r>
        <w:rPr>
          <w:rFonts w:hint="eastAsia" w:ascii="仿宋" w:hAnsi="仿宋" w:eastAsia="仿宋"/>
          <w:b/>
          <w:color w:val="auto"/>
          <w:sz w:val="24"/>
        </w:rPr>
        <w:t>9．</w:t>
      </w:r>
      <w:r>
        <w:rPr>
          <w:rFonts w:hint="eastAsia" w:ascii="仿宋" w:hAnsi="仿宋" w:eastAsia="仿宋"/>
          <w:color w:val="auto"/>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color w:val="auto"/>
          <w:sz w:val="24"/>
        </w:rPr>
        <w:t>政府采购质疑和投诉办法</w:t>
      </w:r>
      <w:r>
        <w:rPr>
          <w:rFonts w:hint="eastAsia" w:ascii="仿宋" w:hAnsi="仿宋" w:eastAsia="仿宋"/>
          <w:color w:val="auto"/>
          <w:sz w:val="24"/>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eastAsia="仿宋"/>
          <w:bCs w:val="0"/>
          <w:color w:val="auto"/>
          <w:szCs w:val="28"/>
        </w:rPr>
      </w:pPr>
      <w:r>
        <w:rPr>
          <w:rFonts w:hint="eastAsia" w:ascii="仿宋" w:hAnsi="仿宋" w:eastAsia="仿宋"/>
          <w:bCs w:val="0"/>
          <w:color w:val="auto"/>
          <w:szCs w:val="28"/>
        </w:rPr>
        <w:t>九、其他</w:t>
      </w:r>
    </w:p>
    <w:p>
      <w:pPr>
        <w:widowControl/>
        <w:spacing w:line="360" w:lineRule="atLeast"/>
        <w:ind w:firstLine="482" w:firstLineChars="200"/>
        <w:jc w:val="left"/>
        <w:outlineLvl w:val="2"/>
        <w:rPr>
          <w:rFonts w:ascii="仿宋" w:hAnsi="仿宋" w:eastAsia="仿宋"/>
          <w:color w:val="auto"/>
          <w:sz w:val="24"/>
        </w:rPr>
      </w:pPr>
      <w:r>
        <w:rPr>
          <w:rFonts w:hint="eastAsia" w:ascii="仿宋" w:hAnsi="仿宋" w:eastAsia="仿宋"/>
          <w:b/>
          <w:color w:val="auto"/>
          <w:sz w:val="24"/>
        </w:rPr>
        <w:t>4</w:t>
      </w:r>
      <w:r>
        <w:rPr>
          <w:rFonts w:ascii="仿宋" w:hAnsi="仿宋" w:eastAsia="仿宋"/>
          <w:b/>
          <w:color w:val="auto"/>
          <w:sz w:val="24"/>
        </w:rPr>
        <w:t>0</w:t>
      </w:r>
      <w:r>
        <w:rPr>
          <w:rFonts w:hint="eastAsia" w:ascii="仿宋" w:hAnsi="仿宋" w:eastAsia="仿宋"/>
          <w:b/>
          <w:color w:val="auto"/>
          <w:sz w:val="24"/>
        </w:rPr>
        <w:t xml:space="preserve">. </w:t>
      </w:r>
      <w:r>
        <w:rPr>
          <w:rFonts w:hint="eastAsia" w:ascii="仿宋" w:hAnsi="仿宋" w:eastAsia="仿宋"/>
          <w:color w:val="auto"/>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widowControl/>
        <w:spacing w:line="360" w:lineRule="atLeast"/>
        <w:ind w:firstLine="482" w:firstLineChars="200"/>
        <w:jc w:val="left"/>
        <w:outlineLvl w:val="2"/>
        <w:rPr>
          <w:rFonts w:ascii="仿宋" w:hAnsi="仿宋" w:eastAsia="仿宋"/>
          <w:color w:val="auto"/>
          <w:kern w:val="0"/>
          <w:sz w:val="24"/>
        </w:rPr>
      </w:pPr>
      <w:r>
        <w:rPr>
          <w:rFonts w:hint="eastAsia" w:ascii="仿宋" w:hAnsi="仿宋" w:eastAsia="仿宋"/>
          <w:b/>
          <w:bCs/>
          <w:color w:val="auto"/>
          <w:sz w:val="24"/>
        </w:rPr>
        <w:t>41．</w:t>
      </w:r>
      <w:r>
        <w:rPr>
          <w:rFonts w:hint="eastAsia" w:ascii="仿宋" w:hAnsi="仿宋" w:eastAsia="仿宋"/>
          <w:b/>
          <w:color w:val="auto"/>
          <w:sz w:val="24"/>
        </w:rPr>
        <w:t>（实质性要求）</w:t>
      </w:r>
      <w:r>
        <w:rPr>
          <w:rFonts w:ascii="仿宋" w:hAnsi="仿宋" w:eastAsia="仿宋"/>
          <w:color w:val="auto"/>
          <w:sz w:val="24"/>
        </w:rPr>
        <w:t>国家</w:t>
      </w:r>
      <w:r>
        <w:rPr>
          <w:rFonts w:hint="eastAsia" w:ascii="仿宋" w:hAnsi="仿宋" w:eastAsia="仿宋"/>
          <w:color w:val="auto"/>
          <w:sz w:val="24"/>
        </w:rPr>
        <w:t>或行业主管部门</w:t>
      </w:r>
      <w:r>
        <w:rPr>
          <w:rFonts w:ascii="仿宋" w:hAnsi="仿宋" w:eastAsia="仿宋"/>
          <w:color w:val="auto"/>
          <w:sz w:val="24"/>
        </w:rPr>
        <w:t>对</w:t>
      </w:r>
      <w:r>
        <w:rPr>
          <w:rFonts w:hint="eastAsia" w:ascii="仿宋" w:hAnsi="仿宋" w:eastAsia="仿宋"/>
          <w:color w:val="auto"/>
          <w:sz w:val="24"/>
        </w:rPr>
        <w:t>采购产品的</w:t>
      </w:r>
      <w:r>
        <w:rPr>
          <w:rFonts w:ascii="仿宋" w:hAnsi="仿宋" w:eastAsia="仿宋"/>
          <w:color w:val="auto"/>
          <w:sz w:val="24"/>
        </w:rPr>
        <w:t>技术</w:t>
      </w:r>
      <w:r>
        <w:rPr>
          <w:rFonts w:hint="eastAsia" w:ascii="仿宋" w:hAnsi="仿宋" w:eastAsia="仿宋"/>
          <w:color w:val="auto"/>
          <w:sz w:val="24"/>
        </w:rPr>
        <w:t>标准、</w:t>
      </w:r>
      <w:r>
        <w:rPr>
          <w:rFonts w:ascii="仿宋" w:hAnsi="仿宋" w:eastAsia="仿宋"/>
          <w:color w:val="auto"/>
          <w:sz w:val="24"/>
        </w:rPr>
        <w:t>质量</w:t>
      </w:r>
      <w:r>
        <w:rPr>
          <w:rFonts w:hint="eastAsia" w:ascii="仿宋" w:hAnsi="仿宋" w:eastAsia="仿宋"/>
          <w:color w:val="auto"/>
          <w:sz w:val="24"/>
        </w:rPr>
        <w:t>标准和资格资质条件</w:t>
      </w:r>
      <w:r>
        <w:rPr>
          <w:rFonts w:ascii="仿宋" w:hAnsi="仿宋" w:eastAsia="仿宋"/>
          <w:color w:val="auto"/>
          <w:sz w:val="24"/>
        </w:rPr>
        <w:t>等有</w:t>
      </w:r>
      <w:r>
        <w:rPr>
          <w:rFonts w:hint="eastAsia" w:ascii="仿宋" w:hAnsi="仿宋" w:eastAsia="仿宋"/>
          <w:color w:val="auto"/>
          <w:sz w:val="24"/>
        </w:rPr>
        <w:t>强制性规定</w:t>
      </w:r>
      <w:r>
        <w:rPr>
          <w:rFonts w:ascii="仿宋" w:hAnsi="仿宋" w:eastAsia="仿宋"/>
          <w:color w:val="auto"/>
          <w:sz w:val="24"/>
        </w:rPr>
        <w:t>的</w:t>
      </w:r>
      <w:r>
        <w:rPr>
          <w:rFonts w:hint="eastAsia" w:ascii="仿宋" w:hAnsi="仿宋" w:eastAsia="仿宋"/>
          <w:color w:val="auto"/>
          <w:sz w:val="24"/>
        </w:rPr>
        <w:t>，必须符合其要求。</w:t>
      </w:r>
    </w:p>
    <w:p>
      <w:pPr>
        <w:widowControl/>
        <w:spacing w:line="360" w:lineRule="atLeast"/>
        <w:ind w:firstLine="480" w:firstLineChars="200"/>
        <w:jc w:val="left"/>
        <w:rPr>
          <w:rFonts w:ascii="仿宋" w:hAnsi="仿宋" w:eastAsia="仿宋"/>
          <w:color w:val="auto"/>
          <w:sz w:val="24"/>
        </w:rPr>
      </w:pPr>
    </w:p>
    <w:p>
      <w:pPr>
        <w:widowControl/>
        <w:spacing w:line="360" w:lineRule="atLeast"/>
        <w:jc w:val="center"/>
        <w:rPr>
          <w:rFonts w:ascii="仿宋" w:hAnsi="仿宋" w:eastAsia="仿宋"/>
          <w:b/>
          <w:color w:val="auto"/>
          <w:sz w:val="24"/>
        </w:rPr>
      </w:pPr>
      <w:bookmarkStart w:id="135" w:name="_Toc217446083"/>
    </w:p>
    <w:p>
      <w:pPr>
        <w:pStyle w:val="3"/>
        <w:jc w:val="center"/>
        <w:rPr>
          <w:rFonts w:ascii="仿宋" w:hAnsi="仿宋" w:eastAsia="仿宋"/>
          <w:color w:val="auto"/>
          <w:sz w:val="36"/>
          <w:szCs w:val="36"/>
        </w:rPr>
        <w:sectPr>
          <w:pgSz w:w="11907" w:h="16840"/>
          <w:pgMar w:top="1440" w:right="1474" w:bottom="1440" w:left="1474" w:header="851" w:footer="992" w:gutter="0"/>
          <w:cols w:space="720" w:num="1"/>
          <w:docGrid w:linePitch="312" w:charSpace="0"/>
        </w:sectPr>
      </w:pPr>
      <w:bookmarkStart w:id="136" w:name="_Toc24369"/>
      <w:bookmarkStart w:id="137" w:name="_Toc1368"/>
    </w:p>
    <w:p>
      <w:pPr>
        <w:pStyle w:val="3"/>
        <w:jc w:val="center"/>
        <w:rPr>
          <w:rFonts w:ascii="仿宋" w:hAnsi="仿宋" w:eastAsia="仿宋"/>
          <w:color w:val="auto"/>
          <w:sz w:val="36"/>
          <w:szCs w:val="36"/>
        </w:rPr>
      </w:pPr>
      <w:r>
        <w:rPr>
          <w:rFonts w:hint="eastAsia" w:ascii="仿宋" w:hAnsi="仿宋" w:eastAsia="仿宋"/>
          <w:color w:val="auto"/>
          <w:sz w:val="36"/>
          <w:szCs w:val="36"/>
        </w:rPr>
        <w:t>第三章  投标文件格式</w:t>
      </w:r>
      <w:bookmarkEnd w:id="136"/>
      <w:bookmarkEnd w:id="137"/>
      <w:bookmarkStart w:id="138" w:name="_Toc308164821"/>
      <w:bookmarkStart w:id="139" w:name="_Toc217446082"/>
    </w:p>
    <w:p>
      <w:pPr>
        <w:widowControl/>
        <w:spacing w:line="360" w:lineRule="atLeast"/>
        <w:jc w:val="center"/>
        <w:rPr>
          <w:rFonts w:ascii="仿宋" w:hAnsi="仿宋" w:eastAsia="仿宋"/>
          <w:b/>
          <w:color w:val="auto"/>
          <w:sz w:val="24"/>
        </w:rPr>
      </w:pPr>
    </w:p>
    <w:p>
      <w:pPr>
        <w:widowControl/>
        <w:spacing w:line="360" w:lineRule="atLeast"/>
        <w:ind w:firstLine="470" w:firstLineChars="196"/>
        <w:rPr>
          <w:rFonts w:ascii="仿宋" w:hAnsi="仿宋" w:eastAsia="仿宋"/>
          <w:color w:val="auto"/>
          <w:sz w:val="24"/>
        </w:rPr>
      </w:pPr>
      <w:r>
        <w:rPr>
          <w:rFonts w:hint="eastAsia" w:ascii="仿宋" w:hAnsi="仿宋" w:eastAsia="仿宋"/>
          <w:color w:val="auto"/>
          <w:sz w:val="24"/>
        </w:rPr>
        <w:t>一、本章所制投标文件格式，除格式中明确将该格式作为实质性要求的，一律不具有强制性。</w:t>
      </w:r>
    </w:p>
    <w:p>
      <w:pPr>
        <w:widowControl/>
        <w:spacing w:line="360" w:lineRule="atLeast"/>
        <w:ind w:firstLine="470" w:firstLineChars="196"/>
        <w:rPr>
          <w:rFonts w:ascii="仿宋" w:hAnsi="仿宋" w:eastAsia="仿宋"/>
          <w:color w:val="auto"/>
          <w:sz w:val="24"/>
        </w:rPr>
      </w:pPr>
      <w:r>
        <w:rPr>
          <w:rFonts w:hint="eastAsia" w:ascii="仿宋" w:hAnsi="仿宋" w:eastAsia="仿宋"/>
          <w:color w:val="auto"/>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color w:val="auto"/>
          <w:sz w:val="24"/>
        </w:rPr>
      </w:pPr>
      <w:r>
        <w:rPr>
          <w:rFonts w:hint="eastAsia" w:ascii="仿宋" w:hAnsi="仿宋" w:eastAsia="仿宋"/>
          <w:color w:val="auto"/>
          <w:sz w:val="24"/>
        </w:rPr>
        <w:t>三、本章所制投标文件格式中需要填写的相关内容事项，可能会与本采购项目无关，在不改变投标文件原义、不影响本项目采购需求的情况下，投标人可以不予填写，但应当注明。</w:t>
      </w:r>
      <w:bookmarkEnd w:id="131"/>
    </w:p>
    <w:p>
      <w:pPr>
        <w:tabs>
          <w:tab w:val="left" w:pos="900"/>
        </w:tabs>
        <w:spacing w:line="360" w:lineRule="auto"/>
        <w:jc w:val="center"/>
        <w:outlineLvl w:val="1"/>
        <w:rPr>
          <w:rFonts w:ascii="仿宋" w:hAnsi="仿宋" w:eastAsia="仿宋"/>
          <w:b/>
          <w:color w:val="auto"/>
          <w:sz w:val="32"/>
        </w:rPr>
      </w:pPr>
      <w:r>
        <w:rPr>
          <w:rFonts w:hint="eastAsia" w:ascii="仿宋" w:hAnsi="仿宋" w:eastAsia="仿宋"/>
          <w:b/>
          <w:color w:val="auto"/>
          <w:sz w:val="32"/>
          <w:szCs w:val="32"/>
        </w:rPr>
        <w:br w:type="page"/>
      </w:r>
      <w:bookmarkStart w:id="140" w:name="PO_默认文件内容_24"/>
      <w:r>
        <w:rPr>
          <w:rFonts w:ascii="仿宋" w:hAnsi="仿宋" w:eastAsia="仿宋"/>
          <w:b/>
          <w:color w:val="auto"/>
          <w:sz w:val="32"/>
        </w:rPr>
        <w:t xml:space="preserve">第一部分     </w:t>
      </w:r>
      <w:r>
        <w:rPr>
          <w:rFonts w:hint="eastAsia" w:ascii="仿宋" w:hAnsi="仿宋" w:eastAsia="仿宋"/>
          <w:b/>
          <w:color w:val="auto"/>
          <w:sz w:val="32"/>
        </w:rPr>
        <w:t>“</w:t>
      </w:r>
      <w:r>
        <w:rPr>
          <w:rFonts w:ascii="仿宋" w:hAnsi="仿宋" w:eastAsia="仿宋"/>
          <w:b/>
          <w:color w:val="auto"/>
          <w:sz w:val="32"/>
        </w:rPr>
        <w:t>资格性</w:t>
      </w:r>
      <w:r>
        <w:rPr>
          <w:rFonts w:hint="eastAsia" w:ascii="仿宋" w:hAnsi="仿宋" w:eastAsia="仿宋"/>
          <w:b/>
          <w:color w:val="auto"/>
          <w:sz w:val="32"/>
        </w:rPr>
        <w:t>投标</w:t>
      </w:r>
      <w:r>
        <w:rPr>
          <w:rFonts w:ascii="仿宋" w:hAnsi="仿宋" w:eastAsia="仿宋"/>
          <w:b/>
          <w:color w:val="auto"/>
          <w:sz w:val="32"/>
        </w:rPr>
        <w:t>文件</w:t>
      </w:r>
      <w:r>
        <w:rPr>
          <w:rFonts w:hint="eastAsia" w:ascii="仿宋" w:hAnsi="仿宋" w:eastAsia="仿宋"/>
          <w:b/>
          <w:color w:val="auto"/>
          <w:sz w:val="32"/>
        </w:rPr>
        <w:t>”</w:t>
      </w:r>
      <w:r>
        <w:rPr>
          <w:rFonts w:ascii="仿宋" w:hAnsi="仿宋" w:eastAsia="仿宋"/>
          <w:b/>
          <w:color w:val="auto"/>
          <w:sz w:val="32"/>
        </w:rPr>
        <w:t>格式</w:t>
      </w:r>
    </w:p>
    <w:p>
      <w:pPr>
        <w:spacing w:line="360" w:lineRule="auto"/>
        <w:rPr>
          <w:rFonts w:ascii="仿宋" w:hAnsi="仿宋" w:eastAsia="仿宋"/>
          <w:b/>
          <w:color w:val="auto"/>
          <w:sz w:val="32"/>
          <w:szCs w:val="32"/>
        </w:rPr>
      </w:pPr>
      <w:r>
        <w:rPr>
          <w:rFonts w:hint="eastAsia" w:ascii="仿宋" w:hAnsi="仿宋" w:eastAsia="仿宋"/>
          <w:b/>
          <w:color w:val="auto"/>
          <w:sz w:val="32"/>
          <w:szCs w:val="32"/>
        </w:rPr>
        <w:t>格式1-1</w:t>
      </w:r>
    </w:p>
    <w:p>
      <w:pPr>
        <w:spacing w:line="360" w:lineRule="auto"/>
        <w:rPr>
          <w:rFonts w:ascii="仿宋" w:hAnsi="仿宋" w:eastAsia="仿宋"/>
          <w:b/>
          <w:color w:val="auto"/>
          <w:sz w:val="32"/>
          <w:szCs w:val="32"/>
        </w:rPr>
      </w:pPr>
      <w:r>
        <w:rPr>
          <w:rFonts w:hint="eastAsia" w:ascii="仿宋" w:hAnsi="仿宋" w:eastAsia="仿宋"/>
          <w:b/>
          <w:color w:val="auto"/>
          <w:sz w:val="32"/>
          <w:szCs w:val="32"/>
        </w:rPr>
        <w:t>封面：</w:t>
      </w:r>
    </w:p>
    <w:p>
      <w:pPr>
        <w:spacing w:line="360" w:lineRule="auto"/>
        <w:rPr>
          <w:rFonts w:ascii="仿宋" w:hAnsi="仿宋" w:eastAsia="仿宋"/>
          <w:b/>
          <w:color w:val="auto"/>
          <w:sz w:val="32"/>
          <w:szCs w:val="32"/>
        </w:rPr>
      </w:pPr>
    </w:p>
    <w:p>
      <w:pPr>
        <w:spacing w:line="360" w:lineRule="auto"/>
        <w:rPr>
          <w:rFonts w:ascii="仿宋" w:hAnsi="仿宋" w:eastAsia="仿宋"/>
          <w:b/>
          <w:color w:val="auto"/>
          <w:sz w:val="32"/>
          <w:szCs w:val="32"/>
        </w:rPr>
      </w:pPr>
    </w:p>
    <w:p>
      <w:pPr>
        <w:spacing w:line="360" w:lineRule="auto"/>
        <w:jc w:val="center"/>
        <w:rPr>
          <w:rFonts w:ascii="仿宋" w:hAnsi="仿宋" w:eastAsia="仿宋"/>
          <w:b/>
          <w:color w:val="auto"/>
          <w:sz w:val="72"/>
        </w:rPr>
      </w:pPr>
      <w:r>
        <w:rPr>
          <w:rFonts w:ascii="仿宋" w:hAnsi="仿宋" w:eastAsia="仿宋"/>
          <w:b/>
          <w:color w:val="auto"/>
          <w:sz w:val="40"/>
          <w:szCs w:val="48"/>
          <w:u w:val="single"/>
        </w:rPr>
        <w:t>xxxxx</w:t>
      </w:r>
      <w:r>
        <w:rPr>
          <w:rFonts w:hint="eastAsia" w:ascii="仿宋" w:hAnsi="仿宋" w:eastAsia="仿宋"/>
          <w:b/>
          <w:color w:val="auto"/>
          <w:sz w:val="40"/>
          <w:szCs w:val="48"/>
        </w:rPr>
        <w:t>项目</w:t>
      </w:r>
    </w:p>
    <w:p>
      <w:pPr>
        <w:spacing w:line="360" w:lineRule="auto"/>
        <w:rPr>
          <w:rFonts w:ascii="仿宋" w:hAnsi="仿宋" w:eastAsia="仿宋"/>
          <w:b/>
          <w:color w:val="auto"/>
          <w:sz w:val="52"/>
          <w:szCs w:val="52"/>
        </w:rPr>
      </w:pPr>
    </w:p>
    <w:p>
      <w:pPr>
        <w:spacing w:line="360" w:lineRule="auto"/>
        <w:jc w:val="center"/>
        <w:rPr>
          <w:rFonts w:ascii="仿宋" w:hAnsi="仿宋" w:eastAsia="仿宋"/>
          <w:b/>
          <w:color w:val="auto"/>
          <w:sz w:val="32"/>
          <w:szCs w:val="32"/>
        </w:rPr>
      </w:pPr>
      <w:r>
        <w:rPr>
          <w:rFonts w:hint="eastAsia" w:ascii="仿宋" w:hAnsi="仿宋" w:eastAsia="仿宋"/>
          <w:b/>
          <w:color w:val="auto"/>
          <w:sz w:val="52"/>
          <w:szCs w:val="52"/>
        </w:rPr>
        <w:t>资格性投标文件</w:t>
      </w:r>
    </w:p>
    <w:p>
      <w:pPr>
        <w:spacing w:line="360" w:lineRule="auto"/>
        <w:jc w:val="left"/>
        <w:rPr>
          <w:rFonts w:ascii="仿宋" w:hAnsi="仿宋" w:eastAsia="仿宋"/>
          <w:b/>
          <w:color w:val="auto"/>
          <w:sz w:val="32"/>
          <w:u w:val="single"/>
        </w:rPr>
      </w:pPr>
      <w:r>
        <w:rPr>
          <w:rFonts w:hint="eastAsia" w:ascii="仿宋" w:hAnsi="仿宋" w:eastAsia="仿宋"/>
          <w:b/>
          <w:color w:val="auto"/>
          <w:sz w:val="32"/>
        </w:rPr>
        <w:t>投 标 人</w:t>
      </w:r>
      <w:r>
        <w:rPr>
          <w:rFonts w:ascii="仿宋" w:hAnsi="仿宋" w:eastAsia="仿宋"/>
          <w:b/>
          <w:color w:val="auto"/>
          <w:sz w:val="32"/>
        </w:rPr>
        <w:t>名称：</w:t>
      </w:r>
    </w:p>
    <w:p>
      <w:pPr>
        <w:spacing w:line="360" w:lineRule="auto"/>
        <w:jc w:val="left"/>
        <w:rPr>
          <w:rFonts w:ascii="仿宋" w:hAnsi="仿宋" w:eastAsia="仿宋"/>
          <w:b/>
          <w:color w:val="auto"/>
          <w:sz w:val="32"/>
          <w:u w:val="single"/>
        </w:rPr>
      </w:pPr>
      <w:r>
        <w:rPr>
          <w:rFonts w:hint="eastAsia" w:ascii="仿宋" w:hAnsi="仿宋" w:eastAsia="仿宋"/>
          <w:b/>
          <w:color w:val="auto"/>
          <w:sz w:val="32"/>
        </w:rPr>
        <w:t>采购项目</w:t>
      </w:r>
      <w:r>
        <w:rPr>
          <w:rFonts w:ascii="仿宋" w:hAnsi="仿宋" w:eastAsia="仿宋"/>
          <w:b/>
          <w:color w:val="auto"/>
          <w:sz w:val="32"/>
        </w:rPr>
        <w:t>编号：</w:t>
      </w:r>
    </w:p>
    <w:p>
      <w:pPr>
        <w:spacing w:line="360" w:lineRule="auto"/>
        <w:ind w:firstLine="790" w:firstLineChars="246"/>
        <w:jc w:val="center"/>
        <w:rPr>
          <w:rFonts w:ascii="仿宋" w:hAnsi="仿宋" w:eastAsia="仿宋"/>
          <w:b/>
          <w:color w:val="auto"/>
          <w:sz w:val="32"/>
        </w:rPr>
      </w:pPr>
    </w:p>
    <w:p>
      <w:pPr>
        <w:spacing w:line="360" w:lineRule="auto"/>
        <w:ind w:firstLine="790" w:firstLineChars="246"/>
        <w:jc w:val="center"/>
        <w:rPr>
          <w:rFonts w:ascii="仿宋" w:hAnsi="仿宋" w:eastAsia="仿宋"/>
          <w:b/>
          <w:color w:val="auto"/>
          <w:sz w:val="32"/>
        </w:rPr>
      </w:pPr>
    </w:p>
    <w:p>
      <w:pPr>
        <w:spacing w:line="360" w:lineRule="auto"/>
        <w:ind w:firstLine="790" w:firstLineChars="246"/>
        <w:jc w:val="center"/>
        <w:rPr>
          <w:rFonts w:ascii="仿宋" w:hAnsi="仿宋" w:eastAsia="仿宋"/>
          <w:b/>
          <w:color w:val="auto"/>
          <w:sz w:val="32"/>
        </w:rPr>
      </w:pPr>
      <w:r>
        <w:rPr>
          <w:rFonts w:hint="eastAsia" w:ascii="仿宋" w:hAnsi="仿宋" w:eastAsia="仿宋"/>
          <w:b/>
          <w:color w:val="auto"/>
          <w:sz w:val="32"/>
        </w:rPr>
        <w:t>投标时间</w:t>
      </w:r>
      <w:r>
        <w:rPr>
          <w:rFonts w:ascii="仿宋" w:hAnsi="仿宋" w:eastAsia="仿宋"/>
          <w:b/>
          <w:color w:val="auto"/>
          <w:sz w:val="32"/>
        </w:rPr>
        <w:t>：</w:t>
      </w:r>
      <w:r>
        <w:rPr>
          <w:rFonts w:hint="eastAsia" w:ascii="仿宋" w:hAnsi="仿宋" w:eastAsia="仿宋"/>
          <w:b/>
          <w:color w:val="auto"/>
          <w:sz w:val="32"/>
        </w:rPr>
        <w:t xml:space="preserve">年 </w:t>
      </w:r>
      <w:r>
        <w:rPr>
          <w:rFonts w:ascii="仿宋" w:hAnsi="仿宋" w:eastAsia="仿宋"/>
          <w:b/>
          <w:color w:val="auto"/>
          <w:sz w:val="32"/>
        </w:rPr>
        <w:t>月</w:t>
      </w:r>
      <w:r>
        <w:rPr>
          <w:rFonts w:hint="eastAsia" w:ascii="仿宋" w:hAnsi="仿宋" w:eastAsia="仿宋"/>
          <w:b/>
          <w:color w:val="auto"/>
          <w:sz w:val="32"/>
        </w:rPr>
        <w:t xml:space="preserve"> </w:t>
      </w:r>
      <w:r>
        <w:rPr>
          <w:rFonts w:ascii="仿宋" w:hAnsi="仿宋" w:eastAsia="仿宋"/>
          <w:b/>
          <w:color w:val="auto"/>
          <w:sz w:val="32"/>
        </w:rPr>
        <w:t>日</w:t>
      </w:r>
    </w:p>
    <w:p>
      <w:pPr>
        <w:spacing w:after="0" w:line="360" w:lineRule="auto"/>
        <w:rPr>
          <w:rFonts w:ascii="仿宋" w:hAnsi="仿宋" w:eastAsia="仿宋"/>
          <w:b/>
          <w:color w:val="auto"/>
          <w:sz w:val="32"/>
          <w:szCs w:val="32"/>
        </w:rPr>
      </w:pPr>
      <w:r>
        <w:rPr>
          <w:rFonts w:ascii="仿宋" w:hAnsi="仿宋" w:eastAsia="仿宋"/>
          <w:b/>
          <w:color w:val="auto"/>
          <w:sz w:val="32"/>
        </w:rPr>
        <w:br w:type="page"/>
      </w:r>
      <w:r>
        <w:rPr>
          <w:rFonts w:hint="eastAsia" w:ascii="仿宋" w:hAnsi="仿宋" w:eastAsia="仿宋"/>
          <w:b/>
          <w:color w:val="auto"/>
          <w:sz w:val="32"/>
          <w:szCs w:val="32"/>
        </w:rPr>
        <w:t>格式1-2</w:t>
      </w:r>
    </w:p>
    <w:p>
      <w:pPr>
        <w:widowControl/>
        <w:spacing w:after="0" w:line="360" w:lineRule="atLeast"/>
        <w:ind w:firstLine="630" w:firstLineChars="196"/>
        <w:jc w:val="center"/>
        <w:outlineLvl w:val="2"/>
        <w:rPr>
          <w:rFonts w:ascii="仿宋" w:hAnsi="仿宋" w:eastAsia="仿宋"/>
          <w:b/>
          <w:color w:val="auto"/>
          <w:sz w:val="32"/>
          <w:szCs w:val="32"/>
        </w:rPr>
      </w:pPr>
      <w:r>
        <w:rPr>
          <w:rFonts w:hint="eastAsia" w:ascii="仿宋" w:hAnsi="仿宋" w:eastAsia="仿宋"/>
          <w:b/>
          <w:color w:val="auto"/>
          <w:sz w:val="32"/>
          <w:szCs w:val="32"/>
        </w:rPr>
        <w:t>一、关于投标人资格申明的函</w:t>
      </w:r>
    </w:p>
    <w:p>
      <w:pPr>
        <w:widowControl/>
        <w:spacing w:after="0" w:line="360" w:lineRule="atLeast"/>
        <w:ind w:firstLine="472" w:firstLineChars="196"/>
        <w:jc w:val="left"/>
        <w:rPr>
          <w:rFonts w:ascii="仿宋" w:hAnsi="仿宋" w:eastAsia="仿宋"/>
          <w:b/>
          <w:color w:val="auto"/>
          <w:sz w:val="24"/>
        </w:rPr>
      </w:pPr>
    </w:p>
    <w:p>
      <w:pPr>
        <w:widowControl/>
        <w:spacing w:line="360" w:lineRule="atLeast"/>
        <w:jc w:val="left"/>
        <w:rPr>
          <w:rFonts w:ascii="仿宋" w:hAnsi="仿宋" w:eastAsia="仿宋"/>
          <w:color w:val="auto"/>
          <w:sz w:val="24"/>
        </w:rPr>
      </w:pPr>
      <w:bookmarkStart w:id="141" w:name="_Toc146903609"/>
      <w:bookmarkStart w:id="142" w:name="_Toc238581783"/>
      <w:bookmarkStart w:id="143" w:name="_Toc119295087"/>
      <w:bookmarkStart w:id="144" w:name="_Toc119296788"/>
      <w:bookmarkStart w:id="145" w:name="_Toc119203988"/>
      <w:bookmarkStart w:id="146" w:name="_Toc52184753"/>
      <w:bookmarkStart w:id="147" w:name="_Toc217446084"/>
      <w:r>
        <w:rPr>
          <w:rFonts w:hint="eastAsia" w:ascii="仿宋" w:hAnsi="仿宋" w:eastAsia="仿宋"/>
          <w:color w:val="auto"/>
          <w:sz w:val="24"/>
        </w:rPr>
        <w:t>XXXX（采购代理机构名称）：</w:t>
      </w:r>
    </w:p>
    <w:p>
      <w:pPr>
        <w:ind w:firstLine="484" w:firstLineChars="202"/>
        <w:rPr>
          <w:rFonts w:ascii="仿宋" w:hAnsi="仿宋" w:eastAsia="仿宋" w:cs="仿宋"/>
          <w:color w:val="auto"/>
          <w:sz w:val="24"/>
        </w:rPr>
      </w:pPr>
      <w:r>
        <w:rPr>
          <w:rFonts w:hint="eastAsia" w:ascii="仿宋" w:hAnsi="仿宋" w:eastAsia="仿宋" w:cs="仿宋"/>
          <w:color w:val="auto"/>
          <w:sz w:val="24"/>
        </w:rPr>
        <w:t>关于我方对</w:t>
      </w:r>
      <w:r>
        <w:rPr>
          <w:rFonts w:hint="eastAsia" w:ascii="仿宋" w:hAnsi="仿宋" w:eastAsia="仿宋" w:cs="仿宋"/>
          <w:b/>
          <w:color w:val="auto"/>
          <w:sz w:val="24"/>
          <w:u w:val="single"/>
        </w:rPr>
        <w:t>XXXX采购项目（项目编号：          ）</w:t>
      </w:r>
      <w:r>
        <w:rPr>
          <w:rFonts w:hint="eastAsia" w:ascii="仿宋" w:hAnsi="仿宋" w:eastAsia="仿宋" w:cs="仿宋"/>
          <w:color w:val="auto"/>
          <w:sz w:val="24"/>
        </w:rPr>
        <w:t>的公开招标，提交的下列文件和说明是准确的和真实的。</w:t>
      </w:r>
      <w:bookmarkEnd w:id="141"/>
      <w:bookmarkEnd w:id="142"/>
      <w:bookmarkEnd w:id="143"/>
      <w:bookmarkEnd w:id="144"/>
      <w:bookmarkEnd w:id="145"/>
      <w:bookmarkEnd w:id="146"/>
    </w:p>
    <w:p>
      <w:pPr>
        <w:widowControl/>
        <w:spacing w:after="200"/>
        <w:ind w:left="420" w:leftChars="200"/>
        <w:jc w:val="left"/>
        <w:rPr>
          <w:rFonts w:ascii="仿宋" w:hAnsi="仿宋" w:eastAsia="仿宋" w:cs="仿宋"/>
          <w:color w:val="auto"/>
          <w:sz w:val="24"/>
        </w:rPr>
      </w:pPr>
      <w:r>
        <w:rPr>
          <w:rFonts w:hint="eastAsia" w:ascii="仿宋" w:hAnsi="仿宋" w:eastAsia="仿宋" w:cs="仿宋"/>
          <w:color w:val="auto"/>
          <w:sz w:val="24"/>
        </w:rPr>
        <w:t>1.投标人名称：XXXX</w:t>
      </w:r>
    </w:p>
    <w:p>
      <w:pPr>
        <w:widowControl/>
        <w:spacing w:after="200"/>
        <w:ind w:left="420" w:leftChars="200"/>
        <w:jc w:val="left"/>
        <w:rPr>
          <w:rFonts w:ascii="仿宋" w:hAnsi="仿宋" w:eastAsia="仿宋" w:cs="仿宋"/>
          <w:color w:val="auto"/>
          <w:sz w:val="24"/>
        </w:rPr>
      </w:pPr>
      <w:r>
        <w:rPr>
          <w:rFonts w:hint="eastAsia" w:ascii="仿宋" w:hAnsi="仿宋" w:eastAsia="仿宋" w:cs="仿宋"/>
          <w:color w:val="auto"/>
          <w:sz w:val="24"/>
        </w:rPr>
        <w:t xml:space="preserve">2.地址：XXXX      </w:t>
      </w:r>
    </w:p>
    <w:p>
      <w:pPr>
        <w:widowControl/>
        <w:spacing w:after="200"/>
        <w:ind w:left="420" w:leftChars="200"/>
        <w:jc w:val="left"/>
        <w:rPr>
          <w:rFonts w:ascii="仿宋" w:hAnsi="仿宋" w:eastAsia="仿宋" w:cs="仿宋"/>
          <w:color w:val="auto"/>
          <w:sz w:val="24"/>
        </w:rPr>
      </w:pPr>
      <w:r>
        <w:rPr>
          <w:rFonts w:hint="eastAsia" w:ascii="仿宋" w:hAnsi="仿宋" w:eastAsia="仿宋" w:cs="仿宋"/>
          <w:color w:val="auto"/>
          <w:sz w:val="24"/>
        </w:rPr>
        <w:t>邮编：XXXX</w:t>
      </w:r>
    </w:p>
    <w:p>
      <w:pPr>
        <w:widowControl/>
        <w:ind w:firstLine="480" w:firstLineChars="200"/>
        <w:jc w:val="left"/>
        <w:rPr>
          <w:rFonts w:ascii="仿宋" w:hAnsi="仿宋" w:eastAsia="仿宋" w:cs="仿宋"/>
          <w:color w:val="auto"/>
          <w:sz w:val="24"/>
          <w:u w:val="single"/>
        </w:rPr>
      </w:pPr>
      <w:r>
        <w:rPr>
          <w:rFonts w:hint="eastAsia" w:ascii="仿宋" w:hAnsi="仿宋" w:eastAsia="仿宋" w:cs="仿宋"/>
          <w:color w:val="auto"/>
          <w:sz w:val="24"/>
        </w:rPr>
        <w:t>传真/电话： XXXX</w:t>
      </w:r>
    </w:p>
    <w:p>
      <w:pPr>
        <w:widowControl/>
        <w:spacing w:after="200"/>
        <w:ind w:left="420" w:leftChars="200"/>
        <w:jc w:val="left"/>
        <w:rPr>
          <w:rFonts w:ascii="仿宋" w:hAnsi="仿宋" w:eastAsia="仿宋" w:cs="仿宋"/>
          <w:color w:val="auto"/>
          <w:sz w:val="24"/>
        </w:rPr>
      </w:pPr>
      <w:r>
        <w:rPr>
          <w:rFonts w:hint="eastAsia" w:ascii="仿宋" w:hAnsi="仿宋" w:eastAsia="仿宋" w:cs="仿宋"/>
          <w:color w:val="auto"/>
          <w:sz w:val="24"/>
        </w:rPr>
        <w:t>3.成立日期或注册日期：XXXX</w:t>
      </w:r>
    </w:p>
    <w:p>
      <w:pPr>
        <w:widowControl/>
        <w:spacing w:after="200"/>
        <w:ind w:left="420" w:leftChars="200"/>
        <w:jc w:val="left"/>
        <w:rPr>
          <w:rFonts w:ascii="仿宋" w:hAnsi="仿宋" w:eastAsia="仿宋" w:cs="仿宋"/>
          <w:color w:val="auto"/>
          <w:sz w:val="24"/>
          <w:u w:val="single"/>
        </w:rPr>
      </w:pPr>
      <w:r>
        <w:rPr>
          <w:rFonts w:hint="eastAsia" w:ascii="仿宋" w:hAnsi="仿宋" w:eastAsia="仿宋" w:cs="仿宋"/>
          <w:color w:val="auto"/>
          <w:sz w:val="24"/>
        </w:rPr>
        <w:t>4.法定代表人/单位负责人姓名：XXXX</w:t>
      </w:r>
    </w:p>
    <w:p>
      <w:pPr>
        <w:widowControl/>
        <w:tabs>
          <w:tab w:val="left" w:pos="1276"/>
        </w:tabs>
        <w:spacing w:after="200"/>
        <w:ind w:firstLine="480" w:firstLineChars="200"/>
        <w:rPr>
          <w:rFonts w:ascii="仿宋" w:hAnsi="仿宋" w:eastAsia="仿宋" w:cs="仿宋"/>
          <w:color w:val="auto"/>
          <w:sz w:val="24"/>
        </w:rPr>
      </w:pPr>
      <w:r>
        <w:rPr>
          <w:rFonts w:hint="eastAsia" w:ascii="仿宋" w:hAnsi="仿宋" w:eastAsia="仿宋" w:cs="仿宋"/>
          <w:color w:val="auto"/>
          <w:sz w:val="24"/>
        </w:rPr>
        <w:t>5.开户银行名称：XXXX</w:t>
      </w:r>
    </w:p>
    <w:p>
      <w:pPr>
        <w:ind w:firstLine="720" w:firstLineChars="300"/>
        <w:rPr>
          <w:rFonts w:ascii="仿宋" w:hAnsi="仿宋" w:eastAsia="仿宋" w:cs="仿宋"/>
          <w:color w:val="auto"/>
          <w:sz w:val="24"/>
          <w:u w:val="single"/>
        </w:rPr>
      </w:pPr>
      <w:r>
        <w:rPr>
          <w:rFonts w:hint="eastAsia" w:ascii="仿宋" w:hAnsi="仿宋" w:eastAsia="仿宋" w:cs="仿宋"/>
          <w:color w:val="auto"/>
          <w:sz w:val="24"/>
        </w:rPr>
        <w:t>地址：XXXX</w:t>
      </w:r>
    </w:p>
    <w:p>
      <w:pPr>
        <w:ind w:firstLine="720" w:firstLineChars="300"/>
        <w:rPr>
          <w:rFonts w:ascii="仿宋" w:hAnsi="仿宋" w:eastAsia="仿宋" w:cs="仿宋"/>
          <w:color w:val="auto"/>
          <w:sz w:val="24"/>
        </w:rPr>
      </w:pPr>
      <w:r>
        <w:rPr>
          <w:rFonts w:hint="eastAsia" w:ascii="仿宋" w:hAnsi="仿宋" w:eastAsia="仿宋" w:cs="仿宋"/>
          <w:color w:val="auto"/>
          <w:sz w:val="24"/>
        </w:rPr>
        <w:t>账号：XXXX</w:t>
      </w:r>
    </w:p>
    <w:p>
      <w:pPr>
        <w:ind w:firstLine="480" w:firstLineChars="200"/>
        <w:rPr>
          <w:rFonts w:ascii="仿宋" w:hAnsi="仿宋" w:eastAsia="仿宋" w:cs="仿宋"/>
          <w:color w:val="auto"/>
          <w:sz w:val="24"/>
        </w:rPr>
      </w:pPr>
    </w:p>
    <w:p>
      <w:pPr>
        <w:ind w:firstLine="480" w:firstLineChars="200"/>
        <w:rPr>
          <w:rFonts w:ascii="仿宋" w:hAnsi="仿宋" w:eastAsia="仿宋" w:cs="仿宋"/>
          <w:color w:val="auto"/>
          <w:sz w:val="24"/>
        </w:rPr>
      </w:pPr>
    </w:p>
    <w:p>
      <w:pPr>
        <w:ind w:firstLine="480" w:firstLineChars="200"/>
        <w:rPr>
          <w:rFonts w:ascii="仿宋" w:hAnsi="仿宋" w:eastAsia="仿宋" w:cs="仿宋"/>
          <w:color w:val="auto"/>
          <w:sz w:val="24"/>
        </w:rPr>
      </w:pPr>
      <w:r>
        <w:rPr>
          <w:rFonts w:hint="eastAsia" w:ascii="仿宋" w:hAnsi="仿宋" w:eastAsia="仿宋" w:cs="仿宋"/>
          <w:color w:val="auto"/>
          <w:sz w:val="24"/>
        </w:rPr>
        <w:t>投标人名称：XXXX</w:t>
      </w:r>
    </w:p>
    <w:p>
      <w:pPr>
        <w:ind w:left="283" w:leftChars="135" w:firstLine="240" w:firstLineChars="100"/>
        <w:rPr>
          <w:rFonts w:ascii="仿宋" w:hAnsi="仿宋" w:eastAsia="仿宋" w:cs="仿宋"/>
          <w:bCs/>
          <w:color w:val="auto"/>
          <w:sz w:val="24"/>
        </w:rPr>
      </w:pPr>
      <w:r>
        <w:rPr>
          <w:rFonts w:hint="eastAsia" w:ascii="仿宋" w:hAnsi="仿宋" w:eastAsia="仿宋" w:cs="仿宋"/>
          <w:bCs/>
          <w:color w:val="auto"/>
          <w:sz w:val="24"/>
        </w:rPr>
        <w:t>日    期：20XX年XX月XX日</w:t>
      </w:r>
    </w:p>
    <w:p>
      <w:pPr>
        <w:widowControl/>
        <w:spacing w:after="0" w:line="360" w:lineRule="atLeast"/>
        <w:jc w:val="left"/>
        <w:rPr>
          <w:rFonts w:ascii="仿宋" w:hAnsi="仿宋" w:eastAsia="仿宋"/>
          <w:b/>
          <w:color w:val="auto"/>
          <w:sz w:val="24"/>
        </w:rPr>
      </w:pPr>
    </w:p>
    <w:p>
      <w:pPr>
        <w:widowControl/>
        <w:spacing w:after="0" w:line="360" w:lineRule="atLeast"/>
        <w:jc w:val="left"/>
        <w:rPr>
          <w:rFonts w:ascii="仿宋" w:hAnsi="仿宋" w:eastAsia="仿宋"/>
          <w:b/>
          <w:color w:val="auto"/>
          <w:sz w:val="24"/>
        </w:rPr>
      </w:pPr>
    </w:p>
    <w:p>
      <w:pPr>
        <w:spacing w:after="0" w:line="400" w:lineRule="exact"/>
        <w:jc w:val="left"/>
        <w:rPr>
          <w:rFonts w:ascii="仿宋" w:hAnsi="仿宋" w:eastAsia="仿宋"/>
          <w:b/>
          <w:color w:val="auto"/>
          <w:sz w:val="24"/>
        </w:rPr>
      </w:pPr>
      <w:r>
        <w:rPr>
          <w:rFonts w:hint="eastAsia" w:ascii="仿宋" w:hAnsi="仿宋" w:eastAsia="仿宋"/>
          <w:color w:val="auto"/>
          <w:sz w:val="24"/>
        </w:rPr>
        <w:t>注：附</w:t>
      </w:r>
      <w:r>
        <w:rPr>
          <w:rFonts w:hint="eastAsia" w:ascii="仿宋" w:hAnsi="仿宋" w:eastAsia="仿宋" w:cs="仿宋"/>
          <w:color w:val="auto"/>
          <w:sz w:val="24"/>
        </w:rPr>
        <w:t>法定代表人/单位负责</w:t>
      </w:r>
      <w:r>
        <w:rPr>
          <w:rFonts w:hint="eastAsia" w:ascii="仿宋" w:hAnsi="仿宋" w:eastAsia="仿宋"/>
          <w:color w:val="auto"/>
          <w:sz w:val="24"/>
        </w:rPr>
        <w:t>身份证明材料复印件。(身份证明材料包括居民身份证或户口本或军官证或护照等;身份证明材料应同时提供其在有效期的材料，如居民身份证正、反面复印件。)</w:t>
      </w:r>
      <w:bookmarkEnd w:id="147"/>
    </w:p>
    <w:p>
      <w:pPr>
        <w:spacing w:line="360" w:lineRule="auto"/>
        <w:ind w:firstLine="790" w:firstLineChars="246"/>
        <w:jc w:val="center"/>
        <w:rPr>
          <w:rFonts w:ascii="仿宋" w:hAnsi="仿宋" w:eastAsia="仿宋"/>
          <w:b/>
          <w:color w:val="auto"/>
          <w:sz w:val="32"/>
        </w:rPr>
      </w:pPr>
    </w:p>
    <w:p>
      <w:pPr>
        <w:spacing w:line="360" w:lineRule="auto"/>
        <w:rPr>
          <w:rFonts w:ascii="仿宋" w:hAnsi="仿宋" w:eastAsia="仿宋"/>
          <w:b/>
          <w:color w:val="auto"/>
          <w:sz w:val="32"/>
          <w:szCs w:val="32"/>
        </w:rPr>
      </w:pPr>
      <w:r>
        <w:rPr>
          <w:rFonts w:hint="eastAsia" w:ascii="仿宋" w:hAnsi="仿宋" w:eastAsia="仿宋"/>
          <w:b/>
          <w:color w:val="auto"/>
          <w:sz w:val="32"/>
          <w:szCs w:val="32"/>
        </w:rPr>
        <w:br w:type="page"/>
      </w:r>
      <w:r>
        <w:rPr>
          <w:rFonts w:hint="eastAsia" w:ascii="仿宋" w:hAnsi="仿宋" w:eastAsia="仿宋"/>
          <w:b/>
          <w:color w:val="auto"/>
          <w:sz w:val="32"/>
          <w:szCs w:val="32"/>
        </w:rPr>
        <w:t>格式1-3</w:t>
      </w:r>
    </w:p>
    <w:p>
      <w:pPr>
        <w:widowControl/>
        <w:spacing w:line="360" w:lineRule="atLeast"/>
        <w:jc w:val="center"/>
        <w:outlineLvl w:val="2"/>
        <w:rPr>
          <w:rFonts w:ascii="仿宋" w:hAnsi="仿宋" w:eastAsia="仿宋"/>
          <w:b/>
          <w:color w:val="auto"/>
          <w:sz w:val="32"/>
          <w:szCs w:val="32"/>
        </w:rPr>
      </w:pPr>
      <w:r>
        <w:rPr>
          <w:rFonts w:hint="eastAsia" w:ascii="仿宋" w:hAnsi="仿宋" w:eastAsia="仿宋"/>
          <w:b/>
          <w:color w:val="auto"/>
          <w:sz w:val="32"/>
          <w:szCs w:val="32"/>
        </w:rPr>
        <w:t>二、承诺函</w:t>
      </w:r>
    </w:p>
    <w:p>
      <w:pPr>
        <w:widowControl/>
        <w:spacing w:line="360" w:lineRule="atLeast"/>
        <w:jc w:val="center"/>
        <w:rPr>
          <w:rFonts w:ascii="仿宋" w:hAnsi="仿宋" w:eastAsia="仿宋"/>
          <w:b/>
          <w:color w:val="auto"/>
          <w:sz w:val="24"/>
        </w:rPr>
      </w:pPr>
    </w:p>
    <w:p>
      <w:pPr>
        <w:widowControl/>
        <w:spacing w:line="360" w:lineRule="atLeast"/>
        <w:jc w:val="left"/>
        <w:rPr>
          <w:rFonts w:ascii="仿宋" w:hAnsi="仿宋" w:eastAsia="仿宋"/>
          <w:color w:val="auto"/>
          <w:sz w:val="24"/>
        </w:rPr>
      </w:pPr>
      <w:r>
        <w:rPr>
          <w:rFonts w:hint="eastAsia" w:ascii="仿宋" w:hAnsi="仿宋" w:eastAsia="仿宋"/>
          <w:color w:val="auto"/>
          <w:sz w:val="24"/>
        </w:rPr>
        <w:t>XXXX（采购代理机构名称）：</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（一）具有独立承担民事责任的能力；</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（二）具有良好的商业信誉和健全的财务会计制度；</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（三）具有履行合同所必需的设备和专业技术能力；</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（四）有依法缴纳税收和社会保障资金的良好记录；</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（五）参加政府采购活动前三年内，在经营活动中没有重大违法记录；</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（六）法律、行政法规规定的其他条件；</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（七）根据采购项目提出的特殊条件</w:t>
      </w:r>
      <w:r>
        <w:rPr>
          <w:rFonts w:ascii="仿宋" w:hAnsi="仿宋" w:eastAsia="仿宋"/>
          <w:color w:val="auto"/>
          <w:sz w:val="24"/>
        </w:rPr>
        <w:t>。</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日    期：XXXX。</w:t>
      </w:r>
    </w:p>
    <w:p>
      <w:pPr>
        <w:spacing w:line="360" w:lineRule="auto"/>
        <w:rPr>
          <w:rFonts w:ascii="仿宋" w:hAnsi="仿宋" w:eastAsia="仿宋"/>
          <w:b/>
          <w:color w:val="auto"/>
          <w:sz w:val="32"/>
          <w:szCs w:val="32"/>
        </w:rPr>
      </w:pPr>
      <w:r>
        <w:rPr>
          <w:rFonts w:hint="eastAsia" w:ascii="仿宋" w:hAnsi="仿宋" w:eastAsia="仿宋"/>
          <w:color w:val="auto"/>
          <w:sz w:val="24"/>
        </w:rPr>
        <w:br w:type="page"/>
      </w:r>
      <w:r>
        <w:rPr>
          <w:rFonts w:hint="eastAsia" w:ascii="仿宋" w:hAnsi="仿宋" w:eastAsia="仿宋"/>
          <w:b/>
          <w:color w:val="auto"/>
          <w:sz w:val="32"/>
          <w:szCs w:val="32"/>
        </w:rPr>
        <w:t>格式1-4</w:t>
      </w:r>
    </w:p>
    <w:p>
      <w:pPr>
        <w:spacing w:line="360" w:lineRule="auto"/>
        <w:ind w:firstLine="790" w:firstLineChars="246"/>
        <w:jc w:val="center"/>
        <w:rPr>
          <w:rFonts w:ascii="仿宋" w:hAnsi="仿宋" w:eastAsia="仿宋"/>
          <w:b/>
          <w:color w:val="auto"/>
          <w:sz w:val="32"/>
          <w:szCs w:val="32"/>
        </w:rPr>
      </w:pPr>
      <w:r>
        <w:rPr>
          <w:rFonts w:hint="eastAsia" w:ascii="仿宋" w:hAnsi="仿宋" w:eastAsia="仿宋"/>
          <w:b/>
          <w:color w:val="auto"/>
          <w:sz w:val="32"/>
          <w:szCs w:val="32"/>
        </w:rPr>
        <w:t>投标人和投标产品其他资格、资质性及其他类似效力要求的相关证明材料</w:t>
      </w:r>
    </w:p>
    <w:p>
      <w:pPr>
        <w:spacing w:line="360" w:lineRule="auto"/>
        <w:rPr>
          <w:rFonts w:ascii="仿宋" w:hAnsi="仿宋" w:eastAsia="仿宋" w:cs="宋体"/>
          <w:bCs/>
          <w:color w:val="auto"/>
          <w:sz w:val="24"/>
        </w:rPr>
      </w:pPr>
      <w:r>
        <w:rPr>
          <w:rFonts w:hint="eastAsia" w:ascii="仿宋" w:hAnsi="仿宋" w:eastAsia="仿宋" w:cs="宋体"/>
          <w:bCs/>
          <w:color w:val="auto"/>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color w:val="auto"/>
          <w:sz w:val="24"/>
        </w:rPr>
      </w:pPr>
      <w:r>
        <w:rPr>
          <w:rFonts w:ascii="仿宋" w:hAnsi="仿宋" w:eastAsia="仿宋" w:cs="宋体"/>
          <w:bCs/>
          <w:color w:val="auto"/>
          <w:sz w:val="24"/>
        </w:rPr>
        <w:br w:type="page"/>
      </w:r>
    </w:p>
    <w:p>
      <w:pPr>
        <w:spacing w:line="360" w:lineRule="auto"/>
        <w:rPr>
          <w:rFonts w:ascii="仿宋" w:hAnsi="仿宋" w:eastAsia="仿宋"/>
          <w:b/>
          <w:color w:val="auto"/>
          <w:sz w:val="32"/>
          <w:szCs w:val="32"/>
        </w:rPr>
      </w:pPr>
      <w:r>
        <w:rPr>
          <w:rFonts w:hint="eastAsia" w:ascii="仿宋" w:hAnsi="仿宋" w:eastAsia="仿宋"/>
          <w:b/>
          <w:color w:val="auto"/>
          <w:sz w:val="32"/>
          <w:szCs w:val="32"/>
        </w:rPr>
        <w:t>格式1-5</w:t>
      </w:r>
    </w:p>
    <w:p>
      <w:pPr>
        <w:pStyle w:val="5"/>
        <w:jc w:val="center"/>
        <w:rPr>
          <w:rFonts w:ascii="仿宋" w:hAnsi="仿宋" w:eastAsia="仿宋" w:cs="仿宋"/>
          <w:color w:val="auto"/>
        </w:rPr>
      </w:pPr>
      <w:r>
        <w:rPr>
          <w:rFonts w:hint="eastAsia" w:ascii="仿宋" w:hAnsi="仿宋" w:eastAsia="仿宋" w:cs="仿宋"/>
          <w:color w:val="auto"/>
        </w:rPr>
        <w:t>三、承诺函(如涉及)</w:t>
      </w:r>
    </w:p>
    <w:p>
      <w:pPr>
        <w:widowControl/>
        <w:spacing w:line="360" w:lineRule="atLeast"/>
        <w:jc w:val="center"/>
        <w:rPr>
          <w:rFonts w:ascii="仿宋" w:hAnsi="仿宋" w:eastAsia="仿宋"/>
          <w:b/>
          <w:color w:val="auto"/>
          <w:sz w:val="24"/>
        </w:rPr>
      </w:pPr>
    </w:p>
    <w:p>
      <w:pPr>
        <w:spacing w:line="360" w:lineRule="auto"/>
        <w:rPr>
          <w:rFonts w:ascii="仿宋" w:hAnsi="仿宋" w:eastAsia="仿宋" w:cs="宋体"/>
          <w:bCs/>
          <w:color w:val="auto"/>
          <w:sz w:val="24"/>
        </w:rPr>
      </w:pPr>
      <w:r>
        <w:rPr>
          <w:rFonts w:hint="eastAsia" w:ascii="仿宋" w:hAnsi="仿宋" w:eastAsia="仿宋" w:cs="宋体"/>
          <w:bCs/>
          <w:color w:val="auto"/>
          <w:sz w:val="24"/>
        </w:rPr>
        <w:t>XXXX（采购代理机构名称）：</w:t>
      </w:r>
    </w:p>
    <w:p>
      <w:pPr>
        <w:spacing w:line="360" w:lineRule="auto"/>
        <w:rPr>
          <w:rFonts w:ascii="仿宋" w:hAnsi="仿宋" w:eastAsia="仿宋" w:cs="宋体"/>
          <w:bCs/>
          <w:color w:val="auto"/>
          <w:sz w:val="24"/>
        </w:rPr>
      </w:pPr>
      <w:r>
        <w:rPr>
          <w:rFonts w:hint="eastAsia" w:ascii="仿宋" w:hAnsi="仿宋" w:eastAsia="仿宋" w:cs="宋体"/>
          <w:bCs/>
          <w:color w:val="auto"/>
          <w:sz w:val="24"/>
        </w:rPr>
        <w:t>我单位作为本次采购项目的投标人，现郑重承诺如下：</w:t>
      </w:r>
    </w:p>
    <w:p>
      <w:pPr>
        <w:spacing w:line="360" w:lineRule="auto"/>
        <w:rPr>
          <w:rFonts w:ascii="仿宋" w:hAnsi="仿宋" w:eastAsia="仿宋" w:cs="宋体"/>
          <w:bCs/>
          <w:color w:val="auto"/>
          <w:sz w:val="24"/>
        </w:rPr>
      </w:pPr>
      <w:r>
        <w:rPr>
          <w:rFonts w:hint="eastAsia" w:ascii="仿宋" w:hAnsi="仿宋" w:eastAsia="仿宋" w:cs="宋体"/>
          <w:bCs/>
          <w:color w:val="auto"/>
          <w:sz w:val="24"/>
        </w:rPr>
        <w:t>根据本项目招标文件</w:t>
      </w:r>
      <w:r>
        <w:rPr>
          <w:rFonts w:ascii="仿宋" w:hAnsi="仿宋" w:eastAsia="仿宋" w:cs="宋体"/>
          <w:bCs/>
          <w:color w:val="auto"/>
          <w:sz w:val="24"/>
        </w:rPr>
        <w:t>第四章资格证明要求中第</w:t>
      </w:r>
      <w:r>
        <w:rPr>
          <w:rFonts w:hint="eastAsia" w:ascii="仿宋" w:hAnsi="仿宋" w:eastAsia="仿宋" w:cs="宋体"/>
          <w:bCs/>
          <w:color w:val="auto"/>
          <w:sz w:val="24"/>
          <w:u w:val="single"/>
        </w:rPr>
        <w:t xml:space="preserve">  </w:t>
      </w:r>
      <w:r>
        <w:rPr>
          <w:rFonts w:hint="eastAsia" w:ascii="仿宋" w:hAnsi="仿宋" w:eastAsia="仿宋" w:cs="宋体"/>
          <w:bCs/>
          <w:color w:val="auto"/>
          <w:sz w:val="24"/>
        </w:rPr>
        <w:t>项，</w:t>
      </w:r>
      <w:r>
        <w:rPr>
          <w:rFonts w:ascii="仿宋" w:hAnsi="仿宋" w:eastAsia="仿宋" w:cs="宋体"/>
          <w:bCs/>
          <w:color w:val="auto"/>
          <w:sz w:val="24"/>
        </w:rPr>
        <w:t>我</w:t>
      </w:r>
      <w:r>
        <w:rPr>
          <w:rFonts w:hint="eastAsia" w:ascii="仿宋" w:hAnsi="仿宋" w:eastAsia="仿宋" w:cs="宋体"/>
          <w:bCs/>
          <w:color w:val="auto"/>
          <w:sz w:val="24"/>
        </w:rPr>
        <w:t>单位</w:t>
      </w:r>
      <w:r>
        <w:rPr>
          <w:rFonts w:ascii="仿宋" w:hAnsi="仿宋" w:eastAsia="仿宋" w:cs="宋体"/>
          <w:bCs/>
          <w:color w:val="auto"/>
          <w:sz w:val="24"/>
        </w:rPr>
        <w:t>应具备</w:t>
      </w:r>
      <w:r>
        <w:rPr>
          <w:rFonts w:hint="eastAsia" w:ascii="仿宋" w:hAnsi="仿宋" w:eastAsia="仿宋" w:cs="宋体"/>
          <w:bCs/>
          <w:color w:val="auto"/>
          <w:sz w:val="24"/>
          <w:u w:val="single"/>
        </w:rPr>
        <w:t xml:space="preserve">        </w:t>
      </w:r>
      <w:r>
        <w:rPr>
          <w:rFonts w:hint="eastAsia" w:ascii="仿宋" w:hAnsi="仿宋" w:eastAsia="仿宋" w:cs="宋体"/>
          <w:bCs/>
          <w:color w:val="auto"/>
          <w:sz w:val="24"/>
        </w:rPr>
        <w:t>（备案</w:t>
      </w:r>
      <w:r>
        <w:rPr>
          <w:rFonts w:ascii="仿宋" w:hAnsi="仿宋" w:eastAsia="仿宋" w:cs="宋体"/>
          <w:bCs/>
          <w:color w:val="auto"/>
          <w:sz w:val="24"/>
        </w:rPr>
        <w:t>、登记、其他证照</w:t>
      </w:r>
      <w:r>
        <w:rPr>
          <w:rFonts w:hint="eastAsia" w:ascii="仿宋" w:hAnsi="仿宋" w:eastAsia="仿宋" w:cs="宋体"/>
          <w:bCs/>
          <w:color w:val="auto"/>
          <w:sz w:val="24"/>
        </w:rPr>
        <w:t>）。但因</w:t>
      </w:r>
      <w:r>
        <w:rPr>
          <w:rFonts w:ascii="仿宋" w:hAnsi="仿宋" w:eastAsia="仿宋" w:cs="宋体"/>
          <w:bCs/>
          <w:color w:val="auto"/>
          <w:sz w:val="24"/>
        </w:rPr>
        <w:t>我单位所在地</w:t>
      </w:r>
      <w:r>
        <w:rPr>
          <w:rFonts w:hint="eastAsia" w:ascii="仿宋" w:hAnsi="仿宋" w:eastAsia="仿宋" w:cs="宋体"/>
          <w:bCs/>
          <w:color w:val="auto"/>
          <w:sz w:val="24"/>
        </w:rPr>
        <w:t>已对</w:t>
      </w:r>
      <w:r>
        <w:rPr>
          <w:rFonts w:ascii="仿宋" w:hAnsi="仿宋" w:eastAsia="仿宋" w:cs="宋体"/>
          <w:bCs/>
          <w:color w:val="auto"/>
          <w:sz w:val="24"/>
        </w:rPr>
        <w:t>上述</w:t>
      </w:r>
      <w:r>
        <w:rPr>
          <w:rFonts w:hint="eastAsia" w:ascii="仿宋" w:hAnsi="仿宋" w:eastAsia="仿宋" w:cs="宋体"/>
          <w:bCs/>
          <w:color w:val="auto"/>
          <w:sz w:val="24"/>
        </w:rPr>
        <w:t>备案</w:t>
      </w:r>
      <w:r>
        <w:rPr>
          <w:rFonts w:ascii="仿宋" w:hAnsi="仿宋" w:eastAsia="仿宋" w:cs="宋体"/>
          <w:bCs/>
          <w:color w:val="auto"/>
          <w:sz w:val="24"/>
        </w:rPr>
        <w:t>、登记、其他证照</w:t>
      </w:r>
      <w:r>
        <w:rPr>
          <w:rFonts w:hint="eastAsia" w:ascii="仿宋" w:hAnsi="仿宋" w:eastAsia="仿宋" w:cs="宋体"/>
          <w:bCs/>
          <w:color w:val="auto"/>
          <w:sz w:val="24"/>
        </w:rPr>
        <w:t>实行</w:t>
      </w:r>
      <w:r>
        <w:rPr>
          <w:rFonts w:ascii="仿宋" w:hAnsi="仿宋" w:eastAsia="仿宋" w:cs="宋体"/>
          <w:bCs/>
          <w:color w:val="auto"/>
          <w:sz w:val="24"/>
        </w:rPr>
        <w:t>“</w:t>
      </w:r>
      <w:r>
        <w:rPr>
          <w:rFonts w:hint="eastAsia" w:ascii="仿宋" w:hAnsi="仿宋" w:eastAsia="仿宋" w:cs="宋体"/>
          <w:bCs/>
          <w:color w:val="auto"/>
          <w:sz w:val="24"/>
        </w:rPr>
        <w:t>多证合一</w:t>
      </w:r>
      <w:r>
        <w:rPr>
          <w:rFonts w:ascii="仿宋" w:hAnsi="仿宋" w:eastAsia="仿宋" w:cs="宋体"/>
          <w:bCs/>
          <w:color w:val="auto"/>
          <w:sz w:val="24"/>
        </w:rPr>
        <w:t>”</w:t>
      </w:r>
      <w:r>
        <w:rPr>
          <w:rFonts w:hint="eastAsia" w:ascii="仿宋" w:hAnsi="仿宋" w:eastAsia="仿宋" w:cs="宋体"/>
          <w:bCs/>
          <w:color w:val="auto"/>
          <w:sz w:val="24"/>
        </w:rPr>
        <w:t>，</w:t>
      </w:r>
      <w:r>
        <w:rPr>
          <w:rFonts w:ascii="仿宋" w:hAnsi="仿宋" w:eastAsia="仿宋" w:cs="宋体"/>
          <w:bCs/>
          <w:color w:val="auto"/>
          <w:sz w:val="24"/>
        </w:rPr>
        <w:t>故在此次采购活动</w:t>
      </w:r>
      <w:r>
        <w:rPr>
          <w:rFonts w:hint="eastAsia" w:ascii="仿宋" w:hAnsi="仿宋" w:eastAsia="仿宋" w:cs="宋体"/>
          <w:bCs/>
          <w:color w:val="auto"/>
          <w:sz w:val="24"/>
        </w:rPr>
        <w:t>中</w:t>
      </w:r>
      <w:r>
        <w:rPr>
          <w:rFonts w:ascii="仿宋" w:hAnsi="仿宋" w:eastAsia="仿宋" w:cs="宋体"/>
          <w:bCs/>
          <w:color w:val="auto"/>
          <w:sz w:val="24"/>
        </w:rPr>
        <w:t>提供</w:t>
      </w:r>
      <w:r>
        <w:rPr>
          <w:rFonts w:hint="eastAsia" w:ascii="仿宋" w:hAnsi="仿宋" w:eastAsia="仿宋" w:cs="宋体"/>
          <w:bCs/>
          <w:color w:val="auto"/>
          <w:sz w:val="24"/>
        </w:rPr>
        <w:t>满足</w:t>
      </w:r>
      <w:r>
        <w:rPr>
          <w:rFonts w:ascii="仿宋" w:hAnsi="仿宋" w:eastAsia="仿宋" w:cs="宋体"/>
          <w:bCs/>
          <w:color w:val="auto"/>
          <w:sz w:val="24"/>
        </w:rPr>
        <w:t>资格要求</w:t>
      </w:r>
      <w:r>
        <w:rPr>
          <w:rFonts w:hint="eastAsia" w:ascii="仿宋" w:hAnsi="仿宋" w:eastAsia="仿宋" w:cs="宋体"/>
          <w:bCs/>
          <w:color w:val="auto"/>
          <w:sz w:val="24"/>
        </w:rPr>
        <w:t>：</w:t>
      </w:r>
      <w:r>
        <w:rPr>
          <w:rFonts w:hint="eastAsia" w:ascii="仿宋" w:hAnsi="仿宋" w:eastAsia="仿宋" w:cs="宋体"/>
          <w:bCs/>
          <w:color w:val="auto"/>
          <w:sz w:val="24"/>
          <w:u w:val="single"/>
        </w:rPr>
        <w:t xml:space="preserve">       </w:t>
      </w:r>
      <w:r>
        <w:rPr>
          <w:rFonts w:hint="eastAsia" w:ascii="仿宋" w:hAnsi="仿宋" w:eastAsia="仿宋" w:cs="宋体"/>
          <w:bCs/>
          <w:color w:val="auto"/>
          <w:sz w:val="24"/>
        </w:rPr>
        <w:t>（营业执照</w:t>
      </w:r>
      <w:r>
        <w:rPr>
          <w:rFonts w:ascii="仿宋" w:hAnsi="仿宋" w:eastAsia="仿宋" w:cs="宋体"/>
          <w:bCs/>
          <w:color w:val="auto"/>
          <w:sz w:val="24"/>
        </w:rPr>
        <w:t>中对</w:t>
      </w:r>
      <w:r>
        <w:rPr>
          <w:rFonts w:hint="eastAsia" w:ascii="仿宋" w:hAnsi="仿宋" w:eastAsia="仿宋" w:cs="宋体"/>
          <w:bCs/>
          <w:color w:val="auto"/>
          <w:sz w:val="24"/>
        </w:rPr>
        <w:t>该备案</w:t>
      </w:r>
      <w:r>
        <w:rPr>
          <w:rFonts w:ascii="仿宋" w:hAnsi="仿宋" w:eastAsia="仿宋" w:cs="宋体"/>
          <w:bCs/>
          <w:color w:val="auto"/>
          <w:sz w:val="24"/>
        </w:rPr>
        <w:t>、登记、其他证照</w:t>
      </w:r>
      <w:r>
        <w:rPr>
          <w:rFonts w:hint="eastAsia" w:ascii="仿宋" w:hAnsi="仿宋" w:eastAsia="仿宋" w:cs="宋体"/>
          <w:bCs/>
          <w:color w:val="auto"/>
          <w:sz w:val="24"/>
        </w:rPr>
        <w:t>的</w:t>
      </w:r>
      <w:r>
        <w:rPr>
          <w:rFonts w:ascii="仿宋" w:hAnsi="仿宋" w:eastAsia="仿宋" w:cs="宋体"/>
          <w:bCs/>
          <w:color w:val="auto"/>
          <w:sz w:val="24"/>
        </w:rPr>
        <w:t>描述</w:t>
      </w:r>
      <w:r>
        <w:rPr>
          <w:rFonts w:hint="eastAsia" w:ascii="仿宋" w:hAnsi="仿宋" w:eastAsia="仿宋" w:cs="宋体"/>
          <w:bCs/>
          <w:color w:val="auto"/>
          <w:sz w:val="24"/>
        </w:rPr>
        <w:t>）的</w:t>
      </w:r>
      <w:r>
        <w:rPr>
          <w:rFonts w:ascii="仿宋" w:hAnsi="仿宋" w:eastAsia="仿宋" w:cs="宋体"/>
          <w:bCs/>
          <w:color w:val="auto"/>
          <w:sz w:val="24"/>
        </w:rPr>
        <w:t>“</w:t>
      </w:r>
      <w:r>
        <w:rPr>
          <w:rFonts w:hint="eastAsia" w:ascii="仿宋" w:hAnsi="仿宋" w:eastAsia="仿宋" w:cs="宋体"/>
          <w:bCs/>
          <w:color w:val="auto"/>
          <w:sz w:val="24"/>
        </w:rPr>
        <w:t>多证合一</w:t>
      </w:r>
      <w:r>
        <w:rPr>
          <w:rFonts w:ascii="仿宋" w:hAnsi="仿宋" w:eastAsia="仿宋" w:cs="宋体"/>
          <w:bCs/>
          <w:color w:val="auto"/>
          <w:sz w:val="24"/>
        </w:rPr>
        <w:t>”</w:t>
      </w:r>
      <w:r>
        <w:rPr>
          <w:rFonts w:hint="eastAsia" w:ascii="仿宋" w:hAnsi="仿宋" w:eastAsia="仿宋" w:cs="宋体"/>
          <w:bCs/>
          <w:color w:val="auto"/>
          <w:sz w:val="24"/>
        </w:rPr>
        <w:t>营业执照</w:t>
      </w:r>
      <w:r>
        <w:rPr>
          <w:rFonts w:ascii="仿宋" w:hAnsi="仿宋" w:eastAsia="仿宋" w:cs="宋体"/>
          <w:bCs/>
          <w:color w:val="auto"/>
          <w:sz w:val="24"/>
        </w:rPr>
        <w:t>。</w:t>
      </w:r>
    </w:p>
    <w:p>
      <w:pPr>
        <w:spacing w:line="360" w:lineRule="auto"/>
        <w:rPr>
          <w:rFonts w:ascii="仿宋" w:hAnsi="仿宋" w:eastAsia="仿宋" w:cs="宋体"/>
          <w:bCs/>
          <w:color w:val="auto"/>
          <w:sz w:val="24"/>
        </w:rPr>
      </w:pPr>
    </w:p>
    <w:p>
      <w:pPr>
        <w:spacing w:line="360" w:lineRule="auto"/>
        <w:rPr>
          <w:rFonts w:ascii="仿宋" w:hAnsi="仿宋" w:eastAsia="仿宋" w:cs="宋体"/>
          <w:bCs/>
          <w:color w:val="auto"/>
          <w:sz w:val="24"/>
        </w:rPr>
      </w:pPr>
      <w:r>
        <w:rPr>
          <w:rFonts w:hint="eastAsia" w:ascii="仿宋" w:hAnsi="仿宋" w:eastAsia="仿宋" w:cs="宋体"/>
          <w:bCs/>
          <w:color w:val="auto"/>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auto"/>
          <w:sz w:val="24"/>
        </w:rPr>
      </w:pPr>
    </w:p>
    <w:p>
      <w:pPr>
        <w:spacing w:line="360" w:lineRule="auto"/>
        <w:rPr>
          <w:rFonts w:ascii="仿宋" w:hAnsi="仿宋" w:eastAsia="仿宋" w:cs="宋体"/>
          <w:bCs/>
          <w:color w:val="auto"/>
          <w:sz w:val="24"/>
        </w:rPr>
      </w:pPr>
      <w:r>
        <w:rPr>
          <w:rFonts w:hint="eastAsia" w:ascii="仿宋" w:hAnsi="仿宋" w:eastAsia="仿宋" w:cs="宋体"/>
          <w:bCs/>
          <w:color w:val="auto"/>
          <w:sz w:val="24"/>
        </w:rPr>
        <w:t>投标人名称：XXXX。</w:t>
      </w:r>
    </w:p>
    <w:p>
      <w:pPr>
        <w:spacing w:line="360" w:lineRule="auto"/>
        <w:rPr>
          <w:rFonts w:ascii="仿宋" w:hAnsi="仿宋" w:eastAsia="仿宋" w:cs="宋体"/>
          <w:bCs/>
          <w:color w:val="auto"/>
          <w:sz w:val="24"/>
        </w:rPr>
      </w:pPr>
      <w:r>
        <w:rPr>
          <w:rFonts w:hint="eastAsia" w:ascii="仿宋" w:hAnsi="仿宋" w:eastAsia="仿宋" w:cs="宋体"/>
          <w:bCs/>
          <w:color w:val="auto"/>
          <w:sz w:val="24"/>
        </w:rPr>
        <w:t>日    期：XXXX。</w:t>
      </w:r>
    </w:p>
    <w:p>
      <w:pPr>
        <w:spacing w:line="360" w:lineRule="auto"/>
        <w:rPr>
          <w:rFonts w:ascii="仿宋" w:hAnsi="仿宋" w:eastAsia="仿宋" w:cs="宋体"/>
          <w:bCs/>
          <w:color w:val="auto"/>
          <w:sz w:val="24"/>
        </w:rPr>
      </w:pPr>
      <w:r>
        <w:rPr>
          <w:rFonts w:hint="eastAsia" w:ascii="仿宋" w:hAnsi="仿宋" w:eastAsia="仿宋" w:cs="宋体"/>
          <w:bCs/>
          <w:color w:val="auto"/>
          <w:sz w:val="24"/>
        </w:rPr>
        <w:t>注：1.</w:t>
      </w:r>
      <w:r>
        <w:rPr>
          <w:rFonts w:ascii="仿宋" w:hAnsi="仿宋" w:eastAsia="仿宋" w:cs="宋体"/>
          <w:bCs/>
          <w:color w:val="auto"/>
          <w:sz w:val="24"/>
        </w:rPr>
        <w:t>根据国务院办公厅关于加快推进“多证合一”改革的指导意见（国办发【2017】41号）等政策要求，</w:t>
      </w:r>
      <w:r>
        <w:rPr>
          <w:rFonts w:ascii="仿宋" w:hAnsi="仿宋" w:eastAsia="仿宋" w:cs="宋体"/>
          <w:b/>
          <w:bCs/>
          <w:color w:val="auto"/>
          <w:sz w:val="24"/>
        </w:rPr>
        <w:t>若资格要求涉及的登记、备案等有关事项和各类证照已实行多证合一导致供应商无法提供该类证明材料的</w:t>
      </w:r>
      <w:r>
        <w:rPr>
          <w:rFonts w:ascii="仿宋" w:hAnsi="仿宋" w:eastAsia="仿宋" w:cs="宋体"/>
          <w:bCs/>
          <w:color w:val="auto"/>
          <w:sz w:val="24"/>
        </w:rPr>
        <w:t>，供应商须提供</w:t>
      </w:r>
      <w:r>
        <w:rPr>
          <w:rFonts w:hint="eastAsia" w:ascii="仿宋" w:hAnsi="仿宋" w:eastAsia="仿宋" w:cs="宋体"/>
          <w:bCs/>
          <w:color w:val="auto"/>
          <w:sz w:val="24"/>
        </w:rPr>
        <w:t>该</w:t>
      </w:r>
      <w:r>
        <w:rPr>
          <w:rFonts w:ascii="仿宋" w:hAnsi="仿宋" w:eastAsia="仿宋" w:cs="宋体"/>
          <w:bCs/>
          <w:color w:val="auto"/>
          <w:sz w:val="24"/>
        </w:rPr>
        <w:t>承诺。</w:t>
      </w:r>
    </w:p>
    <w:p>
      <w:pPr>
        <w:spacing w:line="360" w:lineRule="auto"/>
        <w:ind w:firstLine="360" w:firstLineChars="150"/>
        <w:rPr>
          <w:rFonts w:ascii="仿宋" w:hAnsi="仿宋" w:eastAsia="仿宋" w:cs="宋体"/>
          <w:bCs/>
          <w:color w:val="auto"/>
          <w:sz w:val="24"/>
        </w:rPr>
      </w:pPr>
      <w:r>
        <w:rPr>
          <w:rFonts w:hint="eastAsia" w:ascii="仿宋" w:hAnsi="仿宋" w:eastAsia="仿宋" w:cs="宋体"/>
          <w:bCs/>
          <w:color w:val="auto"/>
          <w:sz w:val="24"/>
        </w:rPr>
        <w:t>2.若已提供</w:t>
      </w:r>
      <w:r>
        <w:rPr>
          <w:rFonts w:ascii="仿宋" w:hAnsi="仿宋" w:eastAsia="仿宋" w:cs="宋体"/>
          <w:bCs/>
          <w:color w:val="auto"/>
          <w:sz w:val="24"/>
        </w:rPr>
        <w:t>资格要求涉及的登记、备案等有关事项和各类证照</w:t>
      </w:r>
      <w:r>
        <w:rPr>
          <w:rFonts w:hint="eastAsia" w:ascii="仿宋" w:hAnsi="仿宋" w:eastAsia="仿宋" w:cs="宋体"/>
          <w:bCs/>
          <w:color w:val="auto"/>
          <w:sz w:val="24"/>
        </w:rPr>
        <w:t>的证明材料，无需提供该承诺。</w:t>
      </w:r>
    </w:p>
    <w:p>
      <w:pPr>
        <w:spacing w:line="360" w:lineRule="auto"/>
        <w:ind w:firstLine="360" w:firstLineChars="150"/>
        <w:rPr>
          <w:rFonts w:ascii="仿宋" w:hAnsi="仿宋" w:eastAsia="仿宋" w:cs="宋体"/>
          <w:bCs/>
          <w:color w:val="auto"/>
          <w:sz w:val="24"/>
        </w:rPr>
      </w:pPr>
      <w:r>
        <w:rPr>
          <w:rFonts w:hint="eastAsia" w:ascii="仿宋" w:hAnsi="仿宋" w:eastAsia="仿宋" w:cs="宋体"/>
          <w:bCs/>
          <w:color w:val="auto"/>
          <w:sz w:val="24"/>
        </w:rPr>
        <w:t>3.若本项目资格要求不涉及，无需提供该承诺。</w:t>
      </w:r>
    </w:p>
    <w:p>
      <w:pPr>
        <w:pStyle w:val="4"/>
        <w:rPr>
          <w:rFonts w:ascii="仿宋" w:hAnsi="仿宋" w:eastAsia="仿宋" w:cs="仿宋"/>
          <w:color w:val="auto"/>
        </w:rPr>
      </w:pPr>
      <w:r>
        <w:rPr>
          <w:rFonts w:hint="eastAsia" w:ascii="仿宋" w:hAnsi="仿宋" w:eastAsia="仿宋" w:cs="仿宋"/>
          <w:color w:val="auto"/>
        </w:rPr>
        <w:t>第二部分     “其他响应性投标文件”格式</w:t>
      </w:r>
    </w:p>
    <w:p>
      <w:pPr>
        <w:spacing w:line="360" w:lineRule="auto"/>
        <w:rPr>
          <w:rFonts w:ascii="仿宋" w:hAnsi="仿宋" w:eastAsia="仿宋"/>
          <w:b/>
          <w:color w:val="auto"/>
          <w:sz w:val="32"/>
          <w:szCs w:val="32"/>
        </w:rPr>
      </w:pPr>
      <w:r>
        <w:rPr>
          <w:rFonts w:hint="eastAsia" w:ascii="仿宋" w:hAnsi="仿宋" w:eastAsia="仿宋"/>
          <w:b/>
          <w:color w:val="auto"/>
          <w:sz w:val="32"/>
          <w:szCs w:val="32"/>
        </w:rPr>
        <w:t>格式2-1</w:t>
      </w:r>
    </w:p>
    <w:p>
      <w:pPr>
        <w:spacing w:line="360" w:lineRule="auto"/>
        <w:rPr>
          <w:rFonts w:ascii="仿宋" w:hAnsi="仿宋" w:eastAsia="仿宋"/>
          <w:b/>
          <w:color w:val="auto"/>
          <w:sz w:val="32"/>
          <w:szCs w:val="32"/>
        </w:rPr>
      </w:pPr>
      <w:r>
        <w:rPr>
          <w:rFonts w:hint="eastAsia" w:ascii="仿宋" w:hAnsi="仿宋" w:eastAsia="仿宋"/>
          <w:b/>
          <w:color w:val="auto"/>
          <w:sz w:val="32"/>
          <w:szCs w:val="32"/>
        </w:rPr>
        <w:t>封面：</w:t>
      </w:r>
    </w:p>
    <w:p>
      <w:pPr>
        <w:spacing w:line="360" w:lineRule="auto"/>
        <w:jc w:val="right"/>
        <w:rPr>
          <w:rFonts w:ascii="仿宋" w:hAnsi="仿宋" w:eastAsia="仿宋"/>
          <w:b/>
          <w:color w:val="auto"/>
          <w:sz w:val="36"/>
        </w:rPr>
      </w:pPr>
    </w:p>
    <w:p>
      <w:pPr>
        <w:spacing w:line="360" w:lineRule="auto"/>
        <w:rPr>
          <w:rFonts w:ascii="仿宋" w:hAnsi="仿宋" w:eastAsia="仿宋"/>
          <w:b/>
          <w:color w:val="auto"/>
          <w:sz w:val="32"/>
          <w:szCs w:val="32"/>
        </w:rPr>
      </w:pPr>
    </w:p>
    <w:p>
      <w:pPr>
        <w:spacing w:line="360" w:lineRule="auto"/>
        <w:rPr>
          <w:rFonts w:ascii="仿宋" w:hAnsi="仿宋" w:eastAsia="仿宋"/>
          <w:b/>
          <w:color w:val="auto"/>
          <w:sz w:val="32"/>
          <w:szCs w:val="32"/>
        </w:rPr>
      </w:pPr>
    </w:p>
    <w:p>
      <w:pPr>
        <w:spacing w:line="360" w:lineRule="auto"/>
        <w:jc w:val="center"/>
        <w:rPr>
          <w:rFonts w:ascii="仿宋" w:hAnsi="仿宋" w:eastAsia="仿宋"/>
          <w:b/>
          <w:color w:val="auto"/>
          <w:sz w:val="72"/>
        </w:rPr>
      </w:pPr>
      <w:r>
        <w:rPr>
          <w:rFonts w:hint="eastAsia" w:ascii="仿宋" w:hAnsi="仿宋" w:eastAsia="仿宋"/>
          <w:b/>
          <w:color w:val="auto"/>
          <w:sz w:val="40"/>
          <w:szCs w:val="48"/>
        </w:rPr>
        <w:t>XXXXXXXXX项目</w:t>
      </w:r>
    </w:p>
    <w:p>
      <w:pPr>
        <w:spacing w:line="360" w:lineRule="auto"/>
        <w:rPr>
          <w:rFonts w:ascii="仿宋" w:hAnsi="仿宋" w:eastAsia="仿宋"/>
          <w:b/>
          <w:color w:val="auto"/>
          <w:sz w:val="52"/>
          <w:szCs w:val="52"/>
        </w:rPr>
      </w:pPr>
    </w:p>
    <w:p>
      <w:pPr>
        <w:spacing w:line="360" w:lineRule="auto"/>
        <w:jc w:val="center"/>
        <w:rPr>
          <w:rFonts w:ascii="仿宋" w:hAnsi="仿宋" w:eastAsia="仿宋"/>
          <w:b/>
          <w:color w:val="auto"/>
          <w:sz w:val="32"/>
          <w:szCs w:val="32"/>
        </w:rPr>
      </w:pPr>
      <w:r>
        <w:rPr>
          <w:rFonts w:hint="eastAsia" w:ascii="仿宋" w:hAnsi="仿宋" w:eastAsia="仿宋"/>
          <w:b/>
          <w:color w:val="auto"/>
          <w:sz w:val="52"/>
          <w:szCs w:val="52"/>
        </w:rPr>
        <w:t>其他响应性投标文件</w:t>
      </w:r>
    </w:p>
    <w:p>
      <w:pPr>
        <w:spacing w:line="360" w:lineRule="auto"/>
        <w:rPr>
          <w:rFonts w:ascii="仿宋" w:hAnsi="仿宋" w:eastAsia="仿宋"/>
          <w:b/>
          <w:color w:val="auto"/>
          <w:sz w:val="36"/>
        </w:rPr>
      </w:pPr>
    </w:p>
    <w:p>
      <w:pPr>
        <w:spacing w:line="360" w:lineRule="auto"/>
        <w:jc w:val="left"/>
        <w:rPr>
          <w:rFonts w:ascii="仿宋" w:hAnsi="仿宋" w:eastAsia="仿宋"/>
          <w:b/>
          <w:color w:val="auto"/>
          <w:sz w:val="32"/>
          <w:u w:val="single"/>
        </w:rPr>
      </w:pPr>
      <w:r>
        <w:rPr>
          <w:rFonts w:hint="eastAsia" w:ascii="仿宋" w:hAnsi="仿宋" w:eastAsia="仿宋"/>
          <w:b/>
          <w:color w:val="auto"/>
          <w:sz w:val="32"/>
        </w:rPr>
        <w:t>投 标 人</w:t>
      </w:r>
      <w:r>
        <w:rPr>
          <w:rFonts w:ascii="仿宋" w:hAnsi="仿宋" w:eastAsia="仿宋"/>
          <w:b/>
          <w:color w:val="auto"/>
          <w:sz w:val="32"/>
        </w:rPr>
        <w:t>名称：</w:t>
      </w:r>
    </w:p>
    <w:p>
      <w:pPr>
        <w:spacing w:line="360" w:lineRule="auto"/>
        <w:jc w:val="left"/>
        <w:rPr>
          <w:rFonts w:ascii="仿宋" w:hAnsi="仿宋" w:eastAsia="仿宋"/>
          <w:b/>
          <w:color w:val="auto"/>
          <w:sz w:val="32"/>
          <w:u w:val="single"/>
        </w:rPr>
      </w:pPr>
      <w:r>
        <w:rPr>
          <w:rFonts w:hint="eastAsia" w:ascii="仿宋" w:hAnsi="仿宋" w:eastAsia="仿宋"/>
          <w:b/>
          <w:color w:val="auto"/>
          <w:sz w:val="32"/>
        </w:rPr>
        <w:t>采购项目</w:t>
      </w:r>
      <w:r>
        <w:rPr>
          <w:rFonts w:ascii="仿宋" w:hAnsi="仿宋" w:eastAsia="仿宋"/>
          <w:b/>
          <w:color w:val="auto"/>
          <w:sz w:val="32"/>
        </w:rPr>
        <w:t>编号：</w:t>
      </w:r>
    </w:p>
    <w:p>
      <w:pPr>
        <w:spacing w:line="360" w:lineRule="auto"/>
        <w:ind w:firstLine="790" w:firstLineChars="246"/>
        <w:jc w:val="center"/>
        <w:rPr>
          <w:rFonts w:ascii="仿宋" w:hAnsi="仿宋" w:eastAsia="仿宋"/>
          <w:b/>
          <w:color w:val="auto"/>
          <w:sz w:val="32"/>
        </w:rPr>
      </w:pPr>
    </w:p>
    <w:p>
      <w:pPr>
        <w:spacing w:line="360" w:lineRule="auto"/>
        <w:ind w:firstLine="790" w:firstLineChars="246"/>
        <w:jc w:val="center"/>
        <w:rPr>
          <w:rFonts w:ascii="仿宋" w:hAnsi="仿宋" w:eastAsia="仿宋"/>
          <w:b/>
          <w:color w:val="auto"/>
          <w:sz w:val="32"/>
        </w:rPr>
      </w:pPr>
    </w:p>
    <w:p>
      <w:pPr>
        <w:spacing w:line="360" w:lineRule="auto"/>
        <w:ind w:firstLine="790" w:firstLineChars="246"/>
        <w:jc w:val="left"/>
        <w:rPr>
          <w:rFonts w:ascii="仿宋" w:hAnsi="仿宋" w:eastAsia="仿宋"/>
          <w:b/>
          <w:color w:val="auto"/>
          <w:sz w:val="32"/>
          <w:szCs w:val="32"/>
        </w:rPr>
      </w:pPr>
      <w:r>
        <w:rPr>
          <w:rFonts w:hint="eastAsia" w:ascii="仿宋" w:hAnsi="仿宋" w:eastAsia="仿宋"/>
          <w:b/>
          <w:color w:val="auto"/>
          <w:sz w:val="32"/>
        </w:rPr>
        <w:t xml:space="preserve">        投标时间</w:t>
      </w:r>
      <w:r>
        <w:rPr>
          <w:rFonts w:ascii="仿宋" w:hAnsi="仿宋" w:eastAsia="仿宋"/>
          <w:b/>
          <w:color w:val="auto"/>
          <w:sz w:val="32"/>
        </w:rPr>
        <w:t>：</w:t>
      </w:r>
      <w:r>
        <w:rPr>
          <w:rFonts w:hint="eastAsia" w:ascii="仿宋" w:hAnsi="仿宋" w:eastAsia="仿宋"/>
          <w:b/>
          <w:color w:val="auto"/>
          <w:sz w:val="32"/>
        </w:rPr>
        <w:t xml:space="preserve"> 年  </w:t>
      </w:r>
      <w:r>
        <w:rPr>
          <w:rFonts w:ascii="仿宋" w:hAnsi="仿宋" w:eastAsia="仿宋"/>
          <w:b/>
          <w:color w:val="auto"/>
          <w:sz w:val="32"/>
        </w:rPr>
        <w:t>月</w:t>
      </w:r>
      <w:r>
        <w:rPr>
          <w:rFonts w:hint="eastAsia" w:ascii="仿宋" w:hAnsi="仿宋" w:eastAsia="仿宋"/>
          <w:b/>
          <w:color w:val="auto"/>
          <w:sz w:val="32"/>
        </w:rPr>
        <w:t xml:space="preserve">  </w:t>
      </w:r>
      <w:r>
        <w:rPr>
          <w:rFonts w:ascii="仿宋" w:hAnsi="仿宋" w:eastAsia="仿宋"/>
          <w:b/>
          <w:color w:val="auto"/>
          <w:sz w:val="32"/>
        </w:rPr>
        <w:t>日</w:t>
      </w:r>
      <w:r>
        <w:rPr>
          <w:rFonts w:ascii="仿宋" w:hAnsi="仿宋" w:eastAsia="仿宋"/>
          <w:b/>
          <w:color w:val="auto"/>
          <w:sz w:val="32"/>
        </w:rPr>
        <w:br w:type="page"/>
      </w:r>
      <w:r>
        <w:rPr>
          <w:rFonts w:hint="eastAsia" w:ascii="仿宋" w:hAnsi="仿宋" w:eastAsia="仿宋"/>
          <w:b/>
          <w:color w:val="auto"/>
          <w:sz w:val="32"/>
          <w:szCs w:val="32"/>
        </w:rPr>
        <w:t>格式2-2</w:t>
      </w:r>
    </w:p>
    <w:p>
      <w:pPr>
        <w:widowControl/>
        <w:spacing w:line="360" w:lineRule="atLeast"/>
        <w:jc w:val="center"/>
        <w:outlineLvl w:val="2"/>
        <w:rPr>
          <w:rFonts w:ascii="仿宋" w:hAnsi="仿宋" w:eastAsia="仿宋"/>
          <w:b/>
          <w:color w:val="auto"/>
          <w:sz w:val="32"/>
          <w:szCs w:val="32"/>
        </w:rPr>
      </w:pPr>
      <w:r>
        <w:rPr>
          <w:rFonts w:hint="eastAsia" w:ascii="仿宋" w:hAnsi="仿宋" w:eastAsia="仿宋"/>
          <w:b/>
          <w:color w:val="auto"/>
          <w:sz w:val="32"/>
          <w:szCs w:val="32"/>
        </w:rPr>
        <w:t>一、投 标 函</w:t>
      </w:r>
      <w:bookmarkEnd w:id="138"/>
      <w:bookmarkEnd w:id="139"/>
    </w:p>
    <w:p>
      <w:pPr>
        <w:widowControl/>
        <w:spacing w:line="360" w:lineRule="atLeast"/>
        <w:jc w:val="center"/>
        <w:rPr>
          <w:rFonts w:ascii="仿宋" w:hAnsi="仿宋" w:eastAsia="仿宋"/>
          <w:b/>
          <w:color w:val="auto"/>
          <w:sz w:val="24"/>
        </w:rPr>
      </w:pPr>
    </w:p>
    <w:p>
      <w:pPr>
        <w:widowControl/>
        <w:spacing w:line="360" w:lineRule="atLeast"/>
        <w:jc w:val="left"/>
        <w:rPr>
          <w:rFonts w:ascii="仿宋" w:hAnsi="仿宋" w:eastAsia="仿宋"/>
          <w:color w:val="auto"/>
          <w:sz w:val="24"/>
        </w:rPr>
      </w:pPr>
      <w:r>
        <w:rPr>
          <w:rFonts w:hint="eastAsia" w:ascii="仿宋" w:hAnsi="仿宋" w:eastAsia="仿宋"/>
          <w:color w:val="auto"/>
          <w:sz w:val="24"/>
        </w:rPr>
        <w:t>XXXX（采购代理机构名称）：</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我方全面研究了“</w:t>
      </w:r>
      <w:r>
        <w:rPr>
          <w:rFonts w:hint="eastAsia" w:ascii="仿宋" w:hAnsi="仿宋" w:eastAsia="仿宋"/>
          <w:color w:val="auto"/>
          <w:sz w:val="24"/>
          <w:u w:val="single"/>
        </w:rPr>
        <w:t>XXXXXXXX</w:t>
      </w:r>
      <w:r>
        <w:rPr>
          <w:rFonts w:hint="eastAsia" w:ascii="仿宋" w:hAnsi="仿宋" w:eastAsia="仿宋"/>
          <w:color w:val="auto"/>
          <w:sz w:val="24"/>
        </w:rPr>
        <w:t>”项目（招标编号：</w:t>
      </w:r>
      <w:r>
        <w:rPr>
          <w:rFonts w:hint="eastAsia" w:ascii="仿宋" w:hAnsi="仿宋" w:eastAsia="仿宋"/>
          <w:color w:val="auto"/>
          <w:sz w:val="24"/>
          <w:u w:val="single"/>
        </w:rPr>
        <w:t>XXXX</w:t>
      </w:r>
      <w:r>
        <w:rPr>
          <w:rFonts w:hint="eastAsia" w:ascii="仿宋" w:hAnsi="仿宋" w:eastAsia="仿宋"/>
          <w:color w:val="auto"/>
          <w:sz w:val="24"/>
        </w:rPr>
        <w:t>）招标文件，决定参加贵单位组织的本项目投标。</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一、我方自愿按照招标文件规定的各项要求向采购人提供所需货物/服务。</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二、一旦我方中标，我方将严格履行政府采购合同规定的责任和义务。</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三、我方同意本次招标的投标有效期为投标截止时间届满后</w:t>
      </w:r>
      <w:r>
        <w:rPr>
          <w:rFonts w:hint="eastAsia" w:ascii="仿宋" w:hAnsi="仿宋" w:eastAsia="仿宋"/>
          <w:color w:val="auto"/>
          <w:sz w:val="24"/>
          <w:u w:val="single"/>
        </w:rPr>
        <w:t>XXXX</w:t>
      </w:r>
      <w:r>
        <w:rPr>
          <w:rFonts w:hint="eastAsia" w:ascii="仿宋" w:hAnsi="仿宋" w:eastAsia="仿宋"/>
          <w:color w:val="auto"/>
          <w:sz w:val="24"/>
        </w:rPr>
        <w:t>天，</w:t>
      </w:r>
      <w:r>
        <w:rPr>
          <w:rFonts w:ascii="仿宋" w:hAnsi="仿宋" w:eastAsia="仿宋"/>
          <w:color w:val="auto"/>
          <w:sz w:val="24"/>
        </w:rPr>
        <w:t>并满足招标文件</w:t>
      </w:r>
      <w:r>
        <w:rPr>
          <w:rFonts w:hint="eastAsia" w:ascii="仿宋" w:hAnsi="仿宋" w:eastAsia="仿宋"/>
          <w:color w:val="auto"/>
          <w:sz w:val="24"/>
        </w:rPr>
        <w:t>中其他</w:t>
      </w:r>
      <w:r>
        <w:rPr>
          <w:rFonts w:ascii="仿宋" w:hAnsi="仿宋" w:eastAsia="仿宋"/>
          <w:color w:val="auto"/>
          <w:sz w:val="24"/>
        </w:rPr>
        <w:t>关于</w:t>
      </w:r>
      <w:r>
        <w:rPr>
          <w:rFonts w:hint="eastAsia" w:ascii="仿宋" w:hAnsi="仿宋" w:eastAsia="仿宋"/>
          <w:color w:val="auto"/>
          <w:sz w:val="24"/>
        </w:rPr>
        <w:t>投标有效期的</w:t>
      </w:r>
      <w:r>
        <w:rPr>
          <w:rFonts w:ascii="仿宋" w:hAnsi="仿宋" w:eastAsia="仿宋"/>
          <w:color w:val="auto"/>
          <w:sz w:val="24"/>
        </w:rPr>
        <w:t>实质性要求</w:t>
      </w:r>
      <w:r>
        <w:rPr>
          <w:rFonts w:hint="eastAsia" w:ascii="仿宋" w:hAnsi="仿宋" w:eastAsia="仿宋"/>
          <w:color w:val="auto"/>
          <w:sz w:val="24"/>
        </w:rPr>
        <w:t>。</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通讯地址：XXXX。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邮政编码：XXXX。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联系电话：XXXX。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传    真：XXXX。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日    期：XXXX年XX月XX日。</w:t>
      </w:r>
    </w:p>
    <w:p>
      <w:pPr>
        <w:widowControl/>
        <w:spacing w:after="0" w:line="240" w:lineRule="auto"/>
        <w:jc w:val="left"/>
        <w:rPr>
          <w:rFonts w:ascii="仿宋" w:hAnsi="仿宋" w:eastAsia="仿宋"/>
          <w:b/>
          <w:color w:val="auto"/>
          <w:sz w:val="32"/>
          <w:szCs w:val="32"/>
        </w:rPr>
      </w:pPr>
      <w:bookmarkStart w:id="148" w:name="_Toc308164824"/>
      <w:r>
        <w:rPr>
          <w:rFonts w:hint="eastAsia" w:ascii="仿宋" w:hAnsi="仿宋" w:eastAsia="仿宋"/>
          <w:b/>
          <w:color w:val="auto"/>
          <w:sz w:val="32"/>
          <w:szCs w:val="32"/>
        </w:rPr>
        <w:br w:type="page"/>
      </w:r>
      <w:r>
        <w:rPr>
          <w:rFonts w:hint="eastAsia" w:ascii="仿宋" w:hAnsi="仿宋" w:eastAsia="仿宋"/>
          <w:b/>
          <w:color w:val="auto"/>
          <w:sz w:val="32"/>
          <w:szCs w:val="32"/>
        </w:rPr>
        <w:t>格式2-3</w:t>
      </w:r>
    </w:p>
    <w:p>
      <w:pPr>
        <w:widowControl/>
        <w:spacing w:after="0" w:line="240" w:lineRule="auto"/>
        <w:jc w:val="center"/>
        <w:outlineLvl w:val="2"/>
        <w:rPr>
          <w:rFonts w:ascii="仿宋" w:hAnsi="仿宋" w:eastAsia="仿宋"/>
          <w:b/>
          <w:color w:val="auto"/>
          <w:sz w:val="32"/>
          <w:szCs w:val="32"/>
        </w:rPr>
      </w:pPr>
      <w:r>
        <w:rPr>
          <w:rFonts w:hint="eastAsia" w:ascii="仿宋" w:hAnsi="仿宋" w:eastAsia="仿宋"/>
          <w:b/>
          <w:color w:val="auto"/>
          <w:sz w:val="32"/>
          <w:szCs w:val="32"/>
        </w:rPr>
        <w:t>二、承诺函（实质性要求）</w:t>
      </w:r>
    </w:p>
    <w:p>
      <w:pPr>
        <w:widowControl/>
        <w:spacing w:after="0" w:line="240" w:lineRule="auto"/>
        <w:jc w:val="center"/>
        <w:rPr>
          <w:rFonts w:ascii="仿宋" w:hAnsi="仿宋" w:eastAsia="仿宋"/>
          <w:b/>
          <w:color w:val="auto"/>
          <w:sz w:val="24"/>
        </w:rPr>
      </w:pPr>
    </w:p>
    <w:p>
      <w:pPr>
        <w:widowControl/>
        <w:spacing w:after="0" w:line="240" w:lineRule="auto"/>
        <w:jc w:val="left"/>
        <w:rPr>
          <w:rFonts w:ascii="仿宋" w:hAnsi="仿宋" w:eastAsia="仿宋"/>
          <w:color w:val="auto"/>
          <w:sz w:val="24"/>
        </w:rPr>
      </w:pPr>
      <w:r>
        <w:rPr>
          <w:rFonts w:hint="eastAsia" w:ascii="仿宋" w:hAnsi="仿宋" w:eastAsia="仿宋"/>
          <w:color w:val="auto"/>
          <w:sz w:val="24"/>
        </w:rPr>
        <w:t>XXXX（采购代理机构名称）：</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我方作为本次采购项目的投标人，根据招标文件要求，现郑重承诺如下：</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一、我方已认真阅读并接受本项目招标文件第二章的全部实质性要求</w:t>
      </w:r>
      <w:r>
        <w:rPr>
          <w:rFonts w:ascii="仿宋" w:hAnsi="仿宋" w:eastAsia="仿宋"/>
          <w:color w:val="auto"/>
          <w:sz w:val="24"/>
        </w:rPr>
        <w:t>，如对招标文件有异议，</w:t>
      </w:r>
      <w:r>
        <w:rPr>
          <w:rFonts w:hint="eastAsia" w:ascii="仿宋" w:hAnsi="仿宋" w:eastAsia="仿宋"/>
          <w:color w:val="auto"/>
          <w:sz w:val="24"/>
        </w:rPr>
        <w:t>已</w:t>
      </w:r>
      <w:r>
        <w:rPr>
          <w:rFonts w:ascii="仿宋" w:hAnsi="仿宋" w:eastAsia="仿宋"/>
          <w:color w:val="auto"/>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三</w:t>
      </w:r>
      <w:r>
        <w:rPr>
          <w:rFonts w:ascii="仿宋" w:hAnsi="仿宋" w:eastAsia="仿宋"/>
          <w:color w:val="auto"/>
          <w:sz w:val="24"/>
        </w:rPr>
        <w:t>、</w:t>
      </w:r>
      <w:r>
        <w:rPr>
          <w:rFonts w:hint="eastAsia" w:ascii="仿宋" w:hAnsi="仿宋" w:eastAsia="仿宋"/>
          <w:color w:val="auto"/>
          <w:sz w:val="24"/>
        </w:rPr>
        <w:t>为采购项目提供整体设计、规范编制或者项目管理、监理、检测等服务的供应商，不得再参加该采购项目的其他采购活动，我方</w:t>
      </w:r>
      <w:r>
        <w:rPr>
          <w:rFonts w:ascii="仿宋" w:hAnsi="仿宋" w:eastAsia="仿宋"/>
          <w:color w:val="auto"/>
          <w:sz w:val="24"/>
        </w:rPr>
        <w:t>承诺</w:t>
      </w:r>
      <w:r>
        <w:rPr>
          <w:rFonts w:hint="eastAsia" w:ascii="仿宋" w:hAnsi="仿宋" w:eastAsia="仿宋"/>
          <w:color w:val="auto"/>
          <w:sz w:val="24"/>
        </w:rPr>
        <w:t>不属于此类禁止参加本项目的供应商</w:t>
      </w:r>
      <w:r>
        <w:rPr>
          <w:rFonts w:ascii="仿宋" w:hAnsi="仿宋" w:eastAsia="仿宋"/>
          <w:color w:val="auto"/>
          <w:sz w:val="24"/>
        </w:rPr>
        <w:t>。</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七、国家或行业主管部门对采购产品的技术标准、质量标准和资格资质条件等有强制性规定的，我方</w:t>
      </w:r>
      <w:r>
        <w:rPr>
          <w:rFonts w:ascii="仿宋" w:hAnsi="仿宋" w:eastAsia="仿宋"/>
          <w:color w:val="auto"/>
          <w:sz w:val="24"/>
        </w:rPr>
        <w:t>承诺符合其要求。</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八、参加本次招标采购活动，</w:t>
      </w:r>
      <w:r>
        <w:rPr>
          <w:rFonts w:ascii="仿宋" w:hAnsi="仿宋" w:eastAsia="仿宋"/>
          <w:color w:val="auto"/>
          <w:sz w:val="24"/>
        </w:rPr>
        <w:t>我方</w:t>
      </w:r>
      <w:r>
        <w:rPr>
          <w:rFonts w:hint="eastAsia" w:ascii="仿宋" w:hAnsi="仿宋" w:eastAsia="仿宋"/>
          <w:color w:val="auto"/>
          <w:sz w:val="24"/>
        </w:rPr>
        <w:t>完全同意</w:t>
      </w:r>
      <w:r>
        <w:rPr>
          <w:rFonts w:ascii="仿宋" w:hAnsi="仿宋" w:eastAsia="仿宋"/>
          <w:color w:val="auto"/>
          <w:sz w:val="24"/>
        </w:rPr>
        <w:t>招标文件第二章关于“</w:t>
      </w:r>
      <w:r>
        <w:rPr>
          <w:rFonts w:hint="eastAsia" w:ascii="仿宋" w:hAnsi="仿宋" w:eastAsia="仿宋"/>
          <w:color w:val="auto"/>
          <w:sz w:val="24"/>
        </w:rPr>
        <w:t>投标</w:t>
      </w:r>
      <w:r>
        <w:rPr>
          <w:rFonts w:ascii="仿宋" w:hAnsi="仿宋" w:eastAsia="仿宋"/>
          <w:color w:val="auto"/>
          <w:sz w:val="24"/>
        </w:rPr>
        <w:t>费用”</w:t>
      </w:r>
      <w:r>
        <w:rPr>
          <w:rFonts w:hint="eastAsia" w:ascii="仿宋" w:hAnsi="仿宋" w:eastAsia="仿宋"/>
          <w:color w:val="auto"/>
          <w:sz w:val="24"/>
        </w:rPr>
        <w:t>、“合同</w:t>
      </w:r>
      <w:r>
        <w:rPr>
          <w:rFonts w:ascii="仿宋" w:hAnsi="仿宋" w:eastAsia="仿宋"/>
          <w:color w:val="auto"/>
          <w:sz w:val="24"/>
        </w:rPr>
        <w:t>分包</w:t>
      </w:r>
      <w:r>
        <w:rPr>
          <w:rFonts w:hint="eastAsia" w:ascii="仿宋" w:hAnsi="仿宋" w:eastAsia="仿宋"/>
          <w:color w:val="auto"/>
          <w:sz w:val="24"/>
        </w:rPr>
        <w:t>”、</w:t>
      </w:r>
      <w:r>
        <w:rPr>
          <w:rFonts w:ascii="仿宋" w:hAnsi="仿宋" w:eastAsia="仿宋"/>
          <w:color w:val="auto"/>
          <w:sz w:val="24"/>
        </w:rPr>
        <w:t>“</w:t>
      </w:r>
      <w:r>
        <w:rPr>
          <w:rFonts w:hint="eastAsia" w:ascii="仿宋" w:hAnsi="仿宋" w:eastAsia="仿宋"/>
          <w:color w:val="auto"/>
          <w:sz w:val="24"/>
        </w:rPr>
        <w:t>合同</w:t>
      </w:r>
      <w:r>
        <w:rPr>
          <w:rFonts w:ascii="仿宋" w:hAnsi="仿宋" w:eastAsia="仿宋"/>
          <w:color w:val="auto"/>
          <w:sz w:val="24"/>
        </w:rPr>
        <w:t>转包”</w:t>
      </w:r>
      <w:r>
        <w:rPr>
          <w:rFonts w:hint="eastAsia" w:ascii="仿宋" w:hAnsi="仿宋" w:eastAsia="仿宋"/>
          <w:color w:val="auto"/>
          <w:sz w:val="24"/>
        </w:rPr>
        <w:t>、</w:t>
      </w:r>
      <w:r>
        <w:rPr>
          <w:rFonts w:ascii="仿宋" w:hAnsi="仿宋" w:eastAsia="仿宋"/>
          <w:color w:val="auto"/>
          <w:sz w:val="24"/>
        </w:rPr>
        <w:t>“</w:t>
      </w:r>
      <w:r>
        <w:rPr>
          <w:rFonts w:hint="eastAsia" w:ascii="仿宋" w:hAnsi="仿宋" w:eastAsia="仿宋"/>
          <w:color w:val="auto"/>
          <w:sz w:val="24"/>
        </w:rPr>
        <w:t>履约</w:t>
      </w:r>
      <w:r>
        <w:rPr>
          <w:rFonts w:ascii="仿宋" w:hAnsi="仿宋" w:eastAsia="仿宋"/>
          <w:color w:val="auto"/>
          <w:sz w:val="24"/>
        </w:rPr>
        <w:t>保证金”</w:t>
      </w:r>
      <w:r>
        <w:rPr>
          <w:rFonts w:hint="eastAsia" w:ascii="仿宋" w:hAnsi="仿宋" w:eastAsia="仿宋"/>
          <w:color w:val="auto"/>
          <w:sz w:val="24"/>
        </w:rPr>
        <w:t>的</w:t>
      </w:r>
      <w:r>
        <w:rPr>
          <w:rFonts w:ascii="仿宋" w:hAnsi="仿宋" w:eastAsia="仿宋"/>
          <w:color w:val="auto"/>
          <w:sz w:val="24"/>
        </w:rPr>
        <w:t>实质性要求</w:t>
      </w:r>
      <w:r>
        <w:rPr>
          <w:rFonts w:hint="eastAsia" w:ascii="仿宋" w:hAnsi="仿宋" w:eastAsia="仿宋"/>
          <w:color w:val="auto"/>
          <w:sz w:val="24"/>
        </w:rPr>
        <w:t>，</w:t>
      </w:r>
      <w:r>
        <w:rPr>
          <w:rFonts w:ascii="仿宋" w:hAnsi="仿宋" w:eastAsia="仿宋"/>
          <w:color w:val="auto"/>
          <w:sz w:val="24"/>
        </w:rPr>
        <w:t>并承诺严格按照招标文件要求</w:t>
      </w:r>
      <w:r>
        <w:rPr>
          <w:rFonts w:hint="eastAsia" w:ascii="仿宋" w:hAnsi="仿宋" w:eastAsia="仿宋"/>
          <w:color w:val="auto"/>
          <w:sz w:val="24"/>
        </w:rPr>
        <w:t>履行</w:t>
      </w:r>
      <w:r>
        <w:rPr>
          <w:rFonts w:ascii="仿宋" w:hAnsi="仿宋" w:eastAsia="仿宋"/>
          <w:color w:val="auto"/>
          <w:sz w:val="24"/>
        </w:rPr>
        <w:t>。</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九、在本次投标之前一周年内，投标人本次投标中对同一品牌同一型号相同配置的产品报价与其在中国境内其他地方的最低报价比例不得高于20%，</w:t>
      </w:r>
      <w:r>
        <w:rPr>
          <w:rFonts w:ascii="仿宋" w:hAnsi="仿宋" w:eastAsia="仿宋"/>
          <w:color w:val="auto"/>
          <w:sz w:val="24"/>
        </w:rPr>
        <w:t>我方承诺符合</w:t>
      </w:r>
      <w:r>
        <w:rPr>
          <w:rFonts w:hint="eastAsia" w:ascii="仿宋" w:hAnsi="仿宋" w:eastAsia="仿宋"/>
          <w:color w:val="auto"/>
          <w:sz w:val="24"/>
        </w:rPr>
        <w:t>该</w:t>
      </w:r>
      <w:r>
        <w:rPr>
          <w:rFonts w:ascii="仿宋" w:hAnsi="仿宋" w:eastAsia="仿宋"/>
          <w:color w:val="auto"/>
          <w:sz w:val="24"/>
        </w:rPr>
        <w:t>要求。</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color w:val="auto"/>
          <w:sz w:val="24"/>
        </w:rPr>
        <w:t>承诺</w:t>
      </w:r>
      <w:r>
        <w:rPr>
          <w:rFonts w:hint="eastAsia" w:ascii="仿宋" w:hAnsi="仿宋" w:eastAsia="仿宋"/>
          <w:color w:val="auto"/>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十一</w:t>
      </w:r>
      <w:r>
        <w:rPr>
          <w:rFonts w:ascii="仿宋" w:hAnsi="仿宋" w:eastAsia="仿宋"/>
          <w:color w:val="auto"/>
          <w:sz w:val="24"/>
        </w:rPr>
        <w:t>、</w:t>
      </w:r>
      <w:r>
        <w:rPr>
          <w:rFonts w:hint="eastAsia" w:ascii="仿宋" w:hAnsi="仿宋" w:eastAsia="仿宋"/>
          <w:color w:val="auto"/>
          <w:sz w:val="24"/>
        </w:rPr>
        <w:t>与我方存在直接控股关系的单位为：XXX；存在管理关系单位为：XXX</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color w:val="auto"/>
          <w:sz w:val="24"/>
        </w:rPr>
      </w:pPr>
    </w:p>
    <w:p>
      <w:pPr>
        <w:widowControl/>
        <w:tabs>
          <w:tab w:val="left" w:pos="8127"/>
        </w:tabs>
        <w:spacing w:after="0" w:line="240" w:lineRule="auto"/>
        <w:ind w:firstLine="470" w:firstLineChars="196"/>
        <w:jc w:val="left"/>
        <w:rPr>
          <w:rFonts w:ascii="仿宋" w:hAnsi="仿宋" w:eastAsia="仿宋"/>
          <w:color w:val="auto"/>
          <w:sz w:val="24"/>
        </w:rPr>
      </w:pPr>
      <w:r>
        <w:rPr>
          <w:rFonts w:hint="eastAsia" w:ascii="仿宋" w:hAnsi="仿宋" w:eastAsia="仿宋"/>
          <w:color w:val="auto"/>
          <w:sz w:val="24"/>
        </w:rPr>
        <w:t>投标人名称：XXXX。</w:t>
      </w:r>
      <w:r>
        <w:rPr>
          <w:rFonts w:ascii="仿宋" w:hAnsi="仿宋" w:eastAsia="仿宋"/>
          <w:color w:val="auto"/>
          <w:sz w:val="24"/>
        </w:rPr>
        <w:tab/>
      </w:r>
    </w:p>
    <w:p>
      <w:pPr>
        <w:widowControl/>
        <w:spacing w:after="0" w:line="240" w:lineRule="auto"/>
        <w:ind w:firstLine="470" w:firstLineChars="196"/>
        <w:jc w:val="left"/>
        <w:rPr>
          <w:rFonts w:ascii="仿宋" w:hAnsi="仿宋" w:eastAsia="仿宋"/>
          <w:color w:val="auto"/>
          <w:sz w:val="24"/>
        </w:rPr>
      </w:pPr>
      <w:r>
        <w:rPr>
          <w:rFonts w:hint="eastAsia" w:ascii="仿宋" w:hAnsi="仿宋" w:eastAsia="仿宋"/>
          <w:color w:val="auto"/>
          <w:sz w:val="24"/>
        </w:rPr>
        <w:t>日    期：XXXX。</w:t>
      </w:r>
    </w:p>
    <w:p>
      <w:pPr>
        <w:spacing w:line="360" w:lineRule="auto"/>
        <w:rPr>
          <w:rFonts w:ascii="仿宋" w:hAnsi="仿宋" w:eastAsia="仿宋"/>
          <w:b/>
          <w:color w:val="auto"/>
          <w:sz w:val="32"/>
          <w:szCs w:val="32"/>
        </w:rPr>
      </w:pPr>
      <w:r>
        <w:rPr>
          <w:rFonts w:hint="eastAsia" w:ascii="仿宋" w:hAnsi="仿宋" w:eastAsia="仿宋"/>
          <w:b/>
          <w:color w:val="auto"/>
          <w:sz w:val="32"/>
          <w:szCs w:val="32"/>
        </w:rPr>
        <w:br w:type="page"/>
      </w:r>
      <w:r>
        <w:rPr>
          <w:rFonts w:hint="eastAsia" w:ascii="仿宋" w:hAnsi="仿宋" w:eastAsia="仿宋"/>
          <w:b/>
          <w:color w:val="auto"/>
          <w:sz w:val="32"/>
          <w:szCs w:val="32"/>
        </w:rPr>
        <w:t>格式2-4</w:t>
      </w:r>
      <w:bookmarkEnd w:id="135"/>
      <w:bookmarkEnd w:id="148"/>
    </w:p>
    <w:p>
      <w:pPr>
        <w:pStyle w:val="5"/>
        <w:jc w:val="center"/>
        <w:rPr>
          <w:rFonts w:ascii="仿宋" w:hAnsi="仿宋" w:eastAsia="仿宋" w:cs="仿宋"/>
          <w:color w:val="auto"/>
        </w:rPr>
      </w:pPr>
      <w:bookmarkStart w:id="149" w:name="_Toc217446085"/>
      <w:r>
        <w:rPr>
          <w:rFonts w:hint="eastAsia" w:ascii="仿宋" w:hAnsi="仿宋" w:eastAsia="仿宋" w:cs="仿宋"/>
          <w:color w:val="auto"/>
        </w:rPr>
        <w:t>三、开标一览表</w:t>
      </w:r>
      <w:bookmarkEnd w:id="149"/>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3237"/>
        <w:gridCol w:w="1325"/>
        <w:gridCol w:w="1178"/>
        <w:gridCol w:w="1246"/>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exact"/>
          <w:jc w:val="center"/>
        </w:trPr>
        <w:tc>
          <w:tcPr>
            <w:tcW w:w="45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r>
              <w:rPr>
                <w:rFonts w:ascii="仿宋" w:hAnsi="仿宋" w:eastAsia="仿宋"/>
                <w:color w:val="auto"/>
                <w:sz w:val="24"/>
              </w:rPr>
              <w:t>序号</w:t>
            </w:r>
          </w:p>
        </w:tc>
        <w:tc>
          <w:tcPr>
            <w:tcW w:w="176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r>
              <w:rPr>
                <w:rFonts w:ascii="仿宋" w:hAnsi="仿宋" w:eastAsia="仿宋"/>
                <w:color w:val="auto"/>
                <w:sz w:val="24"/>
              </w:rPr>
              <w:t>服务明细</w:t>
            </w:r>
          </w:p>
        </w:tc>
        <w:tc>
          <w:tcPr>
            <w:tcW w:w="722" w:type="pct"/>
            <w:tcBorders>
              <w:top w:val="single" w:color="auto" w:sz="4" w:space="0"/>
              <w:left w:val="single" w:color="auto" w:sz="4" w:space="0"/>
              <w:right w:val="single" w:color="auto" w:sz="4" w:space="0"/>
            </w:tcBorders>
            <w:vAlign w:val="center"/>
          </w:tcPr>
          <w:p>
            <w:pPr>
              <w:spacing w:line="240" w:lineRule="auto"/>
              <w:jc w:val="center"/>
              <w:rPr>
                <w:rFonts w:ascii="仿宋" w:hAnsi="仿宋" w:eastAsia="仿宋"/>
                <w:color w:val="auto"/>
                <w:sz w:val="24"/>
              </w:rPr>
            </w:pPr>
            <w:r>
              <w:rPr>
                <w:rFonts w:ascii="仿宋" w:hAnsi="仿宋" w:eastAsia="仿宋"/>
                <w:color w:val="auto"/>
                <w:sz w:val="24"/>
              </w:rPr>
              <w:t>数量</w:t>
            </w:r>
          </w:p>
        </w:tc>
        <w:tc>
          <w:tcPr>
            <w:tcW w:w="642" w:type="pct"/>
            <w:tcBorders>
              <w:top w:val="single" w:color="auto" w:sz="4" w:space="0"/>
              <w:left w:val="single" w:color="auto" w:sz="4" w:space="0"/>
              <w:right w:val="single" w:color="auto" w:sz="4" w:space="0"/>
            </w:tcBorders>
            <w:vAlign w:val="center"/>
          </w:tcPr>
          <w:p>
            <w:pPr>
              <w:spacing w:line="240" w:lineRule="auto"/>
              <w:jc w:val="center"/>
              <w:rPr>
                <w:rFonts w:ascii="仿宋" w:hAnsi="仿宋" w:eastAsia="仿宋"/>
                <w:color w:val="auto"/>
                <w:sz w:val="24"/>
              </w:rPr>
            </w:pPr>
            <w:r>
              <w:rPr>
                <w:rFonts w:ascii="仿宋" w:hAnsi="仿宋" w:eastAsia="仿宋"/>
                <w:color w:val="auto"/>
                <w:sz w:val="24"/>
              </w:rPr>
              <w:t>单价</w:t>
            </w:r>
          </w:p>
        </w:tc>
        <w:tc>
          <w:tcPr>
            <w:tcW w:w="6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r>
              <w:rPr>
                <w:rFonts w:ascii="仿宋" w:hAnsi="仿宋" w:eastAsia="仿宋"/>
                <w:color w:val="auto"/>
                <w:sz w:val="24"/>
              </w:rPr>
              <w:t>金额</w:t>
            </w:r>
          </w:p>
        </w:tc>
        <w:tc>
          <w:tcPr>
            <w:tcW w:w="73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r>
              <w:rPr>
                <w:rFonts w:ascii="仿宋" w:hAnsi="仿宋" w:eastAsia="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5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r>
              <w:rPr>
                <w:rFonts w:ascii="仿宋" w:hAnsi="仿宋" w:eastAsia="仿宋"/>
                <w:color w:val="auto"/>
                <w:sz w:val="24"/>
              </w:rPr>
              <w:t>1</w:t>
            </w:r>
          </w:p>
        </w:tc>
        <w:tc>
          <w:tcPr>
            <w:tcW w:w="176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722" w:type="pct"/>
            <w:tcBorders>
              <w:left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642" w:type="pct"/>
            <w:tcBorders>
              <w:left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6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73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5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r>
              <w:rPr>
                <w:rFonts w:ascii="仿宋" w:hAnsi="仿宋" w:eastAsia="仿宋"/>
                <w:color w:val="auto"/>
                <w:sz w:val="24"/>
              </w:rPr>
              <w:t>2</w:t>
            </w:r>
          </w:p>
        </w:tc>
        <w:tc>
          <w:tcPr>
            <w:tcW w:w="176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722" w:type="pct"/>
            <w:tcBorders>
              <w:left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642" w:type="pct"/>
            <w:tcBorders>
              <w:left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6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73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5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r>
              <w:rPr>
                <w:rFonts w:ascii="仿宋" w:hAnsi="仿宋" w:eastAsia="仿宋"/>
                <w:color w:val="auto"/>
                <w:sz w:val="24"/>
              </w:rPr>
              <w:t>3</w:t>
            </w:r>
          </w:p>
        </w:tc>
        <w:tc>
          <w:tcPr>
            <w:tcW w:w="176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722" w:type="pct"/>
            <w:tcBorders>
              <w:left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642" w:type="pct"/>
            <w:tcBorders>
              <w:left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6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73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5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r>
              <w:rPr>
                <w:rFonts w:ascii="仿宋" w:hAnsi="仿宋" w:eastAsia="仿宋"/>
                <w:color w:val="auto"/>
                <w:sz w:val="24"/>
              </w:rPr>
              <w:t>4</w:t>
            </w:r>
          </w:p>
        </w:tc>
        <w:tc>
          <w:tcPr>
            <w:tcW w:w="176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722" w:type="pct"/>
            <w:tcBorders>
              <w:left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642" w:type="pct"/>
            <w:tcBorders>
              <w:left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6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73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5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r>
              <w:rPr>
                <w:rFonts w:ascii="仿宋" w:hAnsi="仿宋" w:eastAsia="仿宋"/>
                <w:color w:val="auto"/>
                <w:sz w:val="24"/>
              </w:rPr>
              <w:t>5</w:t>
            </w:r>
          </w:p>
        </w:tc>
        <w:tc>
          <w:tcPr>
            <w:tcW w:w="176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722" w:type="pct"/>
            <w:tcBorders>
              <w:left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642" w:type="pct"/>
            <w:tcBorders>
              <w:left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6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73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5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r>
              <w:rPr>
                <w:rFonts w:ascii="仿宋" w:hAnsi="仿宋" w:eastAsia="仿宋"/>
                <w:color w:val="auto"/>
                <w:sz w:val="24"/>
              </w:rPr>
              <w:t>…</w:t>
            </w:r>
          </w:p>
        </w:tc>
        <w:tc>
          <w:tcPr>
            <w:tcW w:w="176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722" w:type="pct"/>
            <w:tcBorders>
              <w:left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642" w:type="pct"/>
            <w:tcBorders>
              <w:left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6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73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5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r>
              <w:rPr>
                <w:rFonts w:ascii="仿宋" w:hAnsi="仿宋" w:eastAsia="仿宋"/>
                <w:color w:val="auto"/>
                <w:sz w:val="24"/>
              </w:rPr>
              <w:t>…</w:t>
            </w:r>
          </w:p>
        </w:tc>
        <w:tc>
          <w:tcPr>
            <w:tcW w:w="176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722" w:type="pct"/>
            <w:tcBorders>
              <w:left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642" w:type="pct"/>
            <w:tcBorders>
              <w:left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67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c>
          <w:tcPr>
            <w:tcW w:w="73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2" w:hRule="exact"/>
          <w:jc w:val="center"/>
        </w:trPr>
        <w:tc>
          <w:tcPr>
            <w:tcW w:w="2220"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482"/>
              <w:rPr>
                <w:rFonts w:ascii="仿宋" w:hAnsi="仿宋" w:eastAsia="仿宋"/>
                <w:color w:val="auto"/>
                <w:sz w:val="24"/>
              </w:rPr>
            </w:pPr>
            <w:r>
              <w:rPr>
                <w:rFonts w:ascii="仿宋" w:hAnsi="仿宋" w:eastAsia="仿宋"/>
                <w:color w:val="auto"/>
                <w:sz w:val="24"/>
              </w:rPr>
              <w:t>投标报价</w:t>
            </w:r>
          </w:p>
        </w:tc>
        <w:tc>
          <w:tcPr>
            <w:tcW w:w="2780" w:type="pct"/>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480"/>
              <w:rPr>
                <w:rFonts w:ascii="仿宋" w:hAnsi="仿宋" w:eastAsia="仿宋"/>
                <w:color w:val="auto"/>
                <w:sz w:val="24"/>
              </w:rPr>
            </w:pPr>
            <w:r>
              <w:rPr>
                <w:rFonts w:ascii="仿宋" w:hAnsi="仿宋" w:eastAsia="仿宋"/>
                <w:color w:val="auto"/>
                <w:sz w:val="24"/>
              </w:rPr>
              <w:t>（大写）</w:t>
            </w:r>
          </w:p>
          <w:p>
            <w:pPr>
              <w:spacing w:line="240" w:lineRule="auto"/>
              <w:ind w:firstLine="480"/>
              <w:rPr>
                <w:rFonts w:ascii="仿宋" w:hAnsi="仿宋" w:eastAsia="仿宋"/>
                <w:color w:val="auto"/>
                <w:sz w:val="24"/>
              </w:rPr>
            </w:pPr>
            <w:r>
              <w:rPr>
                <w:rFonts w:ascii="仿宋" w:hAnsi="仿宋" w:eastAsia="仿宋"/>
                <w:color w:val="auto"/>
                <w:sz w:val="24"/>
              </w:rPr>
              <w:t>（小写）</w:t>
            </w:r>
          </w:p>
        </w:tc>
      </w:tr>
    </w:tbl>
    <w:p>
      <w:pPr>
        <w:widowControl/>
        <w:spacing w:line="360" w:lineRule="atLeast"/>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 xml:space="preserve">注：1. 报价应是最终用户验收合格后的总价，包括设备运输、保险、代理、安装调试、培训、税费和招标文件规定的其它费用。 </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2.“开标一览表”为多页的，每页均须加盖投标人印章。</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3．“开标一览表”以包为单位填写。</w:t>
      </w:r>
    </w:p>
    <w:p>
      <w:pPr>
        <w:spacing w:line="400" w:lineRule="exact"/>
        <w:ind w:firstLine="480" w:firstLineChars="200"/>
        <w:rPr>
          <w:rFonts w:ascii="仿宋" w:hAnsi="仿宋" w:eastAsia="仿宋"/>
          <w:color w:val="auto"/>
          <w:sz w:val="24"/>
        </w:rPr>
      </w:pPr>
      <w:r>
        <w:rPr>
          <w:rFonts w:ascii="仿宋" w:hAnsi="仿宋" w:eastAsia="仿宋"/>
          <w:color w:val="auto"/>
          <w:sz w:val="24"/>
        </w:rPr>
        <w:t>4</w:t>
      </w:r>
      <w:r>
        <w:rPr>
          <w:rFonts w:hint="eastAsia" w:ascii="仿宋" w:hAnsi="仿宋" w:eastAsia="仿宋"/>
          <w:color w:val="auto"/>
          <w:sz w:val="24"/>
        </w:rPr>
        <w:t>．如是进口设备，须在表格中标明“进口”。招标文件未明确“允许进口”的，供应商以进口产品进行投标时，将视为无效投标。</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b/>
          <w:color w:val="auto"/>
          <w:sz w:val="24"/>
        </w:rPr>
        <w:sectPr>
          <w:pgSz w:w="11907" w:h="16840"/>
          <w:pgMar w:top="1440" w:right="1474" w:bottom="1440" w:left="1474" w:header="851" w:footer="992" w:gutter="0"/>
          <w:cols w:space="720" w:num="1"/>
          <w:docGrid w:linePitch="312" w:charSpace="0"/>
        </w:sectPr>
      </w:pPr>
      <w:r>
        <w:rPr>
          <w:rFonts w:hint="eastAsia" w:ascii="仿宋" w:hAnsi="仿宋" w:eastAsia="仿宋"/>
          <w:color w:val="auto"/>
          <w:sz w:val="24"/>
        </w:rPr>
        <w:t>投标日期：XXXX。</w:t>
      </w:r>
      <w:bookmarkEnd w:id="140"/>
    </w:p>
    <w:p>
      <w:pPr>
        <w:widowControl/>
        <w:spacing w:line="360" w:lineRule="atLeast"/>
        <w:ind w:firstLine="630" w:firstLineChars="196"/>
        <w:jc w:val="left"/>
        <w:rPr>
          <w:rFonts w:ascii="仿宋" w:hAnsi="仿宋" w:eastAsia="仿宋"/>
          <w:b/>
          <w:color w:val="auto"/>
          <w:sz w:val="32"/>
          <w:szCs w:val="32"/>
        </w:rPr>
      </w:pPr>
      <w:bookmarkStart w:id="150" w:name="_Toc217446087"/>
      <w:bookmarkStart w:id="151" w:name="PO_默认文件内容_26"/>
      <w:r>
        <w:rPr>
          <w:rFonts w:hint="eastAsia" w:ascii="仿宋" w:hAnsi="仿宋" w:eastAsia="仿宋"/>
          <w:b/>
          <w:color w:val="auto"/>
          <w:sz w:val="32"/>
          <w:szCs w:val="32"/>
        </w:rPr>
        <w:t>格式2-5</w:t>
      </w:r>
    </w:p>
    <w:p>
      <w:pPr>
        <w:widowControl/>
        <w:spacing w:line="360" w:lineRule="atLeast"/>
        <w:jc w:val="center"/>
        <w:outlineLvl w:val="2"/>
        <w:rPr>
          <w:rFonts w:ascii="仿宋" w:hAnsi="仿宋" w:eastAsia="仿宋"/>
          <w:b/>
          <w:color w:val="auto"/>
          <w:sz w:val="32"/>
          <w:szCs w:val="32"/>
        </w:rPr>
      </w:pPr>
      <w:r>
        <w:rPr>
          <w:rFonts w:hint="eastAsia" w:ascii="仿宋" w:hAnsi="仿宋" w:eastAsia="仿宋"/>
          <w:b/>
          <w:color w:val="auto"/>
          <w:sz w:val="32"/>
          <w:szCs w:val="32"/>
        </w:rPr>
        <w:t>四、商务应答表</w:t>
      </w:r>
      <w:bookmarkEnd w:id="150"/>
    </w:p>
    <w:p>
      <w:pPr>
        <w:widowControl/>
        <w:spacing w:line="360" w:lineRule="atLeast"/>
        <w:ind w:firstLine="472" w:firstLineChars="196"/>
        <w:jc w:val="left"/>
        <w:rPr>
          <w:rFonts w:ascii="仿宋" w:hAnsi="仿宋" w:eastAsia="仿宋"/>
          <w:b/>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招标编号：</w:t>
      </w:r>
    </w:p>
    <w:tbl>
      <w:tblPr>
        <w:tblStyle w:val="26"/>
        <w:tblW w:w="85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763"/>
        <w:gridCol w:w="5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112"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序号</w:t>
            </w:r>
          </w:p>
        </w:tc>
        <w:tc>
          <w:tcPr>
            <w:tcW w:w="1763"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招标要求</w:t>
            </w:r>
          </w:p>
        </w:tc>
        <w:tc>
          <w:tcPr>
            <w:tcW w:w="5644" w:type="dxa"/>
            <w:vAlign w:val="center"/>
          </w:tcPr>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112" w:type="dxa"/>
          </w:tcPr>
          <w:p>
            <w:pPr>
              <w:widowControl/>
              <w:spacing w:line="360" w:lineRule="atLeast"/>
              <w:ind w:firstLine="470" w:firstLineChars="196"/>
              <w:jc w:val="left"/>
              <w:rPr>
                <w:rFonts w:ascii="仿宋" w:hAnsi="仿宋" w:eastAsia="仿宋"/>
                <w:color w:val="auto"/>
                <w:sz w:val="24"/>
              </w:rPr>
            </w:pPr>
          </w:p>
        </w:tc>
        <w:tc>
          <w:tcPr>
            <w:tcW w:w="1763" w:type="dxa"/>
          </w:tcPr>
          <w:p>
            <w:pPr>
              <w:widowControl/>
              <w:spacing w:line="360" w:lineRule="atLeast"/>
              <w:ind w:firstLine="470" w:firstLineChars="196"/>
              <w:jc w:val="left"/>
              <w:rPr>
                <w:rFonts w:ascii="仿宋" w:hAnsi="仿宋" w:eastAsia="仿宋"/>
                <w:color w:val="auto"/>
                <w:sz w:val="24"/>
              </w:rPr>
            </w:pPr>
          </w:p>
        </w:tc>
        <w:tc>
          <w:tcPr>
            <w:tcW w:w="5644"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112" w:type="dxa"/>
          </w:tcPr>
          <w:p>
            <w:pPr>
              <w:widowControl/>
              <w:spacing w:line="360" w:lineRule="atLeast"/>
              <w:ind w:firstLine="470" w:firstLineChars="196"/>
              <w:jc w:val="left"/>
              <w:rPr>
                <w:rFonts w:ascii="仿宋" w:hAnsi="仿宋" w:eastAsia="仿宋"/>
                <w:color w:val="auto"/>
                <w:sz w:val="24"/>
              </w:rPr>
            </w:pPr>
          </w:p>
        </w:tc>
        <w:tc>
          <w:tcPr>
            <w:tcW w:w="1763" w:type="dxa"/>
          </w:tcPr>
          <w:p>
            <w:pPr>
              <w:widowControl/>
              <w:spacing w:line="360" w:lineRule="atLeast"/>
              <w:ind w:firstLine="470" w:firstLineChars="196"/>
              <w:jc w:val="left"/>
              <w:rPr>
                <w:rFonts w:ascii="仿宋" w:hAnsi="仿宋" w:eastAsia="仿宋"/>
                <w:color w:val="auto"/>
                <w:sz w:val="24"/>
              </w:rPr>
            </w:pPr>
          </w:p>
        </w:tc>
        <w:tc>
          <w:tcPr>
            <w:tcW w:w="5644"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112" w:type="dxa"/>
          </w:tcPr>
          <w:p>
            <w:pPr>
              <w:widowControl/>
              <w:spacing w:line="360" w:lineRule="atLeast"/>
              <w:ind w:firstLine="470" w:firstLineChars="196"/>
              <w:jc w:val="left"/>
              <w:rPr>
                <w:rFonts w:ascii="仿宋" w:hAnsi="仿宋" w:eastAsia="仿宋"/>
                <w:color w:val="auto"/>
                <w:sz w:val="24"/>
              </w:rPr>
            </w:pPr>
          </w:p>
        </w:tc>
        <w:tc>
          <w:tcPr>
            <w:tcW w:w="1763" w:type="dxa"/>
          </w:tcPr>
          <w:p>
            <w:pPr>
              <w:widowControl/>
              <w:spacing w:line="360" w:lineRule="atLeast"/>
              <w:ind w:firstLine="470" w:firstLineChars="196"/>
              <w:jc w:val="left"/>
              <w:rPr>
                <w:rFonts w:ascii="仿宋" w:hAnsi="仿宋" w:eastAsia="仿宋"/>
                <w:color w:val="auto"/>
                <w:sz w:val="24"/>
              </w:rPr>
            </w:pPr>
          </w:p>
        </w:tc>
        <w:tc>
          <w:tcPr>
            <w:tcW w:w="5644"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1112" w:type="dxa"/>
          </w:tcPr>
          <w:p>
            <w:pPr>
              <w:widowControl/>
              <w:spacing w:line="360" w:lineRule="atLeast"/>
              <w:ind w:firstLine="470" w:firstLineChars="196"/>
              <w:jc w:val="left"/>
              <w:rPr>
                <w:rFonts w:ascii="仿宋" w:hAnsi="仿宋" w:eastAsia="仿宋"/>
                <w:color w:val="auto"/>
                <w:sz w:val="24"/>
              </w:rPr>
            </w:pPr>
          </w:p>
        </w:tc>
        <w:tc>
          <w:tcPr>
            <w:tcW w:w="1763" w:type="dxa"/>
          </w:tcPr>
          <w:p>
            <w:pPr>
              <w:widowControl/>
              <w:spacing w:line="360" w:lineRule="atLeast"/>
              <w:ind w:firstLine="470" w:firstLineChars="196"/>
              <w:jc w:val="left"/>
              <w:rPr>
                <w:rFonts w:ascii="仿宋" w:hAnsi="仿宋" w:eastAsia="仿宋"/>
                <w:color w:val="auto"/>
                <w:sz w:val="24"/>
              </w:rPr>
            </w:pPr>
          </w:p>
        </w:tc>
        <w:tc>
          <w:tcPr>
            <w:tcW w:w="5644" w:type="dxa"/>
          </w:tcPr>
          <w:p>
            <w:pPr>
              <w:widowControl/>
              <w:spacing w:line="360" w:lineRule="atLeast"/>
              <w:ind w:firstLine="470" w:firstLineChars="196"/>
              <w:jc w:val="left"/>
              <w:rPr>
                <w:rFonts w:ascii="仿宋" w:hAnsi="仿宋" w:eastAsia="仿宋"/>
                <w:color w:val="auto"/>
                <w:sz w:val="24"/>
              </w:rPr>
            </w:pPr>
          </w:p>
        </w:tc>
      </w:tr>
    </w:tbl>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注：1. 供应商必须把招标文件</w:t>
      </w:r>
      <w:r>
        <w:rPr>
          <w:rFonts w:hint="eastAsia" w:ascii="仿宋" w:hAnsi="仿宋" w:eastAsia="仿宋"/>
          <w:b/>
          <w:bCs/>
          <w:color w:val="auto"/>
          <w:sz w:val="24"/>
        </w:rPr>
        <w:t>第六章全部商务要求</w:t>
      </w:r>
      <w:r>
        <w:rPr>
          <w:rFonts w:hint="eastAsia" w:ascii="仿宋" w:hAnsi="仿宋" w:eastAsia="仿宋"/>
          <w:color w:val="auto"/>
          <w:sz w:val="24"/>
        </w:rPr>
        <w:t>列入此表。</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2．按照招标项目商务要求的顺序逐条对应填写。</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3．供应商必须据实填写，不得虚假填写，否则将取消其投标或中标资格。</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投标日期: XXXX。</w:t>
      </w:r>
    </w:p>
    <w:p>
      <w:pPr>
        <w:spacing w:after="0" w:line="360" w:lineRule="auto"/>
        <w:rPr>
          <w:rFonts w:ascii="仿宋" w:hAnsi="仿宋" w:eastAsia="仿宋"/>
          <w:b/>
          <w:color w:val="auto"/>
          <w:sz w:val="32"/>
          <w:szCs w:val="32"/>
        </w:rPr>
      </w:pPr>
      <w:r>
        <w:rPr>
          <w:rFonts w:hint="eastAsia" w:ascii="仿宋" w:hAnsi="仿宋" w:eastAsia="仿宋"/>
          <w:color w:val="auto"/>
          <w:sz w:val="24"/>
        </w:rPr>
        <w:br w:type="page"/>
      </w:r>
      <w:bookmarkStart w:id="152" w:name="_Toc217446088"/>
      <w:r>
        <w:rPr>
          <w:rFonts w:hint="eastAsia" w:ascii="仿宋" w:hAnsi="仿宋" w:eastAsia="仿宋"/>
          <w:b/>
          <w:color w:val="auto"/>
          <w:sz w:val="32"/>
          <w:szCs w:val="32"/>
        </w:rPr>
        <w:t>格式2-6</w:t>
      </w:r>
    </w:p>
    <w:p>
      <w:pPr>
        <w:widowControl/>
        <w:spacing w:after="0" w:line="360" w:lineRule="atLeast"/>
        <w:jc w:val="center"/>
        <w:outlineLvl w:val="2"/>
        <w:rPr>
          <w:rFonts w:ascii="仿宋" w:hAnsi="仿宋" w:eastAsia="仿宋"/>
          <w:b/>
          <w:color w:val="auto"/>
          <w:sz w:val="32"/>
          <w:szCs w:val="32"/>
        </w:rPr>
      </w:pPr>
      <w:r>
        <w:rPr>
          <w:rFonts w:hint="eastAsia" w:ascii="仿宋" w:hAnsi="仿宋" w:eastAsia="仿宋"/>
          <w:b/>
          <w:color w:val="auto"/>
          <w:sz w:val="32"/>
          <w:szCs w:val="32"/>
        </w:rPr>
        <w:t>五、投标人基本情况表</w:t>
      </w:r>
      <w:bookmarkEnd w:id="152"/>
    </w:p>
    <w:tbl>
      <w:tblPr>
        <w:tblStyle w:val="26"/>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color w:val="auto"/>
                <w:sz w:val="24"/>
              </w:rPr>
            </w:pPr>
          </w:p>
        </w:tc>
        <w:tc>
          <w:tcPr>
            <w:tcW w:w="1320"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联系方式</w:t>
            </w:r>
          </w:p>
        </w:tc>
        <w:tc>
          <w:tcPr>
            <w:tcW w:w="957"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1320" w:type="dxa"/>
            <w:vAlign w:val="center"/>
          </w:tcPr>
          <w:p>
            <w:pPr>
              <w:widowControl/>
              <w:spacing w:after="0"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color w:val="auto"/>
              </w:rPr>
            </w:pPr>
          </w:p>
        </w:tc>
        <w:tc>
          <w:tcPr>
            <w:tcW w:w="957"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1320" w:type="dxa"/>
            <w:vAlign w:val="center"/>
          </w:tcPr>
          <w:p>
            <w:pPr>
              <w:widowControl/>
              <w:spacing w:after="0"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法定代表人/单位负责人</w:t>
            </w:r>
          </w:p>
        </w:tc>
        <w:tc>
          <w:tcPr>
            <w:tcW w:w="957"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auto"/>
                <w:sz w:val="24"/>
              </w:rPr>
            </w:pPr>
          </w:p>
        </w:tc>
        <w:tc>
          <w:tcPr>
            <w:tcW w:w="1247"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auto"/>
                <w:sz w:val="24"/>
              </w:rPr>
            </w:pPr>
          </w:p>
        </w:tc>
        <w:tc>
          <w:tcPr>
            <w:tcW w:w="850" w:type="dxa"/>
            <w:gridSpan w:val="2"/>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技术负责人</w:t>
            </w:r>
          </w:p>
        </w:tc>
        <w:tc>
          <w:tcPr>
            <w:tcW w:w="957"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auto"/>
                <w:sz w:val="24"/>
              </w:rPr>
            </w:pPr>
          </w:p>
        </w:tc>
        <w:tc>
          <w:tcPr>
            <w:tcW w:w="1247"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auto"/>
                <w:sz w:val="24"/>
              </w:rPr>
            </w:pPr>
          </w:p>
        </w:tc>
        <w:tc>
          <w:tcPr>
            <w:tcW w:w="850" w:type="dxa"/>
            <w:gridSpan w:val="2"/>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4497" w:type="dxa"/>
            <w:gridSpan w:val="5"/>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其中</w:t>
            </w:r>
          </w:p>
        </w:tc>
        <w:tc>
          <w:tcPr>
            <w:tcW w:w="1478" w:type="dxa"/>
            <w:gridSpan w:val="2"/>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1247" w:type="dxa"/>
            <w:vMerge w:val="continue"/>
            <w:vAlign w:val="center"/>
          </w:tcPr>
          <w:p>
            <w:pPr>
              <w:spacing w:after="0"/>
              <w:rPr>
                <w:rFonts w:ascii="仿宋" w:hAnsi="仿宋" w:eastAsia="仿宋"/>
                <w:color w:val="auto"/>
              </w:rPr>
            </w:pPr>
          </w:p>
        </w:tc>
        <w:tc>
          <w:tcPr>
            <w:tcW w:w="1478" w:type="dxa"/>
            <w:gridSpan w:val="2"/>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1247" w:type="dxa"/>
            <w:vMerge w:val="continue"/>
            <w:vAlign w:val="center"/>
          </w:tcPr>
          <w:p>
            <w:pPr>
              <w:spacing w:after="0"/>
              <w:rPr>
                <w:rFonts w:ascii="仿宋" w:hAnsi="仿宋" w:eastAsia="仿宋"/>
                <w:color w:val="auto"/>
              </w:rPr>
            </w:pPr>
          </w:p>
        </w:tc>
        <w:tc>
          <w:tcPr>
            <w:tcW w:w="1478" w:type="dxa"/>
            <w:gridSpan w:val="2"/>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1247" w:type="dxa"/>
            <w:vMerge w:val="continue"/>
            <w:vAlign w:val="center"/>
          </w:tcPr>
          <w:p>
            <w:pPr>
              <w:spacing w:after="0"/>
              <w:rPr>
                <w:rFonts w:ascii="仿宋" w:hAnsi="仿宋" w:eastAsia="仿宋"/>
                <w:color w:val="auto"/>
              </w:rPr>
            </w:pPr>
          </w:p>
        </w:tc>
        <w:tc>
          <w:tcPr>
            <w:tcW w:w="1478" w:type="dxa"/>
            <w:gridSpan w:val="2"/>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1247" w:type="dxa"/>
            <w:vMerge w:val="continue"/>
            <w:vAlign w:val="center"/>
          </w:tcPr>
          <w:p>
            <w:pPr>
              <w:spacing w:after="0"/>
              <w:rPr>
                <w:rFonts w:ascii="仿宋" w:hAnsi="仿宋" w:eastAsia="仿宋"/>
                <w:color w:val="auto"/>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color w:val="auto"/>
                <w:sz w:val="24"/>
              </w:rPr>
            </w:pPr>
          </w:p>
        </w:tc>
      </w:tr>
    </w:tbl>
    <w:p>
      <w:pPr>
        <w:widowControl/>
        <w:spacing w:after="0"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after="0"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投标日期: XXXX。</w:t>
      </w:r>
    </w:p>
    <w:p>
      <w:pPr>
        <w:spacing w:line="360" w:lineRule="auto"/>
        <w:rPr>
          <w:rFonts w:ascii="仿宋" w:hAnsi="仿宋" w:eastAsia="仿宋"/>
          <w:b/>
          <w:color w:val="auto"/>
          <w:sz w:val="32"/>
          <w:szCs w:val="32"/>
        </w:rPr>
      </w:pPr>
      <w:bookmarkStart w:id="153" w:name="_Toc217446089"/>
      <w:r>
        <w:rPr>
          <w:rFonts w:hint="eastAsia" w:ascii="仿宋" w:hAnsi="仿宋" w:eastAsia="仿宋"/>
          <w:b/>
          <w:color w:val="auto"/>
          <w:sz w:val="36"/>
          <w:szCs w:val="36"/>
        </w:rPr>
        <w:br w:type="page"/>
      </w:r>
      <w:r>
        <w:rPr>
          <w:rFonts w:hint="eastAsia" w:ascii="仿宋" w:hAnsi="仿宋" w:eastAsia="仿宋"/>
          <w:b/>
          <w:color w:val="auto"/>
          <w:sz w:val="32"/>
          <w:szCs w:val="32"/>
        </w:rPr>
        <w:t>格式2-7</w:t>
      </w:r>
    </w:p>
    <w:p>
      <w:pPr>
        <w:widowControl/>
        <w:spacing w:line="360" w:lineRule="atLeast"/>
        <w:jc w:val="center"/>
        <w:outlineLvl w:val="2"/>
        <w:rPr>
          <w:rFonts w:ascii="仿宋" w:hAnsi="仿宋" w:eastAsia="仿宋"/>
          <w:b/>
          <w:color w:val="auto"/>
          <w:sz w:val="36"/>
          <w:szCs w:val="36"/>
        </w:rPr>
      </w:pPr>
      <w:r>
        <w:rPr>
          <w:rFonts w:hint="eastAsia" w:ascii="仿宋" w:hAnsi="仿宋" w:eastAsia="仿宋"/>
          <w:b/>
          <w:color w:val="auto"/>
          <w:sz w:val="36"/>
          <w:szCs w:val="36"/>
        </w:rPr>
        <w:t>六、类似项目业绩一览表</w:t>
      </w:r>
      <w:bookmarkEnd w:id="153"/>
    </w:p>
    <w:p>
      <w:pPr>
        <w:widowControl/>
        <w:spacing w:line="360" w:lineRule="atLeast"/>
        <w:ind w:firstLine="472" w:firstLineChars="196"/>
        <w:jc w:val="left"/>
        <w:rPr>
          <w:rFonts w:ascii="仿宋" w:hAnsi="仿宋" w:eastAsia="仿宋"/>
          <w:b/>
          <w:color w:val="auto"/>
          <w:sz w:val="24"/>
        </w:rPr>
      </w:pPr>
    </w:p>
    <w:tbl>
      <w:tblPr>
        <w:tblStyle w:val="26"/>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年份</w:t>
            </w:r>
          </w:p>
        </w:tc>
        <w:tc>
          <w:tcPr>
            <w:tcW w:w="1440"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用户名称</w:t>
            </w:r>
          </w:p>
        </w:tc>
        <w:tc>
          <w:tcPr>
            <w:tcW w:w="1320"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项目名称</w:t>
            </w:r>
          </w:p>
        </w:tc>
        <w:tc>
          <w:tcPr>
            <w:tcW w:w="1161"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完成时间</w:t>
            </w:r>
          </w:p>
        </w:tc>
        <w:tc>
          <w:tcPr>
            <w:tcW w:w="1260"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rPr>
            </w:pPr>
          </w:p>
        </w:tc>
        <w:tc>
          <w:tcPr>
            <w:tcW w:w="1440" w:type="dxa"/>
            <w:vAlign w:val="center"/>
          </w:tcPr>
          <w:p>
            <w:pPr>
              <w:widowControl/>
              <w:spacing w:line="360" w:lineRule="atLeast"/>
              <w:ind w:firstLine="470" w:firstLineChars="196"/>
              <w:jc w:val="left"/>
              <w:rPr>
                <w:rFonts w:ascii="仿宋" w:hAnsi="仿宋" w:eastAsia="仿宋"/>
                <w:color w:val="auto"/>
                <w:sz w:val="24"/>
              </w:rPr>
            </w:pPr>
          </w:p>
        </w:tc>
        <w:tc>
          <w:tcPr>
            <w:tcW w:w="1320" w:type="dxa"/>
            <w:vAlign w:val="center"/>
          </w:tcPr>
          <w:p>
            <w:pPr>
              <w:widowControl/>
              <w:spacing w:line="360" w:lineRule="atLeast"/>
              <w:ind w:firstLine="470" w:firstLineChars="196"/>
              <w:jc w:val="left"/>
              <w:rPr>
                <w:rFonts w:ascii="仿宋" w:hAnsi="仿宋" w:eastAsia="仿宋"/>
                <w:color w:val="auto"/>
                <w:sz w:val="24"/>
              </w:rPr>
            </w:pPr>
          </w:p>
        </w:tc>
        <w:tc>
          <w:tcPr>
            <w:tcW w:w="1161" w:type="dxa"/>
            <w:vAlign w:val="center"/>
          </w:tcPr>
          <w:p>
            <w:pPr>
              <w:widowControl/>
              <w:spacing w:line="360" w:lineRule="atLeast"/>
              <w:ind w:firstLine="470" w:firstLineChars="196"/>
              <w:jc w:val="left"/>
              <w:rPr>
                <w:rFonts w:ascii="仿宋" w:hAnsi="仿宋" w:eastAsia="仿宋"/>
                <w:color w:val="auto"/>
                <w:sz w:val="24"/>
              </w:rPr>
            </w:pPr>
          </w:p>
        </w:tc>
        <w:tc>
          <w:tcPr>
            <w:tcW w:w="1260" w:type="dxa"/>
            <w:vAlign w:val="center"/>
          </w:tcPr>
          <w:p>
            <w:pPr>
              <w:widowControl/>
              <w:spacing w:line="360" w:lineRule="atLeast"/>
              <w:ind w:firstLine="470" w:firstLineChars="196"/>
              <w:jc w:val="left"/>
              <w:rPr>
                <w:rFonts w:ascii="仿宋" w:hAnsi="仿宋" w:eastAsia="仿宋"/>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rPr>
            </w:pPr>
          </w:p>
        </w:tc>
        <w:tc>
          <w:tcPr>
            <w:tcW w:w="1440" w:type="dxa"/>
            <w:vAlign w:val="center"/>
          </w:tcPr>
          <w:p>
            <w:pPr>
              <w:widowControl/>
              <w:spacing w:line="360" w:lineRule="atLeast"/>
              <w:ind w:firstLine="470" w:firstLineChars="196"/>
              <w:jc w:val="left"/>
              <w:rPr>
                <w:rFonts w:ascii="仿宋" w:hAnsi="仿宋" w:eastAsia="仿宋"/>
                <w:color w:val="auto"/>
                <w:sz w:val="24"/>
              </w:rPr>
            </w:pPr>
          </w:p>
        </w:tc>
        <w:tc>
          <w:tcPr>
            <w:tcW w:w="1320" w:type="dxa"/>
            <w:vAlign w:val="center"/>
          </w:tcPr>
          <w:p>
            <w:pPr>
              <w:widowControl/>
              <w:spacing w:line="360" w:lineRule="atLeast"/>
              <w:ind w:firstLine="470" w:firstLineChars="196"/>
              <w:jc w:val="left"/>
              <w:rPr>
                <w:rFonts w:ascii="仿宋" w:hAnsi="仿宋" w:eastAsia="仿宋"/>
                <w:color w:val="auto"/>
                <w:sz w:val="24"/>
              </w:rPr>
            </w:pPr>
          </w:p>
        </w:tc>
        <w:tc>
          <w:tcPr>
            <w:tcW w:w="1161" w:type="dxa"/>
            <w:vAlign w:val="center"/>
          </w:tcPr>
          <w:p>
            <w:pPr>
              <w:widowControl/>
              <w:spacing w:line="360" w:lineRule="atLeast"/>
              <w:ind w:firstLine="470" w:firstLineChars="196"/>
              <w:jc w:val="left"/>
              <w:rPr>
                <w:rFonts w:ascii="仿宋" w:hAnsi="仿宋" w:eastAsia="仿宋"/>
                <w:color w:val="auto"/>
                <w:sz w:val="24"/>
              </w:rPr>
            </w:pPr>
          </w:p>
        </w:tc>
        <w:tc>
          <w:tcPr>
            <w:tcW w:w="1260" w:type="dxa"/>
            <w:vAlign w:val="center"/>
          </w:tcPr>
          <w:p>
            <w:pPr>
              <w:widowControl/>
              <w:spacing w:line="360" w:lineRule="atLeast"/>
              <w:ind w:firstLine="470" w:firstLineChars="196"/>
              <w:jc w:val="left"/>
              <w:rPr>
                <w:rFonts w:ascii="仿宋" w:hAnsi="仿宋" w:eastAsia="仿宋"/>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rPr>
            </w:pPr>
          </w:p>
        </w:tc>
        <w:tc>
          <w:tcPr>
            <w:tcW w:w="1440" w:type="dxa"/>
            <w:vAlign w:val="center"/>
          </w:tcPr>
          <w:p>
            <w:pPr>
              <w:widowControl/>
              <w:spacing w:line="360" w:lineRule="atLeast"/>
              <w:ind w:firstLine="470" w:firstLineChars="196"/>
              <w:jc w:val="left"/>
              <w:rPr>
                <w:rFonts w:ascii="仿宋" w:hAnsi="仿宋" w:eastAsia="仿宋"/>
                <w:color w:val="auto"/>
                <w:sz w:val="24"/>
              </w:rPr>
            </w:pPr>
          </w:p>
        </w:tc>
        <w:tc>
          <w:tcPr>
            <w:tcW w:w="1320" w:type="dxa"/>
            <w:vAlign w:val="center"/>
          </w:tcPr>
          <w:p>
            <w:pPr>
              <w:widowControl/>
              <w:spacing w:line="360" w:lineRule="atLeast"/>
              <w:ind w:firstLine="470" w:firstLineChars="196"/>
              <w:jc w:val="left"/>
              <w:rPr>
                <w:rFonts w:ascii="仿宋" w:hAnsi="仿宋" w:eastAsia="仿宋"/>
                <w:color w:val="auto"/>
                <w:sz w:val="24"/>
              </w:rPr>
            </w:pPr>
          </w:p>
        </w:tc>
        <w:tc>
          <w:tcPr>
            <w:tcW w:w="1161" w:type="dxa"/>
            <w:vAlign w:val="center"/>
          </w:tcPr>
          <w:p>
            <w:pPr>
              <w:widowControl/>
              <w:spacing w:line="360" w:lineRule="atLeast"/>
              <w:ind w:firstLine="470" w:firstLineChars="196"/>
              <w:jc w:val="left"/>
              <w:rPr>
                <w:rFonts w:ascii="仿宋" w:hAnsi="仿宋" w:eastAsia="仿宋"/>
                <w:color w:val="auto"/>
                <w:sz w:val="24"/>
              </w:rPr>
            </w:pPr>
          </w:p>
        </w:tc>
        <w:tc>
          <w:tcPr>
            <w:tcW w:w="1260" w:type="dxa"/>
            <w:vAlign w:val="center"/>
          </w:tcPr>
          <w:p>
            <w:pPr>
              <w:widowControl/>
              <w:spacing w:line="360" w:lineRule="atLeast"/>
              <w:ind w:firstLine="470" w:firstLineChars="196"/>
              <w:jc w:val="left"/>
              <w:rPr>
                <w:rFonts w:ascii="仿宋" w:hAnsi="仿宋" w:eastAsia="仿宋"/>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161" w:type="dxa"/>
            <w:vAlign w:val="center"/>
          </w:tcPr>
          <w:p>
            <w:pPr>
              <w:widowControl/>
              <w:spacing w:line="360" w:lineRule="atLeast"/>
              <w:ind w:firstLine="470" w:firstLineChars="196"/>
              <w:jc w:val="left"/>
              <w:rPr>
                <w:rFonts w:ascii="仿宋" w:hAnsi="仿宋" w:eastAsia="仿宋"/>
                <w:color w:val="auto"/>
                <w:sz w:val="24"/>
              </w:rPr>
            </w:pPr>
          </w:p>
        </w:tc>
        <w:tc>
          <w:tcPr>
            <w:tcW w:w="1260" w:type="dxa"/>
            <w:vAlign w:val="center"/>
          </w:tcPr>
          <w:p>
            <w:pPr>
              <w:widowControl/>
              <w:spacing w:line="360" w:lineRule="atLeast"/>
              <w:ind w:firstLine="470" w:firstLineChars="196"/>
              <w:jc w:val="left"/>
              <w:rPr>
                <w:rFonts w:ascii="仿宋" w:hAnsi="仿宋" w:eastAsia="仿宋"/>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rPr>
            </w:pPr>
          </w:p>
        </w:tc>
        <w:tc>
          <w:tcPr>
            <w:tcW w:w="1440" w:type="dxa"/>
            <w:vAlign w:val="center"/>
          </w:tcPr>
          <w:p>
            <w:pPr>
              <w:widowControl/>
              <w:spacing w:line="360" w:lineRule="atLeast"/>
              <w:ind w:firstLine="470" w:firstLineChars="196"/>
              <w:jc w:val="left"/>
              <w:rPr>
                <w:rFonts w:ascii="仿宋" w:hAnsi="仿宋" w:eastAsia="仿宋"/>
                <w:color w:val="auto"/>
                <w:sz w:val="24"/>
              </w:rPr>
            </w:pPr>
          </w:p>
        </w:tc>
        <w:tc>
          <w:tcPr>
            <w:tcW w:w="1320" w:type="dxa"/>
            <w:vAlign w:val="center"/>
          </w:tcPr>
          <w:p>
            <w:pPr>
              <w:widowControl/>
              <w:spacing w:line="360" w:lineRule="atLeast"/>
              <w:ind w:firstLine="470" w:firstLineChars="196"/>
              <w:jc w:val="left"/>
              <w:rPr>
                <w:rFonts w:ascii="仿宋" w:hAnsi="仿宋" w:eastAsia="仿宋"/>
                <w:color w:val="auto"/>
                <w:sz w:val="24"/>
              </w:rPr>
            </w:pPr>
          </w:p>
        </w:tc>
        <w:tc>
          <w:tcPr>
            <w:tcW w:w="1161" w:type="dxa"/>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rPr>
            </w:pPr>
          </w:p>
        </w:tc>
        <w:tc>
          <w:tcPr>
            <w:tcW w:w="1440" w:type="dxa"/>
            <w:vAlign w:val="center"/>
          </w:tcPr>
          <w:p>
            <w:pPr>
              <w:widowControl/>
              <w:spacing w:line="360" w:lineRule="atLeast"/>
              <w:ind w:firstLine="470" w:firstLineChars="196"/>
              <w:jc w:val="left"/>
              <w:rPr>
                <w:rFonts w:ascii="仿宋" w:hAnsi="仿宋" w:eastAsia="仿宋"/>
                <w:color w:val="auto"/>
                <w:sz w:val="24"/>
              </w:rPr>
            </w:pPr>
          </w:p>
        </w:tc>
        <w:tc>
          <w:tcPr>
            <w:tcW w:w="1320" w:type="dxa"/>
            <w:vAlign w:val="center"/>
          </w:tcPr>
          <w:p>
            <w:pPr>
              <w:widowControl/>
              <w:spacing w:line="360" w:lineRule="atLeast"/>
              <w:ind w:firstLine="470" w:firstLineChars="196"/>
              <w:jc w:val="left"/>
              <w:rPr>
                <w:rFonts w:ascii="仿宋" w:hAnsi="仿宋" w:eastAsia="仿宋"/>
                <w:color w:val="auto"/>
                <w:sz w:val="24"/>
              </w:rPr>
            </w:pPr>
          </w:p>
        </w:tc>
        <w:tc>
          <w:tcPr>
            <w:tcW w:w="1161" w:type="dxa"/>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rPr>
            </w:pPr>
          </w:p>
        </w:tc>
        <w:tc>
          <w:tcPr>
            <w:tcW w:w="1440" w:type="dxa"/>
            <w:vAlign w:val="center"/>
          </w:tcPr>
          <w:p>
            <w:pPr>
              <w:widowControl/>
              <w:spacing w:line="360" w:lineRule="atLeast"/>
              <w:ind w:firstLine="470" w:firstLineChars="196"/>
              <w:jc w:val="left"/>
              <w:rPr>
                <w:rFonts w:ascii="仿宋" w:hAnsi="仿宋" w:eastAsia="仿宋"/>
                <w:color w:val="auto"/>
                <w:sz w:val="24"/>
              </w:rPr>
            </w:pPr>
          </w:p>
        </w:tc>
        <w:tc>
          <w:tcPr>
            <w:tcW w:w="1320" w:type="dxa"/>
            <w:vAlign w:val="center"/>
          </w:tcPr>
          <w:p>
            <w:pPr>
              <w:widowControl/>
              <w:spacing w:line="360" w:lineRule="atLeast"/>
              <w:ind w:firstLine="470" w:firstLineChars="196"/>
              <w:jc w:val="left"/>
              <w:rPr>
                <w:rFonts w:ascii="仿宋" w:hAnsi="仿宋" w:eastAsia="仿宋"/>
                <w:color w:val="auto"/>
                <w:sz w:val="24"/>
              </w:rPr>
            </w:pPr>
          </w:p>
        </w:tc>
        <w:tc>
          <w:tcPr>
            <w:tcW w:w="1161" w:type="dxa"/>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bl>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注：以上业绩需提供招标文件要求的有关书面证明材料。</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b/>
          <w:color w:val="auto"/>
          <w:sz w:val="32"/>
          <w:szCs w:val="32"/>
        </w:rPr>
      </w:pPr>
      <w:r>
        <w:rPr>
          <w:rFonts w:hint="eastAsia" w:ascii="仿宋" w:hAnsi="仿宋" w:eastAsia="仿宋"/>
          <w:color w:val="auto"/>
          <w:sz w:val="24"/>
        </w:rPr>
        <w:t>投标日期: XXXX。</w:t>
      </w:r>
      <w:bookmarkStart w:id="154" w:name="_Toc217446090"/>
      <w:r>
        <w:rPr>
          <w:rFonts w:hint="eastAsia" w:ascii="仿宋" w:hAnsi="仿宋" w:eastAsia="仿宋"/>
          <w:b/>
          <w:color w:val="auto"/>
          <w:sz w:val="32"/>
          <w:szCs w:val="32"/>
        </w:rPr>
        <w:br w:type="page"/>
      </w:r>
      <w:r>
        <w:rPr>
          <w:rFonts w:hint="eastAsia" w:ascii="仿宋" w:hAnsi="仿宋" w:eastAsia="仿宋"/>
          <w:b/>
          <w:color w:val="auto"/>
          <w:sz w:val="32"/>
          <w:szCs w:val="32"/>
        </w:rPr>
        <w:t>格式2-8</w:t>
      </w:r>
    </w:p>
    <w:p>
      <w:pPr>
        <w:widowControl/>
        <w:spacing w:line="360" w:lineRule="atLeast"/>
        <w:jc w:val="center"/>
        <w:outlineLvl w:val="2"/>
        <w:rPr>
          <w:rFonts w:ascii="仿宋" w:hAnsi="仿宋" w:eastAsia="仿宋"/>
          <w:b/>
          <w:color w:val="auto"/>
          <w:sz w:val="32"/>
          <w:szCs w:val="32"/>
        </w:rPr>
      </w:pPr>
      <w:r>
        <w:rPr>
          <w:rFonts w:hint="eastAsia" w:ascii="仿宋" w:hAnsi="仿宋" w:eastAsia="仿宋"/>
          <w:b/>
          <w:color w:val="auto"/>
          <w:sz w:val="32"/>
          <w:szCs w:val="32"/>
        </w:rPr>
        <w:t>七、服务偏离表</w:t>
      </w:r>
      <w:bookmarkEnd w:id="154"/>
    </w:p>
    <w:p>
      <w:pPr>
        <w:widowControl/>
        <w:spacing w:line="360" w:lineRule="atLeast"/>
        <w:ind w:firstLine="472" w:firstLineChars="196"/>
        <w:jc w:val="left"/>
        <w:rPr>
          <w:rFonts w:ascii="仿宋" w:hAnsi="仿宋" w:eastAsia="仿宋"/>
          <w:b/>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招标编号：</w:t>
      </w:r>
    </w:p>
    <w:tbl>
      <w:tblPr>
        <w:tblStyle w:val="26"/>
        <w:tblW w:w="50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911"/>
        <w:gridCol w:w="2951"/>
        <w:gridCol w:w="1967"/>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462" w:type="pct"/>
            <w:vAlign w:val="center"/>
          </w:tcPr>
          <w:p>
            <w:pPr>
              <w:spacing w:line="520" w:lineRule="exact"/>
              <w:jc w:val="center"/>
              <w:rPr>
                <w:rFonts w:ascii="仿宋" w:hAnsi="仿宋" w:eastAsia="仿宋"/>
                <w:color w:val="auto"/>
                <w:sz w:val="24"/>
              </w:rPr>
            </w:pPr>
            <w:r>
              <w:rPr>
                <w:rFonts w:ascii="仿宋" w:hAnsi="仿宋" w:eastAsia="仿宋"/>
                <w:color w:val="auto"/>
                <w:sz w:val="24"/>
              </w:rPr>
              <w:t>序号</w:t>
            </w:r>
          </w:p>
        </w:tc>
        <w:tc>
          <w:tcPr>
            <w:tcW w:w="1119" w:type="pct"/>
            <w:vAlign w:val="center"/>
          </w:tcPr>
          <w:p>
            <w:pPr>
              <w:spacing w:line="520" w:lineRule="exact"/>
              <w:jc w:val="center"/>
              <w:rPr>
                <w:rFonts w:ascii="仿宋" w:hAnsi="仿宋" w:eastAsia="仿宋"/>
                <w:color w:val="auto"/>
                <w:sz w:val="24"/>
              </w:rPr>
            </w:pPr>
            <w:r>
              <w:rPr>
                <w:rFonts w:ascii="仿宋" w:hAnsi="仿宋" w:eastAsia="仿宋"/>
                <w:color w:val="auto"/>
                <w:sz w:val="24"/>
              </w:rPr>
              <w:t>招标文件要求</w:t>
            </w:r>
          </w:p>
        </w:tc>
        <w:tc>
          <w:tcPr>
            <w:tcW w:w="1728" w:type="pct"/>
            <w:vAlign w:val="center"/>
          </w:tcPr>
          <w:p>
            <w:pPr>
              <w:spacing w:line="520" w:lineRule="exact"/>
              <w:jc w:val="center"/>
              <w:rPr>
                <w:rFonts w:ascii="仿宋" w:hAnsi="仿宋" w:eastAsia="仿宋"/>
                <w:color w:val="auto"/>
                <w:sz w:val="24"/>
              </w:rPr>
            </w:pPr>
            <w:r>
              <w:rPr>
                <w:rFonts w:ascii="仿宋" w:hAnsi="仿宋" w:eastAsia="仿宋"/>
                <w:color w:val="auto"/>
                <w:sz w:val="24"/>
              </w:rPr>
              <w:t>投标文件的应答</w:t>
            </w:r>
          </w:p>
        </w:tc>
        <w:tc>
          <w:tcPr>
            <w:tcW w:w="1152" w:type="pct"/>
            <w:vAlign w:val="center"/>
          </w:tcPr>
          <w:p>
            <w:pPr>
              <w:spacing w:line="520" w:lineRule="exact"/>
              <w:jc w:val="center"/>
              <w:rPr>
                <w:rFonts w:ascii="仿宋" w:hAnsi="仿宋" w:eastAsia="仿宋"/>
                <w:color w:val="auto"/>
                <w:sz w:val="24"/>
              </w:rPr>
            </w:pPr>
            <w:r>
              <w:rPr>
                <w:rFonts w:ascii="仿宋" w:hAnsi="仿宋" w:eastAsia="仿宋"/>
                <w:color w:val="auto"/>
                <w:sz w:val="24"/>
              </w:rPr>
              <w:t>偏离说明</w:t>
            </w:r>
          </w:p>
        </w:tc>
        <w:tc>
          <w:tcPr>
            <w:tcW w:w="538" w:type="pct"/>
            <w:vAlign w:val="center"/>
          </w:tcPr>
          <w:p>
            <w:pPr>
              <w:spacing w:line="520" w:lineRule="exact"/>
              <w:jc w:val="center"/>
              <w:rPr>
                <w:rFonts w:ascii="仿宋" w:hAnsi="仿宋" w:eastAsia="仿宋"/>
                <w:color w:val="auto"/>
                <w:sz w:val="24"/>
              </w:rPr>
            </w:pPr>
            <w:r>
              <w:rPr>
                <w:rFonts w:ascii="仿宋" w:hAnsi="仿宋" w:eastAsia="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462" w:type="pct"/>
            <w:vAlign w:val="center"/>
          </w:tcPr>
          <w:p>
            <w:pPr>
              <w:spacing w:line="520" w:lineRule="exact"/>
              <w:jc w:val="center"/>
              <w:rPr>
                <w:rFonts w:ascii="仿宋" w:hAnsi="仿宋" w:eastAsia="仿宋"/>
                <w:color w:val="auto"/>
                <w:sz w:val="24"/>
              </w:rPr>
            </w:pPr>
            <w:r>
              <w:rPr>
                <w:rFonts w:ascii="仿宋" w:hAnsi="仿宋" w:eastAsia="仿宋"/>
                <w:color w:val="auto"/>
                <w:sz w:val="24"/>
              </w:rPr>
              <w:t>1</w:t>
            </w:r>
          </w:p>
        </w:tc>
        <w:tc>
          <w:tcPr>
            <w:tcW w:w="1119" w:type="pct"/>
            <w:vAlign w:val="center"/>
          </w:tcPr>
          <w:p>
            <w:pPr>
              <w:spacing w:line="520" w:lineRule="exact"/>
              <w:jc w:val="left"/>
              <w:rPr>
                <w:rFonts w:ascii="仿宋" w:hAnsi="仿宋" w:eastAsia="仿宋"/>
                <w:color w:val="auto"/>
                <w:sz w:val="24"/>
              </w:rPr>
            </w:pPr>
          </w:p>
        </w:tc>
        <w:tc>
          <w:tcPr>
            <w:tcW w:w="1728" w:type="pct"/>
            <w:vAlign w:val="center"/>
          </w:tcPr>
          <w:p>
            <w:pPr>
              <w:spacing w:line="520" w:lineRule="exact"/>
              <w:jc w:val="left"/>
              <w:rPr>
                <w:rFonts w:ascii="仿宋" w:hAnsi="仿宋" w:eastAsia="仿宋"/>
                <w:color w:val="auto"/>
                <w:sz w:val="24"/>
              </w:rPr>
            </w:pPr>
          </w:p>
        </w:tc>
        <w:tc>
          <w:tcPr>
            <w:tcW w:w="1152" w:type="pct"/>
            <w:vAlign w:val="center"/>
          </w:tcPr>
          <w:p>
            <w:pPr>
              <w:spacing w:line="520" w:lineRule="exact"/>
              <w:jc w:val="left"/>
              <w:rPr>
                <w:rFonts w:ascii="仿宋" w:hAnsi="仿宋" w:eastAsia="仿宋"/>
                <w:color w:val="auto"/>
                <w:sz w:val="24"/>
              </w:rPr>
            </w:pPr>
          </w:p>
        </w:tc>
        <w:tc>
          <w:tcPr>
            <w:tcW w:w="538" w:type="pct"/>
          </w:tcPr>
          <w:p>
            <w:pPr>
              <w:spacing w:line="520" w:lineRule="exact"/>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462" w:type="pct"/>
            <w:vAlign w:val="center"/>
          </w:tcPr>
          <w:p>
            <w:pPr>
              <w:spacing w:line="520" w:lineRule="exact"/>
              <w:jc w:val="center"/>
              <w:rPr>
                <w:rFonts w:ascii="仿宋" w:hAnsi="仿宋" w:eastAsia="仿宋"/>
                <w:color w:val="auto"/>
                <w:sz w:val="24"/>
              </w:rPr>
            </w:pPr>
            <w:r>
              <w:rPr>
                <w:rFonts w:ascii="仿宋" w:hAnsi="仿宋" w:eastAsia="仿宋"/>
                <w:color w:val="auto"/>
                <w:sz w:val="24"/>
              </w:rPr>
              <w:t>2</w:t>
            </w:r>
          </w:p>
        </w:tc>
        <w:tc>
          <w:tcPr>
            <w:tcW w:w="1119" w:type="pct"/>
            <w:vAlign w:val="center"/>
          </w:tcPr>
          <w:p>
            <w:pPr>
              <w:spacing w:line="520" w:lineRule="exact"/>
              <w:jc w:val="left"/>
              <w:rPr>
                <w:rFonts w:ascii="仿宋" w:hAnsi="仿宋" w:eastAsia="仿宋"/>
                <w:color w:val="auto"/>
                <w:sz w:val="24"/>
              </w:rPr>
            </w:pPr>
          </w:p>
        </w:tc>
        <w:tc>
          <w:tcPr>
            <w:tcW w:w="1728" w:type="pct"/>
            <w:vAlign w:val="center"/>
          </w:tcPr>
          <w:p>
            <w:pPr>
              <w:spacing w:line="520" w:lineRule="exact"/>
              <w:jc w:val="left"/>
              <w:rPr>
                <w:rFonts w:ascii="仿宋" w:hAnsi="仿宋" w:eastAsia="仿宋"/>
                <w:color w:val="auto"/>
                <w:sz w:val="24"/>
              </w:rPr>
            </w:pPr>
          </w:p>
        </w:tc>
        <w:tc>
          <w:tcPr>
            <w:tcW w:w="1152" w:type="pct"/>
            <w:vAlign w:val="center"/>
          </w:tcPr>
          <w:p>
            <w:pPr>
              <w:spacing w:line="520" w:lineRule="exact"/>
              <w:jc w:val="left"/>
              <w:rPr>
                <w:rFonts w:ascii="仿宋" w:hAnsi="仿宋" w:eastAsia="仿宋"/>
                <w:color w:val="auto"/>
                <w:sz w:val="24"/>
              </w:rPr>
            </w:pPr>
          </w:p>
        </w:tc>
        <w:tc>
          <w:tcPr>
            <w:tcW w:w="538" w:type="pct"/>
          </w:tcPr>
          <w:p>
            <w:pPr>
              <w:spacing w:line="520" w:lineRule="exact"/>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462" w:type="pct"/>
            <w:vAlign w:val="center"/>
          </w:tcPr>
          <w:p>
            <w:pPr>
              <w:spacing w:line="520" w:lineRule="exact"/>
              <w:jc w:val="center"/>
              <w:rPr>
                <w:rFonts w:ascii="仿宋" w:hAnsi="仿宋" w:eastAsia="仿宋"/>
                <w:color w:val="auto"/>
                <w:sz w:val="24"/>
              </w:rPr>
            </w:pPr>
            <w:r>
              <w:rPr>
                <w:rFonts w:ascii="仿宋" w:hAnsi="仿宋" w:eastAsia="仿宋"/>
                <w:color w:val="auto"/>
                <w:sz w:val="24"/>
              </w:rPr>
              <w:t>3</w:t>
            </w:r>
          </w:p>
        </w:tc>
        <w:tc>
          <w:tcPr>
            <w:tcW w:w="1119" w:type="pct"/>
            <w:vAlign w:val="center"/>
          </w:tcPr>
          <w:p>
            <w:pPr>
              <w:spacing w:line="520" w:lineRule="exact"/>
              <w:jc w:val="left"/>
              <w:rPr>
                <w:rFonts w:ascii="仿宋" w:hAnsi="仿宋" w:eastAsia="仿宋"/>
                <w:color w:val="auto"/>
                <w:sz w:val="24"/>
              </w:rPr>
            </w:pPr>
          </w:p>
        </w:tc>
        <w:tc>
          <w:tcPr>
            <w:tcW w:w="1728" w:type="pct"/>
            <w:vAlign w:val="center"/>
          </w:tcPr>
          <w:p>
            <w:pPr>
              <w:spacing w:line="520" w:lineRule="exact"/>
              <w:jc w:val="left"/>
              <w:rPr>
                <w:rFonts w:ascii="仿宋" w:hAnsi="仿宋" w:eastAsia="仿宋"/>
                <w:color w:val="auto"/>
                <w:sz w:val="24"/>
              </w:rPr>
            </w:pPr>
          </w:p>
        </w:tc>
        <w:tc>
          <w:tcPr>
            <w:tcW w:w="1152" w:type="pct"/>
            <w:vAlign w:val="center"/>
          </w:tcPr>
          <w:p>
            <w:pPr>
              <w:spacing w:line="520" w:lineRule="exact"/>
              <w:jc w:val="left"/>
              <w:rPr>
                <w:rFonts w:ascii="仿宋" w:hAnsi="仿宋" w:eastAsia="仿宋"/>
                <w:color w:val="auto"/>
                <w:sz w:val="24"/>
              </w:rPr>
            </w:pPr>
          </w:p>
        </w:tc>
        <w:tc>
          <w:tcPr>
            <w:tcW w:w="538" w:type="pct"/>
          </w:tcPr>
          <w:p>
            <w:pPr>
              <w:spacing w:line="520" w:lineRule="exact"/>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462" w:type="pct"/>
            <w:vAlign w:val="center"/>
          </w:tcPr>
          <w:p>
            <w:pPr>
              <w:spacing w:line="520" w:lineRule="exact"/>
              <w:jc w:val="center"/>
              <w:rPr>
                <w:rFonts w:ascii="仿宋" w:hAnsi="仿宋" w:eastAsia="仿宋"/>
                <w:color w:val="auto"/>
                <w:sz w:val="24"/>
              </w:rPr>
            </w:pPr>
            <w:r>
              <w:rPr>
                <w:rFonts w:ascii="仿宋" w:hAnsi="仿宋" w:eastAsia="仿宋"/>
                <w:color w:val="auto"/>
                <w:sz w:val="24"/>
              </w:rPr>
              <w:t>4</w:t>
            </w:r>
          </w:p>
        </w:tc>
        <w:tc>
          <w:tcPr>
            <w:tcW w:w="1119" w:type="pct"/>
            <w:vAlign w:val="center"/>
          </w:tcPr>
          <w:p>
            <w:pPr>
              <w:spacing w:line="520" w:lineRule="exact"/>
              <w:jc w:val="left"/>
              <w:rPr>
                <w:rFonts w:ascii="仿宋" w:hAnsi="仿宋" w:eastAsia="仿宋"/>
                <w:color w:val="auto"/>
                <w:sz w:val="24"/>
              </w:rPr>
            </w:pPr>
          </w:p>
        </w:tc>
        <w:tc>
          <w:tcPr>
            <w:tcW w:w="1728" w:type="pct"/>
            <w:vAlign w:val="center"/>
          </w:tcPr>
          <w:p>
            <w:pPr>
              <w:spacing w:line="520" w:lineRule="exact"/>
              <w:jc w:val="left"/>
              <w:rPr>
                <w:rFonts w:ascii="仿宋" w:hAnsi="仿宋" w:eastAsia="仿宋"/>
                <w:color w:val="auto"/>
                <w:sz w:val="24"/>
              </w:rPr>
            </w:pPr>
          </w:p>
        </w:tc>
        <w:tc>
          <w:tcPr>
            <w:tcW w:w="1152" w:type="pct"/>
            <w:vAlign w:val="center"/>
          </w:tcPr>
          <w:p>
            <w:pPr>
              <w:spacing w:line="520" w:lineRule="exact"/>
              <w:jc w:val="left"/>
              <w:rPr>
                <w:rFonts w:ascii="仿宋" w:hAnsi="仿宋" w:eastAsia="仿宋"/>
                <w:color w:val="auto"/>
                <w:sz w:val="24"/>
              </w:rPr>
            </w:pPr>
          </w:p>
        </w:tc>
        <w:tc>
          <w:tcPr>
            <w:tcW w:w="538" w:type="pct"/>
          </w:tcPr>
          <w:p>
            <w:pPr>
              <w:spacing w:line="520" w:lineRule="exact"/>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462" w:type="pct"/>
            <w:vAlign w:val="center"/>
          </w:tcPr>
          <w:p>
            <w:pPr>
              <w:spacing w:line="520" w:lineRule="exact"/>
              <w:jc w:val="center"/>
              <w:rPr>
                <w:rFonts w:ascii="仿宋" w:hAnsi="仿宋" w:eastAsia="仿宋"/>
                <w:color w:val="auto"/>
                <w:sz w:val="24"/>
              </w:rPr>
            </w:pPr>
            <w:r>
              <w:rPr>
                <w:rFonts w:ascii="仿宋" w:hAnsi="仿宋" w:eastAsia="仿宋"/>
                <w:color w:val="auto"/>
                <w:sz w:val="24"/>
              </w:rPr>
              <w:t>…</w:t>
            </w:r>
          </w:p>
        </w:tc>
        <w:tc>
          <w:tcPr>
            <w:tcW w:w="1119" w:type="pct"/>
            <w:vAlign w:val="center"/>
          </w:tcPr>
          <w:p>
            <w:pPr>
              <w:spacing w:line="520" w:lineRule="exact"/>
              <w:jc w:val="left"/>
              <w:rPr>
                <w:rFonts w:ascii="仿宋" w:hAnsi="仿宋" w:eastAsia="仿宋"/>
                <w:color w:val="auto"/>
                <w:sz w:val="24"/>
              </w:rPr>
            </w:pPr>
          </w:p>
        </w:tc>
        <w:tc>
          <w:tcPr>
            <w:tcW w:w="1728" w:type="pct"/>
            <w:vAlign w:val="center"/>
          </w:tcPr>
          <w:p>
            <w:pPr>
              <w:spacing w:line="520" w:lineRule="exact"/>
              <w:jc w:val="left"/>
              <w:rPr>
                <w:rFonts w:ascii="仿宋" w:hAnsi="仿宋" w:eastAsia="仿宋"/>
                <w:color w:val="auto"/>
                <w:sz w:val="24"/>
              </w:rPr>
            </w:pPr>
          </w:p>
        </w:tc>
        <w:tc>
          <w:tcPr>
            <w:tcW w:w="1152" w:type="pct"/>
            <w:vAlign w:val="center"/>
          </w:tcPr>
          <w:p>
            <w:pPr>
              <w:spacing w:line="520" w:lineRule="exact"/>
              <w:jc w:val="left"/>
              <w:rPr>
                <w:rFonts w:ascii="仿宋" w:hAnsi="仿宋" w:eastAsia="仿宋"/>
                <w:color w:val="auto"/>
                <w:sz w:val="24"/>
              </w:rPr>
            </w:pPr>
          </w:p>
        </w:tc>
        <w:tc>
          <w:tcPr>
            <w:tcW w:w="538" w:type="pct"/>
          </w:tcPr>
          <w:p>
            <w:pPr>
              <w:spacing w:line="520" w:lineRule="exact"/>
              <w:jc w:val="left"/>
              <w:rPr>
                <w:rFonts w:ascii="仿宋" w:hAnsi="仿宋" w:eastAsia="仿宋"/>
                <w:color w:val="auto"/>
                <w:sz w:val="24"/>
              </w:rPr>
            </w:pPr>
          </w:p>
        </w:tc>
      </w:tr>
    </w:tbl>
    <w:p>
      <w:pPr>
        <w:widowControl/>
        <w:spacing w:line="360" w:lineRule="atLeast"/>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注：1. 供应商必须把招标文件</w:t>
      </w:r>
      <w:r>
        <w:rPr>
          <w:rFonts w:hint="eastAsia" w:ascii="仿宋" w:hAnsi="仿宋" w:eastAsia="仿宋"/>
          <w:b/>
          <w:bCs/>
          <w:color w:val="auto"/>
          <w:sz w:val="24"/>
        </w:rPr>
        <w:t>第六章技术服务要求全部</w:t>
      </w:r>
      <w:r>
        <w:rPr>
          <w:rFonts w:hint="eastAsia" w:ascii="仿宋" w:hAnsi="仿宋" w:eastAsia="仿宋"/>
          <w:color w:val="auto"/>
          <w:sz w:val="24"/>
        </w:rPr>
        <w:t>列入此表。</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2．按照招标项目技术要求的顺序逐条对应填写。</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3．供应商必须据实填写，不得虚假填写，否则将取消其投标或中标资格。</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投标日期: XXXX。</w:t>
      </w:r>
    </w:p>
    <w:p>
      <w:pPr>
        <w:widowControl/>
        <w:spacing w:line="360" w:lineRule="atLeast"/>
        <w:ind w:firstLine="470" w:firstLineChars="196"/>
        <w:jc w:val="left"/>
        <w:rPr>
          <w:rFonts w:ascii="仿宋" w:hAnsi="仿宋" w:eastAsia="仿宋"/>
          <w:color w:val="auto"/>
          <w:sz w:val="24"/>
        </w:rPr>
      </w:pPr>
    </w:p>
    <w:p>
      <w:pPr>
        <w:spacing w:line="360" w:lineRule="auto"/>
        <w:rPr>
          <w:rFonts w:ascii="仿宋" w:hAnsi="仿宋" w:eastAsia="仿宋"/>
          <w:b/>
          <w:color w:val="auto"/>
          <w:sz w:val="32"/>
          <w:szCs w:val="32"/>
        </w:rPr>
      </w:pPr>
      <w:bookmarkStart w:id="155" w:name="_Toc217446091"/>
      <w:r>
        <w:rPr>
          <w:rFonts w:hint="eastAsia" w:ascii="仿宋" w:hAnsi="仿宋" w:eastAsia="仿宋"/>
          <w:b/>
          <w:color w:val="auto"/>
          <w:sz w:val="32"/>
          <w:szCs w:val="32"/>
        </w:rPr>
        <w:br w:type="page"/>
      </w:r>
      <w:r>
        <w:rPr>
          <w:rFonts w:hint="eastAsia" w:ascii="仿宋" w:hAnsi="仿宋" w:eastAsia="仿宋"/>
          <w:b/>
          <w:color w:val="auto"/>
          <w:sz w:val="32"/>
          <w:szCs w:val="32"/>
        </w:rPr>
        <w:t>格式2-9</w:t>
      </w:r>
    </w:p>
    <w:p>
      <w:pPr>
        <w:widowControl/>
        <w:spacing w:line="360" w:lineRule="atLeast"/>
        <w:jc w:val="center"/>
        <w:outlineLvl w:val="2"/>
        <w:rPr>
          <w:rFonts w:ascii="仿宋" w:hAnsi="仿宋" w:eastAsia="仿宋"/>
          <w:b/>
          <w:color w:val="auto"/>
          <w:sz w:val="24"/>
        </w:rPr>
      </w:pPr>
      <w:r>
        <w:rPr>
          <w:rFonts w:hint="eastAsia" w:ascii="仿宋" w:hAnsi="仿宋" w:eastAsia="仿宋"/>
          <w:b/>
          <w:color w:val="auto"/>
          <w:sz w:val="32"/>
          <w:szCs w:val="32"/>
        </w:rPr>
        <w:t>八、投标人本项目管理、技术、服务人员情况表</w:t>
      </w:r>
      <w:bookmarkEnd w:id="155"/>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招标编号：</w:t>
      </w:r>
    </w:p>
    <w:tbl>
      <w:tblPr>
        <w:tblStyle w:val="26"/>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类别</w:t>
            </w:r>
          </w:p>
        </w:tc>
        <w:tc>
          <w:tcPr>
            <w:tcW w:w="807" w:type="dxa"/>
            <w:vMerge w:val="restart"/>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职务</w:t>
            </w:r>
          </w:p>
        </w:tc>
        <w:tc>
          <w:tcPr>
            <w:tcW w:w="807" w:type="dxa"/>
            <w:vMerge w:val="restart"/>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姓名</w:t>
            </w:r>
          </w:p>
        </w:tc>
        <w:tc>
          <w:tcPr>
            <w:tcW w:w="807" w:type="dxa"/>
            <w:vMerge w:val="restart"/>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职称</w:t>
            </w:r>
          </w:p>
        </w:tc>
        <w:tc>
          <w:tcPr>
            <w:tcW w:w="807" w:type="dxa"/>
            <w:vMerge w:val="restart"/>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常住地</w:t>
            </w:r>
          </w:p>
        </w:tc>
        <w:tc>
          <w:tcPr>
            <w:tcW w:w="3390" w:type="dxa"/>
            <w:gridSpan w:val="4"/>
            <w:vAlign w:val="center"/>
          </w:tcPr>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color w:val="auto"/>
              </w:rPr>
            </w:pPr>
          </w:p>
        </w:tc>
        <w:tc>
          <w:tcPr>
            <w:tcW w:w="807" w:type="dxa"/>
            <w:vMerge w:val="continue"/>
            <w:vAlign w:val="center"/>
          </w:tcPr>
          <w:p>
            <w:pPr>
              <w:rPr>
                <w:rFonts w:ascii="仿宋" w:hAnsi="仿宋" w:eastAsia="仿宋"/>
                <w:color w:val="auto"/>
              </w:rPr>
            </w:pPr>
          </w:p>
        </w:tc>
        <w:tc>
          <w:tcPr>
            <w:tcW w:w="807" w:type="dxa"/>
            <w:vMerge w:val="continue"/>
            <w:vAlign w:val="center"/>
          </w:tcPr>
          <w:p>
            <w:pPr>
              <w:rPr>
                <w:rFonts w:ascii="仿宋" w:hAnsi="仿宋" w:eastAsia="仿宋"/>
                <w:color w:val="auto"/>
              </w:rPr>
            </w:pPr>
          </w:p>
        </w:tc>
        <w:tc>
          <w:tcPr>
            <w:tcW w:w="807" w:type="dxa"/>
            <w:vMerge w:val="continue"/>
            <w:vAlign w:val="center"/>
          </w:tcPr>
          <w:p>
            <w:pPr>
              <w:rPr>
                <w:rFonts w:ascii="仿宋" w:hAnsi="仿宋" w:eastAsia="仿宋"/>
                <w:color w:val="auto"/>
              </w:rPr>
            </w:pPr>
          </w:p>
        </w:tc>
        <w:tc>
          <w:tcPr>
            <w:tcW w:w="807" w:type="dxa"/>
            <w:vMerge w:val="continue"/>
            <w:vAlign w:val="center"/>
          </w:tcPr>
          <w:p>
            <w:pPr>
              <w:rPr>
                <w:rFonts w:ascii="仿宋" w:hAnsi="仿宋" w:eastAsia="仿宋"/>
                <w:color w:val="auto"/>
              </w:rPr>
            </w:pPr>
          </w:p>
        </w:tc>
        <w:tc>
          <w:tcPr>
            <w:tcW w:w="851"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证书</w:t>
            </w:r>
          </w:p>
          <w:p>
            <w:pPr>
              <w:widowControl/>
              <w:spacing w:line="360" w:lineRule="atLeast"/>
              <w:jc w:val="left"/>
              <w:rPr>
                <w:rFonts w:ascii="仿宋" w:hAnsi="仿宋" w:eastAsia="仿宋"/>
                <w:color w:val="auto"/>
                <w:sz w:val="24"/>
              </w:rPr>
            </w:pPr>
            <w:r>
              <w:rPr>
                <w:rFonts w:hint="eastAsia" w:ascii="仿宋" w:hAnsi="仿宋" w:eastAsia="仿宋"/>
                <w:color w:val="auto"/>
                <w:sz w:val="24"/>
              </w:rPr>
              <w:t>名称</w:t>
            </w:r>
          </w:p>
        </w:tc>
        <w:tc>
          <w:tcPr>
            <w:tcW w:w="960"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级别</w:t>
            </w:r>
          </w:p>
        </w:tc>
        <w:tc>
          <w:tcPr>
            <w:tcW w:w="847"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证号</w:t>
            </w:r>
          </w:p>
        </w:tc>
        <w:tc>
          <w:tcPr>
            <w:tcW w:w="732"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color w:val="auto"/>
                <w:sz w:val="24"/>
              </w:rPr>
            </w:pPr>
            <w:r>
              <w:rPr>
                <w:rFonts w:hint="eastAsia" w:ascii="仿宋" w:hAnsi="仿宋" w:eastAsia="仿宋"/>
                <w:color w:val="auto"/>
                <w:sz w:val="24"/>
              </w:rPr>
              <w:t>管理</w:t>
            </w:r>
          </w:p>
          <w:p>
            <w:pPr>
              <w:widowControl/>
              <w:spacing w:line="360" w:lineRule="atLeast"/>
              <w:jc w:val="left"/>
              <w:rPr>
                <w:rFonts w:ascii="仿宋" w:hAnsi="仿宋" w:eastAsia="仿宋"/>
                <w:color w:val="auto"/>
                <w:sz w:val="24"/>
              </w:rPr>
            </w:pPr>
            <w:r>
              <w:rPr>
                <w:rFonts w:hint="eastAsia" w:ascii="仿宋" w:hAnsi="仿宋" w:eastAsia="仿宋"/>
                <w:color w:val="auto"/>
                <w:sz w:val="24"/>
              </w:rPr>
              <w:t>人员</w:t>
            </w: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auto"/>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auto"/>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仿宋" w:hAnsi="仿宋" w:eastAsia="仿宋"/>
                <w:color w:val="auto"/>
                <w:sz w:val="24"/>
              </w:rPr>
            </w:pPr>
            <w:r>
              <w:rPr>
                <w:rFonts w:hint="eastAsia" w:ascii="仿宋" w:hAnsi="仿宋" w:eastAsia="仿宋"/>
                <w:color w:val="auto"/>
                <w:sz w:val="24"/>
              </w:rPr>
              <w:t>技术</w:t>
            </w:r>
          </w:p>
          <w:p>
            <w:pPr>
              <w:widowControl/>
              <w:spacing w:line="360" w:lineRule="atLeast"/>
              <w:jc w:val="left"/>
              <w:rPr>
                <w:rFonts w:ascii="仿宋" w:hAnsi="仿宋" w:eastAsia="仿宋"/>
                <w:color w:val="auto"/>
                <w:sz w:val="24"/>
              </w:rPr>
            </w:pPr>
            <w:r>
              <w:rPr>
                <w:rFonts w:hint="eastAsia" w:ascii="仿宋" w:hAnsi="仿宋" w:eastAsia="仿宋"/>
                <w:color w:val="auto"/>
                <w:sz w:val="24"/>
              </w:rPr>
              <w:t>人员</w:t>
            </w: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auto"/>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auto"/>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color w:val="auto"/>
                <w:sz w:val="24"/>
              </w:rPr>
            </w:pPr>
            <w:r>
              <w:rPr>
                <w:rFonts w:hint="eastAsia" w:ascii="仿宋" w:hAnsi="仿宋" w:eastAsia="仿宋"/>
                <w:color w:val="auto"/>
                <w:sz w:val="24"/>
              </w:rPr>
              <w:t>售后服务人员</w:t>
            </w: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color w:val="auto"/>
              </w:rPr>
            </w:pPr>
          </w:p>
        </w:tc>
        <w:tc>
          <w:tcPr>
            <w:tcW w:w="807" w:type="dxa"/>
            <w:tcBorders>
              <w:bottom w:val="single" w:color="auto" w:sz="4" w:space="0"/>
            </w:tcBorders>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bl>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投标日期: XXXX。</w:t>
      </w:r>
    </w:p>
    <w:p>
      <w:pPr>
        <w:widowControl/>
        <w:spacing w:line="360" w:lineRule="atLeast"/>
        <w:ind w:firstLine="470" w:firstLineChars="196"/>
        <w:jc w:val="left"/>
        <w:rPr>
          <w:rFonts w:ascii="仿宋" w:hAnsi="仿宋" w:eastAsia="仿宋"/>
          <w:b/>
          <w:color w:val="auto"/>
          <w:sz w:val="24"/>
        </w:rPr>
      </w:pPr>
      <w:r>
        <w:rPr>
          <w:rFonts w:hint="eastAsia" w:ascii="仿宋" w:hAnsi="仿宋" w:eastAsia="仿宋"/>
          <w:color w:val="auto"/>
          <w:sz w:val="24"/>
        </w:rPr>
        <w:t>备注：此表填写的管理人员将作为判定87号令第37条依据。</w:t>
      </w:r>
    </w:p>
    <w:p>
      <w:pPr>
        <w:rPr>
          <w:rFonts w:hint="eastAsia" w:ascii="仿宋" w:hAnsi="仿宋" w:eastAsia="仿宋"/>
          <w:b/>
          <w:color w:val="auto"/>
          <w:sz w:val="32"/>
          <w:szCs w:val="32"/>
        </w:rPr>
      </w:pPr>
      <w:r>
        <w:rPr>
          <w:rFonts w:hint="eastAsia" w:ascii="仿宋" w:hAnsi="仿宋" w:eastAsia="仿宋"/>
          <w:b/>
          <w:color w:val="auto"/>
          <w:sz w:val="32"/>
          <w:szCs w:val="32"/>
        </w:rPr>
        <w:br w:type="page"/>
      </w:r>
    </w:p>
    <w:p>
      <w:pPr>
        <w:spacing w:after="0" w:line="360" w:lineRule="auto"/>
        <w:rPr>
          <w:rFonts w:ascii="仿宋" w:hAnsi="仿宋" w:eastAsia="仿宋"/>
          <w:b/>
          <w:color w:val="auto"/>
          <w:sz w:val="32"/>
          <w:szCs w:val="32"/>
        </w:rPr>
      </w:pPr>
      <w:r>
        <w:rPr>
          <w:rFonts w:hint="eastAsia" w:ascii="仿宋" w:hAnsi="仿宋" w:eastAsia="仿宋"/>
          <w:b/>
          <w:color w:val="auto"/>
          <w:sz w:val="32"/>
          <w:szCs w:val="32"/>
        </w:rPr>
        <w:t>格式2-10</w:t>
      </w:r>
    </w:p>
    <w:p>
      <w:pPr>
        <w:widowControl/>
        <w:spacing w:after="0" w:line="360" w:lineRule="atLeast"/>
        <w:jc w:val="center"/>
        <w:outlineLvl w:val="2"/>
        <w:rPr>
          <w:rFonts w:ascii="仿宋" w:hAnsi="仿宋" w:eastAsia="仿宋"/>
          <w:b/>
          <w:color w:val="auto"/>
          <w:sz w:val="32"/>
          <w:szCs w:val="32"/>
        </w:rPr>
      </w:pPr>
      <w:bookmarkStart w:id="156" w:name="_Toc28495"/>
      <w:bookmarkStart w:id="157" w:name="_Toc28654"/>
      <w:r>
        <w:rPr>
          <w:rFonts w:hint="eastAsia" w:ascii="仿宋" w:hAnsi="仿宋" w:eastAsia="仿宋"/>
          <w:b/>
          <w:color w:val="auto"/>
          <w:sz w:val="32"/>
          <w:szCs w:val="32"/>
        </w:rPr>
        <w:t>九、中小企业声明函</w:t>
      </w:r>
    </w:p>
    <w:p>
      <w:pPr>
        <w:widowControl/>
        <w:spacing w:after="0" w:line="360" w:lineRule="atLeast"/>
        <w:jc w:val="center"/>
        <w:rPr>
          <w:rFonts w:ascii="仿宋" w:hAnsi="仿宋" w:eastAsia="仿宋"/>
          <w:b/>
          <w:color w:val="auto"/>
          <w:sz w:val="32"/>
          <w:szCs w:val="32"/>
        </w:rPr>
      </w:pPr>
    </w:p>
    <w:p>
      <w:pPr>
        <w:ind w:firstLine="480"/>
        <w:rPr>
          <w:rFonts w:ascii="仿宋" w:hAnsi="仿宋" w:eastAsia="仿宋"/>
          <w:color w:val="auto"/>
          <w:sz w:val="24"/>
        </w:rPr>
      </w:pPr>
      <w:r>
        <w:rPr>
          <w:rFonts w:ascii="仿宋" w:hAnsi="仿宋" w:eastAsia="仿宋"/>
          <w:color w:val="auto"/>
          <w:sz w:val="24"/>
        </w:rPr>
        <w:t>本公司（联合体）郑重声明，根据《政府采购促进中小</w:t>
      </w:r>
      <w:r>
        <w:rPr>
          <w:rFonts w:hint="eastAsia" w:ascii="仿宋" w:hAnsi="仿宋" w:eastAsia="仿宋"/>
          <w:color w:val="auto"/>
          <w:sz w:val="24"/>
        </w:rPr>
        <w:t>企业发展管理办法》（财库﹝2020﹞46 号）的规定，本公司（联合体）参加</w:t>
      </w:r>
      <w:r>
        <w:rPr>
          <w:rFonts w:hint="eastAsia" w:ascii="仿宋" w:hAnsi="仿宋" w:eastAsia="仿宋"/>
          <w:color w:val="auto"/>
          <w:sz w:val="24"/>
          <w:u w:val="single"/>
        </w:rPr>
        <w:t>（单位名称）</w:t>
      </w:r>
      <w:r>
        <w:rPr>
          <w:rFonts w:hint="eastAsia" w:ascii="仿宋" w:hAnsi="仿宋" w:eastAsia="仿宋"/>
          <w:color w:val="auto"/>
          <w:sz w:val="24"/>
        </w:rPr>
        <w:t>的</w:t>
      </w:r>
      <w:r>
        <w:rPr>
          <w:rFonts w:hint="eastAsia" w:ascii="仿宋" w:hAnsi="仿宋" w:eastAsia="仿宋"/>
          <w:color w:val="auto"/>
          <w:sz w:val="24"/>
          <w:u w:val="single"/>
        </w:rPr>
        <w:t>（项目名称）</w:t>
      </w:r>
      <w:r>
        <w:rPr>
          <w:rFonts w:hint="eastAsia" w:ascii="仿宋" w:hAnsi="仿宋" w:eastAsia="仿宋"/>
          <w:color w:val="auto"/>
          <w:sz w:val="24"/>
        </w:rPr>
        <w:t>采购活动，服务全部由符合政策要求的中小企业承接。相关企业（含联合体中的中小企业、签订分包意向协议的中小企业）的具体情况如下：</w:t>
      </w:r>
    </w:p>
    <w:p>
      <w:pPr>
        <w:ind w:firstLine="480"/>
        <w:rPr>
          <w:rFonts w:ascii="仿宋" w:hAnsi="仿宋" w:eastAsia="仿宋"/>
          <w:color w:val="auto"/>
          <w:sz w:val="24"/>
        </w:rPr>
      </w:pPr>
      <w:r>
        <w:rPr>
          <w:rFonts w:hint="eastAsia" w:ascii="仿宋" w:hAnsi="仿宋" w:eastAsia="仿宋"/>
          <w:color w:val="auto"/>
          <w:sz w:val="24"/>
        </w:rPr>
        <w:t xml:space="preserve">1. </w:t>
      </w:r>
      <w:r>
        <w:rPr>
          <w:rFonts w:hint="eastAsia" w:ascii="仿宋" w:hAnsi="仿宋" w:eastAsia="仿宋"/>
          <w:color w:val="auto"/>
          <w:sz w:val="24"/>
          <w:u w:val="single"/>
        </w:rPr>
        <w:t>（标的名称）</w:t>
      </w:r>
      <w:r>
        <w:rPr>
          <w:rFonts w:hint="eastAsia" w:ascii="仿宋" w:hAnsi="仿宋" w:eastAsia="仿宋"/>
          <w:color w:val="auto"/>
          <w:sz w:val="24"/>
        </w:rPr>
        <w:t xml:space="preserve"> ，属于</w:t>
      </w:r>
      <w:r>
        <w:rPr>
          <w:rFonts w:hint="eastAsia" w:ascii="仿宋" w:hAnsi="仿宋" w:eastAsia="仿宋"/>
          <w:color w:val="auto"/>
          <w:sz w:val="24"/>
          <w:u w:val="single"/>
        </w:rPr>
        <w:t>（采购文件中明确的所属行业）</w:t>
      </w:r>
      <w:r>
        <w:rPr>
          <w:rFonts w:hint="eastAsia" w:ascii="仿宋" w:hAnsi="仿宋" w:eastAsia="仿宋"/>
          <w:color w:val="auto"/>
          <w:sz w:val="24"/>
        </w:rPr>
        <w:t>；承接企业为</w:t>
      </w:r>
      <w:r>
        <w:rPr>
          <w:rFonts w:hint="eastAsia" w:ascii="仿宋" w:hAnsi="仿宋" w:eastAsia="仿宋"/>
          <w:color w:val="auto"/>
          <w:sz w:val="24"/>
          <w:u w:val="single"/>
        </w:rPr>
        <w:t>（企业名称）</w:t>
      </w:r>
      <w:r>
        <w:rPr>
          <w:rFonts w:hint="eastAsia" w:ascii="仿宋" w:hAnsi="仿宋" w:eastAsia="仿宋"/>
          <w:color w:val="auto"/>
          <w:sz w:val="24"/>
        </w:rPr>
        <w:t>，从业人员</w:t>
      </w:r>
      <w:r>
        <w:rPr>
          <w:rFonts w:hint="eastAsia" w:ascii="仿宋" w:hAnsi="仿宋" w:eastAsia="仿宋"/>
          <w:color w:val="auto"/>
          <w:sz w:val="24"/>
          <w:u w:val="single"/>
        </w:rPr>
        <w:t xml:space="preserve">    </w:t>
      </w:r>
      <w:r>
        <w:rPr>
          <w:rFonts w:hint="eastAsia" w:ascii="仿宋" w:hAnsi="仿宋" w:eastAsia="仿宋"/>
          <w:color w:val="auto"/>
          <w:sz w:val="24"/>
        </w:rPr>
        <w:t>人，营业收入为</w:t>
      </w:r>
      <w:r>
        <w:rPr>
          <w:rFonts w:hint="eastAsia" w:ascii="仿宋" w:hAnsi="仿宋" w:eastAsia="仿宋"/>
          <w:color w:val="auto"/>
          <w:sz w:val="24"/>
          <w:u w:val="single"/>
        </w:rPr>
        <w:t xml:space="preserve">    </w:t>
      </w:r>
      <w:r>
        <w:rPr>
          <w:rFonts w:hint="eastAsia" w:ascii="仿宋" w:hAnsi="仿宋" w:eastAsia="仿宋"/>
          <w:color w:val="auto"/>
          <w:sz w:val="24"/>
        </w:rPr>
        <w:t>万元，资产总额为</w:t>
      </w:r>
      <w:r>
        <w:rPr>
          <w:rFonts w:hint="eastAsia" w:ascii="仿宋" w:hAnsi="仿宋" w:eastAsia="仿宋"/>
          <w:color w:val="auto"/>
          <w:sz w:val="24"/>
          <w:u w:val="single"/>
        </w:rPr>
        <w:t xml:space="preserve">    </w:t>
      </w:r>
      <w:r>
        <w:rPr>
          <w:rFonts w:hint="eastAsia" w:ascii="仿宋" w:hAnsi="仿宋" w:eastAsia="仿宋"/>
          <w:color w:val="auto"/>
          <w:sz w:val="24"/>
        </w:rPr>
        <w:t>万元，属于</w:t>
      </w:r>
      <w:r>
        <w:rPr>
          <w:rFonts w:hint="eastAsia" w:ascii="仿宋" w:hAnsi="仿宋" w:eastAsia="仿宋"/>
          <w:color w:val="auto"/>
          <w:sz w:val="24"/>
          <w:u w:val="single"/>
        </w:rPr>
        <w:t>（中型企业、小型企业、微型企业）</w:t>
      </w:r>
      <w:r>
        <w:rPr>
          <w:rFonts w:hint="eastAsia" w:ascii="仿宋" w:hAnsi="仿宋" w:eastAsia="仿宋"/>
          <w:color w:val="auto"/>
          <w:sz w:val="24"/>
        </w:rPr>
        <w:t xml:space="preserve">； </w:t>
      </w:r>
    </w:p>
    <w:p>
      <w:pPr>
        <w:ind w:firstLine="480"/>
        <w:rPr>
          <w:rFonts w:ascii="仿宋" w:hAnsi="仿宋" w:eastAsia="仿宋"/>
          <w:color w:val="auto"/>
          <w:sz w:val="24"/>
        </w:rPr>
      </w:pPr>
      <w:r>
        <w:rPr>
          <w:rFonts w:hint="eastAsia" w:ascii="仿宋" w:hAnsi="仿宋" w:eastAsia="仿宋"/>
          <w:color w:val="auto"/>
          <w:sz w:val="24"/>
        </w:rPr>
        <w:t xml:space="preserve">2. </w:t>
      </w:r>
      <w:r>
        <w:rPr>
          <w:rFonts w:hint="eastAsia" w:ascii="仿宋" w:hAnsi="仿宋" w:eastAsia="仿宋"/>
          <w:color w:val="auto"/>
          <w:sz w:val="24"/>
          <w:u w:val="single"/>
        </w:rPr>
        <w:t>（标的名称）</w:t>
      </w:r>
      <w:r>
        <w:rPr>
          <w:rFonts w:hint="eastAsia" w:ascii="仿宋" w:hAnsi="仿宋" w:eastAsia="仿宋"/>
          <w:color w:val="auto"/>
          <w:sz w:val="24"/>
        </w:rPr>
        <w:t xml:space="preserve"> ，属于</w:t>
      </w:r>
      <w:r>
        <w:rPr>
          <w:rFonts w:hint="eastAsia" w:ascii="仿宋" w:hAnsi="仿宋" w:eastAsia="仿宋"/>
          <w:color w:val="auto"/>
          <w:sz w:val="24"/>
          <w:u w:val="single"/>
        </w:rPr>
        <w:t>（采购文件中明确的所属行业）</w:t>
      </w:r>
      <w:r>
        <w:rPr>
          <w:rFonts w:hint="eastAsia" w:ascii="仿宋" w:hAnsi="仿宋" w:eastAsia="仿宋"/>
          <w:color w:val="auto"/>
          <w:sz w:val="24"/>
        </w:rPr>
        <w:t>；承接企业为</w:t>
      </w:r>
      <w:r>
        <w:rPr>
          <w:rFonts w:hint="eastAsia" w:ascii="仿宋" w:hAnsi="仿宋" w:eastAsia="仿宋"/>
          <w:color w:val="auto"/>
          <w:sz w:val="24"/>
          <w:u w:val="single"/>
        </w:rPr>
        <w:t>（企业名称）</w:t>
      </w:r>
      <w:r>
        <w:rPr>
          <w:rFonts w:hint="eastAsia" w:ascii="仿宋" w:hAnsi="仿宋" w:eastAsia="仿宋"/>
          <w:color w:val="auto"/>
          <w:sz w:val="24"/>
        </w:rPr>
        <w:t>，从业人员</w:t>
      </w:r>
      <w:r>
        <w:rPr>
          <w:rFonts w:hint="eastAsia" w:ascii="仿宋" w:hAnsi="仿宋" w:eastAsia="仿宋"/>
          <w:color w:val="auto"/>
          <w:sz w:val="24"/>
          <w:u w:val="single"/>
        </w:rPr>
        <w:t xml:space="preserve">    </w:t>
      </w:r>
      <w:r>
        <w:rPr>
          <w:rFonts w:hint="eastAsia" w:ascii="仿宋" w:hAnsi="仿宋" w:eastAsia="仿宋"/>
          <w:color w:val="auto"/>
          <w:sz w:val="24"/>
        </w:rPr>
        <w:t>人，营业收入为</w:t>
      </w:r>
      <w:r>
        <w:rPr>
          <w:rFonts w:hint="eastAsia" w:ascii="仿宋" w:hAnsi="仿宋" w:eastAsia="仿宋"/>
          <w:color w:val="auto"/>
          <w:sz w:val="24"/>
          <w:u w:val="single"/>
        </w:rPr>
        <w:t xml:space="preserve">    </w:t>
      </w:r>
      <w:r>
        <w:rPr>
          <w:rFonts w:hint="eastAsia" w:ascii="仿宋" w:hAnsi="仿宋" w:eastAsia="仿宋"/>
          <w:color w:val="auto"/>
          <w:sz w:val="24"/>
        </w:rPr>
        <w:t>万元，资产总额为</w:t>
      </w:r>
      <w:r>
        <w:rPr>
          <w:rFonts w:hint="eastAsia" w:ascii="仿宋" w:hAnsi="仿宋" w:eastAsia="仿宋"/>
          <w:color w:val="auto"/>
          <w:sz w:val="24"/>
          <w:u w:val="single"/>
        </w:rPr>
        <w:t xml:space="preserve">    </w:t>
      </w:r>
      <w:r>
        <w:rPr>
          <w:rFonts w:hint="eastAsia" w:ascii="仿宋" w:hAnsi="仿宋" w:eastAsia="仿宋"/>
          <w:color w:val="auto"/>
          <w:sz w:val="24"/>
        </w:rPr>
        <w:t>万元，属于</w:t>
      </w:r>
      <w:r>
        <w:rPr>
          <w:rFonts w:hint="eastAsia" w:ascii="仿宋" w:hAnsi="仿宋" w:eastAsia="仿宋"/>
          <w:color w:val="auto"/>
          <w:sz w:val="24"/>
          <w:u w:val="single"/>
        </w:rPr>
        <w:t>（中型企业、小型企业、微型企业）</w:t>
      </w:r>
      <w:r>
        <w:rPr>
          <w:rFonts w:hint="eastAsia" w:ascii="仿宋" w:hAnsi="仿宋" w:eastAsia="仿宋"/>
          <w:color w:val="auto"/>
          <w:sz w:val="24"/>
        </w:rPr>
        <w:t xml:space="preserve">； </w:t>
      </w:r>
    </w:p>
    <w:p>
      <w:pPr>
        <w:ind w:firstLine="480"/>
        <w:rPr>
          <w:rFonts w:ascii="仿宋" w:hAnsi="仿宋" w:eastAsia="仿宋"/>
          <w:color w:val="auto"/>
          <w:sz w:val="24"/>
        </w:rPr>
      </w:pPr>
      <w:r>
        <w:rPr>
          <w:rFonts w:hint="eastAsia" w:ascii="仿宋" w:hAnsi="仿宋" w:eastAsia="仿宋"/>
          <w:color w:val="auto"/>
          <w:sz w:val="24"/>
        </w:rPr>
        <w:t>……</w:t>
      </w:r>
    </w:p>
    <w:p>
      <w:pPr>
        <w:ind w:firstLine="480"/>
        <w:rPr>
          <w:rFonts w:ascii="仿宋" w:hAnsi="仿宋" w:eastAsia="仿宋"/>
          <w:color w:val="auto"/>
          <w:sz w:val="24"/>
        </w:rPr>
      </w:pPr>
      <w:r>
        <w:rPr>
          <w:rFonts w:hint="eastAsia" w:ascii="仿宋" w:hAnsi="仿宋" w:eastAsia="仿宋"/>
          <w:color w:val="auto"/>
          <w:sz w:val="24"/>
        </w:rPr>
        <w:t>以上企业，不属于大企业的分支机构，不存在控股股东为大企业的情形，也不存在与大企业的负责人为同一人的情形。</w:t>
      </w:r>
    </w:p>
    <w:p>
      <w:pPr>
        <w:ind w:firstLine="480"/>
        <w:rPr>
          <w:rFonts w:ascii="仿宋" w:hAnsi="仿宋" w:eastAsia="仿宋"/>
          <w:color w:val="auto"/>
          <w:sz w:val="24"/>
        </w:rPr>
      </w:pPr>
      <w:r>
        <w:rPr>
          <w:rFonts w:hint="eastAsia" w:ascii="仿宋" w:hAnsi="仿宋" w:eastAsia="仿宋"/>
          <w:color w:val="auto"/>
          <w:sz w:val="24"/>
        </w:rPr>
        <w:t xml:space="preserve">本企业对上述声明内容的真实性负责。如有虚假，将依法承担相应责任。 </w:t>
      </w:r>
    </w:p>
    <w:p>
      <w:pPr>
        <w:ind w:firstLine="480"/>
        <w:rPr>
          <w:rFonts w:ascii="仿宋" w:hAnsi="仿宋" w:eastAsia="仿宋"/>
          <w:color w:val="auto"/>
          <w:sz w:val="24"/>
        </w:rPr>
      </w:pPr>
      <w:r>
        <w:rPr>
          <w:rFonts w:hint="eastAsia" w:ascii="仿宋" w:hAnsi="仿宋" w:eastAsia="仿宋"/>
          <w:color w:val="auto"/>
          <w:sz w:val="24"/>
        </w:rPr>
        <w:t xml:space="preserve">                       </w:t>
      </w:r>
    </w:p>
    <w:p>
      <w:pPr>
        <w:ind w:firstLine="5760" w:firstLineChars="2400"/>
        <w:jc w:val="left"/>
        <w:rPr>
          <w:rFonts w:ascii="仿宋" w:hAnsi="仿宋" w:eastAsia="仿宋"/>
          <w:color w:val="auto"/>
          <w:sz w:val="24"/>
        </w:rPr>
      </w:pPr>
      <w:r>
        <w:rPr>
          <w:rFonts w:hint="eastAsia" w:ascii="仿宋" w:hAnsi="仿宋" w:eastAsia="仿宋"/>
          <w:color w:val="auto"/>
          <w:sz w:val="24"/>
        </w:rPr>
        <w:t xml:space="preserve">企业名称（盖章）： </w:t>
      </w:r>
    </w:p>
    <w:p>
      <w:pPr>
        <w:ind w:firstLine="480"/>
        <w:jc w:val="left"/>
        <w:rPr>
          <w:rFonts w:ascii="仿宋" w:hAnsi="仿宋" w:eastAsia="仿宋"/>
          <w:color w:val="auto"/>
          <w:sz w:val="24"/>
        </w:rPr>
      </w:pPr>
      <w:r>
        <w:rPr>
          <w:rFonts w:hint="eastAsia" w:ascii="仿宋" w:hAnsi="仿宋" w:eastAsia="仿宋"/>
          <w:color w:val="auto"/>
          <w:sz w:val="24"/>
        </w:rPr>
        <w:t xml:space="preserve">                                            日 期：</w:t>
      </w:r>
    </w:p>
    <w:p>
      <w:pPr>
        <w:ind w:firstLine="480"/>
        <w:rPr>
          <w:rFonts w:ascii="仿宋" w:hAnsi="仿宋" w:eastAsia="仿宋"/>
          <w:color w:val="auto"/>
          <w:sz w:val="24"/>
        </w:rPr>
      </w:pPr>
    </w:p>
    <w:p>
      <w:pPr>
        <w:ind w:firstLine="480"/>
        <w:rPr>
          <w:rFonts w:ascii="仿宋" w:hAnsi="仿宋" w:eastAsia="仿宋"/>
          <w:color w:val="auto"/>
          <w:sz w:val="24"/>
        </w:rPr>
      </w:pPr>
    </w:p>
    <w:p>
      <w:pPr>
        <w:adjustRightInd w:val="0"/>
        <w:rPr>
          <w:rFonts w:ascii="仿宋" w:hAnsi="仿宋" w:eastAsia="仿宋"/>
          <w:color w:val="auto"/>
          <w:sz w:val="24"/>
        </w:rPr>
      </w:pPr>
      <w:r>
        <w:rPr>
          <w:rFonts w:hint="eastAsia" w:ascii="仿宋" w:hAnsi="仿宋" w:eastAsia="仿宋" w:cs="仿宋"/>
          <w:color w:val="auto"/>
          <w:sz w:val="24"/>
        </w:rPr>
        <w:t>注：</w:t>
      </w:r>
    </w:p>
    <w:p>
      <w:pPr>
        <w:adjustRightInd w:val="0"/>
        <w:spacing w:line="288" w:lineRule="auto"/>
        <w:ind w:firstLine="420"/>
        <w:rPr>
          <w:rFonts w:ascii="仿宋" w:hAnsi="仿宋" w:eastAsia="仿宋"/>
          <w:bCs/>
          <w:color w:val="auto"/>
          <w:szCs w:val="21"/>
        </w:rPr>
      </w:pPr>
      <w:r>
        <w:rPr>
          <w:rFonts w:hint="eastAsia" w:ascii="仿宋" w:hAnsi="仿宋" w:eastAsia="仿宋"/>
          <w:bCs/>
          <w:color w:val="auto"/>
          <w:szCs w:val="21"/>
        </w:rPr>
        <w:t>从业人员、营业收入、资产总额填报上一年度数据，无上一年度数据的新成立企业可不填报。</w:t>
      </w:r>
    </w:p>
    <w:p>
      <w:pPr>
        <w:rPr>
          <w:rFonts w:ascii="仿宋" w:hAnsi="仿宋" w:eastAsia="仿宋"/>
          <w:b/>
          <w:color w:val="auto"/>
          <w:sz w:val="32"/>
          <w:szCs w:val="32"/>
        </w:rPr>
      </w:pPr>
      <w:r>
        <w:rPr>
          <w:rFonts w:hint="eastAsia" w:ascii="仿宋" w:hAnsi="仿宋" w:eastAsia="仿宋"/>
          <w:b/>
          <w:color w:val="auto"/>
          <w:sz w:val="32"/>
          <w:szCs w:val="32"/>
        </w:rPr>
        <w:br w:type="page"/>
      </w:r>
    </w:p>
    <w:p>
      <w:pPr>
        <w:spacing w:after="0" w:line="360" w:lineRule="auto"/>
        <w:rPr>
          <w:rFonts w:ascii="仿宋" w:hAnsi="仿宋" w:eastAsia="仿宋"/>
          <w:b/>
          <w:color w:val="auto"/>
          <w:sz w:val="32"/>
          <w:szCs w:val="32"/>
        </w:rPr>
      </w:pPr>
      <w:r>
        <w:rPr>
          <w:rFonts w:hint="eastAsia" w:ascii="仿宋" w:hAnsi="仿宋" w:eastAsia="仿宋"/>
          <w:b/>
          <w:color w:val="auto"/>
          <w:sz w:val="32"/>
          <w:szCs w:val="32"/>
        </w:rPr>
        <w:t>格式2-11</w:t>
      </w:r>
    </w:p>
    <w:p>
      <w:pPr>
        <w:jc w:val="center"/>
        <w:outlineLvl w:val="2"/>
        <w:rPr>
          <w:rFonts w:ascii="仿宋" w:hAnsi="仿宋" w:eastAsia="仿宋"/>
          <w:b/>
          <w:color w:val="auto"/>
          <w:sz w:val="32"/>
          <w:szCs w:val="32"/>
        </w:rPr>
      </w:pPr>
      <w:r>
        <w:rPr>
          <w:rFonts w:hint="eastAsia" w:ascii="仿宋" w:hAnsi="仿宋" w:eastAsia="仿宋"/>
          <w:b/>
          <w:color w:val="auto"/>
          <w:sz w:val="32"/>
          <w:szCs w:val="32"/>
        </w:rPr>
        <w:t>十、残疾人福利性单位声明函</w:t>
      </w:r>
    </w:p>
    <w:p>
      <w:pPr>
        <w:spacing w:line="588" w:lineRule="exact"/>
        <w:rPr>
          <w:rFonts w:ascii="仿宋" w:hAnsi="仿宋" w:eastAsia="仿宋" w:cs="宋体"/>
          <w:b/>
          <w:color w:val="auto"/>
          <w:spacing w:val="6"/>
          <w:sz w:val="24"/>
        </w:rPr>
      </w:pPr>
    </w:p>
    <w:p>
      <w:pPr>
        <w:ind w:firstLine="480"/>
        <w:rPr>
          <w:rFonts w:ascii="仿宋" w:hAnsi="仿宋" w:eastAsia="仿宋"/>
          <w:color w:val="auto"/>
          <w:sz w:val="24"/>
        </w:rPr>
      </w:pPr>
      <w:r>
        <w:rPr>
          <w:rFonts w:ascii="仿宋" w:hAnsi="仿宋" w:eastAsia="仿宋"/>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141号）的规定，本单位为符合条件的残疾人福利性单位，且本单位参加______单位的______项目采购活动，由本单位提供服务。</w:t>
      </w:r>
    </w:p>
    <w:p>
      <w:pPr>
        <w:ind w:firstLine="480"/>
        <w:rPr>
          <w:rFonts w:ascii="仿宋" w:hAnsi="仿宋" w:eastAsia="仿宋"/>
          <w:color w:val="auto"/>
          <w:sz w:val="24"/>
        </w:rPr>
      </w:pPr>
      <w:r>
        <w:rPr>
          <w:rFonts w:ascii="仿宋" w:hAnsi="仿宋" w:eastAsia="仿宋"/>
          <w:color w:val="auto"/>
          <w:sz w:val="24"/>
        </w:rPr>
        <w:t>本单位对上述声明的真实性负责。如有虚假，将依法承担相应责任。</w:t>
      </w:r>
    </w:p>
    <w:p>
      <w:pPr>
        <w:ind w:firstLine="480"/>
        <w:rPr>
          <w:rFonts w:ascii="仿宋" w:hAnsi="仿宋" w:eastAsia="仿宋"/>
          <w:color w:val="auto"/>
          <w:sz w:val="24"/>
        </w:rPr>
      </w:pPr>
    </w:p>
    <w:p>
      <w:pPr>
        <w:ind w:firstLine="480"/>
        <w:rPr>
          <w:rFonts w:ascii="仿宋" w:hAnsi="仿宋" w:eastAsia="仿宋"/>
          <w:color w:val="auto"/>
          <w:sz w:val="24"/>
        </w:rPr>
      </w:pPr>
    </w:p>
    <w:p>
      <w:pPr>
        <w:ind w:firstLine="480"/>
        <w:rPr>
          <w:rFonts w:ascii="仿宋" w:hAnsi="仿宋" w:eastAsia="仿宋"/>
          <w:color w:val="auto"/>
          <w:sz w:val="24"/>
        </w:rPr>
      </w:pPr>
      <w:r>
        <w:rPr>
          <w:rFonts w:ascii="仿宋" w:hAnsi="仿宋" w:eastAsia="仿宋"/>
          <w:color w:val="auto"/>
          <w:sz w:val="24"/>
        </w:rPr>
        <w:t>单位名称（盖章）：</w:t>
      </w:r>
    </w:p>
    <w:p>
      <w:pPr>
        <w:ind w:firstLine="480"/>
        <w:rPr>
          <w:rFonts w:ascii="仿宋" w:hAnsi="仿宋" w:eastAsia="仿宋"/>
          <w:color w:val="auto"/>
          <w:sz w:val="24"/>
        </w:rPr>
      </w:pPr>
      <w:r>
        <w:rPr>
          <w:rFonts w:ascii="仿宋" w:hAnsi="仿宋" w:eastAsia="仿宋"/>
          <w:color w:val="auto"/>
          <w:sz w:val="24"/>
        </w:rPr>
        <w:t>日    期：</w:t>
      </w:r>
    </w:p>
    <w:p>
      <w:pPr>
        <w:rPr>
          <w:rFonts w:ascii="仿宋" w:hAnsi="仿宋" w:eastAsia="仿宋"/>
          <w:color w:val="auto"/>
        </w:rPr>
      </w:pPr>
    </w:p>
    <w:p>
      <w:pPr>
        <w:rPr>
          <w:rFonts w:ascii="仿宋" w:hAnsi="仿宋" w:eastAsia="仿宋"/>
          <w:color w:val="auto"/>
        </w:rPr>
      </w:pPr>
    </w:p>
    <w:p>
      <w:pPr>
        <w:ind w:firstLine="420"/>
        <w:rPr>
          <w:rFonts w:ascii="仿宋" w:hAnsi="仿宋" w:eastAsia="仿宋"/>
          <w:color w:val="auto"/>
          <w:szCs w:val="21"/>
        </w:rPr>
      </w:pPr>
      <w:r>
        <w:rPr>
          <w:rFonts w:ascii="仿宋" w:hAnsi="仿宋" w:eastAsia="仿宋"/>
          <w:color w:val="auto"/>
          <w:szCs w:val="21"/>
        </w:rPr>
        <w:t>说明：</w:t>
      </w:r>
    </w:p>
    <w:p>
      <w:pPr>
        <w:adjustRightInd w:val="0"/>
        <w:rPr>
          <w:rFonts w:ascii="仿宋" w:hAnsi="仿宋" w:eastAsia="仿宋" w:cs="仿宋"/>
          <w:color w:val="auto"/>
          <w:sz w:val="24"/>
        </w:rPr>
      </w:pPr>
      <w:r>
        <w:rPr>
          <w:rFonts w:hint="eastAsia" w:ascii="仿宋" w:hAnsi="仿宋" w:eastAsia="仿宋" w:cs="仿宋"/>
          <w:color w:val="auto"/>
          <w:sz w:val="24"/>
        </w:rPr>
        <w:t>注：</w:t>
      </w:r>
    </w:p>
    <w:p>
      <w:pPr>
        <w:adjustRightInd w:val="0"/>
        <w:ind w:firstLine="420"/>
        <w:rPr>
          <w:rFonts w:ascii="仿宋" w:hAnsi="仿宋" w:eastAsia="仿宋" w:cs="仿宋"/>
          <w:color w:val="auto"/>
          <w:szCs w:val="21"/>
        </w:rPr>
      </w:pPr>
      <w:r>
        <w:rPr>
          <w:rFonts w:hint="eastAsia" w:ascii="仿宋" w:hAnsi="仿宋" w:eastAsia="仿宋" w:cs="仿宋"/>
          <w:color w:val="auto"/>
          <w:szCs w:val="21"/>
        </w:rPr>
        <w:t>1.残疾人福利性单位视同小型、微型企业，享受预留份额等促进中小企业发展的政府采购政策。</w:t>
      </w:r>
    </w:p>
    <w:p>
      <w:pPr>
        <w:rPr>
          <w:rFonts w:ascii="仿宋" w:hAnsi="仿宋" w:eastAsia="仿宋"/>
          <w:color w:val="auto"/>
        </w:rPr>
      </w:pPr>
      <w:r>
        <w:rPr>
          <w:rFonts w:hint="eastAsia" w:ascii="仿宋" w:hAnsi="仿宋" w:eastAsia="仿宋" w:cs="仿宋"/>
          <w:color w:val="auto"/>
          <w:szCs w:val="21"/>
        </w:rPr>
        <w:t>2.投标人为非残疾人福利性单位的，不得提供此声明，提供此声明的，声明无效。</w:t>
      </w:r>
    </w:p>
    <w:p>
      <w:pPr>
        <w:spacing w:line="300" w:lineRule="exact"/>
        <w:rPr>
          <w:rFonts w:ascii="仿宋" w:hAnsi="仿宋" w:eastAsia="仿宋" w:cs="宋体"/>
          <w:color w:val="auto"/>
          <w:sz w:val="24"/>
        </w:rPr>
      </w:pPr>
    </w:p>
    <w:p>
      <w:pPr>
        <w:widowControl/>
        <w:spacing w:after="0" w:line="240" w:lineRule="auto"/>
        <w:jc w:val="left"/>
        <w:rPr>
          <w:rFonts w:ascii="仿宋" w:hAnsi="仿宋" w:eastAsia="仿宋" w:cs="宋体"/>
          <w:color w:val="auto"/>
          <w:sz w:val="24"/>
        </w:rPr>
      </w:pPr>
      <w:r>
        <w:rPr>
          <w:rFonts w:ascii="仿宋" w:hAnsi="仿宋" w:eastAsia="仿宋" w:cs="宋体"/>
          <w:color w:val="auto"/>
          <w:sz w:val="24"/>
        </w:rPr>
        <w:br w:type="page"/>
      </w:r>
    </w:p>
    <w:p>
      <w:pPr>
        <w:spacing w:after="0" w:line="360" w:lineRule="auto"/>
        <w:rPr>
          <w:rFonts w:ascii="仿宋" w:hAnsi="仿宋" w:eastAsia="仿宋"/>
          <w:b/>
          <w:color w:val="auto"/>
          <w:sz w:val="32"/>
          <w:szCs w:val="32"/>
        </w:rPr>
      </w:pPr>
      <w:r>
        <w:rPr>
          <w:rFonts w:hint="eastAsia" w:ascii="仿宋" w:hAnsi="仿宋" w:eastAsia="仿宋"/>
          <w:b/>
          <w:color w:val="auto"/>
          <w:sz w:val="32"/>
          <w:szCs w:val="32"/>
        </w:rPr>
        <w:t>格式2-1</w:t>
      </w:r>
      <w:r>
        <w:rPr>
          <w:rFonts w:hint="default" w:ascii="仿宋" w:hAnsi="仿宋" w:eastAsia="仿宋"/>
          <w:b/>
          <w:color w:val="auto"/>
          <w:sz w:val="32"/>
          <w:szCs w:val="32"/>
        </w:rPr>
        <w:t>2</w:t>
      </w:r>
    </w:p>
    <w:p>
      <w:pPr>
        <w:jc w:val="center"/>
        <w:outlineLvl w:val="2"/>
        <w:rPr>
          <w:rFonts w:ascii="仿宋" w:hAnsi="仿宋" w:eastAsia="仿宋"/>
          <w:b/>
          <w:color w:val="auto"/>
          <w:sz w:val="32"/>
          <w:szCs w:val="32"/>
        </w:rPr>
      </w:pPr>
      <w:r>
        <w:rPr>
          <w:rFonts w:hint="eastAsia" w:ascii="仿宋" w:hAnsi="仿宋" w:eastAsia="仿宋"/>
          <w:b/>
          <w:color w:val="auto"/>
          <w:sz w:val="32"/>
          <w:szCs w:val="32"/>
        </w:rPr>
        <w:t>十一、监狱企业</w:t>
      </w:r>
    </w:p>
    <w:p>
      <w:pPr>
        <w:spacing w:after="0" w:line="360" w:lineRule="auto"/>
        <w:ind w:firstLine="480" w:firstLineChars="200"/>
        <w:jc w:val="left"/>
        <w:rPr>
          <w:rFonts w:ascii="仿宋" w:hAnsi="仿宋" w:eastAsia="仿宋"/>
          <w:color w:val="auto"/>
          <w:sz w:val="24"/>
        </w:rPr>
      </w:pPr>
      <w:r>
        <w:rPr>
          <w:rFonts w:hint="eastAsia" w:ascii="仿宋" w:hAnsi="仿宋" w:eastAsia="仿宋"/>
          <w:color w:val="auto"/>
          <w:sz w:val="24"/>
        </w:rPr>
        <w:t>根据</w:t>
      </w:r>
      <w:r>
        <w:rPr>
          <w:rFonts w:hint="eastAsia" w:ascii="仿宋" w:hAnsi="仿宋" w:eastAsia="仿宋" w:cs="仿宋"/>
          <w:color w:val="auto"/>
          <w:sz w:val="24"/>
        </w:rPr>
        <w:t>《政府采购支持监狱企业发展有关问题的通知》</w:t>
      </w:r>
      <w:r>
        <w:rPr>
          <w:rFonts w:hint="eastAsia" w:ascii="仿宋" w:hAnsi="仿宋" w:eastAsia="仿宋"/>
          <w:color w:val="auto"/>
          <w:sz w:val="24"/>
        </w:rPr>
        <w:t>（财库〔</w:t>
      </w:r>
      <w:r>
        <w:rPr>
          <w:rFonts w:ascii="仿宋" w:hAnsi="仿宋" w:eastAsia="仿宋"/>
          <w:color w:val="auto"/>
          <w:sz w:val="24"/>
        </w:rPr>
        <w:t>2014〕68号）的规定</w:t>
      </w:r>
      <w:r>
        <w:rPr>
          <w:rFonts w:hint="eastAsia" w:ascii="仿宋" w:hAnsi="仿宋" w:eastAsia="仿宋"/>
          <w:color w:val="auto"/>
          <w:sz w:val="24"/>
        </w:rPr>
        <w:t>监狱企业参加采购活动的，应</w:t>
      </w:r>
      <w:r>
        <w:rPr>
          <w:rFonts w:hint="eastAsia" w:ascii="仿宋" w:hAnsi="仿宋" w:eastAsia="仿宋" w:cs="宋体"/>
          <w:color w:val="auto"/>
          <w:sz w:val="24"/>
        </w:rPr>
        <w:t>提供由省级以上监狱管理局、戒毒管理局</w:t>
      </w:r>
      <w:r>
        <w:rPr>
          <w:rFonts w:ascii="仿宋" w:hAnsi="仿宋" w:eastAsia="仿宋" w:cs="宋体"/>
          <w:color w:val="auto"/>
          <w:sz w:val="24"/>
        </w:rPr>
        <w:t>(含新疆生产建设兵团)出具的属于监狱企业的证明文件。</w:t>
      </w:r>
    </w:p>
    <w:p>
      <w:pPr>
        <w:spacing w:after="0" w:line="360" w:lineRule="auto"/>
        <w:jc w:val="left"/>
        <w:rPr>
          <w:rFonts w:ascii="仿宋" w:hAnsi="仿宋" w:eastAsia="仿宋" w:cs="宋体"/>
          <w:color w:val="auto"/>
          <w:sz w:val="24"/>
        </w:rPr>
      </w:pPr>
      <w:r>
        <w:rPr>
          <w:rFonts w:hint="eastAsia" w:ascii="仿宋" w:hAnsi="仿宋" w:eastAsia="仿宋" w:cs="宋体"/>
          <w:color w:val="auto"/>
          <w:sz w:val="24"/>
        </w:rPr>
        <w:t>注：</w:t>
      </w:r>
    </w:p>
    <w:p>
      <w:pPr>
        <w:spacing w:after="0" w:line="360" w:lineRule="auto"/>
        <w:rPr>
          <w:rFonts w:ascii="仿宋" w:hAnsi="仿宋" w:eastAsia="仿宋" w:cs="宋体"/>
          <w:color w:val="auto"/>
          <w:sz w:val="24"/>
        </w:rPr>
      </w:pPr>
      <w:r>
        <w:rPr>
          <w:rFonts w:ascii="仿宋" w:hAnsi="仿宋" w:eastAsia="仿宋" w:cs="宋体"/>
          <w:color w:val="auto"/>
          <w:sz w:val="24"/>
        </w:rPr>
        <w:t>1、投标人符合《政府采购支持监狱企业发展有关问题的通知》（财库〔2014〕68号）规定的划分标准为监狱企业适用。</w:t>
      </w:r>
    </w:p>
    <w:p>
      <w:pPr>
        <w:spacing w:line="300" w:lineRule="exact"/>
        <w:rPr>
          <w:rFonts w:ascii="仿宋" w:hAnsi="仿宋" w:eastAsia="仿宋" w:cs="宋体"/>
          <w:color w:val="auto"/>
          <w:sz w:val="24"/>
        </w:rPr>
      </w:pPr>
      <w:r>
        <w:rPr>
          <w:rFonts w:ascii="仿宋" w:hAnsi="仿宋" w:eastAsia="仿宋" w:cs="宋体"/>
          <w:color w:val="auto"/>
          <w:sz w:val="24"/>
        </w:rPr>
        <w:t>2、在政府采购活动中，监狱企业视同小型、微型企业，享受预留份额、评审中</w:t>
      </w:r>
      <w:r>
        <w:rPr>
          <w:rFonts w:hint="eastAsia" w:ascii="仿宋" w:hAnsi="仿宋" w:eastAsia="仿宋" w:cs="宋体"/>
          <w:color w:val="auto"/>
          <w:sz w:val="24"/>
        </w:rPr>
        <w:t>价格扣除等政府采购促进中小企业发展的政府采购政策。</w:t>
      </w:r>
    </w:p>
    <w:p>
      <w:pPr>
        <w:widowControl/>
        <w:spacing w:after="0" w:line="240" w:lineRule="auto"/>
        <w:jc w:val="left"/>
        <w:rPr>
          <w:rFonts w:ascii="仿宋" w:hAnsi="仿宋" w:eastAsia="仿宋" w:cs="宋体"/>
          <w:color w:val="auto"/>
          <w:sz w:val="24"/>
        </w:rPr>
        <w:sectPr>
          <w:footerReference r:id="rId6" w:type="default"/>
          <w:pgSz w:w="11906" w:h="16838"/>
          <w:pgMar w:top="1440" w:right="1800" w:bottom="1440" w:left="1800" w:header="851" w:footer="992" w:gutter="0"/>
          <w:cols w:space="720" w:num="1"/>
          <w:docGrid w:type="lines" w:linePitch="312" w:charSpace="0"/>
        </w:sectPr>
      </w:pPr>
      <w:r>
        <w:rPr>
          <w:rFonts w:ascii="仿宋" w:hAnsi="仿宋" w:eastAsia="仿宋" w:cs="宋体"/>
          <w:color w:val="auto"/>
          <w:sz w:val="24"/>
        </w:rPr>
        <w:br w:type="page"/>
      </w:r>
    </w:p>
    <w:p>
      <w:pPr>
        <w:pStyle w:val="3"/>
        <w:jc w:val="center"/>
        <w:rPr>
          <w:rFonts w:ascii="仿宋" w:hAnsi="仿宋" w:eastAsia="仿宋"/>
          <w:color w:val="auto"/>
          <w:sz w:val="36"/>
          <w:szCs w:val="36"/>
        </w:rPr>
      </w:pPr>
      <w:r>
        <w:rPr>
          <w:rFonts w:hint="eastAsia" w:ascii="仿宋" w:hAnsi="仿宋" w:eastAsia="仿宋"/>
          <w:color w:val="auto"/>
          <w:sz w:val="36"/>
          <w:szCs w:val="36"/>
        </w:rPr>
        <w:t>第四章  投标人和投标产品的资格、资质性及其他类似效力要求</w:t>
      </w:r>
      <w:bookmarkEnd w:id="156"/>
      <w:bookmarkEnd w:id="157"/>
    </w:p>
    <w:p>
      <w:pPr>
        <w:pStyle w:val="4"/>
        <w:spacing w:line="360" w:lineRule="exact"/>
        <w:rPr>
          <w:rFonts w:ascii="仿宋" w:hAnsi="仿宋" w:eastAsia="仿宋"/>
          <w:color w:val="auto"/>
          <w:sz w:val="24"/>
          <w:szCs w:val="24"/>
        </w:rPr>
      </w:pPr>
      <w:r>
        <w:rPr>
          <w:rFonts w:hint="eastAsia" w:ascii="仿宋" w:hAnsi="仿宋" w:eastAsia="仿宋"/>
          <w:color w:val="auto"/>
          <w:sz w:val="24"/>
          <w:szCs w:val="24"/>
        </w:rPr>
        <w:t>一、投标人资格、资质性及其他类似效力要求</w:t>
      </w:r>
    </w:p>
    <w:p>
      <w:pPr>
        <w:pStyle w:val="45"/>
        <w:spacing w:line="420" w:lineRule="exact"/>
        <w:ind w:firstLine="0" w:firstLineChars="0"/>
        <w:rPr>
          <w:rFonts w:ascii="仿宋" w:hAnsi="仿宋" w:eastAsia="仿宋"/>
          <w:b/>
          <w:bCs/>
          <w:color w:val="auto"/>
          <w:sz w:val="24"/>
        </w:rPr>
      </w:pPr>
      <w:r>
        <w:rPr>
          <w:rFonts w:ascii="仿宋" w:hAnsi="仿宋" w:eastAsia="仿宋"/>
          <w:b/>
          <w:bCs/>
          <w:color w:val="auto"/>
          <w:sz w:val="24"/>
        </w:rPr>
        <w:t>（一）</w:t>
      </w:r>
      <w:r>
        <w:rPr>
          <w:rFonts w:hint="eastAsia" w:ascii="仿宋" w:hAnsi="仿宋" w:eastAsia="仿宋"/>
          <w:b/>
          <w:bCs/>
          <w:color w:val="auto"/>
          <w:sz w:val="24"/>
        </w:rPr>
        <w:t>资格要求：</w:t>
      </w:r>
    </w:p>
    <w:p>
      <w:pPr>
        <w:pStyle w:val="45"/>
        <w:spacing w:line="420" w:lineRule="exact"/>
        <w:ind w:firstLine="0" w:firstLineChars="0"/>
        <w:rPr>
          <w:rFonts w:ascii="仿宋" w:hAnsi="仿宋" w:eastAsia="仿宋"/>
          <w:color w:val="auto"/>
          <w:sz w:val="24"/>
        </w:rPr>
      </w:pPr>
      <w:r>
        <w:rPr>
          <w:rFonts w:hint="eastAsia" w:ascii="仿宋" w:hAnsi="仿宋" w:eastAsia="仿宋"/>
          <w:color w:val="auto"/>
          <w:sz w:val="24"/>
        </w:rPr>
        <w:t>1、</w:t>
      </w:r>
      <w:r>
        <w:rPr>
          <w:rFonts w:hint="eastAsia" w:ascii="仿宋" w:hAnsi="仿宋" w:eastAsia="仿宋" w:cs="宋体"/>
          <w:color w:val="auto"/>
          <w:sz w:val="24"/>
        </w:rPr>
        <w:t>满足《中华人民共和国政府采购法》第二十二条规定</w:t>
      </w:r>
      <w:r>
        <w:rPr>
          <w:rFonts w:ascii="仿宋" w:hAnsi="仿宋" w:eastAsia="仿宋" w:cs="宋体"/>
          <w:color w:val="auto"/>
          <w:sz w:val="24"/>
        </w:rPr>
        <w:t>；</w:t>
      </w:r>
    </w:p>
    <w:p>
      <w:pPr>
        <w:tabs>
          <w:tab w:val="left" w:pos="7665"/>
        </w:tabs>
        <w:spacing w:line="400" w:lineRule="exact"/>
        <w:rPr>
          <w:rFonts w:ascii="仿宋" w:hAnsi="仿宋" w:eastAsia="仿宋"/>
          <w:color w:val="auto"/>
          <w:sz w:val="24"/>
        </w:rPr>
      </w:pPr>
      <w:r>
        <w:rPr>
          <w:rFonts w:hint="eastAsia" w:ascii="仿宋" w:hAnsi="仿宋" w:eastAsia="仿宋"/>
          <w:color w:val="auto"/>
          <w:sz w:val="24"/>
        </w:rPr>
        <w:t>2、</w:t>
      </w:r>
      <w:r>
        <w:rPr>
          <w:rFonts w:hint="eastAsia" w:ascii="仿宋" w:hAnsi="仿宋" w:eastAsia="仿宋" w:cs="宋体"/>
          <w:color w:val="auto"/>
          <w:sz w:val="24"/>
        </w:rPr>
        <w:t>落实政府采购政策需满足的资格要求：</w:t>
      </w:r>
    </w:p>
    <w:p>
      <w:pPr>
        <w:tabs>
          <w:tab w:val="left" w:pos="7665"/>
        </w:tabs>
        <w:spacing w:line="400" w:lineRule="exact"/>
        <w:ind w:firstLine="480" w:firstLineChars="200"/>
        <w:rPr>
          <w:rFonts w:ascii="仿宋" w:hAnsi="仿宋" w:eastAsia="仿宋" w:cs="宋体"/>
          <w:color w:val="auto"/>
          <w:sz w:val="24"/>
        </w:rPr>
      </w:pPr>
      <w:r>
        <w:rPr>
          <w:rFonts w:hint="eastAsia" w:ascii="仿宋" w:hAnsi="仿宋" w:eastAsia="仿宋" w:cs="宋体"/>
          <w:color w:val="auto"/>
          <w:sz w:val="24"/>
        </w:rPr>
        <w:t>无。</w:t>
      </w:r>
    </w:p>
    <w:p>
      <w:pPr>
        <w:tabs>
          <w:tab w:val="left" w:pos="7665"/>
        </w:tabs>
        <w:spacing w:line="400" w:lineRule="exact"/>
        <w:rPr>
          <w:rFonts w:ascii="仿宋" w:hAnsi="仿宋" w:eastAsia="仿宋" w:cs="宋体"/>
          <w:color w:val="auto"/>
          <w:sz w:val="24"/>
        </w:rPr>
      </w:pPr>
      <w:r>
        <w:rPr>
          <w:rFonts w:ascii="仿宋" w:hAnsi="仿宋" w:eastAsia="仿宋"/>
          <w:color w:val="auto"/>
          <w:sz w:val="24"/>
        </w:rPr>
        <w:t>3</w:t>
      </w:r>
      <w:r>
        <w:rPr>
          <w:rFonts w:hint="eastAsia" w:ascii="仿宋" w:hAnsi="仿宋" w:eastAsia="仿宋"/>
          <w:color w:val="auto"/>
          <w:sz w:val="24"/>
        </w:rPr>
        <w:t>、</w:t>
      </w:r>
      <w:r>
        <w:rPr>
          <w:rFonts w:hint="eastAsia" w:ascii="仿宋" w:hAnsi="仿宋" w:eastAsia="仿宋" w:cs="宋体"/>
          <w:color w:val="auto"/>
          <w:sz w:val="24"/>
        </w:rPr>
        <w:t>本项目的特定资格要求：</w:t>
      </w:r>
    </w:p>
    <w:p>
      <w:pPr>
        <w:pStyle w:val="45"/>
        <w:spacing w:line="420" w:lineRule="exact"/>
        <w:ind w:firstLine="559" w:firstLineChars="233"/>
        <w:rPr>
          <w:rFonts w:ascii="仿宋" w:hAnsi="仿宋" w:eastAsia="仿宋" w:cs="宋体"/>
          <w:color w:val="auto"/>
          <w:sz w:val="24"/>
        </w:rPr>
      </w:pPr>
      <w:r>
        <w:rPr>
          <w:rFonts w:hint="eastAsia" w:ascii="仿宋" w:hAnsi="仿宋" w:eastAsia="仿宋" w:cs="宋体"/>
          <w:color w:val="auto"/>
          <w:sz w:val="24"/>
        </w:rPr>
        <w:t>无</w:t>
      </w:r>
      <w:r>
        <w:rPr>
          <w:rFonts w:ascii="仿宋" w:hAnsi="仿宋" w:eastAsia="仿宋" w:cs="宋体"/>
          <w:color w:val="auto"/>
          <w:sz w:val="24"/>
        </w:rPr>
        <w:t>。</w:t>
      </w:r>
    </w:p>
    <w:p>
      <w:pPr>
        <w:spacing w:line="400" w:lineRule="exact"/>
        <w:rPr>
          <w:rFonts w:ascii="仿宋" w:hAnsi="仿宋" w:eastAsia="仿宋" w:cs="宋体"/>
          <w:color w:val="auto"/>
          <w:sz w:val="24"/>
        </w:rPr>
      </w:pPr>
      <w:r>
        <w:rPr>
          <w:rFonts w:hint="eastAsia" w:ascii="仿宋" w:hAnsi="仿宋" w:eastAsia="仿宋" w:cs="宋体"/>
          <w:color w:val="auto"/>
          <w:sz w:val="24"/>
        </w:rPr>
        <w:t>4、</w:t>
      </w:r>
      <w:r>
        <w:rPr>
          <w:rFonts w:hint="eastAsia" w:ascii="仿宋" w:hAnsi="仿宋" w:eastAsia="仿宋"/>
          <w:color w:val="auto"/>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pStyle w:val="45"/>
        <w:spacing w:line="420" w:lineRule="exact"/>
        <w:ind w:firstLine="0" w:firstLineChars="0"/>
        <w:rPr>
          <w:rFonts w:ascii="仿宋" w:hAnsi="仿宋" w:eastAsia="仿宋"/>
          <w:b/>
          <w:bCs/>
          <w:color w:val="auto"/>
          <w:sz w:val="24"/>
        </w:rPr>
      </w:pPr>
      <w:r>
        <w:rPr>
          <w:rFonts w:hint="eastAsia" w:ascii="仿宋" w:hAnsi="仿宋" w:eastAsia="仿宋"/>
          <w:b/>
          <w:bCs/>
          <w:color w:val="auto"/>
          <w:sz w:val="24"/>
        </w:rPr>
        <w:t>（二）资质性要求：无</w:t>
      </w:r>
    </w:p>
    <w:p>
      <w:pPr>
        <w:pStyle w:val="45"/>
        <w:spacing w:line="420" w:lineRule="exact"/>
        <w:ind w:firstLine="0" w:firstLineChars="0"/>
        <w:rPr>
          <w:rFonts w:ascii="仿宋" w:hAnsi="仿宋" w:eastAsia="仿宋"/>
          <w:b/>
          <w:bCs/>
          <w:color w:val="auto"/>
          <w:sz w:val="24"/>
        </w:rPr>
      </w:pPr>
      <w:r>
        <w:rPr>
          <w:rFonts w:hint="eastAsia" w:ascii="仿宋" w:hAnsi="仿宋" w:eastAsia="仿宋"/>
          <w:b/>
          <w:bCs/>
          <w:color w:val="auto"/>
          <w:sz w:val="24"/>
        </w:rPr>
        <w:t>（三）其他类似效力要求：</w:t>
      </w:r>
    </w:p>
    <w:p>
      <w:pPr>
        <w:pStyle w:val="45"/>
        <w:spacing w:line="420" w:lineRule="exact"/>
        <w:ind w:firstLine="0" w:firstLineChars="0"/>
        <w:rPr>
          <w:rFonts w:ascii="仿宋" w:hAnsi="仿宋" w:eastAsia="仿宋"/>
          <w:b/>
          <w:color w:val="auto"/>
          <w:sz w:val="24"/>
        </w:rPr>
      </w:pPr>
      <w:r>
        <w:rPr>
          <w:rFonts w:hint="eastAsia" w:ascii="仿宋" w:hAnsi="仿宋" w:eastAsia="仿宋"/>
          <w:color w:val="auto"/>
          <w:sz w:val="24"/>
        </w:rPr>
        <w:t>（1）授权参加本次投标活动的供应商代表证明材料</w:t>
      </w:r>
    </w:p>
    <w:p>
      <w:pPr>
        <w:pStyle w:val="4"/>
        <w:spacing w:line="360" w:lineRule="exact"/>
        <w:rPr>
          <w:rFonts w:ascii="仿宋" w:hAnsi="仿宋" w:eastAsia="仿宋"/>
          <w:color w:val="auto"/>
          <w:sz w:val="24"/>
          <w:szCs w:val="24"/>
        </w:rPr>
      </w:pPr>
      <w:r>
        <w:rPr>
          <w:rFonts w:hint="eastAsia" w:ascii="仿宋" w:hAnsi="仿宋" w:eastAsia="仿宋"/>
          <w:b w:val="0"/>
          <w:bCs w:val="0"/>
          <w:color w:val="auto"/>
          <w:sz w:val="24"/>
          <w:szCs w:val="24"/>
        </w:rPr>
        <w:t>二、</w:t>
      </w:r>
      <w:r>
        <w:rPr>
          <w:rFonts w:hint="eastAsia" w:ascii="仿宋" w:hAnsi="仿宋" w:eastAsia="仿宋"/>
          <w:color w:val="auto"/>
          <w:sz w:val="24"/>
          <w:szCs w:val="24"/>
        </w:rPr>
        <w:t>投标产品的资格、资质性及其他具有类似效力的要求</w:t>
      </w:r>
    </w:p>
    <w:p>
      <w:pPr>
        <w:rPr>
          <w:rFonts w:ascii="仿宋" w:hAnsi="仿宋" w:eastAsia="仿宋"/>
          <w:b/>
          <w:bCs/>
          <w:color w:val="auto"/>
          <w:sz w:val="24"/>
        </w:rPr>
      </w:pPr>
      <w:r>
        <w:rPr>
          <w:rFonts w:hint="eastAsia" w:ascii="仿宋" w:hAnsi="仿宋" w:eastAsia="仿宋"/>
          <w:b/>
          <w:bCs/>
          <w:color w:val="auto"/>
          <w:sz w:val="24"/>
        </w:rPr>
        <w:t>（一）资格要求：无</w:t>
      </w:r>
    </w:p>
    <w:p>
      <w:pPr>
        <w:rPr>
          <w:rFonts w:ascii="仿宋" w:hAnsi="仿宋" w:eastAsia="仿宋"/>
          <w:b/>
          <w:bCs/>
          <w:color w:val="auto"/>
          <w:sz w:val="24"/>
        </w:rPr>
      </w:pPr>
      <w:r>
        <w:rPr>
          <w:rFonts w:hint="eastAsia" w:ascii="仿宋" w:hAnsi="仿宋" w:eastAsia="仿宋"/>
          <w:b/>
          <w:bCs/>
          <w:color w:val="auto"/>
          <w:sz w:val="24"/>
        </w:rPr>
        <w:t>（二）资质性要求：无</w:t>
      </w:r>
    </w:p>
    <w:p>
      <w:pPr>
        <w:rPr>
          <w:rFonts w:ascii="仿宋" w:hAnsi="仿宋" w:eastAsia="仿宋"/>
          <w:b/>
          <w:bCs/>
          <w:color w:val="auto"/>
          <w:sz w:val="24"/>
        </w:rPr>
      </w:pPr>
      <w:r>
        <w:rPr>
          <w:rFonts w:hint="eastAsia" w:ascii="仿宋" w:hAnsi="仿宋" w:eastAsia="仿宋"/>
          <w:b/>
          <w:bCs/>
          <w:color w:val="auto"/>
          <w:sz w:val="24"/>
        </w:rPr>
        <w:t>（三）其他类似效力要求：无</w:t>
      </w:r>
    </w:p>
    <w:p>
      <w:pPr>
        <w:pStyle w:val="45"/>
        <w:spacing w:line="420" w:lineRule="exact"/>
        <w:ind w:firstLine="0" w:firstLineChars="0"/>
        <w:rPr>
          <w:rFonts w:ascii="仿宋" w:hAnsi="仿宋" w:eastAsia="仿宋"/>
          <w:b/>
          <w:color w:val="auto"/>
          <w:sz w:val="24"/>
        </w:rPr>
      </w:pPr>
    </w:p>
    <w:p>
      <w:pPr>
        <w:pStyle w:val="45"/>
        <w:spacing w:line="420" w:lineRule="exact"/>
        <w:ind w:firstLine="0" w:firstLineChars="0"/>
        <w:rPr>
          <w:rFonts w:ascii="仿宋" w:hAnsi="仿宋" w:eastAsia="仿宋"/>
          <w:b/>
          <w:color w:val="auto"/>
          <w:sz w:val="24"/>
        </w:rPr>
      </w:pPr>
    </w:p>
    <w:p>
      <w:pPr>
        <w:pStyle w:val="3"/>
        <w:bidi w:val="0"/>
        <w:jc w:val="left"/>
        <w:rPr>
          <w:rFonts w:ascii="仿宋" w:hAnsi="仿宋" w:eastAsia="仿宋"/>
          <w:color w:val="auto"/>
        </w:rPr>
      </w:pPr>
      <w:r>
        <w:rPr>
          <w:rFonts w:hint="eastAsia" w:ascii="仿宋" w:hAnsi="仿宋" w:eastAsia="仿宋"/>
          <w:b/>
          <w:color w:val="auto"/>
          <w:sz w:val="24"/>
        </w:rPr>
        <w:t>注：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bookmarkStart w:id="158" w:name="_Toc3806"/>
      <w:bookmarkStart w:id="159" w:name="_Toc1588"/>
      <w:r>
        <w:rPr>
          <w:rFonts w:hint="eastAsia" w:ascii="仿宋" w:hAnsi="仿宋" w:eastAsia="仿宋"/>
          <w:color w:val="auto"/>
          <w:sz w:val="36"/>
          <w:szCs w:val="36"/>
        </w:rPr>
        <w:br w:type="page"/>
      </w:r>
      <w:r>
        <w:rPr>
          <w:rFonts w:hint="eastAsia" w:ascii="仿宋" w:hAnsi="仿宋" w:eastAsia="仿宋"/>
          <w:color w:val="auto"/>
          <w:sz w:val="36"/>
          <w:szCs w:val="36"/>
          <w:lang w:val="en-US" w:eastAsia="zh-CN"/>
        </w:rPr>
        <w:t xml:space="preserve">第五章 </w:t>
      </w:r>
      <w:r>
        <w:rPr>
          <w:rFonts w:hint="eastAsia" w:ascii="仿宋" w:hAnsi="仿宋" w:eastAsia="仿宋" w:cs="Times New Roman"/>
          <w:b/>
          <w:bCs/>
          <w:color w:val="auto"/>
          <w:kern w:val="44"/>
          <w:sz w:val="36"/>
          <w:szCs w:val="36"/>
          <w:lang w:val="en-US" w:eastAsia="zh-CN" w:bidi="ar-SA"/>
        </w:rPr>
        <w:t>投标人应当提供的资格、资质性及其他类似效力要求的相关证明材料</w:t>
      </w:r>
      <w:bookmarkEnd w:id="158"/>
      <w:bookmarkEnd w:id="159"/>
    </w:p>
    <w:p>
      <w:pPr>
        <w:pStyle w:val="4"/>
        <w:spacing w:line="360" w:lineRule="exact"/>
        <w:rPr>
          <w:rFonts w:ascii="仿宋" w:hAnsi="仿宋" w:eastAsia="仿宋"/>
          <w:color w:val="auto"/>
          <w:sz w:val="24"/>
          <w:szCs w:val="24"/>
        </w:rPr>
      </w:pPr>
      <w:r>
        <w:rPr>
          <w:rFonts w:hint="eastAsia" w:ascii="仿宋" w:hAnsi="仿宋" w:eastAsia="仿宋"/>
          <w:color w:val="auto"/>
          <w:sz w:val="24"/>
          <w:szCs w:val="24"/>
        </w:rPr>
        <w:t>一、应当提供的投标人资格、资质性及其他类似效力要求的相关证明材料</w:t>
      </w:r>
    </w:p>
    <w:p>
      <w:pPr>
        <w:rPr>
          <w:rFonts w:ascii="仿宋" w:hAnsi="仿宋" w:eastAsia="仿宋"/>
          <w:b/>
          <w:bCs/>
          <w:color w:val="auto"/>
          <w:sz w:val="24"/>
        </w:rPr>
      </w:pPr>
      <w:r>
        <w:rPr>
          <w:rFonts w:hint="eastAsia" w:ascii="仿宋" w:hAnsi="仿宋" w:eastAsia="仿宋"/>
          <w:b/>
          <w:bCs/>
          <w:color w:val="auto"/>
          <w:sz w:val="24"/>
        </w:rPr>
        <w:t>（一）资格要求相关证明材料：</w:t>
      </w:r>
    </w:p>
    <w:p>
      <w:pPr>
        <w:pStyle w:val="45"/>
        <w:spacing w:line="420" w:lineRule="exact"/>
        <w:ind w:firstLine="0" w:firstLineChars="0"/>
        <w:rPr>
          <w:rFonts w:ascii="仿宋" w:hAnsi="仿宋" w:eastAsia="仿宋"/>
          <w:color w:val="auto"/>
          <w:sz w:val="24"/>
        </w:rPr>
      </w:pPr>
      <w:r>
        <w:rPr>
          <w:rFonts w:hint="eastAsia" w:ascii="仿宋" w:hAnsi="仿宋" w:eastAsia="仿宋"/>
          <w:color w:val="auto"/>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5"/>
        <w:spacing w:line="420" w:lineRule="exact"/>
        <w:ind w:firstLine="0" w:firstLineChars="0"/>
        <w:rPr>
          <w:rFonts w:ascii="仿宋" w:hAnsi="仿宋" w:eastAsia="仿宋"/>
          <w:color w:val="auto"/>
          <w:sz w:val="24"/>
        </w:rPr>
      </w:pPr>
      <w:r>
        <w:rPr>
          <w:rFonts w:hint="eastAsia" w:ascii="仿宋" w:hAnsi="仿宋" w:eastAsia="仿宋"/>
          <w:color w:val="auto"/>
          <w:sz w:val="24"/>
        </w:rPr>
        <w:t>2、具备良好商业信誉的证明材料（可提供承诺函，格式详见第三章）；</w:t>
      </w:r>
    </w:p>
    <w:p>
      <w:pPr>
        <w:pStyle w:val="45"/>
        <w:spacing w:line="420" w:lineRule="exact"/>
        <w:ind w:firstLine="0" w:firstLineChars="0"/>
        <w:rPr>
          <w:rFonts w:ascii="仿宋" w:hAnsi="仿宋" w:eastAsia="仿宋"/>
          <w:color w:val="auto"/>
          <w:sz w:val="24"/>
        </w:rPr>
      </w:pPr>
      <w:r>
        <w:rPr>
          <w:rFonts w:hint="eastAsia" w:ascii="仿宋" w:hAnsi="仿宋" w:eastAsia="仿宋"/>
          <w:color w:val="auto"/>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color w:val="auto"/>
          <w:sz w:val="24"/>
        </w:rPr>
        <w:t>部门印章</w:t>
      </w:r>
      <w:r>
        <w:rPr>
          <w:rFonts w:hint="eastAsia" w:ascii="仿宋" w:hAnsi="仿宋" w:eastAsia="仿宋"/>
          <w:color w:val="auto"/>
          <w:sz w:val="24"/>
        </w:rPr>
        <w:t>的公司章程复印件。｝</w:t>
      </w:r>
    </w:p>
    <w:p>
      <w:pPr>
        <w:pStyle w:val="45"/>
        <w:spacing w:line="420" w:lineRule="exact"/>
        <w:ind w:firstLine="0" w:firstLineChars="0"/>
        <w:rPr>
          <w:rFonts w:ascii="仿宋" w:hAnsi="仿宋" w:eastAsia="仿宋"/>
          <w:color w:val="auto"/>
          <w:sz w:val="24"/>
        </w:rPr>
      </w:pPr>
      <w:r>
        <w:rPr>
          <w:rFonts w:hint="eastAsia" w:ascii="仿宋" w:hAnsi="仿宋" w:eastAsia="仿宋"/>
          <w:color w:val="auto"/>
          <w:sz w:val="24"/>
        </w:rPr>
        <w:t>4、具有依法缴纳税收和社会保障资金的良好记录（可提供承诺函，格式详见第三章）；</w:t>
      </w:r>
    </w:p>
    <w:p>
      <w:pPr>
        <w:pStyle w:val="45"/>
        <w:spacing w:line="420" w:lineRule="exact"/>
        <w:ind w:firstLine="0" w:firstLineChars="0"/>
        <w:rPr>
          <w:rFonts w:ascii="仿宋" w:hAnsi="仿宋" w:eastAsia="仿宋"/>
          <w:color w:val="auto"/>
          <w:sz w:val="24"/>
        </w:rPr>
      </w:pPr>
      <w:r>
        <w:rPr>
          <w:rFonts w:hint="eastAsia" w:ascii="仿宋" w:hAnsi="仿宋" w:eastAsia="仿宋"/>
          <w:color w:val="auto"/>
          <w:sz w:val="24"/>
        </w:rPr>
        <w:t>5、具备履行合同所必需的设备和专业技术能力的证明材料（可提供承诺函，格式详见第三章）；</w:t>
      </w:r>
    </w:p>
    <w:p>
      <w:pPr>
        <w:pStyle w:val="45"/>
        <w:spacing w:line="420" w:lineRule="exact"/>
        <w:ind w:firstLine="0" w:firstLineChars="0"/>
        <w:rPr>
          <w:rFonts w:ascii="仿宋" w:hAnsi="仿宋" w:eastAsia="仿宋"/>
          <w:color w:val="auto"/>
          <w:sz w:val="24"/>
        </w:rPr>
      </w:pPr>
      <w:r>
        <w:rPr>
          <w:rFonts w:hint="eastAsia" w:ascii="仿宋" w:hAnsi="仿宋" w:eastAsia="仿宋"/>
          <w:color w:val="auto"/>
          <w:sz w:val="24"/>
        </w:rPr>
        <w:t>6、参加政府采购活动前3年内在经营活动中没有重大违法记录的承诺函（格式详见第三章）；</w:t>
      </w:r>
    </w:p>
    <w:p>
      <w:pPr>
        <w:pStyle w:val="45"/>
        <w:spacing w:line="420" w:lineRule="exact"/>
        <w:ind w:firstLine="0" w:firstLineChars="0"/>
        <w:rPr>
          <w:rFonts w:ascii="仿宋" w:hAnsi="仿宋" w:eastAsia="仿宋"/>
          <w:color w:val="auto"/>
          <w:sz w:val="24"/>
        </w:rPr>
      </w:pPr>
      <w:r>
        <w:rPr>
          <w:rFonts w:hint="eastAsia" w:ascii="仿宋" w:hAnsi="仿宋" w:eastAsia="仿宋"/>
          <w:color w:val="auto"/>
          <w:sz w:val="24"/>
        </w:rPr>
        <w:t>7、具备法律、行政法规规定的其他条件的证明材料（可提供承诺函，格式详见第三章）；</w:t>
      </w:r>
    </w:p>
    <w:p>
      <w:pPr>
        <w:pStyle w:val="45"/>
        <w:spacing w:line="420" w:lineRule="exact"/>
        <w:ind w:firstLine="0" w:firstLineChars="0"/>
        <w:rPr>
          <w:rFonts w:ascii="仿宋" w:hAnsi="仿宋" w:eastAsia="仿宋"/>
          <w:color w:val="auto"/>
          <w:sz w:val="24"/>
        </w:rPr>
      </w:pPr>
      <w:r>
        <w:rPr>
          <w:rFonts w:hint="eastAsia" w:ascii="仿宋" w:hAnsi="仿宋" w:eastAsia="仿宋" w:cs="宋体"/>
          <w:color w:val="auto"/>
          <w:sz w:val="24"/>
        </w:rPr>
        <w:t>8、落实政府采购政策需满足的资格要求：</w:t>
      </w:r>
    </w:p>
    <w:p>
      <w:pPr>
        <w:tabs>
          <w:tab w:val="left" w:pos="7665"/>
        </w:tabs>
        <w:spacing w:line="400" w:lineRule="exact"/>
        <w:ind w:firstLine="480" w:firstLineChars="200"/>
        <w:rPr>
          <w:rFonts w:ascii="仿宋" w:hAnsi="仿宋" w:eastAsia="仿宋" w:cs="宋体"/>
          <w:color w:val="auto"/>
          <w:sz w:val="24"/>
        </w:rPr>
      </w:pPr>
      <w:r>
        <w:rPr>
          <w:rFonts w:hint="eastAsia" w:ascii="仿宋" w:hAnsi="仿宋" w:eastAsia="仿宋" w:cs="宋体"/>
          <w:color w:val="auto"/>
          <w:sz w:val="24"/>
        </w:rPr>
        <w:t>无</w:t>
      </w:r>
      <w:r>
        <w:rPr>
          <w:rFonts w:ascii="仿宋" w:hAnsi="仿宋" w:eastAsia="仿宋"/>
          <w:color w:val="auto"/>
          <w:sz w:val="24"/>
        </w:rPr>
        <w:t>。</w:t>
      </w:r>
    </w:p>
    <w:p>
      <w:pPr>
        <w:tabs>
          <w:tab w:val="left" w:pos="7665"/>
        </w:tabs>
        <w:spacing w:line="400" w:lineRule="exact"/>
        <w:rPr>
          <w:rFonts w:ascii="仿宋" w:hAnsi="仿宋" w:eastAsia="仿宋" w:cs="宋体"/>
          <w:color w:val="auto"/>
          <w:sz w:val="24"/>
        </w:rPr>
      </w:pPr>
      <w:r>
        <w:rPr>
          <w:rFonts w:hint="eastAsia" w:ascii="仿宋" w:hAnsi="仿宋" w:eastAsia="仿宋"/>
          <w:color w:val="auto"/>
          <w:sz w:val="24"/>
        </w:rPr>
        <w:t>9、</w:t>
      </w:r>
      <w:r>
        <w:rPr>
          <w:rFonts w:hint="eastAsia" w:ascii="仿宋" w:hAnsi="仿宋" w:eastAsia="仿宋" w:cs="宋体"/>
          <w:color w:val="auto"/>
          <w:sz w:val="24"/>
        </w:rPr>
        <w:t>本项目的特定资格要求：</w:t>
      </w:r>
    </w:p>
    <w:p>
      <w:pPr>
        <w:pStyle w:val="45"/>
        <w:spacing w:line="420" w:lineRule="exact"/>
        <w:ind w:firstLine="480"/>
        <w:rPr>
          <w:rFonts w:ascii="仿宋" w:hAnsi="仿宋" w:eastAsia="仿宋" w:cs="宋体"/>
          <w:color w:val="auto"/>
          <w:sz w:val="24"/>
        </w:rPr>
      </w:pPr>
      <w:r>
        <w:rPr>
          <w:rFonts w:hint="eastAsia" w:ascii="仿宋" w:hAnsi="仿宋" w:eastAsia="仿宋" w:cs="宋体"/>
          <w:color w:val="auto"/>
          <w:sz w:val="24"/>
        </w:rPr>
        <w:t xml:space="preserve">    无</w:t>
      </w:r>
      <w:r>
        <w:rPr>
          <w:rFonts w:ascii="仿宋" w:hAnsi="仿宋" w:eastAsia="仿宋" w:cs="宋体"/>
          <w:color w:val="auto"/>
          <w:sz w:val="24"/>
        </w:rPr>
        <w:t>。</w:t>
      </w:r>
    </w:p>
    <w:p>
      <w:pPr>
        <w:rPr>
          <w:rFonts w:ascii="仿宋" w:hAnsi="仿宋" w:eastAsia="仿宋" w:cs="宋体"/>
          <w:b/>
          <w:bCs/>
          <w:color w:val="auto"/>
          <w:sz w:val="24"/>
        </w:rPr>
      </w:pPr>
      <w:r>
        <w:rPr>
          <w:rFonts w:hint="eastAsia" w:ascii="仿宋" w:hAnsi="仿宋" w:eastAsia="仿宋" w:cs="宋体"/>
          <w:color w:val="auto"/>
          <w:sz w:val="24"/>
        </w:rPr>
        <w:t>10、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hint="eastAsia" w:ascii="仿宋" w:hAnsi="仿宋" w:eastAsia="仿宋" w:cs="宋体"/>
          <w:b/>
          <w:bCs/>
          <w:color w:val="auto"/>
          <w:sz w:val="24"/>
        </w:rPr>
        <w:t>（此项由采购人/代理机构查询，投标人不提供证明材料）</w:t>
      </w:r>
    </w:p>
    <w:p>
      <w:pPr>
        <w:rPr>
          <w:rFonts w:ascii="仿宋" w:hAnsi="仿宋" w:eastAsia="仿宋"/>
          <w:b/>
          <w:bCs/>
          <w:color w:val="auto"/>
          <w:sz w:val="24"/>
        </w:rPr>
      </w:pPr>
      <w:r>
        <w:rPr>
          <w:rFonts w:hint="eastAsia" w:ascii="仿宋" w:hAnsi="仿宋" w:eastAsia="仿宋"/>
          <w:b/>
          <w:bCs/>
          <w:color w:val="auto"/>
          <w:sz w:val="24"/>
        </w:rPr>
        <w:t>（二）资质性要求相关证明材料：无</w:t>
      </w:r>
    </w:p>
    <w:p>
      <w:pPr>
        <w:rPr>
          <w:rFonts w:ascii="仿宋" w:hAnsi="仿宋" w:eastAsia="仿宋"/>
          <w:b/>
          <w:bCs/>
          <w:color w:val="auto"/>
          <w:sz w:val="24"/>
        </w:rPr>
      </w:pPr>
      <w:r>
        <w:rPr>
          <w:rFonts w:hint="eastAsia" w:ascii="仿宋" w:hAnsi="仿宋" w:eastAsia="仿宋"/>
          <w:b/>
          <w:bCs/>
          <w:color w:val="auto"/>
          <w:sz w:val="24"/>
        </w:rPr>
        <w:t>（三）其他类似效力要求相关证明材料：</w:t>
      </w:r>
    </w:p>
    <w:p>
      <w:pPr>
        <w:rPr>
          <w:rFonts w:ascii="仿宋" w:hAnsi="仿宋" w:eastAsia="仿宋"/>
          <w:color w:val="auto"/>
          <w:sz w:val="24"/>
        </w:rPr>
      </w:pPr>
      <w:r>
        <w:rPr>
          <w:rFonts w:hint="eastAsia" w:ascii="仿宋" w:hAnsi="仿宋" w:eastAsia="仿宋"/>
          <w:color w:val="auto"/>
          <w:sz w:val="24"/>
        </w:rPr>
        <w:t>（1）法定代表人/单位负责人身份证明材料复印件。</w:t>
      </w:r>
    </w:p>
    <w:p>
      <w:pPr>
        <w:pStyle w:val="4"/>
        <w:spacing w:line="360" w:lineRule="exact"/>
        <w:rPr>
          <w:rFonts w:ascii="仿宋" w:hAnsi="仿宋" w:eastAsia="仿宋"/>
          <w:color w:val="auto"/>
          <w:sz w:val="24"/>
          <w:szCs w:val="24"/>
        </w:rPr>
      </w:pPr>
      <w:r>
        <w:rPr>
          <w:rFonts w:hint="eastAsia" w:ascii="仿宋" w:hAnsi="仿宋" w:eastAsia="仿宋"/>
          <w:b w:val="0"/>
          <w:bCs w:val="0"/>
          <w:color w:val="auto"/>
          <w:sz w:val="24"/>
          <w:szCs w:val="24"/>
        </w:rPr>
        <w:t>二、</w:t>
      </w:r>
      <w:r>
        <w:rPr>
          <w:rFonts w:hint="eastAsia" w:ascii="仿宋" w:hAnsi="仿宋" w:eastAsia="仿宋"/>
          <w:color w:val="auto"/>
          <w:sz w:val="24"/>
          <w:szCs w:val="24"/>
        </w:rPr>
        <w:t>应当提供的投标产品的资格、资质性及其他具有类似效力的要求的相关证明材料</w:t>
      </w:r>
    </w:p>
    <w:p>
      <w:pPr>
        <w:rPr>
          <w:rFonts w:ascii="仿宋" w:hAnsi="仿宋" w:eastAsia="仿宋"/>
          <w:b/>
          <w:bCs/>
          <w:color w:val="auto"/>
          <w:sz w:val="24"/>
        </w:rPr>
      </w:pPr>
      <w:r>
        <w:rPr>
          <w:rFonts w:hint="eastAsia" w:ascii="仿宋" w:hAnsi="仿宋" w:eastAsia="仿宋"/>
          <w:b/>
          <w:bCs/>
          <w:color w:val="auto"/>
          <w:sz w:val="24"/>
        </w:rPr>
        <w:t>（一）资格要求相关证明材料：无</w:t>
      </w:r>
    </w:p>
    <w:p>
      <w:pPr>
        <w:rPr>
          <w:rFonts w:ascii="仿宋" w:hAnsi="仿宋" w:eastAsia="仿宋"/>
          <w:b/>
          <w:bCs/>
          <w:color w:val="auto"/>
          <w:sz w:val="24"/>
        </w:rPr>
      </w:pPr>
      <w:r>
        <w:rPr>
          <w:rFonts w:hint="eastAsia" w:ascii="仿宋" w:hAnsi="仿宋" w:eastAsia="仿宋"/>
          <w:b/>
          <w:bCs/>
          <w:color w:val="auto"/>
          <w:sz w:val="24"/>
        </w:rPr>
        <w:t>（二）资质性要求相关证明材料：无</w:t>
      </w:r>
    </w:p>
    <w:p>
      <w:pPr>
        <w:rPr>
          <w:rFonts w:ascii="仿宋" w:hAnsi="仿宋" w:eastAsia="仿宋"/>
          <w:b/>
          <w:bCs/>
          <w:color w:val="auto"/>
          <w:sz w:val="24"/>
        </w:rPr>
      </w:pPr>
      <w:r>
        <w:rPr>
          <w:rFonts w:hint="eastAsia" w:ascii="仿宋" w:hAnsi="仿宋" w:eastAsia="仿宋"/>
          <w:b/>
          <w:bCs/>
          <w:color w:val="auto"/>
          <w:sz w:val="24"/>
        </w:rPr>
        <w:t>（三）其他类似效力要求相关证明材料：无</w:t>
      </w:r>
    </w:p>
    <w:p>
      <w:pPr>
        <w:rPr>
          <w:rFonts w:ascii="仿宋" w:hAnsi="仿宋" w:eastAsia="仿宋"/>
          <w:color w:val="auto"/>
        </w:rPr>
      </w:pPr>
    </w:p>
    <w:p>
      <w:pPr>
        <w:spacing w:line="360" w:lineRule="auto"/>
        <w:rPr>
          <w:rFonts w:ascii="仿宋" w:hAnsi="仿宋" w:eastAsia="仿宋" w:cs="宋体"/>
          <w:b/>
          <w:color w:val="auto"/>
          <w:kern w:val="0"/>
          <w:sz w:val="24"/>
        </w:rPr>
      </w:pPr>
      <w:r>
        <w:rPr>
          <w:rFonts w:hint="eastAsia" w:ascii="仿宋" w:hAnsi="仿宋" w:eastAsia="仿宋" w:cs="宋体"/>
          <w:b/>
          <w:color w:val="auto"/>
          <w:kern w:val="0"/>
          <w:sz w:val="24"/>
        </w:rPr>
        <w:t>注：1、以上要求的资料复印件均须加盖投标单位的电子签章。</w:t>
      </w:r>
    </w:p>
    <w:p>
      <w:pPr>
        <w:ind w:firstLine="482" w:firstLineChars="200"/>
        <w:rPr>
          <w:rFonts w:ascii="仿宋" w:hAnsi="仿宋" w:eastAsia="仿宋" w:cs="宋体"/>
          <w:b/>
          <w:color w:val="auto"/>
          <w:kern w:val="0"/>
          <w:sz w:val="24"/>
        </w:rPr>
      </w:pPr>
      <w:r>
        <w:rPr>
          <w:rFonts w:hint="eastAsia" w:ascii="仿宋" w:hAnsi="仿宋" w:eastAsia="仿宋" w:cs="宋体"/>
          <w:b/>
          <w:color w:val="auto"/>
          <w:kern w:val="0"/>
          <w:sz w:val="24"/>
        </w:rPr>
        <w:t>2、</w:t>
      </w:r>
      <w:bookmarkStart w:id="160" w:name="_Toc2122"/>
      <w:bookmarkStart w:id="161" w:name="_Toc217446093"/>
      <w:r>
        <w:rPr>
          <w:rFonts w:ascii="仿宋" w:hAnsi="仿宋" w:eastAsia="仿宋" w:cs="宋体"/>
          <w:b/>
          <w:color w:val="auto"/>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auto"/>
          <w:kern w:val="0"/>
          <w:sz w:val="24"/>
        </w:rPr>
        <w:t>三</w:t>
      </w:r>
      <w:r>
        <w:rPr>
          <w:rFonts w:ascii="仿宋" w:hAnsi="仿宋" w:eastAsia="仿宋" w:cs="宋体"/>
          <w:b/>
          <w:color w:val="auto"/>
          <w:kern w:val="0"/>
          <w:sz w:val="24"/>
        </w:rPr>
        <w:t xml:space="preserve">章）。 </w:t>
      </w:r>
      <w:bookmarkEnd w:id="151"/>
    </w:p>
    <w:p>
      <w:pPr>
        <w:rPr>
          <w:rFonts w:ascii="仿宋" w:hAnsi="仿宋" w:eastAsia="仿宋"/>
          <w:color w:val="auto"/>
          <w:sz w:val="36"/>
          <w:szCs w:val="36"/>
        </w:rPr>
        <w:sectPr>
          <w:pgSz w:w="11906" w:h="16838"/>
          <w:pgMar w:top="1440" w:right="1800" w:bottom="1440" w:left="1800" w:header="851" w:footer="992" w:gutter="0"/>
          <w:cols w:space="720" w:num="1"/>
          <w:docGrid w:type="lines" w:linePitch="312" w:charSpace="0"/>
        </w:sectPr>
      </w:pPr>
      <w:r>
        <w:rPr>
          <w:rFonts w:ascii="仿宋" w:hAnsi="仿宋" w:eastAsia="仿宋"/>
          <w:color w:val="auto"/>
          <w:sz w:val="36"/>
          <w:szCs w:val="36"/>
        </w:rPr>
        <w:br w:type="page"/>
      </w:r>
    </w:p>
    <w:p>
      <w:pPr>
        <w:pStyle w:val="3"/>
        <w:jc w:val="center"/>
        <w:rPr>
          <w:rFonts w:ascii="仿宋" w:hAnsi="仿宋" w:eastAsia="仿宋"/>
          <w:color w:val="auto"/>
          <w:sz w:val="36"/>
          <w:szCs w:val="36"/>
        </w:rPr>
      </w:pPr>
      <w:bookmarkStart w:id="162" w:name="PO_默认文件内容_32"/>
      <w:r>
        <w:rPr>
          <w:rFonts w:hint="eastAsia" w:ascii="仿宋" w:hAnsi="仿宋" w:eastAsia="仿宋"/>
          <w:color w:val="auto"/>
          <w:sz w:val="36"/>
          <w:szCs w:val="36"/>
        </w:rPr>
        <w:t>第六章  招标项目技术、服务、政府采购合同内容条款及其他商务要求</w:t>
      </w:r>
      <w:bookmarkEnd w:id="160"/>
      <w:bookmarkEnd w:id="161"/>
    </w:p>
    <w:p>
      <w:pPr>
        <w:pStyle w:val="4"/>
        <w:spacing w:before="0" w:after="0" w:line="360" w:lineRule="auto"/>
        <w:rPr>
          <w:rFonts w:ascii="仿宋" w:hAnsi="仿宋" w:eastAsia="仿宋" w:cs="仿宋"/>
          <w:color w:val="auto"/>
          <w:sz w:val="24"/>
          <w:szCs w:val="24"/>
        </w:rPr>
      </w:pPr>
      <w:bookmarkStart w:id="163" w:name="_Toc1876102379"/>
      <w:bookmarkStart w:id="164" w:name="_Toc1158023693"/>
      <w:bookmarkStart w:id="165" w:name="_Toc985815467"/>
      <w:r>
        <w:rPr>
          <w:rFonts w:hint="eastAsia" w:ascii="仿宋" w:hAnsi="仿宋" w:eastAsia="仿宋" w:cs="仿宋"/>
          <w:color w:val="auto"/>
          <w:sz w:val="24"/>
          <w:szCs w:val="24"/>
        </w:rPr>
        <w:t>一、项目简介</w:t>
      </w:r>
      <w:bookmarkEnd w:id="163"/>
      <w:bookmarkEnd w:id="164"/>
      <w:bookmarkEnd w:id="165"/>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为贯彻落实国家《国务院办公厅关于印发政务信息系统整合共享实施方案的通知》（国办发〔2017〕39号）文件精神，以及国家标准委《智慧城市顶层设计指南》，加快推进我区“智慧城市”建设，根据《成都市人民政府关于印发成都市“互联网＋城市”行动方案（2017-2020）的通知》（成府函〔2017〕200号）、成都市市委办公厅、市政府办公厅印发的《成都市国际化社区建设规划（2018－2022年）》和《成都市国际化社区建设政策措施》、成都市人民政府关于印发成都市智慧城市建设行动方案（2020—2022）的通知（成府发〔2020〕25号）、《中共成都市委关于制定成都市国民经济和社会发展第十四个五年规划和二〇三五年远景目标的建议》（成委发〔２０２０〕２０号）、《关于制定成华区国民经济和社会发展 第十四个五年规划和二〇三五年远景目标的建议》（成华委发〔2021〕1 号）等要求、区委区政府关于提升社区治理体系和治理能力现代化的有关决策部署，着力做好“场景营造”“智能治理”等重点工作，经前期调研思考，区智慧治理中心拟以建设“数字孪生社区”为创新抓手，进一步提高全区社区发展治理的现代化、国际化水平。结合成华区实际，启动成华区“数字孪生社区”试点项目（杉板桥社区）建设。</w:t>
      </w:r>
    </w:p>
    <w:p>
      <w:pPr>
        <w:pStyle w:val="4"/>
        <w:spacing w:before="0" w:after="0" w:line="360" w:lineRule="auto"/>
        <w:rPr>
          <w:rFonts w:ascii="仿宋" w:hAnsi="仿宋" w:eastAsia="仿宋" w:cs="仿宋"/>
          <w:color w:val="auto"/>
          <w:sz w:val="24"/>
          <w:szCs w:val="24"/>
        </w:rPr>
      </w:pPr>
      <w:bookmarkStart w:id="166" w:name="_Toc764217264"/>
      <w:bookmarkStart w:id="167" w:name="_Toc150294952"/>
      <w:bookmarkStart w:id="168" w:name="_Toc259915490"/>
      <w:r>
        <w:rPr>
          <w:rFonts w:hint="eastAsia" w:ascii="仿宋" w:hAnsi="仿宋" w:eastAsia="仿宋" w:cs="仿宋"/>
          <w:color w:val="auto"/>
          <w:sz w:val="24"/>
          <w:szCs w:val="24"/>
        </w:rPr>
        <w:t>二、建设目标</w:t>
      </w:r>
      <w:bookmarkEnd w:id="166"/>
      <w:bookmarkEnd w:id="167"/>
      <w:bookmarkEnd w:id="168"/>
    </w:p>
    <w:p>
      <w:pPr>
        <w:pStyle w:val="42"/>
        <w:numPr>
          <w:ilvl w:val="0"/>
          <w:numId w:val="3"/>
        </w:numPr>
        <w:spacing w:after="0" w:line="360" w:lineRule="auto"/>
        <w:ind w:firstLine="560"/>
        <w:rPr>
          <w:rFonts w:ascii="仿宋" w:hAnsi="仿宋" w:eastAsia="仿宋" w:cs="仿宋"/>
          <w:color w:val="auto"/>
          <w:sz w:val="24"/>
          <w:szCs w:val="24"/>
        </w:rPr>
      </w:pPr>
      <w:bookmarkStart w:id="169" w:name="_Toc458619205"/>
      <w:r>
        <w:rPr>
          <w:rFonts w:hint="eastAsia" w:ascii="仿宋" w:hAnsi="仿宋" w:eastAsia="仿宋" w:cs="仿宋"/>
          <w:color w:val="auto"/>
          <w:sz w:val="24"/>
          <w:szCs w:val="24"/>
        </w:rPr>
        <w:t>总体目标</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iCs/>
          <w:color w:val="auto"/>
          <w:sz w:val="24"/>
          <w:szCs w:val="24"/>
        </w:rPr>
        <w:t>运用数字孪生技术，通过三维建模、数据全域标识、状态精准感知、数据实时分析、模型科学决策、智能精准执行，结合业务系统，实现社区的还原、模拟、监控、诊断、预测和控制，解决杉板桥社区规划、设计、建设、管理、服务闭环过程中的复杂性和不确定性问题，全面提高社区物质资源、信息资源配置效率和运转状态，实现社区动态数据整合与共享，形成全域覆盖、动静结合、三维立体的规范化、智能化、全联接的感知布局，实现物理社区在数字孪生社区的精准映射，</w:t>
      </w:r>
      <w:r>
        <w:rPr>
          <w:rFonts w:hint="eastAsia" w:ascii="仿宋" w:hAnsi="仿宋" w:eastAsia="仿宋" w:cs="仿宋"/>
          <w:color w:val="auto"/>
          <w:sz w:val="24"/>
          <w:szCs w:val="24"/>
        </w:rPr>
        <w:t>建立高效智能的社区现代化治理体系，实现“多脑协同”，打造“熟人社会”，创新构建社区价值共同体、社区发展共同体、社区治理共同体、社区生活共同体和社区行动共同体“五个社区共同体”，建设彰显公园城市六大价值的幸福美好公园社区。</w:t>
      </w:r>
      <w:bookmarkEnd w:id="169"/>
    </w:p>
    <w:p>
      <w:pPr>
        <w:pStyle w:val="4"/>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三、建设服务清单</w:t>
      </w:r>
    </w:p>
    <w:tbl>
      <w:tblPr>
        <w:tblStyle w:val="26"/>
        <w:tblW w:w="4999" w:type="pct"/>
        <w:tblInd w:w="0" w:type="dxa"/>
        <w:tblLayout w:type="fixed"/>
        <w:tblCellMar>
          <w:top w:w="0" w:type="dxa"/>
          <w:left w:w="108" w:type="dxa"/>
          <w:bottom w:w="0" w:type="dxa"/>
          <w:right w:w="108" w:type="dxa"/>
        </w:tblCellMar>
      </w:tblPr>
      <w:tblGrid>
        <w:gridCol w:w="981"/>
        <w:gridCol w:w="1779"/>
        <w:gridCol w:w="2478"/>
        <w:gridCol w:w="874"/>
        <w:gridCol w:w="876"/>
        <w:gridCol w:w="1532"/>
      </w:tblGrid>
      <w:tr>
        <w:tblPrEx>
          <w:tblCellMar>
            <w:top w:w="0" w:type="dxa"/>
            <w:left w:w="108" w:type="dxa"/>
            <w:bottom w:w="0" w:type="dxa"/>
            <w:right w:w="108" w:type="dxa"/>
          </w:tblCellMar>
        </w:tblPrEx>
        <w:trPr>
          <w:trHeight w:val="567" w:hRule="exact"/>
        </w:trPr>
        <w:tc>
          <w:tcPr>
            <w:tcW w:w="576" w:type="pct"/>
            <w:tcBorders>
              <w:top w:val="single" w:color="auto" w:sz="8" w:space="0"/>
              <w:left w:val="single" w:color="auto" w:sz="8" w:space="0"/>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044" w:type="pct"/>
            <w:tcBorders>
              <w:top w:val="single" w:color="auto" w:sz="8" w:space="0"/>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b/>
                <w:bCs/>
                <w:color w:val="auto"/>
                <w:kern w:val="0"/>
                <w:sz w:val="24"/>
              </w:rPr>
            </w:pPr>
            <w:r>
              <w:rPr>
                <w:rFonts w:hint="eastAsia" w:ascii="仿宋" w:hAnsi="仿宋" w:eastAsia="仿宋" w:cs="仿宋"/>
                <w:b/>
                <w:bCs/>
                <w:color w:val="auto"/>
                <w:kern w:val="0"/>
                <w:sz w:val="24"/>
              </w:rPr>
              <w:t>建设服务内容</w:t>
            </w:r>
          </w:p>
        </w:tc>
        <w:tc>
          <w:tcPr>
            <w:tcW w:w="1454" w:type="pct"/>
            <w:tcBorders>
              <w:top w:val="single" w:color="auto" w:sz="8" w:space="0"/>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b/>
                <w:bCs/>
                <w:color w:val="auto"/>
                <w:kern w:val="0"/>
                <w:sz w:val="24"/>
              </w:rPr>
            </w:pPr>
            <w:r>
              <w:rPr>
                <w:rFonts w:hint="eastAsia" w:ascii="仿宋" w:hAnsi="仿宋" w:eastAsia="仿宋" w:cs="仿宋"/>
                <w:b/>
                <w:bCs/>
                <w:color w:val="auto"/>
                <w:kern w:val="0"/>
                <w:sz w:val="24"/>
              </w:rPr>
              <w:t>主要构成</w:t>
            </w:r>
          </w:p>
        </w:tc>
        <w:tc>
          <w:tcPr>
            <w:tcW w:w="513" w:type="pct"/>
            <w:tcBorders>
              <w:top w:val="single" w:color="auto" w:sz="8" w:space="0"/>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b/>
                <w:bCs/>
                <w:color w:val="auto"/>
                <w:kern w:val="0"/>
                <w:sz w:val="24"/>
              </w:rPr>
            </w:pPr>
            <w:r>
              <w:rPr>
                <w:rFonts w:hint="eastAsia" w:ascii="仿宋" w:hAnsi="仿宋" w:eastAsia="仿宋" w:cs="仿宋"/>
                <w:b/>
                <w:bCs/>
                <w:color w:val="auto"/>
                <w:kern w:val="0"/>
                <w:sz w:val="24"/>
              </w:rPr>
              <w:t>数量</w:t>
            </w:r>
          </w:p>
        </w:tc>
        <w:tc>
          <w:tcPr>
            <w:tcW w:w="514" w:type="pct"/>
            <w:tcBorders>
              <w:top w:val="single" w:color="auto" w:sz="8" w:space="0"/>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b/>
                <w:bCs/>
                <w:color w:val="auto"/>
                <w:kern w:val="0"/>
                <w:sz w:val="24"/>
              </w:rPr>
            </w:pPr>
            <w:r>
              <w:rPr>
                <w:rFonts w:hint="eastAsia" w:ascii="仿宋" w:hAnsi="仿宋" w:eastAsia="仿宋" w:cs="仿宋"/>
                <w:b/>
                <w:bCs/>
                <w:color w:val="auto"/>
                <w:kern w:val="0"/>
                <w:sz w:val="24"/>
              </w:rPr>
              <w:t>单位</w:t>
            </w:r>
          </w:p>
        </w:tc>
        <w:tc>
          <w:tcPr>
            <w:tcW w:w="899" w:type="pct"/>
            <w:tcBorders>
              <w:top w:val="single" w:color="auto" w:sz="8" w:space="0"/>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b/>
                <w:bCs/>
                <w:color w:val="auto"/>
                <w:kern w:val="0"/>
                <w:sz w:val="24"/>
              </w:rPr>
            </w:pPr>
            <w:r>
              <w:rPr>
                <w:rFonts w:hint="eastAsia" w:ascii="仿宋" w:hAnsi="仿宋" w:eastAsia="仿宋" w:cs="仿宋"/>
                <w:b/>
                <w:bCs/>
                <w:color w:val="auto"/>
                <w:kern w:val="0"/>
                <w:sz w:val="24"/>
              </w:rPr>
              <w:t>备注</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1044" w:type="pct"/>
            <w:vMerge w:val="restart"/>
            <w:tcBorders>
              <w:top w:val="nil"/>
              <w:left w:val="single" w:color="auto" w:sz="8" w:space="0"/>
              <w:bottom w:val="single" w:color="000000"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综合业务</w:t>
            </w: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基础平台</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2</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信息发布</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3</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资源地图</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4</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掌上议事</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5</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咨询建议</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6</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数据填报</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7</w:t>
            </w:r>
          </w:p>
        </w:tc>
        <w:tc>
          <w:tcPr>
            <w:tcW w:w="1044" w:type="pct"/>
            <w:vMerge w:val="restart"/>
            <w:tcBorders>
              <w:top w:val="nil"/>
              <w:left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综合指挥调度</w:t>
            </w: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感知管理</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8</w:t>
            </w:r>
          </w:p>
        </w:tc>
        <w:tc>
          <w:tcPr>
            <w:tcW w:w="1044" w:type="pct"/>
            <w:vMerge w:val="continue"/>
            <w:tcBorders>
              <w:left w:val="single" w:color="auto"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环境监测</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9</w:t>
            </w:r>
          </w:p>
        </w:tc>
        <w:tc>
          <w:tcPr>
            <w:tcW w:w="1044" w:type="pct"/>
            <w:vMerge w:val="continue"/>
            <w:tcBorders>
              <w:left w:val="single" w:color="auto"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消防报警监测</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10</w:t>
            </w:r>
          </w:p>
        </w:tc>
        <w:tc>
          <w:tcPr>
            <w:tcW w:w="1044" w:type="pct"/>
            <w:vMerge w:val="continue"/>
            <w:tcBorders>
              <w:left w:val="single" w:color="auto"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水位监测</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11</w:t>
            </w:r>
          </w:p>
        </w:tc>
        <w:tc>
          <w:tcPr>
            <w:tcW w:w="1044" w:type="pct"/>
            <w:vMerge w:val="continue"/>
            <w:tcBorders>
              <w:left w:val="single" w:color="auto"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水压监测</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12</w:t>
            </w:r>
          </w:p>
        </w:tc>
        <w:tc>
          <w:tcPr>
            <w:tcW w:w="1044" w:type="pct"/>
            <w:vMerge w:val="continue"/>
            <w:tcBorders>
              <w:left w:val="single" w:color="auto"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电路监测</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658"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14</w:t>
            </w:r>
          </w:p>
        </w:tc>
        <w:tc>
          <w:tcPr>
            <w:tcW w:w="1044" w:type="pct"/>
            <w:vMerge w:val="continue"/>
            <w:tcBorders>
              <w:left w:val="single" w:color="auto"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视频图像高空抛物分析</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15</w:t>
            </w:r>
          </w:p>
        </w:tc>
        <w:tc>
          <w:tcPr>
            <w:tcW w:w="1044" w:type="pct"/>
            <w:vMerge w:val="continue"/>
            <w:tcBorders>
              <w:left w:val="single" w:color="auto"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风险监测预警子系统</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16</w:t>
            </w:r>
          </w:p>
        </w:tc>
        <w:tc>
          <w:tcPr>
            <w:tcW w:w="1044" w:type="pct"/>
            <w:vMerge w:val="continue"/>
            <w:tcBorders>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联动处置子系统</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17</w:t>
            </w:r>
          </w:p>
        </w:tc>
        <w:tc>
          <w:tcPr>
            <w:tcW w:w="1044" w:type="pct"/>
            <w:vMerge w:val="restart"/>
            <w:tcBorders>
              <w:top w:val="nil"/>
              <w:left w:val="single" w:color="auto" w:sz="8" w:space="0"/>
              <w:bottom w:val="single" w:color="000000"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分析展示</w:t>
            </w: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社区导览</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18</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党建引领</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19</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态势感知</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20</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智慧治理</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21</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产业发展</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22</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居民服务</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23</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社区体检</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24</w:t>
            </w:r>
          </w:p>
        </w:tc>
        <w:tc>
          <w:tcPr>
            <w:tcW w:w="1044" w:type="pct"/>
            <w:vMerge w:val="restart"/>
            <w:tcBorders>
              <w:top w:val="nil"/>
              <w:left w:val="single" w:color="auto" w:sz="8" w:space="0"/>
              <w:bottom w:val="single" w:color="000000"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移动应用</w:t>
            </w: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信息宣传</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25</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资源地图</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26</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掌上议事</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27</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政务服务</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28</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咨询建议</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650"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29</w:t>
            </w:r>
          </w:p>
        </w:tc>
        <w:tc>
          <w:tcPr>
            <w:tcW w:w="1044" w:type="pct"/>
            <w:vMerge w:val="restart"/>
            <w:tcBorders>
              <w:top w:val="nil"/>
              <w:left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系统集成</w:t>
            </w: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舆情监测数据服务</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含一年数据服务</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30</w:t>
            </w:r>
          </w:p>
        </w:tc>
        <w:tc>
          <w:tcPr>
            <w:tcW w:w="1044" w:type="pct"/>
            <w:vMerge w:val="continue"/>
            <w:tcBorders>
              <w:left w:val="single" w:color="auto"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物业系统</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31</w:t>
            </w:r>
          </w:p>
        </w:tc>
        <w:tc>
          <w:tcPr>
            <w:tcW w:w="1044" w:type="pct"/>
            <w:vMerge w:val="continue"/>
            <w:tcBorders>
              <w:left w:val="single" w:color="auto"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成华民生诉求管理系统</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32</w:t>
            </w:r>
          </w:p>
        </w:tc>
        <w:tc>
          <w:tcPr>
            <w:tcW w:w="1044" w:type="pct"/>
            <w:vMerge w:val="continue"/>
            <w:tcBorders>
              <w:left w:val="single" w:color="auto"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区智慧治理中心平台</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33</w:t>
            </w:r>
          </w:p>
        </w:tc>
        <w:tc>
          <w:tcPr>
            <w:tcW w:w="1044" w:type="pct"/>
            <w:vMerge w:val="continue"/>
            <w:tcBorders>
              <w:left w:val="single" w:color="auto"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短信平台</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34</w:t>
            </w:r>
          </w:p>
        </w:tc>
        <w:tc>
          <w:tcPr>
            <w:tcW w:w="1044" w:type="pct"/>
            <w:vMerge w:val="continue"/>
            <w:tcBorders>
              <w:left w:val="single" w:color="auto"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三网信令数据感知平台</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790"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35</w:t>
            </w:r>
          </w:p>
        </w:tc>
        <w:tc>
          <w:tcPr>
            <w:tcW w:w="1044" w:type="pct"/>
            <w:vMerge w:val="continue"/>
            <w:tcBorders>
              <w:left w:val="single" w:color="auto"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成华区智能化网络理政平台</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36</w:t>
            </w:r>
          </w:p>
        </w:tc>
        <w:tc>
          <w:tcPr>
            <w:tcW w:w="1044" w:type="pct"/>
            <w:vMerge w:val="continue"/>
            <w:tcBorders>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大联动系统</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799"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37</w:t>
            </w:r>
          </w:p>
        </w:tc>
        <w:tc>
          <w:tcPr>
            <w:tcW w:w="1044"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其他内容</w:t>
            </w: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数字驾驶舱（展厅）软装</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含一年质保</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38</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数字孪生三维场景制作</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39</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社区体检研究</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 套</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40</w:t>
            </w:r>
          </w:p>
        </w:tc>
        <w:tc>
          <w:tcPr>
            <w:tcW w:w="1044"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硬件设备</w:t>
            </w: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工作站</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2</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台</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41</w:t>
            </w:r>
          </w:p>
        </w:tc>
        <w:tc>
          <w:tcPr>
            <w:tcW w:w="1044" w:type="pct"/>
            <w:vMerge w:val="continue"/>
            <w:tcBorders>
              <w:top w:val="nil"/>
              <w:left w:val="single" w:color="auto" w:sz="8" w:space="0"/>
              <w:bottom w:val="single" w:color="000000" w:sz="8"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环境监测设备</w:t>
            </w:r>
          </w:p>
        </w:tc>
        <w:tc>
          <w:tcPr>
            <w:tcW w:w="513"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5</w:t>
            </w:r>
          </w:p>
        </w:tc>
        <w:tc>
          <w:tcPr>
            <w:tcW w:w="514" w:type="pct"/>
            <w:tcBorders>
              <w:top w:val="nil"/>
              <w:left w:val="nil"/>
              <w:bottom w:val="single" w:color="auto" w:sz="8"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台</w:t>
            </w:r>
          </w:p>
        </w:tc>
        <w:tc>
          <w:tcPr>
            <w:tcW w:w="899" w:type="pct"/>
            <w:tcBorders>
              <w:top w:val="nil"/>
              <w:left w:val="nil"/>
              <w:bottom w:val="single" w:color="auto" w:sz="8"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4"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42</w:t>
            </w:r>
          </w:p>
        </w:tc>
        <w:tc>
          <w:tcPr>
            <w:tcW w:w="1044" w:type="pct"/>
            <w:vMerge w:val="continue"/>
            <w:tcBorders>
              <w:top w:val="nil"/>
              <w:left w:val="single" w:color="auto" w:sz="8" w:space="0"/>
              <w:bottom w:val="single" w:color="auto" w:sz="4"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4"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消防报警监测设备</w:t>
            </w:r>
          </w:p>
        </w:tc>
        <w:tc>
          <w:tcPr>
            <w:tcW w:w="513" w:type="pct"/>
            <w:tcBorders>
              <w:top w:val="nil"/>
              <w:left w:val="nil"/>
              <w:bottom w:val="single" w:color="auto" w:sz="4"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4</w:t>
            </w:r>
          </w:p>
        </w:tc>
        <w:tc>
          <w:tcPr>
            <w:tcW w:w="514" w:type="pct"/>
            <w:tcBorders>
              <w:top w:val="nil"/>
              <w:left w:val="nil"/>
              <w:bottom w:val="single" w:color="auto" w:sz="4"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4"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4"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43</w:t>
            </w:r>
          </w:p>
        </w:tc>
        <w:tc>
          <w:tcPr>
            <w:tcW w:w="1044" w:type="pct"/>
            <w:vMerge w:val="continue"/>
            <w:tcBorders>
              <w:top w:val="nil"/>
              <w:left w:val="single" w:color="auto" w:sz="8" w:space="0"/>
              <w:bottom w:val="single" w:color="auto" w:sz="4"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4"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水位监测设备</w:t>
            </w:r>
          </w:p>
        </w:tc>
        <w:tc>
          <w:tcPr>
            <w:tcW w:w="513" w:type="pct"/>
            <w:tcBorders>
              <w:top w:val="nil"/>
              <w:left w:val="nil"/>
              <w:bottom w:val="single" w:color="auto" w:sz="4"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4</w:t>
            </w:r>
          </w:p>
        </w:tc>
        <w:tc>
          <w:tcPr>
            <w:tcW w:w="514" w:type="pct"/>
            <w:tcBorders>
              <w:top w:val="nil"/>
              <w:left w:val="nil"/>
              <w:bottom w:val="single" w:color="auto" w:sz="4"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4"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4"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44</w:t>
            </w:r>
          </w:p>
        </w:tc>
        <w:tc>
          <w:tcPr>
            <w:tcW w:w="1044" w:type="pct"/>
            <w:vMerge w:val="continue"/>
            <w:tcBorders>
              <w:top w:val="nil"/>
              <w:left w:val="single" w:color="auto" w:sz="8" w:space="0"/>
              <w:bottom w:val="single" w:color="auto" w:sz="4"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4"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水压监测设备</w:t>
            </w:r>
          </w:p>
        </w:tc>
        <w:tc>
          <w:tcPr>
            <w:tcW w:w="513" w:type="pct"/>
            <w:tcBorders>
              <w:top w:val="nil"/>
              <w:left w:val="nil"/>
              <w:bottom w:val="single" w:color="auto" w:sz="4"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4</w:t>
            </w:r>
          </w:p>
        </w:tc>
        <w:tc>
          <w:tcPr>
            <w:tcW w:w="514" w:type="pct"/>
            <w:tcBorders>
              <w:top w:val="nil"/>
              <w:left w:val="nil"/>
              <w:bottom w:val="single" w:color="auto" w:sz="4"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4"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nil"/>
              <w:left w:val="single" w:color="auto" w:sz="8" w:space="0"/>
              <w:bottom w:val="single" w:color="auto" w:sz="4"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45</w:t>
            </w:r>
          </w:p>
        </w:tc>
        <w:tc>
          <w:tcPr>
            <w:tcW w:w="1044" w:type="pct"/>
            <w:vMerge w:val="continue"/>
            <w:tcBorders>
              <w:top w:val="nil"/>
              <w:left w:val="single" w:color="auto" w:sz="8" w:space="0"/>
              <w:bottom w:val="single" w:color="auto" w:sz="4" w:space="0"/>
              <w:right w:val="single" w:color="auto" w:sz="8" w:space="0"/>
            </w:tcBorders>
            <w:vAlign w:val="center"/>
          </w:tcPr>
          <w:p>
            <w:pPr>
              <w:widowControl/>
              <w:spacing w:after="0" w:line="360" w:lineRule="auto"/>
              <w:rPr>
                <w:rFonts w:ascii="仿宋" w:hAnsi="仿宋" w:eastAsia="仿宋" w:cs="仿宋"/>
                <w:color w:val="auto"/>
                <w:kern w:val="0"/>
                <w:sz w:val="24"/>
              </w:rPr>
            </w:pPr>
          </w:p>
        </w:tc>
        <w:tc>
          <w:tcPr>
            <w:tcW w:w="1454" w:type="pct"/>
            <w:tcBorders>
              <w:top w:val="nil"/>
              <w:left w:val="nil"/>
              <w:bottom w:val="single" w:color="auto" w:sz="4"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电路监测设备</w:t>
            </w:r>
          </w:p>
        </w:tc>
        <w:tc>
          <w:tcPr>
            <w:tcW w:w="513" w:type="pct"/>
            <w:tcBorders>
              <w:top w:val="nil"/>
              <w:left w:val="nil"/>
              <w:bottom w:val="single" w:color="auto" w:sz="4"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4</w:t>
            </w:r>
          </w:p>
        </w:tc>
        <w:tc>
          <w:tcPr>
            <w:tcW w:w="514" w:type="pct"/>
            <w:tcBorders>
              <w:top w:val="nil"/>
              <w:left w:val="nil"/>
              <w:bottom w:val="single" w:color="auto" w:sz="4" w:space="0"/>
              <w:right w:val="single" w:color="auto" w:sz="8"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nil"/>
              <w:left w:val="nil"/>
              <w:bottom w:val="single" w:color="auto" w:sz="4" w:space="0"/>
              <w:right w:val="single" w:color="auto" w:sz="8"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r>
        <w:tblPrEx>
          <w:tblCellMar>
            <w:top w:w="0" w:type="dxa"/>
            <w:left w:w="108" w:type="dxa"/>
            <w:bottom w:w="0" w:type="dxa"/>
            <w:right w:w="108" w:type="dxa"/>
          </w:tblCellMar>
        </w:tblPrEx>
        <w:trPr>
          <w:trHeight w:val="567" w:hRule="exact"/>
        </w:trPr>
        <w:tc>
          <w:tcPr>
            <w:tcW w:w="576"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46</w:t>
            </w:r>
          </w:p>
        </w:tc>
        <w:tc>
          <w:tcPr>
            <w:tcW w:w="1044" w:type="pct"/>
            <w:vMerge w:val="continue"/>
            <w:tcBorders>
              <w:top w:val="single" w:color="auto" w:sz="4" w:space="0"/>
              <w:left w:val="single" w:color="auto" w:sz="4" w:space="0"/>
              <w:bottom w:val="single" w:color="auto" w:sz="4" w:space="0"/>
              <w:right w:val="single" w:color="auto" w:sz="4" w:space="0"/>
            </w:tcBorders>
            <w:vAlign w:val="center"/>
          </w:tcPr>
          <w:p>
            <w:pPr>
              <w:widowControl/>
              <w:spacing w:after="0" w:line="360" w:lineRule="auto"/>
              <w:rPr>
                <w:rFonts w:ascii="仿宋" w:hAnsi="仿宋" w:eastAsia="仿宋" w:cs="仿宋"/>
                <w:color w:val="auto"/>
                <w:kern w:val="0"/>
                <w:sz w:val="24"/>
              </w:rPr>
            </w:pPr>
          </w:p>
        </w:tc>
        <w:tc>
          <w:tcPr>
            <w:tcW w:w="1454"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高空抛物监测设备</w:t>
            </w:r>
          </w:p>
        </w:tc>
        <w:tc>
          <w:tcPr>
            <w:tcW w:w="513"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9</w:t>
            </w:r>
          </w:p>
        </w:tc>
        <w:tc>
          <w:tcPr>
            <w:tcW w:w="514"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套</w:t>
            </w:r>
          </w:p>
        </w:tc>
        <w:tc>
          <w:tcPr>
            <w:tcW w:w="899"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含三年运维</w:t>
            </w:r>
          </w:p>
        </w:tc>
      </w:tr>
    </w:tbl>
    <w:p>
      <w:pPr>
        <w:pStyle w:val="4"/>
        <w:spacing w:before="0" w:after="0" w:line="360" w:lineRule="auto"/>
        <w:rPr>
          <w:rFonts w:ascii="仿宋" w:hAnsi="仿宋" w:eastAsia="仿宋" w:cs="仿宋"/>
          <w:color w:val="auto"/>
          <w:sz w:val="24"/>
          <w:szCs w:val="24"/>
        </w:rPr>
      </w:pPr>
      <w:bookmarkStart w:id="170" w:name="_Toc1414648934"/>
      <w:bookmarkStart w:id="171" w:name="_Toc1192204193"/>
      <w:bookmarkStart w:id="172" w:name="_Toc1218443880"/>
      <w:r>
        <w:rPr>
          <w:rFonts w:hint="eastAsia" w:ascii="仿宋" w:hAnsi="仿宋" w:eastAsia="仿宋" w:cs="仿宋"/>
          <w:color w:val="auto"/>
          <w:sz w:val="24"/>
          <w:szCs w:val="24"/>
        </w:rPr>
        <w:t>四、建设原则</w:t>
      </w:r>
      <w:bookmarkEnd w:id="170"/>
      <w:bookmarkEnd w:id="171"/>
      <w:bookmarkEnd w:id="172"/>
    </w:p>
    <w:p>
      <w:pPr>
        <w:pStyle w:val="42"/>
        <w:spacing w:after="0" w:line="360" w:lineRule="auto"/>
        <w:rPr>
          <w:rFonts w:ascii="仿宋" w:hAnsi="仿宋" w:eastAsia="仿宋" w:cs="仿宋"/>
          <w:b/>
          <w:bCs/>
          <w:color w:val="auto"/>
          <w:sz w:val="24"/>
          <w:szCs w:val="24"/>
        </w:rPr>
      </w:pPr>
      <w:r>
        <w:rPr>
          <w:rFonts w:hint="eastAsia" w:ascii="仿宋" w:hAnsi="仿宋" w:eastAsia="仿宋" w:cs="仿宋"/>
          <w:b/>
          <w:bCs/>
          <w:color w:val="auto"/>
          <w:sz w:val="24"/>
          <w:szCs w:val="24"/>
        </w:rPr>
        <w:t>1、系统先进性</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本系统建设采用连接城市无处不在的感知终端，利用大数据、数字孪生、物联网、时空地理信息、视频云、云计算、人工智能的数学模型及机器学习等先进技术，构建智慧的数字孪生平台。系统设计与实现采用国际、国内先进的技术和设备，使系统可长期运行。同时，确保系统符合信息化技术发展的趋势，具有明显的技术先进性。系统建设中所选用的软硬件系统可以方便地实现集成，降低系统维护的难度和要求，方便用户日后的应用和管理。</w:t>
      </w:r>
    </w:p>
    <w:p>
      <w:pPr>
        <w:pStyle w:val="42"/>
        <w:spacing w:after="0" w:line="360" w:lineRule="auto"/>
        <w:rPr>
          <w:rFonts w:ascii="仿宋" w:hAnsi="仿宋" w:eastAsia="仿宋" w:cs="仿宋"/>
          <w:b/>
          <w:bCs/>
          <w:color w:val="auto"/>
          <w:sz w:val="24"/>
          <w:szCs w:val="24"/>
        </w:rPr>
      </w:pPr>
      <w:bookmarkStart w:id="173" w:name="_Toc417093884"/>
      <w:r>
        <w:rPr>
          <w:rFonts w:hint="eastAsia" w:ascii="仿宋" w:hAnsi="仿宋" w:eastAsia="仿宋" w:cs="仿宋"/>
          <w:b/>
          <w:bCs/>
          <w:color w:val="auto"/>
          <w:sz w:val="24"/>
          <w:szCs w:val="24"/>
        </w:rPr>
        <w:t>2、系统可扩展性</w:t>
      </w:r>
      <w:bookmarkEnd w:id="173"/>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系统设计应采用标准的、可扩展的架构设计，使系统可随着业务量的增长及5G技术普及而扩容，满足5G架构应用。同时，系统在体系结构上提供开放和标准的接口，在不影响系统正常使用的情况下实现与其他系统的灵活对接，系统间的互联互通。</w:t>
      </w:r>
      <w:bookmarkStart w:id="174" w:name="_Toc417093885"/>
    </w:p>
    <w:p>
      <w:pPr>
        <w:pStyle w:val="42"/>
        <w:spacing w:after="0" w:line="360" w:lineRule="auto"/>
        <w:rPr>
          <w:rFonts w:ascii="仿宋" w:hAnsi="仿宋" w:eastAsia="仿宋" w:cs="仿宋"/>
          <w:b/>
          <w:bCs/>
          <w:color w:val="auto"/>
          <w:sz w:val="24"/>
          <w:szCs w:val="24"/>
        </w:rPr>
      </w:pPr>
      <w:r>
        <w:rPr>
          <w:rFonts w:hint="eastAsia" w:ascii="仿宋" w:hAnsi="仿宋" w:eastAsia="仿宋" w:cs="仿宋"/>
          <w:b/>
          <w:bCs/>
          <w:color w:val="auto"/>
          <w:sz w:val="24"/>
          <w:szCs w:val="24"/>
        </w:rPr>
        <w:t>3、可管理性原则</w:t>
      </w:r>
      <w:bookmarkEnd w:id="174"/>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可以方便的进行业务、性能管理，并提供日志、审计等功能。</w:t>
      </w:r>
    </w:p>
    <w:p>
      <w:pPr>
        <w:pStyle w:val="42"/>
        <w:spacing w:after="0" w:line="360" w:lineRule="auto"/>
        <w:rPr>
          <w:rFonts w:ascii="仿宋" w:hAnsi="仿宋" w:eastAsia="仿宋" w:cs="仿宋"/>
          <w:b/>
          <w:bCs/>
          <w:color w:val="auto"/>
          <w:sz w:val="24"/>
          <w:szCs w:val="24"/>
        </w:rPr>
      </w:pPr>
      <w:bookmarkStart w:id="175" w:name="_Toc417093886"/>
      <w:r>
        <w:rPr>
          <w:rFonts w:hint="eastAsia" w:ascii="仿宋" w:hAnsi="仿宋" w:eastAsia="仿宋" w:cs="仿宋"/>
          <w:b/>
          <w:bCs/>
          <w:color w:val="auto"/>
          <w:sz w:val="24"/>
          <w:szCs w:val="24"/>
        </w:rPr>
        <w:t>4、实战实用性原则</w:t>
      </w:r>
      <w:bookmarkEnd w:id="175"/>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要求系统必须满足实际工作需要，充分考虑区、街、社、小区四级各业务层次、管理环节数据处理的实用性，把满足不同用户工作和管理业务实际需要作为第一要素进行考虑，充分利用已有的软硬件资源。</w:t>
      </w:r>
    </w:p>
    <w:p>
      <w:pPr>
        <w:pStyle w:val="42"/>
        <w:spacing w:after="0" w:line="360" w:lineRule="auto"/>
        <w:rPr>
          <w:rFonts w:ascii="仿宋" w:hAnsi="仿宋" w:eastAsia="仿宋" w:cs="仿宋"/>
          <w:b/>
          <w:bCs/>
          <w:color w:val="auto"/>
          <w:sz w:val="24"/>
          <w:szCs w:val="24"/>
        </w:rPr>
      </w:pPr>
      <w:bookmarkStart w:id="176" w:name="_Toc417093887"/>
      <w:bookmarkStart w:id="177" w:name="_Toc385254014"/>
      <w:r>
        <w:rPr>
          <w:rFonts w:hint="eastAsia" w:ascii="仿宋" w:hAnsi="仿宋" w:eastAsia="仿宋" w:cs="仿宋"/>
          <w:b/>
          <w:bCs/>
          <w:color w:val="auto"/>
          <w:sz w:val="24"/>
          <w:szCs w:val="24"/>
        </w:rPr>
        <w:t>5、安全性原则</w:t>
      </w:r>
      <w:bookmarkEnd w:id="176"/>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要求系统具备数据传输和信息安全策略，具体包括：</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（1）整体安全原则；</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（2）有效管理原则；</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（3）需求、风险、代价平衡分析的原则；</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（4）适应一致原则；</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（5）责权分明原则；</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（6）易操作性、灵活性原则；</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（7）多层保护原则</w:t>
      </w:r>
      <w:bookmarkEnd w:id="177"/>
      <w:r>
        <w:rPr>
          <w:rFonts w:hint="eastAsia" w:ascii="仿宋" w:hAnsi="仿宋" w:eastAsia="仿宋" w:cs="仿宋"/>
          <w:color w:val="auto"/>
          <w:sz w:val="24"/>
          <w:szCs w:val="24"/>
        </w:rPr>
        <w:t>。</w:t>
      </w:r>
    </w:p>
    <w:p>
      <w:pPr>
        <w:pStyle w:val="4"/>
        <w:spacing w:before="0" w:after="0" w:line="360" w:lineRule="auto"/>
        <w:rPr>
          <w:rFonts w:ascii="仿宋" w:hAnsi="仿宋" w:eastAsia="仿宋" w:cs="仿宋"/>
          <w:color w:val="auto"/>
          <w:sz w:val="24"/>
          <w:szCs w:val="24"/>
        </w:rPr>
      </w:pPr>
      <w:bookmarkStart w:id="178" w:name="_Toc1213177801"/>
      <w:bookmarkStart w:id="179" w:name="_Toc2129717015"/>
      <w:bookmarkStart w:id="180" w:name="_Toc1353445241"/>
      <w:r>
        <w:rPr>
          <w:rFonts w:hint="eastAsia" w:ascii="仿宋" w:hAnsi="仿宋" w:eastAsia="仿宋" w:cs="仿宋"/>
          <w:color w:val="auto"/>
          <w:sz w:val="24"/>
          <w:szCs w:val="24"/>
        </w:rPr>
        <w:t>五、现状介绍</w:t>
      </w:r>
      <w:bookmarkEnd w:id="178"/>
      <w:bookmarkEnd w:id="179"/>
      <w:bookmarkEnd w:id="180"/>
    </w:p>
    <w:p>
      <w:pPr>
        <w:pStyle w:val="5"/>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1、杉板桥社区</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杉板桥社区有高档住宅、中低档住宅和老旧院落共21个院落， 18000余户，人口4.3万人，是一个地域、人口数量超大社区。</w:t>
      </w:r>
    </w:p>
    <w:p>
      <w:pPr>
        <w:pStyle w:val="5"/>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2、杉板桥社区党群服务中心</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杉板桥社区党群服务中心位于万科天荟，建筑面积约3000平米，正按照成都市国际化产业服务型设计进行实体修建，现已基本完工。</w:t>
      </w:r>
    </w:p>
    <w:p>
      <w:pPr>
        <w:pStyle w:val="5"/>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3、成华区大数据机房</w:t>
      </w:r>
    </w:p>
    <w:p>
      <w:pPr>
        <w:pStyle w:val="42"/>
        <w:spacing w:after="0"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成华区大数据机房云平台计算资源池是为成华区智慧城市治理提供平稳、安全、高效的物理运行基础环境。该平台于2015年正式建成并投入使用，目前已经稳定运行6年的时间。</w:t>
      </w:r>
    </w:p>
    <w:p>
      <w:pPr>
        <w:pStyle w:val="5"/>
        <w:spacing w:before="0" w:after="0" w:line="360" w:lineRule="auto"/>
        <w:rPr>
          <w:rFonts w:ascii="仿宋" w:hAnsi="仿宋" w:eastAsia="仿宋" w:cs="仿宋"/>
          <w:color w:val="auto"/>
          <w:sz w:val="24"/>
          <w:szCs w:val="24"/>
        </w:rPr>
      </w:pPr>
      <w:bookmarkStart w:id="181" w:name="_Toc651373478"/>
      <w:bookmarkStart w:id="182" w:name="_Toc439089332"/>
      <w:bookmarkStart w:id="183" w:name="_Toc857145324"/>
      <w:r>
        <w:rPr>
          <w:rFonts w:hint="eastAsia" w:ascii="仿宋" w:hAnsi="仿宋" w:eastAsia="仿宋" w:cs="仿宋"/>
          <w:color w:val="auto"/>
          <w:sz w:val="24"/>
          <w:szCs w:val="24"/>
        </w:rPr>
        <w:t>4、已建系统</w:t>
      </w:r>
      <w:bookmarkEnd w:id="181"/>
      <w:bookmarkEnd w:id="182"/>
      <w:bookmarkEnd w:id="183"/>
    </w:p>
    <w:p>
      <w:pPr>
        <w:pStyle w:val="42"/>
        <w:spacing w:after="0"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目前，成华区智慧治理中心已建成了数据共享交换、联动指挥调度、城市治理、人脸识别、视联网、大联动、民生诉求管理、智能化网络理政等系统平台；杉板桥社区辖区内主要是龙湖、万科、保利等物业建设了物业管理系统。</w:t>
      </w:r>
    </w:p>
    <w:p>
      <w:pPr>
        <w:pStyle w:val="4"/>
        <w:spacing w:before="0" w:after="0" w:line="360" w:lineRule="auto"/>
        <w:rPr>
          <w:rFonts w:ascii="仿宋" w:hAnsi="仿宋" w:eastAsia="仿宋" w:cs="仿宋"/>
          <w:color w:val="auto"/>
          <w:sz w:val="24"/>
          <w:szCs w:val="24"/>
        </w:rPr>
      </w:pPr>
      <w:bookmarkStart w:id="184" w:name="_Toc1909895987"/>
      <w:bookmarkStart w:id="185" w:name="_Toc1020591832"/>
      <w:bookmarkStart w:id="186" w:name="_Toc721156392"/>
      <w:r>
        <w:rPr>
          <w:rFonts w:hint="eastAsia" w:ascii="仿宋" w:hAnsi="仿宋" w:eastAsia="仿宋" w:cs="仿宋"/>
          <w:color w:val="auto"/>
          <w:sz w:val="24"/>
          <w:szCs w:val="24"/>
        </w:rPr>
        <w:t>六、技术要求</w:t>
      </w:r>
      <w:bookmarkEnd w:id="184"/>
      <w:bookmarkEnd w:id="185"/>
      <w:bookmarkEnd w:id="186"/>
    </w:p>
    <w:p>
      <w:pPr>
        <w:pStyle w:val="5"/>
        <w:spacing w:before="0" w:after="0" w:line="360" w:lineRule="auto"/>
        <w:rPr>
          <w:rFonts w:ascii="仿宋" w:hAnsi="仿宋" w:eastAsia="仿宋" w:cs="仿宋"/>
          <w:color w:val="auto"/>
          <w:sz w:val="24"/>
          <w:szCs w:val="24"/>
        </w:rPr>
      </w:pPr>
      <w:bookmarkStart w:id="187" w:name="_Toc417093880"/>
      <w:bookmarkStart w:id="188" w:name="_Toc458619231"/>
      <w:bookmarkStart w:id="189" w:name="_Toc1135031835"/>
      <w:bookmarkStart w:id="190" w:name="_Toc77776676"/>
      <w:bookmarkStart w:id="191" w:name="_Toc1183781800"/>
      <w:r>
        <w:rPr>
          <w:rFonts w:hint="eastAsia" w:ascii="仿宋" w:hAnsi="仿宋" w:eastAsia="仿宋" w:cs="仿宋"/>
          <w:color w:val="auto"/>
          <w:sz w:val="24"/>
          <w:szCs w:val="24"/>
        </w:rPr>
        <w:t>1、系统容错</w:t>
      </w:r>
      <w:bookmarkEnd w:id="187"/>
      <w:bookmarkEnd w:id="188"/>
      <w:r>
        <w:rPr>
          <w:rFonts w:hint="eastAsia" w:ascii="仿宋" w:hAnsi="仿宋" w:eastAsia="仿宋" w:cs="仿宋"/>
          <w:color w:val="auto"/>
          <w:sz w:val="24"/>
          <w:szCs w:val="24"/>
        </w:rPr>
        <w:t>要求</w:t>
      </w:r>
      <w:bookmarkEnd w:id="189"/>
      <w:bookmarkEnd w:id="190"/>
      <w:bookmarkEnd w:id="191"/>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1.1系统应建立合理的异常处理机制，确保异常发生时不会对系统数据造成影响，并能够快速恢复正常状态。</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1.2系统应具备容错、数据备份、恢复与稳定运行的能力。</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1.3系统应经过完善的设计和充分的测试运行，具备在较长时间内连续无故障运行的能力。</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1.4系统在出现单点故障时仍可正常运行。</w:t>
      </w:r>
    </w:p>
    <w:p>
      <w:pPr>
        <w:pStyle w:val="5"/>
        <w:spacing w:before="0" w:after="0" w:line="360" w:lineRule="auto"/>
        <w:rPr>
          <w:rFonts w:ascii="仿宋" w:hAnsi="仿宋" w:eastAsia="仿宋" w:cs="仿宋"/>
          <w:color w:val="auto"/>
          <w:sz w:val="24"/>
          <w:szCs w:val="24"/>
        </w:rPr>
      </w:pPr>
      <w:bookmarkStart w:id="192" w:name="_Toc382814544"/>
      <w:bookmarkStart w:id="193" w:name="_Toc1522536156"/>
      <w:bookmarkStart w:id="194" w:name="_Toc1532206792"/>
      <w:r>
        <w:rPr>
          <w:rFonts w:hint="eastAsia" w:ascii="仿宋" w:hAnsi="仿宋" w:eastAsia="仿宋" w:cs="仿宋"/>
          <w:color w:val="auto"/>
          <w:sz w:val="24"/>
          <w:szCs w:val="24"/>
        </w:rPr>
        <w:t>2、技术架构</w:t>
      </w:r>
      <w:bookmarkEnd w:id="192"/>
      <w:bookmarkEnd w:id="193"/>
      <w:bookmarkEnd w:id="194"/>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系统采用B/S架构，支持谷歌Chrome浏览器，系统应使用统一运行框架，具备视频资源服务和GIS可视化服务能力，应与成华区智慧城市治理中心采用统一联网协议（TCP/IP;HTTP/HTTPS;GB/T28181-2016）、统一图像标注（包括图像所属单位、时间、地点）、统一IP地址规划。系统应充分考虑可用性、易用性、可扩展性、可移植性、可维护性、友好性、兼容性、容错能力。</w:t>
      </w:r>
    </w:p>
    <w:p>
      <w:pPr>
        <w:pStyle w:val="42"/>
        <w:spacing w:after="0" w:line="360" w:lineRule="auto"/>
        <w:ind w:firstLine="560"/>
        <w:jc w:val="left"/>
        <w:rPr>
          <w:rFonts w:ascii="仿宋" w:hAnsi="仿宋" w:eastAsia="仿宋" w:cs="仿宋"/>
          <w:color w:val="auto"/>
          <w:sz w:val="24"/>
          <w:szCs w:val="24"/>
        </w:rPr>
      </w:pPr>
      <w:r>
        <w:rPr>
          <w:rFonts w:hint="eastAsia" w:ascii="仿宋" w:hAnsi="仿宋" w:eastAsia="仿宋" w:cs="仿宋"/>
          <w:color w:val="auto"/>
          <w:sz w:val="24"/>
          <w:szCs w:val="24"/>
        </w:rPr>
        <w:t>系统技术架构从上至下分为:交互层、应用层，通用支撑层和数据层四层构成。</w:t>
      </w:r>
    </w:p>
    <w:p>
      <w:pPr>
        <w:pStyle w:val="42"/>
        <w:spacing w:after="0" w:line="360" w:lineRule="auto"/>
        <w:ind w:firstLine="560"/>
        <w:jc w:val="left"/>
        <w:rPr>
          <w:rFonts w:ascii="仿宋" w:hAnsi="仿宋" w:eastAsia="仿宋" w:cs="仿宋"/>
          <w:color w:val="auto"/>
          <w:sz w:val="24"/>
          <w:szCs w:val="24"/>
        </w:rPr>
      </w:pPr>
      <w:r>
        <w:rPr>
          <w:rFonts w:hint="eastAsia" w:ascii="仿宋" w:hAnsi="仿宋" w:eastAsia="仿宋" w:cs="仿宋"/>
          <w:color w:val="auto"/>
          <w:sz w:val="24"/>
          <w:szCs w:val="24"/>
        </w:rPr>
        <w:t>交互层支持桌面终端、大屏、便携移动端多种显示格式和交互方式。应用层使用JAVAEE 技术框架。通用支撑层由数据服务、统一运行框架、视频资源服务和 GIS可视化服务四部分组成。数据服务支撑数据接入能力及主题构建能力。统一运行框架包括服务总线、消息服务、报表图表、文件服务、界面集成服务等共性服务。视频资源服务实现对已有视频资源的汇聚和共享应用。提供二维、三维GIS可视化展现、多图层聚合表达和空间分析能力。</w:t>
      </w:r>
    </w:p>
    <w:p>
      <w:pPr>
        <w:pStyle w:val="5"/>
        <w:spacing w:before="0" w:after="0" w:line="360" w:lineRule="auto"/>
        <w:rPr>
          <w:rFonts w:ascii="仿宋" w:hAnsi="仿宋" w:eastAsia="仿宋" w:cs="仿宋"/>
          <w:color w:val="auto"/>
          <w:sz w:val="24"/>
          <w:szCs w:val="24"/>
        </w:rPr>
      </w:pPr>
      <w:bookmarkStart w:id="195" w:name="_Toc1323141967"/>
      <w:bookmarkStart w:id="196" w:name="_Toc1997519887"/>
      <w:bookmarkStart w:id="197" w:name="_Toc103034596"/>
      <w:r>
        <w:rPr>
          <w:rFonts w:hint="eastAsia" w:ascii="仿宋" w:hAnsi="仿宋" w:eastAsia="仿宋" w:cs="仿宋"/>
          <w:color w:val="auto"/>
          <w:sz w:val="24"/>
          <w:szCs w:val="24"/>
        </w:rPr>
        <w:t>3、开发要求</w:t>
      </w:r>
      <w:bookmarkEnd w:id="195"/>
      <w:bookmarkEnd w:id="196"/>
      <w:bookmarkEnd w:id="197"/>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根据招标文件要求，结合国标和全面质量管理有关条例要求，本方案对软件开发要求参数化、扩展性、模块化，并承诺在项目进入研发阶段将严格遵偱。</w:t>
      </w:r>
      <w:r>
        <w:rPr>
          <w:rFonts w:hint="eastAsia" w:ascii="仿宋" w:hAnsi="仿宋" w:eastAsia="仿宋" w:cs="仿宋"/>
          <w:b/>
          <w:color w:val="auto"/>
          <w:sz w:val="24"/>
          <w:szCs w:val="24"/>
        </w:rPr>
        <w:t>（提供承诺函）</w:t>
      </w:r>
    </w:p>
    <w:p>
      <w:pPr>
        <w:pStyle w:val="5"/>
        <w:spacing w:before="0" w:after="0" w:line="360" w:lineRule="auto"/>
        <w:rPr>
          <w:rFonts w:ascii="仿宋" w:hAnsi="仿宋" w:eastAsia="仿宋" w:cs="仿宋"/>
          <w:color w:val="auto"/>
          <w:sz w:val="24"/>
          <w:szCs w:val="24"/>
        </w:rPr>
      </w:pPr>
      <w:bookmarkStart w:id="198" w:name="_Toc704887258"/>
      <w:bookmarkStart w:id="199" w:name="_Toc830635490"/>
      <w:bookmarkStart w:id="200" w:name="_Toc853874684"/>
      <w:r>
        <w:rPr>
          <w:rFonts w:hint="eastAsia" w:ascii="仿宋" w:hAnsi="仿宋" w:eastAsia="仿宋" w:cs="仿宋"/>
          <w:color w:val="auto"/>
          <w:sz w:val="24"/>
          <w:szCs w:val="24"/>
        </w:rPr>
        <w:t>4、界面要求</w:t>
      </w:r>
      <w:bookmarkEnd w:id="198"/>
      <w:bookmarkEnd w:id="199"/>
      <w:bookmarkEnd w:id="200"/>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4.1客户端支持谷歌Chrome浏览器界面；</w:t>
      </w:r>
    </w:p>
    <w:p>
      <w:pPr>
        <w:pStyle w:val="42"/>
        <w:spacing w:after="0" w:line="360" w:lineRule="auto"/>
        <w:ind w:firstLine="560"/>
        <w:rPr>
          <w:rFonts w:ascii="仿宋" w:hAnsi="仿宋" w:eastAsia="仿宋" w:cs="仿宋"/>
          <w:bCs/>
          <w:color w:val="auto"/>
          <w:sz w:val="24"/>
          <w:szCs w:val="24"/>
        </w:rPr>
      </w:pPr>
      <w:r>
        <w:rPr>
          <w:rFonts w:hint="eastAsia" w:ascii="仿宋" w:hAnsi="仿宋" w:eastAsia="仿宋" w:cs="仿宋"/>
          <w:bCs/>
          <w:color w:val="auto"/>
          <w:sz w:val="24"/>
          <w:szCs w:val="24"/>
        </w:rPr>
        <w:t>4.2界面采用简单明了的表达方式；</w:t>
      </w:r>
    </w:p>
    <w:p>
      <w:pPr>
        <w:pStyle w:val="42"/>
        <w:spacing w:after="0" w:line="360" w:lineRule="auto"/>
        <w:ind w:firstLine="560"/>
        <w:rPr>
          <w:rFonts w:ascii="仿宋" w:hAnsi="仿宋" w:eastAsia="仿宋" w:cs="仿宋"/>
          <w:bCs/>
          <w:color w:val="auto"/>
          <w:sz w:val="24"/>
          <w:szCs w:val="24"/>
        </w:rPr>
      </w:pPr>
      <w:r>
        <w:rPr>
          <w:rFonts w:hint="eastAsia" w:ascii="仿宋" w:hAnsi="仿宋" w:eastAsia="仿宋" w:cs="仿宋"/>
          <w:bCs/>
          <w:color w:val="auto"/>
          <w:sz w:val="24"/>
          <w:szCs w:val="24"/>
        </w:rPr>
        <w:t>4.3能灵活地定义参数和处理规则，可方便地采用符合自己业务特点的方案；</w:t>
      </w:r>
    </w:p>
    <w:p>
      <w:pPr>
        <w:pStyle w:val="42"/>
        <w:spacing w:after="0" w:line="360" w:lineRule="auto"/>
        <w:ind w:firstLine="560"/>
        <w:rPr>
          <w:rFonts w:ascii="仿宋" w:hAnsi="仿宋" w:eastAsia="仿宋" w:cs="仿宋"/>
          <w:bCs/>
          <w:color w:val="auto"/>
          <w:sz w:val="24"/>
          <w:szCs w:val="24"/>
        </w:rPr>
      </w:pPr>
      <w:r>
        <w:rPr>
          <w:rFonts w:hint="eastAsia" w:ascii="仿宋" w:hAnsi="仿宋" w:eastAsia="仿宋" w:cs="仿宋"/>
          <w:bCs/>
          <w:color w:val="auto"/>
          <w:sz w:val="24"/>
          <w:szCs w:val="24"/>
        </w:rPr>
        <w:t>4.4界面设计参照WIN10风格，包括提供图形化按钮设计等；</w:t>
      </w:r>
    </w:p>
    <w:p>
      <w:pPr>
        <w:pStyle w:val="42"/>
        <w:spacing w:after="0" w:line="360" w:lineRule="auto"/>
        <w:ind w:firstLine="560"/>
        <w:rPr>
          <w:rFonts w:ascii="仿宋" w:hAnsi="仿宋" w:eastAsia="仿宋" w:cs="仿宋"/>
          <w:bCs/>
          <w:color w:val="auto"/>
          <w:sz w:val="24"/>
          <w:szCs w:val="24"/>
        </w:rPr>
      </w:pPr>
      <w:r>
        <w:rPr>
          <w:rFonts w:hint="eastAsia" w:ascii="仿宋" w:hAnsi="仿宋" w:eastAsia="仿宋" w:cs="仿宋"/>
          <w:bCs/>
          <w:color w:val="auto"/>
          <w:sz w:val="24"/>
          <w:szCs w:val="24"/>
        </w:rPr>
        <w:t>4.5为了提高操作效率，尽可能减少跨屏操作情况；</w:t>
      </w:r>
    </w:p>
    <w:p>
      <w:pPr>
        <w:pStyle w:val="42"/>
        <w:spacing w:after="0" w:line="360" w:lineRule="auto"/>
        <w:ind w:firstLine="560"/>
        <w:rPr>
          <w:rFonts w:ascii="仿宋" w:hAnsi="仿宋" w:eastAsia="仿宋" w:cs="仿宋"/>
          <w:bCs/>
          <w:color w:val="auto"/>
          <w:sz w:val="24"/>
          <w:szCs w:val="24"/>
        </w:rPr>
      </w:pPr>
      <w:r>
        <w:rPr>
          <w:rFonts w:hint="eastAsia" w:ascii="仿宋" w:hAnsi="仿宋" w:eastAsia="仿宋" w:cs="仿宋"/>
          <w:bCs/>
          <w:color w:val="auto"/>
          <w:sz w:val="24"/>
          <w:szCs w:val="24"/>
        </w:rPr>
        <w:t>4.6多窗口操作时采用模态窗口设计模式；</w:t>
      </w:r>
    </w:p>
    <w:p>
      <w:pPr>
        <w:pStyle w:val="42"/>
        <w:spacing w:after="0" w:line="360" w:lineRule="auto"/>
        <w:ind w:firstLine="560"/>
        <w:rPr>
          <w:rFonts w:ascii="仿宋" w:hAnsi="仿宋" w:eastAsia="仿宋" w:cs="仿宋"/>
          <w:bCs/>
          <w:color w:val="auto"/>
          <w:sz w:val="24"/>
          <w:szCs w:val="24"/>
        </w:rPr>
      </w:pPr>
      <w:r>
        <w:rPr>
          <w:rFonts w:hint="eastAsia" w:ascii="仿宋" w:hAnsi="仿宋" w:eastAsia="仿宋" w:cs="仿宋"/>
          <w:bCs/>
          <w:color w:val="auto"/>
          <w:sz w:val="24"/>
          <w:szCs w:val="24"/>
        </w:rPr>
        <w:t>4.7提供个性化及用户自定义操作界面，如待办界面设计与实现个性化，待办界面显示内容个性化设置等。</w:t>
      </w:r>
    </w:p>
    <w:p>
      <w:pPr>
        <w:pStyle w:val="5"/>
        <w:spacing w:before="0" w:after="0" w:line="360" w:lineRule="auto"/>
        <w:rPr>
          <w:rFonts w:ascii="仿宋" w:hAnsi="仿宋" w:eastAsia="仿宋" w:cs="仿宋"/>
          <w:color w:val="auto"/>
          <w:sz w:val="24"/>
          <w:szCs w:val="24"/>
        </w:rPr>
      </w:pPr>
      <w:bookmarkStart w:id="201" w:name="_Toc1586084734"/>
      <w:bookmarkStart w:id="202" w:name="_Toc1846974930"/>
      <w:bookmarkStart w:id="203" w:name="_Toc1520348354"/>
      <w:r>
        <w:rPr>
          <w:rFonts w:hint="eastAsia" w:ascii="仿宋" w:hAnsi="仿宋" w:eastAsia="仿宋" w:cs="仿宋"/>
          <w:color w:val="auto"/>
          <w:sz w:val="24"/>
          <w:szCs w:val="24"/>
        </w:rPr>
        <w:t>5、性能要求</w:t>
      </w:r>
      <w:bookmarkEnd w:id="201"/>
      <w:bookmarkEnd w:id="202"/>
      <w:bookmarkEnd w:id="203"/>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根据项目实际业务性能需求如下：</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5.1系统能够每天24小时连续不间断地正常运行；</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5.2应用系统业务应用功能并发用户数支持100个并发；</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5.3系统的各种数据输出（包括单据、查询结果）时间小于3秒，跨系统、大数据及三维模型相关综合查询时间不超过10秒；</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5.4除极少部分计算复杂的点击操作外，其余客户端功能点的点击操作，系统弹出详细界面的响应时间不超过3秒。</w:t>
      </w:r>
    </w:p>
    <w:p>
      <w:pPr>
        <w:pStyle w:val="5"/>
        <w:spacing w:before="0" w:after="0" w:line="360" w:lineRule="auto"/>
        <w:rPr>
          <w:rFonts w:ascii="仿宋" w:hAnsi="仿宋" w:eastAsia="仿宋" w:cs="仿宋"/>
          <w:color w:val="auto"/>
          <w:sz w:val="24"/>
          <w:szCs w:val="24"/>
        </w:rPr>
      </w:pPr>
      <w:bookmarkStart w:id="204" w:name="_Toc231531125"/>
      <w:bookmarkStart w:id="205" w:name="_Toc1734353672"/>
      <w:bookmarkStart w:id="206" w:name="_Toc611614127"/>
      <w:r>
        <w:rPr>
          <w:rFonts w:hint="eastAsia" w:ascii="仿宋" w:hAnsi="仿宋" w:eastAsia="仿宋" w:cs="仿宋"/>
          <w:color w:val="auto"/>
          <w:sz w:val="24"/>
          <w:szCs w:val="24"/>
        </w:rPr>
        <w:t>6、★安全要求</w:t>
      </w:r>
      <w:bookmarkEnd w:id="204"/>
      <w:bookmarkEnd w:id="205"/>
      <w:bookmarkEnd w:id="206"/>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本项目应按照《信息安全技术网络安全等级保护基本要求》 GB/T 22239-2019的要求，本项目网络按照等保二级认证有关要求建设，关键信息系统和数据按照网络等级保护三级要求建设，配合采购人完成等保二级认证。</w:t>
      </w:r>
      <w:r>
        <w:rPr>
          <w:rFonts w:hint="eastAsia" w:ascii="仿宋" w:hAnsi="仿宋" w:eastAsia="仿宋" w:cs="仿宋"/>
          <w:b/>
          <w:bCs/>
          <w:color w:val="auto"/>
          <w:sz w:val="24"/>
          <w:szCs w:val="24"/>
        </w:rPr>
        <w:t>（投标人须提供承诺函原件）</w:t>
      </w:r>
    </w:p>
    <w:p>
      <w:pPr>
        <w:pStyle w:val="5"/>
        <w:spacing w:before="0" w:after="0" w:line="360" w:lineRule="auto"/>
        <w:rPr>
          <w:rFonts w:ascii="仿宋" w:hAnsi="仿宋" w:eastAsia="仿宋" w:cs="仿宋"/>
          <w:color w:val="auto"/>
          <w:sz w:val="24"/>
          <w:szCs w:val="24"/>
        </w:rPr>
      </w:pPr>
      <w:bookmarkStart w:id="207" w:name="_Toc1486624573"/>
      <w:bookmarkStart w:id="208" w:name="_Toc103249511"/>
      <w:bookmarkStart w:id="209" w:name="_Toc1541897947"/>
      <w:r>
        <w:rPr>
          <w:rFonts w:hint="eastAsia" w:ascii="仿宋" w:hAnsi="仿宋" w:eastAsia="仿宋" w:cs="仿宋"/>
          <w:color w:val="auto"/>
          <w:sz w:val="24"/>
          <w:szCs w:val="24"/>
        </w:rPr>
        <w:t>7、功能要求</w:t>
      </w:r>
      <w:bookmarkEnd w:id="207"/>
      <w:bookmarkEnd w:id="208"/>
      <w:bookmarkEnd w:id="209"/>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7.1综合业务管理系统</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7.1.1资源地图</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汇集社区范围内的各类资源及数据，通过大数据、人工智能等技术，分析数据之间的内在联系，从而间接建立社区内部居民之间的联系。统一维护管理社区内的</w:t>
      </w:r>
      <w:bookmarkStart w:id="210" w:name="_Hlk73116579"/>
      <w:r>
        <w:rPr>
          <w:rFonts w:hint="eastAsia" w:ascii="仿宋" w:hAnsi="仿宋" w:eastAsia="仿宋" w:cs="仿宋"/>
          <w:color w:val="auto"/>
          <w:sz w:val="24"/>
          <w:szCs w:val="24"/>
        </w:rPr>
        <w:t>“水电维修”“医护”“家教”“家政”“爱心公益”“业委会”</w:t>
      </w:r>
      <w:bookmarkEnd w:id="210"/>
      <w:r>
        <w:rPr>
          <w:rFonts w:hint="eastAsia" w:ascii="仿宋" w:hAnsi="仿宋" w:eastAsia="仿宋" w:cs="仿宋"/>
          <w:color w:val="auto"/>
          <w:sz w:val="24"/>
          <w:szCs w:val="24"/>
        </w:rPr>
        <w:t>“文体”等各类资源信息，并将资源信息坐标化，为移动端及三维地图展示提供数据服务,实现社区资源一张图展示，为社区居民盘活附近1公里的各类资源，实现资源信息共享，为打造“熟人社会”提供支撑。</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7.1.2掌上议事</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实现对居民手机移动应用掌上议事功能的管理，包括实名认证管理、掌上议事管理等主要模块。</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 xml:space="preserve">实名认证管理，通过人像比对识别进行实名认证。 </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掌上议事管理包括议题发布、议题讨论、意见统计排名、群主消息发布、互动交流、议事结论等功能。</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▲投标人需提供详细的掌上议事管理子系统功能设计界面截图、业务流程图、人像认证流程描述以及设计思路的详细说明（至少包括议题发布、议题讨论查看、意见统计排名、议事结论等）。</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7.1.3咨询建议</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咨询建议管理子系统主要包括“找社区”建议管理以及“随手拍”事件管理功能</w:t>
      </w:r>
      <w:bookmarkStart w:id="211" w:name="_Hlk73023349"/>
      <w:r>
        <w:rPr>
          <w:rFonts w:hint="eastAsia" w:ascii="仿宋" w:hAnsi="仿宋" w:eastAsia="仿宋" w:cs="仿宋"/>
          <w:color w:val="auto"/>
          <w:sz w:val="24"/>
          <w:szCs w:val="24"/>
        </w:rPr>
        <w:t>。</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▲投标人需提供详细的咨询建议管理子系统功能设计界面截图、业务流程图以及设计思路的详细说明（至少包括随手拍、找社区等）</w:t>
      </w:r>
      <w:bookmarkEnd w:id="211"/>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7.1.4数据填报</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数据填报主要实现基础数据采集，包含：党建相关、社区基本信息、产业数据等。</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7.1.5信息发布</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统一管理党员先锋、榜样力量、社区动态、通知公告、活动宣传等各类信息，实现各种信息的发布、阅读、检索、查找、管理等功能。</w:t>
      </w:r>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7.2综合指挥调度系统</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7.2.1感知管理</w:t>
      </w:r>
    </w:p>
    <w:p>
      <w:pPr>
        <w:pStyle w:val="42"/>
        <w:spacing w:after="0" w:line="360" w:lineRule="auto"/>
        <w:ind w:firstLine="559" w:firstLineChars="233"/>
        <w:rPr>
          <w:rFonts w:ascii="仿宋" w:hAnsi="仿宋" w:eastAsia="仿宋" w:cs="仿宋"/>
          <w:color w:val="auto"/>
          <w:sz w:val="24"/>
          <w:szCs w:val="24"/>
        </w:rPr>
      </w:pPr>
      <w:bookmarkStart w:id="212" w:name="_Hlk73093997"/>
      <w:r>
        <w:rPr>
          <w:rFonts w:hint="eastAsia" w:ascii="仿宋" w:hAnsi="仿宋" w:eastAsia="仿宋" w:cs="仿宋"/>
          <w:color w:val="auto"/>
          <w:sz w:val="24"/>
          <w:szCs w:val="24"/>
        </w:rPr>
        <w:t>对社区城市部件及危险感知设备信息进行管理，通过自建+接入相结合的方式，实现社区内视频感知、识别感知、位置感知、危险隐患感知的统筹部署、资源整合最终实现社区感知数据共享共用。</w:t>
      </w:r>
    </w:p>
    <w:p>
      <w:pPr>
        <w:pStyle w:val="42"/>
        <w:spacing w:after="0" w:line="360" w:lineRule="auto"/>
        <w:ind w:firstLine="559" w:firstLineChars="233"/>
        <w:rPr>
          <w:rFonts w:ascii="仿宋" w:hAnsi="仿宋" w:eastAsia="仿宋" w:cs="仿宋"/>
          <w:color w:val="auto"/>
          <w:sz w:val="24"/>
          <w:szCs w:val="24"/>
        </w:rPr>
      </w:pPr>
      <w:r>
        <w:rPr>
          <w:rFonts w:hint="eastAsia" w:ascii="仿宋" w:hAnsi="仿宋" w:eastAsia="仿宋" w:cs="仿宋"/>
          <w:color w:val="auto"/>
          <w:sz w:val="24"/>
          <w:szCs w:val="24"/>
        </w:rPr>
        <w:t>包括：视频、智能井盖、环境监测（异味、噪声、温度、湿度、pm2.5、pm10）、水压监测、用电监测、烟雾探测、用气监测、高空抛物监测等设备基本信息管理、实时预警管理功能。</w:t>
      </w:r>
      <w:bookmarkEnd w:id="212"/>
    </w:p>
    <w:p>
      <w:pPr>
        <w:pStyle w:val="42"/>
        <w:spacing w:after="0" w:line="360" w:lineRule="auto"/>
        <w:ind w:firstLine="559" w:firstLineChars="233"/>
        <w:rPr>
          <w:rFonts w:ascii="仿宋" w:hAnsi="仿宋" w:eastAsia="仿宋" w:cs="仿宋"/>
          <w:color w:val="auto"/>
          <w:sz w:val="24"/>
          <w:szCs w:val="24"/>
        </w:rPr>
      </w:pPr>
      <w:r>
        <w:rPr>
          <w:rFonts w:hint="eastAsia" w:ascii="仿宋" w:hAnsi="仿宋" w:eastAsia="仿宋" w:cs="仿宋"/>
          <w:color w:val="auto"/>
          <w:sz w:val="24"/>
          <w:szCs w:val="24"/>
        </w:rPr>
        <w:t>▲投标人需提供详细的感知管理主要界面设计图截图、基于数字底座的展示设计界面截图（包括：设备基本信息、状态信息、监控信息、位置信息、预警信息等）以及每项设计思路的详细说明。</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7.2.2环境监测</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通过移动点位采集结合固定点位采集，实时监测杉板桥社区环境情况，并对异常情况提出报警功能。包含：PM2.5、PM10、温度、异味、噪音、湿度。</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点位：本次项目部署5个点位，在万科天荟、保利康桥、东郊记忆3个固定点位，在跳蹬河街道城管巡逻车上安装2个移动点位。</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▲投标人需提供详细的环境监测基于数字底座展示设计界面截图、设计思路详细说明、功能描述，以及安装部署方案等。</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7.2.3消防报警监测</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针对社区范围内的小区物业的消控系统报警信息实行7*24小时实时监测。</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点位：本项目部署4个点位，确定保利康桥消控室、东郊记忆消控室、多弗国际消控室3个点位，后期根据项目协调情况，在社区范围内再确定1个点位。</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7.2.4水位监测</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针对社区范围内的楼宇的高位水箱液位实行7*24小时实时监测，实现即时水位、警戒水位监测。</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点位：本项目部署4个点位，确定保利康桥15号楼、东郊记忆24楼、多弗国际21楼3个点位，后期根据项目协调情况，在社区范围内再确定1个点。</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7.2.5水压监测</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主要对各楼宇内部高位消防栓水压实行7*24小时实时监测，实现警戒水压监测。</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点位：本项目部署4个点位，确定东郊记忆21号楼、多弗国际2个点位，后期根据项目协调情况，在社区范围内再确定2个点位。</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7.2.6电路监测</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通过在居民家庭配电箱中安装电路监测设备，实时监测居民家庭电路电流、电压、温度、漏电、故障电弧、危险电器等数据。</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点位：本项目部署4个点位，确定党群服务中心，后期根据项目协调情况，在社区范围内再确定3个点位。</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▲投标人需提供详细的电路监测功能实现方案（包括安装方式说明、监测原理），且必须具备电流、电压、温度、漏电、故障电弧、危险电器等数据监测能力。</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7.2.7视频图像高空抛物分析监测</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利用视频分析技术，针对社区内居民住宅小区部署高空抛物摄像头拍摄的视频，进行高空抛物监测，实时截取行为照片和视频并保存1个月。</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点位：万科天荟小区部署9套设备。</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▲投标人需提供详细的高空抛物监测设计方案（包括安装点位要求、安装示意图、视频分析模型，并详细阐述预警实现方式等）。</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7.2.8风险监测预警子系统</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通过与自建及与第三方感知系统对接，获取社区范围内各类感知数据，采用阈值设定、算法识别等方式进行预警分析，实现社区内各类事件风险预警、报警。</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包括：高空抛物报警、井盖异常报警（移位等）、环境异常预警（异味、噪声、pm2.5、pm10）、消防栓水压异常预警、消防水箱水位异常报警、用电行为异常报警（用电量过高、电瓶车接入、或其他大功率电器/危险电器接入识别、大功率电器/危险电器运行时间过长、零用电等）、楼栋烟感或消防手报报警、人流密度报警、突发事件预警（包含火灾、杀人、学生安全、打架斗殴、踩踏等突发事件预警）、电梯状态报警等。</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▲投标人需详细阐述风险预警子系统实现方式，并至少包含上述表预警、报警功能，并提供相关预警界面设计截图，至少包括人流密度报警、突发事件预警。</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7.2.9联动处置子系统</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将感知预警及报警信息生成待处置事件，推送至区智慧治理中心平台和大联动系统中，通过智慧治理中心平台指挥调度机制或者大联动系统事件处置机制进行处置，并可查看事件处置进展情况。同步以短信方式通知相关工作人员。处置完成后，需撤销/关闭该报警信息，并存档备查。</w:t>
      </w:r>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7.3分析展示系统</w:t>
      </w:r>
    </w:p>
    <w:p>
      <w:pPr>
        <w:spacing w:after="0" w:line="360" w:lineRule="auto"/>
        <w:ind w:firstLine="420"/>
        <w:rPr>
          <w:rFonts w:ascii="仿宋" w:hAnsi="仿宋" w:eastAsia="仿宋" w:cs="仿宋"/>
          <w:color w:val="auto"/>
          <w:kern w:val="0"/>
          <w:sz w:val="24"/>
        </w:rPr>
      </w:pPr>
      <w:r>
        <w:rPr>
          <w:rFonts w:hint="eastAsia" w:ascii="仿宋" w:hAnsi="仿宋" w:eastAsia="仿宋" w:cs="仿宋"/>
          <w:color w:val="auto"/>
          <w:kern w:val="0"/>
          <w:sz w:val="24"/>
        </w:rPr>
        <w:t>分析展示系统所有的功能都基于数字底座进行二、三维的可视化展示。</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7.3.1社区导览</w:t>
      </w:r>
    </w:p>
    <w:p>
      <w:pPr>
        <w:spacing w:after="0" w:line="360" w:lineRule="auto"/>
        <w:ind w:firstLine="420"/>
        <w:rPr>
          <w:rFonts w:ascii="仿宋" w:hAnsi="仿宋" w:eastAsia="仿宋" w:cs="仿宋"/>
          <w:color w:val="auto"/>
          <w:kern w:val="0"/>
          <w:sz w:val="24"/>
        </w:rPr>
      </w:pPr>
      <w:r>
        <w:rPr>
          <w:rFonts w:hint="eastAsia" w:ascii="仿宋" w:hAnsi="仿宋" w:eastAsia="仿宋" w:cs="仿宋"/>
          <w:color w:val="auto"/>
          <w:kern w:val="0"/>
          <w:sz w:val="24"/>
        </w:rPr>
        <w:t>社区导览模块根据杉板桥社区现状以及建设规划，将杉板桥社区基本情况在数字底座基础上进行二、三维可视化呈现。</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7.3.2党建引领</w:t>
      </w:r>
    </w:p>
    <w:p>
      <w:pPr>
        <w:spacing w:after="0" w:line="360" w:lineRule="auto"/>
        <w:ind w:firstLine="420"/>
        <w:rPr>
          <w:rFonts w:ascii="仿宋" w:hAnsi="仿宋" w:eastAsia="仿宋" w:cs="仿宋"/>
          <w:color w:val="auto"/>
          <w:kern w:val="0"/>
          <w:sz w:val="24"/>
        </w:rPr>
      </w:pPr>
      <w:r>
        <w:rPr>
          <w:rFonts w:hint="eastAsia" w:ascii="仿宋" w:hAnsi="仿宋" w:eastAsia="仿宋" w:cs="仿宋"/>
          <w:color w:val="auto"/>
          <w:kern w:val="0"/>
          <w:sz w:val="24"/>
        </w:rPr>
        <w:t>根据杉板桥社区的党组织情况、党员情况、党建成果、学习阵地等内容，在数字底座上承载智慧党建的数据，进行可视化展示。</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7.3.3态势感知</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展示用电监测、水位监测、水压监测、环境监测、电梯监测、巡逻警车、视频监控、高空抛物监测、智能井盖、突发事件等监测点位获取的位置、状态、实时数据、预警等信息。基于数字孪生底座形成区域三维态势感知一张图，方便各级管理人员实时掌握社区情况。</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7.3.4智慧治理</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主要汇聚社区各类事件信息（如网格化事件、居民诉求事件、城管事件等）、资源队伍信息、以及居民协商共治内容，结合地理信息、时空信息进行分析及可视化展示。</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7.3.5产业发展</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结合杉板桥产业定位及特色，利用图表和三维地图直观的展示杉板桥社区的整体产业分布、产业趋势、产业类型等情况。产业经济模块主要分为两大板块：社区区域内产业结构分布情况和区域内整体产业的经济属性分析。</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7.3.6居民服务</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在数字孪生底座基础上，展示社区各方面的资源信息，包括“水电维修”“医护”“家教”“家政”“爱心公益”“业委会”等居民生活需求的服务资源信息。</w:t>
      </w:r>
    </w:p>
    <w:p>
      <w:pPr>
        <w:pStyle w:val="42"/>
        <w:spacing w:after="0" w:line="360" w:lineRule="auto"/>
        <w:outlineLvl w:val="4"/>
        <w:rPr>
          <w:rFonts w:ascii="仿宋" w:hAnsi="仿宋" w:eastAsia="仿宋" w:cs="仿宋"/>
          <w:b/>
          <w:bCs/>
          <w:color w:val="auto"/>
          <w:sz w:val="24"/>
          <w:szCs w:val="24"/>
        </w:rPr>
      </w:pPr>
      <w:r>
        <w:rPr>
          <w:rFonts w:hint="eastAsia" w:ascii="仿宋" w:hAnsi="仿宋" w:eastAsia="仿宋" w:cs="仿宋"/>
          <w:b/>
          <w:bCs/>
          <w:color w:val="auto"/>
          <w:sz w:val="24"/>
          <w:szCs w:val="24"/>
        </w:rPr>
        <w:t>7.3.8社区体检</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根据“2、社区体检研究”计算出的社区体检情况，进行可视化展示，精细化展示3级指标详细的体检数据，直观反映杉板桥社区体检结果情况。</w:t>
      </w:r>
    </w:p>
    <w:p>
      <w:pPr>
        <w:spacing w:after="0"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t>▲投标人需提供详细的可视化展示系统设计界面截图、以及设计思路的详细说明（至少包括社区导览、党建引领、态势感知、智慧治理、社区体检）。</w:t>
      </w:r>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7.4 移动应用</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按照“以居民为中心”和打造“熟人社会”的建设思路，结合杉板桥社区的实际情况，当前，“数字孪生”社区移动应用建设主要包括面向居民使用的五个模块：信息宣传、资源地图、掌上议事、政务服务、咨询建议（随手拍、找社区）。</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★投标人需提供详细的移动应用功能设计界面截图、业务流程图以及设计思路的详细说明（至少包括信息宣传、资源地图、掌上议事、咨询建议等）</w:t>
      </w:r>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7.5 CIM基础平台</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CIM基础平台是数字孪生底座的基础之一，为数字底座数据融合管理、可视化展示提供基础支撑。需具备多源数据接入融合服务能力（包括时空基础数据、IOT设备位置数据等）；基础地理空间数据服务能力及孪生可视化支撑服务能力（包括二/三维渲染处理、二/三维切换、动态水、动态云、天气效果、24小时光照效果等）。</w:t>
      </w:r>
    </w:p>
    <w:p>
      <w:pPr>
        <w:pStyle w:val="5"/>
        <w:spacing w:before="0" w:after="0" w:line="360" w:lineRule="auto"/>
        <w:rPr>
          <w:rFonts w:ascii="仿宋" w:hAnsi="仿宋" w:eastAsia="仿宋" w:cs="仿宋"/>
          <w:color w:val="auto"/>
          <w:sz w:val="24"/>
          <w:szCs w:val="24"/>
        </w:rPr>
      </w:pPr>
      <w:bookmarkStart w:id="213" w:name="_Toc147744601"/>
      <w:bookmarkStart w:id="214" w:name="_Toc1874449213"/>
      <w:bookmarkStart w:id="215" w:name="_Toc993626880"/>
      <w:r>
        <w:rPr>
          <w:rFonts w:hint="eastAsia" w:ascii="仿宋" w:hAnsi="仿宋" w:eastAsia="仿宋" w:cs="仿宋"/>
          <w:color w:val="auto"/>
          <w:sz w:val="24"/>
          <w:szCs w:val="24"/>
        </w:rPr>
        <w:t>8、外部系统集成要求</w:t>
      </w:r>
      <w:bookmarkEnd w:id="213"/>
      <w:bookmarkEnd w:id="214"/>
      <w:bookmarkEnd w:id="215"/>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8.1舆情监测数据服务</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★提供1年（2021年7月15日-2022年7月14日）跳蹬河街道范围，基于互联网舆情数据的突发事件感知服务。包含火灾、杀人、学生安全、打架斗殴、踩踏等类型突发事件预警。（投标人须提供承诺函原件）</w:t>
      </w:r>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8.2与物业系统集成</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完成与社区内多弗国际、保利康桥、万科天荟、东郊记忆园区等小区物业公司的物业管理系统集成。</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★投标人根据整体设计及相关分析展示需要，提供集成方案、接口数据库设计并承诺至少可与多弗国际、保利康桥、万科天荟、东郊记忆物业系统集成。</w:t>
      </w:r>
      <w:r>
        <w:rPr>
          <w:rFonts w:hint="eastAsia" w:ascii="仿宋" w:hAnsi="仿宋" w:eastAsia="仿宋" w:cs="仿宋"/>
          <w:b/>
          <w:bCs/>
          <w:color w:val="auto"/>
          <w:kern w:val="0"/>
          <w:sz w:val="24"/>
        </w:rPr>
        <w:t>（投标人须提供承诺函原件）</w:t>
      </w:r>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8.3与成华民生诉求管理系统集成</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完成与成华民生诉求管理系统集成，获取杉板桥社区内的民生诉求全量数据。</w:t>
      </w:r>
    </w:p>
    <w:p>
      <w:pPr>
        <w:spacing w:after="0" w:line="360" w:lineRule="auto"/>
        <w:ind w:firstLine="480" w:firstLineChars="200"/>
        <w:rPr>
          <w:rFonts w:ascii="仿宋" w:hAnsi="仿宋" w:eastAsia="仿宋" w:cs="仿宋"/>
          <w:b/>
          <w:bCs/>
          <w:color w:val="auto"/>
          <w:sz w:val="24"/>
        </w:rPr>
      </w:pPr>
      <w:r>
        <w:rPr>
          <w:rFonts w:hint="eastAsia" w:ascii="仿宋" w:hAnsi="仿宋" w:eastAsia="仿宋" w:cs="仿宋"/>
          <w:color w:val="auto"/>
          <w:kern w:val="0"/>
          <w:sz w:val="24"/>
        </w:rPr>
        <w:t>▲投标人根据整体设计及相关分析展示需要，提供与成华区民生诉求管理系统的集成方案及接口的数据库设计说明。</w:t>
      </w:r>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8.4与成华区智能化网络理政平台集成</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完成与区网络理政系统集成，获取杉板桥社区范围内居民诉求派单数据。</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▲投标人根据整体设计及相关分析展示需要，提供与网络理政平台的集成方案及接口的数据库设计说明。</w:t>
      </w:r>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8.5与区智慧治理中心平台集成</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完成与区智慧治理中心平台集成，实现业务互通、数据互通。业务互通包括综合指挥调度、掌上议事、咨询建议等业务；数据互通包括，获取区智慧治理中心平台井盖、网格事件、城管事件、人口、房屋、巡逻警车、网格员位置等各类数据。以及将本系统全量基础数据及业务办理数据推送至区智慧治理中心平台共享交换系统，形成数据互通。</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★投标人根据以上建设要求详细描述与成华区治理中心平台集成方案及初步接口设计说明。至少包括业务集成互通、数据集成互通两方面，并分别进行详细阐述。</w:t>
      </w:r>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8.6与大联动系统集成</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完成与大联动系统的对接，实现网格事件及业务互通，满足居民上报事件和智能感知预警事件接入及办理需要。</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▲投标人根据整体设计及相关分析展示需要，提供与成华区大联动系统集成方案及接口的数据库设计说明。</w:t>
      </w:r>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8.7与短信平台集成</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完成与短信平台集成，实现双向互通。</w:t>
      </w:r>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8.8与三网信令数据感知平台集成</w:t>
      </w:r>
    </w:p>
    <w:p>
      <w:pPr>
        <w:pStyle w:val="42"/>
        <w:spacing w:after="0" w:line="360" w:lineRule="auto"/>
        <w:rPr>
          <w:rFonts w:ascii="仿宋" w:hAnsi="仿宋" w:eastAsia="仿宋" w:cs="仿宋"/>
          <w:color w:val="auto"/>
          <w:sz w:val="24"/>
          <w:szCs w:val="24"/>
        </w:rPr>
      </w:pPr>
      <w:r>
        <w:rPr>
          <w:rFonts w:hint="eastAsia" w:ascii="仿宋" w:hAnsi="仿宋" w:eastAsia="仿宋" w:cs="仿宋"/>
          <w:color w:val="auto"/>
          <w:sz w:val="24"/>
          <w:szCs w:val="24"/>
        </w:rPr>
        <w:t>在条件具备情况下，以接口方式接入三网信令相关数据。</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▲投标人根据整体设计及相关分析展示需要，提供与三网信令数据感知平台集成方案及接口的数据库设计说明。</w:t>
      </w:r>
    </w:p>
    <w:p>
      <w:pPr>
        <w:pStyle w:val="5"/>
        <w:spacing w:before="0" w:after="0" w:line="360" w:lineRule="auto"/>
        <w:rPr>
          <w:rFonts w:ascii="仿宋" w:hAnsi="仿宋" w:eastAsia="仿宋" w:cs="仿宋"/>
          <w:color w:val="auto"/>
          <w:sz w:val="24"/>
          <w:szCs w:val="24"/>
        </w:rPr>
      </w:pPr>
      <w:bookmarkStart w:id="216" w:name="_Toc652413075"/>
      <w:bookmarkStart w:id="217" w:name="_Toc1054133088"/>
      <w:bookmarkStart w:id="218" w:name="_Toc282821401"/>
      <w:r>
        <w:rPr>
          <w:rFonts w:hint="eastAsia" w:ascii="仿宋" w:hAnsi="仿宋" w:eastAsia="仿宋" w:cs="仿宋"/>
          <w:color w:val="auto"/>
          <w:sz w:val="24"/>
          <w:szCs w:val="24"/>
        </w:rPr>
        <w:t>9、主要设备参数</w:t>
      </w:r>
      <w:bookmarkEnd w:id="216"/>
      <w:bookmarkEnd w:id="217"/>
      <w:bookmarkEnd w:id="218"/>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9.1环境监测设备</w:t>
      </w:r>
    </w:p>
    <w:tbl>
      <w:tblPr>
        <w:tblStyle w:val="26"/>
        <w:tblW w:w="0" w:type="auto"/>
        <w:jc w:val="center"/>
        <w:tblLayout w:type="fixed"/>
        <w:tblCellMar>
          <w:top w:w="15" w:type="dxa"/>
          <w:left w:w="15" w:type="dxa"/>
          <w:bottom w:w="15" w:type="dxa"/>
          <w:right w:w="15" w:type="dxa"/>
        </w:tblCellMar>
      </w:tblPr>
      <w:tblGrid>
        <w:gridCol w:w="1042"/>
        <w:gridCol w:w="4039"/>
        <w:gridCol w:w="660"/>
        <w:gridCol w:w="720"/>
        <w:gridCol w:w="1080"/>
      </w:tblGrid>
      <w:tr>
        <w:tblPrEx>
          <w:tblCellMar>
            <w:top w:w="15" w:type="dxa"/>
            <w:left w:w="15" w:type="dxa"/>
            <w:bottom w:w="15" w:type="dxa"/>
            <w:right w:w="15" w:type="dxa"/>
          </w:tblCellMar>
        </w:tblPrEx>
        <w:trPr>
          <w:jc w:val="center"/>
        </w:trPr>
        <w:tc>
          <w:tcPr>
            <w:tcW w:w="1042"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名称</w:t>
            </w:r>
          </w:p>
        </w:tc>
        <w:tc>
          <w:tcPr>
            <w:tcW w:w="4039"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详细参数</w:t>
            </w:r>
          </w:p>
        </w:tc>
        <w:tc>
          <w:tcPr>
            <w:tcW w:w="660"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数量</w:t>
            </w:r>
          </w:p>
        </w:tc>
        <w:tc>
          <w:tcPr>
            <w:tcW w:w="720"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备注</w:t>
            </w:r>
          </w:p>
        </w:tc>
      </w:tr>
      <w:tr>
        <w:tblPrEx>
          <w:tblCellMar>
            <w:top w:w="15" w:type="dxa"/>
            <w:left w:w="15" w:type="dxa"/>
            <w:bottom w:w="15" w:type="dxa"/>
            <w:right w:w="15" w:type="dxa"/>
          </w:tblCellMar>
        </w:tblPrEx>
        <w:trPr>
          <w:jc w:val="center"/>
        </w:trPr>
        <w:tc>
          <w:tcPr>
            <w:tcW w:w="1042"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环境监测设备</w:t>
            </w:r>
          </w:p>
        </w:tc>
        <w:tc>
          <w:tcPr>
            <w:tcW w:w="4039" w:type="dxa"/>
            <w:tcBorders>
              <w:top w:val="single" w:color="000000" w:sz="4" w:space="0"/>
              <w:left w:val="single" w:color="000000" w:sz="4" w:space="0"/>
              <w:bottom w:val="single" w:color="000000" w:sz="4" w:space="0"/>
              <w:right w:val="single" w:color="000000" w:sz="4" w:space="0"/>
            </w:tcBorders>
            <w:vAlign w:val="center"/>
          </w:tcPr>
          <w:p>
            <w:pPr>
              <w:pStyle w:val="52"/>
              <w:widowControl/>
              <w:spacing w:after="0" w:line="360" w:lineRule="auto"/>
              <w:ind w:firstLine="0" w:firstLineChars="0"/>
              <w:textAlignment w:val="center"/>
              <w:rPr>
                <w:rFonts w:ascii="仿宋" w:hAnsi="仿宋" w:eastAsia="仿宋" w:cs="仿宋"/>
                <w:color w:val="auto"/>
                <w:kern w:val="0"/>
                <w:sz w:val="24"/>
              </w:rPr>
            </w:pPr>
            <w:r>
              <w:rPr>
                <w:rFonts w:hint="eastAsia" w:ascii="仿宋" w:hAnsi="仿宋" w:eastAsia="仿宋" w:cs="仿宋"/>
                <w:color w:val="auto"/>
                <w:kern w:val="0"/>
                <w:sz w:val="24"/>
              </w:rPr>
              <w:t>1）工作电源：DC5V。内置可充电电池，充电电压DC5V（±10%）；</w:t>
            </w:r>
          </w:p>
          <w:p>
            <w:pPr>
              <w:pStyle w:val="52"/>
              <w:widowControl/>
              <w:spacing w:after="0" w:line="360" w:lineRule="auto"/>
              <w:ind w:firstLine="0" w:firstLineChars="0"/>
              <w:textAlignment w:val="center"/>
              <w:rPr>
                <w:rFonts w:ascii="仿宋" w:hAnsi="仿宋" w:eastAsia="仿宋" w:cs="仿宋"/>
                <w:color w:val="auto"/>
                <w:kern w:val="0"/>
                <w:sz w:val="24"/>
              </w:rPr>
            </w:pPr>
            <w:r>
              <w:rPr>
                <w:rFonts w:hint="eastAsia" w:ascii="仿宋" w:hAnsi="仿宋" w:eastAsia="仿宋" w:cs="仿宋"/>
                <w:color w:val="auto"/>
                <w:kern w:val="0"/>
                <w:sz w:val="24"/>
              </w:rPr>
              <w:t>2）设备本身具备 NB-IoT 通讯模块。不需要借助 WiFi 或其它网络进行通讯，直接通过 NB-IoT 网路接入骨干网络；</w:t>
            </w:r>
          </w:p>
          <w:p>
            <w:pPr>
              <w:pStyle w:val="52"/>
              <w:widowControl/>
              <w:spacing w:after="0" w:line="360" w:lineRule="auto"/>
              <w:ind w:firstLine="0" w:firstLineChars="0"/>
              <w:textAlignment w:val="center"/>
              <w:rPr>
                <w:rFonts w:ascii="仿宋" w:hAnsi="仿宋" w:eastAsia="仿宋" w:cs="仿宋"/>
                <w:color w:val="auto"/>
                <w:kern w:val="0"/>
                <w:sz w:val="24"/>
              </w:rPr>
            </w:pPr>
            <w:r>
              <w:rPr>
                <w:rFonts w:hint="eastAsia" w:ascii="仿宋" w:hAnsi="仿宋" w:eastAsia="仿宋" w:cs="仿宋"/>
                <w:color w:val="auto"/>
                <w:kern w:val="0"/>
                <w:sz w:val="24"/>
              </w:rPr>
              <w:t>3）设备具备定位能力，设备内置了北斗或 GPS 模块，可以准确定位并上报位置信息，最高地位精度可达 5m；</w:t>
            </w:r>
          </w:p>
          <w:p>
            <w:pPr>
              <w:pStyle w:val="52"/>
              <w:widowControl/>
              <w:spacing w:after="0" w:line="360" w:lineRule="auto"/>
              <w:ind w:firstLine="0" w:firstLineChars="0"/>
              <w:textAlignment w:val="center"/>
              <w:rPr>
                <w:rFonts w:ascii="仿宋" w:hAnsi="仿宋" w:eastAsia="仿宋" w:cs="仿宋"/>
                <w:color w:val="auto"/>
                <w:kern w:val="0"/>
                <w:sz w:val="24"/>
              </w:rPr>
            </w:pPr>
            <w:r>
              <w:rPr>
                <w:rFonts w:hint="eastAsia" w:ascii="仿宋" w:hAnsi="仿宋" w:eastAsia="仿宋" w:cs="仿宋"/>
                <w:color w:val="auto"/>
                <w:kern w:val="0"/>
                <w:sz w:val="24"/>
              </w:rPr>
              <w:t>4）设备具有便携性和易安装性，具备标准 M8 固定口，能够适应自行车载、机动车载、手持和墙体外侧等多种场合的安装；</w:t>
            </w:r>
          </w:p>
          <w:p>
            <w:pPr>
              <w:pStyle w:val="52"/>
              <w:widowControl/>
              <w:spacing w:after="0" w:line="360" w:lineRule="auto"/>
              <w:ind w:firstLine="0" w:firstLineChars="0"/>
              <w:textAlignment w:val="center"/>
              <w:rPr>
                <w:rFonts w:ascii="仿宋" w:hAnsi="仿宋" w:eastAsia="仿宋" w:cs="仿宋"/>
                <w:color w:val="auto"/>
                <w:kern w:val="0"/>
                <w:sz w:val="24"/>
              </w:rPr>
            </w:pPr>
            <w:r>
              <w:rPr>
                <w:rFonts w:hint="eastAsia" w:ascii="仿宋" w:hAnsi="仿宋" w:eastAsia="仿宋" w:cs="仿宋"/>
                <w:color w:val="auto"/>
                <w:kern w:val="0"/>
                <w:sz w:val="24"/>
              </w:rPr>
              <w:t>5）设备具有较强的续航能力。设备内置充电电池，充满电的情况下，可以连续工作≥8h；</w:t>
            </w:r>
          </w:p>
          <w:p>
            <w:pPr>
              <w:pStyle w:val="52"/>
              <w:widowControl/>
              <w:spacing w:after="0" w:line="360" w:lineRule="auto"/>
              <w:ind w:firstLine="0" w:firstLineChars="0"/>
              <w:textAlignment w:val="center"/>
              <w:rPr>
                <w:rFonts w:ascii="仿宋" w:hAnsi="仿宋" w:eastAsia="仿宋" w:cs="仿宋"/>
                <w:color w:val="auto"/>
                <w:kern w:val="0"/>
                <w:sz w:val="24"/>
              </w:rPr>
            </w:pPr>
            <w:r>
              <w:rPr>
                <w:rFonts w:hint="eastAsia" w:ascii="仿宋" w:hAnsi="仿宋" w:eastAsia="仿宋" w:cs="仿宋"/>
                <w:color w:val="auto"/>
                <w:kern w:val="0"/>
                <w:sz w:val="24"/>
              </w:rPr>
              <w:t>6）设备可监测详细参数及范围：PM2.5，测量范围0μg～500μg ，测量精度±10%；PM10 ，测量范围0μg～1000μg ；测量精度±10%；温度，测量范围-40℃～60℃，测量精度±0.5℃；湿度，测量范围0～100%，测量精度±3%RH；噪声，测量范围30dB～120dB ，测量精度±2%；异味，测量范围0～5ppm，测量精度±5%；</w:t>
            </w:r>
          </w:p>
          <w:p>
            <w:pPr>
              <w:pStyle w:val="52"/>
              <w:widowControl/>
              <w:spacing w:after="0" w:line="360" w:lineRule="auto"/>
              <w:ind w:firstLine="0" w:firstLineChars="0"/>
              <w:textAlignment w:val="center"/>
              <w:rPr>
                <w:rFonts w:ascii="仿宋" w:hAnsi="仿宋" w:eastAsia="仿宋" w:cs="仿宋"/>
                <w:color w:val="auto"/>
                <w:kern w:val="0"/>
                <w:sz w:val="24"/>
              </w:rPr>
            </w:pPr>
            <w:r>
              <w:rPr>
                <w:rFonts w:hint="eastAsia" w:ascii="仿宋" w:hAnsi="仿宋" w:eastAsia="仿宋" w:cs="仿宋"/>
                <w:color w:val="auto"/>
                <w:kern w:val="0"/>
                <w:sz w:val="24"/>
              </w:rPr>
              <w:t>7）异味可检测类型有：氰化氢、液体酒精、甲醇、甲苯、二甲苯、乙炔、液体汽油、三氯乙烯、煤气。</w:t>
            </w:r>
          </w:p>
        </w:tc>
        <w:tc>
          <w:tcPr>
            <w:tcW w:w="66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5</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p>
        </w:tc>
      </w:tr>
    </w:tbl>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9.2消防报警监测设备</w:t>
      </w:r>
    </w:p>
    <w:tbl>
      <w:tblPr>
        <w:tblStyle w:val="26"/>
        <w:tblW w:w="0" w:type="auto"/>
        <w:jc w:val="center"/>
        <w:tblLayout w:type="fixed"/>
        <w:tblCellMar>
          <w:top w:w="15" w:type="dxa"/>
          <w:left w:w="15" w:type="dxa"/>
          <w:bottom w:w="15" w:type="dxa"/>
          <w:right w:w="15" w:type="dxa"/>
        </w:tblCellMar>
      </w:tblPr>
      <w:tblGrid>
        <w:gridCol w:w="537"/>
        <w:gridCol w:w="1159"/>
        <w:gridCol w:w="3969"/>
        <w:gridCol w:w="613"/>
        <w:gridCol w:w="720"/>
        <w:gridCol w:w="545"/>
      </w:tblGrid>
      <w:tr>
        <w:tblPrEx>
          <w:tblCellMar>
            <w:top w:w="15" w:type="dxa"/>
            <w:left w:w="15" w:type="dxa"/>
            <w:bottom w:w="15" w:type="dxa"/>
            <w:right w:w="15" w:type="dxa"/>
          </w:tblCellMar>
        </w:tblPrEx>
        <w:trPr>
          <w:trHeight w:val="255" w:hRule="atLeast"/>
          <w:jc w:val="center"/>
        </w:trPr>
        <w:tc>
          <w:tcPr>
            <w:tcW w:w="537"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序号</w:t>
            </w:r>
          </w:p>
        </w:tc>
        <w:tc>
          <w:tcPr>
            <w:tcW w:w="1159"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名称</w:t>
            </w:r>
          </w:p>
        </w:tc>
        <w:tc>
          <w:tcPr>
            <w:tcW w:w="3969"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详细参数</w:t>
            </w:r>
          </w:p>
        </w:tc>
        <w:tc>
          <w:tcPr>
            <w:tcW w:w="613"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数量</w:t>
            </w:r>
          </w:p>
        </w:tc>
        <w:tc>
          <w:tcPr>
            <w:tcW w:w="720"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单位</w:t>
            </w:r>
          </w:p>
        </w:tc>
        <w:tc>
          <w:tcPr>
            <w:tcW w:w="545"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备注</w:t>
            </w:r>
          </w:p>
        </w:tc>
      </w:tr>
      <w:tr>
        <w:tblPrEx>
          <w:tblCellMar>
            <w:top w:w="15" w:type="dxa"/>
            <w:left w:w="15" w:type="dxa"/>
            <w:bottom w:w="15" w:type="dxa"/>
            <w:right w:w="15" w:type="dxa"/>
          </w:tblCellMar>
        </w:tblPrEx>
        <w:trPr>
          <w:trHeight w:val="1440" w:hRule="atLeast"/>
          <w:jc w:val="center"/>
        </w:trPr>
        <w:tc>
          <w:tcPr>
            <w:tcW w:w="537"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15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用户信息传输装置</w:t>
            </w:r>
          </w:p>
        </w:tc>
        <w:tc>
          <w:tcPr>
            <w:tcW w:w="396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1）壁挂式设备，支持通过RS485接口、RS232接口与消控报警主机连接，实现对使用单位接入消防主机的火灾报警信息进行采集、传输；</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2）传输方式：支持以太网通信；</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3）为了保障信号传输实时可达，设备与报警主机的通信延时≤1秒，与监控平台的通信延时≤1秒；</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4）为了保障信号传输不受网络故障影响，设备需支持断网续传功能，当网络断网恢复后，设备可以接续上传断网期间的数据；</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5）设备需具有备用电池，备用电池使用时间   ≥2h，主备电供电需具有自动切换功能，主电故障自动切换为备电供电；</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6）为便于安装调试，设备应支持通过手机APP配置，实现设备IP地址、设备ID的设置；</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xml:space="preserve">7）为便于操作人员日常使用，维护设备，应支持通过蓝牙，进行参数配置和设备诊断； </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8）设备具有丰富接口，可扩展接入报警联动设备。支持2路继电器输出，并可进行远程开启和关闭；支持4路手动报警信号输入，可将报警信息上传至平台；具有2路5V电源输出接口；(提供具备国家认可的第三方检测机构盖章的检测报告复印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9）设备支持不同的操作权限；设备支持主机键盘锁定功能，锁定后主机键盘被禁用；</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10）为确保产品软件性能稳定，提供该设备嵌入式软件的软件评测报告；（提供报告复印件，加盖原厂商公章及投标人公章）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11）设备须取得国家消防电子产品质量监督检验中心采用国家标准GB26875-2011《城市消防远程监控系统》的型式检验报告；（提供报告复印件，加盖原厂商公章及投标人公章）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12）设备须取得执行国家标准GB26875-2011《城市消防远程监控系统》的CCCF产品认证证书。（提供证书复印件，加盖原厂商公章及投标人公章）</w:t>
            </w:r>
          </w:p>
        </w:tc>
        <w:tc>
          <w:tcPr>
            <w:tcW w:w="613"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545"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p>
        </w:tc>
      </w:tr>
      <w:tr>
        <w:tblPrEx>
          <w:tblCellMar>
            <w:top w:w="15" w:type="dxa"/>
            <w:left w:w="15" w:type="dxa"/>
            <w:bottom w:w="15" w:type="dxa"/>
            <w:right w:w="15" w:type="dxa"/>
          </w:tblCellMar>
        </w:tblPrEx>
        <w:trPr>
          <w:trHeight w:val="1440" w:hRule="atLeast"/>
          <w:jc w:val="center"/>
        </w:trPr>
        <w:tc>
          <w:tcPr>
            <w:tcW w:w="537"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15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智能协议转换器</w:t>
            </w:r>
          </w:p>
        </w:tc>
        <w:tc>
          <w:tcPr>
            <w:tcW w:w="396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1）供电电源电压：DC5V/DC12V；</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xml:space="preserve">2）功耗：≤2W； </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3）接口：1路RS232串行接口，1路RS485串行接口；</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4）相对湿度：≤95%，不结露。</w:t>
            </w:r>
          </w:p>
        </w:tc>
        <w:tc>
          <w:tcPr>
            <w:tcW w:w="613"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545"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p>
        </w:tc>
      </w:tr>
    </w:tbl>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9.3水位、水压监测设备</w:t>
      </w:r>
    </w:p>
    <w:tbl>
      <w:tblPr>
        <w:tblStyle w:val="26"/>
        <w:tblW w:w="0" w:type="auto"/>
        <w:jc w:val="center"/>
        <w:tblLayout w:type="fixed"/>
        <w:tblCellMar>
          <w:top w:w="15" w:type="dxa"/>
          <w:left w:w="15" w:type="dxa"/>
          <w:bottom w:w="15" w:type="dxa"/>
          <w:right w:w="15" w:type="dxa"/>
        </w:tblCellMar>
      </w:tblPr>
      <w:tblGrid>
        <w:gridCol w:w="562"/>
        <w:gridCol w:w="1134"/>
        <w:gridCol w:w="3969"/>
        <w:gridCol w:w="613"/>
        <w:gridCol w:w="720"/>
        <w:gridCol w:w="1080"/>
      </w:tblGrid>
      <w:tr>
        <w:trPr>
          <w:trHeight w:val="255"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序号</w:t>
            </w:r>
          </w:p>
        </w:tc>
        <w:tc>
          <w:tcPr>
            <w:tcW w:w="1134"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名称</w:t>
            </w:r>
          </w:p>
        </w:tc>
        <w:tc>
          <w:tcPr>
            <w:tcW w:w="3969"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详细参数</w:t>
            </w:r>
          </w:p>
        </w:tc>
        <w:tc>
          <w:tcPr>
            <w:tcW w:w="613"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数量</w:t>
            </w:r>
          </w:p>
        </w:tc>
        <w:tc>
          <w:tcPr>
            <w:tcW w:w="720"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备注</w:t>
            </w:r>
          </w:p>
        </w:tc>
      </w:tr>
      <w:tr>
        <w:tblPrEx>
          <w:tblCellMar>
            <w:top w:w="15" w:type="dxa"/>
            <w:left w:w="15" w:type="dxa"/>
            <w:bottom w:w="15" w:type="dxa"/>
            <w:right w:w="15" w:type="dxa"/>
          </w:tblCellMar>
        </w:tblPrEx>
        <w:trPr>
          <w:trHeight w:val="728" w:hRule="atLeast"/>
          <w:jc w:val="center"/>
        </w:trPr>
        <w:tc>
          <w:tcPr>
            <w:tcW w:w="562"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智能远程监测主机</w:t>
            </w:r>
          </w:p>
        </w:tc>
        <w:tc>
          <w:tcPr>
            <w:tcW w:w="396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 xml:space="preserve">1）设备应采用航空接头分体式设计结构，安装方便，维护成本低； </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▲2）支持两路0-5V和4-20mA信号传感器输入，实现消防水压、液位信号采集；(提供具备国家认可的第三方检测机构盖章的检测报告复印件，加盖原厂商公章及投标人公章)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3）支持NB-IoT(全网通)、有线网络通讯；</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4）支持电池供电和电源供电；</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5）安装时为避开信号死角，产品应支持信号延长天线功能；</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6）为保证设备长期稳定运行,设备需内置传感器，可实时查看现场温度；(提供具备国家认可的第三方检测机构盖章的检测报告复印件，并加盖原厂商公章及投标人公章)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7）为保证设备长期稳定运行,设备支持电压检测功能，可实时检测设备电压；</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8）设备需具备屏幕显示功能，支持水压、水位数据的实时查看；(提供具备国家认可的第三方检测机构盖章的检测报告复印件，并加盖原厂商公章及投标人公章)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9）为方便施工，设备激活后即可进行远程配置，支持远程进行参数配置，配置采样频率、周期等；</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10）为保证产品续航，及后期维护，电池需要采用可插拔设计，且电池容量需不低于19000mAｈ；(提供具备国家认可的第三方检测机构盖章的检测报告复印件，并加盖原厂商公章及投标人公章)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11）为了保证电池稳定供电，设备应具有超级电容设计，降低异常电流带来的电池损害，增加电池使用寿命；</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12）设备整体精度需要满足1.0%.FS要求；(提供具备国家认可的第三方检测机构盖章的检测报告复印件，并加盖原厂商公章及投标人公章)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13）为确保产品软件性能稳定，设备的嵌入式软件应取得“计算机软件著作权登记证书”；（提供证书复印件，并加盖原厂商公章及投标人公章）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14）为确保产品软件性能稳定，提供该设备嵌入式软件的软件评测报告。（提供报告复印件，并加盖原厂商公章及投标人公章）</w:t>
            </w:r>
          </w:p>
        </w:tc>
        <w:tc>
          <w:tcPr>
            <w:tcW w:w="613"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8</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p>
        </w:tc>
      </w:tr>
      <w:tr>
        <w:tblPrEx>
          <w:tblCellMar>
            <w:top w:w="15" w:type="dxa"/>
            <w:left w:w="15" w:type="dxa"/>
            <w:bottom w:w="15" w:type="dxa"/>
            <w:right w:w="15" w:type="dxa"/>
          </w:tblCellMar>
        </w:tblPrEx>
        <w:trPr>
          <w:trHeight w:val="728" w:hRule="atLeast"/>
          <w:jc w:val="center"/>
        </w:trPr>
        <w:tc>
          <w:tcPr>
            <w:tcW w:w="562"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高精度液位变送器</w:t>
            </w:r>
          </w:p>
        </w:tc>
        <w:tc>
          <w:tcPr>
            <w:tcW w:w="396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1）不锈钢一体化结构，用于消防水箱、消防水池液位信息采集；</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2）测量范围：0-5米；</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3）输出信号类型：4-20mA；</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4）供电电源：DC12-24V；</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5）综合精度：0.5%；</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6）介质温度：0℃~40℃；</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7）防护等级：IP68。</w:t>
            </w:r>
          </w:p>
        </w:tc>
        <w:tc>
          <w:tcPr>
            <w:tcW w:w="613"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p>
        </w:tc>
      </w:tr>
      <w:tr>
        <w:tblPrEx>
          <w:tblCellMar>
            <w:top w:w="15" w:type="dxa"/>
            <w:left w:w="15" w:type="dxa"/>
            <w:bottom w:w="15" w:type="dxa"/>
            <w:right w:w="15" w:type="dxa"/>
          </w:tblCellMar>
        </w:tblPrEx>
        <w:trPr>
          <w:trHeight w:val="1440" w:hRule="atLeast"/>
          <w:jc w:val="center"/>
        </w:trPr>
        <w:tc>
          <w:tcPr>
            <w:tcW w:w="562"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高精度压力变送器</w:t>
            </w:r>
          </w:p>
        </w:tc>
        <w:tc>
          <w:tcPr>
            <w:tcW w:w="396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1）不锈钢一体化结构，用于消火栓泵、喷淋泵、湿式报警阀、喷淋最不利点、消火栓最不利点等压力信息采集；</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2）测量范围：0-1.6MPa；</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3）输出信号类型：4-20mA；</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4）供电电源：DC12-24V；</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5）精度等级：0.5%FS；</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6）防护等级：IP65。</w:t>
            </w:r>
          </w:p>
        </w:tc>
        <w:tc>
          <w:tcPr>
            <w:tcW w:w="613"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p>
        </w:tc>
      </w:tr>
      <w:tr>
        <w:tblPrEx>
          <w:tblCellMar>
            <w:top w:w="15" w:type="dxa"/>
            <w:left w:w="15" w:type="dxa"/>
            <w:bottom w:w="15" w:type="dxa"/>
            <w:right w:w="15" w:type="dxa"/>
          </w:tblCellMar>
        </w:tblPrEx>
        <w:trPr>
          <w:trHeight w:val="525" w:hRule="atLeast"/>
          <w:jc w:val="center"/>
        </w:trPr>
        <w:tc>
          <w:tcPr>
            <w:tcW w:w="562"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物联网卡</w:t>
            </w:r>
          </w:p>
        </w:tc>
        <w:tc>
          <w:tcPr>
            <w:tcW w:w="396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NB物联网卡，含3年资费。</w:t>
            </w:r>
          </w:p>
        </w:tc>
        <w:tc>
          <w:tcPr>
            <w:tcW w:w="613"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8</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张</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p>
        </w:tc>
      </w:tr>
    </w:tbl>
    <w:p>
      <w:pPr>
        <w:spacing w:after="0"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备注：</w:t>
      </w:r>
    </w:p>
    <w:p>
      <w:pPr>
        <w:spacing w:after="0"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1、高精度液位变送器用于消防水箱水位监测，高精度压力变送器用于消</w:t>
      </w:r>
      <w:r>
        <w:rPr>
          <w:rFonts w:hint="eastAsia" w:ascii="仿宋" w:hAnsi="仿宋" w:eastAsia="仿宋" w:cs="仿宋"/>
          <w:color w:val="auto"/>
          <w:sz w:val="24"/>
          <w:lang w:val="en-US" w:eastAsia="zh-Hans"/>
        </w:rPr>
        <w:t>防</w:t>
      </w:r>
      <w:r>
        <w:rPr>
          <w:rFonts w:hint="eastAsia" w:ascii="仿宋" w:hAnsi="仿宋" w:eastAsia="仿宋" w:cs="仿宋"/>
          <w:color w:val="auto"/>
          <w:sz w:val="24"/>
        </w:rPr>
        <w:t>栓水压监测；</w:t>
      </w:r>
    </w:p>
    <w:p>
      <w:pPr>
        <w:spacing w:after="0"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2、一台高精度液位变送器或一台高精度压力变送器需配一台智能远程监测主机。</w:t>
      </w:r>
    </w:p>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9.4电路监测设备</w:t>
      </w:r>
    </w:p>
    <w:tbl>
      <w:tblPr>
        <w:tblStyle w:val="26"/>
        <w:tblW w:w="0" w:type="auto"/>
        <w:tblInd w:w="0" w:type="dxa"/>
        <w:tblLayout w:type="fixed"/>
        <w:tblCellMar>
          <w:top w:w="15" w:type="dxa"/>
          <w:left w:w="15" w:type="dxa"/>
          <w:bottom w:w="15" w:type="dxa"/>
          <w:right w:w="15" w:type="dxa"/>
        </w:tblCellMar>
      </w:tblPr>
      <w:tblGrid>
        <w:gridCol w:w="537"/>
        <w:gridCol w:w="1159"/>
        <w:gridCol w:w="3969"/>
        <w:gridCol w:w="613"/>
        <w:gridCol w:w="720"/>
        <w:gridCol w:w="1080"/>
      </w:tblGrid>
      <w:tr>
        <w:tblPrEx>
          <w:tblCellMar>
            <w:top w:w="15" w:type="dxa"/>
            <w:left w:w="15" w:type="dxa"/>
            <w:bottom w:w="15" w:type="dxa"/>
            <w:right w:w="15" w:type="dxa"/>
          </w:tblCellMar>
        </w:tblPrEx>
        <w:trPr>
          <w:trHeight w:val="25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序号</w:t>
            </w:r>
          </w:p>
        </w:tc>
        <w:tc>
          <w:tcPr>
            <w:tcW w:w="1159"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名称</w:t>
            </w:r>
          </w:p>
        </w:tc>
        <w:tc>
          <w:tcPr>
            <w:tcW w:w="3969"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详细参数</w:t>
            </w:r>
          </w:p>
        </w:tc>
        <w:tc>
          <w:tcPr>
            <w:tcW w:w="613"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数量</w:t>
            </w:r>
          </w:p>
        </w:tc>
        <w:tc>
          <w:tcPr>
            <w:tcW w:w="720"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备注</w:t>
            </w:r>
          </w:p>
        </w:tc>
      </w:tr>
      <w:tr>
        <w:tblPrEx>
          <w:tblCellMar>
            <w:top w:w="15" w:type="dxa"/>
            <w:left w:w="15" w:type="dxa"/>
            <w:bottom w:w="15" w:type="dxa"/>
            <w:right w:w="15" w:type="dxa"/>
          </w:tblCellMar>
        </w:tblPrEx>
        <w:trPr>
          <w:trHeight w:val="1440" w:hRule="atLeast"/>
        </w:trPr>
        <w:tc>
          <w:tcPr>
            <w:tcW w:w="537"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15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智能预警监测主机</w:t>
            </w:r>
          </w:p>
        </w:tc>
        <w:tc>
          <w:tcPr>
            <w:tcW w:w="396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1）多功能一体化主机，应同时具备剩余电流（漏电）、电流、温度、短路、故障电弧、功率、电量等多种功能，并支持自动断电；</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2）为便于安装和维护，应支持非侵入方式采集，设备不需要接入到电气线路中，通过传感器就能采集线路中的电流、温度、剩余电流（漏电）、短路、过载、故障电弧等数据；(提供具备国家认可的第三方检测机构盖章的检测报告复印件，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3）设备应支持无线、有线网络通讯方式；</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xml:space="preserve">4）基于使用维护便捷考虑，设备应具备远程消音的功能，在设备持续报警时（温度报警、剩余电流报警、故障电弧报警等），通过远程命令可进行设备的现场消音； </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5）设备应支持剩余电流检测：剩余电流监测范围：0~2000mA，报警阈值可连续设置，设置步长1mA；</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6）设备应支持电流监测：对电气线路上的电流进行监测，线路过载、短路时，设备能在100ms内显示故障信息并发出告警，故障手动消除后能在5s内检测设备正常并消除故障告警；</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7）设备应支持故障电弧检测，当被探测线路在1s内发生14个及以上半周期的故障电弧时，设备能在1s内发出报警信息；(提供具备国家认可的第三方检测机构盖章的检测报告复印件，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8）设备应符合故障电弧检测漏报测试要求：模拟不同运行工况下故障电弧，被探测工况线路在1s内发生14个及以上半周期的故障电弧时，探测装置应在1s内发出报警信号，点亮报警指示灯；(提供具备国家认可的第三方检测机构盖章的检测报告复印件，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9）设备应符合故障电弧检测误报测试要求：探测器在误报警试验过程中，模拟不同运行工况，不应发出报警和控制信号；</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10）设备应支持温度检测：对电气线路的温度值进行监控，根据线路的用电情况及用电安全，设定安全阈值，自动发出声光报警；</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11）温度监测范围：0～145℃（温度传感器精度等级：0.5级）；(提供具备国家认可的第三方检测机构盖章的检测报告复印件，并加盖原厂商公章及投标人公章)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12）为有效监管危险用电行为的隐患，设备应采用非入侵式智能识别技术，可实现线路内全部用电器的类型识别及运行状态监测。具备“电瓶车入户”行为识别，并上传报警信息；(提供具备国家认可的第三方检测机构盖章的检测报告复印件，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xml:space="preserve">13）设备具有再学习功能，针对未接入新电器，可以主动识别电气类型； </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14）具有功率监测功能，实时监测线路中各用电器的功率情况；</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15）设备支持电器级别的用电量统计，可实时统计线路上每个电器的用电情况；</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16）设备应支持不少于1路剩余电流、1路电流、4路温度、1路RS-485、1路继电器输出接口；</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17）为确保产品软件性能稳定，设备的嵌入式软件应取得“计算机软件著作权登记证书”； （提供报告复印件，加盖原厂商公章及投标人公章）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18）为确保产品软件性能稳定，提供该设备嵌入式软件的软件评测报告；（提供报告复印件，加盖原厂商公章及投标人公章）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19）设备须取得国家消防电子产品质量监督检验中心出具的型式检验报告；（提供报告复印件，加盖原厂商公章及投标人公章）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20）设备须取得CCCF产品认证证书。（提供证书复印件，并加盖原厂商公章及投标人公章）</w:t>
            </w:r>
          </w:p>
        </w:tc>
        <w:tc>
          <w:tcPr>
            <w:tcW w:w="613"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p>
        </w:tc>
      </w:tr>
      <w:tr>
        <w:tblPrEx>
          <w:tblCellMar>
            <w:top w:w="15" w:type="dxa"/>
            <w:left w:w="15" w:type="dxa"/>
            <w:bottom w:w="15" w:type="dxa"/>
            <w:right w:w="15" w:type="dxa"/>
          </w:tblCellMar>
        </w:tblPrEx>
        <w:trPr>
          <w:trHeight w:val="1440" w:hRule="atLeast"/>
        </w:trPr>
        <w:tc>
          <w:tcPr>
            <w:tcW w:w="537"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15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电流互感器</w:t>
            </w:r>
          </w:p>
        </w:tc>
        <w:tc>
          <w:tcPr>
            <w:tcW w:w="396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开口式电流互感器；</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1）工作频率：50-2kHz；</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2）额定输入：100A；</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3）测量范围：10%In-130%In；</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4）额定输出：50mA。</w:t>
            </w:r>
          </w:p>
        </w:tc>
        <w:tc>
          <w:tcPr>
            <w:tcW w:w="613"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p>
        </w:tc>
      </w:tr>
      <w:tr>
        <w:tblPrEx>
          <w:tblCellMar>
            <w:top w:w="15" w:type="dxa"/>
            <w:left w:w="15" w:type="dxa"/>
            <w:bottom w:w="15" w:type="dxa"/>
            <w:right w:w="15" w:type="dxa"/>
          </w:tblCellMar>
        </w:tblPrEx>
        <w:trPr>
          <w:trHeight w:val="1040" w:hRule="atLeast"/>
        </w:trPr>
        <w:tc>
          <w:tcPr>
            <w:tcW w:w="537"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5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剩余电流互感器</w:t>
            </w:r>
          </w:p>
        </w:tc>
        <w:tc>
          <w:tcPr>
            <w:tcW w:w="396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开口式剩余电流互感器；</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1）工作频率：50-2.5kHz；</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2）主回路电流：100A</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3）额定输入：0-1A；</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4）额定输出：0-0.5mA。</w:t>
            </w:r>
          </w:p>
        </w:tc>
        <w:tc>
          <w:tcPr>
            <w:tcW w:w="613"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p>
        </w:tc>
      </w:tr>
      <w:tr>
        <w:tblPrEx>
          <w:tblCellMar>
            <w:top w:w="15" w:type="dxa"/>
            <w:left w:w="15" w:type="dxa"/>
            <w:bottom w:w="15" w:type="dxa"/>
            <w:right w:w="15" w:type="dxa"/>
          </w:tblCellMar>
        </w:tblPrEx>
        <w:trPr>
          <w:trHeight w:val="587" w:hRule="atLeast"/>
        </w:trPr>
        <w:tc>
          <w:tcPr>
            <w:tcW w:w="537"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15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4G流量卡</w:t>
            </w:r>
          </w:p>
        </w:tc>
        <w:tc>
          <w:tcPr>
            <w:tcW w:w="396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4G物联网卡，含3年资费。</w:t>
            </w:r>
          </w:p>
        </w:tc>
        <w:tc>
          <w:tcPr>
            <w:tcW w:w="613"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张</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p>
        </w:tc>
      </w:tr>
    </w:tbl>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9.5高空抛物监测设备</w:t>
      </w:r>
    </w:p>
    <w:tbl>
      <w:tblPr>
        <w:tblStyle w:val="26"/>
        <w:tblW w:w="0" w:type="auto"/>
        <w:tblInd w:w="0" w:type="dxa"/>
        <w:tblLayout w:type="fixed"/>
        <w:tblCellMar>
          <w:top w:w="15" w:type="dxa"/>
          <w:left w:w="15" w:type="dxa"/>
          <w:bottom w:w="15" w:type="dxa"/>
          <w:right w:w="15" w:type="dxa"/>
        </w:tblCellMar>
      </w:tblPr>
      <w:tblGrid>
        <w:gridCol w:w="537"/>
        <w:gridCol w:w="1042"/>
        <w:gridCol w:w="4039"/>
        <w:gridCol w:w="660"/>
        <w:gridCol w:w="720"/>
        <w:gridCol w:w="1080"/>
      </w:tblGrid>
      <w:tr>
        <w:tblPrEx>
          <w:tblCellMar>
            <w:top w:w="15" w:type="dxa"/>
            <w:left w:w="15" w:type="dxa"/>
            <w:bottom w:w="15" w:type="dxa"/>
            <w:right w:w="15" w:type="dxa"/>
          </w:tblCellMar>
        </w:tblPrEx>
        <w:trPr>
          <w:trHeight w:val="25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序号</w:t>
            </w:r>
          </w:p>
        </w:tc>
        <w:tc>
          <w:tcPr>
            <w:tcW w:w="1042"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名称</w:t>
            </w:r>
          </w:p>
        </w:tc>
        <w:tc>
          <w:tcPr>
            <w:tcW w:w="4039"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详细参数</w:t>
            </w:r>
          </w:p>
        </w:tc>
        <w:tc>
          <w:tcPr>
            <w:tcW w:w="660"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数量</w:t>
            </w:r>
          </w:p>
        </w:tc>
        <w:tc>
          <w:tcPr>
            <w:tcW w:w="720"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备注</w:t>
            </w:r>
          </w:p>
        </w:tc>
      </w:tr>
      <w:tr>
        <w:tblPrEx>
          <w:tblCellMar>
            <w:top w:w="15" w:type="dxa"/>
            <w:left w:w="15" w:type="dxa"/>
            <w:bottom w:w="15" w:type="dxa"/>
            <w:right w:w="15" w:type="dxa"/>
          </w:tblCellMar>
        </w:tblPrEx>
        <w:trPr>
          <w:trHeight w:val="90" w:hRule="atLeast"/>
        </w:trPr>
        <w:tc>
          <w:tcPr>
            <w:tcW w:w="537"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042"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摄像机</w:t>
            </w:r>
          </w:p>
        </w:tc>
        <w:tc>
          <w:tcPr>
            <w:tcW w:w="403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1）高空抛物专用摄像机，最大分辨率和帧率≥2688×1520@25fps，支持H.265/H.264编码，≥3-12mm电动变焦，蓝玻璃镜头，避免逆光、杂光、反射光等干扰；</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2）支持高空抛物事件智能检测，典型安装场景下支持≥5×5像素抛落物检测，支持过滤虫、鸟、树叶、衣物等干扰物，支持抛物轨迹记录，报警图片可还原抛物轨迹；</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3）具有≥1个RJ45 以太网口，支持PoE供电，内置≥1个存储卡槽，防护等级≥IP66。</w:t>
            </w:r>
          </w:p>
        </w:tc>
        <w:tc>
          <w:tcPr>
            <w:tcW w:w="66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18</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p>
        </w:tc>
      </w:tr>
      <w:tr>
        <w:tblPrEx>
          <w:tblCellMar>
            <w:top w:w="15" w:type="dxa"/>
            <w:left w:w="15" w:type="dxa"/>
            <w:bottom w:w="15" w:type="dxa"/>
            <w:right w:w="15" w:type="dxa"/>
          </w:tblCellMar>
        </w:tblPrEx>
        <w:trPr>
          <w:trHeight w:val="385" w:hRule="atLeast"/>
        </w:trPr>
        <w:tc>
          <w:tcPr>
            <w:tcW w:w="537"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042"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立杆</w:t>
            </w:r>
          </w:p>
        </w:tc>
        <w:tc>
          <w:tcPr>
            <w:tcW w:w="4039" w:type="dxa"/>
            <w:tcBorders>
              <w:top w:val="single" w:color="000000" w:sz="4" w:space="0"/>
              <w:left w:val="single" w:color="000000" w:sz="4" w:space="0"/>
              <w:bottom w:val="single" w:color="000000" w:sz="4" w:space="0"/>
              <w:right w:val="single" w:color="000000" w:sz="4" w:space="0"/>
            </w:tcBorders>
            <w:vAlign w:val="center"/>
          </w:tcPr>
          <w:p>
            <w:pPr>
              <w:snapToGrid w:val="0"/>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1）3.5m监控专用立杆，带2横臂，2万向节，含地笼，避雷针；</w:t>
            </w:r>
          </w:p>
          <w:p>
            <w:pPr>
              <w:numPr>
                <w:ilvl w:val="0"/>
                <w:numId w:val="4"/>
              </w:numPr>
              <w:snapToGrid w:val="0"/>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管径：下节≥1米，直径≥114mm；中间节≥1.5米，直径≥76mm；上节直径≥76mm；</w:t>
            </w:r>
          </w:p>
          <w:p>
            <w:pPr>
              <w:numPr>
                <w:ilvl w:val="0"/>
                <w:numId w:val="4"/>
              </w:numPr>
              <w:snapToGrid w:val="0"/>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管材厚度≥1.8mm；</w:t>
            </w:r>
          </w:p>
          <w:p>
            <w:pPr>
              <w:numPr>
                <w:ilvl w:val="0"/>
                <w:numId w:val="4"/>
              </w:numPr>
              <w:snapToGrid w:val="0"/>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底座：直径≥250mm，厚度≥10mm；       5）材质：镀锌钢管</w:t>
            </w:r>
          </w:p>
          <w:p>
            <w:pPr>
              <w:snapToGrid w:val="0"/>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6）表面处理：静电喷塑</w:t>
            </w:r>
          </w:p>
          <w:p>
            <w:pPr>
              <w:snapToGrid w:val="0"/>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7）地笼尺寸：地笼对角≥200mm，高≥400mm。</w:t>
            </w:r>
          </w:p>
        </w:tc>
        <w:tc>
          <w:tcPr>
            <w:tcW w:w="66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9</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根</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p>
        </w:tc>
      </w:tr>
      <w:tr>
        <w:tblPrEx>
          <w:tblCellMar>
            <w:top w:w="15" w:type="dxa"/>
            <w:left w:w="15" w:type="dxa"/>
            <w:bottom w:w="15" w:type="dxa"/>
            <w:right w:w="15" w:type="dxa"/>
          </w:tblCellMar>
        </w:tblPrEx>
        <w:trPr>
          <w:trHeight w:val="870" w:hRule="atLeast"/>
        </w:trPr>
        <w:tc>
          <w:tcPr>
            <w:tcW w:w="537"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042"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高空抛录像机</w:t>
            </w:r>
          </w:p>
        </w:tc>
        <w:tc>
          <w:tcPr>
            <w:tcW w:w="403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▲1）支持推流直播，支持主码流、子码流推流；（提供具备国家认可的第三方检测机构盖章的检测报告复印件，加盖原厂商公章及投标人公章）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2）支持IPv4和IPv6网络协议；</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3）支持设备级联，NVR可接入NVR、DVR、XVR设备，并选择通道进行添加；</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4）磁盘阵列功能： 可设置为RAID0、RAID1、RAID5、RAID6、RAID10、RAID50、RAID60、JBOD模式；</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5）可接入1T、2T、3T、4T、6T、8T、10T、12TB、14TB、16TB容量的SATA接口硬盘。</w:t>
            </w:r>
          </w:p>
        </w:tc>
        <w:tc>
          <w:tcPr>
            <w:tcW w:w="66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p>
        </w:tc>
      </w:tr>
      <w:tr>
        <w:tblPrEx>
          <w:tblCellMar>
            <w:top w:w="15" w:type="dxa"/>
            <w:left w:w="15" w:type="dxa"/>
            <w:bottom w:w="15" w:type="dxa"/>
            <w:right w:w="15" w:type="dxa"/>
          </w:tblCellMar>
        </w:tblPrEx>
        <w:trPr>
          <w:trHeight w:val="870" w:hRule="atLeast"/>
        </w:trPr>
        <w:tc>
          <w:tcPr>
            <w:tcW w:w="537"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042"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监控硬盘</w:t>
            </w:r>
          </w:p>
        </w:tc>
        <w:tc>
          <w:tcPr>
            <w:tcW w:w="403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接口类型：SATAII，容量：不低于6TB，转速：不低于5900转，缓存：64M。</w:t>
            </w:r>
          </w:p>
        </w:tc>
        <w:tc>
          <w:tcPr>
            <w:tcW w:w="66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p>
        </w:tc>
      </w:tr>
      <w:tr>
        <w:tblPrEx>
          <w:tblCellMar>
            <w:top w:w="15" w:type="dxa"/>
            <w:left w:w="15" w:type="dxa"/>
            <w:bottom w:w="15" w:type="dxa"/>
            <w:right w:w="15" w:type="dxa"/>
          </w:tblCellMar>
        </w:tblPrEx>
        <w:trPr>
          <w:trHeight w:val="593" w:hRule="atLeast"/>
        </w:trPr>
        <w:tc>
          <w:tcPr>
            <w:tcW w:w="537"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5</w:t>
            </w:r>
          </w:p>
        </w:tc>
        <w:tc>
          <w:tcPr>
            <w:tcW w:w="1042"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显示器</w:t>
            </w:r>
          </w:p>
        </w:tc>
        <w:tc>
          <w:tcPr>
            <w:tcW w:w="403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rPr>
                <w:rFonts w:ascii="仿宋" w:hAnsi="仿宋" w:eastAsia="仿宋" w:cs="仿宋"/>
                <w:color w:val="auto"/>
                <w:kern w:val="0"/>
                <w:sz w:val="24"/>
              </w:rPr>
            </w:pPr>
            <w:r>
              <w:rPr>
                <w:rFonts w:hint="eastAsia" w:ascii="仿宋" w:hAnsi="仿宋" w:eastAsia="仿宋" w:cs="仿宋"/>
                <w:color w:val="auto"/>
                <w:kern w:val="0"/>
                <w:sz w:val="24"/>
              </w:rPr>
              <w:t>23英寸液晶显示器。</w:t>
            </w:r>
          </w:p>
        </w:tc>
        <w:tc>
          <w:tcPr>
            <w:tcW w:w="66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textAlignment w:val="center"/>
              <w:rPr>
                <w:rFonts w:ascii="仿宋" w:hAnsi="仿宋" w:eastAsia="仿宋" w:cs="仿宋"/>
                <w:color w:val="auto"/>
                <w:kern w:val="0"/>
                <w:sz w:val="24"/>
              </w:rPr>
            </w:pPr>
          </w:p>
        </w:tc>
      </w:tr>
    </w:tbl>
    <w:p>
      <w:pPr>
        <w:pStyle w:val="6"/>
        <w:numPr>
          <w:ilvl w:val="3"/>
          <w:numId w:val="0"/>
        </w:numPr>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9.6工作站</w:t>
      </w:r>
    </w:p>
    <w:tbl>
      <w:tblPr>
        <w:tblStyle w:val="26"/>
        <w:tblW w:w="0" w:type="auto"/>
        <w:jc w:val="center"/>
        <w:tblLayout w:type="fixed"/>
        <w:tblCellMar>
          <w:top w:w="15" w:type="dxa"/>
          <w:left w:w="15" w:type="dxa"/>
          <w:bottom w:w="15" w:type="dxa"/>
          <w:right w:w="15" w:type="dxa"/>
        </w:tblCellMar>
      </w:tblPr>
      <w:tblGrid>
        <w:gridCol w:w="537"/>
        <w:gridCol w:w="1042"/>
        <w:gridCol w:w="4039"/>
        <w:gridCol w:w="660"/>
        <w:gridCol w:w="720"/>
        <w:gridCol w:w="1080"/>
      </w:tblGrid>
      <w:tr>
        <w:tblPrEx>
          <w:tblCellMar>
            <w:top w:w="15" w:type="dxa"/>
            <w:left w:w="15" w:type="dxa"/>
            <w:bottom w:w="15" w:type="dxa"/>
            <w:right w:w="15" w:type="dxa"/>
          </w:tblCellMar>
        </w:tblPrEx>
        <w:trPr>
          <w:trHeight w:val="255" w:hRule="atLeast"/>
          <w:jc w:val="center"/>
        </w:trPr>
        <w:tc>
          <w:tcPr>
            <w:tcW w:w="537"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序号</w:t>
            </w:r>
          </w:p>
        </w:tc>
        <w:tc>
          <w:tcPr>
            <w:tcW w:w="1042"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名称</w:t>
            </w:r>
          </w:p>
        </w:tc>
        <w:tc>
          <w:tcPr>
            <w:tcW w:w="4039"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详细参数</w:t>
            </w:r>
          </w:p>
        </w:tc>
        <w:tc>
          <w:tcPr>
            <w:tcW w:w="660"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数量</w:t>
            </w:r>
          </w:p>
        </w:tc>
        <w:tc>
          <w:tcPr>
            <w:tcW w:w="720"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EAAAA"/>
            <w:vAlign w:val="center"/>
          </w:tcPr>
          <w:p>
            <w:pPr>
              <w:widowControl/>
              <w:spacing w:after="0"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备注</w:t>
            </w:r>
          </w:p>
        </w:tc>
      </w:tr>
      <w:tr>
        <w:tblPrEx>
          <w:tblCellMar>
            <w:top w:w="15" w:type="dxa"/>
            <w:left w:w="15" w:type="dxa"/>
            <w:bottom w:w="15" w:type="dxa"/>
            <w:right w:w="15" w:type="dxa"/>
          </w:tblCellMar>
        </w:tblPrEx>
        <w:trPr>
          <w:trHeight w:val="90" w:hRule="atLeast"/>
          <w:jc w:val="center"/>
        </w:trPr>
        <w:tc>
          <w:tcPr>
            <w:tcW w:w="537"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042"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工作站</w:t>
            </w:r>
          </w:p>
        </w:tc>
        <w:tc>
          <w:tcPr>
            <w:tcW w:w="4039"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1）CPU：基本频率不低于3.70 GHz，且不低于10核20线程</w:t>
            </w:r>
          </w:p>
          <w:p>
            <w:pPr>
              <w:widowControl/>
              <w:spacing w:after="0" w:line="360" w:lineRule="auto"/>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2）显卡：RTX3090及以上性能显卡；</w:t>
            </w:r>
          </w:p>
          <w:p>
            <w:pPr>
              <w:widowControl/>
              <w:spacing w:after="0" w:line="360" w:lineRule="auto"/>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3）内存：≥32G；</w:t>
            </w:r>
          </w:p>
          <w:p>
            <w:pPr>
              <w:widowControl/>
              <w:spacing w:after="0" w:line="360" w:lineRule="auto"/>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4）存储：≥2T。</w:t>
            </w:r>
          </w:p>
        </w:tc>
        <w:tc>
          <w:tcPr>
            <w:tcW w:w="66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after="0" w:line="360" w:lineRule="auto"/>
              <w:jc w:val="center"/>
              <w:textAlignment w:val="center"/>
              <w:rPr>
                <w:rFonts w:ascii="仿宋" w:hAnsi="仿宋" w:eastAsia="仿宋" w:cs="仿宋"/>
                <w:color w:val="auto"/>
                <w:kern w:val="0"/>
                <w:sz w:val="24"/>
              </w:rPr>
            </w:pPr>
          </w:p>
        </w:tc>
      </w:tr>
    </w:tbl>
    <w:p>
      <w:pPr>
        <w:pStyle w:val="5"/>
        <w:spacing w:before="0" w:after="0" w:line="360" w:lineRule="auto"/>
        <w:rPr>
          <w:rFonts w:ascii="仿宋" w:hAnsi="仿宋" w:eastAsia="仿宋" w:cs="仿宋"/>
          <w:color w:val="auto"/>
          <w:sz w:val="24"/>
          <w:szCs w:val="24"/>
        </w:rPr>
      </w:pPr>
      <w:bookmarkStart w:id="219" w:name="_Toc74722266"/>
      <w:bookmarkStart w:id="220" w:name="_Toc997975796"/>
      <w:bookmarkStart w:id="221" w:name="_Toc55049943"/>
      <w:r>
        <w:rPr>
          <w:rFonts w:hint="eastAsia" w:ascii="仿宋" w:hAnsi="仿宋" w:eastAsia="仿宋" w:cs="仿宋"/>
          <w:color w:val="auto"/>
          <w:sz w:val="24"/>
          <w:szCs w:val="24"/>
        </w:rPr>
        <w:t>10、项目实施要求</w:t>
      </w:r>
      <w:bookmarkEnd w:id="219"/>
      <w:bookmarkEnd w:id="220"/>
      <w:bookmarkEnd w:id="221"/>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项目的具体实施方案由中标人提出，须对使用部门进行深入调研，开展项目需求分析，通过系统功能性原型设计和关键技术论证，制定具体的实施方案。实施方案的制定须满足项目建设及进度要求。</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对本招标中未能明确的需求部分，以及功能模块中需要完善的部分，供应商应根据开发经验，结合本项目的建设需要，给出合理的建议或意见。供应商承诺在中标后的开发实施过程中，配合用户对本项目功能设计中需改进的地方进行优化和完善。</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10.1运行维护</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中标人应定期派专业的售后服务人员对本项目的硬件设备及软件系统进行巡检、维护及回访。</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在硬件设备运行前三个月，要求一个月巡检一次；三个月后，每半年巡检一次。当本项目所采购设备无法正常工作，且短时间内无法修复的情况下，中标人应提供免费更换服务。</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 xml:space="preserve">运维期间应每季度定期检查各软件系统，确保正常运行。 </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10.2过程管理</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需承诺对系统开发和项目实施实行全生命周期过程管理和控制，并根据项目进度按时向采购人提交完整的过程产品及相关文件。</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投标人需制定详细的项目管理过程中的进度、质量、资金的管理方案。</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10.3培训要求</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人员培训主要是帮助具体的用户正确使用本系统提供培训和指导，供应商在现场完成如下培训工作：</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必须向用户提供免费培训（含培训资料、场地租赁），直至用户方操作人员完全熟练掌握。培训方式应包括现场集中培训。</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投标人须针对不同的培训对象在投标文件中提出全面、详细的培训计划，包括但不限于培训内容、培训时间、地点、授课老师等。</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供应商派出的培训教员应具备丰富的相同课程教学经验，所有的培训教员必须中文授课，供应商必须为所有被培训人员提供培训用文字资料和讲义等相关用品。供应商应按采购人约定合理地安排培训时间。</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培训人员：采购人系统维护管理人员经培训后应能独立地、熟练地完成应用系统的管理工作，并能及时排除常见设备故障。操作人员经培训后应能独立地、熟练地使用应用系统开展日常工作。</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10.4系统应急处置保障</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系统建立业务应急处理机制，确保通讯故障等异常情况发生时，系统具备合理、高效、安全的应急处理机制，保障业务不间断运行。</w:t>
      </w:r>
    </w:p>
    <w:p>
      <w:pPr>
        <w:pStyle w:val="4"/>
        <w:spacing w:before="0" w:after="0" w:line="360" w:lineRule="auto"/>
        <w:rPr>
          <w:rFonts w:ascii="仿宋" w:hAnsi="仿宋" w:eastAsia="仿宋" w:cs="仿宋"/>
          <w:color w:val="auto"/>
          <w:sz w:val="24"/>
          <w:szCs w:val="24"/>
        </w:rPr>
      </w:pPr>
      <w:bookmarkStart w:id="222" w:name="_Toc1131920302"/>
      <w:bookmarkStart w:id="223" w:name="_Toc1726674814"/>
      <w:bookmarkStart w:id="224" w:name="_Toc1806423791"/>
      <w:r>
        <w:rPr>
          <w:rFonts w:hint="eastAsia" w:ascii="仿宋" w:hAnsi="仿宋" w:eastAsia="仿宋" w:cs="仿宋"/>
          <w:color w:val="auto"/>
          <w:sz w:val="24"/>
          <w:szCs w:val="24"/>
        </w:rPr>
        <w:t>七、商务要求</w:t>
      </w:r>
      <w:bookmarkEnd w:id="222"/>
      <w:bookmarkEnd w:id="223"/>
      <w:bookmarkEnd w:id="224"/>
    </w:p>
    <w:p>
      <w:pPr>
        <w:pStyle w:val="5"/>
        <w:spacing w:before="0" w:after="0" w:line="360" w:lineRule="auto"/>
        <w:rPr>
          <w:rFonts w:ascii="仿宋" w:hAnsi="仿宋" w:eastAsia="仿宋" w:cs="仿宋"/>
          <w:color w:val="auto"/>
          <w:sz w:val="24"/>
          <w:szCs w:val="24"/>
        </w:rPr>
      </w:pPr>
      <w:bookmarkStart w:id="225" w:name="_Toc1774370588"/>
      <w:bookmarkStart w:id="226" w:name="_Toc1588337698"/>
      <w:bookmarkStart w:id="227" w:name="_Toc1277076987"/>
      <w:r>
        <w:rPr>
          <w:rFonts w:hint="eastAsia" w:ascii="仿宋" w:hAnsi="仿宋" w:eastAsia="仿宋" w:cs="仿宋"/>
          <w:color w:val="auto"/>
          <w:sz w:val="24"/>
          <w:szCs w:val="24"/>
        </w:rPr>
        <w:t>1、项目工期要求</w:t>
      </w:r>
      <w:bookmarkEnd w:id="225"/>
      <w:bookmarkEnd w:id="226"/>
      <w:bookmarkEnd w:id="227"/>
    </w:p>
    <w:p>
      <w:pPr>
        <w:pStyle w:val="2"/>
        <w:spacing w:after="0"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t>自合同签订后90个日历日内完成本项目全部设备的配送、安装、调试及核心功能开发和系统集成部署上线。部署上线后，投标人提出初验申请，初验通过后进入试运行期，试运行时间不少于40个日历日。试运行40个日历日后满足履约验收条件，投标人可以申请履约验收。</w:t>
      </w:r>
    </w:p>
    <w:p>
      <w:pPr>
        <w:pStyle w:val="5"/>
        <w:spacing w:before="0" w:after="0" w:line="360" w:lineRule="auto"/>
        <w:rPr>
          <w:rFonts w:ascii="仿宋" w:hAnsi="仿宋" w:eastAsia="仿宋" w:cs="仿宋"/>
          <w:color w:val="auto"/>
          <w:sz w:val="24"/>
          <w:szCs w:val="24"/>
        </w:rPr>
      </w:pPr>
      <w:bookmarkStart w:id="228" w:name="_Toc1969958076"/>
      <w:bookmarkStart w:id="229" w:name="_Toc1881352391"/>
      <w:bookmarkStart w:id="230" w:name="_Toc1888550274"/>
      <w:r>
        <w:rPr>
          <w:rFonts w:hint="eastAsia" w:ascii="仿宋" w:hAnsi="仿宋" w:eastAsia="仿宋" w:cs="仿宋"/>
          <w:color w:val="auto"/>
          <w:sz w:val="24"/>
          <w:szCs w:val="24"/>
        </w:rPr>
        <w:t>2、验收要求</w:t>
      </w:r>
      <w:bookmarkEnd w:id="228"/>
      <w:bookmarkEnd w:id="229"/>
      <w:bookmarkEnd w:id="230"/>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2.1初步验收</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软件及硬件安装、调试达到招标文件技术要求规定的指标并开通业务后，可进行初验。验收申请应由中标单位提前一周提交给采购人。采购人可根据招标文件、合同和有关规定进行修改和补充，经双方确认后形成验收文件作为初步验收依据。</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2.2履约验收</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1）系统经过采购人初步验收后，经过40个日历日试运行期，其所有性能指标均达到招标文件要求。在试运行期间，如系统出现重大故障，则试运行期从故障修复之日起重新计算，顺延40个日历日，若仍达不到要求，继续顺延，一直到系统连续 40个日历日无故障为止。</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（2）中标方完成系统集成及开发，并达到招标文件技术主要功能的要求。</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（3）采购人可指定第三方测评单位进行综合测评，测评通过，并取得测评正式报告。</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（4）履约验收必备技术条件技术参数与投标文件及承诺一致，试运行期间性能指标达到或超过规定的标准。</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（5）技术文档已经按技术资料要求移交完毕。</w:t>
      </w:r>
    </w:p>
    <w:p>
      <w:pPr>
        <w:spacing w:after="0" w:line="360" w:lineRule="auto"/>
        <w:ind w:firstLine="479"/>
        <w:rPr>
          <w:rFonts w:ascii="仿宋" w:hAnsi="仿宋" w:eastAsia="仿宋" w:cs="仿宋"/>
          <w:color w:val="auto"/>
          <w:kern w:val="0"/>
          <w:sz w:val="24"/>
        </w:rPr>
      </w:pPr>
      <w:r>
        <w:rPr>
          <w:rFonts w:hint="eastAsia" w:ascii="仿宋" w:hAnsi="仿宋" w:eastAsia="仿宋" w:cs="仿宋"/>
          <w:color w:val="auto"/>
          <w:kern w:val="0"/>
          <w:sz w:val="24"/>
        </w:rPr>
        <w:t>（6）阶段性成果资料必须齐全，得到采购人的认可。</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（7）在性能测试和试运行期间所暴露的问题已获得令采购人完全满意的解决。</w:t>
      </w:r>
    </w:p>
    <w:p>
      <w:pPr>
        <w:pStyle w:val="5"/>
        <w:spacing w:before="0" w:after="0" w:line="360" w:lineRule="auto"/>
        <w:rPr>
          <w:rFonts w:ascii="仿宋" w:hAnsi="仿宋" w:eastAsia="仿宋" w:cs="仿宋"/>
          <w:color w:val="auto"/>
          <w:sz w:val="24"/>
          <w:szCs w:val="24"/>
        </w:rPr>
      </w:pPr>
      <w:bookmarkStart w:id="231" w:name="_Toc340417109"/>
      <w:bookmarkStart w:id="232" w:name="_Toc1056152458"/>
      <w:bookmarkStart w:id="233" w:name="_Toc1329997533"/>
      <w:r>
        <w:rPr>
          <w:rFonts w:hint="eastAsia" w:ascii="仿宋" w:hAnsi="仿宋" w:eastAsia="仿宋" w:cs="仿宋"/>
          <w:color w:val="auto"/>
          <w:sz w:val="24"/>
          <w:szCs w:val="24"/>
        </w:rPr>
        <w:t>3、★服务要求</w:t>
      </w:r>
      <w:bookmarkEnd w:id="231"/>
      <w:bookmarkEnd w:id="232"/>
      <w:bookmarkEnd w:id="233"/>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供应商应具备本项目所需如下售后服务能力：</w:t>
      </w:r>
    </w:p>
    <w:p>
      <w:pPr>
        <w:pStyle w:val="42"/>
        <w:spacing w:after="0" w:line="360" w:lineRule="auto"/>
        <w:ind w:firstLine="560"/>
        <w:rPr>
          <w:rFonts w:ascii="仿宋" w:hAnsi="仿宋" w:eastAsia="仿宋" w:cs="仿宋"/>
          <w:b/>
          <w:bCs/>
          <w:color w:val="auto"/>
          <w:sz w:val="24"/>
          <w:szCs w:val="24"/>
        </w:rPr>
      </w:pPr>
      <w:r>
        <w:rPr>
          <w:rFonts w:hint="eastAsia" w:ascii="仿宋" w:hAnsi="仿宋" w:eastAsia="仿宋" w:cs="仿宋"/>
          <w:b/>
          <w:bCs/>
          <w:color w:val="auto"/>
          <w:sz w:val="24"/>
          <w:szCs w:val="24"/>
        </w:rPr>
        <w:t>3.1售后服务期</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供应商须明确承诺，本项目的免费售后服务期为三年，且售后服务期自本项目履约验收合格交付使用之日起开始计算。</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售后服务期响应时间供应商在投标文件中必须明确承诺响应时间，并不得低于以下标准：</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提供 7×24 小时电话或电子邮件服务，接到用户通知 0.5小时内做出明确响应和安排，2小时内做出故障诊断报告。如需现场服务的，具有解决故障能力的项目管理人员应在 2 小时内到达现场。</w:t>
      </w:r>
    </w:p>
    <w:p>
      <w:pPr>
        <w:pStyle w:val="42"/>
        <w:spacing w:after="0" w:line="360" w:lineRule="auto"/>
        <w:ind w:firstLine="420"/>
        <w:rPr>
          <w:rFonts w:ascii="仿宋" w:hAnsi="仿宋" w:eastAsia="仿宋" w:cs="仿宋"/>
          <w:color w:val="auto"/>
          <w:sz w:val="24"/>
          <w:szCs w:val="24"/>
        </w:rPr>
      </w:pPr>
      <w:r>
        <w:rPr>
          <w:rFonts w:hint="eastAsia" w:ascii="仿宋" w:hAnsi="仿宋" w:eastAsia="仿宋" w:cs="仿宋"/>
          <w:color w:val="auto"/>
          <w:sz w:val="24"/>
          <w:szCs w:val="24"/>
        </w:rPr>
        <w:t>售后服务内容包括但不限于设备维护及巡检、系统软件运行保障及系统软硬件安全保障。</w:t>
      </w:r>
    </w:p>
    <w:p>
      <w:pPr>
        <w:pStyle w:val="42"/>
        <w:spacing w:after="0" w:line="360" w:lineRule="auto"/>
        <w:ind w:firstLine="420"/>
        <w:rPr>
          <w:rFonts w:ascii="仿宋" w:hAnsi="仿宋" w:eastAsia="仿宋" w:cs="仿宋"/>
          <w:color w:val="auto"/>
          <w:sz w:val="24"/>
          <w:szCs w:val="24"/>
        </w:rPr>
      </w:pPr>
      <w:r>
        <w:rPr>
          <w:rFonts w:hint="eastAsia" w:ascii="仿宋" w:hAnsi="仿宋" w:eastAsia="仿宋" w:cs="仿宋"/>
          <w:color w:val="auto"/>
          <w:sz w:val="24"/>
          <w:szCs w:val="24"/>
        </w:rPr>
        <w:t>供应商承诺指定售后服务联系人，联系人如有变更需及时告知采购人。</w:t>
      </w:r>
    </w:p>
    <w:p>
      <w:pPr>
        <w:pStyle w:val="42"/>
        <w:spacing w:after="0" w:line="360" w:lineRule="auto"/>
        <w:ind w:firstLine="560"/>
        <w:rPr>
          <w:rFonts w:ascii="仿宋" w:hAnsi="仿宋" w:eastAsia="仿宋" w:cs="仿宋"/>
          <w:b/>
          <w:bCs/>
          <w:color w:val="auto"/>
          <w:sz w:val="24"/>
          <w:szCs w:val="24"/>
        </w:rPr>
      </w:pPr>
      <w:r>
        <w:rPr>
          <w:rFonts w:hint="eastAsia" w:ascii="仿宋" w:hAnsi="仿宋" w:eastAsia="仿宋" w:cs="仿宋"/>
          <w:b/>
          <w:bCs/>
          <w:color w:val="auto"/>
          <w:sz w:val="24"/>
          <w:szCs w:val="24"/>
        </w:rPr>
        <w:t>3.2免费售后服务期后</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免费售后服务期过后，如果采购人希望继续由供应商提供服务，则供应商应当提供适当的优惠价格继续进行服务，服务内容将按系统售后服务要求执行。</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注：投标人应针对上述3.1、3.2项内容提供服务承诺书，格式自拟。</w:t>
      </w:r>
    </w:p>
    <w:p>
      <w:pPr>
        <w:pStyle w:val="5"/>
        <w:spacing w:before="0" w:after="0" w:line="360" w:lineRule="auto"/>
        <w:rPr>
          <w:rFonts w:ascii="仿宋" w:hAnsi="仿宋" w:eastAsia="仿宋" w:cs="仿宋"/>
          <w:color w:val="auto"/>
          <w:sz w:val="24"/>
          <w:szCs w:val="24"/>
        </w:rPr>
      </w:pPr>
      <w:bookmarkStart w:id="234" w:name="_Toc1211075830"/>
      <w:r>
        <w:rPr>
          <w:rFonts w:hint="eastAsia" w:ascii="仿宋" w:hAnsi="仿宋" w:eastAsia="仿宋" w:cs="仿宋"/>
          <w:color w:val="auto"/>
          <w:sz w:val="24"/>
          <w:szCs w:val="24"/>
        </w:rPr>
        <w:t>4、其他商务要求</w:t>
      </w:r>
      <w:bookmarkEnd w:id="234"/>
    </w:p>
    <w:p>
      <w:pPr>
        <w:pStyle w:val="42"/>
        <w:spacing w:after="0" w:line="360" w:lineRule="auto"/>
        <w:ind w:firstLine="560"/>
        <w:rPr>
          <w:rFonts w:ascii="仿宋" w:hAnsi="仿宋" w:eastAsia="仿宋" w:cs="仿宋"/>
          <w:color w:val="auto"/>
          <w:sz w:val="24"/>
          <w:szCs w:val="24"/>
        </w:rPr>
      </w:pPr>
      <w:r>
        <w:rPr>
          <w:rStyle w:val="53"/>
          <w:rFonts w:hint="eastAsia" w:ascii="仿宋" w:hAnsi="仿宋" w:eastAsia="仿宋" w:cs="仿宋"/>
          <w:color w:val="auto"/>
          <w:sz w:val="24"/>
          <w:szCs w:val="24"/>
        </w:rPr>
        <w:t>★投标人为本项目提供的所有服务应符合现行的强制性国家相关标准、行业标准。</w:t>
      </w:r>
      <w:r>
        <w:rPr>
          <w:rFonts w:hint="eastAsia" w:ascii="仿宋" w:hAnsi="仿宋" w:eastAsia="仿宋" w:cs="仿宋"/>
          <w:b/>
          <w:bCs/>
          <w:color w:val="auto"/>
          <w:sz w:val="24"/>
          <w:szCs w:val="24"/>
        </w:rPr>
        <w:t>（投标人须提供承诺函原件）</w:t>
      </w:r>
    </w:p>
    <w:p>
      <w:pPr>
        <w:pStyle w:val="5"/>
        <w:spacing w:before="0" w:after="0" w:line="360" w:lineRule="auto"/>
        <w:rPr>
          <w:rFonts w:ascii="仿宋" w:hAnsi="仿宋" w:eastAsia="仿宋" w:cs="仿宋"/>
          <w:color w:val="auto"/>
          <w:sz w:val="24"/>
          <w:szCs w:val="24"/>
        </w:rPr>
      </w:pPr>
      <w:bookmarkStart w:id="235" w:name="_Toc573997216"/>
      <w:bookmarkStart w:id="236" w:name="_Toc1560550066"/>
      <w:bookmarkStart w:id="237" w:name="_Toc701468544"/>
      <w:r>
        <w:rPr>
          <w:rFonts w:hint="eastAsia" w:ascii="仿宋" w:hAnsi="仿宋" w:eastAsia="仿宋" w:cs="仿宋"/>
          <w:color w:val="auto"/>
          <w:sz w:val="24"/>
          <w:szCs w:val="24"/>
        </w:rPr>
        <w:t>5、付款方式</w:t>
      </w:r>
      <w:bookmarkEnd w:id="235"/>
      <w:bookmarkEnd w:id="236"/>
      <w:bookmarkEnd w:id="237"/>
    </w:p>
    <w:p>
      <w:pPr>
        <w:pStyle w:val="42"/>
        <w:autoSpaceDE w:val="0"/>
        <w:autoSpaceDN w:val="0"/>
        <w:spacing w:after="0" w:line="360" w:lineRule="auto"/>
        <w:ind w:firstLine="480" w:firstLineChars="200"/>
        <w:textAlignment w:val="auto"/>
        <w:rPr>
          <w:rFonts w:ascii="仿宋" w:hAnsi="仿宋" w:eastAsia="仿宋" w:cs="仿宋"/>
          <w:color w:val="auto"/>
          <w:sz w:val="24"/>
          <w:szCs w:val="24"/>
        </w:rPr>
      </w:pPr>
      <w:r>
        <w:rPr>
          <w:rFonts w:hint="eastAsia" w:ascii="仿宋" w:hAnsi="仿宋" w:eastAsia="仿宋" w:cs="仿宋"/>
          <w:color w:val="auto"/>
          <w:sz w:val="24"/>
          <w:szCs w:val="24"/>
        </w:rPr>
        <w:t>5.1签订合同后，5个工作日内中标人通过银行转账或汇票方式向采购人支付中标金额的5%作为履约保证金，未按期支付履约保证金的，采购人有权解除合同。</w:t>
      </w:r>
    </w:p>
    <w:p>
      <w:pPr>
        <w:pStyle w:val="42"/>
        <w:autoSpaceDE w:val="0"/>
        <w:autoSpaceDN w:val="0"/>
        <w:spacing w:after="0" w:line="360" w:lineRule="auto"/>
        <w:ind w:firstLine="480" w:firstLineChars="200"/>
        <w:textAlignment w:val="auto"/>
        <w:rPr>
          <w:rFonts w:ascii="仿宋" w:hAnsi="仿宋" w:eastAsia="仿宋" w:cs="仿宋"/>
          <w:color w:val="auto"/>
          <w:sz w:val="24"/>
          <w:szCs w:val="24"/>
        </w:rPr>
      </w:pPr>
      <w:r>
        <w:rPr>
          <w:rFonts w:hint="eastAsia" w:ascii="仿宋" w:hAnsi="仿宋" w:eastAsia="仿宋" w:cs="仿宋"/>
          <w:color w:val="auto"/>
          <w:sz w:val="24"/>
          <w:szCs w:val="24"/>
        </w:rPr>
        <w:t>5.2采购人收到履约保证金后15个工作日内向中标人支付中标金额的45%；</w:t>
      </w:r>
    </w:p>
    <w:p>
      <w:pPr>
        <w:pStyle w:val="42"/>
        <w:autoSpaceDE w:val="0"/>
        <w:autoSpaceDN w:val="0"/>
        <w:spacing w:after="0" w:line="360" w:lineRule="auto"/>
        <w:ind w:firstLine="480" w:firstLineChars="200"/>
        <w:textAlignment w:val="auto"/>
        <w:rPr>
          <w:rFonts w:ascii="仿宋" w:hAnsi="仿宋" w:eastAsia="仿宋" w:cs="仿宋"/>
          <w:color w:val="auto"/>
          <w:sz w:val="24"/>
          <w:szCs w:val="24"/>
        </w:rPr>
      </w:pPr>
      <w:r>
        <w:rPr>
          <w:rFonts w:hint="eastAsia" w:ascii="仿宋" w:hAnsi="仿宋" w:eastAsia="仿宋" w:cs="仿宋"/>
          <w:color w:val="auto"/>
          <w:sz w:val="24"/>
          <w:szCs w:val="24"/>
        </w:rPr>
        <w:t>5.3项目初步验收合格后，采购人15个工作日内向中标人支付中标金额的35%；</w:t>
      </w:r>
    </w:p>
    <w:p>
      <w:pPr>
        <w:pStyle w:val="42"/>
        <w:autoSpaceDE w:val="0"/>
        <w:autoSpaceDN w:val="0"/>
        <w:spacing w:after="0" w:line="360" w:lineRule="auto"/>
        <w:ind w:firstLine="480" w:firstLineChars="200"/>
        <w:textAlignment w:val="auto"/>
        <w:rPr>
          <w:rFonts w:ascii="仿宋" w:hAnsi="仿宋" w:eastAsia="仿宋" w:cs="仿宋"/>
          <w:color w:val="auto"/>
          <w:sz w:val="24"/>
          <w:szCs w:val="24"/>
        </w:rPr>
      </w:pPr>
      <w:r>
        <w:rPr>
          <w:rFonts w:hint="eastAsia" w:ascii="仿宋" w:hAnsi="仿宋" w:eastAsia="仿宋" w:cs="仿宋"/>
          <w:color w:val="auto"/>
          <w:sz w:val="24"/>
          <w:szCs w:val="24"/>
        </w:rPr>
        <w:t>5.4项目履约验收合格后，采购人15个工作日内向中标人支付中标金额的20%；</w:t>
      </w:r>
    </w:p>
    <w:p>
      <w:pPr>
        <w:pStyle w:val="42"/>
        <w:autoSpaceDE w:val="0"/>
        <w:autoSpaceDN w:val="0"/>
        <w:spacing w:after="0" w:line="360" w:lineRule="auto"/>
        <w:ind w:firstLine="480" w:firstLineChars="200"/>
        <w:textAlignment w:val="auto"/>
        <w:rPr>
          <w:rFonts w:ascii="仿宋" w:hAnsi="仿宋" w:eastAsia="仿宋" w:cs="仿宋"/>
          <w:color w:val="auto"/>
          <w:sz w:val="24"/>
          <w:szCs w:val="24"/>
        </w:rPr>
      </w:pPr>
      <w:r>
        <w:rPr>
          <w:rFonts w:hint="eastAsia" w:ascii="仿宋" w:hAnsi="仿宋" w:eastAsia="仿宋" w:cs="仿宋"/>
          <w:color w:val="auto"/>
          <w:sz w:val="24"/>
          <w:szCs w:val="24"/>
        </w:rPr>
        <w:t>5.5项目3年免费售后服务期后，无质量和服务问题后向中标人无息退还项目履约保证金。</w:t>
      </w:r>
    </w:p>
    <w:p>
      <w:pPr>
        <w:pStyle w:val="5"/>
        <w:spacing w:before="0" w:after="0" w:line="360" w:lineRule="auto"/>
        <w:rPr>
          <w:rFonts w:ascii="仿宋" w:hAnsi="仿宋" w:eastAsia="仿宋" w:cs="仿宋"/>
          <w:color w:val="auto"/>
          <w:sz w:val="24"/>
          <w:szCs w:val="24"/>
        </w:rPr>
      </w:pPr>
      <w:bookmarkStart w:id="238" w:name="_Toc947178451"/>
      <w:bookmarkStart w:id="239" w:name="_Toc2044080625"/>
      <w:bookmarkStart w:id="240" w:name="_Toc674666988"/>
      <w:r>
        <w:rPr>
          <w:rStyle w:val="53"/>
          <w:rFonts w:hint="eastAsia" w:ascii="仿宋" w:hAnsi="仿宋" w:eastAsia="仿宋" w:cs="仿宋"/>
          <w:color w:val="auto"/>
          <w:sz w:val="24"/>
          <w:szCs w:val="24"/>
          <w:lang w:val="en-US"/>
        </w:rPr>
        <w:t>6</w:t>
      </w:r>
      <w:r>
        <w:rPr>
          <w:rStyle w:val="53"/>
          <w:rFonts w:hint="eastAsia" w:ascii="仿宋" w:hAnsi="仿宋" w:eastAsia="仿宋" w:cs="仿宋"/>
          <w:color w:val="auto"/>
          <w:sz w:val="24"/>
          <w:szCs w:val="24"/>
        </w:rPr>
        <w:t>、★</w:t>
      </w:r>
      <w:r>
        <w:rPr>
          <w:rFonts w:hint="eastAsia" w:ascii="仿宋" w:hAnsi="仿宋" w:eastAsia="仿宋" w:cs="仿宋"/>
          <w:color w:val="auto"/>
          <w:sz w:val="24"/>
          <w:szCs w:val="24"/>
        </w:rPr>
        <w:t>保密及知识产权要求</w:t>
      </w:r>
      <w:bookmarkEnd w:id="238"/>
      <w:bookmarkEnd w:id="239"/>
      <w:bookmarkEnd w:id="240"/>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投标人承诺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.2中标人需签订保密协议，未经用户允许不得以任何方式查看、删除、更改系统中的数据和监控视频录像，也不得未经允许让第三方，查看、删除、更改系统中的数据和监控视频录像，切实保障用户数据安全。</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.3中标人应承诺所提供的服务应当没有侵犯任何第三方的知识产权、技术秘密等合法权利。</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注：投标人应针对上述</w:t>
      </w:r>
      <w:r>
        <w:rPr>
          <w:rFonts w:hint="default" w:ascii="仿宋" w:hAnsi="仿宋" w:eastAsia="仿宋" w:cs="仿宋"/>
          <w:color w:val="auto"/>
          <w:sz w:val="24"/>
          <w:szCs w:val="24"/>
        </w:rPr>
        <w:t>6</w:t>
      </w:r>
      <w:r>
        <w:rPr>
          <w:rFonts w:hint="eastAsia" w:ascii="仿宋" w:hAnsi="仿宋" w:eastAsia="仿宋" w:cs="仿宋"/>
          <w:color w:val="auto"/>
          <w:sz w:val="24"/>
          <w:szCs w:val="24"/>
        </w:rPr>
        <w:t>.1、</w:t>
      </w:r>
      <w:r>
        <w:rPr>
          <w:rFonts w:hint="default" w:ascii="仿宋" w:hAnsi="仿宋" w:eastAsia="仿宋" w:cs="仿宋"/>
          <w:color w:val="auto"/>
          <w:sz w:val="24"/>
          <w:szCs w:val="24"/>
        </w:rPr>
        <w:t>6</w:t>
      </w:r>
      <w:r>
        <w:rPr>
          <w:rFonts w:hint="eastAsia" w:ascii="仿宋" w:hAnsi="仿宋" w:eastAsia="仿宋" w:cs="仿宋"/>
          <w:color w:val="auto"/>
          <w:sz w:val="24"/>
          <w:szCs w:val="24"/>
        </w:rPr>
        <w:t>.2、</w:t>
      </w:r>
      <w:r>
        <w:rPr>
          <w:rFonts w:hint="default" w:ascii="仿宋" w:hAnsi="仿宋" w:eastAsia="仿宋" w:cs="仿宋"/>
          <w:color w:val="auto"/>
          <w:sz w:val="24"/>
          <w:szCs w:val="24"/>
        </w:rPr>
        <w:t>6</w:t>
      </w:r>
      <w:r>
        <w:rPr>
          <w:rFonts w:hint="eastAsia" w:ascii="仿宋" w:hAnsi="仿宋" w:eastAsia="仿宋" w:cs="仿宋"/>
          <w:color w:val="auto"/>
          <w:sz w:val="24"/>
          <w:szCs w:val="24"/>
        </w:rPr>
        <w:t>.3项内容提供承诺函，格式自拟。</w:t>
      </w:r>
    </w:p>
    <w:p>
      <w:pPr>
        <w:pStyle w:val="4"/>
        <w:spacing w:before="0" w:after="0" w:line="360" w:lineRule="auto"/>
        <w:rPr>
          <w:rFonts w:ascii="仿宋" w:hAnsi="仿宋" w:eastAsia="仿宋" w:cs="仿宋"/>
          <w:color w:val="auto"/>
          <w:sz w:val="24"/>
          <w:szCs w:val="24"/>
        </w:rPr>
      </w:pPr>
      <w:bookmarkStart w:id="241" w:name="_Toc1567163316"/>
      <w:bookmarkStart w:id="242" w:name="_Toc2079434393"/>
      <w:bookmarkStart w:id="243" w:name="_Toc414411156"/>
      <w:r>
        <w:rPr>
          <w:rFonts w:hint="eastAsia" w:ascii="仿宋" w:hAnsi="仿宋" w:eastAsia="仿宋" w:cs="仿宋"/>
          <w:color w:val="auto"/>
          <w:sz w:val="24"/>
          <w:szCs w:val="24"/>
        </w:rPr>
        <w:t>八、其他要求</w:t>
      </w:r>
      <w:bookmarkEnd w:id="241"/>
      <w:bookmarkEnd w:id="242"/>
      <w:bookmarkEnd w:id="243"/>
      <w:bookmarkStart w:id="244" w:name="_Toc72314582"/>
    </w:p>
    <w:p>
      <w:pPr>
        <w:pStyle w:val="5"/>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1、数字孪生三维场景制作</w:t>
      </w:r>
    </w:p>
    <w:p>
      <w:pPr>
        <w:pStyle w:val="42"/>
        <w:spacing w:after="0" w:line="360" w:lineRule="auto"/>
        <w:rPr>
          <w:rFonts w:ascii="仿宋" w:hAnsi="仿宋" w:eastAsia="仿宋" w:cs="仿宋"/>
          <w:b/>
          <w:bCs/>
          <w:color w:val="auto"/>
          <w:sz w:val="24"/>
          <w:szCs w:val="24"/>
        </w:rPr>
      </w:pPr>
      <w:r>
        <w:rPr>
          <w:rFonts w:hint="eastAsia" w:ascii="仿宋" w:hAnsi="仿宋" w:eastAsia="仿宋" w:cs="仿宋"/>
          <w:b/>
          <w:bCs/>
          <w:color w:val="auto"/>
          <w:sz w:val="24"/>
          <w:szCs w:val="24"/>
        </w:rPr>
        <w:t>1.1精度要求</w:t>
      </w:r>
    </w:p>
    <w:p>
      <w:pPr>
        <w:pStyle w:val="42"/>
        <w:wordWrap w:val="0"/>
        <w:snapToGrid w:val="0"/>
        <w:spacing w:after="0"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（1）地形地貌基本还原</w:t>
      </w:r>
    </w:p>
    <w:p>
      <w:pPr>
        <w:pStyle w:val="42"/>
        <w:wordWrap w:val="0"/>
        <w:snapToGrid w:val="0"/>
        <w:spacing w:after="0"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最佳视角距离：1000m-10km；模型结构精度：50m；渲染质量：一般；贴图：分辨率为512*512或者1024*1024卫星影像贴图。</w:t>
      </w:r>
    </w:p>
    <w:p>
      <w:pPr>
        <w:pStyle w:val="42"/>
        <w:wordWrap w:val="0"/>
        <w:snapToGrid w:val="0"/>
        <w:spacing w:after="0"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（2）成华区大范围正确还原大致结构及材质</w:t>
      </w:r>
    </w:p>
    <w:p>
      <w:pPr>
        <w:pStyle w:val="42"/>
        <w:wordWrap w:val="0"/>
        <w:snapToGrid w:val="0"/>
        <w:spacing w:after="0"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最佳视角距离：500m-5km；模型结构精度：25m；渲染质量:中；贴图：贴图库中分辨率为的512*512或者1024*1024贴图，贴图限制数量10-15张。</w:t>
      </w:r>
    </w:p>
    <w:p>
      <w:pPr>
        <w:pStyle w:val="42"/>
        <w:wordWrap w:val="0"/>
        <w:snapToGrid w:val="0"/>
        <w:spacing w:after="0"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（3）杉板桥社区1.1平方公里准确还原</w:t>
      </w:r>
    </w:p>
    <w:p>
      <w:pPr>
        <w:pStyle w:val="42"/>
        <w:wordWrap w:val="0"/>
        <w:snapToGrid w:val="0"/>
        <w:spacing w:after="0"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最佳观察距离：25m-1km；模型结构精度：0.5m, 小于此大小结构的都使用贴图表现，例如：栏杆、百叶、雕花结构等，无论大小均使用贴图还原；光照模拟：复杂物理模拟；渲染质量：高；贴图：按照建筑实际表现贴图，贴图分辨率不得超过1024*1024，一栋建筑贴图不得超过40张。</w:t>
      </w:r>
    </w:p>
    <w:p>
      <w:pPr>
        <w:pStyle w:val="42"/>
        <w:spacing w:after="0" w:line="360" w:lineRule="auto"/>
        <w:rPr>
          <w:rFonts w:ascii="仿宋" w:hAnsi="仿宋" w:eastAsia="仿宋" w:cs="仿宋"/>
          <w:b/>
          <w:bCs/>
          <w:color w:val="auto"/>
          <w:sz w:val="24"/>
          <w:szCs w:val="24"/>
        </w:rPr>
      </w:pPr>
      <w:r>
        <w:rPr>
          <w:rFonts w:hint="eastAsia" w:ascii="仿宋" w:hAnsi="仿宋" w:eastAsia="仿宋" w:cs="仿宋"/>
          <w:b/>
          <w:bCs/>
          <w:color w:val="auto"/>
          <w:sz w:val="24"/>
          <w:szCs w:val="24"/>
        </w:rPr>
        <w:t>1.2范围要求</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建设成华区大范围的数字孪生场景；对杉板桥社区1.1平方公里的建筑物制作精模，在数字空间刻画城市细节，高度还原社区三维形象。</w:t>
      </w:r>
    </w:p>
    <w:p>
      <w:pPr>
        <w:pStyle w:val="42"/>
        <w:spacing w:after="0" w:line="360" w:lineRule="auto"/>
        <w:rPr>
          <w:rFonts w:ascii="仿宋" w:hAnsi="仿宋" w:eastAsia="仿宋" w:cs="仿宋"/>
          <w:b/>
          <w:bCs/>
          <w:color w:val="auto"/>
          <w:sz w:val="24"/>
          <w:szCs w:val="24"/>
        </w:rPr>
      </w:pPr>
      <w:r>
        <w:rPr>
          <w:rFonts w:hint="eastAsia" w:ascii="仿宋" w:hAnsi="仿宋" w:eastAsia="仿宋" w:cs="仿宋"/>
          <w:b/>
          <w:bCs/>
          <w:color w:val="auto"/>
          <w:sz w:val="24"/>
          <w:szCs w:val="24"/>
        </w:rPr>
        <w:t>1.3制作内容</w:t>
      </w:r>
    </w:p>
    <w:p>
      <w:pPr>
        <w:pStyle w:val="42"/>
        <w:numPr>
          <w:ilvl w:val="0"/>
          <w:numId w:val="5"/>
        </w:numPr>
        <w:spacing w:after="0" w:line="360" w:lineRule="auto"/>
        <w:ind w:left="0" w:firstLine="480" w:firstLineChars="200"/>
        <w:rPr>
          <w:rFonts w:ascii="仿宋" w:hAnsi="仿宋" w:eastAsia="仿宋" w:cs="仿宋"/>
          <w:color w:val="auto"/>
          <w:sz w:val="24"/>
          <w:szCs w:val="24"/>
        </w:rPr>
      </w:pPr>
      <w:r>
        <w:rPr>
          <w:rFonts w:hint="eastAsia" w:ascii="仿宋" w:hAnsi="仿宋" w:eastAsia="仿宋" w:cs="仿宋"/>
          <w:color w:val="auto"/>
          <w:sz w:val="24"/>
          <w:szCs w:val="24"/>
        </w:rPr>
        <w:t>建筑模型简模制作</w:t>
      </w:r>
    </w:p>
    <w:p>
      <w:pPr>
        <w:pStyle w:val="42"/>
        <w:numPr>
          <w:ilvl w:val="0"/>
          <w:numId w:val="5"/>
        </w:numPr>
        <w:spacing w:after="0" w:line="360" w:lineRule="auto"/>
        <w:ind w:left="0" w:firstLine="480" w:firstLineChars="200"/>
        <w:rPr>
          <w:rFonts w:ascii="仿宋" w:hAnsi="仿宋" w:eastAsia="仿宋" w:cs="仿宋"/>
          <w:color w:val="auto"/>
          <w:sz w:val="24"/>
          <w:szCs w:val="24"/>
        </w:rPr>
      </w:pPr>
      <w:r>
        <w:rPr>
          <w:rFonts w:hint="eastAsia" w:ascii="仿宋" w:hAnsi="仿宋" w:eastAsia="仿宋" w:cs="仿宋"/>
          <w:color w:val="auto"/>
          <w:sz w:val="24"/>
          <w:szCs w:val="24"/>
        </w:rPr>
        <w:t>建筑模型精模制作</w:t>
      </w:r>
    </w:p>
    <w:p>
      <w:pPr>
        <w:pStyle w:val="54"/>
        <w:numPr>
          <w:ilvl w:val="0"/>
          <w:numId w:val="5"/>
        </w:numPr>
        <w:spacing w:after="0" w:line="360" w:lineRule="auto"/>
        <w:ind w:left="0" w:firstLine="480"/>
        <w:rPr>
          <w:rFonts w:ascii="仿宋" w:hAnsi="仿宋" w:eastAsia="仿宋" w:cs="仿宋"/>
          <w:color w:val="auto"/>
          <w:kern w:val="0"/>
          <w:sz w:val="24"/>
        </w:rPr>
      </w:pPr>
      <w:r>
        <w:rPr>
          <w:rFonts w:hint="eastAsia" w:ascii="仿宋" w:hAnsi="仿宋" w:eastAsia="仿宋" w:cs="仿宋"/>
          <w:color w:val="auto"/>
          <w:kern w:val="0"/>
          <w:sz w:val="24"/>
        </w:rPr>
        <w:t>地形制作</w:t>
      </w:r>
    </w:p>
    <w:p>
      <w:pPr>
        <w:pStyle w:val="42"/>
        <w:numPr>
          <w:ilvl w:val="0"/>
          <w:numId w:val="5"/>
        </w:numPr>
        <w:spacing w:after="0" w:line="360" w:lineRule="auto"/>
        <w:ind w:left="0" w:firstLine="480" w:firstLineChars="200"/>
        <w:rPr>
          <w:rFonts w:ascii="仿宋" w:hAnsi="仿宋" w:eastAsia="仿宋" w:cs="仿宋"/>
          <w:color w:val="auto"/>
          <w:sz w:val="24"/>
          <w:szCs w:val="24"/>
        </w:rPr>
      </w:pPr>
      <w:r>
        <w:rPr>
          <w:rFonts w:hint="eastAsia" w:ascii="仿宋" w:hAnsi="仿宋" w:eastAsia="仿宋" w:cs="仿宋"/>
          <w:color w:val="auto"/>
          <w:sz w:val="24"/>
          <w:szCs w:val="24"/>
        </w:rPr>
        <w:t>拆层模型制作</w:t>
      </w:r>
    </w:p>
    <w:p>
      <w:pPr>
        <w:pStyle w:val="42"/>
        <w:numPr>
          <w:ilvl w:val="0"/>
          <w:numId w:val="5"/>
        </w:numPr>
        <w:spacing w:after="0" w:line="360" w:lineRule="auto"/>
        <w:ind w:left="0" w:firstLine="480" w:firstLineChars="200"/>
        <w:rPr>
          <w:rFonts w:ascii="仿宋" w:hAnsi="仿宋" w:eastAsia="仿宋" w:cs="仿宋"/>
          <w:color w:val="auto"/>
          <w:sz w:val="24"/>
          <w:szCs w:val="24"/>
        </w:rPr>
      </w:pPr>
      <w:r>
        <w:rPr>
          <w:rFonts w:hint="eastAsia" w:ascii="仿宋" w:hAnsi="仿宋" w:eastAsia="仿宋" w:cs="仿宋"/>
          <w:color w:val="auto"/>
          <w:sz w:val="24"/>
          <w:szCs w:val="24"/>
        </w:rPr>
        <w:t>人行天桥模型制作</w:t>
      </w:r>
    </w:p>
    <w:p>
      <w:pPr>
        <w:pStyle w:val="42"/>
        <w:numPr>
          <w:ilvl w:val="0"/>
          <w:numId w:val="5"/>
        </w:numPr>
        <w:spacing w:after="0" w:line="360" w:lineRule="auto"/>
        <w:ind w:left="0" w:firstLine="480" w:firstLineChars="200"/>
        <w:rPr>
          <w:rFonts w:ascii="仿宋" w:hAnsi="仿宋" w:eastAsia="仿宋" w:cs="仿宋"/>
          <w:color w:val="auto"/>
          <w:sz w:val="24"/>
          <w:szCs w:val="24"/>
        </w:rPr>
      </w:pPr>
      <w:r>
        <w:rPr>
          <w:rFonts w:hint="eastAsia" w:ascii="仿宋" w:hAnsi="仿宋" w:eastAsia="仿宋" w:cs="仿宋"/>
          <w:color w:val="auto"/>
          <w:sz w:val="24"/>
          <w:szCs w:val="24"/>
        </w:rPr>
        <w:t>地下停车场模型制作（包括停车场线网等）</w:t>
      </w:r>
    </w:p>
    <w:p>
      <w:pPr>
        <w:pStyle w:val="54"/>
        <w:numPr>
          <w:ilvl w:val="0"/>
          <w:numId w:val="5"/>
        </w:numPr>
        <w:spacing w:after="0" w:line="360" w:lineRule="auto"/>
        <w:ind w:left="0" w:firstLine="480"/>
        <w:rPr>
          <w:rFonts w:ascii="仿宋" w:hAnsi="仿宋" w:eastAsia="仿宋" w:cs="仿宋"/>
          <w:color w:val="auto"/>
          <w:kern w:val="0"/>
          <w:sz w:val="24"/>
        </w:rPr>
      </w:pPr>
      <w:r>
        <w:rPr>
          <w:rFonts w:hint="eastAsia" w:ascii="仿宋" w:hAnsi="仿宋" w:eastAsia="仿宋" w:cs="仿宋"/>
          <w:color w:val="auto"/>
          <w:kern w:val="0"/>
          <w:sz w:val="24"/>
        </w:rPr>
        <w:t>人物、车辆模型制作</w:t>
      </w:r>
    </w:p>
    <w:p>
      <w:pPr>
        <w:pStyle w:val="54"/>
        <w:numPr>
          <w:ilvl w:val="0"/>
          <w:numId w:val="5"/>
        </w:numPr>
        <w:spacing w:after="0" w:line="360" w:lineRule="auto"/>
        <w:ind w:left="0" w:firstLine="480"/>
        <w:rPr>
          <w:rFonts w:ascii="仿宋" w:hAnsi="仿宋" w:eastAsia="仿宋" w:cs="仿宋"/>
          <w:color w:val="auto"/>
          <w:kern w:val="0"/>
          <w:sz w:val="24"/>
        </w:rPr>
      </w:pPr>
      <w:r>
        <w:rPr>
          <w:rFonts w:hint="eastAsia" w:ascii="仿宋" w:hAnsi="仿宋" w:eastAsia="仿宋" w:cs="仿宋"/>
          <w:color w:val="auto"/>
          <w:kern w:val="0"/>
          <w:sz w:val="24"/>
        </w:rPr>
        <w:t>地铁线路效果设计制作</w:t>
      </w:r>
    </w:p>
    <w:p>
      <w:pPr>
        <w:pStyle w:val="54"/>
        <w:numPr>
          <w:ilvl w:val="0"/>
          <w:numId w:val="5"/>
        </w:numPr>
        <w:spacing w:after="0" w:line="360" w:lineRule="auto"/>
        <w:ind w:left="0" w:firstLine="480"/>
        <w:rPr>
          <w:rFonts w:ascii="仿宋" w:hAnsi="仿宋" w:eastAsia="仿宋" w:cs="仿宋"/>
          <w:color w:val="auto"/>
          <w:kern w:val="0"/>
          <w:sz w:val="24"/>
        </w:rPr>
      </w:pPr>
      <w:r>
        <w:rPr>
          <w:rFonts w:hint="eastAsia" w:ascii="仿宋" w:hAnsi="仿宋" w:eastAsia="仿宋" w:cs="仿宋"/>
          <w:color w:val="auto"/>
          <w:kern w:val="0"/>
          <w:sz w:val="24"/>
        </w:rPr>
        <w:t>区块效果制作</w:t>
      </w:r>
    </w:p>
    <w:p>
      <w:pPr>
        <w:pStyle w:val="54"/>
        <w:numPr>
          <w:ilvl w:val="0"/>
          <w:numId w:val="5"/>
        </w:numPr>
        <w:spacing w:after="0" w:line="360" w:lineRule="auto"/>
        <w:ind w:left="0" w:firstLine="480"/>
        <w:rPr>
          <w:rFonts w:ascii="仿宋" w:hAnsi="仿宋" w:eastAsia="仿宋" w:cs="仿宋"/>
          <w:color w:val="auto"/>
          <w:kern w:val="0"/>
          <w:sz w:val="24"/>
        </w:rPr>
      </w:pPr>
      <w:r>
        <w:rPr>
          <w:rFonts w:hint="eastAsia" w:ascii="仿宋" w:hAnsi="仿宋" w:eastAsia="仿宋" w:cs="仿宋"/>
          <w:color w:val="auto"/>
          <w:kern w:val="0"/>
          <w:sz w:val="24"/>
        </w:rPr>
        <w:t>设备模型制作</w:t>
      </w:r>
    </w:p>
    <w:p>
      <w:pPr>
        <w:pStyle w:val="54"/>
        <w:numPr>
          <w:ilvl w:val="0"/>
          <w:numId w:val="5"/>
        </w:numPr>
        <w:spacing w:after="0" w:line="360" w:lineRule="auto"/>
        <w:ind w:left="0" w:firstLine="480"/>
        <w:rPr>
          <w:rFonts w:ascii="仿宋" w:hAnsi="仿宋" w:eastAsia="仿宋" w:cs="仿宋"/>
          <w:color w:val="auto"/>
          <w:kern w:val="0"/>
          <w:sz w:val="24"/>
        </w:rPr>
      </w:pPr>
      <w:r>
        <w:rPr>
          <w:rFonts w:hint="eastAsia" w:ascii="仿宋" w:hAnsi="仿宋" w:eastAsia="仿宋" w:cs="仿宋"/>
          <w:color w:val="auto"/>
          <w:kern w:val="0"/>
          <w:sz w:val="24"/>
        </w:rPr>
        <w:t>24小时时间天气效果制作</w:t>
      </w:r>
    </w:p>
    <w:p>
      <w:pPr>
        <w:pStyle w:val="42"/>
        <w:spacing w:after="0" w:line="360" w:lineRule="auto"/>
        <w:rPr>
          <w:rFonts w:ascii="仿宋" w:hAnsi="仿宋" w:eastAsia="仿宋" w:cs="仿宋"/>
          <w:b/>
          <w:bCs/>
          <w:color w:val="auto"/>
          <w:sz w:val="24"/>
          <w:szCs w:val="24"/>
        </w:rPr>
      </w:pPr>
      <w:r>
        <w:rPr>
          <w:rFonts w:hint="eastAsia" w:ascii="仿宋" w:hAnsi="仿宋" w:eastAsia="仿宋" w:cs="仿宋"/>
          <w:b/>
          <w:bCs/>
          <w:color w:val="auto"/>
          <w:sz w:val="24"/>
          <w:szCs w:val="24"/>
        </w:rPr>
        <w:t>1.4效果要求</w:t>
      </w:r>
    </w:p>
    <w:p>
      <w:pPr>
        <w:pStyle w:val="54"/>
        <w:numPr>
          <w:ilvl w:val="0"/>
          <w:numId w:val="6"/>
        </w:numPr>
        <w:spacing w:after="0" w:line="360" w:lineRule="auto"/>
        <w:ind w:left="0" w:firstLine="480"/>
        <w:rPr>
          <w:rFonts w:ascii="仿宋" w:hAnsi="仿宋" w:eastAsia="仿宋" w:cs="仿宋"/>
          <w:color w:val="auto"/>
          <w:kern w:val="0"/>
          <w:sz w:val="24"/>
        </w:rPr>
      </w:pPr>
      <w:r>
        <w:rPr>
          <w:rFonts w:hint="eastAsia" w:ascii="仿宋" w:hAnsi="仿宋" w:eastAsia="仿宋" w:cs="仿宋"/>
          <w:color w:val="auto"/>
          <w:kern w:val="0"/>
          <w:sz w:val="24"/>
        </w:rPr>
        <w:t>动态水、动态云效果</w:t>
      </w:r>
    </w:p>
    <w:p>
      <w:pPr>
        <w:pStyle w:val="54"/>
        <w:numPr>
          <w:ilvl w:val="0"/>
          <w:numId w:val="6"/>
        </w:numPr>
        <w:spacing w:after="0" w:line="360" w:lineRule="auto"/>
        <w:ind w:left="0" w:firstLine="480"/>
        <w:rPr>
          <w:rFonts w:ascii="仿宋" w:hAnsi="仿宋" w:eastAsia="仿宋" w:cs="仿宋"/>
          <w:color w:val="auto"/>
          <w:kern w:val="0"/>
          <w:sz w:val="24"/>
        </w:rPr>
      </w:pPr>
      <w:r>
        <w:rPr>
          <w:rFonts w:hint="eastAsia" w:ascii="仿宋" w:hAnsi="仿宋" w:eastAsia="仿宋" w:cs="仿宋"/>
          <w:color w:val="auto"/>
          <w:kern w:val="0"/>
          <w:sz w:val="24"/>
        </w:rPr>
        <w:t>玻璃反射效果：带玻璃幕墙的建筑要支持实时反射和投射</w:t>
      </w:r>
    </w:p>
    <w:p>
      <w:pPr>
        <w:pStyle w:val="54"/>
        <w:numPr>
          <w:ilvl w:val="0"/>
          <w:numId w:val="6"/>
        </w:numPr>
        <w:spacing w:after="0" w:line="360" w:lineRule="auto"/>
        <w:ind w:left="0" w:firstLine="480"/>
        <w:rPr>
          <w:rFonts w:ascii="仿宋" w:hAnsi="仿宋" w:eastAsia="仿宋" w:cs="仿宋"/>
          <w:color w:val="auto"/>
          <w:kern w:val="0"/>
          <w:sz w:val="24"/>
        </w:rPr>
      </w:pPr>
      <w:r>
        <w:rPr>
          <w:rFonts w:hint="eastAsia" w:ascii="仿宋" w:hAnsi="仿宋" w:eastAsia="仿宋" w:cs="仿宋"/>
          <w:color w:val="auto"/>
          <w:kern w:val="0"/>
          <w:sz w:val="24"/>
        </w:rPr>
        <w:t>天气效果，如晴天、多云、阴天、雾、雨、雪</w:t>
      </w:r>
    </w:p>
    <w:p>
      <w:pPr>
        <w:pStyle w:val="54"/>
        <w:numPr>
          <w:ilvl w:val="0"/>
          <w:numId w:val="6"/>
        </w:numPr>
        <w:spacing w:after="0" w:line="360" w:lineRule="auto"/>
        <w:ind w:left="0" w:firstLine="480"/>
        <w:rPr>
          <w:rFonts w:ascii="仿宋" w:hAnsi="仿宋" w:eastAsia="仿宋" w:cs="仿宋"/>
          <w:color w:val="auto"/>
          <w:kern w:val="0"/>
          <w:sz w:val="24"/>
        </w:rPr>
      </w:pPr>
      <w:r>
        <w:rPr>
          <w:rFonts w:hint="eastAsia" w:ascii="仿宋" w:hAnsi="仿宋" w:eastAsia="仿宋" w:cs="仿宋"/>
          <w:color w:val="auto"/>
          <w:kern w:val="0"/>
          <w:sz w:val="24"/>
        </w:rPr>
        <w:t>24小时实时光照效果</w:t>
      </w:r>
    </w:p>
    <w:p>
      <w:pPr>
        <w:pStyle w:val="54"/>
        <w:numPr>
          <w:ilvl w:val="0"/>
          <w:numId w:val="6"/>
        </w:numPr>
        <w:spacing w:after="0" w:line="360" w:lineRule="auto"/>
        <w:ind w:left="0" w:firstLine="480"/>
        <w:rPr>
          <w:rFonts w:ascii="仿宋" w:hAnsi="仿宋" w:eastAsia="仿宋" w:cs="仿宋"/>
          <w:color w:val="auto"/>
          <w:kern w:val="0"/>
          <w:sz w:val="24"/>
        </w:rPr>
      </w:pPr>
      <w:r>
        <w:rPr>
          <w:rFonts w:hint="eastAsia" w:ascii="仿宋" w:hAnsi="仿宋" w:eastAsia="仿宋" w:cs="仿宋"/>
          <w:color w:val="auto"/>
          <w:kern w:val="0"/>
          <w:sz w:val="24"/>
        </w:rPr>
        <w:t>夜景效果</w:t>
      </w:r>
    </w:p>
    <w:p>
      <w:pPr>
        <w:pStyle w:val="2"/>
        <w:spacing w:after="0" w:line="360" w:lineRule="auto"/>
        <w:ind w:firstLine="420"/>
        <w:rPr>
          <w:rFonts w:ascii="仿宋" w:hAnsi="仿宋" w:eastAsia="仿宋" w:cs="仿宋"/>
          <w:color w:val="auto"/>
          <w:kern w:val="0"/>
          <w:sz w:val="24"/>
        </w:rPr>
      </w:pPr>
      <w:r>
        <w:rPr>
          <w:rFonts w:hint="eastAsia" w:ascii="仿宋" w:hAnsi="仿宋" w:eastAsia="仿宋" w:cs="仿宋"/>
          <w:color w:val="auto"/>
          <w:kern w:val="0"/>
          <w:sz w:val="24"/>
        </w:rPr>
        <w:t>投标人需提供数字孪生三维场景制作工作方案，详细描述三维模型基本做法、流程及要求，附场景模型制作效果图。</w:t>
      </w:r>
    </w:p>
    <w:p>
      <w:pPr>
        <w:pStyle w:val="5"/>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2、社区体检研究</w:t>
      </w:r>
    </w:p>
    <w:p>
      <w:pPr>
        <w:spacing w:after="0" w:line="360" w:lineRule="auto"/>
        <w:ind w:firstLine="420"/>
        <w:rPr>
          <w:rFonts w:ascii="仿宋" w:hAnsi="仿宋" w:eastAsia="仿宋" w:cs="仿宋"/>
          <w:color w:val="auto"/>
          <w:kern w:val="0"/>
          <w:sz w:val="24"/>
        </w:rPr>
      </w:pPr>
      <w:r>
        <w:rPr>
          <w:rFonts w:hint="eastAsia" w:ascii="仿宋" w:hAnsi="仿宋" w:eastAsia="仿宋" w:cs="仿宋"/>
          <w:color w:val="auto"/>
          <w:kern w:val="0"/>
          <w:sz w:val="24"/>
        </w:rPr>
        <w:t>以杉板桥社区为试点社区，围绕社区生活幸福感、居民满意感与获得感、社区管理与决策精细化三大目标的实现，开展精细化的社区体检研究工作。建立社区体检指标体系，整合政务数据、社区数据、互联网数据，通过体检指标计算引擎对社区各方面运行情况进行数字量化，形成社区体检的指标体系。包括：体检指标体系设计、体检指标计算引擎。</w:t>
      </w:r>
    </w:p>
    <w:p>
      <w:pPr>
        <w:pStyle w:val="42"/>
        <w:spacing w:after="0" w:line="360" w:lineRule="auto"/>
        <w:rPr>
          <w:rFonts w:ascii="仿宋" w:hAnsi="仿宋" w:eastAsia="仿宋" w:cs="仿宋"/>
          <w:b/>
          <w:bCs/>
          <w:color w:val="auto"/>
          <w:sz w:val="24"/>
          <w:szCs w:val="24"/>
        </w:rPr>
      </w:pPr>
      <w:r>
        <w:rPr>
          <w:rFonts w:hint="eastAsia" w:ascii="仿宋" w:hAnsi="仿宋" w:eastAsia="仿宋" w:cs="仿宋"/>
          <w:b/>
          <w:bCs/>
          <w:color w:val="auto"/>
          <w:sz w:val="24"/>
          <w:szCs w:val="24"/>
        </w:rPr>
        <w:t>2.1体检指标体系设计</w:t>
      </w:r>
    </w:p>
    <w:p>
      <w:pPr>
        <w:spacing w:after="0" w:line="360" w:lineRule="auto"/>
        <w:ind w:firstLine="420"/>
        <w:rPr>
          <w:rFonts w:ascii="仿宋" w:hAnsi="仿宋" w:eastAsia="仿宋" w:cs="仿宋"/>
          <w:color w:val="auto"/>
          <w:kern w:val="0"/>
          <w:sz w:val="24"/>
        </w:rPr>
      </w:pPr>
      <w:r>
        <w:rPr>
          <w:rFonts w:hint="eastAsia" w:ascii="仿宋" w:hAnsi="仿宋" w:eastAsia="仿宋" w:cs="仿宋"/>
          <w:color w:val="auto"/>
          <w:kern w:val="0"/>
          <w:sz w:val="24"/>
        </w:rPr>
        <w:t>按照“科学、客观”的原则，根据现有的国内外社区体检相关文献资料、国家指标设计规范及标准、相关体检实践案例,设计并筛选适用于社区尺度的体检指标。经过相关专家对指标模块设计、算法设计、和权重设计进行评估，计并在计算过程中不断优化完善，形成最终指标体系。</w:t>
      </w:r>
    </w:p>
    <w:p>
      <w:pPr>
        <w:pStyle w:val="42"/>
        <w:spacing w:after="0" w:line="360" w:lineRule="auto"/>
        <w:rPr>
          <w:rFonts w:ascii="仿宋" w:hAnsi="仿宋" w:eastAsia="仿宋" w:cs="仿宋"/>
          <w:b/>
          <w:bCs/>
          <w:color w:val="auto"/>
          <w:sz w:val="24"/>
          <w:szCs w:val="24"/>
        </w:rPr>
      </w:pPr>
      <w:r>
        <w:rPr>
          <w:rFonts w:hint="eastAsia" w:ascii="仿宋" w:hAnsi="仿宋" w:eastAsia="仿宋" w:cs="仿宋"/>
          <w:b/>
          <w:bCs/>
          <w:color w:val="auto"/>
          <w:sz w:val="24"/>
          <w:szCs w:val="24"/>
        </w:rPr>
        <w:t>2.2体检指标计算引擎</w:t>
      </w:r>
    </w:p>
    <w:p>
      <w:pPr>
        <w:spacing w:after="0" w:line="360" w:lineRule="auto"/>
        <w:ind w:firstLine="420"/>
        <w:rPr>
          <w:rFonts w:ascii="仿宋" w:hAnsi="仿宋" w:eastAsia="仿宋" w:cs="仿宋"/>
          <w:color w:val="auto"/>
          <w:kern w:val="0"/>
          <w:sz w:val="24"/>
        </w:rPr>
      </w:pPr>
      <w:r>
        <w:rPr>
          <w:rFonts w:hint="eastAsia" w:ascii="仿宋" w:hAnsi="仿宋" w:eastAsia="仿宋" w:cs="仿宋"/>
          <w:color w:val="auto"/>
          <w:kern w:val="0"/>
          <w:sz w:val="24"/>
        </w:rPr>
        <w:t>体检指标计算引擎是社区体检指标计算一系列算法及模型的集合，主要用于对各类数据进行清洗、空间化以及融合处理。并对各类规范化后的空间边界数据、公服设施数据、交通路况数据、人口统计数据、建筑数据等进行复杂的建模计算，最后加工生成各级城市体检指标。</w:t>
      </w:r>
    </w:p>
    <w:p>
      <w:pPr>
        <w:pStyle w:val="5"/>
        <w:spacing w:before="0" w:after="0" w:line="360" w:lineRule="auto"/>
        <w:rPr>
          <w:rFonts w:ascii="仿宋" w:hAnsi="仿宋" w:eastAsia="仿宋" w:cs="仿宋"/>
          <w:color w:val="auto"/>
          <w:sz w:val="24"/>
          <w:szCs w:val="24"/>
        </w:rPr>
      </w:pPr>
      <w:r>
        <w:rPr>
          <w:rFonts w:hint="eastAsia" w:ascii="仿宋" w:hAnsi="仿宋" w:eastAsia="仿宋" w:cs="仿宋"/>
          <w:color w:val="auto"/>
          <w:sz w:val="24"/>
          <w:szCs w:val="24"/>
        </w:rPr>
        <w:t>3、数字驾驶舱（展厅）软装</w:t>
      </w:r>
      <w:bookmarkEnd w:id="244"/>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以科技风格为主线，对杉板桥党群服务中心中用于数字孪生及智慧城市建设成效展示的展厅——数字驾驶舱进行软装设计及装修，传达数字孪生及智慧城市相关理念。需对展厅四周墙面进行装饰，墙面面积约100平米。装修区域需规划信息发布媒介，用于新闻、宣传文稿等宣传展示。</w:t>
      </w:r>
    </w:p>
    <w:p>
      <w:pPr>
        <w:pStyle w:val="42"/>
        <w:spacing w:after="0" w:line="360" w:lineRule="auto"/>
        <w:ind w:firstLine="560"/>
        <w:rPr>
          <w:rFonts w:ascii="仿宋" w:hAnsi="仿宋" w:eastAsia="仿宋" w:cs="仿宋"/>
          <w:color w:val="auto"/>
          <w:sz w:val="24"/>
          <w:szCs w:val="24"/>
        </w:rPr>
      </w:pPr>
      <w:r>
        <w:rPr>
          <w:rFonts w:hint="eastAsia" w:ascii="仿宋" w:hAnsi="仿宋" w:eastAsia="仿宋" w:cs="仿宋"/>
          <w:color w:val="auto"/>
          <w:sz w:val="24"/>
          <w:szCs w:val="24"/>
        </w:rPr>
        <w:t>展厅现场情况如下：</w:t>
      </w:r>
    </w:p>
    <w:p>
      <w:pPr>
        <w:pStyle w:val="42"/>
        <w:jc w:val="center"/>
        <w:rPr>
          <w:color w:val="auto"/>
        </w:rPr>
      </w:pPr>
      <w:r>
        <w:rPr>
          <w:color w:val="auto"/>
        </w:rPr>
        <mc:AlternateContent>
          <mc:Choice Requires="wps">
            <w:drawing>
              <wp:anchor distT="0" distB="0" distL="114300" distR="114300" simplePos="0" relativeHeight="251659264" behindDoc="0" locked="0" layoutInCell="1" allowOverlap="1">
                <wp:simplePos x="0" y="0"/>
                <wp:positionH relativeFrom="column">
                  <wp:posOffset>539750</wp:posOffset>
                </wp:positionH>
                <wp:positionV relativeFrom="paragraph">
                  <wp:posOffset>2720340</wp:posOffset>
                </wp:positionV>
                <wp:extent cx="914400" cy="1218565"/>
                <wp:effectExtent l="5080" t="4445" r="13970" b="15240"/>
                <wp:wrapNone/>
                <wp:docPr id="36" name="图文框 36"/>
                <wp:cNvGraphicFramePr/>
                <a:graphic xmlns:a="http://schemas.openxmlformats.org/drawingml/2006/main">
                  <a:graphicData uri="http://schemas.microsoft.com/office/word/2010/wordprocessingShape">
                    <wps:wsp>
                      <wps:cNvSpPr/>
                      <wps:spPr>
                        <a:xfrm>
                          <a:off x="0" y="0"/>
                          <a:ext cx="914400" cy="1218565"/>
                        </a:xfrm>
                        <a:prstGeom prst="frame">
                          <a:avLst>
                            <a:gd name="adj1" fmla="val 1466"/>
                          </a:avLst>
                        </a:prstGeom>
                        <a:solidFill>
                          <a:srgbClr val="FF0000"/>
                        </a:solidFill>
                        <a:ln w="9525">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2.5pt;margin-top:214.2pt;height:95.95pt;width:72pt;z-index:251659264;v-text-anchor:middle;mso-width-relative:page;mso-height-relative:page;" fillcolor="#FF0000" filled="t" stroked="t" coordsize="914400,1218565" o:gfxdata="UEsDBAoAAAAAAIdO4kAAAAAAAAAAAAAAAAAEAAAAZHJzL1BLAwQUAAAACACHTuJAw+vUEtsAAAAK&#10;AQAADwAAAGRycy9kb3ducmV2LnhtbE2PS0/DMBCE70j8B2uRuKDWjiltCHEq8bohAS0PcXPjJY6w&#10;11HsPvj3mBMcZ2c0+029PHjHdjjGPpCCYiqAIbXB9NQpeFnfT0pgMWky2gVCBd8YYdkcH9W6MmFP&#10;z7hbpY7lEoqVVmBTGirOY2vR6zgNA1L2PsPodcpy7LgZ9T6Xe8elEHPudU/5g9UD3lhsv1Zbr+Cp&#10;eFwUH9flrXtdP5y9uzvZ2vCm1OlJIa6AJTykvzD84md0aDLTJmzJROYUlBd5SlIwk+UMWA5IeZkv&#10;GwVzKc6BNzX/P6H5AVBLAwQUAAAACACHTuJApr9kKG0CAADXBAAADgAAAGRycy9lMm9Eb2MueG1s&#10;rVTNbhMxEL4j8Q6W73SzIQkl6qaKWgUhVbRSQZwdr50Y+Q/byaY8ALxBL5x4Ed6GPgefne0fcECI&#10;HJwZz/jzN59n9uh4ZzTZihCVsw2tDwaUCMtdq+yqoe/eLp4dUhITsy3TzoqGXolIj2dPnxx1fiqG&#10;bu10KwIBiI3Tzjd0nZKfVlXka2FYPHBeWASlC4YluGFVtYF1QDe6Gg4Gk6pzofXBcREjdk/3QTor&#10;+FIKns6ljCIR3VBwS2UNZV3mtZodsekqML9WvKfB/oGFYcri0juoU5YY2QT1G5RRPLjoZDrgzlRO&#10;SsVFqQHV1INfqrlcMy9KLRAn+juZ4v+D5W+2F4GotqHPJ5RYZvBGP75+v7n+cvPtM8EeBOp8nCLv&#10;0l+E3oswc7U7GUz+Rx1kV0S9uhNV7BLh2HxZj0YDSM8Rqof14XgyzqDV/WkfYnolnCHZaKgMYFHE&#10;ZNuzmIqqbU+NtR9qSqTReKQt06QeTQpFoPXJsG7x8snotGoXSuvihNXyRAeCkw1dLAb49VQepWlL&#10;OvAeD8dgzdCUUrME03jIFO2KEqZX6HaeQqH56HD8uzsyx1MW13suBSFTYVOjEgZCK9PQw0zwlqG2&#10;0Cy/xF77bC1de4XHC27f1dHzhQLsGYvpggUoBNUxmukci9QONbneomTtwqc/7ed8dBeilHQYCxT8&#10;ccOCoES/tui78pqYo+KMxi+GuCM8jCwfRuzGnDhojTcDu2Lm/KRvTRmceY8JnudbEWKW4+69tL1z&#10;kvbjim8AF/N5ScPseJbO7KXnGTzrZt18k5xUKffWvTq9g+kpLddPeh7Ph37Juv8ezX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vUEtsAAAAKAQAADwAAAAAAAAABACAAAAAiAAAAZHJzL2Rvd25y&#10;ZXYueG1sUEsBAhQAFAAAAAgAh07iQKa/ZChtAgAA1wQAAA4AAAAAAAAAAQAgAAAAKgEAAGRycy9l&#10;Mm9Eb2MueG1sUEsFBgAAAAAGAAYAWQEAAAkGAAAAAA==&#10;" path="m0,0l914400,0,914400,1218565,0,1218565xm13405,13405l13405,1205159,900994,1205159,900994,13405xe">
                <v:path o:connectlocs="457200,0;0,609282;457200,1218565;914400,609282" o:connectangles="247,164,82,0"/>
                <v:fill on="t" focussize="0,0"/>
                <v:stroke color="#FF0000 [3200]" miterlimit="8" joinstyle="miter"/>
                <v:imagedata o:title=""/>
                <o:lock v:ext="edit" aspectratio="f"/>
              </v:shape>
            </w:pict>
          </mc:Fallback>
        </mc:AlternateContent>
      </w:r>
      <w:r>
        <w:rPr>
          <w:color w:val="auto"/>
        </w:rPr>
        <w:drawing>
          <wp:inline distT="0" distB="0" distL="0" distR="0">
            <wp:extent cx="5674995" cy="4157980"/>
            <wp:effectExtent l="0" t="0" r="1905" b="139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74995" cy="4157980"/>
                    </a:xfrm>
                    <a:prstGeom prst="rect">
                      <a:avLst/>
                    </a:prstGeom>
                    <a:noFill/>
                    <a:ln>
                      <a:noFill/>
                    </a:ln>
                  </pic:spPr>
                </pic:pic>
              </a:graphicData>
            </a:graphic>
          </wp:inline>
        </w:drawing>
      </w:r>
    </w:p>
    <w:p>
      <w:pPr>
        <w:pStyle w:val="42"/>
        <w:rPr>
          <w:color w:val="auto"/>
        </w:rPr>
      </w:pPr>
      <w:r>
        <w:rPr>
          <w:color w:val="auto"/>
        </w:rPr>
        <w:drawing>
          <wp:inline distT="0" distB="0" distL="0" distR="0">
            <wp:extent cx="5274310" cy="3419475"/>
            <wp:effectExtent l="0" t="0" r="254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
                    <a:stretch>
                      <a:fillRect/>
                    </a:stretch>
                  </pic:blipFill>
                  <pic:spPr>
                    <a:xfrm>
                      <a:off x="0" y="0"/>
                      <a:ext cx="5274310" cy="3419475"/>
                    </a:xfrm>
                    <a:prstGeom prst="rect">
                      <a:avLst/>
                    </a:prstGeom>
                  </pic:spPr>
                </pic:pic>
              </a:graphicData>
            </a:graphic>
          </wp:inline>
        </w:drawing>
      </w:r>
    </w:p>
    <w:p>
      <w:pPr>
        <w:pStyle w:val="9"/>
        <w:spacing w:line="360" w:lineRule="auto"/>
        <w:ind w:firstLine="560"/>
        <w:jc w:val="both"/>
        <w:rPr>
          <w:rFonts w:ascii="仿宋" w:hAnsi="仿宋" w:eastAsia="仿宋"/>
          <w:color w:val="auto"/>
          <w:sz w:val="24"/>
          <w:szCs w:val="24"/>
        </w:rPr>
      </w:pPr>
      <w:r>
        <w:rPr>
          <w:rFonts w:hint="eastAsia" w:ascii="仿宋" w:hAnsi="仿宋" w:eastAsia="仿宋"/>
          <w:color w:val="auto"/>
          <w:sz w:val="24"/>
          <w:szCs w:val="24"/>
        </w:rPr>
        <w:t xml:space="preserve">图表 </w:t>
      </w:r>
      <w:r>
        <w:rPr>
          <w:rFonts w:ascii="仿宋" w:hAnsi="仿宋" w:eastAsia="仿宋"/>
          <w:color w:val="auto"/>
          <w:sz w:val="24"/>
          <w:szCs w:val="24"/>
        </w:rPr>
        <w:t>3</w:t>
      </w:r>
      <w:r>
        <w:rPr>
          <w:rFonts w:ascii="仿宋" w:hAnsi="仿宋" w:eastAsia="仿宋"/>
          <w:color w:val="auto"/>
          <w:sz w:val="24"/>
          <w:szCs w:val="24"/>
        </w:rPr>
        <w:noBreakHyphen/>
      </w:r>
      <w:r>
        <w:rPr>
          <w:rFonts w:ascii="仿宋" w:hAnsi="仿宋" w:eastAsia="仿宋"/>
          <w:color w:val="auto"/>
          <w:sz w:val="24"/>
          <w:szCs w:val="24"/>
        </w:rPr>
        <w:fldChar w:fldCharType="begin"/>
      </w:r>
      <w:r>
        <w:rPr>
          <w:rFonts w:ascii="仿宋" w:hAnsi="仿宋" w:eastAsia="仿宋"/>
          <w:color w:val="auto"/>
          <w:sz w:val="24"/>
          <w:szCs w:val="24"/>
        </w:rPr>
        <w:instrText xml:space="preserve"> </w:instrText>
      </w:r>
      <w:r>
        <w:rPr>
          <w:rFonts w:hint="eastAsia" w:ascii="仿宋" w:hAnsi="仿宋" w:eastAsia="仿宋"/>
          <w:color w:val="auto"/>
          <w:sz w:val="24"/>
          <w:szCs w:val="24"/>
        </w:rPr>
        <w:instrText xml:space="preserve">SEQ 图表 \* ARABIC \s 1</w:instrText>
      </w:r>
      <w:r>
        <w:rPr>
          <w:rFonts w:ascii="仿宋" w:hAnsi="仿宋" w:eastAsia="仿宋"/>
          <w:color w:val="auto"/>
          <w:sz w:val="24"/>
          <w:szCs w:val="24"/>
        </w:rPr>
        <w:instrText xml:space="preserve"> </w:instrText>
      </w:r>
      <w:r>
        <w:rPr>
          <w:rFonts w:ascii="仿宋" w:hAnsi="仿宋" w:eastAsia="仿宋"/>
          <w:color w:val="auto"/>
          <w:sz w:val="24"/>
          <w:szCs w:val="24"/>
        </w:rPr>
        <w:fldChar w:fldCharType="separate"/>
      </w:r>
      <w:r>
        <w:rPr>
          <w:rFonts w:ascii="仿宋" w:hAnsi="仿宋" w:eastAsia="仿宋"/>
          <w:color w:val="auto"/>
          <w:sz w:val="24"/>
          <w:szCs w:val="24"/>
        </w:rPr>
        <w:t>1</w:t>
      </w:r>
      <w:r>
        <w:rPr>
          <w:rFonts w:ascii="仿宋" w:hAnsi="仿宋" w:eastAsia="仿宋"/>
          <w:color w:val="auto"/>
          <w:sz w:val="24"/>
          <w:szCs w:val="24"/>
        </w:rPr>
        <w:fldChar w:fldCharType="end"/>
      </w:r>
      <w:r>
        <w:rPr>
          <w:rFonts w:hint="eastAsia" w:ascii="仿宋" w:hAnsi="仿宋" w:eastAsia="仿宋"/>
          <w:color w:val="auto"/>
          <w:sz w:val="24"/>
          <w:szCs w:val="24"/>
        </w:rPr>
        <w:t>软装区域示意图（红色线条区域）</w:t>
      </w:r>
    </w:p>
    <w:p>
      <w:pPr>
        <w:pStyle w:val="9"/>
        <w:spacing w:line="360" w:lineRule="auto"/>
        <w:ind w:firstLine="560"/>
        <w:jc w:val="both"/>
        <w:rPr>
          <w:rFonts w:ascii="仿宋" w:hAnsi="仿宋" w:eastAsia="仿宋"/>
          <w:color w:val="auto"/>
          <w:sz w:val="24"/>
          <w:szCs w:val="24"/>
        </w:rPr>
      </w:pP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墙面软装要求：</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（1）底层：满铺LED灯带：白光和黄光两色</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（2）龙骨基层：主副龙骨竖式排列</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（3）中层：满铺安装12mm阻燃胶合板，并进行镂空透光处理</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（4）外层：满铺5mm乳白色铝塑板贴于阻燃胶合板上，并进行镂空透光处理</w:t>
      </w:r>
    </w:p>
    <w:p>
      <w:pPr>
        <w:spacing w:after="0"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（5）最外层：采用1-2cm厚度PVC板材和2mm厚度乳白色亚克力雕刻组合构成所需造型，安装于外层铝塑板上</w:t>
      </w:r>
    </w:p>
    <w:p>
      <w:pPr>
        <w:rPr>
          <w:rFonts w:ascii="仿宋" w:hAnsi="仿宋" w:eastAsia="仿宋" w:cs="仿宋"/>
          <w:color w:val="auto"/>
          <w:sz w:val="24"/>
        </w:rPr>
      </w:pPr>
    </w:p>
    <w:p>
      <w:pPr>
        <w:rPr>
          <w:rFonts w:ascii="仿宋" w:hAnsi="仿宋" w:eastAsia="仿宋" w:cs="仿宋"/>
          <w:b/>
          <w:bCs/>
          <w:color w:val="auto"/>
          <w:sz w:val="24"/>
        </w:rPr>
      </w:pPr>
      <w:r>
        <w:rPr>
          <w:rFonts w:hint="eastAsia" w:ascii="仿宋" w:hAnsi="仿宋" w:eastAsia="仿宋" w:cs="仿宋"/>
          <w:b/>
          <w:bCs/>
          <w:color w:val="auto"/>
          <w:sz w:val="24"/>
        </w:rPr>
        <w:t>★政府采购政策要求：</w:t>
      </w:r>
    </w:p>
    <w:p>
      <w:pPr>
        <w:adjustRightInd w:val="0"/>
        <w:ind w:firstLine="480"/>
        <w:rPr>
          <w:rFonts w:ascii="仿宋" w:hAnsi="仿宋" w:eastAsia="仿宋" w:cs="仿宋"/>
          <w:b/>
          <w:bCs/>
          <w:color w:val="auto"/>
          <w:sz w:val="24"/>
        </w:rPr>
      </w:pPr>
      <w:r>
        <w:rPr>
          <w:rFonts w:hint="eastAsia" w:ascii="仿宋" w:hAnsi="仿宋" w:eastAsia="仿宋" w:cs="仿宋"/>
          <w:b/>
          <w:bCs/>
          <w:color w:val="auto"/>
          <w:sz w:val="24"/>
        </w:rPr>
        <w:t>本项目强制节能产品：本项目若涉及《节能产品政府采购品目清单》（详见附件）中政府强制采购产品的，投标人应提供国家确定的认证机构出具的、处于有效期之内的节能产品认证证书复印件加盖投标人公章。</w:t>
      </w:r>
    </w:p>
    <w:p>
      <w:pPr>
        <w:adjustRightInd w:val="0"/>
        <w:ind w:firstLine="480"/>
        <w:rPr>
          <w:rFonts w:ascii="仿宋" w:hAnsi="仿宋" w:eastAsia="仿宋" w:cs="仿宋"/>
          <w:b/>
          <w:bCs/>
          <w:color w:val="auto"/>
          <w:sz w:val="24"/>
        </w:rPr>
      </w:pPr>
      <w:r>
        <w:rPr>
          <w:rFonts w:hint="eastAsia" w:ascii="仿宋" w:hAnsi="仿宋" w:eastAsia="仿宋" w:cs="仿宋"/>
          <w:b/>
          <w:bCs/>
          <w:color w:val="auto"/>
          <w:sz w:val="24"/>
        </w:rPr>
        <w:t xml:space="preserve">本项目信息安全产品：投标人所投产品若为信息安全产品，根据《关于信息安全产品实施政府采购的通知》（财库【2010】48号）要求，需提供由中国信息安全认证中心按国家标准认证颁发的有效认证证书复印件加盖投标人公章。 </w:t>
      </w:r>
    </w:p>
    <w:p>
      <w:pPr>
        <w:adjustRightInd w:val="0"/>
        <w:ind w:firstLine="480"/>
        <w:rPr>
          <w:rFonts w:ascii="仿宋" w:hAnsi="仿宋" w:eastAsia="仿宋" w:cs="仿宋"/>
          <w:b/>
          <w:bCs/>
          <w:color w:val="auto"/>
          <w:sz w:val="24"/>
        </w:rPr>
      </w:pPr>
      <w:r>
        <w:rPr>
          <w:rFonts w:hint="eastAsia" w:ascii="仿宋" w:hAnsi="仿宋" w:eastAsia="仿宋" w:cs="仿宋"/>
          <w:b/>
          <w:bCs/>
          <w:color w:val="auto"/>
          <w:sz w:val="24"/>
        </w:rPr>
        <w:t>注：根据《中央编办关于中国信息安全认证中心更名的批复》（中央编办复字[2018]10号），中国信息安全认证中心已于2018年5月更名为中国网络安全审查技术与认证中心。</w:t>
      </w:r>
    </w:p>
    <w:p>
      <w:pPr>
        <w:pStyle w:val="2"/>
        <w:rPr>
          <w:color w:val="auto"/>
          <w:sz w:val="24"/>
        </w:rPr>
      </w:pPr>
    </w:p>
    <w:p>
      <w:pPr>
        <w:ind w:firstLine="480"/>
        <w:rPr>
          <w:rFonts w:ascii="仿宋" w:hAnsi="仿宋" w:eastAsia="仿宋"/>
          <w:color w:val="auto"/>
          <w:sz w:val="24"/>
        </w:rPr>
      </w:pPr>
      <w:r>
        <w:rPr>
          <w:rFonts w:ascii="仿宋" w:hAnsi="仿宋" w:eastAsia="仿宋"/>
          <w:color w:val="auto"/>
          <w:sz w:val="24"/>
        </w:rPr>
        <w:t>注：</w:t>
      </w:r>
    </w:p>
    <w:p>
      <w:pPr>
        <w:ind w:firstLine="480"/>
        <w:rPr>
          <w:rFonts w:ascii="仿宋" w:hAnsi="仿宋" w:eastAsia="仿宋"/>
          <w:color w:val="auto"/>
          <w:sz w:val="24"/>
        </w:rPr>
      </w:pPr>
      <w:r>
        <w:rPr>
          <w:rFonts w:ascii="仿宋" w:hAnsi="仿宋" w:eastAsia="仿宋"/>
          <w:color w:val="auto"/>
          <w:sz w:val="24"/>
        </w:rPr>
        <w:t>本章中上述打</w:t>
      </w:r>
      <w:r>
        <w:rPr>
          <w:rFonts w:hint="eastAsia" w:ascii="仿宋" w:hAnsi="仿宋" w:eastAsia="仿宋" w:cs="宋体"/>
          <w:color w:val="auto"/>
          <w:sz w:val="24"/>
        </w:rPr>
        <w:t>★</w:t>
      </w:r>
      <w:r>
        <w:rPr>
          <w:rFonts w:ascii="仿宋" w:hAnsi="仿宋" w:eastAsia="仿宋"/>
          <w:color w:val="auto"/>
          <w:sz w:val="24"/>
        </w:rPr>
        <w:t>号的为本次招标项目的实质性要求，不允许有负偏离，否则作无效投标处理。</w:t>
      </w:r>
    </w:p>
    <w:p>
      <w:pPr>
        <w:ind w:firstLine="480"/>
        <w:rPr>
          <w:rFonts w:ascii="仿宋" w:hAnsi="仿宋" w:eastAsia="仿宋"/>
          <w:color w:val="auto"/>
          <w:sz w:val="24"/>
        </w:rPr>
      </w:pPr>
    </w:p>
    <w:p>
      <w:pPr>
        <w:ind w:firstLine="480"/>
        <w:rPr>
          <w:rFonts w:ascii="仿宋" w:hAnsi="仿宋" w:eastAsia="仿宋"/>
          <w:color w:val="auto"/>
          <w:sz w:val="24"/>
        </w:rPr>
      </w:pPr>
    </w:p>
    <w:p>
      <w:pPr>
        <w:ind w:firstLine="480"/>
        <w:rPr>
          <w:rFonts w:ascii="仿宋" w:hAnsi="仿宋" w:eastAsia="仿宋"/>
          <w:color w:val="auto"/>
          <w:sz w:val="24"/>
        </w:rPr>
      </w:pPr>
    </w:p>
    <w:p>
      <w:pPr>
        <w:ind w:firstLine="480"/>
        <w:rPr>
          <w:rFonts w:ascii="仿宋" w:hAnsi="仿宋" w:eastAsia="仿宋"/>
          <w:color w:val="auto"/>
          <w:sz w:val="24"/>
        </w:rPr>
      </w:pPr>
    </w:p>
    <w:p>
      <w:pPr>
        <w:rPr>
          <w:rFonts w:ascii="仿宋" w:hAnsi="仿宋" w:eastAsia="仿宋"/>
          <w:color w:val="auto"/>
          <w:sz w:val="24"/>
        </w:rPr>
      </w:pPr>
      <w:r>
        <w:rPr>
          <w:rFonts w:hint="eastAsia" w:ascii="仿宋" w:hAnsi="仿宋" w:eastAsia="仿宋"/>
          <w:color w:val="auto"/>
          <w:sz w:val="24"/>
        </w:rPr>
        <w:br w:type="page"/>
      </w:r>
    </w:p>
    <w:p>
      <w:pPr>
        <w:spacing w:line="240" w:lineRule="auto"/>
        <w:jc w:val="left"/>
        <w:rPr>
          <w:rFonts w:ascii="仿宋" w:hAnsi="仿宋" w:eastAsia="仿宋"/>
          <w:color w:val="auto"/>
          <w:sz w:val="24"/>
        </w:rPr>
      </w:pPr>
      <w:r>
        <w:rPr>
          <w:rFonts w:hint="eastAsia" w:ascii="仿宋" w:hAnsi="仿宋" w:eastAsia="仿宋"/>
          <w:color w:val="auto"/>
          <w:sz w:val="24"/>
        </w:rPr>
        <w:t>附件：</w:t>
      </w:r>
    </w:p>
    <w:p>
      <w:pPr>
        <w:spacing w:line="240" w:lineRule="auto"/>
        <w:jc w:val="center"/>
        <w:rPr>
          <w:rFonts w:ascii="仿宋" w:hAnsi="仿宋" w:eastAsia="仿宋"/>
          <w:color w:val="auto"/>
        </w:rPr>
      </w:pPr>
      <w:r>
        <w:rPr>
          <w:rFonts w:ascii="仿宋" w:hAnsi="仿宋" w:eastAsia="仿宋"/>
          <w:color w:val="auto"/>
        </w:rPr>
        <w:t>节能产品政府采购品目清单</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312"/>
        <w:gridCol w:w="1907"/>
        <w:gridCol w:w="1786"/>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blHeader/>
        </w:trPr>
        <w:tc>
          <w:tcPr>
            <w:tcW w:w="479" w:type="pct"/>
            <w:vAlign w:val="center"/>
          </w:tcPr>
          <w:p>
            <w:pPr>
              <w:adjustRightInd w:val="0"/>
              <w:spacing w:line="240" w:lineRule="auto"/>
              <w:jc w:val="center"/>
              <w:rPr>
                <w:rFonts w:ascii="仿宋" w:hAnsi="仿宋" w:eastAsia="仿宋"/>
                <w:color w:val="auto"/>
                <w:sz w:val="24"/>
              </w:rPr>
            </w:pPr>
            <w:r>
              <w:rPr>
                <w:rFonts w:hint="eastAsia" w:ascii="仿宋" w:hAnsi="仿宋" w:eastAsia="仿宋"/>
                <w:color w:val="auto"/>
                <w:sz w:val="24"/>
              </w:rPr>
              <w:t>品目序号</w:t>
            </w:r>
          </w:p>
        </w:tc>
        <w:tc>
          <w:tcPr>
            <w:tcW w:w="2937" w:type="pct"/>
            <w:gridSpan w:val="3"/>
            <w:vAlign w:val="center"/>
          </w:tcPr>
          <w:p>
            <w:pPr>
              <w:adjustRightInd w:val="0"/>
              <w:spacing w:line="240" w:lineRule="auto"/>
              <w:jc w:val="center"/>
              <w:rPr>
                <w:rFonts w:ascii="仿宋" w:hAnsi="仿宋" w:eastAsia="仿宋"/>
                <w:color w:val="auto"/>
                <w:sz w:val="24"/>
              </w:rPr>
            </w:pPr>
            <w:r>
              <w:rPr>
                <w:rFonts w:hint="eastAsia" w:ascii="仿宋" w:hAnsi="仿宋" w:eastAsia="仿宋"/>
                <w:color w:val="auto"/>
                <w:sz w:val="24"/>
              </w:rPr>
              <w:t>名  称</w:t>
            </w:r>
          </w:p>
        </w:tc>
        <w:tc>
          <w:tcPr>
            <w:tcW w:w="1584" w:type="pct"/>
            <w:vAlign w:val="center"/>
          </w:tcPr>
          <w:p>
            <w:pPr>
              <w:adjustRightInd w:val="0"/>
              <w:spacing w:line="240" w:lineRule="auto"/>
              <w:jc w:val="center"/>
              <w:rPr>
                <w:rFonts w:ascii="仿宋" w:hAnsi="仿宋" w:eastAsia="仿宋"/>
                <w:color w:val="auto"/>
                <w:sz w:val="24"/>
              </w:rPr>
            </w:pPr>
            <w:r>
              <w:rPr>
                <w:rFonts w:hint="eastAsia" w:ascii="仿宋" w:hAnsi="仿宋" w:eastAsia="仿宋"/>
                <w:color w:val="auto"/>
                <w:sz w:val="24"/>
              </w:rPr>
              <w:t>依据的标准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479" w:type="pct"/>
            <w:vMerge w:val="restart"/>
            <w:vAlign w:val="center"/>
          </w:tcPr>
          <w:p>
            <w:pPr>
              <w:adjustRightInd w:val="0"/>
              <w:spacing w:line="240" w:lineRule="auto"/>
              <w:jc w:val="center"/>
              <w:rPr>
                <w:rFonts w:ascii="仿宋" w:hAnsi="仿宋" w:eastAsia="仿宋"/>
                <w:color w:val="auto"/>
                <w:sz w:val="24"/>
              </w:rPr>
            </w:pPr>
            <w:r>
              <w:rPr>
                <w:rFonts w:hint="eastAsia" w:ascii="仿宋" w:hAnsi="仿宋" w:eastAsia="仿宋"/>
                <w:color w:val="auto"/>
                <w:sz w:val="24"/>
              </w:rPr>
              <w:t>1</w:t>
            </w:r>
          </w:p>
        </w:tc>
        <w:tc>
          <w:tcPr>
            <w:tcW w:w="770" w:type="pct"/>
            <w:vMerge w:val="restart"/>
            <w:vAlign w:val="center"/>
          </w:tcPr>
          <w:p>
            <w:pPr>
              <w:adjustRightInd w:val="0"/>
              <w:spacing w:line="240" w:lineRule="auto"/>
              <w:jc w:val="left"/>
              <w:rPr>
                <w:rFonts w:ascii="仿宋" w:hAnsi="仿宋" w:eastAsia="仿宋"/>
                <w:color w:val="auto"/>
                <w:sz w:val="24"/>
              </w:rPr>
            </w:pPr>
            <w:r>
              <w:rPr>
                <w:rFonts w:hint="eastAsia" w:ascii="仿宋" w:hAnsi="仿宋" w:eastAsia="仿宋"/>
                <w:color w:val="auto"/>
                <w:sz w:val="24"/>
              </w:rPr>
              <w:t>A020101 计算机设备</w:t>
            </w:r>
          </w:p>
        </w:tc>
        <w:tc>
          <w:tcPr>
            <w:tcW w:w="1119" w:type="pct"/>
            <w:vAlign w:val="center"/>
          </w:tcPr>
          <w:p>
            <w:pPr>
              <w:adjustRightInd w:val="0"/>
              <w:spacing w:line="240" w:lineRule="auto"/>
              <w:jc w:val="left"/>
              <w:rPr>
                <w:rFonts w:ascii="仿宋" w:hAnsi="仿宋" w:eastAsia="仿宋"/>
                <w:color w:val="auto"/>
                <w:sz w:val="24"/>
              </w:rPr>
            </w:pPr>
            <w:r>
              <w:rPr>
                <w:rFonts w:hint="eastAsia" w:ascii="仿宋" w:hAnsi="仿宋" w:eastAsia="仿宋"/>
                <w:color w:val="auto"/>
                <w:sz w:val="24"/>
              </w:rPr>
              <w:t>◆A02010104 台式计算机</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hint="eastAsia" w:ascii="仿宋" w:hAnsi="仿宋" w:eastAsia="仿宋"/>
                <w:color w:val="auto"/>
                <w:sz w:val="24"/>
              </w:rPr>
              <w:t>《微型计算机能效限定值及能效等级》（GB 28380）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Align w:val="center"/>
          </w:tcPr>
          <w:p>
            <w:pPr>
              <w:widowControl/>
              <w:adjustRightInd w:val="0"/>
              <w:spacing w:line="240" w:lineRule="auto"/>
              <w:jc w:val="left"/>
              <w:rPr>
                <w:rFonts w:ascii="仿宋" w:hAnsi="仿宋" w:eastAsia="仿宋"/>
                <w:color w:val="auto"/>
                <w:sz w:val="24"/>
              </w:rPr>
            </w:pPr>
            <w:r>
              <w:rPr>
                <w:rFonts w:ascii="仿宋" w:hAnsi="仿宋" w:eastAsia="仿宋"/>
                <w:color w:val="auto"/>
                <w:sz w:val="24"/>
              </w:rPr>
              <w:t>◆A02010105 便携式计算机</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widowControl/>
              <w:adjustRightInd w:val="0"/>
              <w:spacing w:line="240" w:lineRule="auto"/>
              <w:jc w:val="left"/>
              <w:rPr>
                <w:rFonts w:ascii="仿宋" w:hAnsi="仿宋" w:eastAsia="仿宋"/>
                <w:color w:val="auto"/>
                <w:sz w:val="24"/>
              </w:rPr>
            </w:pPr>
            <w:r>
              <w:rPr>
                <w:rFonts w:ascii="仿宋" w:hAnsi="仿宋" w:eastAsia="仿宋"/>
                <w:color w:val="auto"/>
                <w:sz w:val="24"/>
              </w:rPr>
              <w:t>《微型计算机能效限定值及能效等级》（GB 28380）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Align w:val="center"/>
          </w:tcPr>
          <w:p>
            <w:pPr>
              <w:widowControl/>
              <w:adjustRightInd w:val="0"/>
              <w:spacing w:line="240" w:lineRule="auto"/>
              <w:jc w:val="left"/>
              <w:rPr>
                <w:rFonts w:ascii="仿宋" w:hAnsi="仿宋" w:eastAsia="仿宋"/>
                <w:color w:val="auto"/>
                <w:sz w:val="24"/>
              </w:rPr>
            </w:pPr>
            <w:r>
              <w:rPr>
                <w:rFonts w:ascii="仿宋" w:hAnsi="仿宋" w:eastAsia="仿宋"/>
                <w:color w:val="auto"/>
                <w:sz w:val="24"/>
              </w:rPr>
              <w:t>◆A02010107 平板式微型计算机</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widowControl/>
              <w:adjustRightInd w:val="0"/>
              <w:spacing w:line="240" w:lineRule="auto"/>
              <w:jc w:val="left"/>
              <w:rPr>
                <w:rFonts w:ascii="仿宋" w:hAnsi="仿宋" w:eastAsia="仿宋"/>
                <w:color w:val="auto"/>
                <w:sz w:val="24"/>
              </w:rPr>
            </w:pPr>
            <w:r>
              <w:rPr>
                <w:rFonts w:ascii="仿宋" w:hAnsi="仿宋" w:eastAsia="仿宋"/>
                <w:color w:val="auto"/>
                <w:sz w:val="24"/>
              </w:rPr>
              <w:t>《微型计算机能效限定值及能效等级》（GB 28380）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trPr>
        <w:tc>
          <w:tcPr>
            <w:tcW w:w="479" w:type="pct"/>
            <w:vMerge w:val="restart"/>
            <w:vAlign w:val="center"/>
          </w:tcPr>
          <w:p>
            <w:pPr>
              <w:adjustRightInd w:val="0"/>
              <w:spacing w:line="240" w:lineRule="auto"/>
              <w:jc w:val="center"/>
              <w:rPr>
                <w:rFonts w:ascii="仿宋" w:hAnsi="仿宋" w:eastAsia="仿宋"/>
                <w:color w:val="auto"/>
                <w:sz w:val="24"/>
              </w:rPr>
            </w:pPr>
            <w:r>
              <w:rPr>
                <w:rFonts w:hint="eastAsia" w:ascii="仿宋" w:hAnsi="仿宋" w:eastAsia="仿宋"/>
                <w:color w:val="auto"/>
                <w:sz w:val="24"/>
              </w:rPr>
              <w:t>2</w:t>
            </w:r>
          </w:p>
        </w:tc>
        <w:tc>
          <w:tcPr>
            <w:tcW w:w="770" w:type="pct"/>
            <w:vMerge w:val="restar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A020106 输入输出设备</w:t>
            </w:r>
          </w:p>
        </w:tc>
        <w:tc>
          <w:tcPr>
            <w:tcW w:w="1119" w:type="pct"/>
            <w:vMerge w:val="restar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A02010601 打印设备</w:t>
            </w:r>
          </w:p>
        </w:tc>
        <w:tc>
          <w:tcPr>
            <w:tcW w:w="1048"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A0201060101 喷墨打印机</w:t>
            </w:r>
          </w:p>
        </w:tc>
        <w:tc>
          <w:tcPr>
            <w:tcW w:w="1584"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《复印机、打印机和传真机能效限定值及能效等级》（GB 21521）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Merge w:val="continue"/>
            <w:vAlign w:val="center"/>
          </w:tcPr>
          <w:p>
            <w:pPr>
              <w:widowControl/>
              <w:adjustRightInd w:val="0"/>
              <w:spacing w:line="240" w:lineRule="auto"/>
              <w:jc w:val="left"/>
              <w:rPr>
                <w:rFonts w:ascii="仿宋" w:hAnsi="仿宋" w:eastAsia="仿宋" w:cs="宋体"/>
                <w:color w:val="auto"/>
                <w:sz w:val="24"/>
              </w:rPr>
            </w:pPr>
          </w:p>
        </w:tc>
        <w:tc>
          <w:tcPr>
            <w:tcW w:w="1048"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◆A0201060102 激光打印机</w:t>
            </w:r>
          </w:p>
        </w:tc>
        <w:tc>
          <w:tcPr>
            <w:tcW w:w="1584"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《复印机、打印机和传真机能效限定值及能效等级》（GB 21521）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Merge w:val="continue"/>
            <w:vAlign w:val="center"/>
          </w:tcPr>
          <w:p>
            <w:pPr>
              <w:widowControl/>
              <w:adjustRightInd w:val="0"/>
              <w:spacing w:line="240" w:lineRule="auto"/>
              <w:jc w:val="left"/>
              <w:rPr>
                <w:rFonts w:ascii="仿宋" w:hAnsi="仿宋" w:eastAsia="仿宋" w:cs="宋体"/>
                <w:color w:val="auto"/>
                <w:sz w:val="24"/>
              </w:rPr>
            </w:pPr>
          </w:p>
        </w:tc>
        <w:tc>
          <w:tcPr>
            <w:tcW w:w="1048"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◆A0201060104 针式打印机</w:t>
            </w:r>
          </w:p>
        </w:tc>
        <w:tc>
          <w:tcPr>
            <w:tcW w:w="1584"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《复印机、打印机和传真机能效限定值及能效等级》（GB 21521）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 xml:space="preserve">A02010604 显示设备 </w:t>
            </w:r>
          </w:p>
        </w:tc>
        <w:tc>
          <w:tcPr>
            <w:tcW w:w="1048"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◆A0201060401 液晶显示器</w:t>
            </w:r>
          </w:p>
        </w:tc>
        <w:tc>
          <w:tcPr>
            <w:tcW w:w="1584"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《计算机显示器能效限定值及能效等级》（GB 21520）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 xml:space="preserve">A02010609 图形图像输入设备 </w:t>
            </w:r>
          </w:p>
        </w:tc>
        <w:tc>
          <w:tcPr>
            <w:tcW w:w="1048"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A0201060901 扫描仪</w:t>
            </w:r>
          </w:p>
        </w:tc>
        <w:tc>
          <w:tcPr>
            <w:tcW w:w="1584"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参照《复印机、打印机和传真机能效限定值及能效等级》（GB 21521中打印速度为15页/分的针式打印机相关要求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3</w:t>
            </w:r>
          </w:p>
        </w:tc>
        <w:tc>
          <w:tcPr>
            <w:tcW w:w="770"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A020202 投影仪</w:t>
            </w:r>
          </w:p>
        </w:tc>
        <w:tc>
          <w:tcPr>
            <w:tcW w:w="1119" w:type="pct"/>
            <w:vAlign w:val="center"/>
          </w:tcPr>
          <w:p>
            <w:pPr>
              <w:adjustRightInd w:val="0"/>
              <w:spacing w:line="240" w:lineRule="auto"/>
              <w:jc w:val="left"/>
              <w:rPr>
                <w:rFonts w:ascii="仿宋" w:hAnsi="仿宋" w:eastAsia="仿宋"/>
                <w:color w:val="auto"/>
                <w:sz w:val="24"/>
              </w:rPr>
            </w:pP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《投影机能效限定值及能效等级》（GB 32028）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4</w:t>
            </w:r>
          </w:p>
        </w:tc>
        <w:tc>
          <w:tcPr>
            <w:tcW w:w="770"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A020204 多功能一体机</w:t>
            </w:r>
          </w:p>
        </w:tc>
        <w:tc>
          <w:tcPr>
            <w:tcW w:w="1119" w:type="pct"/>
            <w:vAlign w:val="center"/>
          </w:tcPr>
          <w:p>
            <w:pPr>
              <w:adjustRightInd w:val="0"/>
              <w:spacing w:line="240" w:lineRule="auto"/>
              <w:jc w:val="left"/>
              <w:rPr>
                <w:rFonts w:ascii="仿宋" w:hAnsi="仿宋" w:eastAsia="仿宋"/>
                <w:color w:val="auto"/>
                <w:sz w:val="24"/>
              </w:rPr>
            </w:pP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《复印机、打印机和传真机能效限定值及能效等级》（GB 21521）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5</w:t>
            </w:r>
          </w:p>
        </w:tc>
        <w:tc>
          <w:tcPr>
            <w:tcW w:w="770"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A020519 泵</w:t>
            </w: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A02051901 离心泵</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《清水离心泵能效限定值及节能评价值》（GB 19762）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restar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6</w:t>
            </w:r>
          </w:p>
        </w:tc>
        <w:tc>
          <w:tcPr>
            <w:tcW w:w="770" w:type="pct"/>
            <w:vMerge w:val="restar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A020523 制冷空调设备</w:t>
            </w:r>
          </w:p>
        </w:tc>
        <w:tc>
          <w:tcPr>
            <w:tcW w:w="1119" w:type="pct"/>
            <w:vMerge w:val="restar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◆A02052301 制冷压缩机</w:t>
            </w: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冷水机组</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《冷水机组能效限定值及能效等级》GB9577），《低环境温度空气源热泵冷水）机组能效限定值及能效等级》（GB 37480）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Merge w:val="continue"/>
            <w:vAlign w:val="center"/>
          </w:tcPr>
          <w:p>
            <w:pPr>
              <w:adjustRightInd w:val="0"/>
              <w:spacing w:line="240" w:lineRule="auto"/>
              <w:jc w:val="left"/>
              <w:rPr>
                <w:rFonts w:ascii="仿宋" w:hAnsi="仿宋" w:eastAsia="仿宋"/>
                <w:color w:val="auto"/>
                <w:sz w:val="24"/>
              </w:rPr>
            </w:pP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水源热泵机组</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《水（地）源热泵机组能效限定值及能效等级》（GB 30721）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Merge w:val="continue"/>
            <w:vAlign w:val="center"/>
          </w:tcPr>
          <w:p>
            <w:pPr>
              <w:adjustRightInd w:val="0"/>
              <w:spacing w:line="240" w:lineRule="auto"/>
              <w:jc w:val="left"/>
              <w:rPr>
                <w:rFonts w:ascii="仿宋" w:hAnsi="仿宋" w:eastAsia="仿宋"/>
                <w:color w:val="auto"/>
                <w:sz w:val="24"/>
              </w:rPr>
            </w:pP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溴化锂吸收式冷水机组</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《溴化锂吸收式冷水机组能效限定值及能效等级》（GB 29540）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Merge w:val="restar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◆A02052305 空调机组</w:t>
            </w: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多联式空调（热泵）机组(制冷量&gt;14000W)</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《多联式空调（热泵）机组能效限定值及能源效率等级》（GB 21454）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Merge w:val="continue"/>
            <w:vAlign w:val="center"/>
          </w:tcPr>
          <w:p>
            <w:pPr>
              <w:adjustRightInd w:val="0"/>
              <w:spacing w:line="240" w:lineRule="auto"/>
              <w:jc w:val="left"/>
              <w:rPr>
                <w:rFonts w:ascii="仿宋" w:hAnsi="仿宋" w:eastAsia="仿宋"/>
                <w:color w:val="auto"/>
                <w:sz w:val="24"/>
              </w:rPr>
            </w:pP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单元式空气调节机(制冷&gt;14000W)</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《单元式空气调节机能效限定值及能效等级》（GB</w:t>
            </w:r>
            <w:r>
              <w:rPr>
                <w:rFonts w:hint="eastAsia" w:ascii="仿宋" w:hAnsi="仿宋" w:eastAsia="仿宋" w:cs="宋体"/>
                <w:color w:val="auto"/>
                <w:sz w:val="24"/>
              </w:rPr>
              <w:t xml:space="preserve"> </w:t>
            </w:r>
            <w:r>
              <w:rPr>
                <w:rFonts w:ascii="仿宋" w:hAnsi="仿宋" w:eastAsia="仿宋" w:cs="宋体"/>
                <w:color w:val="auto"/>
                <w:sz w:val="24"/>
              </w:rPr>
              <w:t>19576）《风管送风式空调机组能效限定值及能效等级》（GB</w:t>
            </w:r>
            <w:r>
              <w:rPr>
                <w:rFonts w:hint="eastAsia" w:ascii="仿宋" w:hAnsi="仿宋" w:eastAsia="仿宋" w:cs="宋体"/>
                <w:color w:val="auto"/>
                <w:sz w:val="24"/>
              </w:rPr>
              <w:t xml:space="preserve"> </w:t>
            </w:r>
            <w:r>
              <w:rPr>
                <w:rFonts w:ascii="仿宋" w:hAnsi="仿宋" w:eastAsia="仿宋" w:cs="宋体"/>
                <w:color w:val="auto"/>
                <w:sz w:val="24"/>
              </w:rPr>
              <w:t>37479）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◆A02052309 专用制冷、空调设备</w:t>
            </w: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机房空调</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《单元式空气调节机能效限定值及能效等级》（GB 19576）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A02052399 其他制冷空调设备</w:t>
            </w: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冷却塔</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《机械通风冷却塔第1部分：中小型开式冷却塔》（GB /T 7190.1）</w:t>
            </w:r>
            <w:r>
              <w:rPr>
                <w:rFonts w:hint="eastAsia" w:ascii="仿宋" w:hAnsi="仿宋" w:eastAsia="仿宋" w:cs="宋体"/>
                <w:color w:val="auto"/>
                <w:sz w:val="24"/>
              </w:rPr>
              <w:t>；</w:t>
            </w:r>
            <w:r>
              <w:rPr>
                <w:rFonts w:hint="eastAsia" w:ascii="仿宋" w:hAnsi="仿宋" w:eastAsia="仿宋" w:cs="宋体"/>
                <w:color w:val="auto"/>
                <w:sz w:val="24"/>
              </w:rPr>
              <w:br w:type="textWrapping"/>
            </w:r>
            <w:r>
              <w:rPr>
                <w:rFonts w:ascii="仿宋" w:hAnsi="仿宋" w:eastAsia="仿宋" w:cs="宋体"/>
                <w:color w:val="auto"/>
                <w:sz w:val="24"/>
              </w:rPr>
              <w:t>《机械通风冷却塔第2部分：大型开式冷却塔》（GB /T 7190.2）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7</w:t>
            </w:r>
          </w:p>
        </w:tc>
        <w:tc>
          <w:tcPr>
            <w:tcW w:w="770"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A020601 电机</w:t>
            </w:r>
          </w:p>
        </w:tc>
        <w:tc>
          <w:tcPr>
            <w:tcW w:w="1119" w:type="pct"/>
            <w:vAlign w:val="center"/>
          </w:tcPr>
          <w:p>
            <w:pPr>
              <w:adjustRightInd w:val="0"/>
              <w:spacing w:line="240" w:lineRule="auto"/>
              <w:jc w:val="left"/>
              <w:rPr>
                <w:rFonts w:ascii="仿宋" w:hAnsi="仿宋" w:eastAsia="仿宋"/>
                <w:color w:val="auto"/>
                <w:sz w:val="24"/>
              </w:rPr>
            </w:pP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《中小型三相异步电动机能效限定值及能效等级》（GB 18613）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8</w:t>
            </w:r>
          </w:p>
        </w:tc>
        <w:tc>
          <w:tcPr>
            <w:tcW w:w="770"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A020602 变压器</w:t>
            </w: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配电变压器</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《三相配电变压器能效限定值及能效等级》（GB 20052）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9</w:t>
            </w:r>
          </w:p>
        </w:tc>
        <w:tc>
          <w:tcPr>
            <w:tcW w:w="770"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◆A020609 镇流器</w:t>
            </w: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管型荧光灯镇流器</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《管形荧光灯镇流器能效限定值 》（GB 17896）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restar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10</w:t>
            </w:r>
          </w:p>
        </w:tc>
        <w:tc>
          <w:tcPr>
            <w:tcW w:w="770" w:type="pct"/>
            <w:vMerge w:val="restar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A020618 生活用电器</w:t>
            </w: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A0206180101 电冰</w:t>
            </w:r>
            <w:r>
              <w:rPr>
                <w:rFonts w:hint="eastAsia" w:ascii="仿宋" w:hAnsi="仿宋" w:eastAsia="仿宋" w:cs="宋体"/>
                <w:color w:val="auto"/>
                <w:sz w:val="24"/>
              </w:rPr>
              <w:t>箱</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《家用电冰箱耗电量限定值及能效等级》（GB 12021.2）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Merge w:val="restar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◆A0206180203 空调机</w:t>
            </w: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房间空气调节器</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《转速可控型房间空气调节器能效限定值及能效等 级》（GB</w:t>
            </w:r>
            <w:r>
              <w:rPr>
                <w:rFonts w:hint="eastAsia" w:ascii="仿宋" w:hAnsi="仿宋" w:eastAsia="仿宋" w:cs="宋体"/>
                <w:color w:val="auto"/>
                <w:sz w:val="24"/>
              </w:rPr>
              <w:t xml:space="preserve"> </w:t>
            </w:r>
            <w:r>
              <w:rPr>
                <w:rFonts w:ascii="仿宋" w:hAnsi="仿宋" w:eastAsia="仿宋" w:cs="宋体"/>
                <w:color w:val="auto"/>
                <w:sz w:val="24"/>
              </w:rPr>
              <w:t>21455-2013），待2019 年修订发布</w:t>
            </w:r>
            <w:r>
              <w:rPr>
                <w:rFonts w:hint="eastAsia" w:ascii="仿宋" w:hAnsi="仿宋" w:eastAsia="仿宋" w:cs="宋体"/>
                <w:color w:val="auto"/>
                <w:sz w:val="24"/>
              </w:rPr>
              <w:t>后</w:t>
            </w:r>
            <w:r>
              <w:rPr>
                <w:rFonts w:ascii="仿宋" w:hAnsi="仿宋" w:eastAsia="仿宋" w:cs="宋体"/>
                <w:color w:val="auto"/>
                <w:sz w:val="24"/>
              </w:rPr>
              <w:t>，按《房间空气调节器能效限定值及能效级》</w:t>
            </w:r>
            <w:r>
              <w:rPr>
                <w:rFonts w:hint="eastAsia" w:ascii="仿宋" w:hAnsi="仿宋" w:eastAsia="仿宋" w:cs="宋体"/>
                <w:color w:val="auto"/>
                <w:sz w:val="24"/>
              </w:rPr>
              <w:t>（</w:t>
            </w:r>
            <w:r>
              <w:rPr>
                <w:rFonts w:ascii="仿宋" w:hAnsi="仿宋" w:eastAsia="仿宋" w:cs="宋体"/>
                <w:color w:val="auto"/>
                <w:sz w:val="24"/>
              </w:rPr>
              <w:t>GB21455-2019</w:t>
            </w:r>
            <w:r>
              <w:rPr>
                <w:rFonts w:hint="eastAsia" w:ascii="仿宋" w:hAnsi="仿宋" w:eastAsia="仿宋" w:cs="宋体"/>
                <w:color w:val="auto"/>
                <w:sz w:val="24"/>
              </w:rPr>
              <w:t>）</w:t>
            </w:r>
            <w:r>
              <w:rPr>
                <w:rFonts w:ascii="仿宋" w:hAnsi="仿宋" w:eastAsia="仿宋" w:cs="宋体"/>
                <w:color w:val="auto"/>
                <w:sz w:val="24"/>
              </w:rPr>
              <w:t>实施</w:t>
            </w:r>
            <w:r>
              <w:rPr>
                <w:rFonts w:hint="eastAsia" w:ascii="仿宋" w:hAnsi="仿宋" w:eastAsia="仿宋"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Merge w:val="continue"/>
            <w:vAlign w:val="center"/>
          </w:tcPr>
          <w:p>
            <w:pPr>
              <w:adjustRightInd w:val="0"/>
              <w:spacing w:line="240" w:lineRule="auto"/>
              <w:jc w:val="left"/>
              <w:rPr>
                <w:rFonts w:ascii="仿宋" w:hAnsi="仿宋" w:eastAsia="仿宋"/>
                <w:color w:val="auto"/>
                <w:sz w:val="24"/>
              </w:rPr>
            </w:pP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多联式空调（热泵）机组（制冷量≤14000W）</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《多联式空调（热泵）机组能效限定值及能源效率等》</w:t>
            </w:r>
            <w:r>
              <w:rPr>
                <w:rFonts w:hint="eastAsia" w:ascii="仿宋" w:hAnsi="仿宋" w:eastAsia="仿宋" w:cs="宋体"/>
                <w:color w:val="auto"/>
                <w:sz w:val="24"/>
              </w:rPr>
              <w:t>(</w:t>
            </w:r>
            <w:r>
              <w:rPr>
                <w:rFonts w:ascii="仿宋" w:hAnsi="仿宋" w:eastAsia="仿宋" w:cs="宋体"/>
                <w:color w:val="auto"/>
                <w:sz w:val="24"/>
              </w:rPr>
              <w:t>GB 21454</w:t>
            </w:r>
            <w:r>
              <w:rPr>
                <w:rFonts w:hint="eastAsia" w:ascii="仿宋" w:hAnsi="仿宋" w:eastAsia="仿宋"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Merge w:val="continue"/>
            <w:vAlign w:val="center"/>
          </w:tcPr>
          <w:p>
            <w:pPr>
              <w:adjustRightInd w:val="0"/>
              <w:spacing w:line="240" w:lineRule="auto"/>
              <w:jc w:val="left"/>
              <w:rPr>
                <w:rFonts w:ascii="仿宋" w:hAnsi="仿宋" w:eastAsia="仿宋"/>
                <w:color w:val="auto"/>
                <w:sz w:val="24"/>
              </w:rPr>
            </w:pP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单元式空气调节机(制冷量≤14000W)</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《单元式空气调节机能效限定值及能源效率等级》（GB 19576）《风管送风式空调机组能效限定值及能效等级》（GB 37479）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A0206180301 洗衣机</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《电动洗衣机能效水效限定值及等级》（GB 12021.4）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Merge w:val="restart"/>
            <w:vAlign w:val="center"/>
          </w:tcPr>
          <w:p>
            <w:pPr>
              <w:adjustRightInd w:val="0"/>
              <w:spacing w:line="240" w:lineRule="auto"/>
              <w:jc w:val="left"/>
              <w:rPr>
                <w:rFonts w:ascii="仿宋" w:hAnsi="仿宋" w:eastAsia="仿宋"/>
                <w:color w:val="auto"/>
                <w:sz w:val="24"/>
              </w:rPr>
            </w:pPr>
            <w:r>
              <w:rPr>
                <w:rFonts w:hint="eastAsia" w:ascii="仿宋" w:hAnsi="仿宋" w:eastAsia="仿宋"/>
                <w:color w:val="auto"/>
                <w:sz w:val="24"/>
              </w:rPr>
              <w:t>A02061808 热水器</w:t>
            </w: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◆电热水器</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《储水式电热水器能效限定值及能效等级》（GB 21519）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Merge w:val="continue"/>
            <w:vAlign w:val="center"/>
          </w:tcPr>
          <w:p>
            <w:pPr>
              <w:adjustRightInd w:val="0"/>
              <w:spacing w:line="240" w:lineRule="auto"/>
              <w:jc w:val="left"/>
              <w:rPr>
                <w:rFonts w:ascii="仿宋" w:hAnsi="仿宋" w:eastAsia="仿宋"/>
                <w:color w:val="auto"/>
                <w:sz w:val="24"/>
              </w:rPr>
            </w:pP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燃气热水器</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《家用燃气快速热水器和燃气采暖热水炉能效限定值及能效等级》（GB 20665）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Merge w:val="continue"/>
            <w:vAlign w:val="center"/>
          </w:tcPr>
          <w:p>
            <w:pPr>
              <w:adjustRightInd w:val="0"/>
              <w:spacing w:line="240" w:lineRule="auto"/>
              <w:jc w:val="left"/>
              <w:rPr>
                <w:rFonts w:ascii="仿宋" w:hAnsi="仿宋" w:eastAsia="仿宋"/>
                <w:color w:val="auto"/>
                <w:sz w:val="24"/>
              </w:rPr>
            </w:pP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热泵热水器</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《热泵热水机（器）能效限定值及能效等级》（GB 29541）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Merge w:val="continue"/>
            <w:vAlign w:val="center"/>
          </w:tcPr>
          <w:p>
            <w:pPr>
              <w:adjustRightInd w:val="0"/>
              <w:spacing w:line="240" w:lineRule="auto"/>
              <w:jc w:val="left"/>
              <w:rPr>
                <w:rFonts w:ascii="仿宋" w:hAnsi="仿宋" w:eastAsia="仿宋"/>
                <w:color w:val="auto"/>
                <w:sz w:val="24"/>
              </w:rPr>
            </w:pP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太阳能热水系统</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《家用太阳能热水系统能效限定值及能效等级》（GB 26969）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restar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11</w:t>
            </w:r>
          </w:p>
        </w:tc>
        <w:tc>
          <w:tcPr>
            <w:tcW w:w="770" w:type="pct"/>
            <w:vMerge w:val="restar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A020619 照明设备</w:t>
            </w: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◆普通照明用双端荧光灯</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《普通照明用双端荧光灯能效限定值及能效等级》（GB 19043）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LED道路/隧道照明产品</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《道路和隧道照明用 LED 灯具能效限定值及能效等级》（GB 37478</w:t>
            </w:r>
            <w:r>
              <w:rPr>
                <w:rFonts w:hint="eastAsia" w:ascii="仿宋" w:hAnsi="仿宋" w:eastAsia="仿宋"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LED 筒灯</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《室内照明用LED 产品能效限定值及能效等级》（GB 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普通照明用非定向自镇流LED灯</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《室内照明用LED产品能效限定值及能效等级》（GB 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Align w:val="center"/>
          </w:tcPr>
          <w:p>
            <w:pPr>
              <w:adjustRightInd w:val="0"/>
              <w:spacing w:line="240" w:lineRule="auto"/>
              <w:jc w:val="center"/>
              <w:rPr>
                <w:rFonts w:ascii="仿宋" w:hAnsi="仿宋" w:eastAsia="仿宋"/>
                <w:color w:val="auto"/>
                <w:sz w:val="24"/>
              </w:rPr>
            </w:pPr>
            <w:r>
              <w:rPr>
                <w:rFonts w:hint="eastAsia" w:ascii="仿宋" w:hAnsi="仿宋" w:eastAsia="仿宋"/>
                <w:color w:val="auto"/>
                <w:sz w:val="24"/>
              </w:rPr>
              <w:t>12</w:t>
            </w:r>
          </w:p>
        </w:tc>
        <w:tc>
          <w:tcPr>
            <w:tcW w:w="770"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◆A020910 电视设备</w:t>
            </w:r>
          </w:p>
        </w:tc>
        <w:tc>
          <w:tcPr>
            <w:tcW w:w="1119"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A02091001 普通视设备（电视机）</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《平板电视能效限定值及能效等级》（GB 24850）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13</w:t>
            </w:r>
          </w:p>
        </w:tc>
        <w:tc>
          <w:tcPr>
            <w:tcW w:w="770"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◆A020911 视频设备</w:t>
            </w:r>
          </w:p>
        </w:tc>
        <w:tc>
          <w:tcPr>
            <w:tcW w:w="1119"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 xml:space="preserve">A02091107 视频监控设备 </w:t>
            </w:r>
          </w:p>
        </w:tc>
        <w:tc>
          <w:tcPr>
            <w:tcW w:w="1048"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监视器</w:t>
            </w: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以射频信号为主要信号输入的监视器应符合《平板电视能效限定值及能效等级》（GB 24850），以数字信号为主要信号输入的监视器应符合《计算机显示器能效限定值及能效等级》（GB 21520）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14</w:t>
            </w:r>
          </w:p>
        </w:tc>
        <w:tc>
          <w:tcPr>
            <w:tcW w:w="770"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A031210 饮食炊事机械</w:t>
            </w: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商用燃气灶具</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《效等级商用燃气灶具能效限定值及》（GB 30531）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restar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15</w:t>
            </w:r>
          </w:p>
        </w:tc>
        <w:tc>
          <w:tcPr>
            <w:tcW w:w="770" w:type="pct"/>
            <w:vMerge w:val="restar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◆A060805 便器</w:t>
            </w: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坐便器</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《坐便器水效限定值及水效等级》（GB 25502）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蹲便器</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《蹲便器用水效率限定值及用水效率等级》（GB 30717）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Merge w:val="continue"/>
            <w:vAlign w:val="center"/>
          </w:tcPr>
          <w:p>
            <w:pPr>
              <w:adjustRightInd w:val="0"/>
              <w:spacing w:line="240" w:lineRule="auto"/>
              <w:jc w:val="center"/>
              <w:rPr>
                <w:rFonts w:ascii="仿宋" w:hAnsi="仿宋" w:eastAsia="仿宋"/>
                <w:color w:val="auto"/>
                <w:sz w:val="24"/>
              </w:rPr>
            </w:pPr>
          </w:p>
        </w:tc>
        <w:tc>
          <w:tcPr>
            <w:tcW w:w="770" w:type="pct"/>
            <w:vMerge w:val="continue"/>
            <w:vAlign w:val="center"/>
          </w:tcPr>
          <w:p>
            <w:pPr>
              <w:adjustRightInd w:val="0"/>
              <w:spacing w:line="240" w:lineRule="auto"/>
              <w:jc w:val="left"/>
              <w:rPr>
                <w:rFonts w:ascii="仿宋" w:hAnsi="仿宋" w:eastAsia="仿宋"/>
                <w:color w:val="auto"/>
                <w:sz w:val="24"/>
              </w:rPr>
            </w:pPr>
          </w:p>
        </w:tc>
        <w:tc>
          <w:tcPr>
            <w:tcW w:w="1119"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小便器</w:t>
            </w: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《小便器用水效率限定值及用水效率等级》（GB 28377）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16</w:t>
            </w:r>
          </w:p>
        </w:tc>
        <w:tc>
          <w:tcPr>
            <w:tcW w:w="770"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◆A060806 水嘴</w:t>
            </w:r>
          </w:p>
        </w:tc>
        <w:tc>
          <w:tcPr>
            <w:tcW w:w="1119" w:type="pct"/>
            <w:vAlign w:val="center"/>
          </w:tcPr>
          <w:p>
            <w:pPr>
              <w:adjustRightInd w:val="0"/>
              <w:spacing w:line="240" w:lineRule="auto"/>
              <w:jc w:val="left"/>
              <w:rPr>
                <w:rFonts w:ascii="仿宋" w:hAnsi="仿宋" w:eastAsia="仿宋"/>
                <w:color w:val="auto"/>
                <w:sz w:val="24"/>
              </w:rPr>
            </w:pP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《水嘴用水效率限定值及用水效率等级》（GB 25501）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17</w:t>
            </w:r>
          </w:p>
        </w:tc>
        <w:tc>
          <w:tcPr>
            <w:tcW w:w="770"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A060807 便器冲洗阀</w:t>
            </w:r>
          </w:p>
        </w:tc>
        <w:tc>
          <w:tcPr>
            <w:tcW w:w="1119" w:type="pct"/>
            <w:vAlign w:val="center"/>
          </w:tcPr>
          <w:p>
            <w:pPr>
              <w:adjustRightInd w:val="0"/>
              <w:spacing w:line="240" w:lineRule="auto"/>
              <w:jc w:val="left"/>
              <w:rPr>
                <w:rFonts w:ascii="仿宋" w:hAnsi="仿宋" w:eastAsia="仿宋"/>
                <w:color w:val="auto"/>
                <w:sz w:val="24"/>
              </w:rPr>
            </w:pP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《便器冲洗阀用水效率限定值及用水效率等级》（GB 28379）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79" w:type="pct"/>
            <w:vAlign w:val="center"/>
          </w:tcPr>
          <w:p>
            <w:pPr>
              <w:adjustRightInd w:val="0"/>
              <w:spacing w:line="240" w:lineRule="auto"/>
              <w:jc w:val="center"/>
              <w:rPr>
                <w:rFonts w:ascii="仿宋" w:hAnsi="仿宋" w:eastAsia="仿宋"/>
                <w:color w:val="auto"/>
                <w:sz w:val="24"/>
              </w:rPr>
            </w:pPr>
            <w:r>
              <w:rPr>
                <w:rFonts w:ascii="仿宋" w:hAnsi="仿宋" w:eastAsia="仿宋" w:cs="宋体"/>
                <w:color w:val="auto"/>
                <w:sz w:val="24"/>
              </w:rPr>
              <w:t>18</w:t>
            </w:r>
          </w:p>
        </w:tc>
        <w:tc>
          <w:tcPr>
            <w:tcW w:w="770" w:type="pct"/>
            <w:vAlign w:val="center"/>
          </w:tcPr>
          <w:p>
            <w:pPr>
              <w:widowControl/>
              <w:adjustRightInd w:val="0"/>
              <w:spacing w:line="240" w:lineRule="auto"/>
              <w:jc w:val="left"/>
              <w:rPr>
                <w:rFonts w:ascii="仿宋" w:hAnsi="仿宋" w:eastAsia="仿宋" w:cs="宋体"/>
                <w:color w:val="auto"/>
                <w:sz w:val="24"/>
              </w:rPr>
            </w:pPr>
            <w:r>
              <w:rPr>
                <w:rFonts w:ascii="仿宋" w:hAnsi="仿宋" w:eastAsia="仿宋" w:cs="宋体"/>
                <w:color w:val="auto"/>
                <w:sz w:val="24"/>
              </w:rPr>
              <w:t>A060810 淋浴器</w:t>
            </w:r>
          </w:p>
        </w:tc>
        <w:tc>
          <w:tcPr>
            <w:tcW w:w="1119" w:type="pct"/>
            <w:vAlign w:val="center"/>
          </w:tcPr>
          <w:p>
            <w:pPr>
              <w:adjustRightInd w:val="0"/>
              <w:spacing w:line="240" w:lineRule="auto"/>
              <w:jc w:val="left"/>
              <w:rPr>
                <w:rFonts w:ascii="仿宋" w:hAnsi="仿宋" w:eastAsia="仿宋"/>
                <w:color w:val="auto"/>
                <w:sz w:val="24"/>
              </w:rPr>
            </w:pPr>
          </w:p>
        </w:tc>
        <w:tc>
          <w:tcPr>
            <w:tcW w:w="1048" w:type="pct"/>
            <w:vAlign w:val="center"/>
          </w:tcPr>
          <w:p>
            <w:pPr>
              <w:adjustRightInd w:val="0"/>
              <w:spacing w:line="240" w:lineRule="auto"/>
              <w:jc w:val="left"/>
              <w:rPr>
                <w:rFonts w:ascii="仿宋" w:hAnsi="仿宋" w:eastAsia="仿宋"/>
                <w:color w:val="auto"/>
                <w:sz w:val="24"/>
              </w:rPr>
            </w:pPr>
          </w:p>
        </w:tc>
        <w:tc>
          <w:tcPr>
            <w:tcW w:w="1584" w:type="pct"/>
            <w:vAlign w:val="center"/>
          </w:tcPr>
          <w:p>
            <w:pPr>
              <w:adjustRightInd w:val="0"/>
              <w:spacing w:line="240" w:lineRule="auto"/>
              <w:jc w:val="left"/>
              <w:rPr>
                <w:rFonts w:ascii="仿宋" w:hAnsi="仿宋" w:eastAsia="仿宋"/>
                <w:color w:val="auto"/>
                <w:sz w:val="24"/>
              </w:rPr>
            </w:pPr>
            <w:r>
              <w:rPr>
                <w:rFonts w:ascii="仿宋" w:hAnsi="仿宋" w:eastAsia="仿宋" w:cs="宋体"/>
                <w:color w:val="auto"/>
                <w:sz w:val="24"/>
              </w:rPr>
              <w:t>《淋浴器用水效率限定值及用水效率等级》（GB 28378）</w:t>
            </w:r>
          </w:p>
        </w:tc>
      </w:tr>
    </w:tbl>
    <w:p>
      <w:pPr>
        <w:spacing w:line="240" w:lineRule="auto"/>
        <w:jc w:val="left"/>
        <w:rPr>
          <w:rFonts w:ascii="仿宋" w:hAnsi="仿宋" w:eastAsia="仿宋"/>
          <w:color w:val="auto"/>
          <w:sz w:val="24"/>
        </w:rPr>
      </w:pPr>
      <w:r>
        <w:rPr>
          <w:rFonts w:ascii="仿宋" w:hAnsi="仿宋" w:eastAsia="仿宋"/>
          <w:color w:val="auto"/>
          <w:sz w:val="24"/>
        </w:rPr>
        <w:t>注：</w:t>
      </w:r>
    </w:p>
    <w:p>
      <w:pPr>
        <w:spacing w:line="240" w:lineRule="auto"/>
        <w:ind w:firstLine="480"/>
        <w:rPr>
          <w:rFonts w:ascii="仿宋" w:hAnsi="仿宋" w:eastAsia="仿宋"/>
          <w:color w:val="auto"/>
        </w:rPr>
      </w:pPr>
      <w:r>
        <w:rPr>
          <w:rFonts w:ascii="仿宋" w:hAnsi="仿宋" w:eastAsia="仿宋"/>
          <w:color w:val="auto"/>
          <w:sz w:val="24"/>
        </w:rPr>
        <w:t>1.节能产品认证应依据相关国家标准的最新版本，依据国家标准中二级能效（水效）指标。</w:t>
      </w:r>
      <w:r>
        <w:rPr>
          <w:rFonts w:hint="eastAsia" w:ascii="仿宋" w:hAnsi="仿宋" w:eastAsia="仿宋"/>
          <w:color w:val="auto"/>
          <w:sz w:val="24"/>
        </w:rPr>
        <w:br w:type="textWrapping"/>
      </w:r>
      <w:r>
        <w:rPr>
          <w:rFonts w:hint="eastAsia" w:ascii="仿宋" w:hAnsi="仿宋" w:eastAsia="仿宋"/>
          <w:color w:val="auto"/>
          <w:sz w:val="24"/>
        </w:rPr>
        <w:t xml:space="preserve">    </w:t>
      </w:r>
      <w:r>
        <w:rPr>
          <w:rFonts w:ascii="仿宋" w:hAnsi="仿宋" w:eastAsia="仿宋"/>
          <w:color w:val="auto"/>
          <w:sz w:val="24"/>
        </w:rPr>
        <w:t>2.上述产品中认证标准发生变更的，依据原认证标准获得的、仍在有效期内的认证证书可使用至 2019 年6月1日。</w:t>
      </w:r>
      <w:r>
        <w:rPr>
          <w:rFonts w:hint="eastAsia" w:ascii="仿宋" w:hAnsi="仿宋" w:eastAsia="仿宋"/>
          <w:color w:val="auto"/>
          <w:sz w:val="24"/>
        </w:rPr>
        <w:br w:type="textWrapping"/>
      </w:r>
      <w:r>
        <w:rPr>
          <w:rFonts w:hint="eastAsia" w:ascii="仿宋" w:hAnsi="仿宋" w:eastAsia="仿宋"/>
          <w:color w:val="auto"/>
          <w:sz w:val="24"/>
        </w:rPr>
        <w:t xml:space="preserve">    </w:t>
      </w:r>
      <w:r>
        <w:rPr>
          <w:rFonts w:ascii="仿宋" w:hAnsi="仿宋" w:eastAsia="仿宋"/>
          <w:color w:val="auto"/>
          <w:sz w:val="24"/>
        </w:rPr>
        <w:t>3.以“◆”标注的为政府强制采购产品。</w:t>
      </w:r>
    </w:p>
    <w:p>
      <w:pPr>
        <w:pStyle w:val="8"/>
        <w:spacing w:line="400" w:lineRule="exact"/>
        <w:ind w:firstLine="482"/>
        <w:rPr>
          <w:rFonts w:ascii="仿宋" w:hAnsi="仿宋" w:eastAsia="仿宋"/>
          <w:b/>
          <w:bCs/>
          <w:color w:val="auto"/>
          <w:sz w:val="24"/>
        </w:rPr>
      </w:pPr>
    </w:p>
    <w:p>
      <w:pPr>
        <w:pStyle w:val="3"/>
        <w:spacing w:line="400" w:lineRule="exact"/>
        <w:jc w:val="center"/>
        <w:rPr>
          <w:rFonts w:ascii="仿宋" w:hAnsi="仿宋" w:eastAsia="仿宋"/>
          <w:color w:val="auto"/>
          <w:sz w:val="36"/>
          <w:szCs w:val="36"/>
        </w:rPr>
        <w:sectPr>
          <w:pgSz w:w="11906" w:h="16838"/>
          <w:pgMar w:top="1440" w:right="1800" w:bottom="1440" w:left="1800" w:header="851" w:footer="992" w:gutter="0"/>
          <w:cols w:space="720" w:num="1"/>
          <w:docGrid w:type="lines" w:linePitch="312" w:charSpace="0"/>
        </w:sectPr>
      </w:pPr>
      <w:bookmarkStart w:id="245" w:name="_Toc24786"/>
      <w:bookmarkStart w:id="246" w:name="_Toc31810"/>
    </w:p>
    <w:p>
      <w:pPr>
        <w:pStyle w:val="3"/>
        <w:spacing w:line="400" w:lineRule="exact"/>
        <w:jc w:val="center"/>
        <w:rPr>
          <w:rFonts w:ascii="仿宋" w:hAnsi="仿宋" w:eastAsia="仿宋"/>
          <w:color w:val="auto"/>
          <w:sz w:val="36"/>
          <w:szCs w:val="36"/>
        </w:rPr>
      </w:pPr>
      <w:r>
        <w:rPr>
          <w:rFonts w:hint="eastAsia" w:ascii="仿宋" w:hAnsi="仿宋" w:eastAsia="仿宋"/>
          <w:color w:val="auto"/>
          <w:sz w:val="36"/>
          <w:szCs w:val="36"/>
        </w:rPr>
        <w:t>第七章  评标办法</w:t>
      </w:r>
      <w:bookmarkEnd w:id="245"/>
      <w:bookmarkEnd w:id="246"/>
      <w:bookmarkStart w:id="247" w:name="_Hlt101846155"/>
      <w:bookmarkEnd w:id="247"/>
      <w:bookmarkStart w:id="248" w:name="_Toc208849007"/>
      <w:bookmarkStart w:id="249" w:name="_Toc183582280"/>
      <w:bookmarkStart w:id="250" w:name="_Toc217446097"/>
      <w:bookmarkStart w:id="251" w:name="_Toc183682415"/>
    </w:p>
    <w:p>
      <w:pPr>
        <w:pStyle w:val="4"/>
        <w:rPr>
          <w:rFonts w:ascii="仿宋" w:hAnsi="仿宋" w:eastAsia="仿宋"/>
          <w:color w:val="auto"/>
          <w:sz w:val="24"/>
          <w:szCs w:val="24"/>
        </w:rPr>
      </w:pPr>
      <w:r>
        <w:rPr>
          <w:rFonts w:hint="eastAsia" w:ascii="仿宋" w:hAnsi="仿宋" w:eastAsia="仿宋"/>
          <w:color w:val="auto"/>
          <w:sz w:val="24"/>
          <w:szCs w:val="24"/>
        </w:rPr>
        <w:t>1. 总则</w:t>
      </w:r>
      <w:bookmarkEnd w:id="248"/>
      <w:bookmarkEnd w:id="249"/>
      <w:bookmarkEnd w:id="250"/>
      <w:bookmarkEnd w:id="251"/>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hAnsi="仿宋" w:eastAsia="仿宋"/>
          <w:color w:val="auto"/>
          <w:sz w:val="24"/>
        </w:rPr>
        <w:t>进行审查</w:t>
      </w:r>
      <w:r>
        <w:rPr>
          <w:rFonts w:hint="eastAsia" w:ascii="仿宋" w:hAnsi="仿宋" w:eastAsia="仿宋"/>
          <w:color w:val="auto"/>
          <w:sz w:val="24"/>
        </w:rPr>
        <w:t>，以确定投标供应商是否具备投标资格。</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合格投标人不足三家的，不得评标。</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1.4 评标委员会按照招标文件规定的评标方法和标准进行评标，并独立履行下列职责：</w:t>
      </w:r>
    </w:p>
    <w:p>
      <w:pPr>
        <w:spacing w:line="400" w:lineRule="exact"/>
        <w:ind w:firstLine="480" w:firstLineChars="200"/>
        <w:rPr>
          <w:rFonts w:ascii="仿宋" w:hAnsi="仿宋" w:eastAsia="仿宋"/>
          <w:color w:val="auto"/>
          <w:sz w:val="24"/>
        </w:rPr>
      </w:pPr>
      <w:bookmarkStart w:id="252" w:name="_Toc217446098"/>
      <w:r>
        <w:rPr>
          <w:rFonts w:hint="eastAsia" w:ascii="仿宋" w:hAnsi="仿宋" w:eastAsia="仿宋"/>
          <w:color w:val="auto"/>
          <w:sz w:val="24"/>
        </w:rPr>
        <w:t>（一）熟悉和理解招标文件；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（二）审查供应商（已通过资格审查）的投标文件是否满足招标文件要求，并作出评价；</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（四）推荐中标候选供应商，或者受采购人委托确定中标供应商；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（五）起草评标报告并进行签署；</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（六）向招标采购单位、财政部门或者其他监督部门报告非法干预评标工作的行为；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（七）法律、法规和规章规定的其他职责。</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1.5 评标过程独立、保密。投标人非法干预评标过程的行为将导致其投标文件作为无效处理。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1.6 评标委员会评价投标文件的响应性，对于投标人而言，除评标委员会要求其澄清、说明或者更正而提供的资料外，仅依据投标文件本身的内容，不寻求其他外部证据。</w:t>
      </w:r>
    </w:p>
    <w:p>
      <w:pPr>
        <w:pStyle w:val="4"/>
        <w:rPr>
          <w:rFonts w:ascii="仿宋" w:hAnsi="仿宋" w:eastAsia="仿宋"/>
          <w:color w:val="auto"/>
          <w:sz w:val="24"/>
          <w:szCs w:val="24"/>
        </w:rPr>
      </w:pPr>
      <w:r>
        <w:rPr>
          <w:rFonts w:hint="eastAsia" w:ascii="仿宋" w:hAnsi="仿宋" w:eastAsia="仿宋"/>
          <w:color w:val="auto"/>
          <w:sz w:val="24"/>
          <w:szCs w:val="24"/>
        </w:rPr>
        <w:t>2.评标</w:t>
      </w:r>
      <w:bookmarkEnd w:id="252"/>
      <w:r>
        <w:rPr>
          <w:rFonts w:hint="eastAsia" w:ascii="仿宋" w:hAnsi="仿宋" w:eastAsia="仿宋"/>
          <w:color w:val="auto"/>
          <w:sz w:val="24"/>
          <w:szCs w:val="24"/>
        </w:rPr>
        <w:t>方法</w:t>
      </w:r>
    </w:p>
    <w:p>
      <w:pPr>
        <w:spacing w:line="360" w:lineRule="auto"/>
        <w:ind w:firstLine="480" w:firstLineChars="200"/>
        <w:rPr>
          <w:rFonts w:ascii="仿宋" w:hAnsi="仿宋" w:eastAsia="仿宋"/>
          <w:color w:val="auto"/>
          <w:sz w:val="24"/>
        </w:rPr>
      </w:pPr>
      <w:bookmarkStart w:id="253" w:name="_Toc217446103"/>
      <w:bookmarkStart w:id="254" w:name="_Toc217446099"/>
      <w:r>
        <w:rPr>
          <w:rFonts w:hint="eastAsia" w:ascii="仿宋" w:hAnsi="仿宋" w:eastAsia="仿宋"/>
          <w:color w:val="auto"/>
          <w:sz w:val="24"/>
        </w:rPr>
        <w:t>2.1本项目评标方法为：</w:t>
      </w:r>
      <w:r>
        <w:rPr>
          <w:rFonts w:hint="eastAsia" w:ascii="仿宋" w:hAnsi="仿宋" w:eastAsia="仿宋"/>
          <w:b/>
          <w:bCs/>
          <w:color w:val="auto"/>
          <w:sz w:val="24"/>
        </w:rPr>
        <w:t>综合评分法</w:t>
      </w:r>
      <w:r>
        <w:rPr>
          <w:rFonts w:hint="eastAsia" w:ascii="仿宋" w:hAnsi="仿宋" w:eastAsia="仿宋"/>
          <w:color w:val="auto"/>
          <w:sz w:val="24"/>
        </w:rPr>
        <w:t>。</w:t>
      </w:r>
    </w:p>
    <w:p>
      <w:pPr>
        <w:pStyle w:val="4"/>
        <w:rPr>
          <w:rFonts w:ascii="仿宋" w:hAnsi="仿宋" w:eastAsia="仿宋"/>
          <w:color w:val="auto"/>
          <w:sz w:val="24"/>
          <w:szCs w:val="24"/>
        </w:rPr>
      </w:pPr>
      <w:r>
        <w:rPr>
          <w:rFonts w:hint="eastAsia" w:ascii="仿宋" w:hAnsi="仿宋" w:eastAsia="仿宋"/>
          <w:color w:val="auto"/>
          <w:sz w:val="24"/>
          <w:szCs w:val="24"/>
        </w:rPr>
        <w:t>3.评标程序</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3.1熟悉和理解招标文件和停止评标。</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（1）招标文件的规定存在歧义、重大缺陷的；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（2）招标文件明显以不合理条件对供应商实行差别待遇或者歧视待遇的；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（6）招标文件将投标人的资格条件列为评分因素的；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（7）招标文件有违反国家其他有关强制性规定的情形。</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3.2符合性检查。</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3.2.2投标文件出现他不影响采购项目实质性要求的情形，不作为符合性审查事项，不得作为无效投标处理。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（一）投标文件组成明显不符合招标文件的规定要求，影响评标委员会评判的；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（二）投标文件语言、计量单位、报价货币、知识产权、投标有效期等不符合招标文件的规定，影响评标委员会评判的；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（三）投标报价不符合招标文件规定的采购预算或限价或其他报价规定的；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（四）商务、技术、服务应答内容没有完全响应招标文件的实质性要求的；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（五）未载明或者载明的招标项目履约时间、方式、数量及其他政府采购合同实质性内容与招标文件要求不一致，且招标采购单位无法接受的；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（六）投标文件未按招标文件</w:t>
      </w:r>
      <w:r>
        <w:rPr>
          <w:rFonts w:hint="eastAsia" w:ascii="仿宋" w:hAnsi="仿宋" w:eastAsia="仿宋"/>
          <w:b/>
          <w:bCs/>
          <w:color w:val="auto"/>
          <w:sz w:val="24"/>
        </w:rPr>
        <w:t>第二章17.2</w:t>
      </w:r>
      <w:r>
        <w:rPr>
          <w:rFonts w:hint="eastAsia" w:ascii="仿宋" w:hAnsi="仿宋" w:eastAsia="仿宋"/>
          <w:color w:val="auto"/>
          <w:sz w:val="24"/>
        </w:rPr>
        <w:t>要求盖电子签章的；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（七）没有完全响应招标文件的其他实质性要求或属于招标文件中投标无效情形的。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（一）招标公告刊登的媒体名称、开标日期和地点；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（二）获取招标文件的投标人名单和评标委员会成员名单；</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（三）评标方法和标准；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（四）开标记录和评标情况及说明，包括无效投标人名单及原因；</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（五）评标结果和中标候选供应商排序表；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（六）评标委员会授标建议；</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（七）报价最高的投标人为中标候选人的，评标委员会应当对其报价的合理性予以特别说明。</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3.8供应商应当书面澄清、说明或者更正。</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3.8.2</w:t>
      </w:r>
      <w:r>
        <w:rPr>
          <w:rFonts w:hint="eastAsia" w:ascii="仿宋" w:hAnsi="仿宋" w:eastAsia="仿宋"/>
          <w:color w:val="auto"/>
          <w:sz w:val="24"/>
          <w:lang w:val="zh-CN"/>
        </w:rPr>
        <w:t>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w:t>
      </w:r>
      <w:r>
        <w:rPr>
          <w:rFonts w:hint="eastAsia" w:ascii="仿宋" w:hAnsi="仿宋" w:eastAsia="仿宋"/>
          <w:color w:val="auto"/>
          <w:sz w:val="24"/>
        </w:rPr>
        <w:t>澄清、说明或者更正不影响投标文件的效力，有效的澄清、说明或者更正材料，是投标文件的组成部分。</w:t>
      </w:r>
      <w:r>
        <w:rPr>
          <w:rFonts w:hint="eastAsia" w:ascii="仿宋" w:hAnsi="仿宋" w:eastAsia="仿宋"/>
          <w:color w:val="auto"/>
          <w:sz w:val="24"/>
          <w:lang w:val="zh-CN"/>
        </w:rPr>
        <w:t>如因断电、断网、系统故障或其他不可抗力等因素，导致系统无法使用的，由投标人按评标委员会的要求进行澄清或者说明。</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（一）按财政部规定应当在评标时不予承认的投标文件内容事项；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（二）投标文件中已经明确的内容事项；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3.8.4 本项目采购过程中，投标文件报价出现前后不一致的，按照下列规定修正：</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（二）大写金额和小写金额不一致的，以大写金额为准；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（三）单价金额小数点或者百分比有明显错位的，以开标一览表的总价为准，并修改单价；</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（四）总价金额与按单价汇总金额不一致的，以单价金额计算结果为准。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color w:val="auto"/>
          <w:sz w:val="24"/>
        </w:rPr>
      </w:pPr>
      <w:r>
        <w:rPr>
          <w:rFonts w:hint="eastAsia" w:ascii="仿宋" w:hAnsi="仿宋" w:eastAsia="仿宋"/>
          <w:b/>
          <w:color w:val="auto"/>
          <w:sz w:val="24"/>
        </w:rPr>
        <w:t>注：评标委员会当积极履行澄清、说明或者更正的职责，不得滥用权力。供应商的投标文件应当要求澄清、说明或者更正的，不得未经澄清、说明或者更正而直接作无效投标处理。</w:t>
      </w:r>
    </w:p>
    <w:p>
      <w:pPr>
        <w:pStyle w:val="44"/>
        <w:ind w:firstLine="480" w:firstLineChars="200"/>
        <w:jc w:val="both"/>
        <w:rPr>
          <w:rFonts w:ascii="仿宋" w:hAnsi="仿宋" w:eastAsia="仿宋"/>
          <w:color w:val="auto"/>
        </w:rPr>
      </w:pPr>
      <w:r>
        <w:rPr>
          <w:rFonts w:hint="eastAsia" w:ascii="仿宋" w:hAnsi="仿宋" w:eastAsia="仿宋"/>
          <w:color w:val="auto"/>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4"/>
        <w:ind w:firstLine="480" w:firstLineChars="200"/>
        <w:jc w:val="both"/>
        <w:rPr>
          <w:rFonts w:ascii="仿宋" w:hAnsi="仿宋" w:eastAsia="仿宋"/>
          <w:color w:val="auto"/>
        </w:rPr>
      </w:pPr>
      <w:r>
        <w:rPr>
          <w:rFonts w:hint="eastAsia" w:ascii="仿宋" w:hAnsi="仿宋" w:eastAsia="仿宋"/>
          <w:color w:val="auto"/>
        </w:rPr>
        <w:t>3.10招标采购单位现场复核评标结果。</w:t>
      </w:r>
    </w:p>
    <w:p>
      <w:pPr>
        <w:pStyle w:val="44"/>
        <w:ind w:firstLine="480" w:firstLineChars="200"/>
        <w:jc w:val="both"/>
        <w:rPr>
          <w:rFonts w:ascii="仿宋" w:hAnsi="仿宋" w:eastAsia="仿宋"/>
          <w:color w:val="auto"/>
        </w:rPr>
      </w:pPr>
      <w:r>
        <w:rPr>
          <w:rFonts w:hint="eastAsia" w:ascii="仿宋" w:hAnsi="仿宋" w:eastAsia="仿宋"/>
          <w:color w:val="auto"/>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4"/>
        <w:ind w:firstLine="480" w:firstLineChars="200"/>
        <w:jc w:val="both"/>
        <w:rPr>
          <w:rFonts w:ascii="仿宋" w:hAnsi="仿宋" w:eastAsia="仿宋"/>
          <w:color w:val="auto"/>
        </w:rPr>
      </w:pPr>
      <w:r>
        <w:rPr>
          <w:rFonts w:hint="eastAsia" w:ascii="仿宋" w:hAnsi="仿宋" w:eastAsia="仿宋"/>
          <w:color w:val="auto"/>
        </w:rPr>
        <w:t>（一）分值汇总计算错误的；</w:t>
      </w:r>
    </w:p>
    <w:p>
      <w:pPr>
        <w:pStyle w:val="44"/>
        <w:ind w:firstLine="480" w:firstLineChars="200"/>
        <w:jc w:val="both"/>
        <w:rPr>
          <w:rFonts w:ascii="仿宋" w:hAnsi="仿宋" w:eastAsia="仿宋"/>
          <w:color w:val="auto"/>
        </w:rPr>
      </w:pPr>
      <w:r>
        <w:rPr>
          <w:rFonts w:hint="eastAsia" w:ascii="仿宋" w:hAnsi="仿宋" w:eastAsia="仿宋"/>
          <w:color w:val="auto"/>
        </w:rPr>
        <w:t>（二）分项评分超出评分标准范围的；</w:t>
      </w:r>
    </w:p>
    <w:p>
      <w:pPr>
        <w:pStyle w:val="44"/>
        <w:ind w:firstLine="480" w:firstLineChars="200"/>
        <w:jc w:val="both"/>
        <w:rPr>
          <w:rFonts w:ascii="仿宋" w:hAnsi="仿宋" w:eastAsia="仿宋"/>
          <w:color w:val="auto"/>
        </w:rPr>
      </w:pPr>
      <w:r>
        <w:rPr>
          <w:rFonts w:hint="eastAsia" w:ascii="仿宋" w:hAnsi="仿宋" w:eastAsia="仿宋"/>
          <w:color w:val="auto"/>
        </w:rPr>
        <w:t>（三）客观评分不一致的；</w:t>
      </w:r>
    </w:p>
    <w:p>
      <w:pPr>
        <w:pStyle w:val="44"/>
        <w:ind w:firstLine="480" w:firstLineChars="200"/>
        <w:jc w:val="both"/>
        <w:rPr>
          <w:rFonts w:ascii="仿宋" w:hAnsi="仿宋" w:eastAsia="仿宋"/>
          <w:color w:val="auto"/>
        </w:rPr>
      </w:pPr>
      <w:r>
        <w:rPr>
          <w:rFonts w:hint="eastAsia" w:ascii="仿宋" w:hAnsi="仿宋" w:eastAsia="仿宋"/>
          <w:color w:val="auto"/>
        </w:rPr>
        <w:t>（四）经评标委员会认定评分畸高畸低的。</w:t>
      </w:r>
    </w:p>
    <w:p>
      <w:pPr>
        <w:pStyle w:val="44"/>
        <w:ind w:firstLine="480" w:firstLineChars="200"/>
        <w:jc w:val="both"/>
        <w:rPr>
          <w:rFonts w:ascii="仿宋" w:hAnsi="仿宋" w:eastAsia="仿宋"/>
          <w:color w:val="auto"/>
        </w:rPr>
      </w:pPr>
      <w:r>
        <w:rPr>
          <w:rFonts w:hint="eastAsia" w:ascii="仿宋" w:hAnsi="仿宋" w:eastAsia="仿宋"/>
          <w:color w:val="auto"/>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4"/>
        <w:ind w:firstLine="480" w:firstLineChars="200"/>
        <w:jc w:val="both"/>
        <w:rPr>
          <w:rFonts w:ascii="仿宋" w:hAnsi="仿宋" w:eastAsia="仿宋"/>
          <w:color w:val="auto"/>
        </w:rPr>
      </w:pPr>
      <w:r>
        <w:rPr>
          <w:rFonts w:hint="eastAsia" w:ascii="仿宋" w:hAnsi="仿宋" w:eastAsia="仿宋"/>
          <w:color w:val="auto"/>
        </w:rPr>
        <w:t>3.10.2有下列情形之一的，不得修改评标结果或者重新评审：</w:t>
      </w:r>
    </w:p>
    <w:p>
      <w:pPr>
        <w:pStyle w:val="44"/>
        <w:ind w:firstLine="480" w:firstLineChars="200"/>
        <w:jc w:val="both"/>
        <w:rPr>
          <w:rFonts w:ascii="仿宋" w:hAnsi="仿宋" w:eastAsia="仿宋"/>
          <w:color w:val="auto"/>
        </w:rPr>
      </w:pPr>
      <w:r>
        <w:rPr>
          <w:rFonts w:hint="eastAsia" w:ascii="仿宋" w:hAnsi="仿宋" w:eastAsia="仿宋"/>
          <w:color w:val="auto"/>
        </w:rPr>
        <w:t>（一）招标采购单位现场复核时，复核工作人员数量不足的；</w:t>
      </w:r>
    </w:p>
    <w:p>
      <w:pPr>
        <w:pStyle w:val="44"/>
        <w:ind w:firstLine="480" w:firstLineChars="200"/>
        <w:jc w:val="both"/>
        <w:rPr>
          <w:rFonts w:ascii="仿宋" w:hAnsi="仿宋" w:eastAsia="仿宋"/>
          <w:color w:val="auto"/>
        </w:rPr>
      </w:pPr>
      <w:r>
        <w:rPr>
          <w:rFonts w:hint="eastAsia" w:ascii="仿宋" w:hAnsi="仿宋" w:eastAsia="仿宋"/>
          <w:color w:val="auto"/>
        </w:rPr>
        <w:t>（二）招标采购单位现场复核时，没有采购监督人员现场监督的；</w:t>
      </w:r>
    </w:p>
    <w:p>
      <w:pPr>
        <w:pStyle w:val="44"/>
        <w:ind w:firstLine="480" w:firstLineChars="200"/>
        <w:jc w:val="both"/>
        <w:rPr>
          <w:rFonts w:ascii="仿宋" w:hAnsi="仿宋" w:eastAsia="仿宋"/>
          <w:color w:val="auto"/>
        </w:rPr>
      </w:pPr>
      <w:r>
        <w:rPr>
          <w:rFonts w:hint="eastAsia" w:ascii="仿宋" w:hAnsi="仿宋" w:eastAsia="仿宋"/>
          <w:color w:val="auto"/>
        </w:rPr>
        <w:t>（三）招标采购单位现场复核内容超出规定范围的；</w:t>
      </w:r>
    </w:p>
    <w:p>
      <w:pPr>
        <w:pStyle w:val="44"/>
        <w:ind w:firstLine="480" w:firstLineChars="200"/>
        <w:jc w:val="both"/>
        <w:rPr>
          <w:rFonts w:ascii="仿宋" w:hAnsi="仿宋" w:eastAsia="仿宋"/>
          <w:color w:val="auto"/>
        </w:rPr>
      </w:pPr>
      <w:r>
        <w:rPr>
          <w:rFonts w:hint="eastAsia" w:ascii="仿宋" w:hAnsi="仿宋" w:eastAsia="仿宋"/>
          <w:color w:val="auto"/>
        </w:rPr>
        <w:t>（四）招标采购单位未提供书面建议的。</w:t>
      </w:r>
    </w:p>
    <w:p>
      <w:pPr>
        <w:pStyle w:val="4"/>
        <w:rPr>
          <w:rFonts w:ascii="仿宋" w:hAnsi="仿宋" w:eastAsia="仿宋"/>
          <w:color w:val="auto"/>
          <w:sz w:val="24"/>
          <w:szCs w:val="24"/>
        </w:rPr>
      </w:pPr>
      <w:r>
        <w:rPr>
          <w:rFonts w:hint="eastAsia" w:ascii="仿宋" w:hAnsi="仿宋" w:eastAsia="仿宋"/>
          <w:color w:val="auto"/>
          <w:sz w:val="24"/>
          <w:szCs w:val="24"/>
        </w:rPr>
        <w:t>4.评标细则及标准</w:t>
      </w:r>
      <w:bookmarkEnd w:id="253"/>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4.1本项目采用综合评分法，评分因素详见综合评分明细表。</w:t>
      </w:r>
    </w:p>
    <w:p>
      <w:pPr>
        <w:pStyle w:val="44"/>
        <w:ind w:firstLine="480" w:firstLineChars="200"/>
        <w:jc w:val="both"/>
        <w:rPr>
          <w:rFonts w:ascii="仿宋" w:hAnsi="仿宋" w:eastAsia="仿宋"/>
          <w:color w:val="auto"/>
        </w:rPr>
      </w:pPr>
      <w:r>
        <w:rPr>
          <w:rFonts w:hint="eastAsia" w:ascii="仿宋" w:hAnsi="仿宋" w:eastAsia="仿宋"/>
          <w:color w:val="auto"/>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2"/>
        <w:tabs>
          <w:tab w:val="left" w:pos="600"/>
        </w:tabs>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4.3综合评分明细表</w:t>
      </w:r>
    </w:p>
    <w:p>
      <w:pPr>
        <w:pStyle w:val="12"/>
        <w:tabs>
          <w:tab w:val="left" w:pos="600"/>
        </w:tabs>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4.3.1综合评分明细表的制定以科学合理、降低评委会自由裁量权为原则。</w:t>
      </w:r>
    </w:p>
    <w:p>
      <w:pPr>
        <w:widowControl/>
        <w:ind w:firstLine="480" w:firstLineChars="200"/>
        <w:jc w:val="left"/>
        <w:rPr>
          <w:rFonts w:ascii="仿宋" w:hAnsi="仿宋" w:eastAsia="仿宋"/>
          <w:color w:val="auto"/>
          <w:sz w:val="24"/>
        </w:rPr>
      </w:pPr>
      <w:r>
        <w:rPr>
          <w:rFonts w:hint="eastAsia" w:ascii="仿宋" w:hAnsi="仿宋" w:eastAsia="仿宋"/>
          <w:color w:val="auto"/>
          <w:sz w:val="24"/>
        </w:rPr>
        <w:t>4.3.2 综合评分明细表按须知表中的相关要求进行价格调整，再参与价格分评审。</w:t>
      </w:r>
    </w:p>
    <w:p>
      <w:pPr>
        <w:pStyle w:val="12"/>
        <w:tabs>
          <w:tab w:val="left" w:pos="600"/>
        </w:tabs>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4.3.3综合评分明细表</w:t>
      </w:r>
    </w:p>
    <w:tbl>
      <w:tblPr>
        <w:tblStyle w:val="26"/>
        <w:tblW w:w="8054" w:type="dxa"/>
        <w:jc w:val="center"/>
        <w:tblLayout w:type="fixed"/>
        <w:tblCellMar>
          <w:top w:w="0" w:type="dxa"/>
          <w:left w:w="108" w:type="dxa"/>
          <w:bottom w:w="0" w:type="dxa"/>
          <w:right w:w="108" w:type="dxa"/>
        </w:tblCellMar>
      </w:tblPr>
      <w:tblGrid>
        <w:gridCol w:w="725"/>
        <w:gridCol w:w="1255"/>
        <w:gridCol w:w="709"/>
        <w:gridCol w:w="4344"/>
        <w:gridCol w:w="1021"/>
      </w:tblGrid>
      <w:tr>
        <w:tblPrEx>
          <w:tblCellMar>
            <w:top w:w="0" w:type="dxa"/>
            <w:left w:w="108" w:type="dxa"/>
            <w:bottom w:w="0" w:type="dxa"/>
            <w:right w:w="108" w:type="dxa"/>
          </w:tblCellMar>
        </w:tblPrEx>
        <w:trPr>
          <w:trHeight w:val="285" w:hRule="atLeast"/>
          <w:jc w:val="center"/>
        </w:trPr>
        <w:tc>
          <w:tcPr>
            <w:tcW w:w="72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序号</w:t>
            </w:r>
          </w:p>
        </w:tc>
        <w:tc>
          <w:tcPr>
            <w:tcW w:w="125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评分因素</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分值</w:t>
            </w: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top"/>
              <w:rPr>
                <w:rFonts w:ascii="仿宋" w:hAnsi="仿宋" w:eastAsia="仿宋" w:cs="华文仿宋"/>
                <w:color w:val="auto"/>
              </w:rPr>
            </w:pPr>
            <w:r>
              <w:rPr>
                <w:rFonts w:hint="eastAsia" w:ascii="仿宋" w:hAnsi="仿宋" w:eastAsia="仿宋" w:cs="华文仿宋"/>
                <w:color w:val="auto"/>
                <w:kern w:val="0"/>
              </w:rPr>
              <w:t>评分标准</w:t>
            </w:r>
          </w:p>
        </w:tc>
        <w:tc>
          <w:tcPr>
            <w:tcW w:w="102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top"/>
              <w:rPr>
                <w:rFonts w:ascii="仿宋" w:hAnsi="仿宋" w:eastAsia="仿宋" w:cs="华文仿宋"/>
                <w:color w:val="auto"/>
              </w:rPr>
            </w:pPr>
            <w:r>
              <w:rPr>
                <w:rFonts w:hint="eastAsia" w:ascii="仿宋" w:hAnsi="仿宋" w:eastAsia="仿宋" w:cs="华文仿宋"/>
                <w:color w:val="auto"/>
                <w:kern w:val="0"/>
              </w:rPr>
              <w:t>评审说明</w:t>
            </w:r>
          </w:p>
        </w:tc>
      </w:tr>
      <w:tr>
        <w:tblPrEx>
          <w:tblCellMar>
            <w:top w:w="0" w:type="dxa"/>
            <w:left w:w="108" w:type="dxa"/>
            <w:bottom w:w="0" w:type="dxa"/>
            <w:right w:w="108" w:type="dxa"/>
          </w:tblCellMar>
        </w:tblPrEx>
        <w:trPr>
          <w:trHeight w:val="542" w:hRule="atLeast"/>
          <w:jc w:val="center"/>
        </w:trPr>
        <w:tc>
          <w:tcPr>
            <w:tcW w:w="725" w:type="dxa"/>
            <w:tcBorders>
              <w:top w:val="single" w:color="000000" w:sz="4" w:space="0"/>
              <w:left w:val="single" w:color="000000" w:sz="4" w:space="0"/>
              <w:bottom w:val="nil"/>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1</w:t>
            </w:r>
          </w:p>
        </w:tc>
        <w:tc>
          <w:tcPr>
            <w:tcW w:w="1255" w:type="dxa"/>
            <w:tcBorders>
              <w:top w:val="single" w:color="000000" w:sz="4" w:space="0"/>
              <w:left w:val="single" w:color="000000" w:sz="4" w:space="0"/>
              <w:bottom w:val="nil"/>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报价</w:t>
            </w:r>
          </w:p>
        </w:tc>
        <w:tc>
          <w:tcPr>
            <w:tcW w:w="709" w:type="dxa"/>
            <w:tcBorders>
              <w:top w:val="single" w:color="000000" w:sz="4" w:space="0"/>
              <w:left w:val="single" w:color="000000" w:sz="4" w:space="0"/>
              <w:bottom w:val="nil"/>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10分</w:t>
            </w: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1、投标人的有效最低报价作为评标基准价；投标报价得分=（评标基准价/投标报价）*10。</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2、投标人如为小型和微型企业、监狱企业、残疾人福利性单位，则给予其投标报价10%的价格扣除，用扣除后的价格参与评审；[说明：投标人为监狱企业的，提供由省级以上监狱管理局、戒毒管理局（含新疆生产建设兵团）出具的投标人属于监狱企业的证明文件复印件。小微企业提供声明函，残疾人福利性单位提供声明函]。</w:t>
            </w:r>
          </w:p>
        </w:tc>
        <w:tc>
          <w:tcPr>
            <w:tcW w:w="102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rPr>
            </w:pPr>
            <w:r>
              <w:rPr>
                <w:rStyle w:val="32"/>
                <w:rFonts w:hint="eastAsia" w:ascii="仿宋" w:hAnsi="仿宋" w:eastAsia="仿宋" w:cs="华文仿宋"/>
                <w:color w:val="auto"/>
                <w:kern w:val="0"/>
                <w:szCs w:val="24"/>
              </w:rPr>
              <w:t>共同性评分因素</w:t>
            </w:r>
          </w:p>
        </w:tc>
      </w:tr>
      <w:tr>
        <w:tblPrEx>
          <w:tblCellMar>
            <w:top w:w="0" w:type="dxa"/>
            <w:left w:w="108" w:type="dxa"/>
            <w:bottom w:w="0" w:type="dxa"/>
            <w:right w:w="108" w:type="dxa"/>
          </w:tblCellMar>
        </w:tblPrEx>
        <w:trPr>
          <w:trHeight w:val="90" w:hRule="atLeast"/>
          <w:jc w:val="center"/>
        </w:trPr>
        <w:tc>
          <w:tcPr>
            <w:tcW w:w="725" w:type="dxa"/>
            <w:vMerge w:val="restart"/>
            <w:tcBorders>
              <w:top w:val="single" w:color="000000" w:sz="4" w:space="0"/>
              <w:left w:val="single" w:color="000000" w:sz="4" w:space="0"/>
              <w:bottom w:val="single" w:color="000000" w:sz="4" w:space="0"/>
              <w:right w:val="single" w:color="auto"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2</w:t>
            </w:r>
          </w:p>
        </w:tc>
        <w:tc>
          <w:tcPr>
            <w:tcW w:w="1255"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kern w:val="0"/>
              </w:rPr>
            </w:pPr>
            <w:r>
              <w:rPr>
                <w:rFonts w:hint="eastAsia" w:ascii="仿宋" w:hAnsi="仿宋" w:eastAsia="仿宋" w:cs="华文仿宋"/>
                <w:color w:val="auto"/>
                <w:kern w:val="0"/>
              </w:rPr>
              <w:t>整体设计</w:t>
            </w:r>
          </w:p>
        </w:tc>
        <w:tc>
          <w:tcPr>
            <w:tcW w:w="709" w:type="dxa"/>
            <w:vMerge w:val="restart"/>
            <w:tcBorders>
              <w:top w:val="single" w:color="000000" w:sz="4" w:space="0"/>
              <w:left w:val="single" w:color="auto"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ascii="仿宋" w:hAnsi="仿宋" w:eastAsia="仿宋" w:cs="华文仿宋"/>
                <w:color w:val="auto"/>
                <w:kern w:val="0"/>
              </w:rPr>
              <w:t>9</w:t>
            </w:r>
            <w:r>
              <w:rPr>
                <w:rFonts w:hint="eastAsia" w:ascii="仿宋" w:hAnsi="仿宋" w:eastAsia="仿宋" w:cs="华文仿宋"/>
                <w:color w:val="auto"/>
                <w:kern w:val="0"/>
                <w:lang w:val="en-US" w:eastAsia="zh-CN"/>
              </w:rPr>
              <w:t>.2</w:t>
            </w:r>
            <w:r>
              <w:rPr>
                <w:rFonts w:hint="eastAsia" w:ascii="仿宋" w:hAnsi="仿宋" w:eastAsia="仿宋" w:cs="华文仿宋"/>
                <w:color w:val="auto"/>
                <w:kern w:val="0"/>
              </w:rPr>
              <w:t>分</w:t>
            </w: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1、项目理解程度符合采购人项目建设需求，了解成华区“数字孪生社区”试点项目（杉板桥社区）建设背景及现状包括：①杉板桥社区情况②成华区大数据机房情况③网络情况④成华区智慧治理中心已建将与本项目集成的系统情况⑤项目背景。</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①杉板桥社区现状：根据采购需求内容及实际情况详细阐述杉板桥社区基本情况、社区内物业系统建设情况、党群服务中心现状，并提供佐证材料，如相关系统页面截图等；</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②成华区大数据机房：云计算中心资源总体情况及分析，包括网络拓朴、总体架构、总体计算资源、总体存储资源等，以及本项目需要云计算中心提供的资源规划；</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③网络情况：网络总体情况与分析，包括：网络拓朴架构、安全保障情况；</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④成华区智慧治理中心已建将与本项目集成的系统情况：提供统简介、运行情况分析、集成建议，以及系统界面截图；</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⑤项目背景：提供项目有关制度文件要求，包括国家级、省级、市级、区级有关文件要求。</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方案完全满足上述要求且阐述清楚的得5分，每缺少一项内容或内容存在缺陷漏洞的扣1分，扣完为止。</w:t>
            </w:r>
          </w:p>
        </w:tc>
        <w:tc>
          <w:tcPr>
            <w:tcW w:w="1021"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rPr>
            </w:pPr>
            <w:r>
              <w:rPr>
                <w:rFonts w:hint="eastAsia" w:ascii="仿宋" w:hAnsi="仿宋" w:eastAsia="仿宋"/>
                <w:color w:val="auto"/>
              </w:rPr>
              <w:t>技术性评分因素</w:t>
            </w:r>
          </w:p>
        </w:tc>
      </w:tr>
      <w:tr>
        <w:tblPrEx>
          <w:tblCellMar>
            <w:top w:w="0" w:type="dxa"/>
            <w:left w:w="108" w:type="dxa"/>
            <w:bottom w:w="0" w:type="dxa"/>
            <w:right w:w="108" w:type="dxa"/>
          </w:tblCellMar>
        </w:tblPrEx>
        <w:trPr>
          <w:trHeight w:val="90" w:hRule="atLeast"/>
          <w:jc w:val="center"/>
        </w:trPr>
        <w:tc>
          <w:tcPr>
            <w:tcW w:w="725" w:type="dxa"/>
            <w:vMerge w:val="continue"/>
            <w:tcBorders>
              <w:top w:val="single" w:color="000000" w:sz="4" w:space="0"/>
              <w:left w:val="single" w:color="000000" w:sz="4" w:space="0"/>
              <w:bottom w:val="single" w:color="000000" w:sz="4" w:space="0"/>
              <w:right w:val="single" w:color="auto"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60" w:lineRule="auto"/>
              <w:jc w:val="center"/>
              <w:rPr>
                <w:rFonts w:ascii="仿宋" w:hAnsi="仿宋" w:eastAsia="仿宋" w:cs="华文仿宋"/>
                <w:color w:val="auto"/>
                <w:kern w:val="0"/>
              </w:rPr>
            </w:pPr>
          </w:p>
        </w:tc>
        <w:tc>
          <w:tcPr>
            <w:tcW w:w="709" w:type="dxa"/>
            <w:vMerge w:val="continue"/>
            <w:tcBorders>
              <w:top w:val="single" w:color="000000" w:sz="4" w:space="0"/>
              <w:left w:val="single" w:color="auto"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2、项目需求理解分析到位，包括①运行保障机制②综合业务管理③综合指挥调度④分析展示⑤移动应用五项。</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①运行保障机制：提供系统运行保障有关制度及其运行保障情况的分析，提供运行保障建议；</w:t>
            </w:r>
          </w:p>
          <w:p>
            <w:pPr>
              <w:pStyle w:val="2"/>
              <w:spacing w:after="0" w:line="260" w:lineRule="auto"/>
              <w:ind w:firstLine="420" w:firstLineChars="200"/>
              <w:jc w:val="left"/>
              <w:rPr>
                <w:rFonts w:ascii="仿宋" w:hAnsi="仿宋" w:eastAsia="仿宋" w:cs="华文仿宋"/>
                <w:color w:val="auto"/>
                <w:kern w:val="0"/>
              </w:rPr>
            </w:pPr>
            <w:r>
              <w:rPr>
                <w:rFonts w:hint="eastAsia" w:ascii="仿宋" w:hAnsi="仿宋" w:eastAsia="仿宋" w:cs="华文仿宋"/>
                <w:color w:val="auto"/>
                <w:kern w:val="0"/>
              </w:rPr>
              <w:t>②综合业务管理：提供综合业务管理设计思路，包括存在问题的详细分析及解决办法、涉及的主要功能概要设计、应用场景分析、应用效果分析；</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③综合指挥调度：提供综合指挥调度设计思路，包括存在问题的详细分析及解决办法、涉及的主要功能概要设计、应用场景分析、应用效果分析；</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④分析展示：提供与本系统建设要求有关的可视化展示设计思路，涉及的主要功能概要设计；</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⑤移动应用：提供移动应用设计思路，包括对存在问题的详细分析及解决办法、涉及的主要功能概要设计、应用场景分析、应用效果分析。</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方案完全满足上述要求且阐述清楚的得</w:t>
            </w:r>
            <w:r>
              <w:rPr>
                <w:rFonts w:ascii="仿宋" w:hAnsi="仿宋" w:eastAsia="仿宋" w:cs="华文仿宋"/>
                <w:color w:val="auto"/>
                <w:kern w:val="0"/>
              </w:rPr>
              <w:t>3</w:t>
            </w:r>
            <w:r>
              <w:rPr>
                <w:rFonts w:hint="eastAsia" w:ascii="仿宋" w:hAnsi="仿宋" w:eastAsia="仿宋" w:cs="华文仿宋"/>
                <w:color w:val="auto"/>
                <w:kern w:val="0"/>
              </w:rPr>
              <w:t>分，每缺少一项内容或内容存在缺陷或漏洞的扣0.</w:t>
            </w:r>
            <w:r>
              <w:rPr>
                <w:rFonts w:ascii="仿宋" w:hAnsi="仿宋" w:eastAsia="仿宋" w:cs="华文仿宋"/>
                <w:color w:val="auto"/>
                <w:kern w:val="0"/>
              </w:rPr>
              <w:t>6</w:t>
            </w:r>
            <w:r>
              <w:rPr>
                <w:rFonts w:hint="eastAsia" w:ascii="仿宋" w:hAnsi="仿宋" w:eastAsia="仿宋" w:cs="华文仿宋"/>
                <w:color w:val="auto"/>
                <w:kern w:val="0"/>
              </w:rPr>
              <w:t>分，扣完为止。</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945" w:hRule="atLeast"/>
          <w:jc w:val="center"/>
        </w:trPr>
        <w:tc>
          <w:tcPr>
            <w:tcW w:w="725" w:type="dxa"/>
            <w:vMerge w:val="continue"/>
            <w:tcBorders>
              <w:top w:val="single" w:color="000000" w:sz="4" w:space="0"/>
              <w:left w:val="single" w:color="000000" w:sz="4" w:space="0"/>
              <w:bottom w:val="single" w:color="000000" w:sz="4" w:space="0"/>
              <w:right w:val="single" w:color="auto"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60" w:lineRule="auto"/>
              <w:jc w:val="center"/>
              <w:rPr>
                <w:rFonts w:ascii="仿宋" w:hAnsi="仿宋" w:eastAsia="仿宋" w:cs="华文仿宋"/>
                <w:color w:val="auto"/>
                <w:kern w:val="0"/>
              </w:rPr>
            </w:pPr>
          </w:p>
        </w:tc>
        <w:tc>
          <w:tcPr>
            <w:tcW w:w="709" w:type="dxa"/>
            <w:vMerge w:val="continue"/>
            <w:tcBorders>
              <w:top w:val="single" w:color="000000" w:sz="4" w:space="0"/>
              <w:left w:val="single" w:color="auto"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3、系统总体架构设计满足要求，①有架构设计图、②有系统业务流程图，并详细准确描述了③交互层、④应用层、⑤通用支撑层⑥数据层四层结构。以上六项均满足且阐述清楚的得</w:t>
            </w:r>
            <w:r>
              <w:rPr>
                <w:rFonts w:ascii="仿宋" w:hAnsi="仿宋" w:eastAsia="仿宋" w:cs="华文仿宋"/>
                <w:color w:val="auto"/>
                <w:kern w:val="0"/>
              </w:rPr>
              <w:t>1</w:t>
            </w:r>
            <w:r>
              <w:rPr>
                <w:rFonts w:hint="eastAsia" w:ascii="仿宋" w:hAnsi="仿宋" w:eastAsia="仿宋" w:cs="华文仿宋"/>
                <w:color w:val="auto"/>
                <w:kern w:val="0"/>
                <w:lang w:val="en-US" w:eastAsia="zh-CN"/>
              </w:rPr>
              <w:t>.2</w:t>
            </w:r>
            <w:r>
              <w:rPr>
                <w:rFonts w:hint="eastAsia" w:ascii="仿宋" w:hAnsi="仿宋" w:eastAsia="仿宋" w:cs="华文仿宋"/>
                <w:color w:val="auto"/>
                <w:kern w:val="0"/>
              </w:rPr>
              <w:t>分。每缺少一项内容或内容存在缺陷或漏洞的扣0.</w:t>
            </w:r>
            <w:r>
              <w:rPr>
                <w:rFonts w:ascii="仿宋" w:hAnsi="仿宋" w:eastAsia="仿宋" w:cs="华文仿宋"/>
                <w:color w:val="auto"/>
                <w:kern w:val="0"/>
              </w:rPr>
              <w:t>2</w:t>
            </w:r>
            <w:r>
              <w:rPr>
                <w:rFonts w:hint="eastAsia" w:ascii="仿宋" w:hAnsi="仿宋" w:eastAsia="仿宋" w:cs="华文仿宋"/>
                <w:color w:val="auto"/>
                <w:kern w:val="0"/>
              </w:rPr>
              <w:t>分，扣完为止。</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870" w:hRule="atLeast"/>
          <w:jc w:val="center"/>
        </w:trPr>
        <w:tc>
          <w:tcPr>
            <w:tcW w:w="725" w:type="dxa"/>
            <w:tcBorders>
              <w:top w:val="single" w:color="000000" w:sz="4" w:space="0"/>
              <w:left w:val="single" w:color="000000" w:sz="4" w:space="0"/>
              <w:bottom w:val="single" w:color="000000" w:sz="4" w:space="0"/>
              <w:right w:val="single" w:color="auto"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3</w:t>
            </w:r>
          </w:p>
        </w:tc>
        <w:tc>
          <w:tcPr>
            <w:tcW w:w="125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rPr>
            </w:pPr>
            <w:r>
              <w:rPr>
                <w:rFonts w:hint="eastAsia" w:ascii="仿宋" w:hAnsi="仿宋" w:eastAsia="仿宋" w:cs="华文仿宋"/>
                <w:color w:val="auto"/>
              </w:rPr>
              <w:t>技术方案</w:t>
            </w:r>
          </w:p>
        </w:tc>
        <w:tc>
          <w:tcPr>
            <w:tcW w:w="709" w:type="dxa"/>
            <w:tcBorders>
              <w:top w:val="single" w:color="000000" w:sz="4" w:space="0"/>
              <w:left w:val="single" w:color="auto"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1</w:t>
            </w:r>
            <w:r>
              <w:rPr>
                <w:rFonts w:ascii="仿宋" w:hAnsi="仿宋" w:eastAsia="仿宋" w:cs="华文仿宋"/>
                <w:color w:val="auto"/>
                <w:kern w:val="0"/>
              </w:rPr>
              <w:t>0</w:t>
            </w:r>
            <w:r>
              <w:rPr>
                <w:rFonts w:hint="eastAsia" w:ascii="仿宋" w:hAnsi="仿宋" w:eastAsia="仿宋" w:cs="华文仿宋"/>
                <w:color w:val="auto"/>
                <w:kern w:val="0"/>
              </w:rPr>
              <w:t>分</w:t>
            </w: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投标方案的技术方案中包括①CIM基础平台②系统功能③系统集成④系统安全⑤系统实施等方面的详细方案与需求的吻合程度，包括：</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①CIM基础平台：提供CIM基础平台详细的各类服务能力描述；</w:t>
            </w:r>
          </w:p>
          <w:p>
            <w:pPr>
              <w:widowControl/>
              <w:spacing w:after="0" w:line="260" w:lineRule="auto"/>
              <w:ind w:firstLine="420" w:firstLineChars="200"/>
              <w:jc w:val="left"/>
              <w:textAlignment w:val="top"/>
              <w:rPr>
                <w:rFonts w:ascii="仿宋" w:hAnsi="仿宋" w:eastAsia="仿宋" w:cs="华文仿宋"/>
                <w:color w:val="auto"/>
                <w:kern w:val="0"/>
              </w:rPr>
            </w:pPr>
            <w:r>
              <w:rPr>
                <w:rFonts w:ascii="仿宋" w:hAnsi="仿宋" w:eastAsia="仿宋" w:cs="华文仿宋"/>
                <w:color w:val="auto"/>
                <w:kern w:val="0"/>
              </w:rPr>
              <w:fldChar w:fldCharType="begin"/>
            </w:r>
            <w:r>
              <w:rPr>
                <w:rFonts w:ascii="仿宋" w:hAnsi="仿宋" w:eastAsia="仿宋" w:cs="华文仿宋"/>
                <w:color w:val="auto"/>
                <w:kern w:val="0"/>
              </w:rPr>
              <w:instrText xml:space="preserve"> </w:instrText>
            </w:r>
            <w:r>
              <w:rPr>
                <w:rFonts w:hint="eastAsia" w:ascii="仿宋" w:hAnsi="仿宋" w:eastAsia="仿宋" w:cs="华文仿宋"/>
                <w:color w:val="auto"/>
                <w:kern w:val="0"/>
              </w:rPr>
              <w:instrText xml:space="preserve">= 2 \* GB3</w:instrText>
            </w:r>
            <w:r>
              <w:rPr>
                <w:rFonts w:ascii="仿宋" w:hAnsi="仿宋" w:eastAsia="仿宋" w:cs="华文仿宋"/>
                <w:color w:val="auto"/>
                <w:kern w:val="0"/>
              </w:rPr>
              <w:instrText xml:space="preserve"> </w:instrText>
            </w:r>
            <w:r>
              <w:rPr>
                <w:rFonts w:ascii="仿宋" w:hAnsi="仿宋" w:eastAsia="仿宋" w:cs="华文仿宋"/>
                <w:color w:val="auto"/>
                <w:kern w:val="0"/>
              </w:rPr>
              <w:fldChar w:fldCharType="separate"/>
            </w:r>
            <w:r>
              <w:rPr>
                <w:rFonts w:hint="eastAsia" w:ascii="仿宋" w:hAnsi="仿宋" w:eastAsia="仿宋" w:cs="华文仿宋"/>
                <w:color w:val="auto"/>
                <w:kern w:val="0"/>
              </w:rPr>
              <w:t>②</w:t>
            </w:r>
            <w:r>
              <w:rPr>
                <w:rFonts w:ascii="仿宋" w:hAnsi="仿宋" w:eastAsia="仿宋" w:cs="华文仿宋"/>
                <w:color w:val="auto"/>
                <w:kern w:val="0"/>
              </w:rPr>
              <w:fldChar w:fldCharType="end"/>
            </w:r>
            <w:r>
              <w:rPr>
                <w:rFonts w:hint="eastAsia" w:ascii="仿宋" w:hAnsi="仿宋" w:eastAsia="仿宋" w:cs="华文仿宋"/>
                <w:color w:val="auto"/>
                <w:kern w:val="0"/>
              </w:rPr>
              <w:t>系统功能：与本项目建设要求有关功能的详细设计，包括：功能描述、用户角色、业务流程、功能界面设计、数据库设计；</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③系统集成：提供系统内外部集成设计方案，包括与本项目有关的三方系统的数据集成、应用集成、界面集成设计；系统内部子系统间的数据集成设计；</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④系统安全：提供本项目详细系统安全设计方案，包括：系统安全保障机制、系统安全详细设计等；</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⑤系统实施：提供本项目详细实施方案，包括：详细进度计划、具体人员配置计划、系统部署等方案；</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方案完全满足上述要求且阐述清楚的得10分，每缺少一项内容扣2分，每有一项内容存在缺陷或漏洞的扣1分，扣完为止。</w:t>
            </w:r>
          </w:p>
        </w:tc>
        <w:tc>
          <w:tcPr>
            <w:tcW w:w="102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rPr>
            </w:pPr>
            <w:r>
              <w:rPr>
                <w:rFonts w:hint="eastAsia" w:ascii="仿宋" w:hAnsi="仿宋" w:eastAsia="仿宋"/>
                <w:color w:val="auto"/>
              </w:rPr>
              <w:t>技术性评分因素</w:t>
            </w:r>
          </w:p>
        </w:tc>
      </w:tr>
      <w:tr>
        <w:tblPrEx>
          <w:tblCellMar>
            <w:top w:w="0" w:type="dxa"/>
            <w:left w:w="108" w:type="dxa"/>
            <w:bottom w:w="0" w:type="dxa"/>
            <w:right w:w="108" w:type="dxa"/>
          </w:tblCellMar>
        </w:tblPrEx>
        <w:trPr>
          <w:trHeight w:val="1011" w:hRule="atLeast"/>
          <w:jc w:val="center"/>
        </w:trPr>
        <w:tc>
          <w:tcPr>
            <w:tcW w:w="725" w:type="dxa"/>
            <w:tcBorders>
              <w:top w:val="single" w:color="000000" w:sz="4" w:space="0"/>
              <w:left w:val="single" w:color="000000" w:sz="4" w:space="0"/>
              <w:bottom w:val="nil"/>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kern w:val="0"/>
              </w:rPr>
            </w:pPr>
            <w:r>
              <w:rPr>
                <w:rFonts w:hint="eastAsia" w:ascii="仿宋" w:hAnsi="仿宋" w:eastAsia="仿宋" w:cs="华文仿宋"/>
                <w:color w:val="auto"/>
                <w:kern w:val="0"/>
              </w:rPr>
              <w:t>4</w:t>
            </w:r>
          </w:p>
        </w:tc>
        <w:tc>
          <w:tcPr>
            <w:tcW w:w="1255" w:type="dxa"/>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kern w:val="0"/>
              </w:rPr>
            </w:pPr>
            <w:r>
              <w:rPr>
                <w:rFonts w:hint="eastAsia" w:ascii="仿宋" w:hAnsi="仿宋" w:eastAsia="仿宋" w:cs="华文仿宋"/>
                <w:color w:val="auto"/>
                <w:kern w:val="0"/>
              </w:rPr>
              <w:t>关键性技术要求</w:t>
            </w:r>
          </w:p>
        </w:tc>
        <w:tc>
          <w:tcPr>
            <w:tcW w:w="709" w:type="dxa"/>
            <w:tcBorders>
              <w:top w:val="single" w:color="000000" w:sz="4" w:space="0"/>
              <w:left w:val="single" w:color="000000" w:sz="4" w:space="0"/>
              <w:bottom w:val="nil"/>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kern w:val="0"/>
              </w:rPr>
            </w:pPr>
            <w:r>
              <w:rPr>
                <w:rFonts w:ascii="仿宋" w:hAnsi="仿宋" w:eastAsia="仿宋" w:cs="华文仿宋"/>
                <w:color w:val="auto"/>
                <w:kern w:val="0"/>
              </w:rPr>
              <w:t>1</w:t>
            </w:r>
            <w:r>
              <w:rPr>
                <w:rFonts w:hint="eastAsia" w:ascii="仿宋" w:hAnsi="仿宋" w:eastAsia="仿宋" w:cs="华文仿宋"/>
                <w:color w:val="auto"/>
                <w:kern w:val="0"/>
              </w:rPr>
              <w:t>8分</w:t>
            </w: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s="华文仿宋"/>
                <w:color w:val="auto"/>
              </w:rPr>
            </w:pPr>
            <w:r>
              <w:rPr>
                <w:rFonts w:hint="eastAsia" w:ascii="仿宋" w:hAnsi="仿宋" w:eastAsia="仿宋" w:cs="华文仿宋"/>
                <w:color w:val="auto"/>
                <w:kern w:val="0"/>
              </w:rPr>
              <w:t>投标方案满足招标文件“第六章  招标项目技术、服务、政府采购合同内容条款及其他商务要求”中“六、技术要求”中带“▲”的关键技术要求项，并按要求提供相关材料的，每条得</w:t>
            </w:r>
            <w:r>
              <w:rPr>
                <w:rFonts w:ascii="仿宋" w:hAnsi="仿宋" w:eastAsia="仿宋" w:cs="华文仿宋"/>
                <w:color w:val="auto"/>
                <w:kern w:val="0"/>
              </w:rPr>
              <w:t>1</w:t>
            </w:r>
            <w:r>
              <w:rPr>
                <w:rFonts w:hint="eastAsia" w:ascii="仿宋" w:hAnsi="仿宋" w:eastAsia="仿宋" w:cs="华文仿宋"/>
                <w:color w:val="auto"/>
                <w:kern w:val="0"/>
              </w:rPr>
              <w:t>分，共</w:t>
            </w:r>
            <w:r>
              <w:rPr>
                <w:rFonts w:ascii="仿宋" w:hAnsi="仿宋" w:eastAsia="仿宋" w:cs="华文仿宋"/>
                <w:color w:val="auto"/>
                <w:kern w:val="0"/>
              </w:rPr>
              <w:t>1</w:t>
            </w:r>
            <w:r>
              <w:rPr>
                <w:rFonts w:hint="eastAsia" w:ascii="仿宋" w:hAnsi="仿宋" w:eastAsia="仿宋" w:cs="华文仿宋"/>
                <w:color w:val="auto"/>
                <w:kern w:val="0"/>
              </w:rPr>
              <w:t>8分。不满足不得分。</w:t>
            </w:r>
          </w:p>
        </w:tc>
        <w:tc>
          <w:tcPr>
            <w:tcW w:w="1021" w:type="dxa"/>
            <w:tcBorders>
              <w:top w:val="single" w:color="000000" w:sz="4" w:space="0"/>
              <w:left w:val="single" w:color="000000" w:sz="4" w:space="0"/>
              <w:bottom w:val="nil"/>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rPr>
            </w:pPr>
            <w:r>
              <w:rPr>
                <w:rFonts w:hint="eastAsia" w:ascii="仿宋" w:hAnsi="仿宋" w:eastAsia="仿宋" w:cs="华文仿宋"/>
                <w:color w:val="auto"/>
                <w:kern w:val="0"/>
              </w:rPr>
              <w:t>技术性评分因素</w:t>
            </w:r>
          </w:p>
        </w:tc>
      </w:tr>
      <w:tr>
        <w:tblPrEx>
          <w:tblCellMar>
            <w:top w:w="0" w:type="dxa"/>
            <w:left w:w="108" w:type="dxa"/>
            <w:bottom w:w="0" w:type="dxa"/>
            <w:right w:w="108" w:type="dxa"/>
          </w:tblCellMar>
        </w:tblPrEx>
        <w:trPr>
          <w:trHeight w:val="624" w:hRule="atLeast"/>
          <w:jc w:val="center"/>
        </w:trPr>
        <w:tc>
          <w:tcPr>
            <w:tcW w:w="725" w:type="dxa"/>
            <w:vMerge w:val="restart"/>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5</w:t>
            </w:r>
          </w:p>
        </w:tc>
        <w:tc>
          <w:tcPr>
            <w:tcW w:w="1255" w:type="dxa"/>
            <w:vMerge w:val="restart"/>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数字孪生三维场景制作</w:t>
            </w:r>
          </w:p>
        </w:tc>
        <w:tc>
          <w:tcPr>
            <w:tcW w:w="709" w:type="dxa"/>
            <w:vMerge w:val="restart"/>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ascii="仿宋" w:hAnsi="仿宋" w:eastAsia="仿宋" w:cs="华文仿宋"/>
                <w:color w:val="auto"/>
                <w:kern w:val="0"/>
              </w:rPr>
              <w:t>2</w:t>
            </w:r>
            <w:r>
              <w:rPr>
                <w:rFonts w:hint="eastAsia" w:ascii="仿宋" w:hAnsi="仿宋" w:eastAsia="仿宋" w:cs="华文仿宋"/>
                <w:color w:val="auto"/>
                <w:kern w:val="0"/>
              </w:rPr>
              <w:t>分</w:t>
            </w:r>
          </w:p>
        </w:tc>
        <w:tc>
          <w:tcPr>
            <w:tcW w:w="4344" w:type="dxa"/>
            <w:vMerge w:val="restart"/>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pStyle w:val="2"/>
              <w:spacing w:after="0" w:line="260" w:lineRule="auto"/>
              <w:ind w:firstLine="420" w:firstLineChars="200"/>
              <w:jc w:val="left"/>
              <w:rPr>
                <w:rFonts w:ascii="仿宋" w:hAnsi="仿宋" w:eastAsia="仿宋" w:cs="华文仿宋"/>
                <w:color w:val="auto"/>
                <w:kern w:val="0"/>
              </w:rPr>
            </w:pPr>
            <w:r>
              <w:rPr>
                <w:rFonts w:hint="eastAsia" w:ascii="仿宋" w:hAnsi="仿宋" w:eastAsia="仿宋" w:cs="华文仿宋"/>
                <w:color w:val="auto"/>
                <w:kern w:val="0"/>
              </w:rPr>
              <w:t>按照“第六章 招标项目技术、服务、政府采购合同内容条款及其他商务要求”“八、其他要求”中“1、数字孪生三维场景制作”要求，投标人提供数字孪生三维场景制作方案，包括：①</w:t>
            </w:r>
            <w:bookmarkStart w:id="255" w:name="_Hlk73098884"/>
            <w:r>
              <w:rPr>
                <w:rFonts w:hint="eastAsia" w:ascii="仿宋" w:hAnsi="仿宋" w:eastAsia="仿宋" w:cs="华文仿宋"/>
                <w:color w:val="auto"/>
                <w:kern w:val="0"/>
              </w:rPr>
              <w:t>详细描述三维模型基本做法、流程及要求，</w:t>
            </w:r>
            <w:r>
              <w:rPr>
                <w:rFonts w:ascii="仿宋" w:hAnsi="仿宋" w:eastAsia="仿宋" w:cs="华文仿宋"/>
                <w:color w:val="auto"/>
                <w:kern w:val="0"/>
              </w:rPr>
              <w:t>1</w:t>
            </w:r>
            <w:r>
              <w:rPr>
                <w:rFonts w:hint="eastAsia" w:ascii="仿宋" w:hAnsi="仿宋" w:eastAsia="仿宋" w:cs="华文仿宋"/>
                <w:color w:val="auto"/>
                <w:kern w:val="0"/>
              </w:rPr>
              <w:t>分。不满足或阐述不清楚的不得分。②场景模型制作不同精度效果图</w:t>
            </w:r>
            <w:bookmarkEnd w:id="255"/>
            <w:r>
              <w:rPr>
                <w:rFonts w:hint="eastAsia" w:ascii="仿宋" w:hAnsi="仿宋" w:eastAsia="仿宋" w:cs="华文仿宋"/>
                <w:color w:val="auto"/>
                <w:kern w:val="0"/>
              </w:rPr>
              <w:t>，</w:t>
            </w:r>
            <w:r>
              <w:rPr>
                <w:rFonts w:ascii="仿宋" w:hAnsi="仿宋" w:eastAsia="仿宋" w:cs="华文仿宋"/>
                <w:color w:val="auto"/>
                <w:kern w:val="0"/>
              </w:rPr>
              <w:t>1</w:t>
            </w:r>
            <w:r>
              <w:rPr>
                <w:rFonts w:hint="eastAsia" w:ascii="仿宋" w:hAnsi="仿宋" w:eastAsia="仿宋" w:cs="华文仿宋"/>
                <w:color w:val="auto"/>
                <w:kern w:val="0"/>
              </w:rPr>
              <w:t>分，不满足或阐述不清楚的不得分。</w:t>
            </w:r>
          </w:p>
        </w:tc>
        <w:tc>
          <w:tcPr>
            <w:tcW w:w="1021" w:type="dxa"/>
            <w:vMerge w:val="restart"/>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kern w:val="0"/>
              </w:rPr>
            </w:pPr>
            <w:r>
              <w:rPr>
                <w:rFonts w:hint="eastAsia" w:ascii="仿宋" w:hAnsi="仿宋" w:eastAsia="仿宋" w:cs="华文仿宋"/>
                <w:color w:val="auto"/>
                <w:kern w:val="0"/>
              </w:rPr>
              <w:t>技术性评分因素</w:t>
            </w:r>
          </w:p>
        </w:tc>
      </w:tr>
      <w:tr>
        <w:tblPrEx>
          <w:tblCellMar>
            <w:top w:w="0" w:type="dxa"/>
            <w:left w:w="108" w:type="dxa"/>
            <w:bottom w:w="0" w:type="dxa"/>
            <w:right w:w="108" w:type="dxa"/>
          </w:tblCellMar>
        </w:tblPrEx>
        <w:trPr>
          <w:trHeight w:val="624" w:hRule="atLeast"/>
          <w:jc w:val="center"/>
        </w:trPr>
        <w:tc>
          <w:tcPr>
            <w:tcW w:w="725" w:type="dxa"/>
            <w:vMerge w:val="continue"/>
            <w:tcBorders>
              <w:top w:val="single" w:color="000000" w:sz="4" w:space="0"/>
              <w:left w:val="single" w:color="000000" w:sz="4" w:space="0"/>
              <w:bottom w:val="single" w:color="auto"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auto" w:sz="4" w:space="0"/>
              <w:left w:val="single" w:color="000000" w:sz="4" w:space="0"/>
              <w:bottom w:val="single" w:color="auto"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auto"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vMerge w:val="continue"/>
            <w:tcBorders>
              <w:top w:val="single" w:color="000000" w:sz="4" w:space="0"/>
              <w:left w:val="single" w:color="000000" w:sz="4" w:space="0"/>
              <w:bottom w:val="single" w:color="auto" w:sz="4" w:space="0"/>
              <w:right w:val="single" w:color="000000" w:sz="4" w:space="0"/>
            </w:tcBorders>
            <w:vAlign w:val="center"/>
          </w:tcPr>
          <w:p>
            <w:pPr>
              <w:widowControl/>
              <w:spacing w:after="0" w:line="260" w:lineRule="auto"/>
              <w:ind w:firstLine="420" w:firstLineChars="200"/>
              <w:jc w:val="left"/>
              <w:rPr>
                <w:rFonts w:ascii="仿宋" w:hAnsi="仿宋" w:eastAsia="仿宋" w:cs="华文仿宋"/>
                <w:color w:val="auto"/>
                <w:kern w:val="0"/>
              </w:rPr>
            </w:pPr>
          </w:p>
        </w:tc>
        <w:tc>
          <w:tcPr>
            <w:tcW w:w="1021" w:type="dxa"/>
            <w:vMerge w:val="continue"/>
            <w:tcBorders>
              <w:top w:val="single" w:color="000000" w:sz="4" w:space="0"/>
              <w:left w:val="single" w:color="000000" w:sz="4" w:space="0"/>
              <w:bottom w:val="single" w:color="auto" w:sz="4" w:space="0"/>
              <w:right w:val="single" w:color="000000" w:sz="4" w:space="0"/>
            </w:tcBorders>
            <w:vAlign w:val="center"/>
          </w:tcPr>
          <w:p>
            <w:pPr>
              <w:widowControl/>
              <w:spacing w:after="0" w:line="260" w:lineRule="auto"/>
              <w:jc w:val="center"/>
              <w:rPr>
                <w:rFonts w:ascii="仿宋" w:hAnsi="仿宋" w:eastAsia="仿宋" w:cs="华文仿宋"/>
                <w:color w:val="auto"/>
                <w:kern w:val="0"/>
              </w:rPr>
            </w:pPr>
          </w:p>
        </w:tc>
      </w:tr>
      <w:tr>
        <w:tblPrEx>
          <w:tblCellMar>
            <w:top w:w="0" w:type="dxa"/>
            <w:left w:w="108" w:type="dxa"/>
            <w:bottom w:w="0" w:type="dxa"/>
            <w:right w:w="108" w:type="dxa"/>
          </w:tblCellMar>
        </w:tblPrEx>
        <w:trPr>
          <w:trHeight w:val="624" w:hRule="atLeast"/>
          <w:jc w:val="center"/>
        </w:trPr>
        <w:tc>
          <w:tcPr>
            <w:tcW w:w="725" w:type="dxa"/>
            <w:vMerge w:val="continue"/>
            <w:tcBorders>
              <w:top w:val="single" w:color="000000" w:sz="4" w:space="0"/>
              <w:left w:val="single" w:color="000000" w:sz="4" w:space="0"/>
              <w:bottom w:val="single" w:color="auto"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auto" w:sz="4" w:space="0"/>
              <w:left w:val="single" w:color="000000" w:sz="4" w:space="0"/>
              <w:bottom w:val="single" w:color="auto"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auto"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vMerge w:val="continue"/>
            <w:tcBorders>
              <w:top w:val="single" w:color="000000" w:sz="4" w:space="0"/>
              <w:left w:val="single" w:color="000000" w:sz="4" w:space="0"/>
              <w:bottom w:val="single" w:color="auto" w:sz="4" w:space="0"/>
              <w:right w:val="single" w:color="000000" w:sz="4" w:space="0"/>
            </w:tcBorders>
            <w:vAlign w:val="center"/>
          </w:tcPr>
          <w:p>
            <w:pPr>
              <w:widowControl/>
              <w:spacing w:after="0" w:line="260" w:lineRule="auto"/>
              <w:ind w:firstLine="420" w:firstLineChars="200"/>
              <w:jc w:val="left"/>
              <w:rPr>
                <w:rFonts w:ascii="仿宋" w:hAnsi="仿宋" w:eastAsia="仿宋" w:cs="华文仿宋"/>
                <w:color w:val="auto"/>
                <w:kern w:val="0"/>
              </w:rPr>
            </w:pPr>
          </w:p>
        </w:tc>
        <w:tc>
          <w:tcPr>
            <w:tcW w:w="1021" w:type="dxa"/>
            <w:vMerge w:val="continue"/>
            <w:tcBorders>
              <w:top w:val="single" w:color="000000" w:sz="4" w:space="0"/>
              <w:left w:val="single" w:color="000000" w:sz="4" w:space="0"/>
              <w:bottom w:val="single" w:color="auto" w:sz="4" w:space="0"/>
              <w:right w:val="single" w:color="000000" w:sz="4" w:space="0"/>
            </w:tcBorders>
            <w:vAlign w:val="center"/>
          </w:tcPr>
          <w:p>
            <w:pPr>
              <w:widowControl/>
              <w:spacing w:after="0" w:line="260" w:lineRule="auto"/>
              <w:jc w:val="center"/>
              <w:rPr>
                <w:rFonts w:ascii="仿宋" w:hAnsi="仿宋" w:eastAsia="仿宋" w:cs="华文仿宋"/>
                <w:color w:val="auto"/>
                <w:kern w:val="0"/>
              </w:rPr>
            </w:pPr>
          </w:p>
        </w:tc>
      </w:tr>
      <w:tr>
        <w:tblPrEx>
          <w:tblCellMar>
            <w:top w:w="0" w:type="dxa"/>
            <w:left w:w="108" w:type="dxa"/>
            <w:bottom w:w="0" w:type="dxa"/>
            <w:right w:w="108" w:type="dxa"/>
          </w:tblCellMar>
        </w:tblPrEx>
        <w:trPr>
          <w:trHeight w:val="624" w:hRule="atLeast"/>
          <w:jc w:val="center"/>
        </w:trPr>
        <w:tc>
          <w:tcPr>
            <w:tcW w:w="725" w:type="dxa"/>
            <w:tcBorders>
              <w:top w:val="single" w:color="auto"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rPr>
              <w:t>6</w:t>
            </w:r>
          </w:p>
        </w:tc>
        <w:tc>
          <w:tcPr>
            <w:tcW w:w="1255" w:type="dxa"/>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rPr>
              <w:t>社区体检研究</w:t>
            </w:r>
          </w:p>
        </w:tc>
        <w:tc>
          <w:tcPr>
            <w:tcW w:w="709" w:type="dxa"/>
            <w:tcBorders>
              <w:top w:val="single" w:color="auto"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textAlignment w:val="center"/>
              <w:rPr>
                <w:rFonts w:ascii="仿宋" w:hAnsi="仿宋" w:eastAsia="仿宋" w:cs="华文仿宋"/>
                <w:color w:val="auto"/>
              </w:rPr>
            </w:pPr>
            <w:r>
              <w:rPr>
                <w:rFonts w:ascii="仿宋" w:hAnsi="仿宋" w:eastAsia="仿宋" w:cs="华文仿宋"/>
                <w:color w:val="auto"/>
              </w:rPr>
              <w:t>6</w:t>
            </w:r>
            <w:r>
              <w:rPr>
                <w:rFonts w:hint="eastAsia" w:ascii="仿宋" w:hAnsi="仿宋" w:eastAsia="仿宋" w:cs="华文仿宋"/>
                <w:color w:val="auto"/>
              </w:rPr>
              <w:t>分</w:t>
            </w:r>
          </w:p>
        </w:tc>
        <w:tc>
          <w:tcPr>
            <w:tcW w:w="4344" w:type="dxa"/>
            <w:tcBorders>
              <w:top w:val="single" w:color="auto"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rPr>
              <w:t>按照招标文件</w:t>
            </w:r>
            <w:r>
              <w:rPr>
                <w:rFonts w:hint="eastAsia" w:ascii="仿宋" w:hAnsi="仿宋" w:eastAsia="仿宋" w:cs="华文仿宋"/>
                <w:color w:val="auto"/>
                <w:kern w:val="0"/>
              </w:rPr>
              <w:t>“第六章 招标项目技术、服务、政府采购合同内容条款及其他商务要求”“八、其他要求”中</w:t>
            </w:r>
            <w:r>
              <w:rPr>
                <w:rFonts w:hint="eastAsia" w:ascii="仿宋" w:hAnsi="仿宋" w:eastAsia="仿宋" w:cs="华文仿宋"/>
                <w:color w:val="auto"/>
              </w:rPr>
              <w:t>“2、社区体检研究”要求，投标人提供</w:t>
            </w:r>
            <w:r>
              <w:rPr>
                <w:rFonts w:hint="eastAsia" w:ascii="仿宋" w:hAnsi="仿宋" w:eastAsia="仿宋"/>
                <w:color w:val="auto"/>
              </w:rPr>
              <w:fldChar w:fldCharType="begin"/>
            </w:r>
            <w:r>
              <w:rPr>
                <w:rFonts w:hint="eastAsia" w:ascii="仿宋" w:hAnsi="仿宋" w:eastAsia="仿宋"/>
                <w:color w:val="auto"/>
              </w:rPr>
              <w:instrText xml:space="preserve"> = 1 \* GB3 </w:instrText>
            </w:r>
            <w:r>
              <w:rPr>
                <w:rFonts w:hint="eastAsia" w:ascii="仿宋" w:hAnsi="仿宋" w:eastAsia="仿宋"/>
                <w:color w:val="auto"/>
              </w:rPr>
              <w:fldChar w:fldCharType="separate"/>
            </w:r>
            <w:r>
              <w:rPr>
                <w:rFonts w:hint="eastAsia" w:ascii="仿宋" w:hAnsi="仿宋" w:eastAsia="仿宋"/>
                <w:color w:val="auto"/>
              </w:rPr>
              <w:t>①</w:t>
            </w:r>
            <w:r>
              <w:rPr>
                <w:rFonts w:hint="eastAsia" w:ascii="仿宋" w:hAnsi="仿宋" w:eastAsia="仿宋"/>
                <w:color w:val="auto"/>
              </w:rPr>
              <w:fldChar w:fldCharType="end"/>
            </w:r>
            <w:r>
              <w:rPr>
                <w:rFonts w:hint="eastAsia" w:ascii="仿宋" w:hAnsi="仿宋" w:eastAsia="仿宋" w:cs="华文仿宋"/>
                <w:color w:val="auto"/>
              </w:rPr>
              <w:t>大数据处理</w:t>
            </w:r>
            <w:r>
              <w:rPr>
                <w:rFonts w:hint="eastAsia" w:ascii="仿宋" w:hAnsi="仿宋" w:eastAsia="仿宋"/>
                <w:color w:val="auto"/>
                <w:kern w:val="0"/>
              </w:rPr>
              <w:t>②指标体系设计③社区体检指标引擎</w:t>
            </w:r>
            <w:r>
              <w:rPr>
                <w:rFonts w:hint="eastAsia" w:ascii="仿宋" w:hAnsi="仿宋" w:eastAsia="仿宋"/>
                <w:color w:val="auto"/>
              </w:rPr>
              <w:fldChar w:fldCharType="begin"/>
            </w:r>
            <w:r>
              <w:rPr>
                <w:rFonts w:hint="eastAsia" w:ascii="仿宋" w:hAnsi="仿宋" w:eastAsia="仿宋"/>
                <w:color w:val="auto"/>
              </w:rPr>
              <w:instrText xml:space="preserve"> = 4 \* GB3 </w:instrText>
            </w:r>
            <w:r>
              <w:rPr>
                <w:rFonts w:hint="eastAsia" w:ascii="仿宋" w:hAnsi="仿宋" w:eastAsia="仿宋"/>
                <w:color w:val="auto"/>
              </w:rPr>
              <w:fldChar w:fldCharType="separate"/>
            </w:r>
            <w:r>
              <w:rPr>
                <w:rFonts w:hint="eastAsia" w:ascii="仿宋" w:hAnsi="仿宋" w:eastAsia="仿宋"/>
                <w:color w:val="auto"/>
              </w:rPr>
              <w:t>④</w:t>
            </w:r>
            <w:r>
              <w:rPr>
                <w:rFonts w:hint="eastAsia" w:ascii="仿宋" w:hAnsi="仿宋" w:eastAsia="仿宋"/>
                <w:color w:val="auto"/>
              </w:rPr>
              <w:fldChar w:fldCharType="end"/>
            </w:r>
            <w:r>
              <w:rPr>
                <w:rFonts w:hint="eastAsia" w:ascii="仿宋" w:hAnsi="仿宋" w:eastAsia="仿宋"/>
                <w:color w:val="auto"/>
              </w:rPr>
              <w:t>提供详细社区体检研究</w:t>
            </w:r>
            <w:r>
              <w:rPr>
                <w:rFonts w:hint="eastAsia" w:ascii="仿宋" w:hAnsi="仿宋" w:eastAsia="仿宋" w:cs="华文仿宋"/>
                <w:color w:val="auto"/>
                <w:kern w:val="0"/>
              </w:rPr>
              <w:t>工作方案等详细说明材料。</w:t>
            </w:r>
          </w:p>
          <w:p>
            <w:pPr>
              <w:pStyle w:val="2"/>
              <w:spacing w:after="0" w:line="260" w:lineRule="auto"/>
              <w:ind w:firstLine="420" w:firstLineChars="200"/>
              <w:jc w:val="left"/>
              <w:rPr>
                <w:rFonts w:ascii="仿宋" w:hAnsi="仿宋" w:eastAsia="仿宋" w:cs="华文仿宋"/>
                <w:color w:val="auto"/>
                <w:kern w:val="0"/>
              </w:rPr>
            </w:pPr>
            <w:r>
              <w:rPr>
                <w:rFonts w:hint="eastAsia" w:ascii="仿宋" w:hAnsi="仿宋" w:eastAsia="仿宋" w:cs="华文仿宋"/>
                <w:color w:val="auto"/>
                <w:kern w:val="0"/>
              </w:rPr>
              <w:fldChar w:fldCharType="begin"/>
            </w:r>
            <w:r>
              <w:rPr>
                <w:rFonts w:hint="eastAsia" w:ascii="仿宋" w:hAnsi="仿宋" w:eastAsia="仿宋" w:cs="华文仿宋"/>
                <w:color w:val="auto"/>
                <w:kern w:val="0"/>
              </w:rPr>
              <w:instrText xml:space="preserve"> = 1 \* GB3 </w:instrText>
            </w:r>
            <w:r>
              <w:rPr>
                <w:rFonts w:hint="eastAsia" w:ascii="仿宋" w:hAnsi="仿宋" w:eastAsia="仿宋" w:cs="华文仿宋"/>
                <w:color w:val="auto"/>
                <w:kern w:val="0"/>
              </w:rPr>
              <w:fldChar w:fldCharType="separate"/>
            </w:r>
            <w:r>
              <w:rPr>
                <w:rFonts w:hint="eastAsia" w:ascii="仿宋" w:hAnsi="仿宋" w:eastAsia="仿宋" w:cs="华文仿宋"/>
                <w:color w:val="auto"/>
                <w:kern w:val="0"/>
              </w:rPr>
              <w:t>①</w:t>
            </w:r>
            <w:r>
              <w:rPr>
                <w:rFonts w:hint="eastAsia" w:ascii="仿宋" w:hAnsi="仿宋" w:eastAsia="仿宋" w:cs="华文仿宋"/>
                <w:color w:val="auto"/>
                <w:kern w:val="0"/>
              </w:rPr>
              <w:fldChar w:fldCharType="end"/>
            </w:r>
            <w:r>
              <w:rPr>
                <w:rFonts w:hint="eastAsia" w:ascii="仿宋" w:hAnsi="仿宋" w:eastAsia="仿宋" w:cs="华文仿宋"/>
                <w:color w:val="auto"/>
                <w:kern w:val="0"/>
              </w:rPr>
              <w:t>大数据处理：文本分类、标签化，地址提取、地理编码、坐标转换以及空间统计计算等相关模型选型原则及详细设计；</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②指标体系设计：提供社区体检指标体系设计思路及初步框架，至少包含3级指标及详细描述说明；</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③社区体检指标引擎：提供计算引擎有关模型详细设计，包括模型有关的数据项、数据项来源、算法选型原则、算法详细设计与实现；</w:t>
            </w:r>
          </w:p>
          <w:p>
            <w:pPr>
              <w:pStyle w:val="2"/>
              <w:spacing w:after="0" w:line="260" w:lineRule="auto"/>
              <w:ind w:firstLine="420" w:firstLineChars="200"/>
              <w:jc w:val="left"/>
              <w:rPr>
                <w:rFonts w:ascii="仿宋" w:hAnsi="仿宋" w:eastAsia="仿宋" w:cs="华文仿宋"/>
                <w:color w:val="auto"/>
                <w:kern w:val="0"/>
              </w:rPr>
            </w:pPr>
            <w:r>
              <w:rPr>
                <w:rFonts w:hint="eastAsia" w:ascii="仿宋" w:hAnsi="仿宋" w:eastAsia="仿宋" w:cs="华文仿宋"/>
                <w:color w:val="auto"/>
                <w:kern w:val="0"/>
              </w:rPr>
              <w:fldChar w:fldCharType="begin"/>
            </w:r>
            <w:r>
              <w:rPr>
                <w:rFonts w:hint="eastAsia" w:ascii="仿宋" w:hAnsi="仿宋" w:eastAsia="仿宋" w:cs="华文仿宋"/>
                <w:color w:val="auto"/>
                <w:kern w:val="0"/>
              </w:rPr>
              <w:instrText xml:space="preserve"> = 4 \* GB3 </w:instrText>
            </w:r>
            <w:r>
              <w:rPr>
                <w:rFonts w:hint="eastAsia" w:ascii="仿宋" w:hAnsi="仿宋" w:eastAsia="仿宋" w:cs="华文仿宋"/>
                <w:color w:val="auto"/>
                <w:kern w:val="0"/>
              </w:rPr>
              <w:fldChar w:fldCharType="separate"/>
            </w:r>
            <w:r>
              <w:rPr>
                <w:rFonts w:hint="eastAsia" w:ascii="仿宋" w:hAnsi="仿宋" w:eastAsia="仿宋" w:cs="华文仿宋"/>
                <w:color w:val="auto"/>
                <w:kern w:val="0"/>
              </w:rPr>
              <w:t>④</w:t>
            </w:r>
            <w:r>
              <w:rPr>
                <w:rFonts w:hint="eastAsia" w:ascii="仿宋" w:hAnsi="仿宋" w:eastAsia="仿宋" w:cs="华文仿宋"/>
                <w:color w:val="auto"/>
                <w:kern w:val="0"/>
              </w:rPr>
              <w:fldChar w:fldCharType="end"/>
            </w:r>
            <w:r>
              <w:rPr>
                <w:rFonts w:hint="eastAsia" w:ascii="仿宋" w:hAnsi="仿宋" w:eastAsia="仿宋" w:cs="华文仿宋"/>
                <w:color w:val="auto"/>
                <w:kern w:val="0"/>
              </w:rPr>
              <w:t>提供详细社区体检研究工作实施方案；</w:t>
            </w:r>
          </w:p>
          <w:p>
            <w:pPr>
              <w:pStyle w:val="2"/>
              <w:spacing w:after="0" w:line="260" w:lineRule="auto"/>
              <w:ind w:firstLine="420" w:firstLineChars="200"/>
              <w:jc w:val="left"/>
              <w:rPr>
                <w:rFonts w:ascii="仿宋" w:hAnsi="仿宋" w:eastAsia="仿宋"/>
                <w:color w:val="auto"/>
              </w:rPr>
            </w:pPr>
            <w:r>
              <w:rPr>
                <w:rFonts w:hint="eastAsia" w:ascii="仿宋" w:hAnsi="仿宋" w:eastAsia="仿宋" w:cs="华文仿宋"/>
                <w:color w:val="auto"/>
                <w:kern w:val="0"/>
              </w:rPr>
              <w:t>方案完全满足上述要求且阐述清楚的得</w:t>
            </w:r>
            <w:r>
              <w:rPr>
                <w:rFonts w:ascii="仿宋" w:hAnsi="仿宋" w:eastAsia="仿宋" w:cs="华文仿宋"/>
                <w:color w:val="auto"/>
                <w:kern w:val="0"/>
              </w:rPr>
              <w:t>6</w:t>
            </w:r>
            <w:r>
              <w:rPr>
                <w:rFonts w:hint="eastAsia" w:ascii="仿宋" w:hAnsi="仿宋" w:eastAsia="仿宋" w:cs="华文仿宋"/>
                <w:color w:val="auto"/>
                <w:kern w:val="0"/>
              </w:rPr>
              <w:t>分，每有一项不满足上述要求扣</w:t>
            </w:r>
            <w:r>
              <w:rPr>
                <w:rFonts w:ascii="仿宋" w:hAnsi="仿宋" w:eastAsia="仿宋" w:cs="华文仿宋"/>
                <w:color w:val="auto"/>
                <w:kern w:val="0"/>
              </w:rPr>
              <w:t>1.5</w:t>
            </w:r>
            <w:r>
              <w:rPr>
                <w:rFonts w:hint="eastAsia" w:ascii="仿宋" w:hAnsi="仿宋" w:eastAsia="仿宋" w:cs="华文仿宋"/>
                <w:color w:val="auto"/>
                <w:kern w:val="0"/>
              </w:rPr>
              <w:t>分，扣完为止。</w:t>
            </w:r>
          </w:p>
        </w:tc>
        <w:tc>
          <w:tcPr>
            <w:tcW w:w="1021" w:type="dxa"/>
            <w:tcBorders>
              <w:top w:val="single" w:color="auto"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kern w:val="0"/>
              </w:rPr>
            </w:pPr>
            <w:r>
              <w:rPr>
                <w:rFonts w:hint="eastAsia" w:ascii="仿宋" w:hAnsi="仿宋" w:eastAsia="仿宋" w:cs="华文仿宋"/>
                <w:color w:val="auto"/>
                <w:kern w:val="0"/>
              </w:rPr>
              <w:t>技术性评分因素</w:t>
            </w:r>
          </w:p>
        </w:tc>
      </w:tr>
      <w:tr>
        <w:tblPrEx>
          <w:tblCellMar>
            <w:top w:w="0" w:type="dxa"/>
            <w:left w:w="108" w:type="dxa"/>
            <w:bottom w:w="0" w:type="dxa"/>
            <w:right w:w="108" w:type="dxa"/>
          </w:tblCellMar>
        </w:tblPrEx>
        <w:trPr>
          <w:trHeight w:val="624" w:hRule="atLeast"/>
          <w:jc w:val="center"/>
        </w:trPr>
        <w:tc>
          <w:tcPr>
            <w:tcW w:w="725" w:type="dxa"/>
            <w:tcBorders>
              <w:top w:val="single" w:color="auto"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textAlignment w:val="center"/>
              <w:rPr>
                <w:rFonts w:ascii="仿宋" w:hAnsi="仿宋" w:eastAsia="仿宋" w:cs="华文仿宋"/>
                <w:color w:val="auto"/>
              </w:rPr>
            </w:pPr>
            <w:r>
              <w:rPr>
                <w:rFonts w:ascii="仿宋" w:hAnsi="仿宋" w:eastAsia="仿宋" w:cs="华文仿宋"/>
                <w:color w:val="auto"/>
              </w:rPr>
              <w:t>7</w:t>
            </w:r>
          </w:p>
        </w:tc>
        <w:tc>
          <w:tcPr>
            <w:tcW w:w="1255" w:type="dxa"/>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rPr>
              <w:t>数字驾驶舱（展厅）施工方案</w:t>
            </w:r>
          </w:p>
        </w:tc>
        <w:tc>
          <w:tcPr>
            <w:tcW w:w="709" w:type="dxa"/>
            <w:tcBorders>
              <w:top w:val="single" w:color="auto"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rPr>
              <w:t>1.5分</w:t>
            </w:r>
          </w:p>
        </w:tc>
        <w:tc>
          <w:tcPr>
            <w:tcW w:w="4344" w:type="dxa"/>
            <w:tcBorders>
              <w:top w:val="single" w:color="auto"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提供可行的数字驾驶舱（展厅）软装方案，包括①总体设计思路②软装设计图③装修施工方案。</w:t>
            </w:r>
          </w:p>
          <w:p>
            <w:pPr>
              <w:widowControl/>
              <w:spacing w:after="0" w:line="260" w:lineRule="auto"/>
              <w:ind w:firstLine="420" w:firstLineChars="200"/>
              <w:jc w:val="left"/>
              <w:textAlignment w:val="top"/>
              <w:rPr>
                <w:rFonts w:ascii="仿宋" w:hAnsi="仿宋" w:eastAsia="仿宋" w:cs="华文仿宋"/>
                <w:color w:val="auto"/>
                <w:kern w:val="0"/>
              </w:rPr>
            </w:pPr>
            <w:r>
              <w:rPr>
                <w:rFonts w:ascii="仿宋" w:hAnsi="仿宋" w:eastAsia="仿宋" w:cs="华文仿宋"/>
                <w:color w:val="auto"/>
                <w:kern w:val="0"/>
              </w:rPr>
              <w:fldChar w:fldCharType="begin"/>
            </w:r>
            <w:r>
              <w:rPr>
                <w:rFonts w:ascii="仿宋" w:hAnsi="仿宋" w:eastAsia="仿宋" w:cs="华文仿宋"/>
                <w:color w:val="auto"/>
                <w:kern w:val="0"/>
              </w:rPr>
              <w:instrText xml:space="preserve"> </w:instrText>
            </w:r>
            <w:r>
              <w:rPr>
                <w:rFonts w:hint="eastAsia" w:ascii="仿宋" w:hAnsi="仿宋" w:eastAsia="仿宋" w:cs="华文仿宋"/>
                <w:color w:val="auto"/>
                <w:kern w:val="0"/>
              </w:rPr>
              <w:instrText xml:space="preserve">= 1 \* GB3</w:instrText>
            </w:r>
            <w:r>
              <w:rPr>
                <w:rFonts w:ascii="仿宋" w:hAnsi="仿宋" w:eastAsia="仿宋" w:cs="华文仿宋"/>
                <w:color w:val="auto"/>
                <w:kern w:val="0"/>
              </w:rPr>
              <w:instrText xml:space="preserve"> </w:instrText>
            </w:r>
            <w:r>
              <w:rPr>
                <w:rFonts w:ascii="仿宋" w:hAnsi="仿宋" w:eastAsia="仿宋" w:cs="华文仿宋"/>
                <w:color w:val="auto"/>
                <w:kern w:val="0"/>
              </w:rPr>
              <w:fldChar w:fldCharType="separate"/>
            </w:r>
            <w:r>
              <w:rPr>
                <w:rFonts w:hint="eastAsia" w:ascii="仿宋" w:hAnsi="仿宋" w:eastAsia="仿宋" w:cs="华文仿宋"/>
                <w:color w:val="auto"/>
                <w:kern w:val="0"/>
              </w:rPr>
              <w:t>①</w:t>
            </w:r>
            <w:r>
              <w:rPr>
                <w:rFonts w:ascii="仿宋" w:hAnsi="仿宋" w:eastAsia="仿宋" w:cs="华文仿宋"/>
                <w:color w:val="auto"/>
                <w:kern w:val="0"/>
              </w:rPr>
              <w:fldChar w:fldCharType="end"/>
            </w:r>
            <w:r>
              <w:rPr>
                <w:rFonts w:hint="eastAsia" w:ascii="仿宋" w:hAnsi="仿宋" w:eastAsia="仿宋" w:cs="华文仿宋"/>
                <w:color w:val="auto"/>
                <w:kern w:val="0"/>
              </w:rPr>
              <w:t>思路清晰明确，主题鲜明；</w:t>
            </w:r>
          </w:p>
          <w:p>
            <w:pPr>
              <w:widowControl/>
              <w:spacing w:after="0" w:line="260" w:lineRule="auto"/>
              <w:ind w:firstLine="420" w:firstLineChars="200"/>
              <w:jc w:val="left"/>
              <w:textAlignment w:val="top"/>
              <w:rPr>
                <w:rFonts w:ascii="仿宋" w:hAnsi="仿宋" w:eastAsia="仿宋" w:cs="华文仿宋"/>
                <w:color w:val="auto"/>
                <w:kern w:val="0"/>
              </w:rPr>
            </w:pPr>
            <w:r>
              <w:rPr>
                <w:rFonts w:ascii="仿宋" w:hAnsi="仿宋" w:eastAsia="仿宋" w:cs="华文仿宋"/>
                <w:color w:val="auto"/>
                <w:kern w:val="0"/>
              </w:rPr>
              <w:fldChar w:fldCharType="begin"/>
            </w:r>
            <w:r>
              <w:rPr>
                <w:rFonts w:ascii="仿宋" w:hAnsi="仿宋" w:eastAsia="仿宋" w:cs="华文仿宋"/>
                <w:color w:val="auto"/>
                <w:kern w:val="0"/>
              </w:rPr>
              <w:instrText xml:space="preserve"> </w:instrText>
            </w:r>
            <w:r>
              <w:rPr>
                <w:rFonts w:hint="eastAsia" w:ascii="仿宋" w:hAnsi="仿宋" w:eastAsia="仿宋" w:cs="华文仿宋"/>
                <w:color w:val="auto"/>
                <w:kern w:val="0"/>
              </w:rPr>
              <w:instrText xml:space="preserve">= 2 \* GB3</w:instrText>
            </w:r>
            <w:r>
              <w:rPr>
                <w:rFonts w:ascii="仿宋" w:hAnsi="仿宋" w:eastAsia="仿宋" w:cs="华文仿宋"/>
                <w:color w:val="auto"/>
                <w:kern w:val="0"/>
              </w:rPr>
              <w:instrText xml:space="preserve"> </w:instrText>
            </w:r>
            <w:r>
              <w:rPr>
                <w:rFonts w:ascii="仿宋" w:hAnsi="仿宋" w:eastAsia="仿宋" w:cs="华文仿宋"/>
                <w:color w:val="auto"/>
                <w:kern w:val="0"/>
              </w:rPr>
              <w:fldChar w:fldCharType="separate"/>
            </w:r>
            <w:r>
              <w:rPr>
                <w:rFonts w:hint="eastAsia" w:ascii="仿宋" w:hAnsi="仿宋" w:eastAsia="仿宋" w:cs="华文仿宋"/>
                <w:color w:val="auto"/>
                <w:kern w:val="0"/>
              </w:rPr>
              <w:t>②</w:t>
            </w:r>
            <w:r>
              <w:rPr>
                <w:rFonts w:ascii="仿宋" w:hAnsi="仿宋" w:eastAsia="仿宋" w:cs="华文仿宋"/>
                <w:color w:val="auto"/>
                <w:kern w:val="0"/>
              </w:rPr>
              <w:fldChar w:fldCharType="end"/>
            </w:r>
            <w:r>
              <w:rPr>
                <w:rFonts w:hint="eastAsia" w:ascii="仿宋" w:hAnsi="仿宋" w:eastAsia="仿宋" w:cs="华文仿宋"/>
                <w:color w:val="auto"/>
                <w:kern w:val="0"/>
              </w:rPr>
              <w:t>提供效果图，具有成华区及杉板桥社区特色；</w:t>
            </w:r>
          </w:p>
          <w:p>
            <w:pPr>
              <w:widowControl/>
              <w:spacing w:after="0" w:line="260" w:lineRule="auto"/>
              <w:ind w:firstLine="420" w:firstLineChars="200"/>
              <w:jc w:val="left"/>
              <w:textAlignment w:val="top"/>
              <w:rPr>
                <w:rFonts w:ascii="仿宋" w:hAnsi="仿宋" w:eastAsia="仿宋" w:cs="华文仿宋"/>
                <w:color w:val="auto"/>
                <w:kern w:val="0"/>
              </w:rPr>
            </w:pPr>
            <w:r>
              <w:rPr>
                <w:rFonts w:ascii="仿宋" w:hAnsi="仿宋" w:eastAsia="仿宋" w:cs="华文仿宋"/>
                <w:color w:val="auto"/>
                <w:kern w:val="0"/>
              </w:rPr>
              <w:fldChar w:fldCharType="begin"/>
            </w:r>
            <w:r>
              <w:rPr>
                <w:rFonts w:ascii="仿宋" w:hAnsi="仿宋" w:eastAsia="仿宋" w:cs="华文仿宋"/>
                <w:color w:val="auto"/>
                <w:kern w:val="0"/>
              </w:rPr>
              <w:instrText xml:space="preserve"> </w:instrText>
            </w:r>
            <w:r>
              <w:rPr>
                <w:rFonts w:hint="eastAsia" w:ascii="仿宋" w:hAnsi="仿宋" w:eastAsia="仿宋" w:cs="华文仿宋"/>
                <w:color w:val="auto"/>
                <w:kern w:val="0"/>
              </w:rPr>
              <w:instrText xml:space="preserve">= 3 \* GB3</w:instrText>
            </w:r>
            <w:r>
              <w:rPr>
                <w:rFonts w:ascii="仿宋" w:hAnsi="仿宋" w:eastAsia="仿宋" w:cs="华文仿宋"/>
                <w:color w:val="auto"/>
                <w:kern w:val="0"/>
              </w:rPr>
              <w:instrText xml:space="preserve"> </w:instrText>
            </w:r>
            <w:r>
              <w:rPr>
                <w:rFonts w:ascii="仿宋" w:hAnsi="仿宋" w:eastAsia="仿宋" w:cs="华文仿宋"/>
                <w:color w:val="auto"/>
                <w:kern w:val="0"/>
              </w:rPr>
              <w:fldChar w:fldCharType="separate"/>
            </w:r>
            <w:r>
              <w:rPr>
                <w:rFonts w:hint="eastAsia" w:ascii="仿宋" w:hAnsi="仿宋" w:eastAsia="仿宋" w:cs="华文仿宋"/>
                <w:color w:val="auto"/>
                <w:kern w:val="0"/>
              </w:rPr>
              <w:t>③</w:t>
            </w:r>
            <w:r>
              <w:rPr>
                <w:rFonts w:ascii="仿宋" w:hAnsi="仿宋" w:eastAsia="仿宋" w:cs="华文仿宋"/>
                <w:color w:val="auto"/>
                <w:kern w:val="0"/>
              </w:rPr>
              <w:fldChar w:fldCharType="end"/>
            </w:r>
            <w:r>
              <w:rPr>
                <w:rFonts w:hint="eastAsia" w:ascii="仿宋" w:hAnsi="仿宋" w:eastAsia="仿宋" w:cs="华文仿宋"/>
                <w:color w:val="auto"/>
                <w:kern w:val="0"/>
              </w:rPr>
              <w:t>提供详细施工方案；</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方案完全满足上述要求且阐述清楚的得1.5分，每缺少一项内容或每有一项内容存在缺陷或漏洞扣0.5分，扣完为止。</w:t>
            </w:r>
          </w:p>
        </w:tc>
        <w:tc>
          <w:tcPr>
            <w:tcW w:w="1021" w:type="dxa"/>
            <w:tcBorders>
              <w:top w:val="single" w:color="auto"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kern w:val="0"/>
              </w:rPr>
            </w:pPr>
            <w:r>
              <w:rPr>
                <w:rFonts w:hint="eastAsia" w:ascii="仿宋" w:hAnsi="仿宋" w:eastAsia="仿宋" w:cs="华文仿宋"/>
                <w:color w:val="auto"/>
                <w:kern w:val="0"/>
              </w:rPr>
              <w:t>技术性评分因素</w:t>
            </w:r>
          </w:p>
        </w:tc>
      </w:tr>
      <w:tr>
        <w:tblPrEx>
          <w:tblCellMar>
            <w:top w:w="0" w:type="dxa"/>
            <w:left w:w="108" w:type="dxa"/>
            <w:bottom w:w="0" w:type="dxa"/>
            <w:right w:w="108" w:type="dxa"/>
          </w:tblCellMar>
        </w:tblPrEx>
        <w:trPr>
          <w:trHeight w:val="90" w:hRule="atLeast"/>
          <w:jc w:val="center"/>
        </w:trPr>
        <w:tc>
          <w:tcPr>
            <w:tcW w:w="72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kern w:val="0"/>
              </w:rPr>
            </w:pPr>
            <w:r>
              <w:rPr>
                <w:rFonts w:ascii="仿宋" w:hAnsi="仿宋" w:eastAsia="仿宋" w:cs="华文仿宋"/>
                <w:color w:val="auto"/>
                <w:kern w:val="0"/>
              </w:rPr>
              <w:t>8</w:t>
            </w:r>
          </w:p>
        </w:tc>
        <w:tc>
          <w:tcPr>
            <w:tcW w:w="1255" w:type="dxa"/>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团队人员配置</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kern w:val="0"/>
              </w:rPr>
            </w:pPr>
            <w:r>
              <w:rPr>
                <w:rFonts w:ascii="仿宋" w:hAnsi="仿宋" w:eastAsia="仿宋" w:cs="华文仿宋"/>
                <w:color w:val="auto"/>
                <w:kern w:val="0"/>
              </w:rPr>
              <w:t>6</w:t>
            </w:r>
            <w:r>
              <w:rPr>
                <w:rFonts w:hint="eastAsia" w:ascii="仿宋" w:hAnsi="仿宋" w:eastAsia="仿宋" w:cs="华文仿宋"/>
                <w:color w:val="auto"/>
                <w:kern w:val="0"/>
              </w:rPr>
              <w:t>分</w:t>
            </w: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1、项目实施团队至少同时配备①信息系统项目管理师（高级）2名、②通过</w:t>
            </w:r>
            <w:r>
              <w:rPr>
                <w:color w:val="auto"/>
              </w:rPr>
              <w:fldChar w:fldCharType="begin"/>
            </w:r>
            <w:r>
              <w:rPr>
                <w:color w:val="auto"/>
              </w:rPr>
              <w:instrText xml:space="preserve"> HYPERLINK "https://baike.baidu.com/item/%E9%A1%B9%E7%9B%AE%E7%AE%A1%E7%90%86%E4%B8%93%E4%B8%9A/3895769" \t "https://baike.baidu.com/item/PMP/_blank" </w:instrText>
            </w:r>
            <w:r>
              <w:rPr>
                <w:color w:val="auto"/>
              </w:rPr>
              <w:fldChar w:fldCharType="separate"/>
            </w:r>
            <w:r>
              <w:rPr>
                <w:rFonts w:hint="eastAsia" w:ascii="仿宋" w:hAnsi="仿宋" w:eastAsia="仿宋" w:cs="华文仿宋"/>
                <w:color w:val="auto"/>
                <w:kern w:val="0"/>
              </w:rPr>
              <w:t>项目管理专业</w:t>
            </w:r>
            <w:r>
              <w:rPr>
                <w:rFonts w:hint="eastAsia" w:ascii="仿宋" w:hAnsi="仿宋" w:eastAsia="仿宋" w:cs="华文仿宋"/>
                <w:color w:val="auto"/>
                <w:kern w:val="0"/>
              </w:rPr>
              <w:fldChar w:fldCharType="end"/>
            </w:r>
            <w:r>
              <w:rPr>
                <w:rFonts w:hint="eastAsia" w:ascii="仿宋" w:hAnsi="仿宋" w:eastAsia="仿宋" w:cs="华文仿宋"/>
                <w:color w:val="auto"/>
                <w:kern w:val="0"/>
              </w:rPr>
              <w:t>人士资格认证（PMP）人员2名、③信息安全保障人员2名，得3分，每少提供一名扣0.5分，扣完为止；</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2、为本项目配备的信息系统项目管理师（高级）中有1名同时为注册信息安全专业人员（CISP）的，得</w:t>
            </w:r>
            <w:r>
              <w:rPr>
                <w:rFonts w:ascii="仿宋" w:hAnsi="仿宋" w:eastAsia="仿宋" w:cs="华文仿宋"/>
                <w:color w:val="auto"/>
                <w:kern w:val="0"/>
              </w:rPr>
              <w:t>2</w:t>
            </w:r>
            <w:r>
              <w:rPr>
                <w:rFonts w:hint="eastAsia" w:ascii="仿宋" w:hAnsi="仿宋" w:eastAsia="仿宋" w:cs="华文仿宋"/>
                <w:color w:val="auto"/>
                <w:kern w:val="0"/>
              </w:rPr>
              <w:t>分；</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3、至少同时配备④软件设计师1名、⑤数据库工程师1名的，得</w:t>
            </w:r>
            <w:r>
              <w:rPr>
                <w:rFonts w:ascii="仿宋" w:hAnsi="仿宋" w:eastAsia="仿宋" w:cs="华文仿宋"/>
                <w:color w:val="auto"/>
                <w:kern w:val="0"/>
              </w:rPr>
              <w:t>1</w:t>
            </w:r>
            <w:r>
              <w:rPr>
                <w:rFonts w:hint="eastAsia" w:ascii="仿宋" w:hAnsi="仿宋" w:eastAsia="仿宋" w:cs="华文仿宋"/>
                <w:color w:val="auto"/>
                <w:kern w:val="0"/>
              </w:rPr>
              <w:t>分，每少提供一名扣</w:t>
            </w:r>
            <w:r>
              <w:rPr>
                <w:rFonts w:ascii="仿宋" w:hAnsi="仿宋" w:eastAsia="仿宋" w:cs="华文仿宋"/>
                <w:color w:val="auto"/>
                <w:kern w:val="0"/>
              </w:rPr>
              <w:t>0.5</w:t>
            </w:r>
            <w:r>
              <w:rPr>
                <w:rFonts w:hint="eastAsia" w:ascii="仿宋" w:hAnsi="仿宋" w:eastAsia="仿宋" w:cs="华文仿宋"/>
                <w:color w:val="auto"/>
                <w:kern w:val="0"/>
              </w:rPr>
              <w:t>分，扣完为止。</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注：1、投标人按照①、②、③、④、⑤项提供的团队人员不得重复，如有重复则按最高分计算；</w:t>
            </w:r>
          </w:p>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2、提供以上相关团队人员的证书复印件、在职证明（包括劳动合同或者其他证明团队人员为投标人本单位的在职人员证明）加盖投标人公章。</w:t>
            </w:r>
          </w:p>
        </w:tc>
        <w:tc>
          <w:tcPr>
            <w:tcW w:w="102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kern w:val="0"/>
              </w:rPr>
            </w:pPr>
            <w:r>
              <w:rPr>
                <w:rFonts w:hint="eastAsia" w:ascii="仿宋" w:hAnsi="仿宋" w:eastAsia="仿宋"/>
                <w:color w:val="auto"/>
              </w:rPr>
              <w:t>共同性评分因素</w:t>
            </w:r>
          </w:p>
        </w:tc>
      </w:tr>
      <w:tr>
        <w:tblPrEx>
          <w:tblCellMar>
            <w:top w:w="0" w:type="dxa"/>
            <w:left w:w="108" w:type="dxa"/>
            <w:bottom w:w="0" w:type="dxa"/>
            <w:right w:w="108" w:type="dxa"/>
          </w:tblCellMar>
        </w:tblPrEx>
        <w:trPr>
          <w:trHeight w:val="90" w:hRule="atLeast"/>
          <w:jc w:val="center"/>
        </w:trPr>
        <w:tc>
          <w:tcPr>
            <w:tcW w:w="72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ascii="仿宋" w:hAnsi="仿宋" w:eastAsia="仿宋" w:cs="华文仿宋"/>
                <w:color w:val="auto"/>
                <w:kern w:val="0"/>
              </w:rPr>
              <w:t>9</w:t>
            </w:r>
          </w:p>
        </w:tc>
        <w:tc>
          <w:tcPr>
            <w:tcW w:w="1255" w:type="dxa"/>
            <w:tcBorders>
              <w:top w:val="single" w:color="auto"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系统培训及售后服务方案</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ascii="仿宋" w:hAnsi="仿宋" w:eastAsia="仿宋" w:cs="华文仿宋"/>
                <w:color w:val="auto"/>
                <w:kern w:val="0"/>
              </w:rPr>
              <w:t>2</w:t>
            </w:r>
            <w:r>
              <w:rPr>
                <w:rFonts w:hint="eastAsia" w:ascii="仿宋" w:hAnsi="仿宋" w:eastAsia="仿宋" w:cs="华文仿宋"/>
                <w:color w:val="auto"/>
                <w:kern w:val="0"/>
              </w:rPr>
              <w:t>分</w:t>
            </w: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s="华文仿宋"/>
                <w:color w:val="auto"/>
              </w:rPr>
            </w:pPr>
            <w:r>
              <w:rPr>
                <w:rFonts w:hint="eastAsia" w:ascii="仿宋" w:hAnsi="仿宋" w:eastAsia="仿宋"/>
                <w:color w:val="auto"/>
                <w:kern w:val="0"/>
              </w:rPr>
              <w:t>根据投标人提供的（1）系统培训方案（①目标、②人员、③组织、④内容）及（2）售后服务方案（①服务内容、②承诺、③响应时间、④响应方式、</w:t>
            </w:r>
            <w:r>
              <w:rPr>
                <w:rFonts w:ascii="仿宋" w:hAnsi="仿宋" w:eastAsia="仿宋"/>
                <w:color w:val="auto"/>
                <w:kern w:val="0"/>
              </w:rPr>
              <w:fldChar w:fldCharType="begin"/>
            </w:r>
            <w:r>
              <w:rPr>
                <w:rFonts w:ascii="仿宋" w:hAnsi="仿宋" w:eastAsia="仿宋"/>
                <w:color w:val="auto"/>
                <w:kern w:val="0"/>
              </w:rPr>
              <w:instrText xml:space="preserve"> </w:instrText>
            </w:r>
            <w:r>
              <w:rPr>
                <w:rFonts w:hint="eastAsia" w:ascii="仿宋" w:hAnsi="仿宋" w:eastAsia="仿宋"/>
                <w:color w:val="auto"/>
                <w:kern w:val="0"/>
              </w:rPr>
              <w:instrText xml:space="preserve">= 5 \* GB3</w:instrText>
            </w:r>
            <w:r>
              <w:rPr>
                <w:rFonts w:ascii="仿宋" w:hAnsi="仿宋" w:eastAsia="仿宋"/>
                <w:color w:val="auto"/>
                <w:kern w:val="0"/>
              </w:rPr>
              <w:instrText xml:space="preserve"> </w:instrText>
            </w:r>
            <w:r>
              <w:rPr>
                <w:rFonts w:ascii="仿宋" w:hAnsi="仿宋" w:eastAsia="仿宋"/>
                <w:color w:val="auto"/>
                <w:kern w:val="0"/>
              </w:rPr>
              <w:fldChar w:fldCharType="separate"/>
            </w:r>
            <w:r>
              <w:rPr>
                <w:rFonts w:hint="eastAsia" w:ascii="仿宋" w:hAnsi="仿宋" w:eastAsia="仿宋"/>
                <w:color w:val="auto"/>
                <w:kern w:val="0"/>
              </w:rPr>
              <w:t>⑤</w:t>
            </w:r>
            <w:r>
              <w:rPr>
                <w:rFonts w:ascii="仿宋" w:hAnsi="仿宋" w:eastAsia="仿宋"/>
                <w:color w:val="auto"/>
                <w:kern w:val="0"/>
              </w:rPr>
              <w:fldChar w:fldCharType="end"/>
            </w:r>
            <w:r>
              <w:rPr>
                <w:rFonts w:hint="eastAsia" w:ascii="仿宋" w:hAnsi="仿宋" w:eastAsia="仿宋"/>
                <w:color w:val="auto"/>
                <w:kern w:val="0"/>
              </w:rPr>
              <w:t>人员保障），培训方案满足要求且阐述清楚的得</w:t>
            </w:r>
            <w:r>
              <w:rPr>
                <w:rFonts w:ascii="仿宋" w:hAnsi="仿宋" w:eastAsia="仿宋"/>
                <w:color w:val="auto"/>
                <w:kern w:val="0"/>
              </w:rPr>
              <w:t>1</w:t>
            </w:r>
            <w:r>
              <w:rPr>
                <w:rFonts w:hint="eastAsia" w:ascii="仿宋" w:hAnsi="仿宋" w:eastAsia="仿宋"/>
                <w:color w:val="auto"/>
                <w:kern w:val="0"/>
              </w:rPr>
              <w:t>分，每有一小项不满足的，该项不得分；售后服务方案满足要求且阐述清楚的得</w:t>
            </w:r>
            <w:r>
              <w:rPr>
                <w:rFonts w:ascii="仿宋" w:hAnsi="仿宋" w:eastAsia="仿宋"/>
                <w:color w:val="auto"/>
                <w:kern w:val="0"/>
              </w:rPr>
              <w:t>1</w:t>
            </w:r>
            <w:r>
              <w:rPr>
                <w:rFonts w:hint="eastAsia" w:ascii="仿宋" w:hAnsi="仿宋" w:eastAsia="仿宋"/>
                <w:color w:val="auto"/>
                <w:kern w:val="0"/>
              </w:rPr>
              <w:t>分，每有一小项不满足的，该项不得分。</w:t>
            </w:r>
          </w:p>
        </w:tc>
        <w:tc>
          <w:tcPr>
            <w:tcW w:w="102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rPr>
            </w:pPr>
            <w:r>
              <w:rPr>
                <w:rFonts w:hint="eastAsia" w:ascii="仿宋" w:hAnsi="仿宋" w:eastAsia="仿宋"/>
                <w:color w:val="auto"/>
              </w:rPr>
              <w:t>技术性评分因素</w:t>
            </w:r>
          </w:p>
        </w:tc>
      </w:tr>
      <w:tr>
        <w:tblPrEx>
          <w:tblCellMar>
            <w:top w:w="0" w:type="dxa"/>
            <w:left w:w="108" w:type="dxa"/>
            <w:bottom w:w="0" w:type="dxa"/>
            <w:right w:w="108" w:type="dxa"/>
          </w:tblCellMar>
        </w:tblPrEx>
        <w:trPr>
          <w:trHeight w:val="90"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ascii="仿宋" w:hAnsi="仿宋" w:eastAsia="仿宋" w:cs="华文仿宋"/>
                <w:color w:val="auto"/>
                <w:kern w:val="0"/>
              </w:rPr>
              <w:t>10</w:t>
            </w:r>
          </w:p>
        </w:tc>
        <w:tc>
          <w:tcPr>
            <w:tcW w:w="125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企业实力</w:t>
            </w:r>
          </w:p>
        </w:tc>
        <w:tc>
          <w:tcPr>
            <w:tcW w:w="709"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6分</w:t>
            </w: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1、投标人具有信息技术服务管理体系认证证书即ISO20000的得</w:t>
            </w:r>
            <w:r>
              <w:rPr>
                <w:rFonts w:ascii="仿宋" w:hAnsi="仿宋" w:eastAsia="仿宋"/>
                <w:color w:val="auto"/>
                <w:kern w:val="0"/>
              </w:rPr>
              <w:t>2</w:t>
            </w:r>
            <w:r>
              <w:rPr>
                <w:rFonts w:hint="eastAsia" w:ascii="仿宋" w:hAnsi="仿宋" w:eastAsia="仿宋"/>
                <w:color w:val="auto"/>
                <w:kern w:val="0"/>
              </w:rPr>
              <w:t>分；</w:t>
            </w:r>
          </w:p>
        </w:tc>
        <w:tc>
          <w:tcPr>
            <w:tcW w:w="1021"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rPr>
            </w:pPr>
            <w:r>
              <w:rPr>
                <w:rFonts w:hint="eastAsia" w:ascii="仿宋" w:hAnsi="仿宋" w:eastAsia="仿宋" w:cs="华文仿宋"/>
                <w:color w:val="auto"/>
              </w:rPr>
              <w:t>共同性评分因素</w:t>
            </w:r>
          </w:p>
        </w:tc>
      </w:tr>
      <w:tr>
        <w:tblPrEx>
          <w:tblCellMar>
            <w:top w:w="0" w:type="dxa"/>
            <w:left w:w="108" w:type="dxa"/>
            <w:bottom w:w="0" w:type="dxa"/>
            <w:right w:w="108" w:type="dxa"/>
          </w:tblCellMar>
        </w:tblPrEx>
        <w:trPr>
          <w:trHeight w:val="9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2、投标人具有</w:t>
            </w:r>
            <w:r>
              <w:rPr>
                <w:rFonts w:ascii="仿宋" w:hAnsi="仿宋" w:eastAsia="仿宋"/>
                <w:color w:val="auto"/>
                <w:kern w:val="0"/>
              </w:rPr>
              <w:t>环境管理体系认证证书ISO14001</w:t>
            </w:r>
            <w:r>
              <w:rPr>
                <w:rFonts w:hint="eastAsia" w:ascii="仿宋" w:hAnsi="仿宋" w:eastAsia="仿宋"/>
                <w:color w:val="auto"/>
                <w:kern w:val="0"/>
              </w:rPr>
              <w:t>的得1分；</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9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3、投标人具有信息安全管理体系认证证书即ISO27001的得1分；</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9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4、投标人具有中国电子工业标准化技术协会信息技术服务分会颁发的《信息技术服务运行维护标准符合性证书》即 ITSS的得1分；</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9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5、投标人具有ISO9001质量管理体系认证证书的得1分；</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285"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注：提供证书复印件加盖投标人公章。</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1437" w:hRule="atLeast"/>
          <w:jc w:val="center"/>
        </w:trPr>
        <w:tc>
          <w:tcPr>
            <w:tcW w:w="72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ascii="仿宋" w:hAnsi="仿宋" w:eastAsia="仿宋" w:cs="华文仿宋"/>
                <w:color w:val="auto"/>
                <w:kern w:val="0"/>
              </w:rPr>
              <w:t>11</w:t>
            </w:r>
          </w:p>
        </w:tc>
        <w:tc>
          <w:tcPr>
            <w:tcW w:w="125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履约能力</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ascii="仿宋" w:hAnsi="仿宋" w:eastAsia="仿宋" w:cs="华文仿宋"/>
                <w:color w:val="auto"/>
                <w:kern w:val="0"/>
              </w:rPr>
              <w:t>10.5</w:t>
            </w:r>
            <w:r>
              <w:rPr>
                <w:rFonts w:hint="eastAsia" w:ascii="仿宋" w:hAnsi="仿宋" w:eastAsia="仿宋" w:cs="华文仿宋"/>
                <w:color w:val="auto"/>
                <w:kern w:val="0"/>
              </w:rPr>
              <w:t>分</w:t>
            </w: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投标人提供近三年（2019年、2020年、2021年）类似业绩的（指：①大数据②可视化③舆情系统④智慧城市⑤指挥系统（或调度系统）⑥经济分析⑦党建，每一类至少提供一个业绩合同。七大类全部提供的得</w:t>
            </w:r>
            <w:r>
              <w:rPr>
                <w:rFonts w:ascii="仿宋" w:hAnsi="仿宋" w:eastAsia="仿宋"/>
                <w:color w:val="auto"/>
                <w:kern w:val="0"/>
              </w:rPr>
              <w:t>10.5</w:t>
            </w:r>
            <w:r>
              <w:rPr>
                <w:rFonts w:hint="eastAsia" w:ascii="仿宋" w:hAnsi="仿宋" w:eastAsia="仿宋"/>
                <w:color w:val="auto"/>
                <w:kern w:val="0"/>
              </w:rPr>
              <w:t>分，每缺少一类扣1</w:t>
            </w:r>
            <w:r>
              <w:rPr>
                <w:rFonts w:ascii="仿宋" w:hAnsi="仿宋" w:eastAsia="仿宋"/>
                <w:color w:val="auto"/>
                <w:kern w:val="0"/>
              </w:rPr>
              <w:t>.5</w:t>
            </w:r>
            <w:r>
              <w:rPr>
                <w:rFonts w:hint="eastAsia" w:ascii="仿宋" w:hAnsi="仿宋" w:eastAsia="仿宋"/>
                <w:color w:val="auto"/>
                <w:kern w:val="0"/>
              </w:rPr>
              <w:t>分，直至扣完。</w:t>
            </w:r>
          </w:p>
          <w:p>
            <w:pPr>
              <w:widowControl/>
              <w:spacing w:after="0" w:line="260" w:lineRule="auto"/>
              <w:ind w:firstLine="420" w:firstLineChars="200"/>
              <w:jc w:val="left"/>
              <w:textAlignment w:val="top"/>
              <w:rPr>
                <w:rFonts w:ascii="仿宋" w:hAnsi="仿宋" w:eastAsia="仿宋" w:cs="华文仿宋"/>
                <w:color w:val="auto"/>
              </w:rPr>
            </w:pPr>
            <w:r>
              <w:rPr>
                <w:rFonts w:hint="eastAsia" w:ascii="仿宋" w:hAnsi="仿宋" w:eastAsia="仿宋"/>
                <w:color w:val="auto"/>
                <w:kern w:val="0"/>
              </w:rPr>
              <w:t>注：提供合同首页及签字页复印件加盖投标人公章（合同名称包括以上七大类类似业绩）</w:t>
            </w:r>
          </w:p>
        </w:tc>
        <w:tc>
          <w:tcPr>
            <w:tcW w:w="102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rPr>
            </w:pPr>
            <w:r>
              <w:rPr>
                <w:rFonts w:hint="eastAsia" w:ascii="仿宋" w:hAnsi="仿宋" w:eastAsia="仿宋"/>
                <w:color w:val="auto"/>
              </w:rPr>
              <w:t>共同性评分因素</w:t>
            </w:r>
          </w:p>
        </w:tc>
      </w:tr>
      <w:tr>
        <w:tblPrEx>
          <w:tblCellMar>
            <w:top w:w="0" w:type="dxa"/>
            <w:left w:w="108" w:type="dxa"/>
            <w:bottom w:w="0" w:type="dxa"/>
            <w:right w:w="108" w:type="dxa"/>
          </w:tblCellMar>
        </w:tblPrEx>
        <w:trPr>
          <w:trHeight w:val="723"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12</w:t>
            </w:r>
          </w:p>
        </w:tc>
        <w:tc>
          <w:tcPr>
            <w:tcW w:w="125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技术成熟度</w:t>
            </w:r>
          </w:p>
        </w:tc>
        <w:tc>
          <w:tcPr>
            <w:tcW w:w="709"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11分</w:t>
            </w: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1、投标人具有应用集成协同工作平台类软件著作权的得1分；</w:t>
            </w:r>
          </w:p>
        </w:tc>
        <w:tc>
          <w:tcPr>
            <w:tcW w:w="1021"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rPr>
            </w:pPr>
            <w:r>
              <w:rPr>
                <w:rFonts w:hint="eastAsia" w:ascii="仿宋" w:hAnsi="仿宋" w:eastAsia="仿宋"/>
                <w:color w:val="auto"/>
              </w:rPr>
              <w:t>共同性评分因素</w:t>
            </w:r>
          </w:p>
        </w:tc>
      </w:tr>
      <w:tr>
        <w:tblPrEx>
          <w:tblCellMar>
            <w:top w:w="0" w:type="dxa"/>
            <w:left w:w="108" w:type="dxa"/>
            <w:bottom w:w="0" w:type="dxa"/>
            <w:right w:w="108" w:type="dxa"/>
          </w:tblCellMar>
        </w:tblPrEx>
        <w:trPr>
          <w:trHeight w:val="9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2、投标人具有综合管理与指挥控制信息系统类软件著作权的得1分；</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314"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3、投标人具有三维GIS经济运行监测管理与分析系统类软件著作权的得1分；</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9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4、投标人具有三维GIS城市综合管理指挥调度与运营分析系统类软件著作权的得2分；</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285"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5、投标人具有大数据舆情监测与应对类软件著作权的得1分；</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48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6、投标人具有智慧城市治理中心系统类著作权的得1分；</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573"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7、针对人像比对服务的电子证照库管理系统类软件著作的得1分；</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48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8、投标人具有大数据可视化系统类软件著作权的得1分；</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48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9、投标人具有数据采集系统类软件著作权的得1分；</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48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10、投标人具有统一信息发布系统类软件著作权的得1分。</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285"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注：提供证书复印件，加盖投标人公章</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826"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13</w:t>
            </w:r>
          </w:p>
        </w:tc>
        <w:tc>
          <w:tcPr>
            <w:tcW w:w="125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科研技术能力</w:t>
            </w:r>
          </w:p>
        </w:tc>
        <w:tc>
          <w:tcPr>
            <w:tcW w:w="709"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ascii="仿宋" w:hAnsi="仿宋" w:eastAsia="仿宋" w:cs="华文仿宋"/>
                <w:color w:val="auto"/>
                <w:kern w:val="0"/>
              </w:rPr>
              <w:t>6</w:t>
            </w:r>
            <w:r>
              <w:rPr>
                <w:rFonts w:hint="eastAsia" w:ascii="仿宋" w:hAnsi="仿宋" w:eastAsia="仿宋" w:cs="华文仿宋"/>
                <w:color w:val="auto"/>
                <w:kern w:val="0"/>
              </w:rPr>
              <w:t>分</w:t>
            </w: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投标人自主研发的产品经省级及以上地方、部门科技成果管理机构批准登记为科技成果的每一个得0.5分，最多得4分；</w:t>
            </w:r>
          </w:p>
          <w:p>
            <w:pPr>
              <w:widowControl/>
              <w:spacing w:after="0" w:line="260" w:lineRule="auto"/>
              <w:ind w:firstLine="420" w:firstLineChars="200"/>
              <w:jc w:val="left"/>
              <w:textAlignment w:val="top"/>
              <w:rPr>
                <w:rFonts w:ascii="仿宋" w:hAnsi="仿宋" w:eastAsia="仿宋"/>
                <w:color w:val="auto"/>
                <w:kern w:val="0"/>
              </w:rPr>
            </w:pPr>
            <w:r>
              <w:rPr>
                <w:rFonts w:hint="eastAsia" w:ascii="仿宋" w:hAnsi="仿宋" w:eastAsia="仿宋"/>
                <w:color w:val="auto"/>
                <w:kern w:val="0"/>
              </w:rPr>
              <w:t>投标人具有与本项目有关的（含城市体检、应急联动指挥平台、城市治理）软件产品经地方、部门科技成果管理机构批准登记为科技成果的，每一个得2分，最多得2分。</w:t>
            </w:r>
          </w:p>
        </w:tc>
        <w:tc>
          <w:tcPr>
            <w:tcW w:w="1021"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rPr>
            </w:pPr>
            <w:r>
              <w:rPr>
                <w:rFonts w:hint="eastAsia" w:ascii="仿宋" w:hAnsi="仿宋" w:eastAsia="仿宋"/>
                <w:color w:val="auto"/>
              </w:rPr>
              <w:t>共同性评分因素</w:t>
            </w:r>
          </w:p>
        </w:tc>
      </w:tr>
      <w:tr>
        <w:tblPrEx>
          <w:tblCellMar>
            <w:top w:w="0" w:type="dxa"/>
            <w:left w:w="108" w:type="dxa"/>
            <w:bottom w:w="0" w:type="dxa"/>
            <w:right w:w="108" w:type="dxa"/>
          </w:tblCellMar>
        </w:tblPrEx>
        <w:trPr>
          <w:trHeight w:val="48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125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ind w:firstLine="420" w:firstLineChars="200"/>
              <w:jc w:val="left"/>
              <w:textAlignment w:val="top"/>
              <w:rPr>
                <w:rFonts w:ascii="仿宋" w:hAnsi="仿宋" w:eastAsia="仿宋" w:cs="华文仿宋"/>
                <w:color w:val="auto"/>
                <w:kern w:val="0"/>
              </w:rPr>
            </w:pPr>
            <w:r>
              <w:rPr>
                <w:rFonts w:hint="eastAsia" w:ascii="仿宋" w:hAnsi="仿宋" w:eastAsia="仿宋" w:cs="华文仿宋"/>
                <w:color w:val="auto"/>
                <w:kern w:val="0"/>
              </w:rPr>
              <w:t>注：1、提供科技成果登记表复印件或在国家科技成果库科技成果查询网站（地址：http://www.tech110.net/portal.php?mod=list&amp;catid=538）的查询截图加盖投标人公章。</w:t>
            </w:r>
          </w:p>
          <w:p>
            <w:pPr>
              <w:widowControl/>
              <w:spacing w:after="0" w:line="260" w:lineRule="auto"/>
              <w:ind w:firstLine="420" w:firstLineChars="200"/>
              <w:jc w:val="left"/>
              <w:textAlignment w:val="top"/>
              <w:rPr>
                <w:rFonts w:ascii="仿宋" w:hAnsi="仿宋" w:eastAsia="仿宋"/>
                <w:color w:val="auto"/>
                <w:kern w:val="0"/>
              </w:rPr>
            </w:pPr>
            <w:r>
              <w:rPr>
                <w:rFonts w:ascii="仿宋" w:hAnsi="仿宋" w:eastAsia="仿宋" w:cs="华文仿宋"/>
                <w:color w:val="auto"/>
                <w:kern w:val="0"/>
              </w:rPr>
              <w:t>2</w:t>
            </w:r>
            <w:r>
              <w:rPr>
                <w:rFonts w:hint="eastAsia" w:ascii="仿宋" w:hAnsi="仿宋" w:eastAsia="仿宋" w:cs="华文仿宋"/>
                <w:color w:val="auto"/>
                <w:kern w:val="0"/>
              </w:rPr>
              <w:t>、不可重复计分。</w:t>
            </w: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60" w:lineRule="auto"/>
              <w:jc w:val="center"/>
              <w:rPr>
                <w:rFonts w:ascii="仿宋" w:hAnsi="仿宋" w:eastAsia="仿宋" w:cs="华文仿宋"/>
                <w:color w:val="auto"/>
              </w:rPr>
            </w:pPr>
          </w:p>
        </w:tc>
      </w:tr>
      <w:tr>
        <w:tblPrEx>
          <w:tblCellMar>
            <w:top w:w="0" w:type="dxa"/>
            <w:left w:w="108" w:type="dxa"/>
            <w:bottom w:w="0" w:type="dxa"/>
            <w:right w:w="108" w:type="dxa"/>
          </w:tblCellMar>
        </w:tblPrEx>
        <w:trPr>
          <w:trHeight w:val="7986" w:hRule="atLeast"/>
          <w:jc w:val="center"/>
        </w:trPr>
        <w:tc>
          <w:tcPr>
            <w:tcW w:w="72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14</w:t>
            </w:r>
          </w:p>
        </w:tc>
        <w:tc>
          <w:tcPr>
            <w:tcW w:w="125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节能环保</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1分</w:t>
            </w: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numPr>
                <w:ilvl w:val="0"/>
                <w:numId w:val="0"/>
              </w:numPr>
              <w:snapToGrid/>
              <w:spacing w:line="240" w:lineRule="auto"/>
              <w:rPr>
                <w:rFonts w:hint="eastAsia" w:ascii="仿宋" w:hAnsi="仿宋" w:eastAsia="仿宋"/>
                <w:b w:val="0"/>
                <w:bCs/>
                <w:color w:val="auto"/>
                <w:kern w:val="2"/>
                <w:sz w:val="21"/>
                <w:szCs w:val="21"/>
                <w:lang w:val="en-US" w:eastAsia="zh-CN"/>
              </w:rPr>
            </w:pPr>
            <w:r>
              <w:rPr>
                <w:rFonts w:hint="eastAsia" w:ascii="仿宋" w:hAnsi="仿宋" w:eastAsia="仿宋"/>
                <w:b w:val="0"/>
                <w:bCs/>
                <w:color w:val="auto"/>
                <w:kern w:val="2"/>
                <w:sz w:val="21"/>
                <w:szCs w:val="21"/>
                <w:lang w:val="en-US"/>
              </w:rPr>
              <w:t>供应商所投产品属于节能产品、环境标志产品品目清单范围的（政府强制采购产品除外），每有1个得0.</w:t>
            </w:r>
            <w:r>
              <w:rPr>
                <w:rFonts w:hint="eastAsia" w:ascii="仿宋" w:hAnsi="仿宋" w:eastAsia="仿宋"/>
                <w:b w:val="0"/>
                <w:bCs/>
                <w:color w:val="auto"/>
                <w:kern w:val="2"/>
                <w:sz w:val="21"/>
                <w:szCs w:val="21"/>
                <w:lang w:val="en-US" w:eastAsia="zh-CN"/>
              </w:rPr>
              <w:t>5</w:t>
            </w:r>
            <w:r>
              <w:rPr>
                <w:rFonts w:hint="eastAsia" w:ascii="仿宋" w:hAnsi="仿宋" w:eastAsia="仿宋"/>
                <w:b w:val="0"/>
                <w:bCs/>
                <w:color w:val="auto"/>
                <w:kern w:val="2"/>
                <w:sz w:val="21"/>
                <w:szCs w:val="21"/>
                <w:lang w:val="en-US"/>
              </w:rPr>
              <w:t>分</w:t>
            </w:r>
            <w:r>
              <w:rPr>
                <w:rFonts w:hint="eastAsia" w:ascii="仿宋" w:hAnsi="仿宋" w:eastAsia="仿宋"/>
                <w:b w:val="0"/>
                <w:bCs/>
                <w:color w:val="auto"/>
                <w:kern w:val="2"/>
                <w:sz w:val="21"/>
                <w:szCs w:val="21"/>
                <w:lang w:val="en-US" w:eastAsia="zh-CN"/>
              </w:rPr>
              <w:t>，</w:t>
            </w:r>
            <w:r>
              <w:rPr>
                <w:rFonts w:hint="eastAsia" w:ascii="仿宋" w:hAnsi="仿宋" w:eastAsia="仿宋"/>
                <w:b w:val="0"/>
                <w:bCs/>
                <w:color w:val="auto"/>
                <w:kern w:val="2"/>
                <w:sz w:val="21"/>
                <w:szCs w:val="21"/>
                <w:lang w:val="en-US"/>
              </w:rPr>
              <w:t>供应商所投产品有符合国家无线局域网安全标准（GB 15629.11/1102）并通过国家产品认证的每有1个得0.5分，</w:t>
            </w:r>
            <w:r>
              <w:rPr>
                <w:rFonts w:hint="eastAsia" w:ascii="仿宋" w:hAnsi="仿宋" w:eastAsia="仿宋"/>
                <w:b w:val="0"/>
                <w:bCs/>
                <w:color w:val="auto"/>
                <w:kern w:val="2"/>
                <w:sz w:val="21"/>
                <w:szCs w:val="21"/>
                <w:lang w:val="en-US" w:eastAsia="zh-CN"/>
              </w:rPr>
              <w:t>本项最多</w:t>
            </w:r>
            <w:r>
              <w:rPr>
                <w:rFonts w:hint="eastAsia" w:ascii="仿宋" w:hAnsi="仿宋" w:eastAsia="仿宋"/>
                <w:b w:val="0"/>
                <w:bCs/>
                <w:color w:val="auto"/>
                <w:kern w:val="2"/>
                <w:sz w:val="21"/>
                <w:szCs w:val="21"/>
                <w:lang w:val="en-US"/>
              </w:rPr>
              <w:t>得</w:t>
            </w:r>
            <w:r>
              <w:rPr>
                <w:rFonts w:hint="eastAsia" w:ascii="仿宋" w:hAnsi="仿宋" w:eastAsia="仿宋"/>
                <w:b w:val="0"/>
                <w:bCs/>
                <w:color w:val="auto"/>
                <w:kern w:val="2"/>
                <w:sz w:val="21"/>
                <w:szCs w:val="21"/>
                <w:lang w:val="en-US" w:eastAsia="zh-CN"/>
              </w:rPr>
              <w:t>1</w:t>
            </w:r>
            <w:r>
              <w:rPr>
                <w:rFonts w:hint="eastAsia" w:ascii="仿宋" w:hAnsi="仿宋" w:eastAsia="仿宋"/>
                <w:b w:val="0"/>
                <w:bCs/>
                <w:color w:val="auto"/>
                <w:kern w:val="2"/>
                <w:sz w:val="21"/>
                <w:szCs w:val="21"/>
                <w:lang w:val="en-US"/>
              </w:rPr>
              <w:t>分</w:t>
            </w:r>
            <w:r>
              <w:rPr>
                <w:rFonts w:hint="eastAsia" w:ascii="仿宋" w:hAnsi="仿宋" w:eastAsia="仿宋"/>
                <w:b w:val="0"/>
                <w:bCs/>
                <w:color w:val="auto"/>
                <w:kern w:val="2"/>
                <w:sz w:val="21"/>
                <w:szCs w:val="21"/>
                <w:lang w:val="en-US" w:eastAsia="zh-CN"/>
              </w:rPr>
              <w:t>。</w:t>
            </w:r>
          </w:p>
          <w:p>
            <w:pPr>
              <w:rPr>
                <w:rFonts w:ascii="仿宋" w:hAnsi="仿宋" w:eastAsia="仿宋" w:cs="华文仿宋"/>
                <w:color w:val="auto"/>
              </w:rPr>
            </w:pPr>
            <w:r>
              <w:rPr>
                <w:rFonts w:hint="eastAsia" w:ascii="仿宋" w:hAnsi="仿宋" w:eastAsia="仿宋" w:cs="仿宋"/>
                <w:b w:val="0"/>
                <w:bCs/>
                <w:color w:val="auto"/>
                <w:sz w:val="21"/>
                <w:szCs w:val="21"/>
                <w:lang w:val="en-US" w:eastAsia="zh-CN"/>
              </w:rPr>
              <w:t>注：</w:t>
            </w:r>
            <w:r>
              <w:rPr>
                <w:rFonts w:hint="eastAsia" w:ascii="仿宋" w:hAnsi="仿宋" w:eastAsia="仿宋" w:cs="仿宋"/>
                <w:b w:val="0"/>
                <w:bCs/>
                <w:color w:val="auto"/>
                <w:sz w:val="21"/>
                <w:szCs w:val="21"/>
              </w:rPr>
              <w:t>1、可重复计分。</w:t>
            </w:r>
            <w:r>
              <w:rPr>
                <w:rFonts w:hint="eastAsia" w:ascii="仿宋" w:hAnsi="仿宋" w:eastAsia="仿宋" w:cs="仿宋"/>
                <w:b w:val="0"/>
                <w:bCs/>
                <w:color w:val="auto"/>
                <w:sz w:val="21"/>
                <w:szCs w:val="21"/>
                <w:lang w:val="en-US" w:eastAsia="zh-CN"/>
              </w:rPr>
              <w:t>2</w:t>
            </w:r>
            <w:r>
              <w:rPr>
                <w:rFonts w:hint="eastAsia" w:ascii="仿宋" w:hAnsi="仿宋" w:eastAsia="仿宋" w:cs="仿宋"/>
                <w:b w:val="0"/>
                <w:bCs/>
                <w:color w:val="auto"/>
                <w:sz w:val="21"/>
                <w:szCs w:val="21"/>
              </w:rPr>
              <w:t>、投标人所投产品属于节能产品或环境标志产品政府采购品目清单中优先采购范围的，应当在投标文件中提供国家确定的认证机构出具的、处于有效期之内的节能产品或环境标志产品认证证书复印件并加盖投标人公章（鲜章），否则不予给分。</w:t>
            </w:r>
            <w:r>
              <w:rPr>
                <w:rFonts w:hint="eastAsia" w:ascii="仿宋" w:hAnsi="仿宋" w:eastAsia="仿宋" w:cs="仿宋"/>
                <w:b w:val="0"/>
                <w:bCs/>
                <w:color w:val="auto"/>
                <w:sz w:val="21"/>
                <w:szCs w:val="21"/>
                <w:lang w:val="en-US" w:eastAsia="zh-CN"/>
              </w:rPr>
              <w:t>3</w:t>
            </w:r>
            <w:r>
              <w:rPr>
                <w:rFonts w:hint="eastAsia" w:ascii="仿宋" w:hAnsi="仿宋" w:eastAsia="仿宋" w:cs="仿宋"/>
                <w:b w:val="0"/>
                <w:bCs/>
                <w:color w:val="auto"/>
                <w:sz w:val="21"/>
                <w:szCs w:val="21"/>
              </w:rPr>
              <w:t>、投标人所投产品属于优先采购范围内的无线局域网产品的，需提供《中国政府采购网》公布的无线局域网产品政府采购清单封面及对应页并加盖投标人公章（鲜章）。</w:t>
            </w:r>
            <w:r>
              <w:rPr>
                <w:rFonts w:hint="eastAsia" w:ascii="仿宋" w:hAnsi="仿宋" w:eastAsia="仿宋" w:cs="仿宋"/>
                <w:b w:val="0"/>
                <w:bCs/>
                <w:color w:val="auto"/>
                <w:sz w:val="21"/>
                <w:szCs w:val="21"/>
              </w:rPr>
              <w:br w:type="textWrapping"/>
            </w:r>
            <w:r>
              <w:rPr>
                <w:rFonts w:hint="eastAsia" w:ascii="仿宋" w:hAnsi="仿宋" w:eastAsia="仿宋" w:cs="仿宋"/>
                <w:b w:val="0"/>
                <w:bCs/>
                <w:color w:val="auto"/>
                <w:sz w:val="21"/>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02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olor w:val="auto"/>
              </w:rPr>
            </w:pPr>
            <w:r>
              <w:rPr>
                <w:rFonts w:hint="eastAsia" w:ascii="仿宋" w:hAnsi="仿宋" w:eastAsia="仿宋"/>
                <w:szCs w:val="24"/>
              </w:rPr>
              <w:t>政策性评分因素</w:t>
            </w:r>
          </w:p>
        </w:tc>
      </w:tr>
      <w:tr>
        <w:tblPrEx>
          <w:tblCellMar>
            <w:top w:w="0" w:type="dxa"/>
            <w:left w:w="108" w:type="dxa"/>
            <w:bottom w:w="0" w:type="dxa"/>
            <w:right w:w="108" w:type="dxa"/>
          </w:tblCellMar>
        </w:tblPrEx>
        <w:trPr>
          <w:trHeight w:val="480" w:hRule="atLeast"/>
          <w:jc w:val="center"/>
        </w:trPr>
        <w:tc>
          <w:tcPr>
            <w:tcW w:w="72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15</w:t>
            </w:r>
          </w:p>
        </w:tc>
        <w:tc>
          <w:tcPr>
            <w:tcW w:w="125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rPr>
              <w:t>文件规范性</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center"/>
              <w:textAlignment w:val="center"/>
              <w:rPr>
                <w:rFonts w:ascii="仿宋" w:hAnsi="仿宋" w:eastAsia="仿宋" w:cs="华文仿宋"/>
                <w:color w:val="auto"/>
              </w:rPr>
            </w:pPr>
            <w:r>
              <w:rPr>
                <w:rFonts w:hint="eastAsia" w:ascii="仿宋" w:hAnsi="仿宋" w:eastAsia="仿宋" w:cs="华文仿宋"/>
                <w:color w:val="auto"/>
                <w:kern w:val="0"/>
                <w:lang w:val="en-US" w:eastAsia="zh-CN"/>
              </w:rPr>
              <w:t>0.8</w:t>
            </w:r>
            <w:r>
              <w:rPr>
                <w:rFonts w:hint="eastAsia" w:ascii="仿宋" w:hAnsi="仿宋" w:eastAsia="仿宋" w:cs="华文仿宋"/>
                <w:color w:val="auto"/>
                <w:kern w:val="0"/>
              </w:rPr>
              <w:t>分</w:t>
            </w:r>
          </w:p>
        </w:tc>
        <w:tc>
          <w:tcPr>
            <w:tcW w:w="434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after="0" w:line="260" w:lineRule="auto"/>
              <w:jc w:val="left"/>
              <w:textAlignment w:val="top"/>
              <w:rPr>
                <w:rFonts w:ascii="仿宋" w:hAnsi="仿宋" w:eastAsia="仿宋" w:cs="华文仿宋"/>
                <w:color w:val="auto"/>
              </w:rPr>
            </w:pPr>
            <w:r>
              <w:rPr>
                <w:rFonts w:hint="eastAsia" w:ascii="仿宋" w:hAnsi="仿宋" w:eastAsia="仿宋" w:cs="华文仿宋"/>
                <w:color w:val="auto"/>
                <w:kern w:val="0"/>
              </w:rPr>
              <w:t>投标文件制作规范，没有细微偏差情形的得</w:t>
            </w:r>
            <w:r>
              <w:rPr>
                <w:rFonts w:hint="eastAsia" w:ascii="仿宋" w:hAnsi="仿宋" w:eastAsia="仿宋" w:cs="华文仿宋"/>
                <w:color w:val="auto"/>
                <w:kern w:val="0"/>
                <w:lang w:val="en-US" w:eastAsia="zh-CN"/>
              </w:rPr>
              <w:t>0.8</w:t>
            </w:r>
            <w:r>
              <w:rPr>
                <w:rFonts w:hint="eastAsia" w:ascii="仿宋" w:hAnsi="仿宋" w:eastAsia="仿宋" w:cs="华文仿宋"/>
                <w:color w:val="auto"/>
                <w:kern w:val="0"/>
              </w:rPr>
              <w:t>分；有一项细微偏差扣0.2分，直至该项分值扣完为止。</w:t>
            </w:r>
          </w:p>
        </w:tc>
        <w:tc>
          <w:tcPr>
            <w:tcW w:w="102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after="0" w:line="260" w:lineRule="auto"/>
              <w:jc w:val="center"/>
              <w:rPr>
                <w:rFonts w:ascii="仿宋" w:hAnsi="仿宋" w:eastAsia="仿宋" w:cs="华文仿宋"/>
                <w:color w:val="auto"/>
              </w:rPr>
            </w:pPr>
            <w:r>
              <w:rPr>
                <w:rFonts w:hint="eastAsia" w:ascii="仿宋" w:hAnsi="仿宋" w:eastAsia="仿宋" w:cs="华文仿宋"/>
                <w:color w:val="auto"/>
              </w:rPr>
              <w:t>共同评分因素</w:t>
            </w:r>
          </w:p>
        </w:tc>
      </w:tr>
    </w:tbl>
    <w:p>
      <w:pPr>
        <w:ind w:firstLine="360" w:firstLineChars="150"/>
        <w:rPr>
          <w:rFonts w:ascii="仿宋" w:hAnsi="仿宋" w:eastAsia="仿宋"/>
          <w:color w:val="auto"/>
          <w:sz w:val="24"/>
        </w:rPr>
      </w:pPr>
      <w:r>
        <w:rPr>
          <w:rFonts w:hint="eastAsia" w:ascii="仿宋" w:hAnsi="仿宋" w:eastAsia="仿宋"/>
          <w:color w:val="auto"/>
          <w:sz w:val="24"/>
        </w:rPr>
        <w:t>注： 评分的取值按四舍五入法，保留小数点后两位。</w:t>
      </w:r>
    </w:p>
    <w:p>
      <w:pPr>
        <w:pStyle w:val="11"/>
        <w:ind w:firstLine="420" w:firstLineChars="175"/>
        <w:rPr>
          <w:rFonts w:ascii="仿宋" w:hAnsi="仿宋" w:eastAsia="仿宋"/>
          <w:bCs/>
          <w:color w:val="auto"/>
          <w:sz w:val="24"/>
        </w:rPr>
      </w:pPr>
      <w:bookmarkStart w:id="256" w:name="_Toc217446059"/>
      <w:r>
        <w:rPr>
          <w:rFonts w:hint="eastAsia" w:ascii="仿宋" w:hAnsi="仿宋" w:eastAsia="仿宋"/>
          <w:color w:val="auto"/>
          <w:sz w:val="24"/>
        </w:rPr>
        <w:t>4.3.4 本次综合评分法由评标委员会各成员独立对通过初审（资格检查和符合性检查）的投标人的投标文件进行评审和打分，评标得分＝（A1＋A2＋……＋An）/N</w:t>
      </w:r>
      <w:r>
        <w:rPr>
          <w:rFonts w:hint="eastAsia" w:ascii="仿宋" w:hAnsi="仿宋" w:eastAsia="仿宋"/>
          <w:color w:val="auto"/>
          <w:sz w:val="24"/>
          <w:vertAlign w:val="subscript"/>
        </w:rPr>
        <w:t>A</w:t>
      </w:r>
      <w:r>
        <w:rPr>
          <w:rFonts w:hint="eastAsia" w:ascii="仿宋" w:hAnsi="仿宋" w:eastAsia="仿宋"/>
          <w:color w:val="auto"/>
          <w:sz w:val="24"/>
        </w:rPr>
        <w:t>＋（B1＋B2＋……＋Bn）/ N</w:t>
      </w:r>
      <w:r>
        <w:rPr>
          <w:rFonts w:hint="eastAsia" w:ascii="仿宋" w:hAnsi="仿宋" w:eastAsia="仿宋"/>
          <w:color w:val="auto"/>
          <w:sz w:val="24"/>
          <w:vertAlign w:val="subscript"/>
        </w:rPr>
        <w:t>B</w:t>
      </w:r>
      <w:r>
        <w:rPr>
          <w:rFonts w:hint="eastAsia" w:ascii="仿宋" w:hAnsi="仿宋" w:eastAsia="仿宋"/>
          <w:color w:val="auto"/>
          <w:sz w:val="24"/>
        </w:rPr>
        <w:t>＋（C1＋C2＋……＋Cn）/ N</w:t>
      </w:r>
      <w:r>
        <w:rPr>
          <w:rFonts w:hint="eastAsia" w:ascii="仿宋" w:hAnsi="仿宋" w:eastAsia="仿宋"/>
          <w:color w:val="auto"/>
          <w:sz w:val="24"/>
          <w:vertAlign w:val="subscript"/>
        </w:rPr>
        <w:t>C</w:t>
      </w:r>
      <w:r>
        <w:rPr>
          <w:rFonts w:hint="eastAsia" w:ascii="仿宋" w:hAnsi="仿宋" w:eastAsia="仿宋"/>
          <w:color w:val="auto"/>
          <w:sz w:val="24"/>
        </w:rPr>
        <w:t>＋（D1＋D2＋……＋Dn）/ N</w:t>
      </w:r>
      <w:r>
        <w:rPr>
          <w:rFonts w:hint="eastAsia" w:ascii="仿宋" w:hAnsi="仿宋" w:eastAsia="仿宋"/>
          <w:color w:val="auto"/>
          <w:sz w:val="24"/>
          <w:vertAlign w:val="subscript"/>
        </w:rPr>
        <w:t>D</w:t>
      </w:r>
      <w:r>
        <w:rPr>
          <w:rFonts w:hint="default" w:ascii="仿宋" w:hAnsi="仿宋" w:eastAsia="仿宋"/>
          <w:color w:val="auto"/>
          <w:sz w:val="24"/>
          <w:vertAlign w:val="subscript"/>
        </w:rPr>
        <w:t xml:space="preserve"> ，</w:t>
      </w:r>
      <w:r>
        <w:rPr>
          <w:rFonts w:hint="eastAsia" w:ascii="仿宋" w:hAnsi="仿宋" w:eastAsia="仿宋"/>
          <w:color w:val="auto"/>
          <w:sz w:val="24"/>
        </w:rPr>
        <w:t>A1、A2……An分别为每个经济类评委（经济类专家）的打分，N</w:t>
      </w:r>
      <w:r>
        <w:rPr>
          <w:rFonts w:hint="eastAsia" w:ascii="仿宋" w:hAnsi="仿宋" w:eastAsia="仿宋"/>
          <w:color w:val="auto"/>
          <w:sz w:val="24"/>
          <w:vertAlign w:val="subscript"/>
        </w:rPr>
        <w:t>A</w:t>
      </w:r>
      <w:r>
        <w:rPr>
          <w:rFonts w:hint="eastAsia" w:ascii="仿宋" w:hAnsi="仿宋" w:eastAsia="仿宋"/>
          <w:color w:val="auto"/>
          <w:sz w:val="24"/>
        </w:rPr>
        <w:t>为经济类评委（经济类专家）人数；B1、B2＋……Bn 分别为每个技术类评委（技术类专家和采购人代表）的打分，N</w:t>
      </w:r>
      <w:r>
        <w:rPr>
          <w:rFonts w:hint="eastAsia" w:ascii="仿宋" w:hAnsi="仿宋" w:eastAsia="仿宋"/>
          <w:color w:val="auto"/>
          <w:sz w:val="24"/>
          <w:vertAlign w:val="subscript"/>
        </w:rPr>
        <w:t>B</w:t>
      </w:r>
      <w:r>
        <w:rPr>
          <w:rFonts w:hint="eastAsia" w:ascii="仿宋" w:hAnsi="仿宋" w:eastAsia="仿宋"/>
          <w:color w:val="auto"/>
          <w:sz w:val="24"/>
        </w:rPr>
        <w:t>为技术类评委（技术类专家和采购人代表）人数；C1、C2……Cn 分别为每个政策合同类评委（法律类专家）的打分，N</w:t>
      </w:r>
      <w:r>
        <w:rPr>
          <w:rFonts w:hint="eastAsia" w:ascii="仿宋" w:hAnsi="仿宋" w:eastAsia="仿宋"/>
          <w:color w:val="auto"/>
          <w:sz w:val="24"/>
          <w:vertAlign w:val="subscript"/>
        </w:rPr>
        <w:t>C</w:t>
      </w:r>
      <w:r>
        <w:rPr>
          <w:rFonts w:hint="eastAsia" w:ascii="仿宋" w:hAnsi="仿宋" w:eastAsia="仿宋"/>
          <w:color w:val="auto"/>
          <w:sz w:val="24"/>
        </w:rPr>
        <w:t>为政策合同类评委（法律类专家）人数；D1、D2……Dn 分别为评审委员会每个成员的打分（共同评分类），N</w:t>
      </w:r>
      <w:r>
        <w:rPr>
          <w:rFonts w:hint="eastAsia" w:ascii="仿宋" w:hAnsi="仿宋" w:eastAsia="仿宋"/>
          <w:color w:val="auto"/>
          <w:sz w:val="24"/>
          <w:vertAlign w:val="subscript"/>
        </w:rPr>
        <w:t>D</w:t>
      </w:r>
      <w:r>
        <w:rPr>
          <w:rFonts w:hint="eastAsia" w:ascii="仿宋" w:hAnsi="仿宋" w:eastAsia="仿宋"/>
          <w:color w:val="auto"/>
          <w:sz w:val="24"/>
        </w:rPr>
        <w:t>为评标委员会人</w:t>
      </w:r>
      <w:r>
        <w:rPr>
          <w:rFonts w:hint="eastAsia" w:ascii="仿宋" w:hAnsi="仿宋" w:eastAsia="仿宋"/>
          <w:bCs/>
          <w:color w:val="auto"/>
          <w:sz w:val="24"/>
        </w:rPr>
        <w:t>数。</w:t>
      </w:r>
      <w:bookmarkEnd w:id="256"/>
    </w:p>
    <w:p>
      <w:pPr>
        <w:pStyle w:val="4"/>
        <w:numPr>
          <w:ilvl w:val="0"/>
          <w:numId w:val="7"/>
        </w:numPr>
        <w:spacing w:line="400" w:lineRule="exact"/>
        <w:ind w:firstLine="470" w:firstLineChars="196"/>
        <w:rPr>
          <w:rFonts w:ascii="仿宋" w:hAnsi="仿宋" w:eastAsia="仿宋"/>
          <w:color w:val="auto"/>
          <w:sz w:val="24"/>
          <w:szCs w:val="24"/>
        </w:rPr>
      </w:pPr>
      <w:bookmarkStart w:id="257" w:name="_Toc217446060"/>
      <w:r>
        <w:rPr>
          <w:rFonts w:hint="eastAsia" w:ascii="仿宋" w:hAnsi="仿宋" w:eastAsia="仿宋"/>
          <w:color w:val="auto"/>
          <w:sz w:val="24"/>
          <w:szCs w:val="24"/>
        </w:rPr>
        <w:t>废标</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5.1本次政府采购活动中，出现下列情形之一的，予以废标：</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（1）符合专业条件的供应商或者对招标文件作实质响应的供应商不足三家的；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（2）出现影响采购公正的违法、违规行为的；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（3）投标人的报价均超过了采购预算，采购人不能支付的；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（4）因重大变故，采购任务取消的。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color w:val="auto"/>
          <w:sz w:val="24"/>
        </w:rPr>
      </w:pPr>
    </w:p>
    <w:p>
      <w:pPr>
        <w:pStyle w:val="4"/>
        <w:spacing w:line="400" w:lineRule="exact"/>
        <w:ind w:firstLine="470" w:firstLineChars="196"/>
        <w:rPr>
          <w:rFonts w:ascii="仿宋" w:hAnsi="仿宋" w:eastAsia="仿宋"/>
          <w:color w:val="auto"/>
          <w:sz w:val="24"/>
          <w:szCs w:val="24"/>
        </w:rPr>
      </w:pPr>
      <w:r>
        <w:rPr>
          <w:rFonts w:hint="eastAsia" w:ascii="仿宋" w:hAnsi="仿宋" w:eastAsia="仿宋"/>
          <w:color w:val="auto"/>
          <w:sz w:val="24"/>
          <w:szCs w:val="24"/>
        </w:rPr>
        <w:t>6.定标</w:t>
      </w:r>
      <w:bookmarkEnd w:id="257"/>
      <w:bookmarkStart w:id="258" w:name="_Toc217446061"/>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6.1. 定标原则</w:t>
      </w:r>
      <w:bookmarkEnd w:id="258"/>
      <w:r>
        <w:rPr>
          <w:rFonts w:hint="eastAsia" w:ascii="仿宋" w:hAnsi="仿宋" w:eastAsia="仿宋"/>
          <w:color w:val="auto"/>
          <w:sz w:val="24"/>
        </w:rPr>
        <w:t>：本项目根据评标委员会推荐的中标候选供应商名单，按顺序确定中标供应商。</w:t>
      </w:r>
    </w:p>
    <w:p>
      <w:pPr>
        <w:spacing w:line="400" w:lineRule="exact"/>
        <w:ind w:firstLine="480" w:firstLineChars="200"/>
        <w:rPr>
          <w:rFonts w:ascii="仿宋" w:hAnsi="仿宋" w:eastAsia="仿宋"/>
          <w:color w:val="auto"/>
          <w:sz w:val="24"/>
        </w:rPr>
      </w:pPr>
      <w:bookmarkStart w:id="259" w:name="_Toc217446062"/>
      <w:r>
        <w:rPr>
          <w:rFonts w:hint="eastAsia" w:ascii="仿宋" w:hAnsi="仿宋" w:eastAsia="仿宋"/>
          <w:color w:val="auto"/>
          <w:sz w:val="24"/>
        </w:rPr>
        <w:t>6.2. 定标程序</w:t>
      </w:r>
      <w:bookmarkEnd w:id="259"/>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6.2.1 评标委员会将评标情况写出书面报告，推荐中标候选供应商。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6.2.2 采购代理机构在评标结束后2个工作日内将评标报告送采购人。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6.2.5 招标采购单位不退回投标人投标文件和其他投标资料。</w:t>
      </w:r>
      <w:bookmarkEnd w:id="254"/>
    </w:p>
    <w:p>
      <w:pPr>
        <w:pStyle w:val="4"/>
        <w:spacing w:line="400" w:lineRule="exact"/>
        <w:ind w:firstLine="480" w:firstLineChars="200"/>
        <w:rPr>
          <w:rFonts w:ascii="仿宋" w:hAnsi="仿宋" w:eastAsia="仿宋"/>
          <w:bCs w:val="0"/>
          <w:color w:val="auto"/>
          <w:sz w:val="24"/>
          <w:szCs w:val="24"/>
        </w:rPr>
      </w:pPr>
      <w:r>
        <w:rPr>
          <w:rFonts w:hint="eastAsia" w:ascii="仿宋" w:hAnsi="仿宋" w:eastAsia="仿宋"/>
          <w:bCs w:val="0"/>
          <w:color w:val="auto"/>
          <w:sz w:val="24"/>
          <w:szCs w:val="24"/>
          <w:lang w:val="en-US" w:eastAsia="zh-CN"/>
        </w:rPr>
        <w:t>7</w:t>
      </w:r>
      <w:r>
        <w:rPr>
          <w:rFonts w:hint="eastAsia" w:ascii="仿宋" w:hAnsi="仿宋" w:eastAsia="仿宋"/>
          <w:bCs w:val="0"/>
          <w:color w:val="auto"/>
          <w:sz w:val="24"/>
          <w:szCs w:val="24"/>
        </w:rPr>
        <w:t>.评标专家在政府采购活动中应当遵守以下工作纪律：</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（一）遵行《政府采购法》第十二条和《政府采购法实施条例》第九条及财政部关于回避的规定。</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（二）评标前，应当将通讯工具或者相关电子设备交由招标采购单位统一保管。</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（六）服从评标现场招标采购单位的现场秩序管理，接受评标现场监督人员的合法监督。</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（七）遵守有关廉洁自律规定，不得私下接触供应商，不得收受供应商及有关业务单位和个人的财物或好处，不得接受采购组织单位的请托。</w:t>
      </w:r>
    </w:p>
    <w:p>
      <w:pPr>
        <w:pStyle w:val="3"/>
        <w:spacing w:line="400" w:lineRule="exact"/>
        <w:jc w:val="center"/>
        <w:rPr>
          <w:rFonts w:ascii="仿宋" w:hAnsi="仿宋" w:eastAsia="仿宋"/>
          <w:color w:val="auto"/>
          <w:sz w:val="36"/>
          <w:szCs w:val="36"/>
        </w:rPr>
      </w:pPr>
      <w:bookmarkStart w:id="260" w:name="_Toc5845"/>
      <w:bookmarkStart w:id="261" w:name="_Toc23042"/>
      <w:r>
        <w:rPr>
          <w:rFonts w:hint="eastAsia" w:ascii="仿宋" w:hAnsi="仿宋" w:eastAsia="仿宋"/>
          <w:color w:val="auto"/>
          <w:sz w:val="36"/>
          <w:szCs w:val="36"/>
        </w:rPr>
        <w:br w:type="page"/>
      </w:r>
      <w:bookmarkEnd w:id="260"/>
      <w:bookmarkEnd w:id="261"/>
      <w:r>
        <w:rPr>
          <w:rFonts w:hint="eastAsia" w:ascii="仿宋" w:hAnsi="仿宋" w:eastAsia="仿宋"/>
          <w:color w:val="auto"/>
          <w:sz w:val="36"/>
          <w:szCs w:val="36"/>
        </w:rPr>
        <w:t>第八章</w:t>
      </w:r>
      <w:r>
        <w:rPr>
          <w:rFonts w:ascii="仿宋" w:hAnsi="仿宋" w:eastAsia="仿宋"/>
          <w:color w:val="auto"/>
          <w:sz w:val="36"/>
          <w:szCs w:val="36"/>
        </w:rPr>
        <w:t xml:space="preserve">  </w:t>
      </w:r>
      <w:r>
        <w:rPr>
          <w:rFonts w:hint="eastAsia" w:ascii="仿宋" w:hAnsi="仿宋" w:eastAsia="仿宋"/>
          <w:color w:val="auto"/>
          <w:sz w:val="36"/>
          <w:szCs w:val="36"/>
        </w:rPr>
        <w:t>政府采购合同</w:t>
      </w:r>
    </w:p>
    <w:p>
      <w:pPr>
        <w:spacing w:line="400" w:lineRule="exact"/>
        <w:rPr>
          <w:rFonts w:ascii="仿宋" w:hAnsi="仿宋" w:eastAsia="仿宋"/>
          <w:color w:val="auto"/>
        </w:rPr>
      </w:pPr>
    </w:p>
    <w:p>
      <w:pPr>
        <w:jc w:val="left"/>
        <w:rPr>
          <w:rFonts w:ascii="仿宋" w:hAnsi="仿宋" w:eastAsia="仿宋"/>
          <w:color w:val="auto"/>
          <w:sz w:val="24"/>
        </w:rPr>
      </w:pPr>
    </w:p>
    <w:p>
      <w:pPr>
        <w:ind w:firstLine="480"/>
        <w:jc w:val="left"/>
        <w:rPr>
          <w:rFonts w:ascii="仿宋" w:hAnsi="仿宋" w:eastAsia="仿宋"/>
          <w:color w:val="auto"/>
          <w:sz w:val="24"/>
          <w:u w:val="single"/>
        </w:rPr>
      </w:pPr>
      <w:r>
        <w:rPr>
          <w:rFonts w:ascii="仿宋" w:hAnsi="仿宋" w:eastAsia="仿宋"/>
          <w:color w:val="auto"/>
          <w:sz w:val="24"/>
        </w:rPr>
        <w:t>项目名称：</w:t>
      </w:r>
      <w:r>
        <w:rPr>
          <w:rFonts w:ascii="仿宋" w:hAnsi="仿宋" w:eastAsia="仿宋"/>
          <w:color w:val="auto"/>
          <w:sz w:val="24"/>
          <w:u w:val="single"/>
        </w:rPr>
        <w:t xml:space="preserve">                                          </w:t>
      </w:r>
    </w:p>
    <w:p>
      <w:pPr>
        <w:ind w:firstLine="480"/>
        <w:jc w:val="left"/>
        <w:rPr>
          <w:rFonts w:ascii="仿宋" w:hAnsi="仿宋" w:eastAsia="仿宋"/>
          <w:color w:val="auto"/>
          <w:sz w:val="24"/>
          <w:u w:val="single"/>
        </w:rPr>
      </w:pPr>
      <w:r>
        <w:rPr>
          <w:rFonts w:ascii="仿宋" w:hAnsi="仿宋" w:eastAsia="仿宋"/>
          <w:color w:val="auto"/>
          <w:sz w:val="24"/>
        </w:rPr>
        <w:t>政府采购管理部门备案编号：</w:t>
      </w:r>
      <w:r>
        <w:rPr>
          <w:rFonts w:ascii="仿宋" w:hAnsi="仿宋" w:eastAsia="仿宋"/>
          <w:color w:val="auto"/>
          <w:sz w:val="24"/>
          <w:u w:val="single"/>
        </w:rPr>
        <w:t xml:space="preserve">                          </w:t>
      </w:r>
    </w:p>
    <w:p>
      <w:pPr>
        <w:ind w:firstLine="480"/>
        <w:jc w:val="left"/>
        <w:rPr>
          <w:rFonts w:ascii="仿宋" w:hAnsi="仿宋" w:eastAsia="仿宋"/>
          <w:color w:val="auto"/>
          <w:sz w:val="24"/>
          <w:u w:val="single"/>
        </w:rPr>
      </w:pPr>
      <w:r>
        <w:rPr>
          <w:rFonts w:ascii="仿宋" w:hAnsi="仿宋" w:eastAsia="仿宋"/>
          <w:color w:val="auto"/>
          <w:sz w:val="24"/>
        </w:rPr>
        <w:t>招标文件编号：</w:t>
      </w:r>
      <w:r>
        <w:rPr>
          <w:rFonts w:ascii="仿宋" w:hAnsi="仿宋" w:eastAsia="仿宋"/>
          <w:color w:val="auto"/>
          <w:sz w:val="24"/>
          <w:u w:val="single"/>
        </w:rPr>
        <w:t xml:space="preserve">                                      </w:t>
      </w:r>
    </w:p>
    <w:p>
      <w:pPr>
        <w:ind w:firstLine="480"/>
        <w:jc w:val="left"/>
        <w:rPr>
          <w:rFonts w:ascii="仿宋" w:hAnsi="仿宋" w:eastAsia="仿宋"/>
          <w:color w:val="auto"/>
          <w:sz w:val="24"/>
          <w:u w:val="single"/>
        </w:rPr>
      </w:pPr>
      <w:r>
        <w:rPr>
          <w:rFonts w:ascii="仿宋" w:hAnsi="仿宋" w:eastAsia="仿宋"/>
          <w:color w:val="auto"/>
          <w:sz w:val="24"/>
        </w:rPr>
        <w:t>甲方合同编号：</w:t>
      </w:r>
      <w:r>
        <w:rPr>
          <w:rFonts w:ascii="仿宋" w:hAnsi="仿宋" w:eastAsia="仿宋"/>
          <w:color w:val="auto"/>
          <w:sz w:val="24"/>
          <w:u w:val="single"/>
        </w:rPr>
        <w:t xml:space="preserve">                                      </w:t>
      </w:r>
    </w:p>
    <w:p>
      <w:pPr>
        <w:ind w:firstLine="480"/>
        <w:jc w:val="left"/>
        <w:rPr>
          <w:rFonts w:ascii="仿宋" w:hAnsi="仿宋" w:eastAsia="仿宋"/>
          <w:color w:val="auto"/>
          <w:sz w:val="24"/>
          <w:u w:val="single"/>
        </w:rPr>
      </w:pPr>
      <w:r>
        <w:rPr>
          <w:rFonts w:ascii="仿宋" w:hAnsi="仿宋" w:eastAsia="仿宋"/>
          <w:color w:val="auto"/>
          <w:sz w:val="24"/>
        </w:rPr>
        <w:t>甲方（采购人）：</w:t>
      </w:r>
      <w:r>
        <w:rPr>
          <w:rFonts w:ascii="仿宋" w:hAnsi="仿宋" w:eastAsia="仿宋"/>
          <w:color w:val="auto"/>
          <w:sz w:val="24"/>
          <w:u w:val="single"/>
        </w:rPr>
        <w:t xml:space="preserve">                                    </w:t>
      </w:r>
    </w:p>
    <w:p>
      <w:pPr>
        <w:ind w:firstLine="480"/>
        <w:jc w:val="left"/>
        <w:rPr>
          <w:rFonts w:ascii="仿宋" w:hAnsi="仿宋" w:eastAsia="仿宋"/>
          <w:color w:val="auto"/>
          <w:sz w:val="24"/>
          <w:u w:val="single"/>
        </w:rPr>
      </w:pPr>
      <w:r>
        <w:rPr>
          <w:rFonts w:ascii="仿宋" w:hAnsi="仿宋" w:eastAsia="仿宋"/>
          <w:color w:val="auto"/>
          <w:sz w:val="24"/>
        </w:rPr>
        <w:t>乙方（供应商）：</w:t>
      </w:r>
      <w:r>
        <w:rPr>
          <w:rFonts w:ascii="仿宋" w:hAnsi="仿宋" w:eastAsia="仿宋"/>
          <w:color w:val="auto"/>
          <w:sz w:val="24"/>
          <w:u w:val="single"/>
        </w:rPr>
        <w:t xml:space="preserve">                                    </w:t>
      </w:r>
    </w:p>
    <w:p>
      <w:pPr>
        <w:jc w:val="left"/>
        <w:rPr>
          <w:rFonts w:ascii="仿宋" w:hAnsi="仿宋" w:eastAsia="仿宋"/>
          <w:color w:val="auto"/>
          <w:sz w:val="24"/>
          <w:u w:val="single"/>
        </w:rPr>
      </w:pPr>
    </w:p>
    <w:p>
      <w:pPr>
        <w:ind w:firstLine="480"/>
        <w:jc w:val="left"/>
        <w:rPr>
          <w:rFonts w:ascii="仿宋" w:hAnsi="仿宋" w:eastAsia="仿宋"/>
          <w:color w:val="auto"/>
          <w:sz w:val="24"/>
        </w:rPr>
      </w:pPr>
      <w:r>
        <w:rPr>
          <w:rFonts w:ascii="仿宋" w:hAnsi="仿宋" w:eastAsia="仿宋"/>
          <w:color w:val="auto"/>
          <w:sz w:val="24"/>
        </w:rPr>
        <w:t>根据《中华人民共和国政府采购法》、《</w:t>
      </w:r>
      <w:r>
        <w:rPr>
          <w:rFonts w:hint="eastAsia" w:ascii="仿宋" w:hAnsi="仿宋" w:eastAsia="仿宋"/>
          <w:color w:val="auto"/>
          <w:sz w:val="24"/>
        </w:rPr>
        <w:t>中华人民共和国民法典</w:t>
      </w:r>
      <w:r>
        <w:rPr>
          <w:rFonts w:ascii="仿宋" w:hAnsi="仿宋" w:eastAsia="仿宋"/>
          <w:color w:val="auto"/>
          <w:sz w:val="24"/>
        </w:rPr>
        <w:t>》及</w:t>
      </w:r>
      <w:r>
        <w:rPr>
          <w:rFonts w:hint="eastAsia" w:ascii="仿宋" w:hAnsi="仿宋" w:eastAsia="仿宋"/>
          <w:color w:val="auto"/>
          <w:sz w:val="24"/>
          <w:u w:val="single"/>
          <w:lang w:eastAsia="zh-CN"/>
        </w:rPr>
        <w:t>成华区“数字孪生社区”试点项目（杉板桥社区）</w:t>
      </w:r>
      <w:r>
        <w:rPr>
          <w:rFonts w:ascii="仿宋" w:hAnsi="仿宋" w:eastAsia="仿宋"/>
          <w:color w:val="auto"/>
          <w:sz w:val="24"/>
        </w:rPr>
        <w:t>（采购项目编号：</w:t>
      </w:r>
      <w:r>
        <w:rPr>
          <w:rFonts w:hint="eastAsia" w:ascii="仿宋" w:hAnsi="仿宋" w:eastAsia="仿宋"/>
          <w:color w:val="auto"/>
          <w:sz w:val="24"/>
          <w:u w:val="single"/>
        </w:rPr>
        <w:t>510108202100087</w:t>
      </w:r>
      <w:r>
        <w:rPr>
          <w:rFonts w:ascii="仿宋" w:hAnsi="仿宋" w:eastAsia="仿宋"/>
          <w:color w:val="auto"/>
          <w:sz w:val="24"/>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ind w:firstLine="470" w:firstLineChars="196"/>
        <w:jc w:val="left"/>
        <w:rPr>
          <w:rFonts w:ascii="仿宋" w:hAnsi="仿宋" w:eastAsia="仿宋"/>
          <w:color w:val="auto"/>
          <w:sz w:val="24"/>
        </w:rPr>
      </w:pPr>
      <w:r>
        <w:rPr>
          <w:rFonts w:ascii="仿宋" w:hAnsi="仿宋" w:eastAsia="仿宋"/>
          <w:color w:val="auto"/>
          <w:sz w:val="24"/>
        </w:rPr>
        <w:t xml:space="preserve">第一条  合同文件 </w:t>
      </w:r>
    </w:p>
    <w:p>
      <w:pPr>
        <w:ind w:firstLine="480"/>
        <w:jc w:val="left"/>
        <w:rPr>
          <w:rFonts w:ascii="仿宋" w:hAnsi="仿宋" w:eastAsia="仿宋"/>
          <w:color w:val="auto"/>
          <w:sz w:val="24"/>
        </w:rPr>
      </w:pPr>
      <w:r>
        <w:rPr>
          <w:rFonts w:ascii="仿宋" w:hAnsi="仿宋" w:eastAsia="仿宋"/>
          <w:color w:val="auto"/>
          <w:sz w:val="24"/>
        </w:rPr>
        <w:t xml:space="preserve">下列与本次采购活动有关的文件及附件是本合同不可分割的组成部分，与本合同具有同等法律效力，这些文件包括但不限于： </w:t>
      </w:r>
    </w:p>
    <w:p>
      <w:pPr>
        <w:ind w:firstLine="480"/>
        <w:jc w:val="left"/>
        <w:rPr>
          <w:rFonts w:ascii="仿宋" w:hAnsi="仿宋" w:eastAsia="仿宋"/>
          <w:color w:val="auto"/>
          <w:sz w:val="24"/>
        </w:rPr>
      </w:pPr>
      <w:r>
        <w:rPr>
          <w:rFonts w:ascii="仿宋" w:hAnsi="仿宋" w:eastAsia="仿宋"/>
          <w:color w:val="auto"/>
          <w:sz w:val="24"/>
        </w:rPr>
        <w:t xml:space="preserve">1．招标文件 </w:t>
      </w:r>
    </w:p>
    <w:p>
      <w:pPr>
        <w:ind w:firstLine="480"/>
        <w:jc w:val="left"/>
        <w:rPr>
          <w:rFonts w:ascii="仿宋" w:hAnsi="仿宋" w:eastAsia="仿宋"/>
          <w:color w:val="auto"/>
          <w:sz w:val="24"/>
        </w:rPr>
      </w:pPr>
      <w:r>
        <w:rPr>
          <w:rFonts w:ascii="仿宋" w:hAnsi="仿宋" w:eastAsia="仿宋"/>
          <w:color w:val="auto"/>
          <w:sz w:val="24"/>
        </w:rPr>
        <w:t xml:space="preserve">2．投标文件 </w:t>
      </w:r>
    </w:p>
    <w:p>
      <w:pPr>
        <w:ind w:firstLine="480"/>
        <w:jc w:val="left"/>
        <w:rPr>
          <w:rFonts w:ascii="仿宋" w:hAnsi="仿宋" w:eastAsia="仿宋"/>
          <w:color w:val="auto"/>
          <w:sz w:val="24"/>
        </w:rPr>
      </w:pPr>
      <w:r>
        <w:rPr>
          <w:rFonts w:ascii="仿宋" w:hAnsi="仿宋" w:eastAsia="仿宋"/>
          <w:color w:val="auto"/>
          <w:sz w:val="24"/>
        </w:rPr>
        <w:t xml:space="preserve">3．乙方在响应时的书面承诺 </w:t>
      </w:r>
    </w:p>
    <w:p>
      <w:pPr>
        <w:ind w:firstLine="480"/>
        <w:jc w:val="left"/>
        <w:rPr>
          <w:rFonts w:ascii="仿宋" w:hAnsi="仿宋" w:eastAsia="仿宋"/>
          <w:color w:val="auto"/>
          <w:sz w:val="24"/>
        </w:rPr>
      </w:pPr>
      <w:r>
        <w:rPr>
          <w:rFonts w:ascii="仿宋" w:hAnsi="仿宋" w:eastAsia="仿宋"/>
          <w:color w:val="auto"/>
          <w:sz w:val="24"/>
        </w:rPr>
        <w:t xml:space="preserve">4．中标通知书 </w:t>
      </w:r>
    </w:p>
    <w:p>
      <w:pPr>
        <w:ind w:firstLine="480"/>
        <w:jc w:val="left"/>
        <w:rPr>
          <w:rFonts w:ascii="仿宋" w:hAnsi="仿宋" w:eastAsia="仿宋"/>
          <w:color w:val="auto"/>
          <w:sz w:val="24"/>
        </w:rPr>
      </w:pPr>
      <w:r>
        <w:rPr>
          <w:rFonts w:ascii="仿宋" w:hAnsi="仿宋" w:eastAsia="仿宋"/>
          <w:color w:val="auto"/>
          <w:sz w:val="24"/>
        </w:rPr>
        <w:t xml:space="preserve">5．合同补充条款或说明 </w:t>
      </w:r>
    </w:p>
    <w:p>
      <w:pPr>
        <w:ind w:firstLine="480"/>
        <w:jc w:val="left"/>
        <w:rPr>
          <w:rFonts w:ascii="仿宋" w:hAnsi="仿宋" w:eastAsia="仿宋"/>
          <w:color w:val="auto"/>
          <w:sz w:val="24"/>
        </w:rPr>
      </w:pPr>
      <w:r>
        <w:rPr>
          <w:rFonts w:ascii="仿宋" w:hAnsi="仿宋" w:eastAsia="仿宋"/>
          <w:color w:val="auto"/>
          <w:sz w:val="24"/>
        </w:rPr>
        <w:t xml:space="preserve">6．保密协议或条款 </w:t>
      </w:r>
    </w:p>
    <w:p>
      <w:pPr>
        <w:ind w:firstLine="480"/>
        <w:jc w:val="left"/>
        <w:rPr>
          <w:rFonts w:ascii="仿宋" w:hAnsi="仿宋" w:eastAsia="仿宋"/>
          <w:color w:val="auto"/>
          <w:sz w:val="24"/>
        </w:rPr>
      </w:pPr>
      <w:r>
        <w:rPr>
          <w:rFonts w:ascii="仿宋" w:hAnsi="仿宋" w:eastAsia="仿宋"/>
          <w:color w:val="auto"/>
          <w:sz w:val="24"/>
        </w:rPr>
        <w:t>7．相关附件</w:t>
      </w:r>
    </w:p>
    <w:p>
      <w:pPr>
        <w:ind w:firstLine="470" w:firstLineChars="196"/>
        <w:jc w:val="left"/>
        <w:rPr>
          <w:rFonts w:ascii="仿宋" w:hAnsi="仿宋" w:eastAsia="仿宋"/>
          <w:color w:val="auto"/>
          <w:sz w:val="24"/>
        </w:rPr>
      </w:pPr>
      <w:r>
        <w:rPr>
          <w:rFonts w:ascii="仿宋" w:hAnsi="仿宋" w:eastAsia="仿宋"/>
          <w:color w:val="auto"/>
          <w:sz w:val="24"/>
        </w:rPr>
        <w:t>第二条  合同期限</w:t>
      </w:r>
    </w:p>
    <w:p>
      <w:pPr>
        <w:ind w:firstLine="480"/>
        <w:jc w:val="left"/>
        <w:rPr>
          <w:rFonts w:ascii="仿宋" w:hAnsi="仿宋" w:eastAsia="仿宋"/>
          <w:color w:val="auto"/>
          <w:sz w:val="24"/>
        </w:rPr>
      </w:pPr>
      <w:r>
        <w:rPr>
          <w:rFonts w:ascii="仿宋" w:hAnsi="仿宋" w:eastAsia="仿宋"/>
          <w:color w:val="auto"/>
          <w:sz w:val="24"/>
        </w:rPr>
        <w:t>委托服务期间自______年______月至______年______月止。</w:t>
      </w:r>
    </w:p>
    <w:p>
      <w:pPr>
        <w:ind w:firstLine="470" w:firstLineChars="196"/>
        <w:jc w:val="left"/>
        <w:rPr>
          <w:rFonts w:ascii="仿宋" w:hAnsi="仿宋" w:eastAsia="仿宋"/>
          <w:color w:val="auto"/>
          <w:sz w:val="24"/>
        </w:rPr>
      </w:pPr>
      <w:r>
        <w:rPr>
          <w:rFonts w:ascii="仿宋" w:hAnsi="仿宋" w:eastAsia="仿宋"/>
          <w:color w:val="auto"/>
          <w:sz w:val="24"/>
        </w:rPr>
        <w:t>第三条  服务内容与服务标准</w:t>
      </w:r>
    </w:p>
    <w:p>
      <w:pPr>
        <w:jc w:val="left"/>
        <w:rPr>
          <w:rFonts w:ascii="仿宋" w:hAnsi="仿宋" w:eastAsia="仿宋"/>
          <w:color w:val="auto"/>
          <w:sz w:val="24"/>
        </w:rPr>
      </w:pPr>
    </w:p>
    <w:p>
      <w:pPr>
        <w:ind w:firstLine="480"/>
        <w:jc w:val="left"/>
        <w:rPr>
          <w:rFonts w:ascii="仿宋" w:hAnsi="仿宋" w:eastAsia="仿宋"/>
          <w:color w:val="auto"/>
          <w:sz w:val="24"/>
        </w:rPr>
      </w:pPr>
      <w:r>
        <w:rPr>
          <w:rFonts w:ascii="仿宋" w:hAnsi="仿宋" w:eastAsia="仿宋"/>
          <w:color w:val="auto"/>
          <w:sz w:val="24"/>
        </w:rPr>
        <w:t>招标文件要求、投标文件响应的服务内容（合同签订时明确）</w:t>
      </w:r>
    </w:p>
    <w:p>
      <w:pPr>
        <w:ind w:firstLine="470" w:firstLineChars="196"/>
        <w:jc w:val="left"/>
        <w:rPr>
          <w:rFonts w:ascii="仿宋" w:hAnsi="仿宋" w:eastAsia="仿宋"/>
          <w:color w:val="auto"/>
          <w:sz w:val="24"/>
        </w:rPr>
      </w:pPr>
      <w:r>
        <w:rPr>
          <w:rFonts w:ascii="仿宋" w:hAnsi="仿宋" w:eastAsia="仿宋"/>
          <w:color w:val="auto"/>
          <w:sz w:val="24"/>
        </w:rPr>
        <w:t>第四条  合同金额及支付方式</w:t>
      </w:r>
    </w:p>
    <w:p>
      <w:pPr>
        <w:ind w:firstLine="480"/>
        <w:jc w:val="left"/>
        <w:rPr>
          <w:rFonts w:ascii="仿宋" w:hAnsi="仿宋" w:eastAsia="仿宋"/>
          <w:color w:val="auto"/>
          <w:sz w:val="24"/>
        </w:rPr>
      </w:pPr>
      <w:r>
        <w:rPr>
          <w:rFonts w:ascii="仿宋" w:hAnsi="仿宋" w:eastAsia="仿宋"/>
          <w:color w:val="auto"/>
          <w:sz w:val="24"/>
        </w:rPr>
        <w:t>4</w:t>
      </w:r>
      <w:r>
        <w:rPr>
          <w:rFonts w:hint="eastAsia" w:ascii="仿宋" w:hAnsi="仿宋" w:eastAsia="仿宋"/>
          <w:color w:val="auto"/>
          <w:sz w:val="24"/>
        </w:rPr>
        <w:t>.</w:t>
      </w:r>
      <w:r>
        <w:rPr>
          <w:rFonts w:ascii="仿宋" w:hAnsi="仿宋" w:eastAsia="仿宋"/>
          <w:color w:val="auto"/>
          <w:sz w:val="24"/>
        </w:rPr>
        <w:t>1  合同金额为：人民币 （大写）________________元（￥_______________元）。本合同执行期间合同金额不变，甲方无须另向乙方支付本合同规定之外的其他任何费用。</w:t>
      </w:r>
    </w:p>
    <w:p>
      <w:pPr>
        <w:ind w:firstLine="480"/>
        <w:jc w:val="left"/>
        <w:rPr>
          <w:rFonts w:ascii="仿宋" w:hAnsi="仿宋" w:eastAsia="仿宋"/>
          <w:color w:val="auto"/>
          <w:sz w:val="24"/>
        </w:rPr>
      </w:pPr>
      <w:r>
        <w:rPr>
          <w:rFonts w:ascii="仿宋" w:hAnsi="仿宋" w:eastAsia="仿宋"/>
          <w:color w:val="auto"/>
          <w:sz w:val="24"/>
        </w:rPr>
        <w:t>4.2  支付方式</w:t>
      </w:r>
    </w:p>
    <w:p>
      <w:pPr>
        <w:jc w:val="left"/>
        <w:rPr>
          <w:rFonts w:ascii="仿宋" w:hAnsi="仿宋" w:eastAsia="仿宋"/>
          <w:color w:val="auto"/>
          <w:sz w:val="24"/>
        </w:rPr>
      </w:pPr>
    </w:p>
    <w:p>
      <w:pPr>
        <w:ind w:firstLine="470" w:firstLineChars="196"/>
        <w:jc w:val="left"/>
        <w:rPr>
          <w:rFonts w:ascii="仿宋" w:hAnsi="仿宋" w:eastAsia="仿宋"/>
          <w:color w:val="auto"/>
          <w:sz w:val="24"/>
        </w:rPr>
      </w:pPr>
      <w:r>
        <w:rPr>
          <w:rFonts w:ascii="仿宋" w:hAnsi="仿宋" w:eastAsia="仿宋"/>
          <w:color w:val="auto"/>
          <w:sz w:val="24"/>
        </w:rPr>
        <w:t>第五条  知识产权及承诺</w:t>
      </w:r>
    </w:p>
    <w:p>
      <w:pPr>
        <w:ind w:firstLine="480"/>
        <w:jc w:val="left"/>
        <w:rPr>
          <w:rFonts w:ascii="仿宋" w:hAnsi="仿宋" w:eastAsia="仿宋"/>
          <w:color w:val="auto"/>
          <w:sz w:val="24"/>
        </w:rPr>
      </w:pPr>
      <w:r>
        <w:rPr>
          <w:rFonts w:ascii="仿宋" w:hAnsi="仿宋" w:eastAsia="仿宋"/>
          <w:color w:val="auto"/>
          <w:sz w:val="24"/>
        </w:rPr>
        <w:t>5.1  乙方保证所提供的服务或其任何一部分均不会侵犯任何第三方的专利权、商标权、著作权或其他合法权益，否则视为乙方违约，由此产生的一切损失由乙方承担。</w:t>
      </w:r>
    </w:p>
    <w:p>
      <w:pPr>
        <w:ind w:firstLine="480"/>
        <w:jc w:val="left"/>
        <w:rPr>
          <w:rFonts w:ascii="仿宋" w:hAnsi="仿宋" w:eastAsia="仿宋"/>
          <w:color w:val="auto"/>
          <w:sz w:val="24"/>
        </w:rPr>
      </w:pPr>
      <w:r>
        <w:rPr>
          <w:rFonts w:ascii="仿宋" w:hAnsi="仿宋" w:eastAsia="仿宋"/>
          <w:color w:val="auto"/>
          <w:sz w:val="24"/>
        </w:rPr>
        <w:t>5.2  经甲乙双方协商一致，本项目产生的知识产权归</w:t>
      </w:r>
      <w:r>
        <w:rPr>
          <w:rFonts w:ascii="仿宋" w:hAnsi="仿宋" w:eastAsia="仿宋"/>
          <w:color w:val="auto"/>
          <w:sz w:val="24"/>
          <w:u w:val="single"/>
        </w:rPr>
        <w:t xml:space="preserve">    </w:t>
      </w:r>
      <w:r>
        <w:rPr>
          <w:rFonts w:ascii="仿宋" w:hAnsi="仿宋" w:eastAsia="仿宋"/>
          <w:color w:val="auto"/>
          <w:sz w:val="24"/>
        </w:rPr>
        <w:t>拥有。</w:t>
      </w:r>
    </w:p>
    <w:p>
      <w:pPr>
        <w:ind w:firstLine="470" w:firstLineChars="196"/>
        <w:jc w:val="left"/>
        <w:rPr>
          <w:rFonts w:ascii="仿宋" w:hAnsi="仿宋" w:eastAsia="仿宋"/>
          <w:color w:val="auto"/>
          <w:sz w:val="24"/>
        </w:rPr>
      </w:pPr>
      <w:r>
        <w:rPr>
          <w:rFonts w:ascii="仿宋" w:hAnsi="仿宋" w:eastAsia="仿宋"/>
          <w:color w:val="auto"/>
          <w:sz w:val="24"/>
        </w:rPr>
        <w:t>第六条  甲方的权利与义务</w:t>
      </w:r>
    </w:p>
    <w:p>
      <w:pPr>
        <w:ind w:firstLine="480"/>
        <w:jc w:val="left"/>
        <w:rPr>
          <w:rFonts w:ascii="仿宋" w:hAnsi="仿宋" w:eastAsia="仿宋"/>
          <w:color w:val="auto"/>
          <w:sz w:val="24"/>
        </w:rPr>
      </w:pPr>
      <w:r>
        <w:rPr>
          <w:rFonts w:ascii="仿宋" w:hAnsi="仿宋" w:eastAsia="仿宋"/>
          <w:color w:val="auto"/>
          <w:sz w:val="24"/>
        </w:rPr>
        <w:t>6.1  甲方有权对合同规定范围内乙方的服务进行督促，并要求乙方进行符合服务质量标准的修改。</w:t>
      </w:r>
    </w:p>
    <w:p>
      <w:pPr>
        <w:ind w:firstLine="480"/>
        <w:jc w:val="left"/>
        <w:rPr>
          <w:rFonts w:ascii="仿宋" w:hAnsi="仿宋" w:eastAsia="仿宋"/>
          <w:color w:val="auto"/>
          <w:sz w:val="24"/>
        </w:rPr>
      </w:pPr>
      <w:r>
        <w:rPr>
          <w:rFonts w:ascii="仿宋" w:hAnsi="仿宋" w:eastAsia="仿宋"/>
          <w:color w:val="auto"/>
          <w:sz w:val="24"/>
        </w:rPr>
        <w:t>6.2  负责监督乙方服务的实施及执行情况。</w:t>
      </w:r>
    </w:p>
    <w:p>
      <w:pPr>
        <w:ind w:firstLine="480"/>
        <w:jc w:val="left"/>
        <w:rPr>
          <w:rFonts w:ascii="仿宋" w:hAnsi="仿宋" w:eastAsia="仿宋"/>
          <w:color w:val="auto"/>
          <w:sz w:val="24"/>
        </w:rPr>
      </w:pPr>
      <w:r>
        <w:rPr>
          <w:rFonts w:ascii="仿宋" w:hAnsi="仿宋" w:eastAsia="仿宋"/>
          <w:color w:val="auto"/>
          <w:sz w:val="24"/>
        </w:rPr>
        <w:t>6.3  根据本合同规定，按时向乙方支付应付服务费用。</w:t>
      </w:r>
    </w:p>
    <w:p>
      <w:pPr>
        <w:ind w:firstLine="480"/>
        <w:jc w:val="left"/>
        <w:rPr>
          <w:rFonts w:ascii="仿宋" w:hAnsi="仿宋" w:eastAsia="仿宋"/>
          <w:color w:val="auto"/>
          <w:sz w:val="24"/>
        </w:rPr>
      </w:pPr>
      <w:r>
        <w:rPr>
          <w:rFonts w:ascii="仿宋" w:hAnsi="仿宋" w:eastAsia="仿宋"/>
          <w:color w:val="auto"/>
          <w:sz w:val="24"/>
        </w:rPr>
        <w:t>6.4  国家法律、法规所规定由甲方承担的其它责任。</w:t>
      </w:r>
    </w:p>
    <w:p>
      <w:pPr>
        <w:ind w:firstLine="470" w:firstLineChars="196"/>
        <w:jc w:val="left"/>
        <w:rPr>
          <w:rFonts w:ascii="仿宋" w:hAnsi="仿宋" w:eastAsia="仿宋"/>
          <w:color w:val="auto"/>
          <w:sz w:val="24"/>
        </w:rPr>
      </w:pPr>
      <w:r>
        <w:rPr>
          <w:rFonts w:ascii="仿宋" w:hAnsi="仿宋" w:eastAsia="仿宋"/>
          <w:color w:val="auto"/>
          <w:sz w:val="24"/>
        </w:rPr>
        <w:t>第七条  乙方的权利与义务</w:t>
      </w:r>
    </w:p>
    <w:p>
      <w:pPr>
        <w:jc w:val="left"/>
        <w:rPr>
          <w:rFonts w:ascii="仿宋" w:hAnsi="仿宋" w:eastAsia="仿宋"/>
          <w:color w:val="auto"/>
          <w:sz w:val="24"/>
        </w:rPr>
      </w:pPr>
      <w:r>
        <w:rPr>
          <w:rFonts w:ascii="仿宋" w:hAnsi="仿宋" w:eastAsia="仿宋"/>
          <w:color w:val="auto"/>
          <w:sz w:val="24"/>
        </w:rPr>
        <w:t xml:space="preserve">    7.1  对委托服务范围内的项目有管理权及服务义务。按照服务内容和质量标准按时保质完成服务。</w:t>
      </w:r>
    </w:p>
    <w:p>
      <w:pPr>
        <w:ind w:firstLine="480"/>
        <w:jc w:val="left"/>
        <w:rPr>
          <w:rFonts w:ascii="仿宋" w:hAnsi="仿宋" w:eastAsia="仿宋"/>
          <w:color w:val="auto"/>
          <w:sz w:val="24"/>
        </w:rPr>
      </w:pPr>
      <w:r>
        <w:rPr>
          <w:rFonts w:ascii="仿宋" w:hAnsi="仿宋" w:eastAsia="仿宋"/>
          <w:color w:val="auto"/>
          <w:sz w:val="24"/>
        </w:rPr>
        <w:t>7.2  根据本合同规定向甲方收取服务费用，并有权在项目管理范围内管理及合理使用。</w:t>
      </w:r>
    </w:p>
    <w:p>
      <w:pPr>
        <w:ind w:firstLine="480"/>
        <w:jc w:val="left"/>
        <w:rPr>
          <w:rFonts w:ascii="仿宋" w:hAnsi="仿宋" w:eastAsia="仿宋"/>
          <w:color w:val="auto"/>
          <w:sz w:val="24"/>
        </w:rPr>
      </w:pPr>
      <w:r>
        <w:rPr>
          <w:rFonts w:ascii="仿宋" w:hAnsi="仿宋" w:eastAsia="仿宋"/>
          <w:color w:val="auto"/>
          <w:sz w:val="24"/>
        </w:rPr>
        <w:t>7.3  及时向甲方通告项目服务范围内有关服务的重大事项。</w:t>
      </w:r>
    </w:p>
    <w:p>
      <w:pPr>
        <w:ind w:firstLine="480"/>
        <w:jc w:val="left"/>
        <w:rPr>
          <w:rFonts w:ascii="仿宋" w:hAnsi="仿宋" w:eastAsia="仿宋"/>
          <w:color w:val="auto"/>
          <w:sz w:val="24"/>
        </w:rPr>
      </w:pPr>
      <w:r>
        <w:rPr>
          <w:rFonts w:ascii="仿宋" w:hAnsi="仿宋" w:eastAsia="仿宋"/>
          <w:color w:val="auto"/>
          <w:sz w:val="24"/>
        </w:rPr>
        <w:t>7.4  国家法律、法规所规定由乙方承担的其它责任。</w:t>
      </w:r>
    </w:p>
    <w:p>
      <w:pPr>
        <w:ind w:firstLine="470" w:firstLineChars="196"/>
        <w:jc w:val="left"/>
        <w:rPr>
          <w:rFonts w:ascii="仿宋" w:hAnsi="仿宋" w:eastAsia="仿宋"/>
          <w:color w:val="auto"/>
          <w:sz w:val="24"/>
        </w:rPr>
      </w:pPr>
      <w:r>
        <w:rPr>
          <w:rFonts w:ascii="仿宋" w:hAnsi="仿宋" w:eastAsia="仿宋"/>
          <w:color w:val="auto"/>
          <w:sz w:val="24"/>
        </w:rPr>
        <w:t>第</w:t>
      </w:r>
      <w:r>
        <w:rPr>
          <w:rFonts w:hint="eastAsia" w:ascii="仿宋" w:hAnsi="仿宋" w:eastAsia="仿宋"/>
          <w:color w:val="auto"/>
          <w:sz w:val="24"/>
        </w:rPr>
        <w:t>八</w:t>
      </w:r>
      <w:r>
        <w:rPr>
          <w:rFonts w:ascii="仿宋" w:hAnsi="仿宋" w:eastAsia="仿宋"/>
          <w:color w:val="auto"/>
          <w:sz w:val="24"/>
        </w:rPr>
        <w:t>条  违约责任</w:t>
      </w:r>
    </w:p>
    <w:p>
      <w:pPr>
        <w:ind w:firstLine="480"/>
        <w:jc w:val="left"/>
        <w:rPr>
          <w:rFonts w:ascii="仿宋" w:hAnsi="仿宋" w:eastAsia="仿宋"/>
          <w:color w:val="auto"/>
          <w:sz w:val="24"/>
        </w:rPr>
      </w:pPr>
      <w:r>
        <w:rPr>
          <w:rFonts w:ascii="仿宋" w:hAnsi="仿宋" w:eastAsia="仿宋"/>
          <w:color w:val="auto"/>
          <w:sz w:val="24"/>
        </w:rPr>
        <w:t>8</w:t>
      </w:r>
      <w:r>
        <w:rPr>
          <w:rFonts w:hint="eastAsia" w:ascii="仿宋" w:hAnsi="仿宋" w:eastAsia="仿宋"/>
          <w:color w:val="auto"/>
          <w:sz w:val="24"/>
          <w:lang w:val="en-US" w:eastAsia="zh-Hans"/>
        </w:rPr>
        <w:t>.</w:t>
      </w:r>
      <w:r>
        <w:rPr>
          <w:rFonts w:ascii="仿宋" w:hAnsi="仿宋" w:eastAsia="仿宋"/>
          <w:color w:val="auto"/>
          <w:sz w:val="24"/>
        </w:rPr>
        <w:t>1  甲乙双方必须遵守本合同并执行合同中的各项规定，保证本合同的合法正常履行。</w:t>
      </w:r>
    </w:p>
    <w:p>
      <w:pPr>
        <w:ind w:firstLine="480"/>
        <w:jc w:val="left"/>
        <w:rPr>
          <w:rFonts w:ascii="仿宋" w:hAnsi="仿宋" w:eastAsia="仿宋"/>
          <w:color w:val="auto"/>
          <w:sz w:val="24"/>
        </w:rPr>
      </w:pPr>
      <w:r>
        <w:rPr>
          <w:rFonts w:ascii="仿宋" w:hAnsi="仿宋" w:eastAsia="仿宋"/>
          <w:color w:val="auto"/>
          <w:sz w:val="24"/>
        </w:rPr>
        <w:t>8.2  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ind w:firstLine="480"/>
        <w:jc w:val="left"/>
        <w:rPr>
          <w:rFonts w:ascii="仿宋" w:hAnsi="仿宋" w:eastAsia="仿宋"/>
          <w:color w:val="auto"/>
          <w:sz w:val="24"/>
        </w:rPr>
      </w:pPr>
      <w:r>
        <w:rPr>
          <w:rFonts w:ascii="仿宋" w:hAnsi="仿宋" w:eastAsia="仿宋"/>
          <w:color w:val="auto"/>
          <w:sz w:val="24"/>
        </w:rPr>
        <w:t>8.3  乙方提供的服务不符合招标文件、报价文件或本合同规定的，每项违约乙方须向甲方支付本合同总价</w:t>
      </w:r>
      <w:r>
        <w:rPr>
          <w:rFonts w:ascii="仿宋" w:hAnsi="仿宋" w:eastAsia="仿宋"/>
          <w:color w:val="auto"/>
          <w:sz w:val="24"/>
          <w:u w:val="single"/>
        </w:rPr>
        <w:t xml:space="preserve">    </w:t>
      </w:r>
      <w:r>
        <w:rPr>
          <w:rFonts w:ascii="仿宋" w:hAnsi="仿宋" w:eastAsia="仿宋"/>
          <w:color w:val="auto"/>
          <w:sz w:val="24"/>
        </w:rPr>
        <w:t>%的违约金。</w:t>
      </w:r>
    </w:p>
    <w:p>
      <w:pPr>
        <w:ind w:firstLine="480"/>
        <w:jc w:val="left"/>
        <w:rPr>
          <w:rFonts w:ascii="仿宋" w:hAnsi="仿宋" w:eastAsia="仿宋"/>
          <w:color w:val="auto"/>
          <w:sz w:val="24"/>
        </w:rPr>
      </w:pPr>
      <w:r>
        <w:rPr>
          <w:rFonts w:ascii="仿宋" w:hAnsi="仿宋" w:eastAsia="仿宋"/>
          <w:color w:val="auto"/>
          <w:sz w:val="24"/>
        </w:rPr>
        <w:t>8.4  乙方未能按本合同规定时间提供服务，从逾期之日起每日按本合同总价</w:t>
      </w:r>
      <w:r>
        <w:rPr>
          <w:rFonts w:ascii="仿宋" w:hAnsi="仿宋" w:eastAsia="仿宋"/>
          <w:color w:val="auto"/>
          <w:sz w:val="24"/>
          <w:u w:val="single"/>
        </w:rPr>
        <w:t xml:space="preserve">    </w:t>
      </w:r>
      <w:r>
        <w:rPr>
          <w:rFonts w:ascii="仿宋" w:hAnsi="仿宋" w:eastAsia="仿宋"/>
          <w:color w:val="auto"/>
          <w:sz w:val="24"/>
        </w:rPr>
        <w:t>‰的数额向甲方支付违约金；逾期半个月以上的，甲方有权解除合同，由此造成的甲方经济损失由乙方承担。</w:t>
      </w:r>
    </w:p>
    <w:p>
      <w:pPr>
        <w:ind w:firstLine="480"/>
        <w:jc w:val="left"/>
        <w:rPr>
          <w:rFonts w:ascii="仿宋" w:hAnsi="仿宋" w:eastAsia="仿宋"/>
          <w:color w:val="auto"/>
          <w:sz w:val="24"/>
        </w:rPr>
      </w:pPr>
      <w:r>
        <w:rPr>
          <w:rFonts w:ascii="仿宋" w:hAnsi="仿宋" w:eastAsia="仿宋"/>
          <w:color w:val="auto"/>
          <w:sz w:val="24"/>
        </w:rPr>
        <w:t>8.5  甲方无正当理由拒收接受服务，到期拒付服务款项的，甲方向乙方偿付本合同总的</w:t>
      </w:r>
      <w:r>
        <w:rPr>
          <w:rFonts w:ascii="仿宋" w:hAnsi="仿宋" w:eastAsia="仿宋"/>
          <w:color w:val="auto"/>
          <w:sz w:val="24"/>
          <w:u w:val="single"/>
        </w:rPr>
        <w:t xml:space="preserve">     </w:t>
      </w:r>
      <w:r>
        <w:rPr>
          <w:rFonts w:ascii="仿宋" w:hAnsi="仿宋" w:eastAsia="仿宋"/>
          <w:color w:val="auto"/>
          <w:sz w:val="24"/>
        </w:rPr>
        <w:t>%的违约金。甲方人逾期付款，则每日按本合同总价的</w:t>
      </w:r>
      <w:r>
        <w:rPr>
          <w:rFonts w:ascii="仿宋" w:hAnsi="仿宋" w:eastAsia="仿宋"/>
          <w:color w:val="auto"/>
          <w:sz w:val="24"/>
          <w:u w:val="single"/>
        </w:rPr>
        <w:t xml:space="preserve">  </w:t>
      </w:r>
      <w:r>
        <w:rPr>
          <w:rFonts w:ascii="仿宋" w:hAnsi="仿宋" w:eastAsia="仿宋"/>
          <w:color w:val="auto"/>
          <w:sz w:val="24"/>
        </w:rPr>
        <w:t>‰向乙方偿付违约金。</w:t>
      </w:r>
    </w:p>
    <w:p>
      <w:pPr>
        <w:ind w:firstLine="470" w:firstLineChars="196"/>
        <w:jc w:val="left"/>
        <w:rPr>
          <w:rFonts w:ascii="仿宋" w:hAnsi="仿宋" w:eastAsia="仿宋"/>
          <w:color w:val="auto"/>
          <w:sz w:val="24"/>
        </w:rPr>
      </w:pPr>
      <w:r>
        <w:rPr>
          <w:rFonts w:ascii="仿宋" w:hAnsi="仿宋" w:eastAsia="仿宋"/>
          <w:color w:val="auto"/>
          <w:sz w:val="24"/>
        </w:rPr>
        <w:t>第</w:t>
      </w:r>
      <w:r>
        <w:rPr>
          <w:rFonts w:hint="eastAsia" w:ascii="仿宋" w:hAnsi="仿宋" w:eastAsia="仿宋"/>
          <w:color w:val="auto"/>
          <w:sz w:val="24"/>
        </w:rPr>
        <w:t>九</w:t>
      </w:r>
      <w:r>
        <w:rPr>
          <w:rFonts w:ascii="仿宋" w:hAnsi="仿宋" w:eastAsia="仿宋"/>
          <w:color w:val="auto"/>
          <w:sz w:val="24"/>
        </w:rPr>
        <w:t>条  不可抗力</w:t>
      </w:r>
    </w:p>
    <w:p>
      <w:pPr>
        <w:ind w:firstLine="480"/>
        <w:jc w:val="left"/>
        <w:rPr>
          <w:rFonts w:ascii="仿宋" w:hAnsi="仿宋" w:eastAsia="仿宋"/>
          <w:color w:val="auto"/>
          <w:sz w:val="24"/>
        </w:rPr>
      </w:pPr>
      <w:r>
        <w:rPr>
          <w:rFonts w:ascii="仿宋" w:hAnsi="仿宋" w:eastAsia="仿宋"/>
          <w:color w:val="auto"/>
          <w:sz w:val="24"/>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ind w:firstLine="470" w:firstLineChars="196"/>
        <w:jc w:val="left"/>
        <w:rPr>
          <w:rFonts w:ascii="仿宋" w:hAnsi="仿宋" w:eastAsia="仿宋"/>
          <w:color w:val="auto"/>
          <w:sz w:val="24"/>
        </w:rPr>
      </w:pPr>
      <w:r>
        <w:rPr>
          <w:rFonts w:ascii="仿宋" w:hAnsi="仿宋" w:eastAsia="仿宋"/>
          <w:color w:val="auto"/>
          <w:sz w:val="24"/>
        </w:rPr>
        <w:t>第十条  争议的解决</w:t>
      </w:r>
    </w:p>
    <w:p>
      <w:pPr>
        <w:ind w:firstLine="480"/>
        <w:jc w:val="left"/>
        <w:rPr>
          <w:rFonts w:ascii="仿宋" w:hAnsi="仿宋" w:eastAsia="仿宋"/>
          <w:color w:val="auto"/>
          <w:sz w:val="24"/>
        </w:rPr>
      </w:pPr>
      <w:r>
        <w:rPr>
          <w:rFonts w:ascii="仿宋" w:hAnsi="仿宋" w:eastAsia="仿宋"/>
          <w:color w:val="auto"/>
          <w:sz w:val="24"/>
        </w:rPr>
        <w:t>在执行本合同中发生的或与本合同有关的争端，双方应通过友好协商解决，经协商在不能达成协议时，应选择以下第</w:t>
      </w:r>
      <w:r>
        <w:rPr>
          <w:rFonts w:ascii="仿宋" w:hAnsi="仿宋" w:eastAsia="仿宋"/>
          <w:color w:val="auto"/>
          <w:sz w:val="24"/>
          <w:u w:val="single"/>
        </w:rPr>
        <w:t xml:space="preserve">      </w:t>
      </w:r>
      <w:r>
        <w:rPr>
          <w:rFonts w:ascii="仿宋" w:hAnsi="仿宋" w:eastAsia="仿宋"/>
          <w:color w:val="auto"/>
          <w:sz w:val="24"/>
        </w:rPr>
        <w:t>种解决方式：</w:t>
      </w:r>
    </w:p>
    <w:p>
      <w:pPr>
        <w:ind w:firstLine="480"/>
        <w:jc w:val="left"/>
        <w:rPr>
          <w:rFonts w:ascii="仿宋" w:hAnsi="仿宋" w:eastAsia="仿宋"/>
          <w:color w:val="auto"/>
          <w:sz w:val="24"/>
        </w:rPr>
      </w:pPr>
      <w:r>
        <w:rPr>
          <w:rFonts w:ascii="仿宋" w:hAnsi="仿宋" w:eastAsia="仿宋"/>
          <w:color w:val="auto"/>
          <w:sz w:val="24"/>
        </w:rPr>
        <w:t>1. 向成都仲裁委员会提起仲裁；</w:t>
      </w:r>
    </w:p>
    <w:p>
      <w:pPr>
        <w:ind w:firstLine="480"/>
        <w:jc w:val="left"/>
        <w:rPr>
          <w:rFonts w:ascii="仿宋" w:hAnsi="仿宋" w:eastAsia="仿宋"/>
          <w:color w:val="auto"/>
          <w:sz w:val="24"/>
        </w:rPr>
      </w:pPr>
      <w:r>
        <w:rPr>
          <w:rFonts w:ascii="仿宋" w:hAnsi="仿宋" w:eastAsia="仿宋"/>
          <w:color w:val="auto"/>
          <w:sz w:val="24"/>
        </w:rPr>
        <w:t>2. 向甲方所在地有管辖权的法院提起诉讼。</w:t>
      </w:r>
    </w:p>
    <w:p>
      <w:pPr>
        <w:ind w:firstLine="480"/>
        <w:jc w:val="left"/>
        <w:rPr>
          <w:rFonts w:ascii="仿宋" w:hAnsi="仿宋" w:eastAsia="仿宋"/>
          <w:color w:val="auto"/>
          <w:sz w:val="24"/>
        </w:rPr>
      </w:pPr>
      <w:r>
        <w:rPr>
          <w:rFonts w:ascii="仿宋" w:hAnsi="仿宋" w:eastAsia="仿宋"/>
          <w:color w:val="auto"/>
          <w:sz w:val="24"/>
        </w:rPr>
        <w:t>在法院审理和仲裁期间，除有争议部分外，本合同其他部分可以履行的仍应按合同条款继续履行。</w:t>
      </w:r>
    </w:p>
    <w:p>
      <w:pPr>
        <w:ind w:firstLine="470" w:firstLineChars="196"/>
        <w:jc w:val="left"/>
        <w:rPr>
          <w:rFonts w:ascii="仿宋" w:hAnsi="仿宋" w:eastAsia="仿宋"/>
          <w:color w:val="auto"/>
          <w:sz w:val="24"/>
        </w:rPr>
      </w:pPr>
      <w:r>
        <w:rPr>
          <w:rFonts w:ascii="仿宋" w:hAnsi="仿宋" w:eastAsia="仿宋"/>
          <w:color w:val="auto"/>
          <w:sz w:val="24"/>
        </w:rPr>
        <w:t>第十</w:t>
      </w:r>
      <w:r>
        <w:rPr>
          <w:rFonts w:hint="eastAsia" w:ascii="仿宋" w:hAnsi="仿宋" w:eastAsia="仿宋"/>
          <w:color w:val="auto"/>
          <w:sz w:val="24"/>
        </w:rPr>
        <w:t>一</w:t>
      </w:r>
      <w:r>
        <w:rPr>
          <w:rFonts w:ascii="仿宋" w:hAnsi="仿宋" w:eastAsia="仿宋"/>
          <w:color w:val="auto"/>
          <w:sz w:val="24"/>
        </w:rPr>
        <w:t>条  其他</w:t>
      </w:r>
    </w:p>
    <w:p>
      <w:pPr>
        <w:ind w:firstLine="480"/>
        <w:jc w:val="left"/>
        <w:rPr>
          <w:rFonts w:ascii="仿宋" w:hAnsi="仿宋" w:eastAsia="仿宋"/>
          <w:color w:val="auto"/>
          <w:sz w:val="24"/>
        </w:rPr>
      </w:pPr>
      <w:r>
        <w:rPr>
          <w:rFonts w:ascii="仿宋" w:hAnsi="仿宋" w:eastAsia="仿宋"/>
          <w:color w:val="auto"/>
          <w:sz w:val="24"/>
        </w:rPr>
        <w:t>11.1  合同经双方法定代表人</w:t>
      </w:r>
      <w:r>
        <w:rPr>
          <w:rFonts w:hint="eastAsia" w:ascii="仿宋" w:hAnsi="仿宋" w:eastAsia="仿宋"/>
          <w:color w:val="auto"/>
          <w:sz w:val="24"/>
        </w:rPr>
        <w:t>（主要负责人/经营者）</w:t>
      </w:r>
      <w:r>
        <w:rPr>
          <w:rFonts w:ascii="仿宋" w:hAnsi="仿宋" w:eastAsia="仿宋"/>
          <w:color w:val="auto"/>
          <w:sz w:val="24"/>
        </w:rPr>
        <w:t>或授权委托代理人签字并加盖单位公章后生效。合同一经生效，双方应诚信履行合同，除双方协商一致解除合同外，一方不得无理由解除合同。</w:t>
      </w:r>
    </w:p>
    <w:p>
      <w:pPr>
        <w:ind w:firstLine="480"/>
        <w:jc w:val="left"/>
        <w:rPr>
          <w:rFonts w:ascii="仿宋" w:hAnsi="仿宋" w:eastAsia="仿宋"/>
          <w:color w:val="auto"/>
          <w:sz w:val="24"/>
        </w:rPr>
      </w:pPr>
      <w:r>
        <w:rPr>
          <w:rFonts w:ascii="仿宋" w:hAnsi="仿宋" w:eastAsia="仿宋"/>
          <w:color w:val="auto"/>
          <w:sz w:val="24"/>
        </w:rPr>
        <w:t>11.2  本合同一式</w:t>
      </w:r>
      <w:r>
        <w:rPr>
          <w:rFonts w:ascii="仿宋" w:hAnsi="仿宋" w:eastAsia="仿宋"/>
          <w:color w:val="auto"/>
          <w:sz w:val="24"/>
          <w:u w:val="single"/>
        </w:rPr>
        <w:t xml:space="preserve">   </w:t>
      </w:r>
      <w:r>
        <w:rPr>
          <w:rFonts w:ascii="仿宋" w:hAnsi="仿宋" w:eastAsia="仿宋"/>
          <w:color w:val="auto"/>
          <w:sz w:val="24"/>
        </w:rPr>
        <w:t>份，自双方签章之日起起效。甲方</w:t>
      </w:r>
      <w:r>
        <w:rPr>
          <w:rFonts w:ascii="仿宋" w:hAnsi="仿宋" w:eastAsia="仿宋"/>
          <w:color w:val="auto"/>
          <w:sz w:val="24"/>
          <w:u w:val="single"/>
        </w:rPr>
        <w:t xml:space="preserve">  </w:t>
      </w:r>
      <w:r>
        <w:rPr>
          <w:rFonts w:ascii="仿宋" w:hAnsi="仿宋" w:eastAsia="仿宋"/>
          <w:color w:val="auto"/>
          <w:sz w:val="24"/>
        </w:rPr>
        <w:t>份，乙方</w:t>
      </w:r>
      <w:r>
        <w:rPr>
          <w:rFonts w:ascii="仿宋" w:hAnsi="仿宋" w:eastAsia="仿宋"/>
          <w:color w:val="auto"/>
          <w:sz w:val="24"/>
          <w:u w:val="single"/>
        </w:rPr>
        <w:t xml:space="preserve">  </w:t>
      </w:r>
      <w:r>
        <w:rPr>
          <w:rFonts w:ascii="仿宋" w:hAnsi="仿宋" w:eastAsia="仿宋"/>
          <w:color w:val="auto"/>
          <w:sz w:val="24"/>
        </w:rPr>
        <w:t>份，政府采购代理机构</w:t>
      </w:r>
      <w:r>
        <w:rPr>
          <w:rFonts w:ascii="仿宋" w:hAnsi="仿宋" w:eastAsia="仿宋"/>
          <w:color w:val="auto"/>
          <w:sz w:val="24"/>
          <w:u w:val="single"/>
        </w:rPr>
        <w:t xml:space="preserve">    </w:t>
      </w:r>
      <w:r>
        <w:rPr>
          <w:rFonts w:ascii="仿宋" w:hAnsi="仿宋" w:eastAsia="仿宋"/>
          <w:color w:val="auto"/>
          <w:sz w:val="24"/>
        </w:rPr>
        <w:t>份，同级财政部门备案</w:t>
      </w:r>
      <w:r>
        <w:rPr>
          <w:rFonts w:ascii="仿宋" w:hAnsi="仿宋" w:eastAsia="仿宋"/>
          <w:color w:val="auto"/>
          <w:sz w:val="24"/>
          <w:u w:val="single"/>
        </w:rPr>
        <w:t xml:space="preserve">   </w:t>
      </w:r>
      <w:r>
        <w:rPr>
          <w:rFonts w:ascii="仿宋" w:hAnsi="仿宋" w:eastAsia="仿宋"/>
          <w:color w:val="auto"/>
          <w:sz w:val="24"/>
        </w:rPr>
        <w:t>份，具有同等法律效力。</w:t>
      </w:r>
    </w:p>
    <w:p>
      <w:pPr>
        <w:jc w:val="left"/>
        <w:rPr>
          <w:rFonts w:ascii="仿宋" w:hAnsi="仿宋" w:eastAsia="仿宋"/>
          <w:color w:val="auto"/>
          <w:sz w:val="24"/>
        </w:rPr>
      </w:pPr>
    </w:p>
    <w:p>
      <w:pPr>
        <w:pStyle w:val="2"/>
      </w:pPr>
    </w:p>
    <w:p>
      <w:pPr>
        <w:jc w:val="left"/>
        <w:rPr>
          <w:rFonts w:ascii="仿宋" w:hAnsi="仿宋" w:eastAsia="仿宋"/>
          <w:color w:val="auto"/>
          <w:sz w:val="24"/>
        </w:rPr>
      </w:pPr>
    </w:p>
    <w:p>
      <w:pPr>
        <w:pStyle w:val="2"/>
        <w:rPr>
          <w:rFonts w:ascii="仿宋" w:hAnsi="仿宋" w:eastAsia="仿宋"/>
          <w:color w:val="auto"/>
          <w:sz w:val="24"/>
        </w:rPr>
      </w:pPr>
    </w:p>
    <w:p/>
    <w:p>
      <w:pPr>
        <w:jc w:val="left"/>
        <w:rPr>
          <w:rFonts w:ascii="仿宋" w:hAnsi="仿宋" w:eastAsia="仿宋"/>
          <w:color w:val="auto"/>
          <w:sz w:val="24"/>
        </w:rPr>
      </w:pPr>
      <w:r>
        <w:rPr>
          <w:rFonts w:hint="eastAsia" w:ascii="仿宋" w:hAnsi="仿宋" w:eastAsia="仿宋"/>
          <w:color w:val="auto"/>
          <w:sz w:val="24"/>
        </w:rPr>
        <w:t>（本页以下无正文）</w:t>
      </w:r>
    </w:p>
    <w:p>
      <w:pPr>
        <w:jc w:val="left"/>
        <w:rPr>
          <w:rFonts w:ascii="仿宋" w:hAnsi="仿宋" w:eastAsia="仿宋"/>
          <w:color w:val="auto"/>
          <w:sz w:val="24"/>
        </w:rPr>
      </w:pPr>
      <w:r>
        <w:rPr>
          <w:rFonts w:ascii="仿宋" w:hAnsi="仿宋" w:eastAsia="仿宋"/>
          <w:color w:val="auto"/>
          <w:sz w:val="24"/>
        </w:rPr>
        <w:t>（本页为签字页）</w:t>
      </w:r>
    </w:p>
    <w:p>
      <w:pPr>
        <w:jc w:val="left"/>
        <w:rPr>
          <w:rFonts w:ascii="仿宋" w:hAnsi="仿宋" w:eastAsia="仿宋"/>
          <w:color w:val="auto"/>
          <w:sz w:val="24"/>
        </w:rPr>
      </w:pPr>
    </w:p>
    <w:p>
      <w:pPr>
        <w:spacing w:line="480" w:lineRule="auto"/>
        <w:jc w:val="left"/>
        <w:rPr>
          <w:rFonts w:ascii="仿宋" w:hAnsi="仿宋" w:eastAsia="仿宋"/>
          <w:color w:val="auto"/>
          <w:sz w:val="24"/>
        </w:rPr>
      </w:pPr>
      <w:r>
        <w:rPr>
          <w:rFonts w:ascii="仿宋" w:hAnsi="仿宋" w:eastAsia="仿宋"/>
          <w:color w:val="auto"/>
          <w:sz w:val="24"/>
        </w:rPr>
        <w:t xml:space="preserve">甲  </w:t>
      </w:r>
      <w:r>
        <w:rPr>
          <w:rFonts w:hint="eastAsia" w:ascii="仿宋" w:hAnsi="仿宋" w:eastAsia="仿宋"/>
          <w:color w:val="auto"/>
          <w:sz w:val="24"/>
        </w:rPr>
        <w:t xml:space="preserve">  </w:t>
      </w:r>
      <w:r>
        <w:rPr>
          <w:rFonts w:ascii="仿宋" w:hAnsi="仿宋" w:eastAsia="仿宋"/>
          <w:color w:val="auto"/>
          <w:sz w:val="24"/>
        </w:rPr>
        <w:t xml:space="preserve">方：                             乙 </w:t>
      </w:r>
      <w:r>
        <w:rPr>
          <w:rFonts w:hint="eastAsia" w:ascii="仿宋" w:hAnsi="仿宋" w:eastAsia="仿宋"/>
          <w:color w:val="auto"/>
          <w:sz w:val="24"/>
        </w:rPr>
        <w:t xml:space="preserve">  </w:t>
      </w:r>
      <w:r>
        <w:rPr>
          <w:rFonts w:ascii="仿宋" w:hAnsi="仿宋" w:eastAsia="仿宋"/>
          <w:color w:val="auto"/>
          <w:sz w:val="24"/>
        </w:rPr>
        <w:t xml:space="preserve"> 方：</w:t>
      </w:r>
    </w:p>
    <w:p>
      <w:pPr>
        <w:spacing w:line="480" w:lineRule="auto"/>
        <w:ind w:left="4680" w:hanging="4680" w:hangingChars="1950"/>
        <w:jc w:val="left"/>
        <w:rPr>
          <w:rFonts w:ascii="仿宋" w:hAnsi="仿宋" w:eastAsia="仿宋"/>
          <w:color w:val="auto"/>
          <w:sz w:val="24"/>
        </w:rPr>
      </w:pPr>
      <w:r>
        <w:rPr>
          <w:rFonts w:ascii="仿宋" w:hAnsi="仿宋" w:eastAsia="仿宋"/>
          <w:color w:val="auto"/>
          <w:sz w:val="24"/>
        </w:rPr>
        <w:t>法定代表人（授权代表）：               法定代表人</w:t>
      </w:r>
      <w:r>
        <w:rPr>
          <w:rFonts w:hint="eastAsia" w:ascii="仿宋" w:hAnsi="仿宋" w:eastAsia="仿宋"/>
          <w:color w:val="auto"/>
          <w:sz w:val="24"/>
        </w:rPr>
        <w:t>（主要负责人/经营者）</w:t>
      </w:r>
      <w:r>
        <w:rPr>
          <w:rFonts w:ascii="仿宋" w:hAnsi="仿宋" w:eastAsia="仿宋"/>
          <w:color w:val="auto"/>
          <w:sz w:val="24"/>
        </w:rPr>
        <w:t>（授权代表）：</w:t>
      </w:r>
    </w:p>
    <w:p>
      <w:pPr>
        <w:spacing w:line="480" w:lineRule="auto"/>
        <w:jc w:val="left"/>
        <w:rPr>
          <w:rFonts w:ascii="仿宋" w:hAnsi="仿宋" w:eastAsia="仿宋"/>
          <w:color w:val="auto"/>
          <w:sz w:val="24"/>
        </w:rPr>
      </w:pPr>
      <w:r>
        <w:rPr>
          <w:rFonts w:ascii="仿宋" w:hAnsi="仿宋" w:eastAsia="仿宋"/>
          <w:color w:val="auto"/>
          <w:sz w:val="24"/>
        </w:rPr>
        <w:t>地    址：                             地    址：</w:t>
      </w:r>
    </w:p>
    <w:p>
      <w:pPr>
        <w:spacing w:line="480" w:lineRule="auto"/>
        <w:jc w:val="left"/>
        <w:rPr>
          <w:rFonts w:ascii="仿宋" w:hAnsi="仿宋" w:eastAsia="仿宋"/>
          <w:color w:val="auto"/>
          <w:sz w:val="24"/>
        </w:rPr>
      </w:pPr>
      <w:r>
        <w:rPr>
          <w:rFonts w:ascii="仿宋" w:hAnsi="仿宋" w:eastAsia="仿宋"/>
          <w:color w:val="auto"/>
          <w:sz w:val="24"/>
        </w:rPr>
        <w:t>开户银行：                             开户银行：</w:t>
      </w:r>
    </w:p>
    <w:p>
      <w:pPr>
        <w:spacing w:line="480" w:lineRule="auto"/>
        <w:jc w:val="left"/>
        <w:rPr>
          <w:rFonts w:ascii="仿宋" w:hAnsi="仿宋" w:eastAsia="仿宋"/>
          <w:color w:val="auto"/>
          <w:sz w:val="24"/>
        </w:rPr>
      </w:pPr>
      <w:r>
        <w:rPr>
          <w:rFonts w:ascii="仿宋" w:hAnsi="仿宋" w:eastAsia="仿宋"/>
          <w:color w:val="auto"/>
          <w:sz w:val="24"/>
        </w:rPr>
        <w:t>账    号：                             账    号：</w:t>
      </w:r>
    </w:p>
    <w:p>
      <w:pPr>
        <w:spacing w:line="480" w:lineRule="auto"/>
        <w:jc w:val="left"/>
        <w:rPr>
          <w:rFonts w:ascii="仿宋" w:hAnsi="仿宋" w:eastAsia="仿宋"/>
          <w:color w:val="auto"/>
          <w:sz w:val="24"/>
        </w:rPr>
      </w:pPr>
      <w:r>
        <w:rPr>
          <w:rFonts w:ascii="仿宋" w:hAnsi="仿宋" w:eastAsia="仿宋"/>
          <w:color w:val="auto"/>
          <w:sz w:val="24"/>
        </w:rPr>
        <w:t>电    话：                             电    话：</w:t>
      </w:r>
    </w:p>
    <w:p>
      <w:pPr>
        <w:spacing w:line="480" w:lineRule="auto"/>
        <w:jc w:val="left"/>
        <w:rPr>
          <w:rFonts w:ascii="仿宋" w:hAnsi="仿宋" w:eastAsia="仿宋"/>
          <w:color w:val="auto"/>
          <w:sz w:val="24"/>
        </w:rPr>
      </w:pPr>
      <w:r>
        <w:rPr>
          <w:rFonts w:ascii="仿宋" w:hAnsi="仿宋" w:eastAsia="仿宋"/>
          <w:color w:val="auto"/>
          <w:sz w:val="24"/>
        </w:rPr>
        <w:t>传    真：                             传    真：</w:t>
      </w:r>
    </w:p>
    <w:p>
      <w:pPr>
        <w:spacing w:line="480" w:lineRule="auto"/>
        <w:jc w:val="left"/>
        <w:rPr>
          <w:rFonts w:ascii="仿宋" w:hAnsi="仿宋" w:eastAsia="仿宋"/>
          <w:color w:val="auto"/>
        </w:rPr>
      </w:pPr>
      <w:r>
        <w:rPr>
          <w:rFonts w:ascii="仿宋" w:hAnsi="仿宋" w:eastAsia="仿宋"/>
          <w:color w:val="auto"/>
          <w:sz w:val="24"/>
        </w:rPr>
        <w:t>签约日期：     年   月   日            签约日期：    年   月   日</w:t>
      </w:r>
    </w:p>
    <w:p>
      <w:pPr>
        <w:spacing w:line="480" w:lineRule="auto"/>
        <w:jc w:val="left"/>
        <w:rPr>
          <w:rFonts w:ascii="仿宋" w:hAnsi="仿宋" w:eastAsia="仿宋"/>
          <w:color w:val="auto"/>
          <w:sz w:val="24"/>
        </w:rPr>
      </w:pPr>
      <w:bookmarkStart w:id="262" w:name="_Toc427148832"/>
      <w:bookmarkStart w:id="263" w:name="_Toc427138813"/>
      <w:bookmarkStart w:id="264" w:name="_Toc494198680"/>
      <w:bookmarkStart w:id="265" w:name="_Toc36029495"/>
    </w:p>
    <w:p>
      <w:pPr>
        <w:spacing w:line="480" w:lineRule="auto"/>
        <w:jc w:val="left"/>
        <w:rPr>
          <w:rFonts w:ascii="仿宋" w:hAnsi="仿宋" w:eastAsia="仿宋"/>
          <w:color w:val="auto"/>
          <w:sz w:val="24"/>
        </w:rPr>
      </w:pPr>
    </w:p>
    <w:p>
      <w:pPr>
        <w:spacing w:line="480" w:lineRule="auto"/>
        <w:jc w:val="left"/>
        <w:rPr>
          <w:rFonts w:ascii="仿宋" w:hAnsi="仿宋" w:eastAsia="仿宋"/>
          <w:color w:val="auto"/>
          <w:sz w:val="24"/>
        </w:rPr>
      </w:pPr>
    </w:p>
    <w:p>
      <w:pPr>
        <w:spacing w:line="480" w:lineRule="auto"/>
        <w:jc w:val="left"/>
        <w:rPr>
          <w:rFonts w:ascii="仿宋" w:hAnsi="仿宋" w:eastAsia="仿宋"/>
          <w:color w:val="auto"/>
          <w:sz w:val="24"/>
        </w:rPr>
      </w:pPr>
    </w:p>
    <w:p>
      <w:pPr>
        <w:spacing w:line="480" w:lineRule="auto"/>
        <w:jc w:val="left"/>
        <w:rPr>
          <w:rFonts w:ascii="仿宋" w:hAnsi="仿宋" w:eastAsia="仿宋"/>
          <w:color w:val="auto"/>
          <w:sz w:val="24"/>
        </w:rPr>
      </w:pPr>
    </w:p>
    <w:p>
      <w:pPr>
        <w:spacing w:line="480" w:lineRule="auto"/>
        <w:jc w:val="left"/>
        <w:rPr>
          <w:rFonts w:ascii="仿宋" w:hAnsi="仿宋" w:eastAsia="仿宋"/>
          <w:color w:val="auto"/>
          <w:sz w:val="24"/>
        </w:rPr>
      </w:pPr>
    </w:p>
    <w:p>
      <w:pPr>
        <w:spacing w:line="480" w:lineRule="auto"/>
        <w:jc w:val="left"/>
        <w:rPr>
          <w:rFonts w:ascii="仿宋" w:hAnsi="仿宋" w:eastAsia="仿宋"/>
          <w:color w:val="auto"/>
          <w:sz w:val="24"/>
        </w:rPr>
      </w:pPr>
    </w:p>
    <w:p>
      <w:pPr>
        <w:spacing w:line="480" w:lineRule="auto"/>
        <w:jc w:val="left"/>
        <w:rPr>
          <w:rFonts w:ascii="仿宋" w:hAnsi="仿宋" w:eastAsia="仿宋"/>
          <w:color w:val="auto"/>
          <w:sz w:val="24"/>
        </w:rPr>
      </w:pPr>
    </w:p>
    <w:p>
      <w:pPr>
        <w:pStyle w:val="3"/>
        <w:tabs>
          <w:tab w:val="left" w:pos="709"/>
        </w:tabs>
        <w:adjustRightInd w:val="0"/>
        <w:spacing w:before="0" w:after="0" w:line="360" w:lineRule="auto"/>
        <w:rPr>
          <w:rFonts w:ascii="仿宋" w:hAnsi="仿宋" w:eastAsia="仿宋"/>
          <w:color w:val="auto"/>
          <w:sz w:val="28"/>
          <w:szCs w:val="28"/>
        </w:rPr>
      </w:pPr>
      <w:bookmarkStart w:id="266" w:name="_Toc40703464"/>
      <w:r>
        <w:rPr>
          <w:rFonts w:ascii="仿宋" w:hAnsi="仿宋" w:eastAsia="仿宋"/>
          <w:color w:val="auto"/>
          <w:sz w:val="28"/>
          <w:szCs w:val="28"/>
        </w:rPr>
        <w:t>附件</w:t>
      </w:r>
      <w:r>
        <w:rPr>
          <w:rFonts w:hint="eastAsia" w:ascii="仿宋" w:hAnsi="仿宋" w:eastAsia="仿宋"/>
          <w:color w:val="auto"/>
          <w:sz w:val="28"/>
          <w:szCs w:val="28"/>
        </w:rPr>
        <w:t>一</w:t>
      </w:r>
      <w:r>
        <w:rPr>
          <w:rFonts w:ascii="仿宋" w:hAnsi="仿宋" w:eastAsia="仿宋"/>
          <w:color w:val="auto"/>
          <w:sz w:val="28"/>
          <w:szCs w:val="28"/>
        </w:rPr>
        <w:t xml:space="preserve">  </w:t>
      </w:r>
      <w:r>
        <w:rPr>
          <w:rFonts w:hint="eastAsia" w:ascii="仿宋" w:hAnsi="仿宋" w:eastAsia="仿宋"/>
          <w:color w:val="auto"/>
          <w:sz w:val="28"/>
          <w:szCs w:val="28"/>
        </w:rPr>
        <w:t>各行政监管领域“较大数额罚款</w:t>
      </w:r>
      <w:r>
        <w:rPr>
          <w:rFonts w:ascii="仿宋" w:hAnsi="仿宋" w:eastAsia="仿宋"/>
          <w:color w:val="auto"/>
          <w:sz w:val="28"/>
          <w:szCs w:val="28"/>
        </w:rPr>
        <w:t>"标准一览表</w:t>
      </w:r>
      <w:bookmarkEnd w:id="266"/>
    </w:p>
    <w:p>
      <w:pPr>
        <w:jc w:val="center"/>
        <w:rPr>
          <w:color w:val="auto"/>
          <w:sz w:val="24"/>
        </w:rPr>
      </w:pPr>
      <w:r>
        <w:rPr>
          <w:rFonts w:hint="eastAsia" w:ascii="仿宋" w:hAnsi="仿宋" w:eastAsia="仿宋" w:cs="宋体"/>
          <w:bCs/>
          <w:color w:val="auto"/>
          <w:sz w:val="24"/>
        </w:rPr>
        <w:t>各行政监管领域“较大数额罚款"标准一览表</w:t>
      </w:r>
      <w:bookmarkEnd w:id="262"/>
      <w:bookmarkEnd w:id="263"/>
      <w:bookmarkEnd w:id="264"/>
      <w:bookmarkEnd w:id="265"/>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062"/>
        <w:gridCol w:w="1666"/>
        <w:gridCol w:w="1415"/>
        <w:gridCol w:w="4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346" w:type="pct"/>
            <w:vAlign w:val="center"/>
          </w:tcPr>
          <w:p>
            <w:pPr>
              <w:widowControl/>
              <w:adjustRightInd w:val="0"/>
              <w:spacing w:line="240" w:lineRule="auto"/>
              <w:jc w:val="center"/>
              <w:rPr>
                <w:rFonts w:ascii="仿宋" w:hAnsi="仿宋" w:eastAsia="仿宋"/>
                <w:bCs/>
                <w:color w:val="auto"/>
                <w:sz w:val="22"/>
                <w:szCs w:val="22"/>
              </w:rPr>
            </w:pPr>
            <w:r>
              <w:rPr>
                <w:rFonts w:hint="eastAsia" w:ascii="仿宋" w:hAnsi="仿宋" w:eastAsia="仿宋"/>
                <w:bCs/>
                <w:color w:val="auto"/>
                <w:sz w:val="22"/>
                <w:szCs w:val="22"/>
              </w:rPr>
              <w:t>序号</w:t>
            </w:r>
          </w:p>
        </w:tc>
        <w:tc>
          <w:tcPr>
            <w:tcW w:w="555" w:type="pct"/>
            <w:vAlign w:val="center"/>
          </w:tcPr>
          <w:p>
            <w:pPr>
              <w:widowControl/>
              <w:adjustRightInd w:val="0"/>
              <w:spacing w:line="240" w:lineRule="auto"/>
              <w:jc w:val="center"/>
              <w:rPr>
                <w:rFonts w:ascii="仿宋" w:hAnsi="仿宋" w:eastAsia="仿宋"/>
                <w:bCs/>
                <w:color w:val="auto"/>
                <w:sz w:val="22"/>
                <w:szCs w:val="22"/>
              </w:rPr>
            </w:pPr>
            <w:r>
              <w:rPr>
                <w:rFonts w:hint="eastAsia" w:ascii="仿宋" w:hAnsi="仿宋" w:eastAsia="仿宋"/>
                <w:bCs/>
                <w:color w:val="auto"/>
                <w:sz w:val="22"/>
                <w:szCs w:val="22"/>
              </w:rPr>
              <w:t>部委</w:t>
            </w:r>
          </w:p>
          <w:p>
            <w:pPr>
              <w:widowControl/>
              <w:adjustRightInd w:val="0"/>
              <w:spacing w:line="240" w:lineRule="auto"/>
              <w:jc w:val="center"/>
              <w:rPr>
                <w:rFonts w:ascii="仿宋" w:hAnsi="仿宋" w:eastAsia="仿宋"/>
                <w:bCs/>
                <w:color w:val="auto"/>
                <w:sz w:val="22"/>
                <w:szCs w:val="22"/>
              </w:rPr>
            </w:pPr>
            <w:r>
              <w:rPr>
                <w:rFonts w:hint="eastAsia" w:ascii="仿宋" w:hAnsi="仿宋" w:eastAsia="仿宋"/>
                <w:bCs/>
                <w:color w:val="auto"/>
                <w:sz w:val="22"/>
                <w:szCs w:val="22"/>
              </w:rPr>
              <w:t>名称</w:t>
            </w:r>
          </w:p>
        </w:tc>
        <w:tc>
          <w:tcPr>
            <w:tcW w:w="870" w:type="pct"/>
            <w:vAlign w:val="center"/>
          </w:tcPr>
          <w:p>
            <w:pPr>
              <w:widowControl/>
              <w:adjustRightInd w:val="0"/>
              <w:spacing w:line="240" w:lineRule="auto"/>
              <w:jc w:val="center"/>
              <w:rPr>
                <w:rFonts w:ascii="仿宋" w:hAnsi="仿宋" w:eastAsia="仿宋"/>
                <w:bCs/>
                <w:color w:val="auto"/>
                <w:sz w:val="22"/>
                <w:szCs w:val="22"/>
              </w:rPr>
            </w:pPr>
            <w:r>
              <w:rPr>
                <w:rFonts w:hint="eastAsia" w:ascii="仿宋" w:hAnsi="仿宋" w:eastAsia="仿宋"/>
                <w:bCs/>
                <w:color w:val="auto"/>
                <w:sz w:val="22"/>
                <w:szCs w:val="22"/>
              </w:rPr>
              <w:t>规章名称</w:t>
            </w:r>
          </w:p>
        </w:tc>
        <w:tc>
          <w:tcPr>
            <w:tcW w:w="739" w:type="pct"/>
            <w:vAlign w:val="center"/>
          </w:tcPr>
          <w:p>
            <w:pPr>
              <w:widowControl/>
              <w:adjustRightInd w:val="0"/>
              <w:spacing w:line="240" w:lineRule="auto"/>
              <w:jc w:val="center"/>
              <w:rPr>
                <w:rFonts w:ascii="仿宋" w:hAnsi="仿宋" w:eastAsia="仿宋"/>
                <w:bCs/>
                <w:color w:val="auto"/>
                <w:sz w:val="22"/>
                <w:szCs w:val="22"/>
              </w:rPr>
            </w:pPr>
            <w:r>
              <w:rPr>
                <w:rFonts w:hint="eastAsia" w:ascii="仿宋" w:hAnsi="仿宋" w:eastAsia="仿宋"/>
                <w:bCs/>
                <w:color w:val="auto"/>
                <w:sz w:val="22"/>
                <w:szCs w:val="22"/>
              </w:rPr>
              <w:t>规章条文</w:t>
            </w:r>
          </w:p>
        </w:tc>
        <w:tc>
          <w:tcPr>
            <w:tcW w:w="2488" w:type="pct"/>
            <w:vAlign w:val="center"/>
          </w:tcPr>
          <w:p>
            <w:pPr>
              <w:widowControl/>
              <w:adjustRightInd w:val="0"/>
              <w:spacing w:line="240" w:lineRule="auto"/>
              <w:jc w:val="center"/>
              <w:rPr>
                <w:rFonts w:ascii="仿宋" w:hAnsi="仿宋" w:eastAsia="仿宋"/>
                <w:bCs/>
                <w:color w:val="auto"/>
                <w:sz w:val="22"/>
                <w:szCs w:val="22"/>
              </w:rPr>
            </w:pPr>
            <w:r>
              <w:rPr>
                <w:rFonts w:hint="eastAsia" w:ascii="仿宋" w:hAnsi="仿宋" w:eastAsia="仿宋"/>
                <w:bCs/>
                <w:color w:val="auto"/>
                <w:sz w:val="22"/>
                <w:szCs w:val="22"/>
              </w:rPr>
              <w:t>「较大数额罚款」简易标准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000" w:type="pct"/>
            <w:gridSpan w:val="5"/>
            <w:vAlign w:val="center"/>
          </w:tcPr>
          <w:p>
            <w:pPr>
              <w:widowControl/>
              <w:adjustRightInd w:val="0"/>
              <w:spacing w:line="240" w:lineRule="auto"/>
              <w:jc w:val="left"/>
              <w:rPr>
                <w:rFonts w:ascii="仿宋" w:hAnsi="仿宋" w:eastAsia="仿宋"/>
                <w:bCs/>
                <w:color w:val="auto"/>
                <w:sz w:val="22"/>
                <w:szCs w:val="22"/>
              </w:rPr>
            </w:pPr>
            <w:r>
              <w:rPr>
                <w:rFonts w:hint="eastAsia" w:ascii="仿宋" w:hAnsi="仿宋" w:eastAsia="仿宋"/>
                <w:bCs/>
                <w:color w:val="auto"/>
                <w:sz w:val="22"/>
                <w:szCs w:val="22"/>
              </w:rPr>
              <w:t>国务院组成部门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1</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公安部</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《公安机关办理行政案件程序规定》</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第一百二十三条</w:t>
            </w:r>
          </w:p>
        </w:tc>
        <w:tc>
          <w:tcPr>
            <w:tcW w:w="2488" w:type="pct"/>
            <w:vAlign w:val="center"/>
          </w:tcPr>
          <w:p>
            <w:pPr>
              <w:widowControl/>
              <w:adjustRightInd w:val="0"/>
              <w:spacing w:line="240" w:lineRule="auto"/>
              <w:jc w:val="left"/>
              <w:rPr>
                <w:rFonts w:ascii="仿宋" w:hAnsi="仿宋" w:eastAsia="仿宋" w:cs="Arial"/>
                <w:color w:val="auto"/>
                <w:sz w:val="22"/>
                <w:szCs w:val="22"/>
              </w:rPr>
            </w:pPr>
            <w:r>
              <w:rPr>
                <w:rFonts w:hint="eastAsia" w:ascii="仿宋" w:hAnsi="仿宋" w:eastAsia="仿宋" w:cs="Arial"/>
                <w:color w:val="auto"/>
                <w:sz w:val="22"/>
                <w:szCs w:val="22"/>
              </w:rPr>
              <w:t>在作出下列行政处罚决定之前，应当告知违法嫌疑人有要求举行听证的权利：（一）责令停产停业；（二）吊销许可证或者执照；（三）较大数额罚款；（四）法律、法规和规章规定违法嫌疑人可以要求举行听证的其他情形。</w:t>
            </w:r>
            <w:r>
              <w:rPr>
                <w:rFonts w:ascii="仿宋" w:hAnsi="仿宋" w:eastAsia="仿宋" w:cs="Arial"/>
                <w:color w:val="auto"/>
                <w:sz w:val="22"/>
                <w:szCs w:val="22"/>
              </w:rPr>
              <w:t xml:space="preserve"> </w:t>
            </w:r>
            <w:r>
              <w:rPr>
                <w:rFonts w:hint="eastAsia" w:ascii="仿宋" w:hAnsi="仿宋" w:eastAsia="仿宋" w:cs="Arial"/>
                <w:color w:val="auto"/>
                <w:sz w:val="22"/>
                <w:szCs w:val="22"/>
              </w:rPr>
              <w:t>前款第三项所称</w:t>
            </w:r>
            <w:r>
              <w:rPr>
                <w:rFonts w:ascii="仿宋" w:hAnsi="仿宋" w:eastAsia="仿宋" w:cs="Arial"/>
                <w:color w:val="auto"/>
                <w:sz w:val="22"/>
                <w:szCs w:val="22"/>
              </w:rPr>
              <w:t>“</w:t>
            </w:r>
            <w:r>
              <w:rPr>
                <w:rFonts w:hint="eastAsia" w:ascii="仿宋" w:hAnsi="仿宋" w:eastAsia="仿宋" w:cs="Arial"/>
                <w:color w:val="auto"/>
                <w:sz w:val="22"/>
                <w:szCs w:val="22"/>
              </w:rPr>
              <w:t>较大数额罚款</w:t>
            </w:r>
            <w:r>
              <w:rPr>
                <w:rFonts w:ascii="仿宋" w:hAnsi="仿宋" w:eastAsia="仿宋" w:cs="Arial"/>
                <w:color w:val="auto"/>
                <w:sz w:val="22"/>
                <w:szCs w:val="22"/>
              </w:rPr>
              <w:t>”</w:t>
            </w:r>
            <w:r>
              <w:rPr>
                <w:rFonts w:hint="eastAsia" w:ascii="仿宋" w:hAnsi="仿宋" w:eastAsia="仿宋" w:cs="Arial"/>
                <w:color w:val="auto"/>
                <w:sz w:val="22"/>
                <w:szCs w:val="22"/>
              </w:rPr>
              <w:t>，是指对个人处以二千元以上罚款，对单位处以一万元以上罚款，对违反边防出境入境管理法律、法规和规章的个人处以六千元以上罚款。对依据地方性法规或者地方政府规章作出的罚款处罚，适用听证的罚款数额按照地方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2</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财政部</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《财政机关行政处罚听证实施办法》</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第六条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财政机关在行政处罚案件调查终结后，对公民、法人或者其他组织依法作出下列行政处罚决定之前，应当告知当事人有要求举行听证的权利：（一）暂停会计师事务所经营业务；（二）暂停注册会计师执行业务；（三）吊销注册会计师证书； （四）吊销会计从业资格证书；（五）撤销会计师事务所；（六）取消政府采购业务代理资格；（七）较大数额罚款；（八）法律、法规和规章规定的其他应当告知听证权利的事项。财政部以及专员办作出罚款行政处罚的，其“较大数额罚款”的标准为对公民作出5000元以上罚款，对法人或者其他组织作出5万元以上罚款。地方财政机关作出罚款行政处罚的，其“较大数额罚款”的标准按照各省、自治区、直辖市人大常委会或者人民政府的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3</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教育部</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《教育行政处罚暂行实施</w:t>
            </w:r>
          </w:p>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办法》</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第二十七条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教育行政部门在作出本办法第九条第（三）、（四）、（五）、（六）、（七）、（八）、（九）项之一以及较大数额罚款的处罚决定前，除应当告知作出处罚决定的事实、理由和依据外，还应当书面告知当事人有要求举行听证的权利。前款所指的较大数额的罚款，标准为：由国务院教育行政部门作出罚款决定的，为五千元以上；由地方人民政府教育行政部门作出罚款决定的，具体标准由省一级人民政府决定。当事人在教育行政部门告知后三日内提出举行听证要求的，教育行政部门应当按照《中华人民共和国行政处罚法》第四十二条的规定，组织听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4</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司法部</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《司法行政机关行政处罚听证程序规定》</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第二十条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司法行政机关在作出下列行政处罚之前，案件调查部门应当告知当事人在三日内有要求举行听证的权利：（一）责令停业；（二）吊销许可证或者执业证书；（三）对个人处以三千元以上罚款，对法人或者其他组织处以二万元以上罚款；（四）法律法规以及规章规定的其他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5</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应急管理部</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《安全生产违法行为行政处罚办法》</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第三十二条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安全监管监察部门作出责令停产停业整顿、责令停产停业、吊销有关许可证、撤销有关执业资格、岗位证书或者较大数额罚款的行政处罚决定之前，应当告知当事人有要求举行听证的权利；当事人要求听证的，安全监管监察部门应当组织听证，不得向当事人收取听证费用。 前款所称较大数额罚款，为省、自治区、直辖市人大常委会或者人民政府规定的数额；没有规定数额的，其数额对个人罚款为1万元以上，对生产经营单位罚款为3万元以上。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6</w:t>
            </w:r>
          </w:p>
        </w:tc>
        <w:tc>
          <w:tcPr>
            <w:tcW w:w="555"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生态环境部</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《环境行政处罚听证程序</w:t>
            </w:r>
          </w:p>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规定》</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第五条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环境保护主管部门在作出以下行政处罚决定之前，应当告知当事人有申请听证的权利；当事人申请听证的，环境保护主管部门应当组织听证：</w:t>
            </w:r>
            <w:r>
              <w:rPr>
                <w:rFonts w:hint="eastAsia" w:ascii="仿宋" w:hAnsi="仿宋" w:eastAsia="仿宋" w:cs="宋体"/>
                <w:color w:val="auto"/>
                <w:sz w:val="22"/>
                <w:szCs w:val="22"/>
              </w:rPr>
              <w:br w:type="textWrapping"/>
            </w:r>
            <w:r>
              <w:rPr>
                <w:rFonts w:hint="eastAsia" w:ascii="仿宋" w:hAnsi="仿宋" w:eastAsia="仿宋" w:cs="宋体"/>
                <w:color w:val="auto"/>
                <w:sz w:val="22"/>
                <w:szCs w:val="22"/>
              </w:rPr>
              <w:t>（一）拟对法人、其他组织处以人民币50000元以上或者对公民处以人民币5000元以上罚款的；（二）拟对法人、其他组织处以人民币（或者等值物品价值）50000元以上或者对公民处以人民币（或者等值物品价值）5000元以上的没收违法所得或者没收非法财物的；（三）拟处以暂扣、吊销许可证或者其他具有许可性质的证件的；（四）拟责令停产、停业、关闭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7</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人力资源与社会保</w:t>
            </w:r>
          </w:p>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障部</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《劳动行政处罚听证程序</w:t>
            </w:r>
          </w:p>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规定》</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第三条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劳动行政部门作出责令停产停业、吊销许可证、较大数额罚款等行政处罚决定之前，应当告知当事人有要求听证的权利；当事人要求听证的，劳动行政部门应当组织听证。当事人不承担组织听证的费用。 根据国务院的规定，较大数额罚款的听证范围，由省、自治区、直辖市人大常委会或人民政府确定。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8</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工业和信息</w:t>
            </w:r>
          </w:p>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化部</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《通信行政处罚程序规定》</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第三十条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通信主管部门拟作出责令停产停业（关闭网站）、吊销许可证或者执照、较大数额罚款等行政处罚决定之前，应当告知当事人有要求举行听证的权利。当事人要求听证的，应当组织听证。 本条前款所称较大数额，是指对公民罚款１万元以上、对法人或其他组织罚款１０万元以上；地方通信主管部门也可以按照省、自治区、直辖市人大常委会或者人民政府规定的标准执行。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8"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9</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自然资源部</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《海洋行政处罚实施办法》</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第四十一条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重大海洋违法案件，是指拟作出下列海洋行政处罚的案件：（一）责令停止经批准的海底电缆管道海上作业、责令停止经批准的涉外海洋科学研究活动、责令停止经批准的海洋工程建设项目施工或者生产、使用的以及其他责令停止经批准的作业活动的；（二）吊销废弃物海洋倾倒许可证的；（三）注销海域使用权证书，收回海域使用权的；（四）对个人处以超过五千元罚款、对单位处以超过五万元罚款等海洋行政处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10</w:t>
            </w:r>
          </w:p>
        </w:tc>
        <w:tc>
          <w:tcPr>
            <w:tcW w:w="555"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国家卫生健康   委员会</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《卫生行政处罚程序》</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第三十条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卫生行政机关在作出的责令停产停业、吊销许可证或者较大数额罚款等行政处罚决定前，应当告知当事人有要求举行听证的权利。当事人要求听证的，卫生行政机关应当组织听证。听证由卫生机关内部法制机构或主管法制工作的综合机构负责。对较大数额罚款的听证范围依照省、自治区、直辖市人大常委会或人民政府的具体规定执行。国境卫生检疫机关对二万元以上数额的罚款实行听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11</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交通运输部</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《交通运输行政执法程序</w:t>
            </w:r>
          </w:p>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规定》</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第七十六条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执法部门作出下列行政处罚决定之前，应当在送达《违法行为通知书》时告知当事人有要求举行听证的权利：（一）责令停产停业；（二）吊销许可证或者执照；（三）较大数额罚款；（四）法律、法规和规章规定的当事人可以要求举行听证的其他情形。前款第（三）项规定的较大数额，地方执法部门按照省级人大常委会或者人民政府规定或者其授权部门规定的标准执行。海事执法部门按照对自然人处1万元以上、对法人或者其他组织10万元以上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12</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水利部</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《水行政处罚实施办法》</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第三十四条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水行政处罚机关作出对公民处以超过五千元、对法人或者其他组织处以超过五万元罚款以及吊销许可证等水行政处罚之前，应当告知当事人有要求举行听证的权利；当事人要求听证的，水行政处罚机关应当组织听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13</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农业农村部</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《农业行政处罚程序规定》</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第五十九条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对需要继续行驶的农业机械、渔业船舶实施暂扣或者吊销证照的行政处罚，农业行政处罚机关在实施行政处罚的同时，应当发给当事人相应的证明，允许农业机械、渔业船舶驶往预定或指定的地点。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14</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商务部</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《商务部行政处罚实施</w:t>
            </w:r>
          </w:p>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办法》</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第十九条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法制机构应当按照行政处罚委员会审理会的处理意见制作行政处罚告知书，书面告知当事人拟作出行政处罚的事实、理由及依据，并告知当事人依法享有陈述、申辩的权利。 拟作出3万元以上（不含3万元）罚款或责令停产停业、吊销许可证或执照的行政处罚的，应当在行政处罚告知书中告知当事人有要求举行听证的权利。 当事人要求陈述、申辩或者举行听证的，应当在收到行政处罚告知书后3日内向法制机构提出。 法制机构应当充分听取当事人意见，并对有关情况进行复核。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15</w:t>
            </w:r>
          </w:p>
        </w:tc>
        <w:tc>
          <w:tcPr>
            <w:tcW w:w="555"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国家文化与    旅游部</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《旅游行政处罚办法》</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第三十八条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旅游主管部门作出较大数额罚款、没收较大数额违法所得、取消出国（境）旅游业务经营资格、责令停业整顿、吊销旅行社业务经营许可证、导游证或者领队证等行政处罚决定前，应当以书面形式告知当事人有申请听证的权利。听证告知的内容应当包括，提出听证申请的期限，未如期提出申请的法律后果，以及受理听证申请的旅游主管部门名称、地址等内容。第一款所称较大数额，对公民为1万元人民币以上、对法人或者其他组织为5万元人民币以上；地方人民代表大会及其常务委员会或者地方人民政府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16</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中国人民银行</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《关于确定中国人民银行举行听证的较大数额罚款幅度的通知》</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为保障中国人民银行听证工作的顺利进行，现规定中国人民银行举行听证的“较大数额的罚款”为：县级支行五万元以上，地（市）级分行二十万元以上，省级分行五十万元以上，总行三百万元以上（均不含本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5000" w:type="pct"/>
            <w:gridSpan w:val="5"/>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bCs/>
                <w:color w:val="auto"/>
                <w:sz w:val="22"/>
                <w:szCs w:val="22"/>
              </w:rPr>
              <w:t>国务院直属机构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17</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海关</w:t>
            </w:r>
          </w:p>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总署</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《中华人民共和国海关行政处罚听证</w:t>
            </w:r>
          </w:p>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办法》</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第三条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海关作出暂停从事有关业务、撤销海关注册登记、对公民处1万元以上罚款、对法人或者其他组织处10万元以上罚款、没收有关货物、物品、走私运输工具等行政处罚决定之前，应当告知当事人有要求举行听证的权利；当事人要求听证的，海关应当组织听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18</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国家市场监督管理</w:t>
            </w:r>
          </w:p>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总局</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《市场监督管理行政处罚听证暂行办法》</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第五条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市场监督管理部门作出下列行政处罚决定之前，应当告知当事人有要求举行听证的权利：（一）责令停产停业；（二）吊销许可证或者执照；（三）对自然人处以一万元以上、对法人或者其他组织处以十万元以上罚款；（四）对自然人、法人或者其他组织作出没收违法所得和非法财物价值达到第三项所列数额的行政处罚。各省、自治区、直辖市人大常委会或者人民政府对前款第三项、第四项所列罚没数额有具体规定的，可以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19</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国家税务总局</w:t>
            </w:r>
          </w:p>
        </w:tc>
        <w:tc>
          <w:tcPr>
            <w:tcW w:w="870"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《税务行政处罚听证程序实施办法</w:t>
            </w:r>
          </w:p>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w:t>
            </w:r>
            <w:r>
              <w:rPr>
                <w:rFonts w:hint="eastAsia" w:ascii="仿宋" w:hAnsi="仿宋" w:eastAsia="仿宋"/>
                <w:color w:val="auto"/>
                <w:sz w:val="22"/>
                <w:szCs w:val="22"/>
              </w:rPr>
              <w:t>试行</w:t>
            </w:r>
            <w:r>
              <w:rPr>
                <w:rFonts w:ascii="仿宋" w:hAnsi="仿宋" w:eastAsia="仿宋"/>
                <w:color w:val="auto"/>
                <w:sz w:val="22"/>
                <w:szCs w:val="22"/>
              </w:rPr>
              <w:t>)</w:t>
            </w:r>
            <w:r>
              <w:rPr>
                <w:rFonts w:hint="eastAsia" w:ascii="仿宋" w:hAnsi="仿宋" w:eastAsia="仿宋"/>
                <w:color w:val="auto"/>
                <w:sz w:val="22"/>
                <w:szCs w:val="22"/>
              </w:rPr>
              <w:t>》</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第三条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税务机关对公民作出2000元以上（含本数）罚款或者对法人或者其他组织作出１万元以上（含本数）罚款或者对法人或者其他组织作出１万元以上（含本数）罚款的行政处罚之前，告知当事人送达《税务行政处罚事项告知书》，告知当事人已经查明的违法事实、证据、行政处罚的法律依据和拟将给予的行政处罚，并告知有要求举行听证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20</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国家版权局</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《著作权行政处罚实施</w:t>
            </w:r>
          </w:p>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办法》</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第三十三条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著作权行政管理部门作出较大数额罚款决定或者法律、行政法规规定应当听证的其他行政处罚决定前，应当告知当事人有要求举行听证的权利。 前款所称“较大数额罚款”，是指对个人处以两万元以上、对单位处以十万元以上的罚款。地方性法规、规章对听证要求另有规定的，依照地方性法规、规章办理。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21</w:t>
            </w:r>
          </w:p>
        </w:tc>
        <w:tc>
          <w:tcPr>
            <w:tcW w:w="555"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国家广播电视  总局</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《广播电影电视行政处罚程序暂行规定》</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第三十八条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对较大数额罚款的听证标准，按省、自治区、直辖市人大常委会或人民政府制定的标准执行。 广播电影电视部决定罚款十万元以上（含十万元）的，当事人可以要求听证。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000" w:type="pct"/>
            <w:gridSpan w:val="5"/>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bCs/>
                <w:color w:val="auto"/>
                <w:sz w:val="22"/>
                <w:szCs w:val="22"/>
              </w:rPr>
              <w:t>国务院直事业单位</w:t>
            </w:r>
            <w:r>
              <w:rPr>
                <w:rFonts w:hint="eastAsia" w:ascii="仿宋" w:hAnsi="仿宋" w:eastAsia="仿宋" w:cs="宋体"/>
                <w:color w:val="auto"/>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22</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中国气象局</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《气象行政处罚办法》</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第四十六条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本办法第三十四条所称“较大数额罚款”，是指对公民处以5000元（不含5000元）以上罚款，对法人或者其他组织处以3万元（不含3万元）以上罚款。 各省、自治区、直辖市通过的地方性法规或者地方政府规章对“较大数额罚款”的限额另有规定的，可以不受上述数额的限制。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23</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中国证券监督管理委员会</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《中国证券监督管理委员会行政处罚听证规则》</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第五条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中国证监会或其派出机构拟对当事人作出以下一项或者一项以上行政处罚的，应当在向当事人送达的《行政处罚事先告知书》中载明当事人享有要求听证的权利：（一）责令停止发行证券；（二）责令停业整顿；（三）暂停、撤销或者吊销证券、期货、基金相关业务许可；（四）暂停或者撤销任职资格、从业资格；（五）对个人没收业务收入、没收违法所得、罚款，单独或者合计5万元以上；（六）对单位没收业务收入、没收违法所得、罚款，单独或者合计30万元以上；（七）法律、行政法规和规章规定或者中国证监会及其派出机构认为可以听证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24</w:t>
            </w:r>
          </w:p>
        </w:tc>
        <w:tc>
          <w:tcPr>
            <w:tcW w:w="555"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中国银行保险监督管理委</w:t>
            </w:r>
          </w:p>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员会</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《中国银保监会行政处罚办法》</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第六十条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银保监会及其派出机构拟作出以下行政处罚决定前，应当在行政处罚事先告知书中告知当事人有要求举行听证的权利：（一）作出较大数额的罚款；（二）没收较大数额的违法所得；（三）限制保险业机构业务范围、责令停止接受新业务；（四）责令停业整顿；（五）吊销金融、业务许可证；（六）取消、撤销任职资格；（七）撤销外国银行代表处、撤销外国保险机构驻华代表机构或要求撤换外国银行首席代表、责令撤换外国保险机构驻华代表机构的首席代表；（八）禁止从事银行业工作或者禁止进入保险业。前款所称较大数额的罚款是指：（一）银保监会对实施银行业违法行为的单位作出的五百万元以上（不含本数，下同）罚款、对实施银行业违法行为的个人作出的五十万元以上罚款，对实施保险业违法行为的单位作出的一百五十万元以上罚款、对实施保险业违法行为的个人作出的十万元以上罚款；（二）银保监局对实施银行业违法行为的单位作出的三百万元以上罚款、对实施银行业违法行为的个人作出的三十万元以上罚款，对实施保险业违法行为的单位作出的五十万元以上罚款、对实施保险业违法行为的个人作出的七万元以上罚款；（三）银保监分局对实施银行业违法行为的单位作出的一百万元以上罚款、对实施银行业违法行为的个人作出的十万元以上罚款，对实施保险业违法行为的单位作出的三十万元以上罚款、对实施保险业违法行为的个人作出的五万元以上罚款。本条第一款所称没收较大数额的违法所得是指银保监会作出的没收五百万元以上违法所得，银保监局作出的没收一百万元以上违法所得，银保监分局作出的没收五十万元以上违法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000" w:type="pct"/>
            <w:gridSpan w:val="5"/>
            <w:vAlign w:val="center"/>
          </w:tcPr>
          <w:p>
            <w:pPr>
              <w:widowControl/>
              <w:adjustRightInd w:val="0"/>
              <w:spacing w:line="240" w:lineRule="auto"/>
              <w:jc w:val="left"/>
              <w:rPr>
                <w:rFonts w:ascii="仿宋" w:hAnsi="仿宋" w:eastAsia="仿宋"/>
                <w:bCs/>
                <w:color w:val="auto"/>
                <w:sz w:val="22"/>
                <w:szCs w:val="22"/>
              </w:rPr>
            </w:pPr>
            <w:r>
              <w:rPr>
                <w:rFonts w:hint="eastAsia" w:ascii="仿宋" w:hAnsi="仿宋" w:eastAsia="仿宋"/>
                <w:bCs/>
                <w:color w:val="auto"/>
                <w:sz w:val="22"/>
                <w:szCs w:val="22"/>
              </w:rPr>
              <w:t>国务院部委管理的国家局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25</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国家外汇管</w:t>
            </w:r>
          </w:p>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理局</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《国家外汇管理局行政处罚听证程序》</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第三条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外汇局作出下列重大处罚决定前，应当告知当事人有要求举行听证的权利：（一）责令暂停或者停止经营结售汇业务；（二）责令暂停经营外汇业务或者吊销经营外汇业务许可证；（三）较大数额罚没款；（四）其他法律、行政法规规定应当举行听证的。前款（三）项所称较大数额罚没款，是指对自然人的违法行为处以5万元人民币以上，对法人或者其他经济组织经营活动中的违法行为处以100万元人民币以上的罚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3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26</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国家烟草专</w:t>
            </w:r>
          </w:p>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卖局</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《烟草专卖行政处罚程序</w:t>
            </w:r>
          </w:p>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规定》</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第四十四条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烟草专卖行政主管部门在作出下列行政处罚决定之前，应当告知当事人有要求举行听证的权利：（一）一万元以上的罚款；（二）没收较大数额的违法所得或者违法烟草专卖品；（三）责令停产、停业，责令关闭；（四）取消从事烟草专卖业务的资格。 省级烟草专卖行政主管部门可以结合本地实际，调整和确定本行政区域内罚款、没收违法所得或者违法烟草专卖品的听证数额标准，报国务院烟草专卖行政主管部门批准后施行。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27</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国家林业和草原局</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《林业行政处罚听证规则》</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第五条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林业行政主管部门依法作出责令停产停业、吊销许可证或者执照、较大数额罚款等林业行政处罚决定之前，应当告知当事人有要求举行听证的权利，并制作林业行政处罚听证权利告知书。 前款所称较大数额的罚款，按照省、自治区、直辖市人大常委会或者省级人民政府的规定执行。 国家林业局依法作出十万元以上(含十万元)罚款决定的，应当告知当事人有要求举行听证的权利。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28</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国家铁路局</w:t>
            </w:r>
          </w:p>
        </w:tc>
        <w:tc>
          <w:tcPr>
            <w:tcW w:w="870"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《违反</w:t>
            </w:r>
            <w:r>
              <w:rPr>
                <w:rFonts w:ascii="仿宋" w:hAnsi="仿宋" w:eastAsia="仿宋"/>
                <w:color w:val="auto"/>
                <w:sz w:val="22"/>
                <w:szCs w:val="22"/>
              </w:rPr>
              <w:t>&lt;</w:t>
            </w:r>
            <w:r>
              <w:rPr>
                <w:rFonts w:hint="eastAsia" w:ascii="仿宋" w:hAnsi="仿宋" w:eastAsia="仿宋"/>
                <w:color w:val="auto"/>
                <w:sz w:val="22"/>
                <w:szCs w:val="22"/>
              </w:rPr>
              <w:t>铁路安全管理条例</w:t>
            </w:r>
            <w:r>
              <w:rPr>
                <w:rFonts w:ascii="仿宋" w:hAnsi="仿宋" w:eastAsia="仿宋"/>
                <w:color w:val="auto"/>
                <w:sz w:val="22"/>
                <w:szCs w:val="22"/>
              </w:rPr>
              <w:t>&gt;</w:t>
            </w:r>
            <w:r>
              <w:rPr>
                <w:rFonts w:hint="eastAsia" w:ascii="仿宋" w:hAnsi="仿宋" w:eastAsia="仿宋"/>
                <w:color w:val="auto"/>
                <w:sz w:val="22"/>
                <w:szCs w:val="22"/>
              </w:rPr>
              <w:t>行政处罚实施办法》</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第七十六条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 xml:space="preserve">本办法所称“较大数额罚款”，是指对个人处以1万元以上的罚款，对单位处以10万元以上的罚款。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29</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中国民用航</w:t>
            </w:r>
          </w:p>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空局</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《中国民用航空行政处罚实施办法》</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第四十一条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民航行政机关法制职能部门收到案件承办部门提出的民用航空行政案件调查报告后，应当进行初步审查。对拟同意进行下列行政处罚的，应当在报民航行政机关作出行政处罚决定之前，按本办法附件七的规定制作《民用航空行政处罚听证告知书》，告知当事人有要求听证的权利；当事人要求组织听证的，民航行政机关应当组织听证：（一）不少于人民币30000元的罚款；（二）吊销经营许可证或者执照；（三）责令停产停业。民用航空行政处罚听证告知书应当由当事人或者当事人代表签字或者盖章。该告知书一式两份，一份送达当事人，一份归入民航行政机关案卷。 不属于本条第一款规定情形的，不组织听证，由法制职能部门提出行政处罚意见，报民航行政机关作出行政处罚决定。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30</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国家邮政局</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《邮政行政处罚程序规定》</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第四十二条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邮政管理部门作出下列行政处罚之一的，当事人有要求举行听证的权利：（一）责令停产停业的；（二）吊销许可证的；（三）较大数额罚款的；本条第一款所称较大数额，是指对公民罚款五千元以上，对法人或者其他组织罚款超过法定最高罚款数额的百分之五十且在三万元以上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346" w:type="pct"/>
            <w:vAlign w:val="center"/>
          </w:tcPr>
          <w:p>
            <w:pPr>
              <w:widowControl/>
              <w:adjustRightInd w:val="0"/>
              <w:spacing w:line="240" w:lineRule="auto"/>
              <w:jc w:val="center"/>
              <w:rPr>
                <w:rFonts w:ascii="仿宋" w:hAnsi="仿宋" w:eastAsia="仿宋"/>
                <w:color w:val="auto"/>
                <w:sz w:val="22"/>
                <w:szCs w:val="22"/>
              </w:rPr>
            </w:pPr>
            <w:r>
              <w:rPr>
                <w:rFonts w:ascii="仿宋" w:hAnsi="仿宋" w:eastAsia="仿宋"/>
                <w:color w:val="auto"/>
                <w:sz w:val="22"/>
                <w:szCs w:val="22"/>
              </w:rPr>
              <w:t>31</w:t>
            </w:r>
          </w:p>
        </w:tc>
        <w:tc>
          <w:tcPr>
            <w:tcW w:w="555"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国家档案局</w:t>
            </w:r>
          </w:p>
        </w:tc>
        <w:tc>
          <w:tcPr>
            <w:tcW w:w="870" w:type="pct"/>
            <w:vAlign w:val="center"/>
          </w:tcPr>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《档案行政处罚程序暂行</w:t>
            </w:r>
          </w:p>
          <w:p>
            <w:pPr>
              <w:widowControl/>
              <w:adjustRightInd w:val="0"/>
              <w:spacing w:line="240" w:lineRule="auto"/>
              <w:jc w:val="center"/>
              <w:rPr>
                <w:rFonts w:ascii="仿宋" w:hAnsi="仿宋" w:eastAsia="仿宋" w:cs="宋体"/>
                <w:color w:val="auto"/>
                <w:sz w:val="22"/>
                <w:szCs w:val="22"/>
              </w:rPr>
            </w:pPr>
            <w:r>
              <w:rPr>
                <w:rFonts w:hint="eastAsia" w:ascii="仿宋" w:hAnsi="仿宋" w:eastAsia="仿宋" w:cs="宋体"/>
                <w:color w:val="auto"/>
                <w:sz w:val="22"/>
                <w:szCs w:val="22"/>
              </w:rPr>
              <w:t>规定》</w:t>
            </w:r>
          </w:p>
        </w:tc>
        <w:tc>
          <w:tcPr>
            <w:tcW w:w="739" w:type="pct"/>
            <w:vAlign w:val="center"/>
          </w:tcPr>
          <w:p>
            <w:pPr>
              <w:widowControl/>
              <w:adjustRightInd w:val="0"/>
              <w:spacing w:line="240" w:lineRule="auto"/>
              <w:jc w:val="center"/>
              <w:rPr>
                <w:rFonts w:ascii="仿宋" w:hAnsi="仿宋" w:eastAsia="仿宋"/>
                <w:color w:val="auto"/>
                <w:sz w:val="22"/>
                <w:szCs w:val="22"/>
              </w:rPr>
            </w:pPr>
            <w:r>
              <w:rPr>
                <w:rFonts w:hint="eastAsia" w:ascii="仿宋" w:hAnsi="仿宋" w:eastAsia="仿宋"/>
                <w:color w:val="auto"/>
                <w:sz w:val="22"/>
                <w:szCs w:val="22"/>
              </w:rPr>
              <w:t>第二十三条</w:t>
            </w:r>
          </w:p>
        </w:tc>
        <w:tc>
          <w:tcPr>
            <w:tcW w:w="2488" w:type="pct"/>
            <w:vAlign w:val="center"/>
          </w:tcPr>
          <w:p>
            <w:pPr>
              <w:widowControl/>
              <w:adjustRightInd w:val="0"/>
              <w:spacing w:line="240" w:lineRule="auto"/>
              <w:jc w:val="left"/>
              <w:rPr>
                <w:rFonts w:ascii="仿宋" w:hAnsi="仿宋" w:eastAsia="仿宋" w:cs="宋体"/>
                <w:color w:val="auto"/>
                <w:sz w:val="22"/>
                <w:szCs w:val="22"/>
              </w:rPr>
            </w:pPr>
            <w:r>
              <w:rPr>
                <w:rFonts w:hint="eastAsia" w:ascii="仿宋" w:hAnsi="仿宋" w:eastAsia="仿宋" w:cs="宋体"/>
                <w:color w:val="auto"/>
                <w:sz w:val="22"/>
                <w:szCs w:val="22"/>
              </w:rPr>
              <w:t>档案行政管理部门作出对单位处以五万元以上罚款，对个人处以三千元以上罚款决定之前，应当告知当事人有要求举行听证的权利；当事人要求听证的，应当在被告知后三日内提出，档案行政管理部门应当组织听证。当事人不承担听证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5000" w:type="pct"/>
            <w:gridSpan w:val="5"/>
            <w:vAlign w:val="center"/>
          </w:tcPr>
          <w:p>
            <w:pPr>
              <w:widowControl/>
              <w:adjustRightInd w:val="0"/>
              <w:spacing w:line="240" w:lineRule="auto"/>
              <w:jc w:val="left"/>
              <w:rPr>
                <w:rFonts w:ascii="仿宋" w:hAnsi="仿宋" w:eastAsia="仿宋" w:cs="宋体"/>
                <w:bCs/>
                <w:color w:val="auto"/>
                <w:sz w:val="22"/>
                <w:szCs w:val="22"/>
              </w:rPr>
            </w:pPr>
            <w:r>
              <w:rPr>
                <w:rFonts w:hint="eastAsia" w:ascii="仿宋" w:hAnsi="仿宋" w:eastAsia="仿宋" w:cs="宋体"/>
                <w:bCs/>
                <w:color w:val="auto"/>
                <w:sz w:val="22"/>
                <w:szCs w:val="22"/>
              </w:rPr>
              <w:t>《四川省行政处罚听证程序暂行规定》：“本规定所称较大数额，是指对非经营活动中公民的违法行为处以罚款或者没收财产2000元以上、法人或者其他组织的违法行为处以罚款或者没收财产2万元以上；对在经营活动中的违法行为处以罚款或者没收财产5万元以上。国务院有关部门规定的较大数额标准低于前款规定的，从其规定。”</w:t>
            </w:r>
          </w:p>
        </w:tc>
      </w:tr>
    </w:tbl>
    <w:p>
      <w:pPr>
        <w:rPr>
          <w:rFonts w:ascii="仿宋" w:hAnsi="仿宋" w:eastAsia="仿宋"/>
          <w:color w:val="auto"/>
          <w:szCs w:val="21"/>
        </w:rPr>
      </w:pPr>
      <w:r>
        <w:rPr>
          <w:rFonts w:hint="eastAsia" w:ascii="仿宋" w:hAnsi="仿宋" w:eastAsia="仿宋"/>
          <w:color w:val="auto"/>
          <w:szCs w:val="21"/>
        </w:rPr>
        <w:br w:type="page"/>
      </w:r>
    </w:p>
    <w:p>
      <w:pPr>
        <w:spacing w:line="360" w:lineRule="auto"/>
        <w:outlineLvl w:val="1"/>
        <w:rPr>
          <w:rFonts w:ascii="宋体" w:hAnsi="宋体" w:cs="宋体"/>
          <w:color w:val="auto"/>
          <w:szCs w:val="21"/>
        </w:rPr>
      </w:pPr>
      <w:r>
        <w:rPr>
          <w:rFonts w:hint="eastAsia" w:ascii="宋体" w:hAnsi="宋体" w:cs="宋体"/>
          <w:b/>
          <w:bCs/>
          <w:color w:val="auto"/>
          <w:szCs w:val="21"/>
        </w:rPr>
        <w:t>附件二：《四川省财政厅关于推进四川省政府采购供应商信用融资工作的通知》</w:t>
      </w:r>
      <w:bookmarkEnd w:id="162"/>
    </w:p>
    <w:p>
      <w:pPr>
        <w:spacing w:line="360" w:lineRule="auto"/>
        <w:rPr>
          <w:color w:val="auto"/>
        </w:rPr>
      </w:pPr>
      <w:r>
        <w:rPr>
          <w:color w:val="auto"/>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color w:val="auto"/>
        </w:rPr>
      </w:pPr>
      <w:r>
        <w:rPr>
          <w:color w:val="auto"/>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auto"/>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color w:val="auto"/>
          <w:sz w:val="30"/>
          <w:szCs w:val="30"/>
        </w:rPr>
      </w:pPr>
    </w:p>
    <w:p>
      <w:pPr>
        <w:spacing w:line="400" w:lineRule="exact"/>
        <w:rPr>
          <w:rFonts w:ascii="宋体" w:hAnsi="宋体" w:cs="Tahoma"/>
          <w:b/>
          <w:color w:val="auto"/>
          <w:sz w:val="30"/>
          <w:szCs w:val="30"/>
        </w:rPr>
      </w:pPr>
    </w:p>
    <w:p>
      <w:pPr>
        <w:spacing w:line="400" w:lineRule="exact"/>
        <w:outlineLvl w:val="1"/>
        <w:rPr>
          <w:rFonts w:ascii="仿宋_GB2312" w:hAnsi="仿宋_GB2312" w:eastAsia="仿宋_GB2312" w:cs="仿宋_GB2312"/>
          <w:b/>
          <w:color w:val="auto"/>
          <w:szCs w:val="21"/>
        </w:rPr>
      </w:pPr>
      <w:r>
        <w:rPr>
          <w:rFonts w:hint="eastAsia" w:ascii="宋体" w:hAnsi="宋体" w:cs="宋体"/>
          <w:b/>
          <w:color w:val="auto"/>
          <w:szCs w:val="21"/>
        </w:rPr>
        <w:t>附件三：《成都市中小企业政府采购信用融资暂行办法》和《成都市级支持中小企业政府采购信用融资实施方案》</w:t>
      </w:r>
    </w:p>
    <w:p>
      <w:pPr>
        <w:rPr>
          <w:color w:val="auto"/>
        </w:rPr>
      </w:pPr>
      <w:r>
        <w:rPr>
          <w:rFonts w:hint="eastAsia"/>
          <w:color w:val="auto"/>
        </w:rPr>
        <w:drawing>
          <wp:inline distT="0" distB="0" distL="0" distR="0">
            <wp:extent cx="5971540" cy="7998460"/>
            <wp:effectExtent l="0" t="0" r="1016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auto"/>
        </w:rPr>
      </w:pPr>
    </w:p>
    <w:p>
      <w:pPr>
        <w:rPr>
          <w:color w:val="auto"/>
        </w:rPr>
      </w:pPr>
    </w:p>
    <w:p>
      <w:pPr>
        <w:rPr>
          <w:color w:val="auto"/>
        </w:rPr>
      </w:pPr>
      <w:r>
        <w:rPr>
          <w:rFonts w:hint="eastAsia"/>
          <w:color w:val="auto"/>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color w:val="auto"/>
        </w:rPr>
      </w:pPr>
    </w:p>
    <w:p>
      <w:pPr>
        <w:rPr>
          <w:color w:val="auto"/>
        </w:rPr>
      </w:pPr>
      <w:r>
        <w:rPr>
          <w:color w:val="auto"/>
        </w:rP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5629275" cy="7543800"/>
                    </a:xfrm>
                    <a:prstGeom prst="rect">
                      <a:avLst/>
                    </a:prstGeom>
                  </pic:spPr>
                </pic:pic>
              </a:graphicData>
            </a:graphic>
          </wp:inline>
        </w:drawing>
      </w:r>
    </w:p>
    <w:p>
      <w:pPr>
        <w:rPr>
          <w:color w:val="auto"/>
        </w:rPr>
      </w:pPr>
      <w:r>
        <w:rPr>
          <w:color w:val="auto"/>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5591175" cy="8143875"/>
                    </a:xfrm>
                    <a:prstGeom prst="rect">
                      <a:avLst/>
                    </a:prstGeom>
                  </pic:spPr>
                </pic:pic>
              </a:graphicData>
            </a:graphic>
          </wp:inline>
        </w:drawing>
      </w:r>
    </w:p>
    <w:p>
      <w:pPr>
        <w:rPr>
          <w:color w:val="auto"/>
        </w:rPr>
      </w:pPr>
      <w:r>
        <w:rPr>
          <w:color w:val="auto"/>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941060" cy="3790950"/>
                    </a:xfrm>
                    <a:prstGeom prst="rect">
                      <a:avLst/>
                    </a:prstGeom>
                  </pic:spPr>
                </pic:pic>
              </a:graphicData>
            </a:graphic>
          </wp:inline>
        </w:drawing>
      </w:r>
    </w:p>
    <w:p>
      <w:pPr>
        <w:rPr>
          <w:color w:val="auto"/>
        </w:rPr>
      </w:pPr>
      <w:r>
        <w:rPr>
          <w:color w:val="auto"/>
        </w:rPr>
        <w:br w:type="page"/>
      </w:r>
    </w:p>
    <w:p>
      <w:pPr>
        <w:rPr>
          <w:color w:val="auto"/>
        </w:rPr>
        <w:sectPr>
          <w:footerReference r:id="rId7" w:type="default"/>
          <w:footerReference r:id="rId8" w:type="even"/>
          <w:pgSz w:w="11906" w:h="16838"/>
          <w:pgMar w:top="720" w:right="1274" w:bottom="720" w:left="1276" w:header="851" w:footer="992" w:gutter="0"/>
          <w:cols w:space="720" w:num="1"/>
          <w:docGrid w:type="linesAndChars" w:linePitch="312" w:charSpace="0"/>
        </w:sectPr>
      </w:pPr>
    </w:p>
    <w:p>
      <w:pPr>
        <w:outlineLvl w:val="1"/>
        <w:rPr>
          <w:rFonts w:ascii="宋体" w:hAnsi="宋体" w:cs="宋体"/>
          <w:b/>
          <w:bCs/>
          <w:color w:val="auto"/>
          <w:sz w:val="24"/>
          <w:szCs w:val="32"/>
        </w:rPr>
      </w:pPr>
      <w:r>
        <w:rPr>
          <w:rFonts w:hint="eastAsia" w:ascii="宋体" w:hAnsi="宋体" w:cs="宋体"/>
          <w:b/>
          <w:bCs/>
          <w:color w:val="auto"/>
          <w:sz w:val="24"/>
          <w:szCs w:val="32"/>
        </w:rPr>
        <w:t>附件四：政府采购云平台使用介绍</w:t>
      </w:r>
    </w:p>
    <w:p>
      <w:pPr>
        <w:rPr>
          <w:rFonts w:ascii="宋体" w:hAnsi="宋体" w:cs="宋体"/>
          <w:b/>
          <w:bCs/>
          <w:color w:val="auto"/>
          <w:sz w:val="24"/>
          <w:szCs w:val="32"/>
        </w:rPr>
      </w:pPr>
      <w:r>
        <w:rPr>
          <w:rFonts w:hint="eastAsia" w:ascii="宋体" w:hAnsi="宋体" w:cs="宋体"/>
          <w:b/>
          <w:bCs/>
          <w:color w:val="auto"/>
          <w:sz w:val="24"/>
          <w:szCs w:val="32"/>
        </w:rPr>
        <w:t>1.输入网址：</w:t>
      </w:r>
      <w:r>
        <w:rPr>
          <w:color w:val="auto"/>
        </w:rPr>
        <w:fldChar w:fldCharType="begin"/>
      </w:r>
      <w:r>
        <w:rPr>
          <w:color w:val="auto"/>
        </w:rPr>
        <w:instrText xml:space="preserve"> HYPERLINK "https://www.zcygov.cn" </w:instrText>
      </w:r>
      <w:r>
        <w:rPr>
          <w:color w:val="auto"/>
        </w:rPr>
        <w:fldChar w:fldCharType="separate"/>
      </w:r>
      <w:r>
        <w:rPr>
          <w:rStyle w:val="31"/>
          <w:rFonts w:hint="eastAsia" w:ascii="宋体" w:hAnsi="宋体" w:cs="宋体"/>
          <w:b/>
          <w:bCs/>
          <w:color w:val="auto"/>
          <w:sz w:val="24"/>
          <w:szCs w:val="32"/>
        </w:rPr>
        <w:t>https://www.zcygov.cn</w:t>
      </w:r>
      <w:r>
        <w:rPr>
          <w:rStyle w:val="31"/>
          <w:rFonts w:hint="eastAsia" w:ascii="宋体" w:hAnsi="宋体" w:cs="宋体"/>
          <w:b/>
          <w:bCs/>
          <w:color w:val="auto"/>
          <w:sz w:val="24"/>
          <w:szCs w:val="32"/>
        </w:rPr>
        <w:fldChar w:fldCharType="end"/>
      </w:r>
    </w:p>
    <w:p>
      <w:pPr>
        <w:rPr>
          <w:rFonts w:ascii="宋体" w:hAnsi="宋体" w:cs="宋体"/>
          <w:b/>
          <w:bCs/>
          <w:color w:val="auto"/>
          <w:sz w:val="24"/>
          <w:szCs w:val="32"/>
        </w:rPr>
      </w:pPr>
      <w:r>
        <w:rPr>
          <w:rFonts w:hint="eastAsia" w:ascii="宋体" w:hAnsi="宋体" w:cs="宋体"/>
          <w:b/>
          <w:bCs/>
          <w:color w:val="auto"/>
          <w:sz w:val="24"/>
          <w:szCs w:val="32"/>
        </w:rPr>
        <w:t>2.选择与项目对应的行政区域如：四川省-成都市-成都市本级</w:t>
      </w:r>
    </w:p>
    <w:p>
      <w:pPr>
        <w:rPr>
          <w:color w:val="auto"/>
        </w:rPr>
      </w:pPr>
      <w:r>
        <w:rPr>
          <w:color w:val="auto"/>
        </w:rPr>
        <w:drawing>
          <wp:inline distT="0" distB="0" distL="114300" distR="114300">
            <wp:extent cx="6691630" cy="4184650"/>
            <wp:effectExtent l="0" t="0" r="13970" b="635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1"/>
                    <a:stretch>
                      <a:fillRect/>
                    </a:stretch>
                  </pic:blipFill>
                  <pic:spPr>
                    <a:xfrm>
                      <a:off x="0" y="0"/>
                      <a:ext cx="6691630" cy="4184650"/>
                    </a:xfrm>
                    <a:prstGeom prst="rect">
                      <a:avLst/>
                    </a:prstGeom>
                    <a:noFill/>
                    <a:ln>
                      <a:noFill/>
                    </a:ln>
                  </pic:spPr>
                </pic:pic>
              </a:graphicData>
            </a:graphic>
          </wp:inline>
        </w:drawing>
      </w:r>
    </w:p>
    <w:p>
      <w:pPr>
        <w:numPr>
          <w:ilvl w:val="0"/>
          <w:numId w:val="8"/>
        </w:numPr>
        <w:rPr>
          <w:rFonts w:ascii="宋体" w:hAnsi="宋体" w:cs="宋体"/>
          <w:b/>
          <w:bCs/>
          <w:color w:val="auto"/>
          <w:sz w:val="24"/>
          <w:szCs w:val="32"/>
        </w:rPr>
      </w:pPr>
      <w:r>
        <w:rPr>
          <w:rFonts w:hint="eastAsia" w:ascii="宋体" w:hAnsi="宋体" w:cs="宋体"/>
          <w:b/>
          <w:bCs/>
          <w:color w:val="auto"/>
          <w:sz w:val="24"/>
          <w:szCs w:val="32"/>
        </w:rPr>
        <w:t>点击操作指南-供应商</w:t>
      </w:r>
    </w:p>
    <w:p>
      <w:pPr>
        <w:rPr>
          <w:b/>
          <w:bCs/>
          <w:color w:val="auto"/>
        </w:rPr>
      </w:pPr>
      <w:r>
        <w:rPr>
          <w:color w:val="auto"/>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2"/>
                    <a:stretch>
                      <a:fillRect/>
                    </a:stretch>
                  </pic:blipFill>
                  <pic:spPr>
                    <a:xfrm>
                      <a:off x="0" y="0"/>
                      <a:ext cx="8854440" cy="4585335"/>
                    </a:xfrm>
                    <a:prstGeom prst="rect">
                      <a:avLst/>
                    </a:prstGeom>
                    <a:noFill/>
                    <a:ln>
                      <a:noFill/>
                    </a:ln>
                  </pic:spPr>
                </pic:pic>
              </a:graphicData>
            </a:graphic>
          </wp:inline>
        </w:drawing>
      </w:r>
      <w:r>
        <w:rPr>
          <w:color w:val="auto"/>
        </w:rPr>
        <w:br w:type="page"/>
      </w:r>
      <w:r>
        <w:rPr>
          <w:rFonts w:hint="eastAsia" w:ascii="宋体" w:hAnsi="宋体" w:cs="宋体"/>
          <w:b/>
          <w:bCs/>
          <w:color w:val="auto"/>
          <w:sz w:val="24"/>
          <w:szCs w:val="32"/>
        </w:rPr>
        <w:t>4.进入政采云供应商学习专题页面</w:t>
      </w:r>
      <w:r>
        <w:rPr>
          <w:rFonts w:hint="eastAsia"/>
          <w:b/>
          <w:bCs/>
          <w:color w:val="auto"/>
        </w:rPr>
        <w:t>（https://edu.zcygov.cn/luban/xxzt-chengdu-gys?utm=a0017.b1347.cl50.5.0917bc90b7bb11eb807c353645758db6）</w:t>
      </w:r>
    </w:p>
    <w:p>
      <w:pPr>
        <w:rPr>
          <w:color w:val="auto"/>
        </w:rPr>
      </w:pPr>
      <w:r>
        <w:rPr>
          <w:color w:val="auto"/>
        </w:rPr>
        <w:drawing>
          <wp:inline distT="0" distB="0" distL="114300" distR="114300">
            <wp:extent cx="9255760" cy="4606290"/>
            <wp:effectExtent l="0" t="0" r="2540" b="381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3"/>
                    <a:stretch>
                      <a:fillRect/>
                    </a:stretch>
                  </pic:blipFill>
                  <pic:spPr>
                    <a:xfrm>
                      <a:off x="0" y="0"/>
                      <a:ext cx="9255760" cy="4606290"/>
                    </a:xfrm>
                    <a:prstGeom prst="rect">
                      <a:avLst/>
                    </a:prstGeom>
                    <a:noFill/>
                    <a:ln>
                      <a:noFill/>
                    </a:ln>
                  </pic:spPr>
                </pic:pic>
              </a:graphicData>
            </a:graphic>
          </wp:inline>
        </w:drawing>
      </w:r>
    </w:p>
    <w:p>
      <w:pPr>
        <w:rPr>
          <w:rFonts w:ascii="宋体" w:hAnsi="宋体" w:cs="宋体"/>
          <w:b/>
          <w:bCs/>
          <w:color w:val="auto"/>
          <w:sz w:val="24"/>
          <w:szCs w:val="32"/>
        </w:rPr>
      </w:pPr>
      <w:r>
        <w:rPr>
          <w:rFonts w:hint="eastAsia"/>
          <w:color w:val="auto"/>
        </w:rPr>
        <w:br w:type="page"/>
      </w:r>
      <w:r>
        <w:rPr>
          <w:rFonts w:hint="eastAsia" w:ascii="宋体" w:hAnsi="宋体" w:cs="宋体"/>
          <w:b/>
          <w:bCs/>
          <w:color w:val="auto"/>
          <w:sz w:val="24"/>
          <w:szCs w:val="32"/>
        </w:rPr>
        <w:t>5.供应商资讯服务渠道</w:t>
      </w:r>
    </w:p>
    <w:p>
      <w:pPr>
        <w:rPr>
          <w:color w:val="auto"/>
        </w:rPr>
      </w:pPr>
      <w:r>
        <w:rPr>
          <w:color w:val="auto"/>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4"/>
                    <a:stretch>
                      <a:fillRect/>
                    </a:stretch>
                  </pic:blipFill>
                  <pic:spPr>
                    <a:xfrm>
                      <a:off x="0" y="0"/>
                      <a:ext cx="9380855" cy="3362960"/>
                    </a:xfrm>
                    <a:prstGeom prst="rect">
                      <a:avLst/>
                    </a:prstGeom>
                    <a:noFill/>
                    <a:ln>
                      <a:noFill/>
                    </a:ln>
                  </pic:spPr>
                </pic:pic>
              </a:graphicData>
            </a:graphic>
          </wp:inline>
        </w:drawing>
      </w:r>
    </w:p>
    <w:p>
      <w:pPr>
        <w:rPr>
          <w:color w:val="auto"/>
        </w:rPr>
      </w:pPr>
      <w:r>
        <w:rPr>
          <w:color w:val="auto"/>
        </w:rPr>
        <w:br w:type="page"/>
      </w:r>
      <w:r>
        <w:rPr>
          <w:rFonts w:hint="eastAsia" w:ascii="宋体" w:hAnsi="宋体" w:cs="宋体"/>
          <w:b/>
          <w:bCs/>
          <w:color w:val="auto"/>
          <w:sz w:val="24"/>
          <w:szCs w:val="32"/>
        </w:rPr>
        <w:t>6.入驻政府采购云平台（注册）</w:t>
      </w:r>
    </w:p>
    <w:p>
      <w:pPr>
        <w:rPr>
          <w:color w:val="auto"/>
        </w:rPr>
      </w:pPr>
      <w:r>
        <w:rPr>
          <w:color w:val="auto"/>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5"/>
                    <a:stretch>
                      <a:fillRect/>
                    </a:stretch>
                  </pic:blipFill>
                  <pic:spPr>
                    <a:xfrm>
                      <a:off x="0" y="0"/>
                      <a:ext cx="8853805" cy="3604895"/>
                    </a:xfrm>
                    <a:prstGeom prst="rect">
                      <a:avLst/>
                    </a:prstGeom>
                    <a:noFill/>
                    <a:ln>
                      <a:noFill/>
                    </a:ln>
                  </pic:spPr>
                </pic:pic>
              </a:graphicData>
            </a:graphic>
          </wp:inline>
        </w:drawing>
      </w:r>
    </w:p>
    <w:p>
      <w:pPr>
        <w:rPr>
          <w:color w:val="auto"/>
        </w:rPr>
      </w:pPr>
      <w:r>
        <w:rPr>
          <w:color w:val="auto"/>
        </w:rPr>
        <w:br w:type="page"/>
      </w:r>
      <w:r>
        <w:rPr>
          <w:rFonts w:hint="eastAsia" w:ascii="宋体" w:hAnsi="宋体" w:cs="宋体"/>
          <w:b/>
          <w:bCs/>
          <w:color w:val="auto"/>
          <w:sz w:val="24"/>
          <w:szCs w:val="32"/>
        </w:rPr>
        <w:t>7.下载《供应商政府采购项目电子交易操作指南》</w:t>
      </w:r>
    </w:p>
    <w:p>
      <w:pPr>
        <w:rPr>
          <w:color w:val="auto"/>
        </w:rPr>
      </w:pPr>
      <w:r>
        <w:rPr>
          <w:color w:val="auto"/>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46"/>
                    <a:stretch>
                      <a:fillRect/>
                    </a:stretch>
                  </pic:blipFill>
                  <pic:spPr>
                    <a:xfrm>
                      <a:off x="0" y="0"/>
                      <a:ext cx="8860155" cy="4909185"/>
                    </a:xfrm>
                    <a:prstGeom prst="rect">
                      <a:avLst/>
                    </a:prstGeom>
                    <a:noFill/>
                    <a:ln>
                      <a:noFill/>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Eʩ">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jc w:val="center"/>
      <w:rPr>
        <w:rStyle w:val="29"/>
      </w:rPr>
    </w:pPr>
    <w:r>
      <w:fldChar w:fldCharType="begin"/>
    </w:r>
    <w:r>
      <w:rPr>
        <w:rStyle w:val="29"/>
      </w:rPr>
      <w:instrText xml:space="preserve">PAGE  </w:instrText>
    </w:r>
    <w:r>
      <w:fldChar w:fldCharType="separate"/>
    </w:r>
    <w:r>
      <w:rPr>
        <w:rStyle w:val="29"/>
      </w:rPr>
      <w:t>3</w:t>
    </w:r>
    <w:r>
      <w:fldChar w:fldCharType="end"/>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9"/>
      </w:rPr>
    </w:pPr>
    <w:r>
      <w:fldChar w:fldCharType="begin"/>
    </w:r>
    <w:r>
      <w:rPr>
        <w:rStyle w:val="29"/>
      </w:rPr>
      <w:instrText xml:space="preserve">PAGE  </w:instrText>
    </w:r>
    <w:r>
      <w:fldChar w:fldCharType="separate"/>
    </w:r>
    <w:r>
      <w:rPr>
        <w:rStyle w:val="29"/>
      </w:rPr>
      <w:t>4</w:t>
    </w:r>
    <w:r>
      <w:fldChar w:fldCharType="end"/>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jc w:val="center"/>
      <w:rPr>
        <w:rStyle w:val="29"/>
      </w:rPr>
    </w:pPr>
    <w:r>
      <w:fldChar w:fldCharType="begin"/>
    </w:r>
    <w:r>
      <w:rPr>
        <w:rStyle w:val="29"/>
      </w:rPr>
      <w:instrText xml:space="preserve">PAGE  </w:instrText>
    </w:r>
    <w:r>
      <w:fldChar w:fldCharType="separate"/>
    </w:r>
    <w:r>
      <w:rPr>
        <w:rStyle w:val="29"/>
      </w:rPr>
      <w:t>79</w:t>
    </w:r>
    <w:r>
      <w:fldChar w:fldCharType="end"/>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9"/>
      </w:rPr>
    </w:pPr>
    <w:r>
      <w:fldChar w:fldCharType="begin"/>
    </w:r>
    <w:r>
      <w:rPr>
        <w:rStyle w:val="29"/>
      </w:rPr>
      <w:instrText xml:space="preserve">PAGE  </w:instrText>
    </w:r>
    <w:r>
      <w:fldChar w:fldCharType="separate"/>
    </w:r>
    <w:r>
      <w:rPr>
        <w:rStyle w:val="29"/>
      </w:rPr>
      <w:t>153</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9"/>
      </w:rPr>
    </w:pPr>
    <w:r>
      <w:fldChar w:fldCharType="begin"/>
    </w:r>
    <w:r>
      <w:rPr>
        <w:rStyle w:val="29"/>
      </w:rPr>
      <w:instrText xml:space="preserve">PAGE  </w:instrText>
    </w:r>
    <w:r>
      <w:fldChar w:fldCharType="separate"/>
    </w:r>
    <w:r>
      <w:rPr>
        <w:rStyle w:val="29"/>
      </w:rPr>
      <w:t>152</w:t>
    </w:r>
    <w:r>
      <w:fldChar w:fldCharType="end"/>
    </w:r>
  </w:p>
  <w:p>
    <w:pPr>
      <w:pStyle w:val="17"/>
      <w:ind w:right="360"/>
    </w:pPr>
  </w:p>
  <w:p/>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60D4B6"/>
    <w:multiLevelType w:val="singleLevel"/>
    <w:tmpl w:val="8760D4B6"/>
    <w:lvl w:ilvl="0" w:tentative="0">
      <w:start w:val="1"/>
      <w:numFmt w:val="decimal"/>
      <w:lvlText w:val="%1."/>
      <w:lvlJc w:val="left"/>
      <w:pPr>
        <w:tabs>
          <w:tab w:val="left" w:pos="312"/>
        </w:tabs>
      </w:pPr>
    </w:lvl>
  </w:abstractNum>
  <w:abstractNum w:abstractNumId="1">
    <w:nsid w:val="95EADDD9"/>
    <w:multiLevelType w:val="singleLevel"/>
    <w:tmpl w:val="95EADDD9"/>
    <w:lvl w:ilvl="0" w:tentative="0">
      <w:start w:val="5"/>
      <w:numFmt w:val="decimal"/>
      <w:suff w:val="space"/>
      <w:lvlText w:val="%1."/>
      <w:lvlJc w:val="left"/>
    </w:lvl>
  </w:abstractNum>
  <w:abstractNum w:abstractNumId="2">
    <w:nsid w:val="D983DA86"/>
    <w:multiLevelType w:val="singleLevel"/>
    <w:tmpl w:val="D983DA86"/>
    <w:lvl w:ilvl="0" w:tentative="0">
      <w:start w:val="2"/>
      <w:numFmt w:val="decimal"/>
      <w:suff w:val="nothing"/>
      <w:lvlText w:val="%1）"/>
      <w:lvlJc w:val="left"/>
    </w:lvl>
  </w:abstractNum>
  <w:abstractNum w:abstractNumId="3">
    <w:nsid w:val="12810C68"/>
    <w:multiLevelType w:val="multilevel"/>
    <w:tmpl w:val="12810C68"/>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1517B247"/>
    <w:multiLevelType w:val="singleLevel"/>
    <w:tmpl w:val="1517B247"/>
    <w:lvl w:ilvl="0" w:tentative="0">
      <w:start w:val="3"/>
      <w:numFmt w:val="decimal"/>
      <w:lvlText w:val="%1."/>
      <w:lvlJc w:val="left"/>
      <w:pPr>
        <w:tabs>
          <w:tab w:val="left" w:pos="312"/>
        </w:tabs>
      </w:pPr>
    </w:lvl>
  </w:abstractNum>
  <w:abstractNum w:abstractNumId="5">
    <w:nsid w:val="40A9672B"/>
    <w:multiLevelType w:val="multilevel"/>
    <w:tmpl w:val="40A9672B"/>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60AFA821"/>
    <w:multiLevelType w:val="singleLevel"/>
    <w:tmpl w:val="60AFA821"/>
    <w:lvl w:ilvl="0" w:tentative="0">
      <w:start w:val="1"/>
      <w:numFmt w:val="decimal"/>
      <w:suff w:val="nothing"/>
      <w:lvlText w:val="%1."/>
      <w:lvlJc w:val="left"/>
    </w:lvl>
  </w:abstractNum>
  <w:num w:numId="1">
    <w:abstractNumId w:val="0"/>
  </w:num>
  <w:num w:numId="2">
    <w:abstractNumId w:val="6"/>
  </w:num>
  <w:num w:numId="3">
    <w:abstractNumId w:val="7"/>
  </w:num>
  <w:num w:numId="4">
    <w:abstractNumId w:val="2"/>
  </w:num>
  <w:num w:numId="5">
    <w:abstractNumId w:val="3"/>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420"/>
  <w:evenAndOddHeaders w:val="1"/>
  <w:drawingGridHorizontalSpacing w:val="105"/>
  <w:drawingGridVerticalSpacing w:val="31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2315"/>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83B1F"/>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56D94"/>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1330"/>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8F793B"/>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6A76"/>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BF608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3D3D"/>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55407"/>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1D11862"/>
    <w:rsid w:val="020A0D6F"/>
    <w:rsid w:val="022E6D4C"/>
    <w:rsid w:val="02317836"/>
    <w:rsid w:val="02430B2B"/>
    <w:rsid w:val="02A57C90"/>
    <w:rsid w:val="02E836CB"/>
    <w:rsid w:val="03386882"/>
    <w:rsid w:val="03C93DE4"/>
    <w:rsid w:val="03CF276F"/>
    <w:rsid w:val="03FE7515"/>
    <w:rsid w:val="04104985"/>
    <w:rsid w:val="045042B3"/>
    <w:rsid w:val="04BF58EE"/>
    <w:rsid w:val="05052E25"/>
    <w:rsid w:val="062126EF"/>
    <w:rsid w:val="064916BB"/>
    <w:rsid w:val="0662250D"/>
    <w:rsid w:val="069756C9"/>
    <w:rsid w:val="06EA41D2"/>
    <w:rsid w:val="06F82B78"/>
    <w:rsid w:val="070F441E"/>
    <w:rsid w:val="072E42E3"/>
    <w:rsid w:val="079A4421"/>
    <w:rsid w:val="07D729CE"/>
    <w:rsid w:val="083C0751"/>
    <w:rsid w:val="08404482"/>
    <w:rsid w:val="08D749EA"/>
    <w:rsid w:val="0968446C"/>
    <w:rsid w:val="09880AD8"/>
    <w:rsid w:val="0AA5328F"/>
    <w:rsid w:val="0B134589"/>
    <w:rsid w:val="0B1602F9"/>
    <w:rsid w:val="0B7E48FD"/>
    <w:rsid w:val="0BFB0153"/>
    <w:rsid w:val="0CA00E3D"/>
    <w:rsid w:val="0CFC2EE8"/>
    <w:rsid w:val="0D417D41"/>
    <w:rsid w:val="0DB22A1A"/>
    <w:rsid w:val="0E2F068D"/>
    <w:rsid w:val="0E545AFA"/>
    <w:rsid w:val="0E7D093D"/>
    <w:rsid w:val="0E836838"/>
    <w:rsid w:val="0EB70609"/>
    <w:rsid w:val="0F1F514D"/>
    <w:rsid w:val="0F232DE6"/>
    <w:rsid w:val="0F3E4B7C"/>
    <w:rsid w:val="0F4628FA"/>
    <w:rsid w:val="0F594D76"/>
    <w:rsid w:val="0F917391"/>
    <w:rsid w:val="0F9B2B5E"/>
    <w:rsid w:val="0FB34829"/>
    <w:rsid w:val="0FD13773"/>
    <w:rsid w:val="0FF24AF1"/>
    <w:rsid w:val="10004428"/>
    <w:rsid w:val="10136D8A"/>
    <w:rsid w:val="105B51DC"/>
    <w:rsid w:val="10906BC2"/>
    <w:rsid w:val="10B02E63"/>
    <w:rsid w:val="10C14D02"/>
    <w:rsid w:val="10E84E5E"/>
    <w:rsid w:val="11C22947"/>
    <w:rsid w:val="11C96F3F"/>
    <w:rsid w:val="12FC0B1C"/>
    <w:rsid w:val="1308440F"/>
    <w:rsid w:val="13404493"/>
    <w:rsid w:val="135607B7"/>
    <w:rsid w:val="13686C1A"/>
    <w:rsid w:val="13B6593C"/>
    <w:rsid w:val="13BB5EEE"/>
    <w:rsid w:val="13D7283C"/>
    <w:rsid w:val="13E27EBC"/>
    <w:rsid w:val="143F3317"/>
    <w:rsid w:val="14537884"/>
    <w:rsid w:val="14593BBF"/>
    <w:rsid w:val="14B538EB"/>
    <w:rsid w:val="14D56C28"/>
    <w:rsid w:val="151C338A"/>
    <w:rsid w:val="153B6188"/>
    <w:rsid w:val="1565002B"/>
    <w:rsid w:val="15E45DCF"/>
    <w:rsid w:val="164973BC"/>
    <w:rsid w:val="16D229E9"/>
    <w:rsid w:val="173D66F2"/>
    <w:rsid w:val="17430389"/>
    <w:rsid w:val="175C0959"/>
    <w:rsid w:val="177941D0"/>
    <w:rsid w:val="17DC532F"/>
    <w:rsid w:val="17EF566D"/>
    <w:rsid w:val="18800267"/>
    <w:rsid w:val="18A92EA1"/>
    <w:rsid w:val="18EC0617"/>
    <w:rsid w:val="19201D08"/>
    <w:rsid w:val="19731B79"/>
    <w:rsid w:val="197E3487"/>
    <w:rsid w:val="198122A9"/>
    <w:rsid w:val="1A024AC4"/>
    <w:rsid w:val="1AA57B5F"/>
    <w:rsid w:val="1AC63E49"/>
    <w:rsid w:val="1AEA621F"/>
    <w:rsid w:val="1AFC40BA"/>
    <w:rsid w:val="1B260840"/>
    <w:rsid w:val="1B8E24F5"/>
    <w:rsid w:val="1BCA7EED"/>
    <w:rsid w:val="1BE761D2"/>
    <w:rsid w:val="1BEB18E3"/>
    <w:rsid w:val="1C2407D2"/>
    <w:rsid w:val="1C392717"/>
    <w:rsid w:val="1CC00D48"/>
    <w:rsid w:val="1D0B5324"/>
    <w:rsid w:val="1D247573"/>
    <w:rsid w:val="1D314742"/>
    <w:rsid w:val="1DB04E18"/>
    <w:rsid w:val="1DB73C31"/>
    <w:rsid w:val="1E5006DD"/>
    <w:rsid w:val="1E626810"/>
    <w:rsid w:val="1E643F2A"/>
    <w:rsid w:val="1E7C1444"/>
    <w:rsid w:val="1EE44777"/>
    <w:rsid w:val="1F3A1F0D"/>
    <w:rsid w:val="1F515A41"/>
    <w:rsid w:val="1FDB4E92"/>
    <w:rsid w:val="208E2D86"/>
    <w:rsid w:val="20A41BDD"/>
    <w:rsid w:val="21354379"/>
    <w:rsid w:val="21432F64"/>
    <w:rsid w:val="21D218F6"/>
    <w:rsid w:val="21E10ADD"/>
    <w:rsid w:val="21EE38EF"/>
    <w:rsid w:val="224A72AF"/>
    <w:rsid w:val="22547760"/>
    <w:rsid w:val="22723839"/>
    <w:rsid w:val="230B6C59"/>
    <w:rsid w:val="23A77E92"/>
    <w:rsid w:val="23C823BC"/>
    <w:rsid w:val="23CA0328"/>
    <w:rsid w:val="24057464"/>
    <w:rsid w:val="24A42D4D"/>
    <w:rsid w:val="24D34D10"/>
    <w:rsid w:val="24F46692"/>
    <w:rsid w:val="25425BBA"/>
    <w:rsid w:val="25553120"/>
    <w:rsid w:val="25C7764E"/>
    <w:rsid w:val="25D57113"/>
    <w:rsid w:val="266013D3"/>
    <w:rsid w:val="266A61AB"/>
    <w:rsid w:val="26D60601"/>
    <w:rsid w:val="26E51EF5"/>
    <w:rsid w:val="26F8289C"/>
    <w:rsid w:val="26FE01DA"/>
    <w:rsid w:val="28006784"/>
    <w:rsid w:val="28012834"/>
    <w:rsid w:val="28017784"/>
    <w:rsid w:val="28030845"/>
    <w:rsid w:val="287F157E"/>
    <w:rsid w:val="28D41922"/>
    <w:rsid w:val="28DD78F7"/>
    <w:rsid w:val="293E7871"/>
    <w:rsid w:val="294474C6"/>
    <w:rsid w:val="29CC726F"/>
    <w:rsid w:val="29D5537D"/>
    <w:rsid w:val="29EF1441"/>
    <w:rsid w:val="2A1D07B5"/>
    <w:rsid w:val="2A840A00"/>
    <w:rsid w:val="2AD02892"/>
    <w:rsid w:val="2AED414D"/>
    <w:rsid w:val="2AF843F6"/>
    <w:rsid w:val="2B7A199A"/>
    <w:rsid w:val="2B812B85"/>
    <w:rsid w:val="2BB97180"/>
    <w:rsid w:val="2BEB343A"/>
    <w:rsid w:val="2C054D1E"/>
    <w:rsid w:val="2C5300D5"/>
    <w:rsid w:val="2C926095"/>
    <w:rsid w:val="2CA10DCF"/>
    <w:rsid w:val="2D2864D4"/>
    <w:rsid w:val="2D345638"/>
    <w:rsid w:val="2D6405B3"/>
    <w:rsid w:val="2DAA40C0"/>
    <w:rsid w:val="2DD32383"/>
    <w:rsid w:val="2DE50909"/>
    <w:rsid w:val="2E1A700D"/>
    <w:rsid w:val="2E3C15E7"/>
    <w:rsid w:val="2E696557"/>
    <w:rsid w:val="2E917FC7"/>
    <w:rsid w:val="2EA828C4"/>
    <w:rsid w:val="2EB1759E"/>
    <w:rsid w:val="2EE72320"/>
    <w:rsid w:val="2EE8455C"/>
    <w:rsid w:val="2F0B2A9D"/>
    <w:rsid w:val="2F7927FD"/>
    <w:rsid w:val="2FC414F3"/>
    <w:rsid w:val="2FE60929"/>
    <w:rsid w:val="2FF058D0"/>
    <w:rsid w:val="30231DC2"/>
    <w:rsid w:val="30D70117"/>
    <w:rsid w:val="30E42F09"/>
    <w:rsid w:val="30FE7BF2"/>
    <w:rsid w:val="31274B61"/>
    <w:rsid w:val="312B72AF"/>
    <w:rsid w:val="314B29C9"/>
    <w:rsid w:val="317B3664"/>
    <w:rsid w:val="31922776"/>
    <w:rsid w:val="31B441AF"/>
    <w:rsid w:val="325A2ADE"/>
    <w:rsid w:val="32A81084"/>
    <w:rsid w:val="32B70B8F"/>
    <w:rsid w:val="32D70991"/>
    <w:rsid w:val="3357074F"/>
    <w:rsid w:val="33B2679E"/>
    <w:rsid w:val="33DC14FA"/>
    <w:rsid w:val="3482691D"/>
    <w:rsid w:val="34F34C56"/>
    <w:rsid w:val="34F46CC2"/>
    <w:rsid w:val="34FB73F4"/>
    <w:rsid w:val="35012000"/>
    <w:rsid w:val="357A5788"/>
    <w:rsid w:val="360308BC"/>
    <w:rsid w:val="36147632"/>
    <w:rsid w:val="36530971"/>
    <w:rsid w:val="36561BAE"/>
    <w:rsid w:val="36610C56"/>
    <w:rsid w:val="366B24CA"/>
    <w:rsid w:val="37133678"/>
    <w:rsid w:val="37197C4A"/>
    <w:rsid w:val="376916D4"/>
    <w:rsid w:val="376E6E4C"/>
    <w:rsid w:val="38095396"/>
    <w:rsid w:val="385666E5"/>
    <w:rsid w:val="389279F2"/>
    <w:rsid w:val="38BB254C"/>
    <w:rsid w:val="38D961D4"/>
    <w:rsid w:val="38DB70E7"/>
    <w:rsid w:val="38F3701F"/>
    <w:rsid w:val="39B92D7B"/>
    <w:rsid w:val="3AD16F1E"/>
    <w:rsid w:val="3B192EFF"/>
    <w:rsid w:val="3B2C7DCD"/>
    <w:rsid w:val="3BCE25E6"/>
    <w:rsid w:val="3BF368C5"/>
    <w:rsid w:val="3C1B106D"/>
    <w:rsid w:val="3C265817"/>
    <w:rsid w:val="3C2A61BB"/>
    <w:rsid w:val="3CEA2ACF"/>
    <w:rsid w:val="3D0C77C5"/>
    <w:rsid w:val="3D48523F"/>
    <w:rsid w:val="3D8B06B4"/>
    <w:rsid w:val="3DC46A40"/>
    <w:rsid w:val="3E681570"/>
    <w:rsid w:val="3ED62FE6"/>
    <w:rsid w:val="3ED91469"/>
    <w:rsid w:val="3F3618F0"/>
    <w:rsid w:val="3FC14E74"/>
    <w:rsid w:val="40275E65"/>
    <w:rsid w:val="404A6865"/>
    <w:rsid w:val="40731D0B"/>
    <w:rsid w:val="40BD25B1"/>
    <w:rsid w:val="40DA79DE"/>
    <w:rsid w:val="41540A99"/>
    <w:rsid w:val="417D3ED9"/>
    <w:rsid w:val="41BC1F10"/>
    <w:rsid w:val="424B3AFB"/>
    <w:rsid w:val="42B74043"/>
    <w:rsid w:val="42DD5940"/>
    <w:rsid w:val="42E250CC"/>
    <w:rsid w:val="42FF3D11"/>
    <w:rsid w:val="43765341"/>
    <w:rsid w:val="439679FE"/>
    <w:rsid w:val="43C24945"/>
    <w:rsid w:val="440F0583"/>
    <w:rsid w:val="45637160"/>
    <w:rsid w:val="45B86851"/>
    <w:rsid w:val="45E60474"/>
    <w:rsid w:val="46216FF3"/>
    <w:rsid w:val="463C7FC4"/>
    <w:rsid w:val="465167D1"/>
    <w:rsid w:val="46886E13"/>
    <w:rsid w:val="46B06B36"/>
    <w:rsid w:val="46C1077C"/>
    <w:rsid w:val="46CE0949"/>
    <w:rsid w:val="476756F9"/>
    <w:rsid w:val="47756B56"/>
    <w:rsid w:val="478F3EA7"/>
    <w:rsid w:val="47AD3F78"/>
    <w:rsid w:val="48087D38"/>
    <w:rsid w:val="480E730B"/>
    <w:rsid w:val="482B5C12"/>
    <w:rsid w:val="483304B6"/>
    <w:rsid w:val="48854DC1"/>
    <w:rsid w:val="48CC4993"/>
    <w:rsid w:val="48CD6541"/>
    <w:rsid w:val="492C3528"/>
    <w:rsid w:val="49B4651F"/>
    <w:rsid w:val="49D066E0"/>
    <w:rsid w:val="49D639C4"/>
    <w:rsid w:val="49E329B9"/>
    <w:rsid w:val="4A0613B6"/>
    <w:rsid w:val="4A260DC8"/>
    <w:rsid w:val="4A2A1285"/>
    <w:rsid w:val="4A71099C"/>
    <w:rsid w:val="4A9C1DE8"/>
    <w:rsid w:val="4AED1B3A"/>
    <w:rsid w:val="4B305315"/>
    <w:rsid w:val="4BB40773"/>
    <w:rsid w:val="4CE6400E"/>
    <w:rsid w:val="4CF906E8"/>
    <w:rsid w:val="4D5670A7"/>
    <w:rsid w:val="4D5D1F52"/>
    <w:rsid w:val="4DBC63C0"/>
    <w:rsid w:val="4E540763"/>
    <w:rsid w:val="4E72442D"/>
    <w:rsid w:val="4EB0364A"/>
    <w:rsid w:val="4F236A32"/>
    <w:rsid w:val="4F5D7111"/>
    <w:rsid w:val="4F8E36B5"/>
    <w:rsid w:val="4FA45F82"/>
    <w:rsid w:val="4FC20AA7"/>
    <w:rsid w:val="4FE80B78"/>
    <w:rsid w:val="4FF026F6"/>
    <w:rsid w:val="4FF97307"/>
    <w:rsid w:val="505F1EFD"/>
    <w:rsid w:val="50605870"/>
    <w:rsid w:val="506B4EC4"/>
    <w:rsid w:val="508041D1"/>
    <w:rsid w:val="50B70587"/>
    <w:rsid w:val="50C9698A"/>
    <w:rsid w:val="50F2027E"/>
    <w:rsid w:val="510A3089"/>
    <w:rsid w:val="513D1102"/>
    <w:rsid w:val="519A03E7"/>
    <w:rsid w:val="521024B8"/>
    <w:rsid w:val="523978C1"/>
    <w:rsid w:val="52DD0A68"/>
    <w:rsid w:val="52EC7E76"/>
    <w:rsid w:val="52F20C12"/>
    <w:rsid w:val="53047F92"/>
    <w:rsid w:val="5338319F"/>
    <w:rsid w:val="5345588D"/>
    <w:rsid w:val="53B034DF"/>
    <w:rsid w:val="545208AC"/>
    <w:rsid w:val="548A24A3"/>
    <w:rsid w:val="54DE0F4F"/>
    <w:rsid w:val="54E53259"/>
    <w:rsid w:val="54E97D97"/>
    <w:rsid w:val="55B769EE"/>
    <w:rsid w:val="560B1770"/>
    <w:rsid w:val="563D07A6"/>
    <w:rsid w:val="567D4FBC"/>
    <w:rsid w:val="568527A9"/>
    <w:rsid w:val="569F04F0"/>
    <w:rsid w:val="57787D9B"/>
    <w:rsid w:val="577C1E80"/>
    <w:rsid w:val="579E6879"/>
    <w:rsid w:val="57F33C4C"/>
    <w:rsid w:val="588C0AAD"/>
    <w:rsid w:val="58AA3B72"/>
    <w:rsid w:val="58F05AD9"/>
    <w:rsid w:val="59036554"/>
    <w:rsid w:val="59200143"/>
    <w:rsid w:val="593D6D82"/>
    <w:rsid w:val="5A181E84"/>
    <w:rsid w:val="5A812E59"/>
    <w:rsid w:val="5A995DAB"/>
    <w:rsid w:val="5ABA7460"/>
    <w:rsid w:val="5AF779F8"/>
    <w:rsid w:val="5B9C24F1"/>
    <w:rsid w:val="5B9E50D3"/>
    <w:rsid w:val="5BB46CAC"/>
    <w:rsid w:val="5C105F94"/>
    <w:rsid w:val="5C251D7A"/>
    <w:rsid w:val="5CBF064C"/>
    <w:rsid w:val="5CFA1CEF"/>
    <w:rsid w:val="5D0662B0"/>
    <w:rsid w:val="5D2C49EA"/>
    <w:rsid w:val="5D2D045A"/>
    <w:rsid w:val="5D9F760C"/>
    <w:rsid w:val="5DB73653"/>
    <w:rsid w:val="5DD074D7"/>
    <w:rsid w:val="5DE44F8E"/>
    <w:rsid w:val="5E1E0B33"/>
    <w:rsid w:val="5E2F576D"/>
    <w:rsid w:val="5E4274C8"/>
    <w:rsid w:val="5E786BF8"/>
    <w:rsid w:val="5EC82C37"/>
    <w:rsid w:val="5EF210D2"/>
    <w:rsid w:val="5F042BD4"/>
    <w:rsid w:val="5F230F76"/>
    <w:rsid w:val="5F2447E2"/>
    <w:rsid w:val="602A170A"/>
    <w:rsid w:val="60437933"/>
    <w:rsid w:val="605659A7"/>
    <w:rsid w:val="605A28BD"/>
    <w:rsid w:val="60AD2947"/>
    <w:rsid w:val="60D35A78"/>
    <w:rsid w:val="60D65BC1"/>
    <w:rsid w:val="610B183C"/>
    <w:rsid w:val="61613AC5"/>
    <w:rsid w:val="61D640C8"/>
    <w:rsid w:val="621D5FD0"/>
    <w:rsid w:val="625351F3"/>
    <w:rsid w:val="62553A9B"/>
    <w:rsid w:val="62A954D2"/>
    <w:rsid w:val="62EB6DE9"/>
    <w:rsid w:val="63D66D3A"/>
    <w:rsid w:val="63E32B36"/>
    <w:rsid w:val="6445786C"/>
    <w:rsid w:val="651729DB"/>
    <w:rsid w:val="657B7826"/>
    <w:rsid w:val="65C02314"/>
    <w:rsid w:val="65FA5B9B"/>
    <w:rsid w:val="6602471B"/>
    <w:rsid w:val="67557264"/>
    <w:rsid w:val="67AC14B0"/>
    <w:rsid w:val="68517281"/>
    <w:rsid w:val="68567627"/>
    <w:rsid w:val="69247457"/>
    <w:rsid w:val="698A4060"/>
    <w:rsid w:val="69B36504"/>
    <w:rsid w:val="69E14866"/>
    <w:rsid w:val="6A3B5037"/>
    <w:rsid w:val="6AD53F92"/>
    <w:rsid w:val="6B7867DE"/>
    <w:rsid w:val="6BA90006"/>
    <w:rsid w:val="6BF34860"/>
    <w:rsid w:val="6BF65381"/>
    <w:rsid w:val="6C161E18"/>
    <w:rsid w:val="6C8B3AD3"/>
    <w:rsid w:val="6CBB08C6"/>
    <w:rsid w:val="6D2A351D"/>
    <w:rsid w:val="6D2C5AA6"/>
    <w:rsid w:val="6E3431D3"/>
    <w:rsid w:val="6E683139"/>
    <w:rsid w:val="6E7A6E44"/>
    <w:rsid w:val="6E815E20"/>
    <w:rsid w:val="6EA00F72"/>
    <w:rsid w:val="6EC35D97"/>
    <w:rsid w:val="6F827E1F"/>
    <w:rsid w:val="6FB7884F"/>
    <w:rsid w:val="6FBE33DD"/>
    <w:rsid w:val="6FFED6AE"/>
    <w:rsid w:val="70695629"/>
    <w:rsid w:val="709E4961"/>
    <w:rsid w:val="71C9438B"/>
    <w:rsid w:val="71EB232F"/>
    <w:rsid w:val="71F22395"/>
    <w:rsid w:val="729964CB"/>
    <w:rsid w:val="72E03AF4"/>
    <w:rsid w:val="732F3A9D"/>
    <w:rsid w:val="73310943"/>
    <w:rsid w:val="736E713E"/>
    <w:rsid w:val="73821076"/>
    <w:rsid w:val="73AA2969"/>
    <w:rsid w:val="73B22405"/>
    <w:rsid w:val="73CF1F2D"/>
    <w:rsid w:val="73D030F9"/>
    <w:rsid w:val="73FC1BEE"/>
    <w:rsid w:val="742E14FA"/>
    <w:rsid w:val="74822716"/>
    <w:rsid w:val="74A77D79"/>
    <w:rsid w:val="74B21F23"/>
    <w:rsid w:val="74BB2C8C"/>
    <w:rsid w:val="74EE2280"/>
    <w:rsid w:val="750D3D28"/>
    <w:rsid w:val="756176A1"/>
    <w:rsid w:val="756D1719"/>
    <w:rsid w:val="75C5459B"/>
    <w:rsid w:val="765866EF"/>
    <w:rsid w:val="766429FA"/>
    <w:rsid w:val="76D45B66"/>
    <w:rsid w:val="76FE2417"/>
    <w:rsid w:val="771E653D"/>
    <w:rsid w:val="77222009"/>
    <w:rsid w:val="7763578D"/>
    <w:rsid w:val="77791872"/>
    <w:rsid w:val="77AD3433"/>
    <w:rsid w:val="77F80CBF"/>
    <w:rsid w:val="78594F9C"/>
    <w:rsid w:val="785C39BF"/>
    <w:rsid w:val="788E700F"/>
    <w:rsid w:val="791E7097"/>
    <w:rsid w:val="794006DB"/>
    <w:rsid w:val="79D85CE8"/>
    <w:rsid w:val="7A1E0BB7"/>
    <w:rsid w:val="7A322C02"/>
    <w:rsid w:val="7AF65F04"/>
    <w:rsid w:val="7B052BD7"/>
    <w:rsid w:val="7B072853"/>
    <w:rsid w:val="7B087025"/>
    <w:rsid w:val="7B5B2FAF"/>
    <w:rsid w:val="7BA10F88"/>
    <w:rsid w:val="7BAE707C"/>
    <w:rsid w:val="7BFE85DC"/>
    <w:rsid w:val="7C07569B"/>
    <w:rsid w:val="7C980CED"/>
    <w:rsid w:val="7CA44252"/>
    <w:rsid w:val="7DA40457"/>
    <w:rsid w:val="7DB479EE"/>
    <w:rsid w:val="7DCD6635"/>
    <w:rsid w:val="7E021F9B"/>
    <w:rsid w:val="7E1B21E0"/>
    <w:rsid w:val="7E39625F"/>
    <w:rsid w:val="7E9C1324"/>
    <w:rsid w:val="7EE36967"/>
    <w:rsid w:val="7F4108E0"/>
    <w:rsid w:val="7F9663C3"/>
    <w:rsid w:val="7FA02875"/>
    <w:rsid w:val="7FA345E5"/>
    <w:rsid w:val="7FBE0FFC"/>
    <w:rsid w:val="7FFB76A5"/>
    <w:rsid w:val="DE77049C"/>
    <w:rsid w:val="FBCF80A3"/>
    <w:rsid w:val="FDDE3621"/>
    <w:rsid w:val="FED934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4"/>
    <w:next w:val="1"/>
    <w:qFormat/>
    <w:uiPriority w:val="0"/>
    <w:pPr>
      <w:outlineLvl w:val="2"/>
    </w:pPr>
  </w:style>
  <w:style w:type="paragraph" w:styleId="6">
    <w:name w:val="heading 4"/>
    <w:basedOn w:val="3"/>
    <w:next w:val="1"/>
    <w:unhideWhenUsed/>
    <w:qFormat/>
    <w:uiPriority w:val="9"/>
    <w:pPr>
      <w:outlineLvl w:val="3"/>
    </w:pPr>
    <w:rPr>
      <w:sz w:val="28"/>
    </w:rPr>
  </w:style>
  <w:style w:type="character" w:default="1" w:styleId="28">
    <w:name w:val="Default Paragraph Font"/>
    <w:unhideWhenUsed/>
    <w:qFormat/>
    <w:uiPriority w:val="1"/>
  </w:style>
  <w:style w:type="table" w:default="1" w:styleId="26">
    <w:name w:val="Normal Table"/>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99"/>
    <w:pPr>
      <w:spacing w:after="120"/>
    </w:pPr>
  </w:style>
  <w:style w:type="paragraph" w:styleId="7">
    <w:name w:val="toc 7"/>
    <w:basedOn w:val="1"/>
    <w:next w:val="1"/>
    <w:qFormat/>
    <w:uiPriority w:val="0"/>
    <w:pPr>
      <w:ind w:left="2520" w:leftChars="1200"/>
    </w:pPr>
  </w:style>
  <w:style w:type="paragraph" w:styleId="8">
    <w:name w:val="Normal Indent"/>
    <w:basedOn w:val="1"/>
    <w:qFormat/>
    <w:uiPriority w:val="0"/>
    <w:pPr>
      <w:ind w:firstLine="200" w:firstLineChars="200"/>
    </w:pPr>
  </w:style>
  <w:style w:type="paragraph" w:styleId="9">
    <w:name w:val="caption"/>
    <w:basedOn w:val="1"/>
    <w:next w:val="1"/>
    <w:qFormat/>
    <w:uiPriority w:val="35"/>
    <w:pPr>
      <w:spacing w:after="0" w:line="240" w:lineRule="auto"/>
      <w:ind w:firstLine="420"/>
      <w:jc w:val="center"/>
    </w:pPr>
    <w:rPr>
      <w:rFonts w:ascii="仿宋_GB2312" w:hAnsi="Cambria" w:eastAsia="仿宋_GB2312"/>
      <w:szCs w:val="21"/>
    </w:rPr>
  </w:style>
  <w:style w:type="paragraph" w:styleId="10">
    <w:name w:val="Document Map"/>
    <w:basedOn w:val="1"/>
    <w:link w:val="36"/>
    <w:qFormat/>
    <w:uiPriority w:val="0"/>
    <w:rPr>
      <w:rFonts w:ascii="宋体"/>
      <w:sz w:val="18"/>
      <w:szCs w:val="18"/>
    </w:rPr>
  </w:style>
  <w:style w:type="paragraph" w:styleId="11">
    <w:name w:val="annotation text"/>
    <w:basedOn w:val="1"/>
    <w:link w:val="34"/>
    <w:qFormat/>
    <w:uiPriority w:val="0"/>
    <w:pPr>
      <w:jc w:val="left"/>
    </w:pPr>
  </w:style>
  <w:style w:type="paragraph" w:styleId="12">
    <w:name w:val="Body Text Indent"/>
    <w:basedOn w:val="1"/>
    <w:qFormat/>
    <w:uiPriority w:val="0"/>
    <w:pPr>
      <w:ind w:firstLine="630"/>
    </w:pPr>
    <w:rPr>
      <w:sz w:val="32"/>
      <w:szCs w:val="20"/>
    </w:rPr>
  </w:style>
  <w:style w:type="paragraph" w:styleId="13">
    <w:name w:val="toc 5"/>
    <w:basedOn w:val="1"/>
    <w:next w:val="1"/>
    <w:qFormat/>
    <w:uiPriority w:val="0"/>
    <w:pPr>
      <w:ind w:left="1680" w:leftChars="800"/>
    </w:pPr>
  </w:style>
  <w:style w:type="paragraph" w:styleId="14">
    <w:name w:val="toc 3"/>
    <w:basedOn w:val="1"/>
    <w:next w:val="1"/>
    <w:qFormat/>
    <w:uiPriority w:val="0"/>
    <w:pPr>
      <w:ind w:left="840" w:leftChars="400"/>
    </w:pPr>
  </w:style>
  <w:style w:type="paragraph" w:styleId="15">
    <w:name w:val="toc 8"/>
    <w:basedOn w:val="1"/>
    <w:next w:val="1"/>
    <w:qFormat/>
    <w:uiPriority w:val="0"/>
    <w:pPr>
      <w:ind w:left="2940" w:leftChars="1400"/>
    </w:pPr>
  </w:style>
  <w:style w:type="paragraph" w:styleId="16">
    <w:name w:val="Balloon Text"/>
    <w:basedOn w:val="1"/>
    <w:link w:val="33"/>
    <w:qFormat/>
    <w:uiPriority w:val="0"/>
    <w:rPr>
      <w:sz w:val="18"/>
      <w:szCs w:val="18"/>
    </w:rPr>
  </w:style>
  <w:style w:type="paragraph" w:styleId="17">
    <w:name w:val="footer"/>
    <w:basedOn w:val="1"/>
    <w:link w:val="48"/>
    <w:qFormat/>
    <w:uiPriority w:val="99"/>
    <w:pPr>
      <w:tabs>
        <w:tab w:val="center" w:pos="4153"/>
        <w:tab w:val="right" w:pos="8306"/>
      </w:tabs>
      <w:snapToGrid w:val="0"/>
      <w:jc w:val="left"/>
    </w:pPr>
    <w:rPr>
      <w:sz w:val="18"/>
      <w:szCs w:val="20"/>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9">
    <w:name w:val="toc 1"/>
    <w:basedOn w:val="1"/>
    <w:next w:val="1"/>
    <w:qFormat/>
    <w:uiPriority w:val="39"/>
  </w:style>
  <w:style w:type="paragraph" w:styleId="20">
    <w:name w:val="toc 4"/>
    <w:basedOn w:val="1"/>
    <w:next w:val="1"/>
    <w:qFormat/>
    <w:uiPriority w:val="0"/>
    <w:pPr>
      <w:ind w:left="1260" w:leftChars="600"/>
    </w:pPr>
  </w:style>
  <w:style w:type="paragraph" w:styleId="21">
    <w:name w:val="toc 6"/>
    <w:basedOn w:val="1"/>
    <w:next w:val="1"/>
    <w:qFormat/>
    <w:uiPriority w:val="0"/>
    <w:pPr>
      <w:ind w:left="2100" w:leftChars="1000"/>
    </w:pPr>
  </w:style>
  <w:style w:type="paragraph" w:styleId="22">
    <w:name w:val="toc 2"/>
    <w:basedOn w:val="1"/>
    <w:next w:val="1"/>
    <w:qFormat/>
    <w:uiPriority w:val="0"/>
    <w:pPr>
      <w:ind w:left="420" w:leftChars="200"/>
    </w:pPr>
  </w:style>
  <w:style w:type="paragraph" w:styleId="23">
    <w:name w:val="toc 9"/>
    <w:basedOn w:val="1"/>
    <w:next w:val="1"/>
    <w:qFormat/>
    <w:uiPriority w:val="0"/>
    <w:pPr>
      <w:ind w:left="3360" w:leftChars="1600"/>
    </w:pPr>
  </w:style>
  <w:style w:type="paragraph" w:styleId="24">
    <w:name w:val="Normal (Web)"/>
    <w:basedOn w:val="1"/>
    <w:qFormat/>
    <w:uiPriority w:val="0"/>
    <w:pPr>
      <w:widowControl/>
      <w:spacing w:before="100" w:beforeAutospacing="1" w:after="100" w:afterAutospacing="1"/>
      <w:jc w:val="left"/>
    </w:pPr>
    <w:rPr>
      <w:rFonts w:ascii="宋体"/>
      <w:kern w:val="0"/>
      <w:sz w:val="18"/>
      <w:szCs w:val="18"/>
    </w:rPr>
  </w:style>
  <w:style w:type="paragraph" w:styleId="25">
    <w:name w:val="annotation subject"/>
    <w:basedOn w:val="11"/>
    <w:next w:val="11"/>
    <w:link w:val="40"/>
    <w:qFormat/>
    <w:uiPriority w:val="0"/>
    <w:rPr>
      <w:b/>
      <w:bCs/>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qFormat/>
    <w:uiPriority w:val="0"/>
  </w:style>
  <w:style w:type="character" w:styleId="30">
    <w:name w:val="FollowedHyperlink"/>
    <w:basedOn w:val="28"/>
    <w:unhideWhenUsed/>
    <w:qFormat/>
    <w:uiPriority w:val="0"/>
    <w:rPr>
      <w:color w:val="954F72" w:themeColor="followedHyperlink"/>
      <w:u w:val="single"/>
      <w14:textFill>
        <w14:solidFill>
          <w14:schemeClr w14:val="folHlink"/>
        </w14:solidFill>
      </w14:textFill>
    </w:rPr>
  </w:style>
  <w:style w:type="character" w:styleId="31">
    <w:name w:val="Hyperlink"/>
    <w:basedOn w:val="28"/>
    <w:unhideWhenUsed/>
    <w:qFormat/>
    <w:uiPriority w:val="99"/>
    <w:rPr>
      <w:color w:val="0563C1" w:themeColor="hyperlink"/>
      <w:u w:val="single"/>
      <w14:textFill>
        <w14:solidFill>
          <w14:schemeClr w14:val="hlink"/>
        </w14:solidFill>
      </w14:textFill>
    </w:rPr>
  </w:style>
  <w:style w:type="character" w:styleId="32">
    <w:name w:val="annotation reference"/>
    <w:basedOn w:val="28"/>
    <w:qFormat/>
    <w:uiPriority w:val="99"/>
    <w:rPr>
      <w:sz w:val="21"/>
      <w:szCs w:val="21"/>
    </w:rPr>
  </w:style>
  <w:style w:type="character" w:customStyle="1" w:styleId="33">
    <w:name w:val="批注框文本 Char"/>
    <w:link w:val="16"/>
    <w:qFormat/>
    <w:uiPriority w:val="0"/>
    <w:rPr>
      <w:kern w:val="2"/>
      <w:sz w:val="18"/>
      <w:szCs w:val="18"/>
    </w:rPr>
  </w:style>
  <w:style w:type="character" w:customStyle="1" w:styleId="34">
    <w:name w:val="批注文字 Char"/>
    <w:link w:val="11"/>
    <w:qFormat/>
    <w:uiPriority w:val="0"/>
    <w:rPr>
      <w:kern w:val="2"/>
      <w:sz w:val="21"/>
      <w:szCs w:val="24"/>
    </w:rPr>
  </w:style>
  <w:style w:type="character" w:customStyle="1" w:styleId="35">
    <w:name w:val="font91"/>
    <w:qFormat/>
    <w:uiPriority w:val="0"/>
    <w:rPr>
      <w:rFonts w:hint="eastAsia" w:ascii="宋体" w:hAnsi="宋体" w:eastAsia="宋体" w:cs="宋体"/>
      <w:color w:val="FF0000"/>
      <w:sz w:val="21"/>
      <w:szCs w:val="21"/>
      <w:u w:val="single"/>
    </w:rPr>
  </w:style>
  <w:style w:type="character" w:customStyle="1" w:styleId="36">
    <w:name w:val="文档结构图 Char"/>
    <w:link w:val="10"/>
    <w:qFormat/>
    <w:uiPriority w:val="0"/>
    <w:rPr>
      <w:rFonts w:ascii="宋体"/>
      <w:kern w:val="2"/>
      <w:sz w:val="18"/>
      <w:szCs w:val="18"/>
    </w:rPr>
  </w:style>
  <w:style w:type="character" w:customStyle="1" w:styleId="37">
    <w:name w:val="font101"/>
    <w:qFormat/>
    <w:uiPriority w:val="0"/>
    <w:rPr>
      <w:rFonts w:hint="eastAsia" w:ascii="宋体" w:hAnsi="宋体" w:eastAsia="宋体" w:cs="宋体"/>
      <w:color w:val="000000"/>
      <w:sz w:val="21"/>
      <w:szCs w:val="21"/>
      <w:u w:val="single"/>
    </w:rPr>
  </w:style>
  <w:style w:type="character" w:customStyle="1" w:styleId="38">
    <w:name w:val="font111"/>
    <w:qFormat/>
    <w:uiPriority w:val="0"/>
    <w:rPr>
      <w:rFonts w:hint="default" w:ascii="Eʩ" w:hAnsi="Eʩ" w:eastAsia="Eʩ" w:cs="Eʩ"/>
      <w:color w:val="000000"/>
      <w:sz w:val="21"/>
      <w:szCs w:val="21"/>
      <w:u w:val="single"/>
    </w:rPr>
  </w:style>
  <w:style w:type="character" w:customStyle="1" w:styleId="39">
    <w:name w:val="font31"/>
    <w:qFormat/>
    <w:uiPriority w:val="0"/>
    <w:rPr>
      <w:rFonts w:hint="eastAsia" w:ascii="宋体" w:hAnsi="宋体" w:eastAsia="宋体" w:cs="宋体"/>
      <w:color w:val="000000"/>
      <w:sz w:val="21"/>
      <w:szCs w:val="21"/>
      <w:u w:val="none"/>
    </w:rPr>
  </w:style>
  <w:style w:type="character" w:customStyle="1" w:styleId="40">
    <w:name w:val="批注主题 Char"/>
    <w:link w:val="25"/>
    <w:qFormat/>
    <w:uiPriority w:val="0"/>
    <w:rPr>
      <w:b/>
      <w:bCs/>
      <w:kern w:val="2"/>
      <w:sz w:val="21"/>
      <w:szCs w:val="24"/>
    </w:rPr>
  </w:style>
  <w:style w:type="character" w:customStyle="1" w:styleId="41">
    <w:name w:val="标题 1 Char"/>
    <w:link w:val="3"/>
    <w:qFormat/>
    <w:uiPriority w:val="0"/>
    <w:rPr>
      <w:b/>
      <w:bCs/>
      <w:kern w:val="44"/>
      <w:sz w:val="44"/>
      <w:szCs w:val="44"/>
    </w:rPr>
  </w:style>
  <w:style w:type="paragraph" w:customStyle="1" w:styleId="42">
    <w:name w:val="正文1"/>
    <w:link w:val="53"/>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3">
    <w:name w:val="样式 首行缩进:  2 字符"/>
    <w:basedOn w:val="1"/>
    <w:qFormat/>
    <w:uiPriority w:val="0"/>
    <w:pPr>
      <w:spacing w:line="400" w:lineRule="exact"/>
      <w:ind w:firstLine="200" w:firstLineChars="200"/>
    </w:pPr>
    <w:rPr>
      <w:rFonts w:cs="宋体"/>
      <w:sz w:val="24"/>
    </w:rPr>
  </w:style>
  <w:style w:type="paragraph" w:customStyle="1" w:styleId="44">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5">
    <w:name w:val="正文首行缩进两字符"/>
    <w:basedOn w:val="1"/>
    <w:qFormat/>
    <w:uiPriority w:val="0"/>
    <w:pPr>
      <w:spacing w:line="360" w:lineRule="auto"/>
      <w:ind w:firstLine="200" w:firstLineChars="200"/>
    </w:pPr>
  </w:style>
  <w:style w:type="character" w:customStyle="1" w:styleId="46">
    <w:name w:val="批注文字 Char1"/>
    <w:basedOn w:val="28"/>
    <w:qFormat/>
    <w:uiPriority w:val="0"/>
    <w:rPr>
      <w:rFonts w:ascii="Times New Roman" w:hAnsi="Times New Roman" w:eastAsia="宋体" w:cs="Times New Roman"/>
      <w:szCs w:val="24"/>
    </w:rPr>
  </w:style>
  <w:style w:type="paragraph" w:customStyle="1" w:styleId="47">
    <w:name w:val="修订1"/>
    <w:hidden/>
    <w:unhideWhenUsed/>
    <w:qFormat/>
    <w:uiPriority w:val="99"/>
    <w:rPr>
      <w:rFonts w:ascii="Calibri" w:hAnsi="Calibri" w:eastAsia="宋体" w:cs="Times New Roman"/>
      <w:kern w:val="2"/>
      <w:sz w:val="21"/>
      <w:szCs w:val="24"/>
      <w:lang w:val="en-US" w:eastAsia="zh-CN" w:bidi="ar-SA"/>
    </w:rPr>
  </w:style>
  <w:style w:type="character" w:customStyle="1" w:styleId="48">
    <w:name w:val="页脚 Char"/>
    <w:link w:val="17"/>
    <w:qFormat/>
    <w:uiPriority w:val="99"/>
    <w:rPr>
      <w:kern w:val="2"/>
      <w:sz w:val="18"/>
    </w:rPr>
  </w:style>
  <w:style w:type="paragraph" w:customStyle="1" w:styleId="49">
    <w:name w:val="List Paragraph"/>
    <w:basedOn w:val="1"/>
    <w:unhideWhenUsed/>
    <w:qFormat/>
    <w:uiPriority w:val="99"/>
    <w:pPr>
      <w:ind w:firstLine="420" w:firstLineChars="200"/>
    </w:pPr>
  </w:style>
  <w:style w:type="paragraph" w:customStyle="1" w:styleId="50">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1">
    <w:name w:val="列表段落1"/>
    <w:basedOn w:val="1"/>
    <w:qFormat/>
    <w:uiPriority w:val="34"/>
    <w:pPr>
      <w:ind w:firstLine="420" w:firstLineChars="200"/>
    </w:pPr>
  </w:style>
  <w:style w:type="paragraph" w:customStyle="1" w:styleId="52">
    <w:name w:val="列表段落3"/>
    <w:basedOn w:val="1"/>
    <w:qFormat/>
    <w:uiPriority w:val="99"/>
    <w:pPr>
      <w:ind w:firstLine="420" w:firstLineChars="200"/>
    </w:pPr>
  </w:style>
  <w:style w:type="character" w:customStyle="1" w:styleId="53">
    <w:name w:val="正文1 Char"/>
    <w:basedOn w:val="28"/>
    <w:link w:val="42"/>
    <w:qFormat/>
    <w:uiPriority w:val="0"/>
    <w:rPr>
      <w:rFonts w:ascii="宋体" w:hAnsi="Calibri" w:eastAsia="宋体" w:cs="Times New Roman"/>
      <w:sz w:val="34"/>
      <w:szCs w:val="22"/>
      <w:lang w:val="en-US" w:eastAsia="zh-CN" w:bidi="ar-SA"/>
    </w:rPr>
  </w:style>
  <w:style w:type="paragraph" w:customStyle="1" w:styleId="54">
    <w:name w:val="列表段落4"/>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147</Pages>
  <Words>55310</Words>
  <Characters>58657</Characters>
  <Lines>451</Lines>
  <Paragraphs>127</Paragraphs>
  <TotalTime>1</TotalTime>
  <ScaleCrop>false</ScaleCrop>
  <LinksUpToDate>false</LinksUpToDate>
  <CharactersWithSpaces>59897</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2021-05-27T10:33:00Z</dcterms:created>
  <dc:creator>s</dc:creator>
  <cp:lastModifiedBy>因为要发光呀</cp:lastModifiedBy>
  <dcterms:modified xsi:type="dcterms:W3CDTF">2021-06-17T04:42:03Z</dcterms:modified>
  <dc:title>招标编号：xxxx [xxxx] xx号</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y fmtid="{D5CDD505-2E9C-101B-9397-08002B2CF9AE}" pid="3" name="ICV">
    <vt:lpwstr>95B975F657EE4F018DF66E10D65FC65C</vt:lpwstr>
  </property>
</Properties>
</file>