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spacing w:val="42"/>
          <w:sz w:val="32"/>
          <w:szCs w:val="32"/>
          <w:highlight w:val="none"/>
        </w:rPr>
      </w:pPr>
    </w:p>
    <w:p>
      <w:pPr>
        <w:spacing w:line="360" w:lineRule="auto"/>
        <w:jc w:val="center"/>
        <w:rPr>
          <w:rFonts w:ascii="宋体" w:hAnsi="宋体" w:cs="宋体"/>
          <w:spacing w:val="42"/>
          <w:sz w:val="120"/>
          <w:szCs w:val="120"/>
          <w:highlight w:val="none"/>
        </w:rPr>
      </w:pPr>
    </w:p>
    <w:p>
      <w:pPr>
        <w:spacing w:line="360" w:lineRule="auto"/>
        <w:jc w:val="center"/>
        <w:rPr>
          <w:rFonts w:ascii="宋体" w:hAnsi="宋体" w:cs="宋体"/>
          <w:spacing w:val="42"/>
          <w:sz w:val="120"/>
          <w:szCs w:val="120"/>
          <w:highlight w:val="none"/>
        </w:rPr>
      </w:pPr>
      <w:r>
        <w:rPr>
          <w:rFonts w:hint="eastAsia" w:ascii="宋体" w:hAnsi="宋体" w:cs="宋体"/>
          <w:spacing w:val="42"/>
          <w:sz w:val="120"/>
          <w:szCs w:val="120"/>
          <w:highlight w:val="none"/>
        </w:rPr>
        <w:t>招 标 文 件</w:t>
      </w:r>
    </w:p>
    <w:p>
      <w:pPr>
        <w:spacing w:line="360" w:lineRule="auto"/>
        <w:jc w:val="center"/>
        <w:rPr>
          <w:rFonts w:ascii="宋体" w:hAnsi="宋体" w:cs="宋体"/>
          <w:sz w:val="24"/>
          <w:szCs w:val="24"/>
          <w:highlight w:val="none"/>
        </w:rPr>
      </w:pPr>
    </w:p>
    <w:p>
      <w:pPr>
        <w:spacing w:line="360" w:lineRule="auto"/>
        <w:jc w:val="center"/>
        <w:rPr>
          <w:rFonts w:ascii="宋体" w:hAnsi="宋体" w:cs="宋体"/>
          <w:sz w:val="24"/>
          <w:szCs w:val="24"/>
          <w:highlight w:val="none"/>
        </w:rPr>
      </w:pPr>
    </w:p>
    <w:p>
      <w:pPr>
        <w:spacing w:line="360" w:lineRule="auto"/>
        <w:jc w:val="center"/>
        <w:rPr>
          <w:rFonts w:ascii="宋体" w:hAnsi="宋体" w:cs="宋体"/>
          <w:sz w:val="24"/>
          <w:szCs w:val="24"/>
          <w:highlight w:val="none"/>
        </w:rPr>
      </w:pPr>
    </w:p>
    <w:p>
      <w:pPr>
        <w:autoSpaceDE w:val="0"/>
        <w:autoSpaceDN w:val="0"/>
        <w:adjustRightInd w:val="0"/>
        <w:spacing w:line="360" w:lineRule="auto"/>
        <w:ind w:left="1258" w:leftChars="202" w:hanging="834" w:hangingChars="346"/>
        <w:jc w:val="left"/>
        <w:rPr>
          <w:rFonts w:ascii="宋体" w:hAnsi="宋体" w:cs="宋体"/>
          <w:b/>
          <w:kern w:val="0"/>
          <w:sz w:val="24"/>
          <w:szCs w:val="24"/>
          <w:highlight w:val="none"/>
          <w:lang w:val="zh-CN"/>
        </w:rPr>
      </w:pPr>
      <w:r>
        <w:rPr>
          <w:rFonts w:hint="eastAsia" w:ascii="宋体" w:hAnsi="宋体" w:cs="宋体"/>
          <w:b/>
          <w:kern w:val="0"/>
          <w:sz w:val="24"/>
          <w:szCs w:val="24"/>
          <w:highlight w:val="none"/>
          <w:lang w:val="zh-CN"/>
        </w:rPr>
        <w:t>采购项目名称：成都职业技术学院软件学院物联网工程应用中心设备采购项目（二次）</w:t>
      </w:r>
    </w:p>
    <w:p>
      <w:pPr>
        <w:autoSpaceDE w:val="0"/>
        <w:autoSpaceDN w:val="0"/>
        <w:adjustRightInd w:val="0"/>
        <w:spacing w:line="560" w:lineRule="exact"/>
        <w:ind w:firstLine="361" w:firstLineChars="150"/>
        <w:jc w:val="left"/>
        <w:rPr>
          <w:rFonts w:ascii="宋体" w:hAnsi="宋体" w:cs="宋体"/>
          <w:b/>
          <w:kern w:val="0"/>
          <w:sz w:val="24"/>
          <w:szCs w:val="24"/>
          <w:highlight w:val="none"/>
          <w:lang w:val="zh-CN"/>
        </w:rPr>
      </w:pPr>
      <w:r>
        <w:rPr>
          <w:rFonts w:hint="eastAsia" w:ascii="宋体" w:hAnsi="宋体" w:cs="宋体"/>
          <w:b/>
          <w:kern w:val="0"/>
          <w:sz w:val="24"/>
          <w:szCs w:val="24"/>
          <w:highlight w:val="none"/>
          <w:lang w:val="zh-CN"/>
        </w:rPr>
        <w:t>采购项目编号：510101202100754</w:t>
      </w:r>
    </w:p>
    <w:p>
      <w:pPr>
        <w:spacing w:line="360" w:lineRule="auto"/>
        <w:ind w:firstLine="977" w:firstLineChars="349"/>
        <w:rPr>
          <w:rFonts w:ascii="宋体" w:hAnsi="宋体" w:cs="宋体"/>
          <w:spacing w:val="20"/>
          <w:sz w:val="24"/>
          <w:szCs w:val="24"/>
          <w:highlight w:val="none"/>
        </w:rPr>
      </w:pPr>
    </w:p>
    <w:p>
      <w:pPr>
        <w:spacing w:line="360" w:lineRule="auto"/>
        <w:jc w:val="center"/>
        <w:rPr>
          <w:rFonts w:ascii="宋体" w:hAnsi="宋体" w:cs="宋体"/>
          <w:spacing w:val="110"/>
          <w:sz w:val="24"/>
          <w:szCs w:val="24"/>
          <w:highlight w:val="none"/>
        </w:rPr>
      </w:pPr>
    </w:p>
    <w:p>
      <w:pPr>
        <w:spacing w:line="360" w:lineRule="auto"/>
        <w:jc w:val="center"/>
        <w:rPr>
          <w:rFonts w:ascii="宋体" w:hAnsi="宋体" w:cs="宋体"/>
          <w:kern w:val="24"/>
          <w:sz w:val="24"/>
          <w:szCs w:val="24"/>
          <w:highlight w:val="none"/>
        </w:rPr>
      </w:pPr>
    </w:p>
    <w:p>
      <w:pPr>
        <w:spacing w:line="560" w:lineRule="exact"/>
        <w:jc w:val="center"/>
        <w:rPr>
          <w:rFonts w:ascii="宋体" w:hAnsi="宋体" w:cs="宋体"/>
          <w:sz w:val="24"/>
          <w:szCs w:val="24"/>
          <w:highlight w:val="none"/>
        </w:rPr>
      </w:pPr>
    </w:p>
    <w:p>
      <w:pPr>
        <w:spacing w:line="560" w:lineRule="exact"/>
        <w:jc w:val="center"/>
        <w:rPr>
          <w:rFonts w:ascii="宋体" w:hAnsi="宋体" w:cs="宋体"/>
          <w:sz w:val="24"/>
          <w:szCs w:val="24"/>
          <w:highlight w:val="none"/>
        </w:rPr>
      </w:pPr>
    </w:p>
    <w:p>
      <w:pPr>
        <w:spacing w:line="560" w:lineRule="exact"/>
        <w:jc w:val="center"/>
        <w:rPr>
          <w:rFonts w:ascii="宋体" w:hAnsi="宋体" w:cs="宋体"/>
          <w:sz w:val="24"/>
          <w:szCs w:val="24"/>
          <w:highlight w:val="none"/>
        </w:rPr>
      </w:pPr>
    </w:p>
    <w:p>
      <w:pPr>
        <w:spacing w:line="560" w:lineRule="exact"/>
        <w:jc w:val="center"/>
        <w:rPr>
          <w:rFonts w:ascii="宋体" w:hAnsi="宋体" w:cs="宋体"/>
          <w:sz w:val="24"/>
          <w:szCs w:val="24"/>
          <w:highlight w:val="none"/>
        </w:rPr>
      </w:pPr>
    </w:p>
    <w:p>
      <w:pPr>
        <w:spacing w:line="560" w:lineRule="exact"/>
        <w:jc w:val="center"/>
        <w:rPr>
          <w:rFonts w:ascii="宋体" w:hAnsi="宋体" w:cs="宋体"/>
          <w:sz w:val="24"/>
          <w:szCs w:val="24"/>
          <w:highlight w:val="none"/>
        </w:rPr>
      </w:pPr>
    </w:p>
    <w:p>
      <w:pPr>
        <w:spacing w:line="560" w:lineRule="exact"/>
        <w:jc w:val="center"/>
        <w:rPr>
          <w:rFonts w:ascii="宋体" w:hAnsi="宋体" w:cs="宋体"/>
          <w:sz w:val="24"/>
          <w:szCs w:val="24"/>
          <w:highlight w:val="none"/>
        </w:rPr>
      </w:pPr>
      <w:r>
        <w:rPr>
          <w:rFonts w:hint="eastAsia" w:ascii="宋体" w:hAnsi="宋体" w:cs="宋体"/>
          <w:sz w:val="24"/>
          <w:szCs w:val="24"/>
          <w:highlight w:val="none"/>
        </w:rPr>
        <w:t>中国·成都</w:t>
      </w:r>
    </w:p>
    <w:p>
      <w:pPr>
        <w:spacing w:line="560" w:lineRule="exact"/>
        <w:jc w:val="center"/>
        <w:rPr>
          <w:rFonts w:ascii="宋体" w:hAnsi="宋体" w:cs="宋体"/>
          <w:sz w:val="24"/>
          <w:szCs w:val="24"/>
          <w:highlight w:val="none"/>
        </w:rPr>
      </w:pPr>
      <w:r>
        <w:rPr>
          <w:rFonts w:hint="eastAsia" w:ascii="宋体" w:hAnsi="宋体" w:cs="宋体"/>
          <w:sz w:val="24"/>
          <w:szCs w:val="24"/>
          <w:highlight w:val="none"/>
        </w:rPr>
        <w:t>成都职业技术学院、四川正汇恒招标代理有限公司共同编制</w:t>
      </w:r>
    </w:p>
    <w:p>
      <w:pPr>
        <w:spacing w:line="560" w:lineRule="exact"/>
        <w:jc w:val="center"/>
        <w:rPr>
          <w:rFonts w:ascii="宋体" w:hAnsi="宋体" w:cs="宋体"/>
          <w:sz w:val="24"/>
          <w:szCs w:val="24"/>
          <w:highlight w:val="none"/>
        </w:rPr>
      </w:pPr>
      <w:bookmarkStart w:id="0" w:name="_Toc101328520"/>
      <w:bookmarkStart w:id="1" w:name="_Toc101247312"/>
      <w:bookmarkStart w:id="2" w:name="_Toc148505181"/>
      <w:bookmarkStart w:id="3" w:name="_Toc101234248"/>
      <w:r>
        <w:rPr>
          <w:rFonts w:hint="eastAsia" w:ascii="宋体" w:hAnsi="宋体" w:cs="宋体"/>
          <w:sz w:val="24"/>
          <w:szCs w:val="24"/>
          <w:highlight w:val="none"/>
        </w:rPr>
        <w:t>二〇二一年</w:t>
      </w:r>
      <w:r>
        <w:rPr>
          <w:rFonts w:hint="eastAsia" w:ascii="宋体" w:hAnsi="宋体" w:cs="宋体"/>
          <w:sz w:val="24"/>
          <w:szCs w:val="24"/>
          <w:highlight w:val="none"/>
          <w:lang w:eastAsia="zh-CN"/>
        </w:rPr>
        <w:t>八</w:t>
      </w:r>
      <w:r>
        <w:rPr>
          <w:rFonts w:hint="eastAsia" w:ascii="宋体" w:hAnsi="宋体" w:cs="宋体"/>
          <w:sz w:val="24"/>
          <w:szCs w:val="24"/>
          <w:highlight w:val="none"/>
        </w:rPr>
        <w:t>月</w:t>
      </w:r>
    </w:p>
    <w:p>
      <w:pPr>
        <w:tabs>
          <w:tab w:val="left" w:pos="620"/>
          <w:tab w:val="right" w:leader="dot" w:pos="8364"/>
        </w:tabs>
        <w:spacing w:line="300" w:lineRule="exact"/>
        <w:jc w:val="center"/>
        <w:rPr>
          <w:rFonts w:ascii="宋体" w:hAnsi="宋体" w:cs="宋体"/>
          <w:b/>
          <w:kern w:val="44"/>
          <w:sz w:val="24"/>
          <w:szCs w:val="24"/>
          <w:highlight w:val="none"/>
        </w:rPr>
        <w:sectPr>
          <w:headerReference r:id="rId3" w:type="default"/>
          <w:pgSz w:w="11906" w:h="16838"/>
          <w:pgMar w:top="1327" w:right="1800" w:bottom="1327" w:left="1800" w:header="851" w:footer="992" w:gutter="0"/>
          <w:cols w:space="720" w:num="1"/>
          <w:docGrid w:type="lines" w:linePitch="312" w:charSpace="0"/>
        </w:sectPr>
      </w:pPr>
    </w:p>
    <w:p>
      <w:pPr>
        <w:pStyle w:val="17"/>
        <w:rPr>
          <w:highlight w:val="none"/>
        </w:rPr>
      </w:pPr>
    </w:p>
    <w:p>
      <w:pPr>
        <w:pStyle w:val="30"/>
        <w:jc w:val="center"/>
        <w:rPr>
          <w:rFonts w:ascii="宋体" w:hAnsi="宋体" w:eastAsia="宋体" w:cs="宋体"/>
          <w:b/>
          <w:sz w:val="24"/>
          <w:szCs w:val="24"/>
          <w:highlight w:val="none"/>
        </w:rPr>
      </w:pPr>
      <w:r>
        <w:rPr>
          <w:rFonts w:hint="eastAsia" w:ascii="宋体" w:hAnsi="宋体" w:eastAsia="宋体" w:cs="宋体"/>
          <w:b/>
          <w:sz w:val="24"/>
          <w:szCs w:val="24"/>
          <w:highlight w:val="none"/>
        </w:rPr>
        <w:t>目 录</w:t>
      </w:r>
    </w:p>
    <w:p>
      <w:pPr>
        <w:pStyle w:val="30"/>
        <w:rPr>
          <w:rFonts w:ascii="宋体" w:hAnsi="宋体" w:eastAsia="宋体" w:cs="宋体"/>
          <w:bCs w:val="0"/>
          <w:caps w:val="0"/>
          <w:sz w:val="21"/>
          <w:szCs w:val="21"/>
          <w:highlight w:val="none"/>
        </w:rPr>
      </w:pPr>
      <w:r>
        <w:rPr>
          <w:rFonts w:hint="eastAsia" w:ascii="宋体" w:hAnsi="宋体" w:eastAsia="宋体" w:cs="宋体"/>
          <w:b/>
          <w:bCs w:val="0"/>
          <w:caps w:val="0"/>
          <w:smallCaps/>
          <w:sz w:val="24"/>
          <w:szCs w:val="24"/>
          <w:highlight w:val="none"/>
        </w:rPr>
        <w:fldChar w:fldCharType="begin"/>
      </w:r>
      <w:r>
        <w:rPr>
          <w:rFonts w:hint="eastAsia" w:ascii="宋体" w:hAnsi="宋体" w:eastAsia="宋体" w:cs="宋体"/>
          <w:b/>
          <w:bCs w:val="0"/>
          <w:caps w:val="0"/>
          <w:smallCaps/>
          <w:sz w:val="24"/>
          <w:szCs w:val="24"/>
          <w:highlight w:val="none"/>
        </w:rPr>
        <w:instrText xml:space="preserve"> TOC \o "1-2" \h \z \u </w:instrText>
      </w:r>
      <w:r>
        <w:rPr>
          <w:rFonts w:hint="eastAsia" w:ascii="宋体" w:hAnsi="宋体" w:eastAsia="宋体" w:cs="宋体"/>
          <w:b/>
          <w:bCs w:val="0"/>
          <w:caps w:val="0"/>
          <w:smallCaps/>
          <w:sz w:val="24"/>
          <w:szCs w:val="24"/>
          <w:highlight w:val="none"/>
        </w:rPr>
        <w:fldChar w:fldCharType="separate"/>
      </w:r>
      <w:r>
        <w:rPr>
          <w:highlight w:val="none"/>
        </w:rPr>
        <w:fldChar w:fldCharType="begin"/>
      </w:r>
      <w:r>
        <w:rPr>
          <w:highlight w:val="none"/>
        </w:rPr>
        <w:instrText xml:space="preserve"> HYPERLINK \l "_Toc13652479" </w:instrText>
      </w:r>
      <w:r>
        <w:rPr>
          <w:highlight w:val="none"/>
        </w:rPr>
        <w:fldChar w:fldCharType="separate"/>
      </w:r>
      <w:r>
        <w:rPr>
          <w:rStyle w:val="47"/>
          <w:rFonts w:hint="eastAsia" w:ascii="宋体" w:hAnsi="宋体" w:eastAsia="宋体" w:cs="宋体"/>
          <w:color w:val="auto"/>
          <w:sz w:val="21"/>
          <w:szCs w:val="21"/>
          <w:highlight w:val="none"/>
        </w:rPr>
        <w:t>第1章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投标邀请</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_Toc13652479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bCs w:val="0"/>
          <w:caps w:val="0"/>
          <w:sz w:val="21"/>
          <w:szCs w:val="21"/>
          <w:highlight w:val="none"/>
        </w:rPr>
      </w:pPr>
      <w:r>
        <w:rPr>
          <w:highlight w:val="none"/>
        </w:rPr>
        <w:fldChar w:fldCharType="begin"/>
      </w:r>
      <w:r>
        <w:rPr>
          <w:highlight w:val="none"/>
        </w:rPr>
        <w:instrText xml:space="preserve"> HYPERLINK \l "_Toc13652480" </w:instrText>
      </w:r>
      <w:r>
        <w:rPr>
          <w:highlight w:val="none"/>
        </w:rPr>
        <w:fldChar w:fldCharType="separate"/>
      </w:r>
      <w:r>
        <w:rPr>
          <w:rStyle w:val="47"/>
          <w:rFonts w:hint="eastAsia" w:ascii="宋体" w:hAnsi="宋体" w:eastAsia="宋体" w:cs="宋体"/>
          <w:color w:val="auto"/>
          <w:sz w:val="21"/>
          <w:szCs w:val="21"/>
          <w:highlight w:val="none"/>
        </w:rPr>
        <w:t>第2章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投标人须知</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"_Toc13652481" </w:instrText>
      </w:r>
      <w:r>
        <w:rPr>
          <w:highlight w:val="none"/>
        </w:rPr>
        <w:fldChar w:fldCharType="separate"/>
      </w:r>
      <w:r>
        <w:rPr>
          <w:rStyle w:val="47"/>
          <w:rFonts w:hint="eastAsia" w:ascii="宋体" w:hAnsi="宋体" w:eastAsia="宋体" w:cs="宋体"/>
          <w:color w:val="auto"/>
          <w:sz w:val="21"/>
          <w:szCs w:val="21"/>
          <w:highlight w:val="none"/>
        </w:rPr>
        <w:t>2.1 投标人须知前附表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"_Toc13652482" </w:instrText>
      </w:r>
      <w:r>
        <w:rPr>
          <w:highlight w:val="none"/>
        </w:rPr>
        <w:fldChar w:fldCharType="separate"/>
      </w:r>
      <w:r>
        <w:rPr>
          <w:rStyle w:val="47"/>
          <w:rFonts w:hint="eastAsia" w:ascii="宋体" w:hAnsi="宋体" w:eastAsia="宋体" w:cs="宋体"/>
          <w:color w:val="auto"/>
          <w:sz w:val="21"/>
          <w:szCs w:val="21"/>
          <w:highlight w:val="none"/>
        </w:rPr>
        <w:t>2.2 总则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"_Toc13652483" </w:instrText>
      </w:r>
      <w:r>
        <w:rPr>
          <w:highlight w:val="none"/>
        </w:rPr>
        <w:fldChar w:fldCharType="separate"/>
      </w:r>
      <w:r>
        <w:rPr>
          <w:rStyle w:val="47"/>
          <w:rFonts w:hint="eastAsia" w:ascii="宋体" w:hAnsi="宋体" w:eastAsia="宋体" w:cs="宋体"/>
          <w:color w:val="auto"/>
          <w:sz w:val="21"/>
          <w:szCs w:val="21"/>
          <w:highlight w:val="none"/>
        </w:rPr>
        <w:t>2.3 招标文件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"_Toc13652484" </w:instrText>
      </w:r>
      <w:r>
        <w:rPr>
          <w:highlight w:val="none"/>
        </w:rPr>
        <w:fldChar w:fldCharType="separate"/>
      </w:r>
      <w:r>
        <w:rPr>
          <w:rStyle w:val="47"/>
          <w:rFonts w:hint="eastAsia" w:ascii="宋体" w:hAnsi="宋体" w:eastAsia="宋体" w:cs="宋体"/>
          <w:color w:val="auto"/>
          <w:sz w:val="21"/>
          <w:szCs w:val="21"/>
          <w:highlight w:val="none"/>
        </w:rPr>
        <w:t>2.4 投标文件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"_Toc13652485" </w:instrText>
      </w:r>
      <w:r>
        <w:rPr>
          <w:highlight w:val="none"/>
        </w:rPr>
        <w:fldChar w:fldCharType="separate"/>
      </w:r>
      <w:r>
        <w:rPr>
          <w:rStyle w:val="47"/>
          <w:rFonts w:hint="eastAsia" w:ascii="宋体" w:hAnsi="宋体" w:eastAsia="宋体" w:cs="宋体"/>
          <w:color w:val="auto"/>
          <w:sz w:val="21"/>
          <w:szCs w:val="21"/>
          <w:highlight w:val="none"/>
        </w:rPr>
        <w:t>2.5 开标、评标和中标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20</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"_Toc13652486" </w:instrText>
      </w:r>
      <w:r>
        <w:rPr>
          <w:highlight w:val="none"/>
        </w:rPr>
        <w:fldChar w:fldCharType="separate"/>
      </w:r>
      <w:r>
        <w:rPr>
          <w:rStyle w:val="47"/>
          <w:rFonts w:hint="eastAsia" w:ascii="宋体" w:hAnsi="宋体" w:eastAsia="宋体" w:cs="宋体"/>
          <w:color w:val="auto"/>
          <w:sz w:val="21"/>
          <w:szCs w:val="21"/>
          <w:highlight w:val="none"/>
        </w:rPr>
        <w:t>2.6 签订及履行合同和验收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23</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"_Toc13652487" </w:instrText>
      </w:r>
      <w:r>
        <w:rPr>
          <w:highlight w:val="none"/>
        </w:rPr>
        <w:fldChar w:fldCharType="separate"/>
      </w:r>
      <w:r>
        <w:rPr>
          <w:rStyle w:val="47"/>
          <w:rFonts w:hint="eastAsia" w:ascii="宋体" w:hAnsi="宋体" w:eastAsia="宋体" w:cs="宋体"/>
          <w:color w:val="auto"/>
          <w:sz w:val="21"/>
          <w:szCs w:val="21"/>
          <w:highlight w:val="none"/>
        </w:rPr>
        <w:t>2.7 投标纪律要求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"_Toc13652488" </w:instrText>
      </w:r>
      <w:r>
        <w:rPr>
          <w:highlight w:val="none"/>
        </w:rPr>
        <w:fldChar w:fldCharType="separate"/>
      </w:r>
      <w:r>
        <w:rPr>
          <w:rStyle w:val="47"/>
          <w:rFonts w:hint="eastAsia" w:ascii="宋体" w:hAnsi="宋体" w:eastAsia="宋体" w:cs="宋体"/>
          <w:color w:val="auto"/>
          <w:sz w:val="21"/>
          <w:szCs w:val="21"/>
          <w:highlight w:val="none"/>
        </w:rPr>
        <w:t>2.8 询问、质疑和投诉</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"_Toc13652489" </w:instrText>
      </w:r>
      <w:r>
        <w:rPr>
          <w:highlight w:val="none"/>
        </w:rPr>
        <w:fldChar w:fldCharType="separate"/>
      </w:r>
      <w:r>
        <w:rPr>
          <w:rStyle w:val="47"/>
          <w:rFonts w:hint="eastAsia" w:ascii="宋体" w:hAnsi="宋体" w:eastAsia="宋体" w:cs="宋体"/>
          <w:color w:val="auto"/>
          <w:sz w:val="21"/>
          <w:szCs w:val="21"/>
          <w:highlight w:val="none"/>
        </w:rPr>
        <w:t>2.9 其他</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_Toc13652489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bCs w:val="0"/>
          <w:caps w:val="0"/>
          <w:sz w:val="21"/>
          <w:szCs w:val="21"/>
          <w:highlight w:val="none"/>
        </w:rPr>
      </w:pPr>
      <w:r>
        <w:rPr>
          <w:highlight w:val="none"/>
        </w:rPr>
        <w:fldChar w:fldCharType="begin"/>
      </w:r>
      <w:r>
        <w:rPr>
          <w:highlight w:val="none"/>
        </w:rPr>
        <w:instrText xml:space="preserve"> HYPERLINK \l "_Toc13652490" </w:instrText>
      </w:r>
      <w:r>
        <w:rPr>
          <w:highlight w:val="none"/>
        </w:rPr>
        <w:fldChar w:fldCharType="separate"/>
      </w:r>
      <w:r>
        <w:rPr>
          <w:rStyle w:val="47"/>
          <w:rFonts w:hint="eastAsia" w:ascii="宋体" w:hAnsi="宋体" w:eastAsia="宋体" w:cs="宋体"/>
          <w:color w:val="auto"/>
          <w:sz w:val="21"/>
          <w:szCs w:val="21"/>
          <w:highlight w:val="none"/>
        </w:rPr>
        <w:t>第3章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投标文件格式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_Toc13652490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"_Toc13652508" </w:instrText>
      </w:r>
      <w:r>
        <w:rPr>
          <w:highlight w:val="none"/>
        </w:rPr>
        <w:fldChar w:fldCharType="separate"/>
      </w:r>
      <w:r>
        <w:rPr>
          <w:rStyle w:val="47"/>
          <w:rFonts w:hint="eastAsia" w:ascii="宋体" w:hAnsi="宋体" w:eastAsia="宋体" w:cs="宋体"/>
          <w:color w:val="auto"/>
          <w:sz w:val="21"/>
          <w:szCs w:val="21"/>
          <w:highlight w:val="none"/>
        </w:rPr>
        <w:t>第4章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招标项目技术、服务、政府采购合同内容条款及其他商务要求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_Toc13652508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55</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bCs w:val="0"/>
          <w:caps w:val="0"/>
          <w:sz w:val="21"/>
          <w:szCs w:val="21"/>
          <w:highlight w:val="none"/>
        </w:rPr>
      </w:pPr>
      <w:r>
        <w:rPr>
          <w:highlight w:val="none"/>
        </w:rPr>
        <w:fldChar w:fldCharType="begin"/>
      </w:r>
      <w:r>
        <w:rPr>
          <w:highlight w:val="none"/>
        </w:rPr>
        <w:instrText xml:space="preserve"> HYPERLINK \l "_Toc13652513" </w:instrText>
      </w:r>
      <w:r>
        <w:rPr>
          <w:highlight w:val="none"/>
        </w:rPr>
        <w:fldChar w:fldCharType="separate"/>
      </w:r>
      <w:r>
        <w:rPr>
          <w:rStyle w:val="47"/>
          <w:rFonts w:hint="eastAsia" w:ascii="宋体" w:hAnsi="宋体" w:eastAsia="宋体" w:cs="宋体"/>
          <w:color w:val="auto"/>
          <w:sz w:val="21"/>
          <w:szCs w:val="21"/>
          <w:highlight w:val="none"/>
        </w:rPr>
        <w:t>第5章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资格审查</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88</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bCs w:val="0"/>
          <w:caps w:val="0"/>
          <w:sz w:val="21"/>
          <w:szCs w:val="21"/>
          <w:highlight w:val="none"/>
        </w:rPr>
      </w:pPr>
      <w:r>
        <w:rPr>
          <w:highlight w:val="none"/>
        </w:rPr>
        <w:fldChar w:fldCharType="begin"/>
      </w:r>
      <w:r>
        <w:rPr>
          <w:highlight w:val="none"/>
        </w:rPr>
        <w:instrText xml:space="preserve"> HYPERLINK \l "_Toc13652514" </w:instrText>
      </w:r>
      <w:r>
        <w:rPr>
          <w:highlight w:val="none"/>
        </w:rPr>
        <w:fldChar w:fldCharType="separate"/>
      </w:r>
      <w:r>
        <w:rPr>
          <w:rStyle w:val="47"/>
          <w:rFonts w:hint="eastAsia" w:ascii="宋体" w:hAnsi="宋体" w:eastAsia="宋体" w:cs="宋体"/>
          <w:color w:val="auto"/>
          <w:sz w:val="21"/>
          <w:szCs w:val="21"/>
          <w:highlight w:val="none"/>
        </w:rPr>
        <w:t>第6章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评标办法</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93</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"_Toc13652515" </w:instrText>
      </w:r>
      <w:r>
        <w:rPr>
          <w:highlight w:val="none"/>
        </w:rPr>
        <w:fldChar w:fldCharType="separate"/>
      </w:r>
      <w:r>
        <w:rPr>
          <w:rStyle w:val="47"/>
          <w:rFonts w:hint="eastAsia" w:ascii="宋体" w:hAnsi="宋体" w:eastAsia="宋体" w:cs="宋体"/>
          <w:color w:val="auto"/>
          <w:sz w:val="21"/>
          <w:szCs w:val="21"/>
          <w:highlight w:val="none"/>
        </w:rPr>
        <w:t>6.1 总则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93</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"_Toc13652516" </w:instrText>
      </w:r>
      <w:r>
        <w:rPr>
          <w:highlight w:val="none"/>
        </w:rPr>
        <w:fldChar w:fldCharType="separate"/>
      </w:r>
      <w:r>
        <w:rPr>
          <w:rStyle w:val="47"/>
          <w:rFonts w:hint="eastAsia" w:ascii="宋体" w:hAnsi="宋体" w:eastAsia="宋体" w:cs="宋体"/>
          <w:color w:val="auto"/>
          <w:sz w:val="21"/>
          <w:szCs w:val="21"/>
          <w:highlight w:val="none"/>
        </w:rPr>
        <w:t>6.2 评标方法</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"_Toc13652517" </w:instrText>
      </w:r>
      <w:r>
        <w:rPr>
          <w:highlight w:val="none"/>
        </w:rPr>
        <w:fldChar w:fldCharType="separate"/>
      </w:r>
      <w:r>
        <w:rPr>
          <w:rStyle w:val="47"/>
          <w:rFonts w:hint="eastAsia" w:ascii="宋体" w:hAnsi="宋体" w:eastAsia="宋体" w:cs="宋体"/>
          <w:color w:val="auto"/>
          <w:sz w:val="21"/>
          <w:szCs w:val="21"/>
          <w:highlight w:val="none"/>
        </w:rPr>
        <w:t>6.3 评标程序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"_Toc13652518" </w:instrText>
      </w:r>
      <w:r>
        <w:rPr>
          <w:highlight w:val="none"/>
        </w:rPr>
        <w:fldChar w:fldCharType="separate"/>
      </w:r>
      <w:r>
        <w:rPr>
          <w:rStyle w:val="47"/>
          <w:rFonts w:hint="eastAsia" w:ascii="宋体" w:hAnsi="宋体" w:eastAsia="宋体" w:cs="宋体"/>
          <w:color w:val="auto"/>
          <w:sz w:val="21"/>
          <w:szCs w:val="21"/>
          <w:highlight w:val="none"/>
        </w:rPr>
        <w:t>6.4 评标争议处理规则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"_Toc13652519" </w:instrText>
      </w:r>
      <w:r>
        <w:rPr>
          <w:highlight w:val="none"/>
        </w:rPr>
        <w:fldChar w:fldCharType="separate"/>
      </w:r>
      <w:r>
        <w:rPr>
          <w:rStyle w:val="47"/>
          <w:rFonts w:hint="eastAsia" w:ascii="宋体" w:hAnsi="宋体" w:eastAsia="宋体" w:cs="宋体"/>
          <w:color w:val="auto"/>
          <w:sz w:val="21"/>
          <w:szCs w:val="21"/>
          <w:highlight w:val="none"/>
        </w:rPr>
        <w:t>6.5 低于成本价投标处理</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_Toc13652519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100</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"_Toc13652520" </w:instrText>
      </w:r>
      <w:r>
        <w:rPr>
          <w:highlight w:val="none"/>
        </w:rPr>
        <w:fldChar w:fldCharType="separate"/>
      </w:r>
      <w:r>
        <w:rPr>
          <w:rStyle w:val="47"/>
          <w:rFonts w:hint="eastAsia" w:ascii="宋体" w:hAnsi="宋体" w:eastAsia="宋体" w:cs="宋体"/>
          <w:color w:val="auto"/>
          <w:sz w:val="21"/>
          <w:szCs w:val="21"/>
          <w:highlight w:val="none"/>
        </w:rPr>
        <w:t>6.6 评标细则及标准</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100</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"_Toc13652521" </w:instrText>
      </w:r>
      <w:r>
        <w:rPr>
          <w:highlight w:val="none"/>
        </w:rPr>
        <w:fldChar w:fldCharType="separate"/>
      </w:r>
      <w:r>
        <w:rPr>
          <w:rStyle w:val="47"/>
          <w:rFonts w:hint="eastAsia" w:ascii="宋体" w:hAnsi="宋体" w:eastAsia="宋体" w:cs="宋体"/>
          <w:color w:val="auto"/>
          <w:sz w:val="21"/>
          <w:szCs w:val="21"/>
          <w:highlight w:val="none"/>
        </w:rPr>
        <w:t>6.7 废标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106</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"_Toc13652522" </w:instrText>
      </w:r>
      <w:r>
        <w:rPr>
          <w:highlight w:val="none"/>
        </w:rPr>
        <w:fldChar w:fldCharType="separate"/>
      </w:r>
      <w:r>
        <w:rPr>
          <w:rStyle w:val="47"/>
          <w:rFonts w:hint="eastAsia" w:ascii="宋体" w:hAnsi="宋体" w:eastAsia="宋体" w:cs="宋体"/>
          <w:color w:val="auto"/>
          <w:sz w:val="21"/>
          <w:szCs w:val="21"/>
          <w:highlight w:val="none"/>
        </w:rPr>
        <w:t>6.8 定标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"_Toc13652523" </w:instrText>
      </w:r>
      <w:r>
        <w:rPr>
          <w:highlight w:val="none"/>
        </w:rPr>
        <w:fldChar w:fldCharType="separate"/>
      </w:r>
      <w:r>
        <w:rPr>
          <w:rStyle w:val="47"/>
          <w:rFonts w:hint="eastAsia" w:ascii="宋体" w:hAnsi="宋体" w:eastAsia="宋体" w:cs="宋体"/>
          <w:color w:val="auto"/>
          <w:sz w:val="21"/>
          <w:szCs w:val="21"/>
          <w:highlight w:val="none"/>
        </w:rPr>
        <w:t>6.9 评标专家义务</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rPr>
          <w:rFonts w:ascii="宋体" w:hAnsi="宋体" w:eastAsia="宋体" w:cs="宋体"/>
          <w:smallCaps w:val="0"/>
          <w:sz w:val="21"/>
          <w:szCs w:val="21"/>
          <w:highlight w:val="none"/>
        </w:rPr>
      </w:pPr>
      <w:r>
        <w:rPr>
          <w:highlight w:val="none"/>
        </w:rPr>
        <w:fldChar w:fldCharType="begin"/>
      </w:r>
      <w:r>
        <w:rPr>
          <w:highlight w:val="none"/>
        </w:rPr>
        <w:instrText xml:space="preserve"> HYPERLINK \l "_Toc13652524" </w:instrText>
      </w:r>
      <w:r>
        <w:rPr>
          <w:highlight w:val="none"/>
        </w:rPr>
        <w:fldChar w:fldCharType="separate"/>
      </w:r>
      <w:r>
        <w:rPr>
          <w:rStyle w:val="47"/>
          <w:rFonts w:hint="eastAsia" w:ascii="宋体" w:hAnsi="宋体" w:eastAsia="宋体" w:cs="宋体"/>
          <w:color w:val="auto"/>
          <w:sz w:val="21"/>
          <w:szCs w:val="21"/>
          <w:highlight w:val="none"/>
        </w:rPr>
        <w:t>6.10 评标专家工作纪律</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108</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0"/>
        <w:rPr>
          <w:rFonts w:ascii="宋体" w:hAnsi="宋体" w:eastAsia="宋体" w:cs="宋体"/>
          <w:bCs w:val="0"/>
          <w:caps w:val="0"/>
          <w:sz w:val="21"/>
          <w:szCs w:val="21"/>
          <w:highlight w:val="none"/>
        </w:rPr>
      </w:pPr>
      <w:r>
        <w:rPr>
          <w:highlight w:val="none"/>
        </w:rPr>
        <w:fldChar w:fldCharType="begin"/>
      </w:r>
      <w:r>
        <w:rPr>
          <w:highlight w:val="none"/>
        </w:rPr>
        <w:instrText xml:space="preserve"> HYPERLINK \l "_Toc13652525" </w:instrText>
      </w:r>
      <w:r>
        <w:rPr>
          <w:highlight w:val="none"/>
        </w:rPr>
        <w:fldChar w:fldCharType="separate"/>
      </w:r>
      <w:r>
        <w:rPr>
          <w:rStyle w:val="47"/>
          <w:rFonts w:hint="eastAsia" w:ascii="宋体" w:hAnsi="宋体" w:eastAsia="宋体" w:cs="宋体"/>
          <w:color w:val="auto"/>
          <w:sz w:val="21"/>
          <w:szCs w:val="21"/>
          <w:highlight w:val="none"/>
        </w:rPr>
        <w:t>第7章</w:t>
      </w:r>
      <w:r>
        <w:rPr>
          <w:rFonts w:hint="eastAsia" w:ascii="宋体" w:hAnsi="宋体" w:eastAsia="宋体" w:cs="宋体"/>
          <w:bCs w:val="0"/>
          <w:caps w:val="0"/>
          <w:sz w:val="21"/>
          <w:szCs w:val="21"/>
          <w:highlight w:val="none"/>
        </w:rPr>
        <w:tab/>
      </w:r>
      <w:r>
        <w:rPr>
          <w:rStyle w:val="47"/>
          <w:rFonts w:hint="eastAsia" w:ascii="宋体" w:hAnsi="宋体" w:eastAsia="宋体" w:cs="宋体"/>
          <w:color w:val="auto"/>
          <w:sz w:val="21"/>
          <w:szCs w:val="21"/>
          <w:highlight w:val="none"/>
        </w:rPr>
        <w:t>合同主要条款</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_Toc13652525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pPr>
        <w:pStyle w:val="36"/>
        <w:spacing w:line="300" w:lineRule="exact"/>
        <w:ind w:left="0"/>
        <w:jc w:val="both"/>
        <w:rPr>
          <w:rFonts w:ascii="宋体" w:hAnsi="宋体" w:eastAsia="宋体" w:cs="宋体"/>
          <w:b/>
          <w:bCs/>
          <w:caps/>
          <w:smallCaps w:val="0"/>
          <w:sz w:val="24"/>
          <w:szCs w:val="24"/>
          <w:highlight w:val="none"/>
        </w:rPr>
        <w:sectPr>
          <w:footerReference r:id="rId4" w:type="default"/>
          <w:pgSz w:w="11906" w:h="16838"/>
          <w:pgMar w:top="1327" w:right="1800" w:bottom="1327" w:left="1800" w:header="851" w:footer="992" w:gutter="0"/>
          <w:pgNumType w:start="1"/>
          <w:cols w:space="720" w:num="1"/>
          <w:docGrid w:type="lines" w:linePitch="312" w:charSpace="0"/>
        </w:sectPr>
      </w:pPr>
      <w:r>
        <w:rPr>
          <w:rFonts w:hint="eastAsia" w:ascii="宋体" w:hAnsi="宋体" w:eastAsia="宋体" w:cs="宋体"/>
          <w:b/>
          <w:bCs/>
          <w:caps/>
          <w:smallCaps w:val="0"/>
          <w:sz w:val="24"/>
          <w:szCs w:val="24"/>
          <w:highlight w:val="none"/>
        </w:rPr>
        <w:fldChar w:fldCharType="end"/>
      </w:r>
    </w:p>
    <w:p>
      <w:pPr>
        <w:jc w:val="center"/>
        <w:rPr>
          <w:rFonts w:ascii="宋体" w:hAnsi="宋体" w:cs="宋体"/>
          <w:spacing w:val="8"/>
          <w:sz w:val="36"/>
          <w:szCs w:val="36"/>
          <w:highlight w:val="none"/>
          <w:shd w:val="clear" w:color="auto" w:fill="FFFFFF"/>
        </w:rPr>
      </w:pPr>
      <w:r>
        <w:rPr>
          <w:rFonts w:hint="eastAsia" w:ascii="宋体" w:hAnsi="宋体" w:cs="宋体"/>
          <w:b/>
          <w:sz w:val="36"/>
          <w:szCs w:val="36"/>
          <w:highlight w:val="none"/>
          <w:shd w:val="clear" w:color="auto" w:fill="FFFFFF"/>
        </w:rPr>
        <w:t>信用融资</w:t>
      </w:r>
    </w:p>
    <w:p>
      <w:pPr>
        <w:ind w:firstLine="512" w:firstLineChars="200"/>
        <w:rPr>
          <w:rFonts w:ascii="宋体" w:hAnsi="宋体" w:cs="宋体"/>
          <w:spacing w:val="8"/>
          <w:sz w:val="24"/>
          <w:szCs w:val="24"/>
          <w:highlight w:val="none"/>
          <w:shd w:val="clear" w:color="auto" w:fill="FFFFFF"/>
        </w:rPr>
      </w:pPr>
      <w:r>
        <w:rPr>
          <w:rFonts w:hint="eastAsia" w:ascii="宋体" w:hAnsi="宋体" w:cs="宋体"/>
          <w:spacing w:val="8"/>
          <w:sz w:val="24"/>
          <w:szCs w:val="24"/>
          <w:highlight w:val="none"/>
          <w:shd w:val="clear" w:color="auto" w:fill="FFFFFF"/>
        </w:rPr>
        <w:t>为持续深入贯彻落实中央、省、市关于支持民营经济健康发展有关精神，落实《四川省财政厅关于推进四川省政府采购供应商信用融资工作的通知》(川财采〔2018〕123号)、《成都市中小企业政府采购信用融资暂行办法》和《成都市级支持中小企业政府采购信用融资实施方案》等政策措施（详见采购文件附件）。本项目为支持执行政府采购信用融资项目。本次采购活动的中小企业供应商如中标或成交，可无需提供财产抵押或第三方担保，凭借政府采购合同向融资机构申请融资，融资机构根据其授信政策为供应商提供信用融资。现已有多家银行确定为政府采购信用融资业务银行，现将部分银行名单公布如下：</w:t>
      </w:r>
    </w:p>
    <w:p>
      <w:pPr>
        <w:rPr>
          <w:rFonts w:ascii="宋体" w:hAnsi="宋体" w:cs="宋体"/>
          <w:spacing w:val="8"/>
          <w:sz w:val="24"/>
          <w:szCs w:val="24"/>
          <w:highlight w:val="none"/>
          <w:shd w:val="clear" w:color="auto" w:fill="FFFFFF"/>
        </w:rPr>
      </w:pPr>
      <w:r>
        <w:rPr>
          <w:rFonts w:hint="eastAsia" w:ascii="宋体" w:hAnsi="宋体" w:cs="宋体"/>
          <w:highlight w:val="none"/>
        </w:rPr>
        <w:drawing>
          <wp:inline distT="0" distB="0" distL="114300" distR="114300">
            <wp:extent cx="5266690" cy="3249295"/>
            <wp:effectExtent l="0" t="0" r="10160" b="825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9"/>
                    <a:stretch>
                      <a:fillRect/>
                    </a:stretch>
                  </pic:blipFill>
                  <pic:spPr>
                    <a:xfrm>
                      <a:off x="0" y="0"/>
                      <a:ext cx="5266690" cy="3249295"/>
                    </a:xfrm>
                    <a:prstGeom prst="rect">
                      <a:avLst/>
                    </a:prstGeom>
                    <a:noFill/>
                    <a:ln>
                      <a:noFill/>
                    </a:ln>
                  </pic:spPr>
                </pic:pic>
              </a:graphicData>
            </a:graphic>
          </wp:inline>
        </w:drawing>
      </w:r>
    </w:p>
    <w:p>
      <w:pPr>
        <w:pStyle w:val="39"/>
        <w:spacing w:before="300" w:beforeAutospacing="0" w:after="0" w:afterAutospacing="0"/>
        <w:ind w:firstLine="512" w:firstLineChars="200"/>
        <w:jc w:val="both"/>
        <w:rPr>
          <w:rFonts w:cs="宋体"/>
          <w:color w:val="auto"/>
          <w:spacing w:val="8"/>
          <w:kern w:val="2"/>
          <w:highlight w:val="none"/>
          <w:shd w:val="clear" w:color="auto" w:fill="FFFFFF"/>
        </w:rPr>
      </w:pPr>
      <w:r>
        <w:rPr>
          <w:rFonts w:hint="eastAsia" w:cs="宋体"/>
          <w:color w:val="auto"/>
          <w:spacing w:val="8"/>
          <w:kern w:val="2"/>
          <w:highlight w:val="none"/>
          <w:shd w:val="clear" w:color="auto" w:fill="FFFFFF"/>
        </w:rPr>
        <w:t>详见本采购文件附件！</w:t>
      </w:r>
    </w:p>
    <w:p>
      <w:pPr>
        <w:pStyle w:val="39"/>
        <w:spacing w:before="300" w:beforeAutospacing="0" w:after="0" w:afterAutospacing="0"/>
        <w:ind w:firstLine="512" w:firstLineChars="200"/>
        <w:jc w:val="both"/>
        <w:rPr>
          <w:rFonts w:cs="宋体"/>
          <w:color w:val="auto"/>
          <w:highlight w:val="none"/>
        </w:rPr>
      </w:pPr>
      <w:r>
        <w:rPr>
          <w:rFonts w:hint="eastAsia" w:cs="宋体"/>
          <w:color w:val="auto"/>
          <w:spacing w:val="8"/>
          <w:kern w:val="2"/>
          <w:highlight w:val="none"/>
          <w:shd w:val="clear" w:color="auto" w:fill="FFFFFF"/>
        </w:rPr>
        <w:t>详情请向代理机构咨询，联系电话028-67171868。</w:t>
      </w:r>
    </w:p>
    <w:p>
      <w:pPr>
        <w:rPr>
          <w:rFonts w:ascii="宋体" w:hAnsi="宋体" w:cs="宋体"/>
          <w:highlight w:val="none"/>
        </w:rPr>
      </w:pPr>
    </w:p>
    <w:p>
      <w:pPr>
        <w:spacing w:line="480" w:lineRule="exact"/>
        <w:jc w:val="center"/>
        <w:rPr>
          <w:rFonts w:ascii="宋体" w:hAnsi="宋体" w:cs="宋体"/>
          <w:b/>
          <w:sz w:val="24"/>
          <w:szCs w:val="24"/>
          <w:highlight w:val="none"/>
        </w:rPr>
      </w:pPr>
      <w:bookmarkStart w:id="4" w:name="_Toc204575871"/>
      <w:bookmarkStart w:id="5" w:name="_Toc13652479"/>
      <w:bookmarkStart w:id="6" w:name="_Toc494464900"/>
      <w:bookmarkStart w:id="7" w:name="_Toc181610856"/>
      <w:bookmarkStart w:id="8" w:name="_Toc181591102"/>
      <w:r>
        <w:rPr>
          <w:rFonts w:hint="eastAsia" w:ascii="宋体" w:hAnsi="宋体" w:cs="宋体"/>
          <w:b/>
          <w:sz w:val="36"/>
          <w:szCs w:val="36"/>
          <w:highlight w:val="none"/>
        </w:rPr>
        <w:br w:type="page"/>
      </w:r>
      <w:r>
        <w:rPr>
          <w:rFonts w:hint="eastAsia" w:ascii="宋体" w:hAnsi="宋体" w:cs="宋体"/>
          <w:b/>
          <w:sz w:val="36"/>
          <w:szCs w:val="36"/>
          <w:highlight w:val="none"/>
        </w:rPr>
        <w:t>政府采购廉政宣言</w:t>
      </w:r>
    </w:p>
    <w:p>
      <w:pPr>
        <w:spacing w:line="4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四川正汇恒坚持“热情服务、规范管理、诚实信用、依法采购”的服务宗旨，遵循“诚信、专业、规范、创新”的经营理念，践行新时代特色社会主义核心价值观，诚信于服务对象、诚信于员工、诚信于社会。</w:t>
      </w:r>
    </w:p>
    <w:p>
      <w:pPr>
        <w:spacing w:line="480" w:lineRule="exact"/>
        <w:ind w:firstLine="480" w:firstLineChars="200"/>
        <w:jc w:val="left"/>
        <w:rPr>
          <w:rFonts w:ascii="宋体" w:hAnsi="宋体" w:cs="宋体"/>
          <w:color w:val="000000"/>
          <w:sz w:val="24"/>
          <w:szCs w:val="24"/>
          <w:highlight w:val="none"/>
        </w:rPr>
      </w:pPr>
      <w:r>
        <w:rPr>
          <w:rFonts w:hint="eastAsia" w:ascii="宋体" w:hAnsi="宋体" w:cs="宋体"/>
          <w:sz w:val="24"/>
          <w:szCs w:val="24"/>
          <w:highlight w:val="none"/>
        </w:rPr>
        <w:t>坚决以维护国家利益和社会公共利益为核心，恪守职业道德，勤勉尽责，悉心维护采购人和供应商的合法权益。</w:t>
      </w:r>
      <w:r>
        <w:rPr>
          <w:rFonts w:hint="eastAsia" w:ascii="宋体" w:hAnsi="宋体" w:cs="宋体"/>
          <w:color w:val="000000"/>
          <w:sz w:val="24"/>
          <w:szCs w:val="24"/>
          <w:highlight w:val="none"/>
        </w:rPr>
        <w:t>以自身的廉洁作为形成表率和带动作用，</w:t>
      </w:r>
      <w:r>
        <w:rPr>
          <w:rFonts w:hint="eastAsia" w:ascii="宋体" w:hAnsi="宋体" w:cs="宋体"/>
          <w:sz w:val="24"/>
          <w:szCs w:val="24"/>
          <w:highlight w:val="none"/>
        </w:rPr>
        <w:t>营造政府采购公平竞争市场环境，</w:t>
      </w:r>
      <w:r>
        <w:rPr>
          <w:rFonts w:hint="eastAsia" w:ascii="宋体" w:hAnsi="宋体" w:cs="宋体"/>
          <w:color w:val="000000"/>
          <w:sz w:val="24"/>
          <w:szCs w:val="24"/>
          <w:highlight w:val="none"/>
        </w:rPr>
        <w:t>以实际行动感恩回馈社会。</w:t>
      </w:r>
    </w:p>
    <w:p>
      <w:pPr>
        <w:spacing w:line="4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四川正汇恒全体员工恪守《四川正汇恒招标代理有限公司廉政管理制度》，遵纪守法、严格自律、廉洁从业，倡导遵守以下廉洁行为规范：</w:t>
      </w:r>
    </w:p>
    <w:p>
      <w:pPr>
        <w:pStyle w:val="88"/>
        <w:spacing w:line="480" w:lineRule="exact"/>
        <w:ind w:firstLine="480"/>
        <w:rPr>
          <w:rFonts w:ascii="宋体" w:hAnsi="宋体" w:cs="宋体"/>
          <w:sz w:val="24"/>
          <w:szCs w:val="24"/>
          <w:highlight w:val="none"/>
        </w:rPr>
      </w:pPr>
      <w:r>
        <w:rPr>
          <w:rFonts w:hint="eastAsia" w:ascii="宋体" w:hAnsi="宋体" w:cs="宋体"/>
          <w:sz w:val="24"/>
          <w:szCs w:val="24"/>
          <w:highlight w:val="none"/>
        </w:rPr>
        <w:t>1.不得接收或索取与本企业有业务关系的企业或个人提供的任何利益或利益输送；</w:t>
      </w:r>
    </w:p>
    <w:p>
      <w:pPr>
        <w:pStyle w:val="88"/>
        <w:spacing w:line="480" w:lineRule="exact"/>
        <w:ind w:firstLine="480"/>
        <w:rPr>
          <w:rFonts w:ascii="宋体" w:hAnsi="宋体" w:cs="宋体"/>
          <w:sz w:val="24"/>
          <w:szCs w:val="24"/>
          <w:highlight w:val="none"/>
        </w:rPr>
      </w:pPr>
      <w:r>
        <w:rPr>
          <w:rFonts w:hint="eastAsia" w:ascii="宋体" w:hAnsi="宋体" w:cs="宋体"/>
          <w:sz w:val="24"/>
          <w:szCs w:val="24"/>
          <w:highlight w:val="none"/>
        </w:rPr>
        <w:t>2.不得利用公司的资源、业务渠道、项目秘密等为本人或他人从事牟利活动和利益输送；</w:t>
      </w:r>
    </w:p>
    <w:p>
      <w:pPr>
        <w:pStyle w:val="88"/>
        <w:spacing w:line="480" w:lineRule="exact"/>
        <w:ind w:firstLine="480"/>
        <w:rPr>
          <w:rFonts w:ascii="宋体" w:hAnsi="宋体" w:cs="宋体"/>
          <w:sz w:val="24"/>
          <w:szCs w:val="24"/>
          <w:highlight w:val="none"/>
          <w:shd w:val="clear" w:color="auto" w:fill="FFFFFF"/>
        </w:rPr>
      </w:pPr>
      <w:r>
        <w:rPr>
          <w:rFonts w:hint="eastAsia" w:ascii="宋体" w:hAnsi="宋体" w:cs="宋体"/>
          <w:sz w:val="24"/>
          <w:szCs w:val="24"/>
          <w:highlight w:val="none"/>
        </w:rPr>
        <w:t>3.</w:t>
      </w:r>
      <w:r>
        <w:rPr>
          <w:rFonts w:hint="eastAsia" w:ascii="宋体" w:hAnsi="宋体" w:cs="宋体"/>
          <w:sz w:val="24"/>
          <w:szCs w:val="24"/>
          <w:highlight w:val="none"/>
          <w:shd w:val="clear" w:color="auto" w:fill="FFFFFF"/>
        </w:rPr>
        <w:t>不得利用行贿、欺骗、弄虚作假等不正当手段承接招标代理业务；</w:t>
      </w:r>
    </w:p>
    <w:p>
      <w:pPr>
        <w:widowControl/>
        <w:spacing w:line="480" w:lineRule="exact"/>
        <w:ind w:firstLine="480" w:firstLineChars="200"/>
        <w:rPr>
          <w:rFonts w:ascii="宋体" w:hAnsi="宋体" w:cs="宋体"/>
          <w:sz w:val="24"/>
          <w:szCs w:val="24"/>
          <w:highlight w:val="none"/>
          <w:shd w:val="clear" w:color="auto" w:fill="FFFFFF"/>
        </w:rPr>
      </w:pPr>
      <w:r>
        <w:rPr>
          <w:rFonts w:hint="eastAsia" w:ascii="宋体" w:hAnsi="宋体" w:cs="宋体"/>
          <w:sz w:val="24"/>
          <w:szCs w:val="24"/>
          <w:highlight w:val="none"/>
          <w:shd w:val="clear" w:color="auto" w:fill="FFFFFF"/>
        </w:rPr>
        <w:t>4.不得与任何第三方串通进行虚假招标、陪标、围标、串标等活动；</w:t>
      </w:r>
    </w:p>
    <w:p>
      <w:pPr>
        <w:widowControl/>
        <w:spacing w:line="480" w:lineRule="exact"/>
        <w:ind w:firstLine="480" w:firstLineChars="200"/>
        <w:rPr>
          <w:rFonts w:ascii="宋体" w:hAnsi="宋体" w:cs="宋体"/>
          <w:sz w:val="24"/>
          <w:szCs w:val="24"/>
          <w:highlight w:val="none"/>
          <w:shd w:val="clear" w:color="auto" w:fill="FFFFFF"/>
        </w:rPr>
      </w:pPr>
      <w:r>
        <w:rPr>
          <w:rFonts w:hint="eastAsia" w:ascii="宋体" w:hAnsi="宋体" w:cs="宋体"/>
          <w:sz w:val="24"/>
          <w:szCs w:val="24"/>
          <w:highlight w:val="none"/>
          <w:shd w:val="clear" w:color="auto" w:fill="FFFFFF"/>
        </w:rPr>
        <w:t>5.不得与投标人、评审专家或其他有利益关系的第三方恶意串通，非法干预评审活动；</w:t>
      </w:r>
    </w:p>
    <w:p>
      <w:pPr>
        <w:widowControl/>
        <w:spacing w:line="480" w:lineRule="exact"/>
        <w:ind w:firstLine="480" w:firstLineChars="200"/>
        <w:rPr>
          <w:rFonts w:ascii="宋体" w:hAnsi="宋体" w:cs="宋体"/>
          <w:sz w:val="24"/>
          <w:szCs w:val="24"/>
          <w:highlight w:val="none"/>
          <w:shd w:val="clear" w:color="auto" w:fill="FFFFFF"/>
        </w:rPr>
      </w:pPr>
      <w:r>
        <w:rPr>
          <w:rFonts w:hint="eastAsia" w:ascii="宋体" w:hAnsi="宋体" w:cs="宋体"/>
          <w:sz w:val="24"/>
          <w:szCs w:val="24"/>
          <w:highlight w:val="none"/>
          <w:shd w:val="clear" w:color="auto" w:fill="FFFFFF"/>
        </w:rPr>
        <w:t>6.不得以任何形式向投标人等泄露采购项目的秘密；</w:t>
      </w:r>
    </w:p>
    <w:p>
      <w:pPr>
        <w:widowControl/>
        <w:spacing w:line="480" w:lineRule="exact"/>
        <w:ind w:firstLine="480" w:firstLineChars="200"/>
        <w:rPr>
          <w:rFonts w:ascii="宋体" w:hAnsi="宋体" w:cs="宋体"/>
          <w:sz w:val="24"/>
          <w:szCs w:val="24"/>
          <w:highlight w:val="none"/>
          <w:shd w:val="clear" w:color="auto" w:fill="FFFFFF"/>
        </w:rPr>
      </w:pPr>
      <w:r>
        <w:rPr>
          <w:rFonts w:hint="eastAsia" w:ascii="宋体" w:hAnsi="宋体" w:cs="宋体"/>
          <w:sz w:val="24"/>
          <w:szCs w:val="24"/>
          <w:highlight w:val="none"/>
          <w:shd w:val="clear" w:color="auto" w:fill="FFFFFF"/>
        </w:rPr>
        <w:t>7.不向投标人索要或接受回扣、礼金、有价证券、贵重物品及其他任何有可能影响公正招标的礼物，包括未来利益；</w:t>
      </w:r>
    </w:p>
    <w:p>
      <w:pPr>
        <w:widowControl/>
        <w:spacing w:line="480" w:lineRule="exact"/>
        <w:ind w:firstLine="480" w:firstLineChars="200"/>
        <w:rPr>
          <w:rFonts w:ascii="宋体" w:hAnsi="宋体" w:cs="宋体"/>
          <w:sz w:val="24"/>
          <w:szCs w:val="24"/>
          <w:highlight w:val="none"/>
          <w:shd w:val="clear" w:color="auto" w:fill="FFFFFF"/>
        </w:rPr>
      </w:pPr>
      <w:r>
        <w:rPr>
          <w:rFonts w:hint="eastAsia" w:ascii="宋体" w:hAnsi="宋体" w:cs="宋体"/>
          <w:sz w:val="24"/>
          <w:szCs w:val="24"/>
          <w:highlight w:val="none"/>
          <w:shd w:val="clear" w:color="auto" w:fill="FFFFFF"/>
        </w:rPr>
        <w:t>8.自觉接受政府采购监管部门、审计和纪检部门的监督和检查，自觉接受采购人和社会各界的监督。</w:t>
      </w:r>
    </w:p>
    <w:p>
      <w:pPr>
        <w:widowControl/>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shd w:val="clear" w:color="auto" w:fill="FFFFFF"/>
        </w:rPr>
        <w:t>若发现违反宣言的行为，请及时向四川正汇恒投诉或举报，经核查属实的，严格按照公司制度处理，涉及违法违纪的将移送司法机关追究其法律责任。鼓励社会各界和公司内部员工对违规违纪行为进行投诉和举报，共同践行廉政宣言，共同营造风清气正、诚实信用的政采环境。</w:t>
      </w:r>
    </w:p>
    <w:p>
      <w:pPr>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投诉及举报邮箱：zhhjc@sc-zhh.com</w:t>
      </w:r>
    </w:p>
    <w:p>
      <w:pPr>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投诉及举报电话：028-67171868转8010  </w:t>
      </w:r>
    </w:p>
    <w:p>
      <w:pPr>
        <w:pStyle w:val="3"/>
        <w:rPr>
          <w:rFonts w:cs="宋体"/>
          <w:highlight w:val="none"/>
        </w:rPr>
      </w:pPr>
      <w:r>
        <w:rPr>
          <w:rFonts w:hint="eastAsia" w:cs="宋体"/>
          <w:highlight w:val="none"/>
        </w:rPr>
        <w:br w:type="page"/>
      </w:r>
      <w:r>
        <w:rPr>
          <w:rFonts w:hint="eastAsia" w:cs="宋体"/>
          <w:highlight w:val="none"/>
        </w:rPr>
        <w:t>投标邀请</w:t>
      </w:r>
      <w:bookmarkEnd w:id="4"/>
      <w:bookmarkEnd w:id="5"/>
      <w:bookmarkEnd w:id="6"/>
      <w:bookmarkEnd w:id="7"/>
      <w:bookmarkEnd w:id="8"/>
    </w:p>
    <w:p>
      <w:pPr>
        <w:spacing w:line="360" w:lineRule="auto"/>
        <w:ind w:firstLine="484" w:firstLineChars="202"/>
        <w:jc w:val="left"/>
        <w:rPr>
          <w:rFonts w:ascii="宋体" w:hAnsi="宋体" w:cs="宋体"/>
          <w:sz w:val="24"/>
          <w:szCs w:val="24"/>
          <w:highlight w:val="none"/>
        </w:rPr>
      </w:pPr>
      <w:r>
        <w:rPr>
          <w:rFonts w:hint="eastAsia" w:ascii="宋体" w:hAnsi="宋体" w:cs="宋体"/>
          <w:sz w:val="24"/>
          <w:szCs w:val="24"/>
          <w:highlight w:val="none"/>
        </w:rPr>
        <w:t>四川正汇恒招标代理有限公司受</w:t>
      </w:r>
      <w:r>
        <w:rPr>
          <w:rFonts w:hint="eastAsia" w:ascii="宋体" w:hAnsi="宋体" w:cs="宋体"/>
          <w:sz w:val="24"/>
          <w:szCs w:val="24"/>
          <w:highlight w:val="none"/>
          <w:u w:val="single"/>
        </w:rPr>
        <w:t>成都职业技术学院</w:t>
      </w:r>
      <w:r>
        <w:rPr>
          <w:rFonts w:hint="eastAsia" w:ascii="宋体" w:hAnsi="宋体" w:cs="宋体"/>
          <w:sz w:val="24"/>
          <w:szCs w:val="24"/>
          <w:highlight w:val="none"/>
        </w:rPr>
        <w:t>的委托，就“</w:t>
      </w:r>
      <w:r>
        <w:rPr>
          <w:rFonts w:hint="eastAsia" w:ascii="宋体" w:hAnsi="宋体" w:cs="宋体"/>
          <w:sz w:val="24"/>
          <w:szCs w:val="24"/>
          <w:highlight w:val="none"/>
          <w:u w:val="single"/>
          <w:lang w:eastAsia="zh-CN"/>
        </w:rPr>
        <w:t>成都职业技术学院软件学院物联网工程应用中心设备采购项目（二次）</w:t>
      </w:r>
      <w:r>
        <w:rPr>
          <w:rFonts w:hint="eastAsia" w:ascii="宋体" w:hAnsi="宋体" w:cs="宋体"/>
          <w:sz w:val="24"/>
          <w:szCs w:val="24"/>
          <w:highlight w:val="none"/>
        </w:rPr>
        <w:t>”项目进行国内公开招标，兹邀请符合招标要求的投标人参加投标。</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采购项目编号：510101202100754</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采购项目名称：</w:t>
      </w:r>
      <w:r>
        <w:rPr>
          <w:rFonts w:hint="eastAsia" w:ascii="宋体" w:hAnsi="宋体" w:cs="宋体"/>
          <w:b/>
          <w:sz w:val="24"/>
          <w:szCs w:val="24"/>
          <w:highlight w:val="none"/>
          <w:lang w:eastAsia="zh-CN"/>
        </w:rPr>
        <w:t>成都职业技术学院软件学院物联网工程应用中心设备采购项目（二次）</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资金来源、预算金额及最高限价：</w:t>
      </w:r>
      <w:r>
        <w:rPr>
          <w:rFonts w:hint="eastAsia" w:ascii="宋体" w:hAnsi="宋体" w:cs="宋体"/>
          <w:sz w:val="24"/>
          <w:szCs w:val="24"/>
          <w:highlight w:val="none"/>
        </w:rPr>
        <w:t>财政性资金，已落实。预算品目：</w:t>
      </w:r>
      <w:r>
        <w:rPr>
          <w:rFonts w:hint="eastAsia" w:ascii="宋体" w:hAnsi="宋体" w:cs="宋体"/>
          <w:sz w:val="24"/>
          <w:szCs w:val="24"/>
          <w:highlight w:val="none"/>
          <w:u w:val="single"/>
        </w:rPr>
        <w:t>教学专用仪器</w:t>
      </w:r>
      <w:r>
        <w:rPr>
          <w:rFonts w:hint="eastAsia" w:ascii="宋体" w:hAnsi="宋体" w:cs="宋体"/>
          <w:sz w:val="24"/>
          <w:szCs w:val="24"/>
          <w:highlight w:val="none"/>
        </w:rPr>
        <w:t>；行业类别：</w:t>
      </w:r>
      <w:r>
        <w:rPr>
          <w:rFonts w:hint="eastAsia" w:ascii="宋体" w:hAnsi="宋体" w:cs="宋体"/>
          <w:sz w:val="24"/>
          <w:szCs w:val="24"/>
          <w:highlight w:val="none"/>
          <w:u w:val="single"/>
        </w:rPr>
        <w:t>其他专用仪器制造</w:t>
      </w:r>
      <w:r>
        <w:rPr>
          <w:rFonts w:hint="eastAsia" w:ascii="宋体" w:hAnsi="宋体" w:cs="宋体"/>
          <w:sz w:val="24"/>
          <w:szCs w:val="24"/>
          <w:highlight w:val="none"/>
        </w:rPr>
        <w:t>；预算金额：</w:t>
      </w:r>
      <w:r>
        <w:rPr>
          <w:rFonts w:hint="eastAsia" w:ascii="宋体" w:hAnsi="宋体" w:cs="宋体"/>
          <w:sz w:val="24"/>
          <w:szCs w:val="24"/>
          <w:highlight w:val="none"/>
          <w:u w:val="single"/>
        </w:rPr>
        <w:t>1087</w:t>
      </w:r>
      <w:r>
        <w:rPr>
          <w:rFonts w:hint="eastAsia" w:ascii="宋体" w:hAnsi="宋体" w:cs="宋体"/>
          <w:sz w:val="24"/>
          <w:szCs w:val="24"/>
          <w:highlight w:val="none"/>
        </w:rPr>
        <w:t>万元；最高限价：</w:t>
      </w:r>
      <w:r>
        <w:rPr>
          <w:rFonts w:hint="eastAsia" w:ascii="宋体" w:hAnsi="宋体" w:cs="宋体"/>
          <w:sz w:val="24"/>
          <w:szCs w:val="24"/>
          <w:highlight w:val="none"/>
          <w:u w:val="single"/>
        </w:rPr>
        <w:t>包件5最高限价为【140万元】；包件7最高限价为【200万元】</w:t>
      </w:r>
      <w:r>
        <w:rPr>
          <w:rFonts w:hint="eastAsia" w:ascii="宋体" w:hAnsi="宋体" w:cs="宋体"/>
          <w:sz w:val="24"/>
          <w:szCs w:val="24"/>
          <w:highlight w:val="none"/>
        </w:rPr>
        <w:t>。</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采购内容</w:t>
      </w:r>
    </w:p>
    <w:p>
      <w:pPr>
        <w:spacing w:after="156" w:afterLines="50"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本项目共分为</w:t>
      </w:r>
      <w:r>
        <w:rPr>
          <w:rFonts w:hint="eastAsia" w:ascii="宋体" w:hAnsi="宋体" w:cs="宋体"/>
          <w:sz w:val="24"/>
          <w:szCs w:val="24"/>
          <w:highlight w:val="none"/>
          <w:lang w:val="en-US" w:eastAsia="zh-CN"/>
        </w:rPr>
        <w:t>7</w:t>
      </w:r>
      <w:r>
        <w:rPr>
          <w:rFonts w:hint="eastAsia" w:ascii="宋体" w:hAnsi="宋体" w:cs="宋体"/>
          <w:sz w:val="24"/>
          <w:szCs w:val="24"/>
          <w:highlight w:val="none"/>
        </w:rPr>
        <w:t>个包件，其中除包件</w:t>
      </w:r>
      <w:r>
        <w:rPr>
          <w:rFonts w:hint="eastAsia" w:ascii="宋体" w:hAnsi="宋体" w:cs="宋体"/>
          <w:sz w:val="24"/>
          <w:szCs w:val="24"/>
          <w:highlight w:val="none"/>
          <w:lang w:val="en-US" w:eastAsia="zh-CN"/>
        </w:rPr>
        <w:t>5</w:t>
      </w:r>
      <w:r>
        <w:rPr>
          <w:rFonts w:hint="eastAsia" w:ascii="宋体" w:hAnsi="宋体" w:cs="宋体"/>
          <w:sz w:val="24"/>
          <w:szCs w:val="24"/>
          <w:highlight w:val="none"/>
        </w:rPr>
        <w:t>、包件7之外包件已采购成功，本次采购以下包件：</w:t>
      </w:r>
    </w:p>
    <w:p>
      <w:pPr>
        <w:spacing w:after="156" w:afterLines="50"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包件5：智慧城市应用工程实训室设备采购</w:t>
      </w:r>
    </w:p>
    <w:p>
      <w:pPr>
        <w:spacing w:after="156" w:afterLines="50"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包件7：智慧园区基础设施建设</w:t>
      </w:r>
    </w:p>
    <w:p>
      <w:pPr>
        <w:spacing w:after="156" w:afterLines="50"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详细的技术、商务要求见第4章。</w:t>
      </w:r>
    </w:p>
    <w:p>
      <w:pPr>
        <w:numPr>
          <w:ilvl w:val="0"/>
          <w:numId w:val="2"/>
        </w:numPr>
        <w:spacing w:line="360" w:lineRule="auto"/>
        <w:ind w:left="0" w:firstLine="422" w:firstLineChars="175"/>
        <w:jc w:val="left"/>
        <w:rPr>
          <w:rFonts w:ascii="宋体" w:hAnsi="宋体" w:cs="宋体"/>
          <w:b/>
          <w:sz w:val="24"/>
          <w:szCs w:val="24"/>
          <w:highlight w:val="none"/>
        </w:rPr>
      </w:pPr>
      <w:r>
        <w:rPr>
          <w:rFonts w:hint="eastAsia" w:ascii="宋体" w:hAnsi="宋体" w:cs="宋体"/>
          <w:b/>
          <w:sz w:val="24"/>
          <w:szCs w:val="24"/>
          <w:highlight w:val="none"/>
        </w:rPr>
        <w:t>定向采购情况</w:t>
      </w:r>
    </w:p>
    <w:p>
      <w:pPr>
        <w:pStyle w:val="17"/>
        <w:ind w:firstLine="420" w:firstLineChars="175"/>
        <w:rPr>
          <w:highlight w:val="none"/>
        </w:rPr>
      </w:pPr>
      <w:r>
        <w:rPr>
          <w:rFonts w:hint="eastAsia" w:ascii="宋体" w:hAnsi="宋体" w:cs="宋体"/>
          <w:sz w:val="24"/>
          <w:szCs w:val="24"/>
          <w:highlight w:val="none"/>
        </w:rPr>
        <w:t>本项目非专门面向中小企业采购。</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投标人应具备的资格条件</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（一）具备《中华人民共和国政府采购法》第二十二条规定的条件：</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1.具有独立承担民事责任的能力；</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2.具有良好的商业信誉和健全的财务会计制度；</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3.具有履行合同所必须的设备和专业技术能力；</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4.具有依法缴纳税收和社会保障资金的良好记录；</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5.参加本次政府采购活动前三年内，在经营活动中没有重大违法记录；</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6.法律、行政法规规定的其他条件。</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（二）本项目的特定资格要求：</w:t>
      </w:r>
    </w:p>
    <w:p>
      <w:pPr>
        <w:pStyle w:val="101"/>
        <w:tabs>
          <w:tab w:val="left" w:pos="1260"/>
        </w:tabs>
        <w:ind w:firstLine="420" w:firstLineChars="175"/>
        <w:rPr>
          <w:rFonts w:ascii="宋体" w:hAnsi="宋体" w:cs="宋体"/>
          <w:sz w:val="24"/>
          <w:highlight w:val="none"/>
        </w:rPr>
      </w:pPr>
      <w:r>
        <w:rPr>
          <w:rFonts w:hint="eastAsia" w:ascii="宋体" w:hAnsi="宋体" w:cs="宋体"/>
          <w:sz w:val="24"/>
          <w:highlight w:val="none"/>
        </w:rPr>
        <w:t>1.未被列入经营异常名录；</w:t>
      </w:r>
    </w:p>
    <w:p>
      <w:pPr>
        <w:pStyle w:val="101"/>
        <w:tabs>
          <w:tab w:val="left" w:pos="1260"/>
        </w:tabs>
        <w:ind w:firstLine="420" w:firstLineChars="175"/>
        <w:rPr>
          <w:rFonts w:ascii="宋体" w:hAnsi="宋体" w:cs="宋体"/>
          <w:sz w:val="24"/>
          <w:highlight w:val="none"/>
        </w:rPr>
      </w:pPr>
      <w:r>
        <w:rPr>
          <w:rFonts w:hint="eastAsia" w:ascii="宋体" w:hAnsi="宋体" w:cs="宋体"/>
          <w:sz w:val="24"/>
          <w:highlight w:val="none"/>
        </w:rPr>
        <w:t xml:space="preserve">2.未被列入失信被执行人、重大税收违法案件当事人名单、政府采购严重违法失信行为记录名单； </w:t>
      </w:r>
    </w:p>
    <w:p>
      <w:pPr>
        <w:pStyle w:val="101"/>
        <w:tabs>
          <w:tab w:val="left" w:pos="1260"/>
        </w:tabs>
        <w:ind w:firstLine="420" w:firstLineChars="175"/>
        <w:rPr>
          <w:rFonts w:ascii="宋体" w:hAnsi="宋体" w:cs="宋体"/>
          <w:sz w:val="24"/>
          <w:highlight w:val="none"/>
        </w:rPr>
      </w:pPr>
      <w:r>
        <w:rPr>
          <w:rFonts w:hint="eastAsia" w:ascii="宋体" w:hAnsi="宋体" w:cs="宋体"/>
          <w:sz w:val="24"/>
          <w:highlight w:val="none"/>
        </w:rPr>
        <w:t xml:space="preserve">3.在行贿犯罪信息查询期限内，投标人及其现任法定代表人、主要负责人没有行贿犯罪记录； </w:t>
      </w:r>
    </w:p>
    <w:p>
      <w:pPr>
        <w:pStyle w:val="101"/>
        <w:tabs>
          <w:tab w:val="left" w:pos="1260"/>
        </w:tabs>
        <w:ind w:firstLine="420" w:firstLineChars="175"/>
        <w:rPr>
          <w:rFonts w:ascii="宋体" w:hAnsi="宋体" w:cs="宋体"/>
          <w:sz w:val="24"/>
          <w:highlight w:val="none"/>
        </w:rPr>
      </w:pPr>
      <w:r>
        <w:rPr>
          <w:rFonts w:hint="eastAsia" w:ascii="宋体" w:hAnsi="宋体" w:cs="宋体"/>
          <w:sz w:val="24"/>
          <w:highlight w:val="none"/>
        </w:rPr>
        <w:t xml:space="preserve">4.不属于其他国家相关法律法规规定的禁止参加投标的供应商； </w:t>
      </w:r>
    </w:p>
    <w:p>
      <w:pPr>
        <w:pStyle w:val="101"/>
        <w:tabs>
          <w:tab w:val="left" w:pos="1260"/>
        </w:tabs>
        <w:ind w:firstLine="420" w:firstLineChars="175"/>
        <w:rPr>
          <w:rFonts w:ascii="宋体" w:hAnsi="宋体" w:cs="宋体"/>
          <w:sz w:val="24"/>
          <w:highlight w:val="none"/>
        </w:rPr>
      </w:pPr>
      <w:r>
        <w:rPr>
          <w:rFonts w:hint="eastAsia" w:ascii="宋体" w:hAnsi="宋体" w:cs="宋体"/>
          <w:sz w:val="24"/>
          <w:highlight w:val="none"/>
        </w:rPr>
        <w:t>5.本项目不接受联合体投标。</w:t>
      </w:r>
    </w:p>
    <w:p>
      <w:pPr>
        <w:spacing w:line="460" w:lineRule="exact"/>
        <w:ind w:firstLine="420" w:firstLineChars="175"/>
        <w:rPr>
          <w:rFonts w:ascii="宋体" w:hAnsi="宋体" w:cs="宋体"/>
          <w:sz w:val="24"/>
          <w:highlight w:val="none"/>
        </w:rPr>
      </w:pPr>
      <w:r>
        <w:rPr>
          <w:rFonts w:hint="eastAsia" w:ascii="宋体" w:hAnsi="宋体" w:cs="宋体"/>
          <w:sz w:val="24"/>
          <w:highlight w:val="none"/>
        </w:rPr>
        <w:t>（三）落实政府采购政策需满足的资格要求：</w:t>
      </w:r>
    </w:p>
    <w:p>
      <w:pPr>
        <w:spacing w:line="460" w:lineRule="exact"/>
        <w:ind w:firstLine="420" w:firstLineChars="175"/>
        <w:rPr>
          <w:rFonts w:ascii="宋体" w:hAnsi="宋体" w:cs="宋体"/>
          <w:sz w:val="24"/>
          <w:highlight w:val="none"/>
        </w:rPr>
      </w:pPr>
      <w:r>
        <w:rPr>
          <w:rFonts w:hint="eastAsia" w:ascii="宋体" w:hAnsi="宋体" w:cs="宋体"/>
          <w:sz w:val="24"/>
          <w:highlight w:val="none"/>
        </w:rPr>
        <w:t>本项目非专门面向中小企业。</w:t>
      </w:r>
    </w:p>
    <w:p>
      <w:pPr>
        <w:numPr>
          <w:ilvl w:val="0"/>
          <w:numId w:val="2"/>
        </w:numPr>
        <w:spacing w:line="360" w:lineRule="auto"/>
        <w:ind w:left="0" w:firstLine="422" w:firstLineChars="175"/>
        <w:rPr>
          <w:rFonts w:ascii="宋体" w:hAnsi="宋体" w:cs="宋体"/>
          <w:sz w:val="24"/>
          <w:szCs w:val="24"/>
          <w:highlight w:val="none"/>
        </w:rPr>
      </w:pPr>
      <w:r>
        <w:rPr>
          <w:rFonts w:hint="eastAsia" w:ascii="宋体" w:hAnsi="宋体" w:cs="宋体"/>
          <w:b/>
          <w:sz w:val="24"/>
          <w:szCs w:val="24"/>
          <w:highlight w:val="none"/>
        </w:rPr>
        <w:t>供应商报名及招标文件获取方式</w:t>
      </w:r>
    </w:p>
    <w:p>
      <w:pPr>
        <w:spacing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报名时间：自</w:t>
      </w:r>
      <w:r>
        <w:rPr>
          <w:rFonts w:hint="eastAsia" w:ascii="宋体" w:hAnsi="宋体" w:cs="宋体"/>
          <w:sz w:val="24"/>
          <w:szCs w:val="24"/>
          <w:highlight w:val="none"/>
          <w:lang w:val="en-US" w:eastAsia="zh-CN"/>
        </w:rPr>
        <w:t>2021</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3</w:t>
      </w:r>
      <w:r>
        <w:rPr>
          <w:rFonts w:hint="eastAsia" w:ascii="宋体" w:hAnsi="宋体" w:cs="宋体"/>
          <w:sz w:val="24"/>
          <w:szCs w:val="24"/>
          <w:highlight w:val="none"/>
        </w:rPr>
        <w:t>日至</w:t>
      </w:r>
      <w:r>
        <w:rPr>
          <w:rFonts w:hint="eastAsia" w:ascii="宋体" w:hAnsi="宋体" w:cs="宋体"/>
          <w:sz w:val="24"/>
          <w:szCs w:val="24"/>
          <w:highlight w:val="none"/>
          <w:lang w:val="en-US" w:eastAsia="zh-CN"/>
        </w:rPr>
        <w:t>2021</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9</w:t>
      </w:r>
      <w:r>
        <w:rPr>
          <w:rFonts w:hint="eastAsia" w:ascii="宋体" w:hAnsi="宋体" w:cs="宋体"/>
          <w:sz w:val="24"/>
          <w:szCs w:val="24"/>
          <w:highlight w:val="none"/>
        </w:rPr>
        <w:t>日9:00-12:00,13:00-17:00（北京时间，法定节假日除外）。</w:t>
      </w:r>
    </w:p>
    <w:p>
      <w:pPr>
        <w:spacing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现场报名地点：成都市高新区吉泰路666号1栋9层910号(花样年福年广场)。供应商为法人或者其他组织的，需提供单位介绍信、经办人身份证明；供应商为自然人的，只需提供本人身份证明。</w:t>
      </w:r>
    </w:p>
    <w:p>
      <w:pPr>
        <w:spacing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邮寄方式（邮费自理）：请自行在本采购项目采购公告网页附件中下载报名登记表，完整录入信息后将报名登记表、单位介绍信、身份证复印件、汇款凭证等信息资料快递至采购代理机构，采购代理机构收到邮件后发出采购文件。</w:t>
      </w:r>
    </w:p>
    <w:p>
      <w:pPr>
        <w:spacing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远程方式：请自行在本采购项目采购公告网页附件中下载报名登记表，完整录入信息后将报名登记表、单位介绍信、身份证复印件、汇款凭证等信息传至采购代理机构邮箱，采购代理机构收件后发出采购文件。</w:t>
      </w:r>
    </w:p>
    <w:p>
      <w:pPr>
        <w:tabs>
          <w:tab w:val="left" w:pos="1080"/>
        </w:tabs>
        <w:spacing w:line="560" w:lineRule="exact"/>
        <w:ind w:firstLine="420" w:firstLineChars="175"/>
        <w:rPr>
          <w:rFonts w:ascii="宋体" w:hAnsi="宋体" w:cs="宋体"/>
          <w:sz w:val="24"/>
          <w:szCs w:val="24"/>
          <w:highlight w:val="none"/>
        </w:rPr>
      </w:pPr>
      <w:r>
        <w:rPr>
          <w:rFonts w:hint="eastAsia" w:ascii="宋体" w:hAnsi="宋体" w:cs="宋体"/>
          <w:sz w:val="24"/>
          <w:szCs w:val="24"/>
          <w:highlight w:val="none"/>
        </w:rPr>
        <w:t>报名成功后可免费提供采购文件电子档一份（报名供应商需提供可用的电子邮箱）。纸质采购文件人民币150元/份（按需要自愿购买）,采购文件提供后不退。供应商资格不能转让。联系人：周女士；联系电话：028-67171868；邮箱：service@sc-zhh.com。</w:t>
      </w:r>
    </w:p>
    <w:p>
      <w:pPr>
        <w:numPr>
          <w:ilvl w:val="0"/>
          <w:numId w:val="2"/>
        </w:numPr>
        <w:spacing w:line="360" w:lineRule="auto"/>
        <w:ind w:left="0" w:firstLine="422" w:firstLineChars="175"/>
        <w:rPr>
          <w:rFonts w:ascii="宋体" w:hAnsi="宋体" w:cs="宋体"/>
          <w:sz w:val="24"/>
          <w:szCs w:val="24"/>
          <w:highlight w:val="none"/>
        </w:rPr>
      </w:pPr>
      <w:bookmarkStart w:id="9" w:name="_Toc186274101"/>
      <w:bookmarkStart w:id="10" w:name="_Toc184013605"/>
      <w:bookmarkStart w:id="11" w:name="_Toc174185149"/>
      <w:bookmarkStart w:id="12" w:name="_Toc180051012"/>
      <w:bookmarkStart w:id="13" w:name="_Toc184023104"/>
      <w:r>
        <w:rPr>
          <w:rFonts w:hint="eastAsia" w:ascii="宋体" w:hAnsi="宋体" w:cs="宋体"/>
          <w:b/>
          <w:sz w:val="24"/>
          <w:szCs w:val="24"/>
          <w:highlight w:val="none"/>
        </w:rPr>
        <w:t>投标截止时间及开标时间</w:t>
      </w:r>
      <w:bookmarkEnd w:id="9"/>
      <w:bookmarkEnd w:id="10"/>
      <w:bookmarkEnd w:id="11"/>
      <w:bookmarkEnd w:id="12"/>
      <w:bookmarkEnd w:id="13"/>
      <w:r>
        <w:rPr>
          <w:rFonts w:hint="eastAsia" w:ascii="宋体" w:hAnsi="宋体" w:cs="宋体"/>
          <w:b/>
          <w:sz w:val="24"/>
          <w:szCs w:val="24"/>
          <w:highlight w:val="none"/>
        </w:rPr>
        <w:t>(北京时间)：2021年</w:t>
      </w:r>
      <w:r>
        <w:rPr>
          <w:rFonts w:hint="eastAsia" w:ascii="宋体" w:hAnsi="宋体" w:cs="宋体"/>
          <w:b/>
          <w:sz w:val="24"/>
          <w:szCs w:val="24"/>
          <w:highlight w:val="none"/>
          <w:u w:val="none"/>
          <w:lang w:val="en-US" w:eastAsia="zh-CN"/>
        </w:rPr>
        <w:t>8</w:t>
      </w:r>
      <w:r>
        <w:rPr>
          <w:rFonts w:hint="eastAsia" w:ascii="宋体" w:hAnsi="宋体" w:cs="宋体"/>
          <w:b/>
          <w:sz w:val="24"/>
          <w:szCs w:val="24"/>
          <w:highlight w:val="none"/>
        </w:rPr>
        <w:t>月</w:t>
      </w:r>
      <w:r>
        <w:rPr>
          <w:rFonts w:hint="eastAsia" w:ascii="宋体" w:hAnsi="宋体" w:cs="宋体"/>
          <w:b/>
          <w:sz w:val="24"/>
          <w:szCs w:val="24"/>
          <w:highlight w:val="none"/>
          <w:lang w:val="en-US" w:eastAsia="zh-CN"/>
        </w:rPr>
        <w:t>23</w:t>
      </w:r>
      <w:r>
        <w:rPr>
          <w:rFonts w:hint="eastAsia" w:ascii="宋体" w:hAnsi="宋体" w:cs="宋体"/>
          <w:b/>
          <w:sz w:val="24"/>
          <w:szCs w:val="24"/>
          <w:highlight w:val="none"/>
        </w:rPr>
        <w:t>日上午1</w:t>
      </w:r>
      <w:r>
        <w:rPr>
          <w:rFonts w:hint="eastAsia" w:ascii="宋体" w:hAnsi="宋体" w:cs="宋体"/>
          <w:b/>
          <w:sz w:val="24"/>
          <w:szCs w:val="24"/>
          <w:highlight w:val="none"/>
          <w:lang w:val="en-US" w:eastAsia="zh-CN"/>
        </w:rPr>
        <w:t>0</w:t>
      </w:r>
      <w:r>
        <w:rPr>
          <w:rFonts w:hint="eastAsia" w:ascii="宋体" w:hAnsi="宋体" w:cs="宋体"/>
          <w:b/>
          <w:sz w:val="24"/>
          <w:szCs w:val="24"/>
          <w:highlight w:val="none"/>
        </w:rPr>
        <w:t>:00。</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投标文件递交地点及开标地点</w:t>
      </w:r>
    </w:p>
    <w:p>
      <w:pPr>
        <w:spacing w:line="360" w:lineRule="auto"/>
        <w:ind w:firstLine="420" w:firstLineChars="175"/>
        <w:rPr>
          <w:rFonts w:ascii="宋体" w:hAnsi="宋体" w:cs="宋体"/>
          <w:sz w:val="24"/>
          <w:szCs w:val="24"/>
          <w:highlight w:val="none"/>
        </w:rPr>
      </w:pPr>
      <w:r>
        <w:rPr>
          <w:rFonts w:hint="eastAsia" w:ascii="宋体" w:hAnsi="宋体" w:cs="宋体"/>
          <w:sz w:val="24"/>
          <w:szCs w:val="24"/>
          <w:highlight w:val="none"/>
        </w:rPr>
        <w:t xml:space="preserve">成都市高新区吉泰路666号1栋9层8号(花样年福年广场) </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本投标邀请在四川政府采购网</w:t>
      </w:r>
      <w:r>
        <w:rPr>
          <w:rFonts w:hint="eastAsia" w:ascii="宋体" w:hAnsi="宋体" w:cs="宋体"/>
          <w:sz w:val="24"/>
          <w:highlight w:val="none"/>
        </w:rPr>
        <w:t>（http://www.ccgp-sichuan.gov.cn/）</w:t>
      </w:r>
      <w:r>
        <w:rPr>
          <w:rFonts w:hint="eastAsia" w:ascii="宋体" w:hAnsi="宋体" w:cs="宋体"/>
          <w:b/>
          <w:sz w:val="24"/>
          <w:szCs w:val="24"/>
          <w:highlight w:val="none"/>
        </w:rPr>
        <w:t>以公告形式发布。</w:t>
      </w:r>
    </w:p>
    <w:p>
      <w:pPr>
        <w:numPr>
          <w:ilvl w:val="0"/>
          <w:numId w:val="2"/>
        </w:numPr>
        <w:spacing w:line="360" w:lineRule="auto"/>
        <w:ind w:left="0" w:firstLine="422" w:firstLineChars="175"/>
        <w:rPr>
          <w:rFonts w:ascii="宋体" w:hAnsi="宋体" w:cs="宋体"/>
          <w:b/>
          <w:sz w:val="24"/>
          <w:szCs w:val="24"/>
          <w:highlight w:val="none"/>
        </w:rPr>
      </w:pPr>
      <w:r>
        <w:rPr>
          <w:rFonts w:hint="eastAsia" w:ascii="宋体" w:hAnsi="宋体" w:cs="宋体"/>
          <w:b/>
          <w:sz w:val="24"/>
          <w:szCs w:val="24"/>
          <w:highlight w:val="none"/>
        </w:rPr>
        <w:t>联系方式</w:t>
      </w:r>
    </w:p>
    <w:p>
      <w:pPr>
        <w:pStyle w:val="101"/>
        <w:spacing w:line="500" w:lineRule="exact"/>
        <w:ind w:firstLine="487" w:firstLineChars="202"/>
        <w:rPr>
          <w:rFonts w:ascii="宋体" w:hAnsi="宋体" w:cs="宋体"/>
          <w:b/>
          <w:sz w:val="24"/>
          <w:highlight w:val="none"/>
        </w:rPr>
      </w:pPr>
      <w:r>
        <w:rPr>
          <w:rFonts w:hint="eastAsia" w:ascii="宋体" w:hAnsi="宋体" w:cs="宋体"/>
          <w:b/>
          <w:sz w:val="24"/>
          <w:highlight w:val="none"/>
        </w:rPr>
        <w:t xml:space="preserve">采购人： 成都职业技术学院 </w:t>
      </w:r>
    </w:p>
    <w:p>
      <w:pPr>
        <w:pStyle w:val="101"/>
        <w:spacing w:line="500" w:lineRule="exact"/>
        <w:ind w:firstLine="484" w:firstLineChars="202"/>
        <w:rPr>
          <w:rFonts w:ascii="宋体" w:hAnsi="宋体" w:cs="宋体"/>
          <w:sz w:val="24"/>
          <w:highlight w:val="none"/>
        </w:rPr>
      </w:pPr>
      <w:r>
        <w:rPr>
          <w:rFonts w:hint="eastAsia" w:ascii="宋体" w:hAnsi="宋体" w:cs="宋体"/>
          <w:sz w:val="24"/>
          <w:highlight w:val="none"/>
        </w:rPr>
        <w:t>地  址： 成都市高新区益州大道北段天益街83号</w:t>
      </w:r>
    </w:p>
    <w:p>
      <w:pPr>
        <w:pStyle w:val="101"/>
        <w:spacing w:line="500" w:lineRule="exact"/>
        <w:ind w:firstLine="484" w:firstLineChars="202"/>
        <w:rPr>
          <w:rFonts w:ascii="宋体" w:hAnsi="宋体" w:cs="宋体"/>
          <w:sz w:val="24"/>
          <w:highlight w:val="none"/>
        </w:rPr>
      </w:pPr>
      <w:r>
        <w:rPr>
          <w:rFonts w:hint="eastAsia" w:ascii="宋体" w:hAnsi="宋体" w:cs="宋体"/>
          <w:sz w:val="24"/>
          <w:highlight w:val="none"/>
        </w:rPr>
        <w:t xml:space="preserve">联系人： 杨老师 </w:t>
      </w:r>
    </w:p>
    <w:p>
      <w:pPr>
        <w:pStyle w:val="101"/>
        <w:spacing w:line="500" w:lineRule="exact"/>
        <w:ind w:firstLine="484" w:firstLineChars="202"/>
        <w:rPr>
          <w:rFonts w:ascii="宋体" w:hAnsi="宋体" w:cs="宋体"/>
          <w:sz w:val="24"/>
          <w:highlight w:val="none"/>
        </w:rPr>
      </w:pPr>
      <w:r>
        <w:rPr>
          <w:rFonts w:hint="eastAsia" w:ascii="宋体" w:hAnsi="宋体" w:cs="宋体"/>
          <w:sz w:val="24"/>
          <w:highlight w:val="none"/>
        </w:rPr>
        <w:t>联系电话：</w:t>
      </w:r>
      <w:bookmarkStart w:id="14" w:name="cgr联系人1移动电话"/>
      <w:r>
        <w:rPr>
          <w:rFonts w:hint="eastAsia" w:ascii="宋体" w:hAnsi="宋体" w:cs="宋体"/>
          <w:sz w:val="24"/>
          <w:highlight w:val="none"/>
        </w:rPr>
        <w:t xml:space="preserve"> </w:t>
      </w:r>
      <w:bookmarkEnd w:id="14"/>
      <w:r>
        <w:rPr>
          <w:rFonts w:hint="eastAsia" w:ascii="宋体" w:hAnsi="宋体" w:cs="宋体"/>
          <w:sz w:val="24"/>
          <w:highlight w:val="none"/>
        </w:rPr>
        <w:t>028-85322355</w:t>
      </w:r>
    </w:p>
    <w:p>
      <w:pPr>
        <w:pStyle w:val="101"/>
        <w:spacing w:line="500" w:lineRule="exact"/>
        <w:ind w:firstLine="487" w:firstLineChars="202"/>
        <w:rPr>
          <w:rFonts w:ascii="宋体" w:hAnsi="宋体" w:cs="宋体"/>
          <w:sz w:val="24"/>
          <w:highlight w:val="none"/>
        </w:rPr>
      </w:pPr>
      <w:r>
        <w:rPr>
          <w:rFonts w:hint="eastAsia" w:ascii="宋体" w:hAnsi="宋体" w:cs="宋体"/>
          <w:b/>
          <w:sz w:val="24"/>
          <w:highlight w:val="none"/>
        </w:rPr>
        <w:t>采购代理机构：四川正汇恒招标代理有限公司</w:t>
      </w:r>
    </w:p>
    <w:p>
      <w:pPr>
        <w:pStyle w:val="101"/>
        <w:spacing w:line="500" w:lineRule="exact"/>
        <w:ind w:firstLine="484" w:firstLineChars="202"/>
        <w:jc w:val="left"/>
        <w:rPr>
          <w:rFonts w:ascii="宋体" w:hAnsi="宋体" w:cs="宋体"/>
          <w:sz w:val="24"/>
          <w:highlight w:val="none"/>
        </w:rPr>
      </w:pPr>
      <w:r>
        <w:rPr>
          <w:rFonts w:hint="eastAsia" w:ascii="宋体" w:hAnsi="宋体" w:cs="宋体"/>
          <w:sz w:val="24"/>
          <w:highlight w:val="none"/>
        </w:rPr>
        <w:t>通讯地址：成都市高新区天府三街吉泰路666号1栋9层910号</w:t>
      </w:r>
    </w:p>
    <w:p>
      <w:pPr>
        <w:pStyle w:val="101"/>
        <w:spacing w:line="500" w:lineRule="exact"/>
        <w:ind w:firstLine="484" w:firstLineChars="202"/>
        <w:jc w:val="left"/>
        <w:rPr>
          <w:rFonts w:ascii="宋体" w:hAnsi="宋体" w:cs="宋体"/>
          <w:sz w:val="24"/>
          <w:highlight w:val="none"/>
        </w:rPr>
      </w:pPr>
      <w:r>
        <w:rPr>
          <w:rFonts w:hint="eastAsia" w:ascii="宋体" w:hAnsi="宋体" w:cs="宋体"/>
          <w:sz w:val="24"/>
          <w:highlight w:val="none"/>
        </w:rPr>
        <w:t>联 系 人： 乔先生</w:t>
      </w:r>
    </w:p>
    <w:p>
      <w:pPr>
        <w:pStyle w:val="101"/>
        <w:spacing w:line="500" w:lineRule="exact"/>
        <w:ind w:firstLine="484" w:firstLineChars="202"/>
        <w:jc w:val="left"/>
        <w:rPr>
          <w:rFonts w:ascii="宋体" w:hAnsi="宋体" w:cs="宋体"/>
          <w:sz w:val="24"/>
          <w:highlight w:val="none"/>
        </w:rPr>
      </w:pPr>
      <w:r>
        <w:rPr>
          <w:rFonts w:hint="eastAsia" w:ascii="宋体" w:hAnsi="宋体" w:cs="宋体"/>
          <w:sz w:val="24"/>
          <w:highlight w:val="none"/>
        </w:rPr>
        <w:t>电话传真：028-67171868</w:t>
      </w:r>
    </w:p>
    <w:p>
      <w:pPr>
        <w:pStyle w:val="101"/>
        <w:spacing w:line="500" w:lineRule="exact"/>
        <w:ind w:firstLine="484" w:firstLineChars="202"/>
        <w:jc w:val="left"/>
        <w:rPr>
          <w:rFonts w:ascii="宋体" w:hAnsi="宋体" w:cs="宋体"/>
          <w:sz w:val="24"/>
          <w:highlight w:val="none"/>
        </w:rPr>
      </w:pPr>
      <w:r>
        <w:rPr>
          <w:rFonts w:hint="eastAsia" w:ascii="宋体" w:hAnsi="宋体" w:cs="宋体"/>
          <w:sz w:val="24"/>
          <w:highlight w:val="none"/>
        </w:rPr>
        <w:t>电子邮件：service@sc-zhh.com</w:t>
      </w:r>
    </w:p>
    <w:p>
      <w:pPr>
        <w:spacing w:line="500" w:lineRule="exact"/>
        <w:ind w:firstLine="482" w:firstLineChars="200"/>
        <w:rPr>
          <w:rFonts w:ascii="宋体" w:hAnsi="宋体" w:cs="宋体"/>
          <w:b/>
          <w:sz w:val="24"/>
          <w:szCs w:val="24"/>
          <w:highlight w:val="none"/>
        </w:rPr>
      </w:pPr>
      <w:r>
        <w:rPr>
          <w:rFonts w:hint="eastAsia" w:ascii="宋体" w:hAnsi="宋体" w:cs="宋体"/>
          <w:b/>
          <w:sz w:val="24"/>
          <w:szCs w:val="24"/>
          <w:highlight w:val="none"/>
        </w:rPr>
        <w:t>采购监督机构：成都市财政局</w:t>
      </w:r>
    </w:p>
    <w:p>
      <w:pPr>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地 址：成都市锦城大道366号</w:t>
      </w:r>
    </w:p>
    <w:p>
      <w:pPr>
        <w:pStyle w:val="104"/>
        <w:tabs>
          <w:tab w:val="left" w:pos="900"/>
        </w:tabs>
        <w:spacing w:line="500" w:lineRule="exact"/>
        <w:ind w:firstLine="480" w:firstLineChars="0"/>
        <w:jc w:val="left"/>
        <w:rPr>
          <w:rFonts w:ascii="宋体" w:hAnsi="宋体" w:cs="宋体"/>
          <w:sz w:val="24"/>
          <w:szCs w:val="24"/>
          <w:highlight w:val="none"/>
        </w:rPr>
      </w:pPr>
      <w:r>
        <w:rPr>
          <w:rFonts w:hint="eastAsia" w:ascii="宋体" w:hAnsi="宋体" w:cs="宋体"/>
          <w:sz w:val="24"/>
          <w:szCs w:val="24"/>
          <w:highlight w:val="none"/>
        </w:rPr>
        <w:t>联系电话：028-61882648</w:t>
      </w:r>
    </w:p>
    <w:p>
      <w:pPr>
        <w:pStyle w:val="104"/>
        <w:tabs>
          <w:tab w:val="left" w:pos="900"/>
        </w:tabs>
        <w:spacing w:line="580" w:lineRule="exact"/>
        <w:ind w:firstLine="0" w:firstLineChars="0"/>
        <w:jc w:val="left"/>
        <w:rPr>
          <w:rFonts w:ascii="宋体" w:hAnsi="宋体" w:cs="宋体"/>
          <w:sz w:val="24"/>
          <w:szCs w:val="24"/>
          <w:highlight w:val="none"/>
        </w:rPr>
      </w:pPr>
    </w:p>
    <w:p>
      <w:pPr>
        <w:pStyle w:val="3"/>
        <w:rPr>
          <w:rFonts w:cs="宋体"/>
          <w:highlight w:val="none"/>
        </w:rPr>
        <w:sectPr>
          <w:pgSz w:w="11906" w:h="16838"/>
          <w:pgMar w:top="1327" w:right="1800" w:bottom="1327" w:left="1800" w:header="851" w:footer="992" w:gutter="0"/>
          <w:cols w:space="720" w:num="1"/>
          <w:docGrid w:type="lines" w:linePitch="312" w:charSpace="0"/>
        </w:sectPr>
      </w:pPr>
      <w:bookmarkStart w:id="15" w:name="_Toc494464901"/>
    </w:p>
    <w:p>
      <w:pPr>
        <w:pStyle w:val="3"/>
        <w:rPr>
          <w:rFonts w:cs="宋体"/>
          <w:highlight w:val="none"/>
        </w:rPr>
      </w:pPr>
      <w:bookmarkStart w:id="16" w:name="_Toc13652480"/>
      <w:r>
        <w:rPr>
          <w:rFonts w:hint="eastAsia" w:cs="宋体"/>
          <w:highlight w:val="none"/>
        </w:rPr>
        <w:t>投标人须知</w:t>
      </w:r>
      <w:bookmarkEnd w:id="15"/>
      <w:bookmarkEnd w:id="16"/>
    </w:p>
    <w:p>
      <w:pPr>
        <w:pStyle w:val="2"/>
        <w:rPr>
          <w:rFonts w:cs="宋体"/>
          <w:sz w:val="24"/>
          <w:szCs w:val="24"/>
          <w:highlight w:val="none"/>
        </w:rPr>
      </w:pPr>
      <w:bookmarkStart w:id="17" w:name="_Toc217446032"/>
      <w:bookmarkStart w:id="18" w:name="_Toc189727030"/>
      <w:bookmarkStart w:id="19" w:name="_Toc213397010"/>
      <w:bookmarkStart w:id="20" w:name="_Toc213396946"/>
      <w:bookmarkStart w:id="21" w:name="_Toc316462344"/>
      <w:bookmarkStart w:id="22" w:name="_Toc494464902"/>
      <w:bookmarkStart w:id="23" w:name="_Toc213496268"/>
      <w:bookmarkStart w:id="24" w:name="_Toc13652481"/>
      <w:bookmarkStart w:id="25" w:name="_Toc213396760"/>
      <w:r>
        <w:rPr>
          <w:rFonts w:hint="eastAsia" w:cs="宋体"/>
          <w:sz w:val="24"/>
          <w:szCs w:val="24"/>
          <w:highlight w:val="none"/>
        </w:rPr>
        <w:t>投标人须知前附表</w:t>
      </w:r>
      <w:bookmarkEnd w:id="17"/>
      <w:bookmarkEnd w:id="18"/>
      <w:bookmarkEnd w:id="19"/>
      <w:bookmarkEnd w:id="20"/>
      <w:bookmarkEnd w:id="21"/>
      <w:bookmarkEnd w:id="22"/>
      <w:bookmarkEnd w:id="23"/>
      <w:bookmarkEnd w:id="24"/>
      <w:bookmarkEnd w:id="25"/>
    </w:p>
    <w:tbl>
      <w:tblPr>
        <w:tblStyle w:val="41"/>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84"/>
        <w:gridCol w:w="2268"/>
        <w:gridCol w:w="645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784" w:type="dxa"/>
            <w:vAlign w:val="center"/>
          </w:tcPr>
          <w:p>
            <w:pPr>
              <w:snapToGrid w:val="0"/>
              <w:jc w:val="center"/>
              <w:rPr>
                <w:rFonts w:ascii="宋体" w:hAnsi="宋体" w:cs="宋体"/>
                <w:b/>
                <w:sz w:val="24"/>
                <w:szCs w:val="24"/>
                <w:highlight w:val="none"/>
              </w:rPr>
            </w:pPr>
            <w:r>
              <w:rPr>
                <w:rFonts w:hint="eastAsia" w:ascii="宋体" w:hAnsi="宋体" w:cs="宋体"/>
                <w:b/>
                <w:sz w:val="24"/>
                <w:szCs w:val="24"/>
                <w:highlight w:val="none"/>
                <w:lang w:val="zh-CN"/>
              </w:rPr>
              <w:t>序号</w:t>
            </w:r>
          </w:p>
        </w:tc>
        <w:tc>
          <w:tcPr>
            <w:tcW w:w="2268" w:type="dxa"/>
            <w:vAlign w:val="center"/>
          </w:tcPr>
          <w:p>
            <w:pPr>
              <w:pStyle w:val="149"/>
              <w:spacing w:line="360" w:lineRule="auto"/>
              <w:ind w:left="38"/>
              <w:jc w:val="center"/>
              <w:rPr>
                <w:b/>
                <w:highlight w:val="none"/>
                <w:lang w:val="zh-CN"/>
              </w:rPr>
            </w:pPr>
            <w:r>
              <w:rPr>
                <w:rFonts w:hint="eastAsia"/>
                <w:b/>
                <w:highlight w:val="none"/>
                <w:lang w:val="zh-CN"/>
              </w:rPr>
              <w:t>条款名称</w:t>
            </w:r>
          </w:p>
        </w:tc>
        <w:tc>
          <w:tcPr>
            <w:tcW w:w="6454" w:type="dxa"/>
            <w:vAlign w:val="center"/>
          </w:tcPr>
          <w:p>
            <w:pPr>
              <w:pStyle w:val="149"/>
              <w:spacing w:line="360" w:lineRule="auto"/>
              <w:jc w:val="center"/>
              <w:rPr>
                <w:b/>
                <w:highlight w:val="none"/>
                <w:lang w:val="zh-CN"/>
              </w:rPr>
            </w:pPr>
            <w:r>
              <w:rPr>
                <w:rFonts w:hint="eastAsia"/>
                <w:b/>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11" w:hRule="exac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spacing w:line="360" w:lineRule="auto"/>
              <w:ind w:right="210" w:rightChars="100"/>
              <w:rPr>
                <w:rFonts w:ascii="宋体" w:hAnsi="宋体" w:cs="宋体"/>
                <w:sz w:val="24"/>
                <w:szCs w:val="24"/>
                <w:highlight w:val="none"/>
              </w:rPr>
            </w:pPr>
            <w:r>
              <w:rPr>
                <w:rFonts w:hint="eastAsia" w:ascii="宋体" w:hAnsi="宋体" w:cs="宋体"/>
                <w:sz w:val="24"/>
                <w:szCs w:val="24"/>
                <w:highlight w:val="none"/>
              </w:rPr>
              <w:t>采购预算</w:t>
            </w:r>
          </w:p>
          <w:p>
            <w:pPr>
              <w:spacing w:line="360" w:lineRule="auto"/>
              <w:ind w:right="210" w:rightChars="100"/>
              <w:rPr>
                <w:rFonts w:ascii="宋体" w:hAnsi="宋体" w:cs="宋体"/>
                <w:sz w:val="24"/>
                <w:szCs w:val="24"/>
                <w:highlight w:val="none"/>
              </w:rPr>
            </w:pPr>
            <w:r>
              <w:rPr>
                <w:rFonts w:hint="eastAsia" w:ascii="宋体" w:hAnsi="宋体" w:cs="宋体"/>
                <w:sz w:val="24"/>
                <w:szCs w:val="24"/>
                <w:highlight w:val="none"/>
                <w:lang w:val="zh-CN"/>
              </w:rPr>
              <w:t>（实质性要求）</w:t>
            </w:r>
          </w:p>
        </w:tc>
        <w:tc>
          <w:tcPr>
            <w:tcW w:w="6454" w:type="dxa"/>
            <w:vAlign w:val="center"/>
          </w:tcPr>
          <w:p>
            <w:pPr>
              <w:spacing w:line="360" w:lineRule="auto"/>
              <w:ind w:right="210"/>
              <w:jc w:val="left"/>
              <w:rPr>
                <w:rFonts w:ascii="宋体" w:hAnsi="宋体" w:cs="宋体"/>
                <w:b/>
                <w:sz w:val="24"/>
                <w:szCs w:val="24"/>
                <w:highlight w:val="none"/>
              </w:rPr>
            </w:pPr>
            <w:r>
              <w:rPr>
                <w:rFonts w:hint="eastAsia" w:ascii="宋体" w:hAnsi="宋体" w:cs="宋体"/>
                <w:b/>
                <w:sz w:val="24"/>
                <w:szCs w:val="24"/>
                <w:highlight w:val="none"/>
                <w:u w:val="single"/>
              </w:rPr>
              <w:t>1087万</w:t>
            </w:r>
            <w:r>
              <w:rPr>
                <w:rFonts w:hint="eastAsia" w:ascii="宋体" w:hAnsi="宋体" w:cs="宋体"/>
                <w:b/>
                <w:sz w:val="24"/>
                <w:szCs w:val="24"/>
                <w:highlight w:val="none"/>
              </w:rPr>
              <w:t>元（其中包件5为</w:t>
            </w:r>
            <w:r>
              <w:rPr>
                <w:rFonts w:hint="eastAsia" w:ascii="宋体" w:hAnsi="宋体" w:cs="宋体"/>
                <w:b/>
                <w:sz w:val="24"/>
                <w:szCs w:val="24"/>
                <w:highlight w:val="none"/>
                <w:u w:val="single"/>
              </w:rPr>
              <w:t>140</w:t>
            </w:r>
            <w:r>
              <w:rPr>
                <w:rFonts w:hint="eastAsia" w:ascii="宋体" w:hAnsi="宋体" w:cs="宋体"/>
                <w:b/>
                <w:sz w:val="24"/>
                <w:szCs w:val="24"/>
                <w:highlight w:val="none"/>
              </w:rPr>
              <w:t>万元；包件7为</w:t>
            </w:r>
            <w:r>
              <w:rPr>
                <w:rFonts w:hint="eastAsia" w:ascii="宋体" w:hAnsi="宋体" w:cs="宋体"/>
                <w:b/>
                <w:sz w:val="24"/>
                <w:szCs w:val="24"/>
                <w:highlight w:val="none"/>
                <w:u w:val="single"/>
              </w:rPr>
              <w:t>200</w:t>
            </w:r>
            <w:r>
              <w:rPr>
                <w:rFonts w:hint="eastAsia" w:ascii="宋体" w:hAnsi="宋体" w:cs="宋体"/>
                <w:b/>
                <w:sz w:val="24"/>
                <w:szCs w:val="24"/>
                <w:highlight w:val="none"/>
              </w:rPr>
              <w:t>万元）。</w:t>
            </w:r>
          </w:p>
          <w:p>
            <w:pPr>
              <w:spacing w:line="360" w:lineRule="auto"/>
              <w:ind w:right="210"/>
              <w:jc w:val="left"/>
              <w:rPr>
                <w:rFonts w:ascii="宋体" w:hAnsi="宋体" w:cs="宋体"/>
                <w:b/>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51" w:hRule="exac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left="38"/>
              <w:jc w:val="both"/>
              <w:rPr>
                <w:highlight w:val="none"/>
                <w:lang w:val="zh-CN"/>
              </w:rPr>
            </w:pPr>
            <w:r>
              <w:rPr>
                <w:rFonts w:hint="eastAsia"/>
                <w:highlight w:val="none"/>
                <w:lang w:val="zh-CN"/>
              </w:rPr>
              <w:t>最高限价</w:t>
            </w:r>
          </w:p>
          <w:p>
            <w:pPr>
              <w:pStyle w:val="149"/>
              <w:spacing w:line="360" w:lineRule="auto"/>
              <w:jc w:val="both"/>
              <w:rPr>
                <w:highlight w:val="none"/>
                <w:lang w:val="zh-CN"/>
              </w:rPr>
            </w:pPr>
            <w:r>
              <w:rPr>
                <w:rFonts w:hint="eastAsia"/>
                <w:highlight w:val="none"/>
                <w:lang w:val="zh-CN"/>
              </w:rPr>
              <w:t>（实质性要求）</w:t>
            </w:r>
          </w:p>
        </w:tc>
        <w:tc>
          <w:tcPr>
            <w:tcW w:w="6454" w:type="dxa"/>
            <w:vAlign w:val="center"/>
          </w:tcPr>
          <w:p>
            <w:pPr>
              <w:pStyle w:val="149"/>
              <w:spacing w:line="360" w:lineRule="auto"/>
              <w:ind w:right="210" w:rightChars="100"/>
              <w:jc w:val="both"/>
              <w:rPr>
                <w:b/>
                <w:highlight w:val="none"/>
                <w:lang w:val="zh-CN"/>
              </w:rPr>
            </w:pPr>
            <w:r>
              <w:rPr>
                <w:rFonts w:hint="eastAsia"/>
                <w:b/>
                <w:highlight w:val="none"/>
                <w:lang w:val="zh-CN"/>
              </w:rPr>
              <w:t>包件</w:t>
            </w:r>
            <w:r>
              <w:rPr>
                <w:rFonts w:hint="eastAsia"/>
                <w:b/>
                <w:highlight w:val="none"/>
              </w:rPr>
              <w:t>5</w:t>
            </w:r>
            <w:r>
              <w:rPr>
                <w:rFonts w:hint="eastAsia"/>
                <w:b/>
                <w:highlight w:val="none"/>
                <w:lang w:val="zh-CN"/>
              </w:rPr>
              <w:t>最高限价为【</w:t>
            </w:r>
            <w:r>
              <w:rPr>
                <w:rFonts w:hint="eastAsia"/>
                <w:b/>
                <w:highlight w:val="none"/>
                <w:u w:val="single"/>
              </w:rPr>
              <w:t>140</w:t>
            </w:r>
            <w:r>
              <w:rPr>
                <w:rFonts w:hint="eastAsia"/>
                <w:b/>
                <w:highlight w:val="none"/>
              </w:rPr>
              <w:t>万元</w:t>
            </w:r>
            <w:r>
              <w:rPr>
                <w:rFonts w:hint="eastAsia"/>
                <w:b/>
                <w:highlight w:val="none"/>
                <w:lang w:val="zh-CN"/>
              </w:rPr>
              <w:t>】；包件</w:t>
            </w:r>
            <w:r>
              <w:rPr>
                <w:rFonts w:hint="eastAsia"/>
                <w:b/>
                <w:highlight w:val="none"/>
              </w:rPr>
              <w:t>7</w:t>
            </w:r>
            <w:r>
              <w:rPr>
                <w:rFonts w:hint="eastAsia"/>
                <w:b/>
                <w:highlight w:val="none"/>
                <w:lang w:val="zh-CN"/>
              </w:rPr>
              <w:t>最高限价为【</w:t>
            </w:r>
            <w:r>
              <w:rPr>
                <w:rFonts w:hint="eastAsia"/>
                <w:b/>
                <w:highlight w:val="none"/>
                <w:u w:val="single"/>
              </w:rPr>
              <w:t>200</w:t>
            </w:r>
            <w:r>
              <w:rPr>
                <w:rFonts w:hint="eastAsia"/>
                <w:b/>
                <w:highlight w:val="none"/>
              </w:rPr>
              <w:t>万元</w:t>
            </w:r>
            <w:r>
              <w:rPr>
                <w:rFonts w:hint="eastAsia"/>
                <w:b/>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left="38"/>
              <w:jc w:val="both"/>
              <w:rPr>
                <w:highlight w:val="none"/>
                <w:lang w:val="zh-CN"/>
              </w:rPr>
            </w:pPr>
            <w:r>
              <w:rPr>
                <w:rFonts w:hint="eastAsia"/>
                <w:highlight w:val="none"/>
                <w:lang w:val="zh-CN"/>
              </w:rPr>
              <w:t>采购方式</w:t>
            </w:r>
          </w:p>
        </w:tc>
        <w:tc>
          <w:tcPr>
            <w:tcW w:w="6454" w:type="dxa"/>
            <w:vAlign w:val="center"/>
          </w:tcPr>
          <w:p>
            <w:pPr>
              <w:pStyle w:val="149"/>
              <w:spacing w:line="360" w:lineRule="auto"/>
              <w:jc w:val="both"/>
              <w:rPr>
                <w:highlight w:val="none"/>
                <w:lang w:val="zh-CN"/>
              </w:rPr>
            </w:pPr>
            <w:r>
              <w:rPr>
                <w:rFonts w:hint="eastAsia"/>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jc w:val="both"/>
              <w:rPr>
                <w:highlight w:val="none"/>
                <w:lang w:val="zh-CN"/>
              </w:rPr>
            </w:pPr>
            <w:r>
              <w:rPr>
                <w:rFonts w:hint="eastAsia"/>
                <w:highlight w:val="none"/>
                <w:lang w:val="zh-CN"/>
              </w:rPr>
              <w:t>评标方法</w:t>
            </w:r>
          </w:p>
        </w:tc>
        <w:tc>
          <w:tcPr>
            <w:tcW w:w="6454" w:type="dxa"/>
            <w:vAlign w:val="center"/>
          </w:tcPr>
          <w:p>
            <w:pPr>
              <w:pStyle w:val="149"/>
              <w:spacing w:line="360" w:lineRule="auto"/>
              <w:jc w:val="both"/>
              <w:rPr>
                <w:highlight w:val="none"/>
                <w:lang w:val="zh-CN"/>
              </w:rPr>
            </w:pPr>
            <w:r>
              <w:rPr>
                <w:rFonts w:hint="eastAsia"/>
                <w:highlight w:val="none"/>
                <w:lang w:val="zh-CN"/>
              </w:rPr>
              <w:t xml:space="preserve">综合评分法(详见第6章)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低于成本价不正当竞争预防措施</w:t>
            </w:r>
          </w:p>
          <w:p>
            <w:pPr>
              <w:pStyle w:val="149"/>
              <w:spacing w:line="360" w:lineRule="auto"/>
              <w:ind w:left="210" w:right="210" w:rightChars="100"/>
              <w:jc w:val="both"/>
              <w:rPr>
                <w:kern w:val="2"/>
                <w:highlight w:val="none"/>
                <w:lang w:val="zh-CN"/>
              </w:rPr>
            </w:pPr>
            <w:r>
              <w:rPr>
                <w:rFonts w:hint="eastAsia"/>
                <w:highlight w:val="none"/>
                <w:lang w:val="zh-CN"/>
              </w:rPr>
              <w:t>（实质性要求）</w:t>
            </w:r>
          </w:p>
        </w:tc>
        <w:tc>
          <w:tcPr>
            <w:tcW w:w="6454" w:type="dxa"/>
            <w:vAlign w:val="center"/>
          </w:tcPr>
          <w:p>
            <w:pPr>
              <w:pStyle w:val="149"/>
              <w:spacing w:line="360" w:lineRule="auto"/>
              <w:jc w:val="both"/>
              <w:rPr>
                <w:highlight w:val="none"/>
                <w:lang w:val="zh-CN"/>
              </w:rPr>
            </w:pPr>
            <w:r>
              <w:rPr>
                <w:rFonts w:hint="eastAsia"/>
                <w:highlight w:val="none"/>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处理。（供应商应自行衡量并准备相关证明材料）</w:t>
            </w:r>
          </w:p>
          <w:p>
            <w:pPr>
              <w:pStyle w:val="149"/>
              <w:spacing w:line="360" w:lineRule="auto"/>
              <w:jc w:val="both"/>
              <w:rPr>
                <w:kern w:val="2"/>
                <w:highlight w:val="none"/>
              </w:rPr>
            </w:pPr>
            <w:r>
              <w:rPr>
                <w:rFonts w:hint="eastAsia"/>
                <w:highlight w:val="none"/>
                <w:lang w:val="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小微企业价格扣除</w:t>
            </w:r>
          </w:p>
        </w:tc>
        <w:tc>
          <w:tcPr>
            <w:tcW w:w="6454" w:type="dxa"/>
            <w:vAlign w:val="center"/>
          </w:tcPr>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1、根据《关于印发&lt;政府采购促进中小企业发展管理办法&gt;的通知》(财库〔2020〕46号的规定，对小型和微型企业生产的产品给予10%的价格扣除，用扣除后的价格参与评标。</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2、投标人应按格式要求如实填写提供《中小企业声明函》原件。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监狱企业价格扣除</w:t>
            </w:r>
          </w:p>
        </w:tc>
        <w:tc>
          <w:tcPr>
            <w:tcW w:w="6454" w:type="dxa"/>
            <w:vAlign w:val="center"/>
          </w:tcPr>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１、根据《关于政府采购支持监狱企业发展有关问题的通知》（财库[2014]68号）的规定，对监狱企业生产的产品给予10%的价格扣除，用扣除后的价格参与评标。</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２、投标产品中为监狱企业生产的产品应提供由省级以上监狱管理局、戒毒管理局（含新疆生产建设兵团）出具的生产厂商属于监狱企业的证明文件复印件。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残疾人福利性单位价格扣除</w:t>
            </w:r>
          </w:p>
        </w:tc>
        <w:tc>
          <w:tcPr>
            <w:tcW w:w="6454" w:type="dxa"/>
            <w:vAlign w:val="center"/>
          </w:tcPr>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1、根据《关于促进残疾人就业政府采购政策的通知》（财库[2017]141号）的规定，残疾人福利性单位视同小型和微型企业，对残疾人福利性单位生产的产品给予</w:t>
            </w:r>
            <w:r>
              <w:rPr>
                <w:rFonts w:hint="eastAsia" w:ascii="宋体" w:hAnsi="宋体" w:cs="宋体"/>
                <w:kern w:val="0"/>
                <w:sz w:val="24"/>
                <w:szCs w:val="24"/>
                <w:highlight w:val="none"/>
              </w:rPr>
              <w:t>10</w:t>
            </w:r>
            <w:r>
              <w:rPr>
                <w:rFonts w:hint="eastAsia" w:ascii="宋体" w:hAnsi="宋体" w:cs="宋体"/>
                <w:kern w:val="0"/>
                <w:sz w:val="24"/>
                <w:szCs w:val="24"/>
                <w:highlight w:val="none"/>
                <w:lang w:val="zh-CN"/>
              </w:rPr>
              <w:t>%的价格扣除，用扣除后的价格参与评标。</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2、投标人应提供《残疾人福利性单位声明函》原件。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rPr>
                <w:highlight w:val="none"/>
                <w:lang w:val="zh-CN"/>
              </w:rPr>
            </w:pPr>
            <w:r>
              <w:rPr>
                <w:rFonts w:hint="eastAsia"/>
                <w:highlight w:val="none"/>
                <w:lang w:val="zh-CN"/>
              </w:rPr>
              <w:t>评标情况公告</w:t>
            </w:r>
          </w:p>
        </w:tc>
        <w:tc>
          <w:tcPr>
            <w:tcW w:w="6454" w:type="dxa"/>
            <w:vAlign w:val="center"/>
          </w:tcPr>
          <w:p>
            <w:pPr>
              <w:widowControl/>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按照《中华人民共和国政府采购法实施条例》等相关规定，在指定网站公示相关评标（评审）情况。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进口产品</w:t>
            </w:r>
          </w:p>
        </w:tc>
        <w:tc>
          <w:tcPr>
            <w:tcW w:w="6454" w:type="dxa"/>
            <w:vAlign w:val="center"/>
          </w:tcPr>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本项目不允许采购进口产品。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投标保证金</w:t>
            </w:r>
          </w:p>
        </w:tc>
        <w:tc>
          <w:tcPr>
            <w:tcW w:w="6454" w:type="dxa"/>
          </w:tcPr>
          <w:p>
            <w:pPr>
              <w:pStyle w:val="149"/>
              <w:spacing w:line="360" w:lineRule="auto"/>
              <w:ind w:right="210" w:rightChars="100"/>
              <w:rPr>
                <w:highlight w:val="none"/>
                <w:lang w:val="zh-CN"/>
              </w:rPr>
            </w:pPr>
            <w:r>
              <w:rPr>
                <w:rFonts w:hint="eastAsia"/>
                <w:highlight w:val="none"/>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投标有效期</w:t>
            </w:r>
          </w:p>
        </w:tc>
        <w:tc>
          <w:tcPr>
            <w:tcW w:w="6454" w:type="dxa"/>
            <w:vAlign w:val="center"/>
          </w:tcPr>
          <w:p>
            <w:pPr>
              <w:pStyle w:val="149"/>
              <w:spacing w:line="360" w:lineRule="auto"/>
              <w:ind w:right="210" w:rightChars="100"/>
              <w:jc w:val="both"/>
              <w:rPr>
                <w:highlight w:val="none"/>
                <w:lang w:val="zh-CN"/>
              </w:rPr>
            </w:pPr>
            <w:r>
              <w:rPr>
                <w:rFonts w:hint="eastAsia"/>
                <w:highlight w:val="none"/>
              </w:rPr>
              <w:t>投标截止之日起</w:t>
            </w:r>
            <w:r>
              <w:rPr>
                <w:rFonts w:hint="eastAsia"/>
                <w:highlight w:val="none"/>
                <w:u w:val="single"/>
              </w:rPr>
              <w:t xml:space="preserve"> 120</w:t>
            </w:r>
            <w:r>
              <w:rPr>
                <w:rFonts w:hint="eastAsia"/>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备选投标方案和报价</w:t>
            </w:r>
          </w:p>
        </w:tc>
        <w:tc>
          <w:tcPr>
            <w:tcW w:w="6454" w:type="dxa"/>
            <w:vAlign w:val="center"/>
          </w:tcPr>
          <w:p>
            <w:pPr>
              <w:pStyle w:val="149"/>
              <w:spacing w:line="360" w:lineRule="auto"/>
              <w:ind w:right="210" w:rightChars="100"/>
              <w:jc w:val="both"/>
              <w:rPr>
                <w:highlight w:val="none"/>
                <w:lang w:val="zh-CN"/>
              </w:rPr>
            </w:pPr>
            <w:r>
              <w:rPr>
                <w:rFonts w:hint="eastAsia"/>
                <w:highlight w:val="none"/>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vAlign w:val="center"/>
          </w:tcPr>
          <w:p>
            <w:pPr>
              <w:pStyle w:val="149"/>
              <w:spacing w:line="360" w:lineRule="auto"/>
              <w:ind w:right="210" w:rightChars="100"/>
              <w:jc w:val="both"/>
              <w:rPr>
                <w:highlight w:val="none"/>
                <w:lang w:val="zh-CN"/>
              </w:rPr>
            </w:pPr>
            <w:r>
              <w:rPr>
                <w:rFonts w:hint="eastAsia"/>
                <w:highlight w:val="none"/>
                <w:lang w:val="zh-CN"/>
              </w:rPr>
              <w:t>投标文件份数</w:t>
            </w:r>
          </w:p>
        </w:tc>
        <w:tc>
          <w:tcPr>
            <w:tcW w:w="6454" w:type="dxa"/>
            <w:vAlign w:val="center"/>
          </w:tcPr>
          <w:p>
            <w:pPr>
              <w:pStyle w:val="149"/>
              <w:spacing w:line="360" w:lineRule="auto"/>
              <w:ind w:right="210" w:rightChars="100"/>
              <w:jc w:val="both"/>
              <w:rPr>
                <w:highlight w:val="none"/>
                <w:lang w:val="zh-CN"/>
              </w:rPr>
            </w:pPr>
            <w:r>
              <w:rPr>
                <w:rFonts w:hint="eastAsia"/>
                <w:highlight w:val="none"/>
                <w:lang w:val="zh-CN"/>
              </w:rPr>
              <w:t>正本1份，副本</w:t>
            </w:r>
            <w:r>
              <w:rPr>
                <w:rFonts w:hint="eastAsia"/>
                <w:highlight w:val="none"/>
              </w:rPr>
              <w:t>2</w:t>
            </w:r>
            <w:r>
              <w:rPr>
                <w:rFonts w:hint="eastAsia"/>
                <w:highlight w:val="none"/>
                <w:lang w:val="zh-CN"/>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Pr>
          <w:p>
            <w:pPr>
              <w:pStyle w:val="149"/>
              <w:spacing w:line="360" w:lineRule="auto"/>
              <w:ind w:right="210" w:rightChars="100"/>
              <w:jc w:val="both"/>
              <w:rPr>
                <w:highlight w:val="none"/>
                <w:lang w:val="zh-CN"/>
              </w:rPr>
            </w:pPr>
            <w:r>
              <w:rPr>
                <w:rFonts w:hint="eastAsia"/>
                <w:highlight w:val="none"/>
                <w:lang w:val="zh-CN"/>
              </w:rPr>
              <w:t>投标文件的印制和签署</w:t>
            </w:r>
          </w:p>
        </w:tc>
        <w:tc>
          <w:tcPr>
            <w:tcW w:w="6454" w:type="dxa"/>
          </w:tcPr>
          <w:p>
            <w:pPr>
              <w:pStyle w:val="149"/>
              <w:spacing w:line="360" w:lineRule="auto"/>
              <w:ind w:right="210" w:rightChars="100"/>
              <w:jc w:val="both"/>
              <w:rPr>
                <w:highlight w:val="none"/>
                <w:lang w:val="zh-CN"/>
              </w:rPr>
            </w:pPr>
            <w:r>
              <w:rPr>
                <w:rFonts w:hint="eastAsia"/>
                <w:highlight w:val="none"/>
                <w:lang w:val="zh-CN"/>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Pr>
          <w:p>
            <w:pPr>
              <w:pStyle w:val="149"/>
              <w:spacing w:line="360" w:lineRule="auto"/>
              <w:ind w:right="210" w:rightChars="100"/>
              <w:jc w:val="both"/>
              <w:rPr>
                <w:highlight w:val="none"/>
                <w:lang w:val="zh-CN"/>
              </w:rPr>
            </w:pPr>
            <w:r>
              <w:rPr>
                <w:rFonts w:hint="eastAsia"/>
                <w:highlight w:val="none"/>
                <w:lang w:val="zh-CN"/>
              </w:rPr>
              <w:t>投标文件的包装、密封、标注</w:t>
            </w:r>
          </w:p>
        </w:tc>
        <w:tc>
          <w:tcPr>
            <w:tcW w:w="6454" w:type="dxa"/>
          </w:tcPr>
          <w:p>
            <w:pPr>
              <w:pStyle w:val="149"/>
              <w:spacing w:line="360" w:lineRule="auto"/>
              <w:ind w:right="210" w:rightChars="100"/>
              <w:jc w:val="both"/>
              <w:rPr>
                <w:highlight w:val="none"/>
                <w:lang w:val="zh-CN"/>
              </w:rPr>
            </w:pPr>
            <w:r>
              <w:rPr>
                <w:rFonts w:hint="eastAsia"/>
                <w:highlight w:val="none"/>
                <w:lang w:val="zh-CN"/>
              </w:rPr>
              <w:t>详见投标人须知2.4.12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Pr>
          <w:p>
            <w:pPr>
              <w:pStyle w:val="149"/>
              <w:spacing w:line="360" w:lineRule="auto"/>
              <w:ind w:right="210" w:rightChars="100"/>
              <w:jc w:val="both"/>
              <w:rPr>
                <w:highlight w:val="none"/>
                <w:lang w:val="zh-CN"/>
              </w:rPr>
            </w:pPr>
            <w:r>
              <w:rPr>
                <w:rFonts w:hint="eastAsia"/>
                <w:highlight w:val="none"/>
                <w:lang w:val="zh-CN"/>
              </w:rPr>
              <w:t>采购文件咨询</w:t>
            </w:r>
          </w:p>
        </w:tc>
        <w:tc>
          <w:tcPr>
            <w:tcW w:w="6454" w:type="dxa"/>
          </w:tcPr>
          <w:p>
            <w:pPr>
              <w:pStyle w:val="149"/>
              <w:spacing w:line="360" w:lineRule="auto"/>
              <w:ind w:right="210" w:rightChars="100"/>
              <w:jc w:val="both"/>
              <w:rPr>
                <w:highlight w:val="none"/>
                <w:lang w:val="zh-CN"/>
              </w:rPr>
            </w:pPr>
            <w:r>
              <w:rPr>
                <w:rFonts w:hint="eastAsia"/>
                <w:highlight w:val="none"/>
                <w:lang w:val="zh-CN"/>
              </w:rPr>
              <w:t>联系人：乔先生。       联系电话：028-67171868。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784" w:type="dxa"/>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Pr>
          <w:p>
            <w:pPr>
              <w:pStyle w:val="149"/>
              <w:spacing w:line="360" w:lineRule="auto"/>
              <w:ind w:right="210" w:rightChars="100"/>
              <w:jc w:val="both"/>
              <w:rPr>
                <w:highlight w:val="none"/>
                <w:lang w:val="zh-CN"/>
              </w:rPr>
            </w:pPr>
            <w:r>
              <w:rPr>
                <w:rFonts w:hint="eastAsia"/>
                <w:highlight w:val="none"/>
                <w:lang w:val="zh-CN"/>
              </w:rPr>
              <w:t>开、评标工作咨询</w:t>
            </w:r>
          </w:p>
        </w:tc>
        <w:tc>
          <w:tcPr>
            <w:tcW w:w="6454" w:type="dxa"/>
          </w:tcPr>
          <w:p>
            <w:pPr>
              <w:pStyle w:val="149"/>
              <w:spacing w:line="360" w:lineRule="auto"/>
              <w:ind w:right="210" w:rightChars="100"/>
              <w:jc w:val="both"/>
              <w:rPr>
                <w:highlight w:val="none"/>
                <w:lang w:val="zh-CN"/>
              </w:rPr>
            </w:pPr>
            <w:r>
              <w:rPr>
                <w:rFonts w:hint="eastAsia"/>
                <w:highlight w:val="none"/>
                <w:lang w:val="zh-CN"/>
              </w:rPr>
              <w:t>联系人：乔先生。       联系电话：028-67171868。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784" w:type="dxa"/>
            <w:tcBorders>
              <w:top w:val="single" w:color="auto" w:sz="8" w:space="0"/>
              <w:left w:val="single" w:color="auto" w:sz="18" w:space="0"/>
              <w:bottom w:val="single" w:color="auto" w:sz="8" w:space="0"/>
              <w:right w:val="single" w:color="auto" w:sz="8" w:space="0"/>
            </w:tcBorders>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highlight w:val="none"/>
                <w:lang w:val="zh-CN"/>
              </w:rPr>
            </w:pPr>
            <w:r>
              <w:rPr>
                <w:rFonts w:hint="eastAsia"/>
                <w:highlight w:val="none"/>
              </w:rPr>
              <w:t>中标通知书领取</w:t>
            </w:r>
          </w:p>
        </w:tc>
        <w:tc>
          <w:tcPr>
            <w:tcW w:w="6454" w:type="dxa"/>
            <w:tcBorders>
              <w:top w:val="single" w:color="auto" w:sz="8" w:space="0"/>
              <w:left w:val="single" w:color="auto" w:sz="8" w:space="0"/>
              <w:bottom w:val="single" w:color="auto" w:sz="8" w:space="0"/>
              <w:right w:val="single" w:color="auto" w:sz="18" w:space="0"/>
            </w:tcBorders>
            <w:vAlign w:val="center"/>
          </w:tcPr>
          <w:p>
            <w:pPr>
              <w:spacing w:line="400" w:lineRule="exact"/>
              <w:rPr>
                <w:rFonts w:ascii="宋体" w:hAnsi="宋体" w:cs="宋体"/>
                <w:sz w:val="24"/>
                <w:szCs w:val="24"/>
                <w:highlight w:val="none"/>
              </w:rPr>
            </w:pPr>
            <w:r>
              <w:rPr>
                <w:rFonts w:hint="eastAsia" w:ascii="宋体" w:hAnsi="宋体" w:cs="宋体"/>
                <w:sz w:val="24"/>
                <w:szCs w:val="24"/>
                <w:highlight w:val="none"/>
              </w:rPr>
              <w:t>中标公告在四川政府采购网上公告后，请中标人凭有效身份证明证件到</w:t>
            </w:r>
            <w:r>
              <w:rPr>
                <w:rFonts w:hint="eastAsia" w:ascii="宋体" w:hAnsi="宋体" w:cs="宋体"/>
                <w:sz w:val="24"/>
                <w:szCs w:val="24"/>
                <w:highlight w:val="none"/>
                <w:lang w:val="zh-CN"/>
              </w:rPr>
              <w:t>四川正汇恒招标代理有限公司</w:t>
            </w:r>
            <w:r>
              <w:rPr>
                <w:rFonts w:hint="eastAsia" w:ascii="宋体" w:hAnsi="宋体" w:cs="宋体"/>
                <w:sz w:val="24"/>
                <w:szCs w:val="24"/>
                <w:highlight w:val="none"/>
              </w:rPr>
              <w:t>领取中标通知书。</w:t>
            </w:r>
          </w:p>
          <w:p>
            <w:pPr>
              <w:spacing w:line="400" w:lineRule="exact"/>
              <w:rPr>
                <w:rFonts w:ascii="宋体" w:hAnsi="宋体" w:cs="宋体"/>
                <w:sz w:val="24"/>
                <w:szCs w:val="24"/>
                <w:highlight w:val="none"/>
                <w:lang w:val="zh-CN"/>
              </w:rPr>
            </w:pPr>
            <w:r>
              <w:rPr>
                <w:rFonts w:hint="eastAsia" w:ascii="宋体" w:hAnsi="宋体" w:cs="宋体"/>
                <w:sz w:val="24"/>
                <w:szCs w:val="24"/>
                <w:highlight w:val="none"/>
                <w:lang w:val="zh-CN"/>
              </w:rPr>
              <w:t>联系人：</w:t>
            </w:r>
            <w:r>
              <w:rPr>
                <w:rFonts w:hint="eastAsia" w:ascii="宋体" w:hAnsi="宋体" w:cs="宋体"/>
                <w:sz w:val="24"/>
                <w:szCs w:val="24"/>
                <w:highlight w:val="none"/>
              </w:rPr>
              <w:t>周</w:t>
            </w:r>
            <w:r>
              <w:rPr>
                <w:rFonts w:hint="eastAsia" w:ascii="宋体" w:hAnsi="宋体" w:cs="宋体"/>
                <w:sz w:val="24"/>
                <w:szCs w:val="24"/>
                <w:highlight w:val="none"/>
                <w:lang w:val="zh-CN"/>
              </w:rPr>
              <w:t>女士。</w:t>
            </w:r>
          </w:p>
          <w:p>
            <w:pPr>
              <w:spacing w:line="400" w:lineRule="exact"/>
              <w:rPr>
                <w:rFonts w:ascii="宋体" w:hAnsi="宋体" w:cs="宋体"/>
                <w:sz w:val="24"/>
                <w:szCs w:val="24"/>
                <w:highlight w:val="none"/>
                <w:lang w:val="zh-CN"/>
              </w:rPr>
            </w:pPr>
            <w:r>
              <w:rPr>
                <w:rFonts w:hint="eastAsia" w:ascii="宋体" w:hAnsi="宋体" w:cs="宋体"/>
                <w:sz w:val="24"/>
                <w:szCs w:val="24"/>
                <w:highlight w:val="none"/>
                <w:lang w:val="zh-CN"/>
              </w:rPr>
              <w:t>联系电话：028-</w:t>
            </w:r>
            <w:r>
              <w:rPr>
                <w:rFonts w:hint="eastAsia" w:ascii="宋体" w:hAnsi="宋体" w:cs="宋体"/>
                <w:sz w:val="24"/>
                <w:szCs w:val="24"/>
                <w:highlight w:val="none"/>
              </w:rPr>
              <w:t>67171868</w:t>
            </w:r>
            <w:r>
              <w:rPr>
                <w:rFonts w:hint="eastAsia" w:ascii="宋体" w:hAnsi="宋体" w:cs="宋体"/>
                <w:sz w:val="24"/>
                <w:szCs w:val="24"/>
                <w:highlight w:val="none"/>
                <w:lang w:val="zh-CN"/>
              </w:rPr>
              <w:t>。</w:t>
            </w:r>
          </w:p>
          <w:p>
            <w:pPr>
              <w:spacing w:line="400" w:lineRule="exact"/>
              <w:rPr>
                <w:rFonts w:ascii="宋体" w:hAnsi="宋体" w:cs="宋体"/>
                <w:sz w:val="24"/>
                <w:szCs w:val="24"/>
                <w:highlight w:val="none"/>
                <w:lang w:val="zh-CN"/>
              </w:rPr>
            </w:pPr>
            <w:r>
              <w:rPr>
                <w:rFonts w:hint="eastAsia" w:ascii="宋体" w:hAnsi="宋体" w:cs="宋体"/>
                <w:sz w:val="24"/>
                <w:szCs w:val="24"/>
                <w:highlight w:val="none"/>
                <w:lang w:val="zh-CN"/>
              </w:rPr>
              <w:t>地址：成都市高新区天府三街吉泰路666号T1-9</w:t>
            </w:r>
            <w:r>
              <w:rPr>
                <w:rFonts w:hint="eastAsia" w:ascii="宋体" w:hAnsi="宋体" w:cs="宋体"/>
                <w:sz w:val="24"/>
                <w:szCs w:val="24"/>
                <w:highlight w:val="none"/>
              </w:rPr>
              <w:t>10</w:t>
            </w:r>
            <w:r>
              <w:rPr>
                <w:rFonts w:hint="eastAsia" w:ascii="宋体" w:hAnsi="宋体" w:cs="宋体"/>
                <w:sz w:val="24"/>
                <w:szCs w:val="24"/>
                <w:highlight w:val="none"/>
                <w:lang w:val="zh-CN"/>
              </w:rPr>
              <w:t>(花样年福年广场)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784" w:type="dxa"/>
            <w:tcBorders>
              <w:top w:val="single" w:color="auto" w:sz="8" w:space="0"/>
              <w:left w:val="single" w:color="auto" w:sz="18" w:space="0"/>
              <w:bottom w:val="single" w:color="auto" w:sz="8" w:space="0"/>
              <w:right w:val="single" w:color="auto" w:sz="8" w:space="0"/>
            </w:tcBorders>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rPr>
              <w:t>投标人询问</w:t>
            </w:r>
          </w:p>
        </w:tc>
        <w:tc>
          <w:tcPr>
            <w:tcW w:w="6454"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根据本项目委托代理协议约定，投标人询问由四川正汇恒招标代理有限公司负责答复。</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联系人：乔先生。</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联系电话：028-67171868。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784" w:type="dxa"/>
            <w:tcBorders>
              <w:top w:val="single" w:color="auto" w:sz="8" w:space="0"/>
              <w:left w:val="single" w:color="auto" w:sz="18" w:space="0"/>
              <w:bottom w:val="single" w:color="auto" w:sz="8" w:space="0"/>
              <w:right w:val="single" w:color="auto" w:sz="8" w:space="0"/>
            </w:tcBorders>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rPr>
                <w:rFonts w:ascii="宋体" w:hAnsi="宋体" w:cs="宋体"/>
                <w:sz w:val="24"/>
                <w:szCs w:val="24"/>
                <w:highlight w:val="none"/>
              </w:rPr>
            </w:pPr>
            <w:r>
              <w:rPr>
                <w:rFonts w:hint="eastAsia" w:ascii="宋体" w:hAnsi="宋体" w:cs="宋体"/>
                <w:kern w:val="0"/>
                <w:sz w:val="24"/>
                <w:szCs w:val="24"/>
                <w:highlight w:val="none"/>
              </w:rPr>
              <w:t>投标人质疑</w:t>
            </w:r>
          </w:p>
        </w:tc>
        <w:tc>
          <w:tcPr>
            <w:tcW w:w="64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cs="宋体"/>
                <w:kern w:val="0"/>
                <w:sz w:val="24"/>
                <w:szCs w:val="24"/>
                <w:highlight w:val="none"/>
                <w:lang w:val="zh-CN"/>
              </w:rPr>
            </w:pPr>
            <w:r>
              <w:rPr>
                <w:rFonts w:hint="eastAsia" w:ascii="宋体" w:hAnsi="宋体" w:cs="宋体"/>
                <w:kern w:val="0"/>
                <w:sz w:val="24"/>
                <w:szCs w:val="24"/>
                <w:highlight w:val="none"/>
                <w:lang w:val="zh-CN"/>
              </w:rPr>
              <w:t>根据本项目委托代理协议约定，对于招标文件的质疑由采购人负责答复，对于采购过程、采购结果的质疑由四川正汇恒招标代理有限公司负责答复。</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 xml:space="preserve">联系人： </w:t>
            </w:r>
            <w:r>
              <w:rPr>
                <w:rFonts w:hint="eastAsia" w:ascii="宋体" w:hAnsi="宋体" w:cs="宋体"/>
                <w:kern w:val="0"/>
                <w:sz w:val="24"/>
                <w:szCs w:val="24"/>
                <w:highlight w:val="none"/>
              </w:rPr>
              <w:t>乔先生</w:t>
            </w:r>
            <w:r>
              <w:rPr>
                <w:rFonts w:hint="eastAsia" w:ascii="宋体" w:hAnsi="宋体" w:cs="宋体"/>
                <w:kern w:val="0"/>
                <w:sz w:val="24"/>
                <w:szCs w:val="24"/>
                <w:highlight w:val="none"/>
                <w:lang w:val="zh-CN"/>
              </w:rPr>
              <w:t>。联系电话：028-67171868。</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地址：成都市高新区天府三街吉泰路666号T1-910(花样年福年广场)</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邮编：610094。</w:t>
            </w:r>
          </w:p>
          <w:p>
            <w:pPr>
              <w:widowControl/>
              <w:spacing w:line="360" w:lineRule="auto"/>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注：</w:t>
            </w:r>
            <w:r>
              <w:rPr>
                <w:rFonts w:hint="eastAsia" w:ascii="宋体" w:hAnsi="宋体" w:cs="宋体"/>
                <w:kern w:val="0"/>
                <w:sz w:val="24"/>
                <w:szCs w:val="24"/>
                <w:highlight w:val="none"/>
              </w:rPr>
              <w:t>1、</w:t>
            </w:r>
            <w:r>
              <w:rPr>
                <w:rFonts w:hint="eastAsia" w:ascii="宋体" w:hAnsi="宋体" w:cs="宋体"/>
                <w:kern w:val="0"/>
                <w:sz w:val="24"/>
                <w:szCs w:val="24"/>
                <w:highlight w:val="none"/>
                <w:lang w:val="zh-CN"/>
              </w:rPr>
              <w:t>根据《中华人民共和国政府采购法》的规定，供应商质疑不得超出招标文件、采购过程、采购结果的范围；</w:t>
            </w:r>
          </w:p>
          <w:p>
            <w:pPr>
              <w:tabs>
                <w:tab w:val="left" w:pos="7665"/>
              </w:tabs>
              <w:snapToGrid w:val="0"/>
              <w:spacing w:line="360" w:lineRule="auto"/>
              <w:ind w:right="210"/>
              <w:rPr>
                <w:rFonts w:ascii="宋体" w:hAnsi="宋体" w:cs="宋体"/>
                <w:sz w:val="24"/>
                <w:szCs w:val="24"/>
                <w:highlight w:val="none"/>
              </w:rPr>
            </w:pPr>
            <w:r>
              <w:rPr>
                <w:rFonts w:hint="eastAsia" w:ascii="宋体" w:hAnsi="宋体" w:cs="宋体"/>
                <w:kern w:val="0"/>
                <w:sz w:val="24"/>
                <w:szCs w:val="24"/>
                <w:highlight w:val="none"/>
              </w:rPr>
              <w:t>2、</w:t>
            </w:r>
            <w:r>
              <w:rPr>
                <w:rFonts w:hint="eastAsia" w:ascii="宋体" w:hAnsi="宋体" w:cs="宋体"/>
                <w:kern w:val="0"/>
                <w:sz w:val="24"/>
                <w:szCs w:val="24"/>
                <w:highlight w:val="none"/>
                <w:lang w:val="zh-CN"/>
              </w:rPr>
              <w:t>供应商应在法定质疑期内一次性提出针对同一采购程序环节的质疑。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784" w:type="dxa"/>
            <w:tcBorders>
              <w:top w:val="single" w:color="auto" w:sz="8" w:space="0"/>
              <w:left w:val="single" w:color="auto" w:sz="18" w:space="0"/>
              <w:bottom w:val="single" w:color="auto" w:sz="8" w:space="0"/>
              <w:right w:val="single" w:color="auto" w:sz="8" w:space="0"/>
            </w:tcBorders>
            <w:vAlign w:val="center"/>
          </w:tcPr>
          <w:p>
            <w:pPr>
              <w:numPr>
                <w:ilvl w:val="0"/>
                <w:numId w:val="3"/>
              </w:numPr>
              <w:snapToGrid w:val="0"/>
              <w:spacing w:line="360" w:lineRule="auto"/>
              <w:jc w:val="center"/>
              <w:rPr>
                <w:rFonts w:ascii="宋体" w:hAnsi="宋体" w:cs="宋体"/>
                <w:sz w:val="24"/>
                <w:szCs w:val="24"/>
                <w:highlight w:val="none"/>
              </w:rPr>
            </w:pPr>
          </w:p>
        </w:tc>
        <w:tc>
          <w:tcPr>
            <w:tcW w:w="2268"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jc w:val="left"/>
              <w:rPr>
                <w:rFonts w:ascii="宋体" w:hAnsi="宋体" w:cs="宋体"/>
                <w:sz w:val="24"/>
                <w:szCs w:val="24"/>
                <w:highlight w:val="none"/>
              </w:rPr>
            </w:pPr>
            <w:r>
              <w:rPr>
                <w:rFonts w:hint="eastAsia" w:ascii="宋体" w:hAnsi="宋体" w:cs="宋体"/>
                <w:sz w:val="24"/>
                <w:szCs w:val="24"/>
                <w:highlight w:val="none"/>
              </w:rPr>
              <w:t>投标人投诉</w:t>
            </w:r>
          </w:p>
        </w:tc>
        <w:tc>
          <w:tcPr>
            <w:tcW w:w="645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10" w:rightChars="100" w:hanging="208" w:hangingChars="87"/>
              <w:rPr>
                <w:rFonts w:ascii="宋体" w:hAnsi="宋体" w:cs="宋体"/>
                <w:sz w:val="24"/>
                <w:szCs w:val="24"/>
                <w:highlight w:val="none"/>
              </w:rPr>
            </w:pPr>
            <w:r>
              <w:rPr>
                <w:rFonts w:hint="eastAsia" w:ascii="宋体" w:hAnsi="宋体" w:cs="宋体"/>
                <w:sz w:val="24"/>
                <w:szCs w:val="24"/>
                <w:highlight w:val="none"/>
              </w:rPr>
              <w:t>投诉受理单位：本项目同级财政部门，即</w:t>
            </w:r>
            <w:r>
              <w:rPr>
                <w:rFonts w:hint="eastAsia" w:ascii="宋体" w:hAnsi="宋体" w:cs="宋体"/>
                <w:sz w:val="24"/>
                <w:szCs w:val="24"/>
                <w:highlight w:val="none"/>
                <w:u w:val="single"/>
              </w:rPr>
              <w:t>成都市财政局</w:t>
            </w:r>
            <w:r>
              <w:rPr>
                <w:rFonts w:hint="eastAsia" w:ascii="宋体" w:hAnsi="宋体" w:cs="宋体"/>
                <w:sz w:val="24"/>
                <w:szCs w:val="24"/>
                <w:highlight w:val="none"/>
              </w:rPr>
              <w:t>。</w:t>
            </w:r>
          </w:p>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cs="宋体"/>
                <w:sz w:val="24"/>
                <w:szCs w:val="24"/>
                <w:highlight w:val="none"/>
                <w:u w:val="single"/>
              </w:rPr>
              <w:t>028-61882648</w:t>
            </w:r>
            <w:r>
              <w:rPr>
                <w:rFonts w:hint="eastAsia" w:ascii="宋体" w:hAnsi="宋体" w:cs="宋体"/>
                <w:sz w:val="24"/>
                <w:szCs w:val="24"/>
                <w:highlight w:val="none"/>
              </w:rPr>
              <w:t>。</w:t>
            </w:r>
          </w:p>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single"/>
              </w:rPr>
              <w:t>成都市锦城大道366号</w:t>
            </w:r>
            <w:r>
              <w:rPr>
                <w:rFonts w:hint="eastAsia" w:ascii="宋体" w:hAnsi="宋体" w:cs="宋体"/>
                <w:sz w:val="24"/>
                <w:szCs w:val="24"/>
                <w:highlight w:val="none"/>
              </w:rPr>
              <w:t>。</w:t>
            </w:r>
          </w:p>
          <w:p>
            <w:pPr>
              <w:tabs>
                <w:tab w:val="left" w:pos="7665"/>
              </w:tabs>
              <w:snapToGrid w:val="0"/>
              <w:spacing w:line="360" w:lineRule="auto"/>
              <w:rPr>
                <w:rFonts w:ascii="宋体" w:hAnsi="宋体" w:cs="宋体"/>
                <w:kern w:val="0"/>
                <w:sz w:val="24"/>
                <w:szCs w:val="24"/>
                <w:highlight w:val="none"/>
              </w:rPr>
            </w:pPr>
            <w:r>
              <w:rPr>
                <w:rFonts w:hint="eastAsia" w:ascii="宋体" w:hAnsi="宋体" w:cs="宋体"/>
                <w:sz w:val="24"/>
                <w:szCs w:val="24"/>
                <w:highlight w:val="none"/>
              </w:rPr>
              <w:t>邮编：</w:t>
            </w:r>
            <w:r>
              <w:rPr>
                <w:rFonts w:hint="eastAsia" w:ascii="宋体" w:hAnsi="宋体" w:cs="宋体"/>
                <w:sz w:val="24"/>
                <w:szCs w:val="24"/>
                <w:highlight w:val="none"/>
                <w:u w:val="single"/>
              </w:rPr>
              <w:t>610000</w:t>
            </w:r>
            <w:r>
              <w:rPr>
                <w:rFonts w:hint="eastAsia" w:ascii="宋体" w:hAnsi="宋体" w:cs="宋体"/>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jc w:val="left"/>
              <w:rPr>
                <w:rFonts w:ascii="宋体" w:hAnsi="宋体" w:cs="宋体"/>
                <w:sz w:val="24"/>
                <w:szCs w:val="24"/>
                <w:highlight w:val="none"/>
              </w:rPr>
            </w:pPr>
            <w:r>
              <w:rPr>
                <w:rFonts w:hint="eastAsia" w:ascii="宋体" w:hAnsi="宋体" w:cs="宋体"/>
                <w:sz w:val="24"/>
                <w:szCs w:val="24"/>
                <w:highlight w:val="none"/>
              </w:rPr>
              <w:t>政府采购合同公告、备案</w:t>
            </w:r>
          </w:p>
        </w:tc>
        <w:tc>
          <w:tcPr>
            <w:tcW w:w="645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采购人应当自政府采购合同签订之日起2个工作日内，在四川政府采购网公告政府采购合同；自政府采购合同签订之日起7个工作日内，将合同报本项目同级财政部门</w:t>
            </w:r>
            <w:r>
              <w:rPr>
                <w:rFonts w:hint="eastAsia" w:ascii="宋体" w:hAnsi="宋体" w:cs="宋体"/>
                <w:sz w:val="24"/>
                <w:szCs w:val="24"/>
                <w:highlight w:val="none"/>
                <w:lang w:val="zh-CN"/>
              </w:rPr>
              <w:t>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履约保证金</w:t>
            </w:r>
          </w:p>
        </w:tc>
        <w:tc>
          <w:tcPr>
            <w:tcW w:w="6454" w:type="dxa"/>
            <w:tcBorders>
              <w:top w:val="single" w:color="auto" w:sz="4" w:space="0"/>
              <w:left w:val="single" w:color="auto" w:sz="8" w:space="0"/>
              <w:bottom w:val="single" w:color="auto" w:sz="4" w:space="0"/>
              <w:right w:val="single" w:color="auto" w:sz="18" w:space="0"/>
            </w:tcBorders>
          </w:tcPr>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包件</w:t>
            </w:r>
            <w:r>
              <w:rPr>
                <w:rFonts w:hint="eastAsia" w:ascii="宋体" w:hAnsi="宋体" w:cs="宋体"/>
                <w:sz w:val="24"/>
                <w:szCs w:val="24"/>
                <w:highlight w:val="none"/>
                <w:lang w:val="en-US" w:eastAsia="zh-CN"/>
              </w:rPr>
              <w:t>5</w:t>
            </w:r>
            <w:r>
              <w:rPr>
                <w:rFonts w:hint="eastAsia" w:ascii="宋体" w:hAnsi="宋体" w:cs="宋体"/>
                <w:sz w:val="24"/>
                <w:szCs w:val="24"/>
                <w:highlight w:val="none"/>
              </w:rPr>
              <w:t>：合同总价的</w:t>
            </w:r>
            <w:r>
              <w:rPr>
                <w:rFonts w:hint="eastAsia" w:ascii="宋体" w:hAnsi="宋体" w:cs="宋体"/>
                <w:sz w:val="24"/>
                <w:szCs w:val="24"/>
                <w:highlight w:val="none"/>
                <w:u w:val="single"/>
                <w:lang w:val="en-US" w:eastAsia="zh-CN"/>
              </w:rPr>
              <w:t>10</w:t>
            </w:r>
            <w:r>
              <w:rPr>
                <w:rFonts w:hint="eastAsia" w:ascii="宋体" w:hAnsi="宋体" w:cs="宋体"/>
                <w:sz w:val="24"/>
                <w:szCs w:val="24"/>
                <w:highlight w:val="none"/>
              </w:rPr>
              <w:t xml:space="preserve"> %</w:t>
            </w:r>
            <w:r>
              <w:rPr>
                <w:rFonts w:hint="eastAsia" w:ascii="宋体" w:hAnsi="宋体" w:cs="宋体"/>
                <w:sz w:val="24"/>
                <w:szCs w:val="24"/>
                <w:highlight w:val="none"/>
                <w:lang w:eastAsia="zh-CN"/>
              </w:rPr>
              <w:t>；</w:t>
            </w:r>
            <w:r>
              <w:rPr>
                <w:rFonts w:hint="eastAsia" w:ascii="宋体" w:hAnsi="宋体" w:cs="宋体"/>
                <w:sz w:val="24"/>
                <w:szCs w:val="24"/>
                <w:highlight w:val="none"/>
              </w:rPr>
              <w:t>包件</w:t>
            </w:r>
            <w:r>
              <w:rPr>
                <w:rFonts w:hint="eastAsia" w:ascii="宋体" w:hAnsi="宋体" w:cs="宋体"/>
                <w:sz w:val="24"/>
                <w:szCs w:val="24"/>
                <w:highlight w:val="none"/>
                <w:lang w:val="en-US" w:eastAsia="zh-CN"/>
              </w:rPr>
              <w:t>7</w:t>
            </w:r>
            <w:r>
              <w:rPr>
                <w:rFonts w:hint="eastAsia" w:ascii="宋体" w:hAnsi="宋体" w:cs="宋体"/>
                <w:sz w:val="24"/>
                <w:szCs w:val="24"/>
                <w:highlight w:val="none"/>
              </w:rPr>
              <w:t>：合同总价的</w:t>
            </w:r>
            <w:r>
              <w:rPr>
                <w:rFonts w:hint="eastAsia" w:ascii="宋体" w:hAnsi="宋体" w:cs="宋体"/>
                <w:sz w:val="24"/>
                <w:szCs w:val="24"/>
                <w:highlight w:val="none"/>
                <w:u w:val="single"/>
                <w:lang w:val="en-US" w:eastAsia="zh-CN"/>
              </w:rPr>
              <w:t>5</w:t>
            </w:r>
            <w:r>
              <w:rPr>
                <w:rFonts w:hint="eastAsia" w:ascii="宋体" w:hAnsi="宋体" w:cs="宋体"/>
                <w:sz w:val="24"/>
                <w:szCs w:val="24"/>
                <w:highlight w:val="none"/>
              </w:rPr>
              <w:t xml:space="preserve"> %。</w:t>
            </w:r>
          </w:p>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交款方式：履约保证金可以以支票、汇票、本票或者金融机构出具的保函等非现金形式提交（包括网银转账，电汇等方式）。</w:t>
            </w:r>
          </w:p>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交付时间：中标人收到中标通知书后，签订合同前。</w:t>
            </w:r>
          </w:p>
          <w:p>
            <w:pPr>
              <w:tabs>
                <w:tab w:val="left" w:pos="7665"/>
              </w:tabs>
              <w:snapToGrid w:val="0"/>
              <w:spacing w:line="360" w:lineRule="auto"/>
              <w:ind w:left="-4" w:leftChars="-2" w:right="210" w:firstLine="14" w:firstLineChars="6"/>
              <w:rPr>
                <w:rFonts w:ascii="宋体" w:hAnsi="宋体" w:cs="宋体"/>
                <w:sz w:val="24"/>
                <w:szCs w:val="24"/>
                <w:highlight w:val="none"/>
              </w:rPr>
            </w:pPr>
            <w:r>
              <w:rPr>
                <w:rFonts w:hint="eastAsia" w:ascii="宋体" w:hAnsi="宋体" w:cs="宋体"/>
                <w:sz w:val="24"/>
                <w:szCs w:val="24"/>
                <w:highlight w:val="none"/>
              </w:rPr>
              <w:t>退还时间：详见第四章各包件履约要求。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1"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招标代理服务费</w:t>
            </w:r>
          </w:p>
        </w:tc>
        <w:tc>
          <w:tcPr>
            <w:tcW w:w="6454"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详见投标人须知2.5.5。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5"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资格审查</w:t>
            </w:r>
          </w:p>
        </w:tc>
        <w:tc>
          <w:tcPr>
            <w:tcW w:w="645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1、本项目由采购人和代理机构共同进行资格审查。</w:t>
            </w:r>
          </w:p>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2、采购人可以要求参加政府采购的投标人提供有关资质证明文件和业绩情况，并根据《中华人民共和国政府采购法》规定的投标人条件和采购项目对投标人的特定要求，对投标人的资格进行审查。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5"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严禁虚假承诺告知</w:t>
            </w:r>
          </w:p>
        </w:tc>
        <w:tc>
          <w:tcPr>
            <w:tcW w:w="645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rPr>
              <w:t>投标人参与政府采购活动严禁提供虚假承诺，如提供虚假承诺，采购人或代理机构将报告监管部门严肃追究法律责任。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5"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2268" w:type="dxa"/>
            <w:tcBorders>
              <w:top w:val="single" w:color="auto" w:sz="4" w:space="0"/>
              <w:left w:val="single" w:color="auto" w:sz="8" w:space="0"/>
              <w:bottom w:val="single" w:color="auto" w:sz="4" w:space="0"/>
              <w:right w:val="single" w:color="auto" w:sz="8" w:space="0"/>
            </w:tcBorders>
            <w:vAlign w:val="center"/>
          </w:tcPr>
          <w:p>
            <w:pPr>
              <w:spacing w:line="360" w:lineRule="auto"/>
              <w:jc w:val="left"/>
              <w:rPr>
                <w:rFonts w:ascii="宋体" w:hAnsi="宋体" w:cs="宋体"/>
                <w:sz w:val="24"/>
                <w:szCs w:val="24"/>
                <w:highlight w:val="none"/>
                <w:lang w:val="zh-CN"/>
              </w:rPr>
            </w:pPr>
            <w:r>
              <w:rPr>
                <w:rFonts w:hint="eastAsia" w:ascii="宋体" w:hAnsi="宋体" w:cs="宋体"/>
                <w:sz w:val="24"/>
                <w:szCs w:val="24"/>
                <w:highlight w:val="none"/>
                <w:lang w:val="zh-CN"/>
              </w:rPr>
              <w:t>政府采购信用融资</w:t>
            </w:r>
          </w:p>
        </w:tc>
        <w:tc>
          <w:tcPr>
            <w:tcW w:w="6454" w:type="dxa"/>
            <w:tcBorders>
              <w:top w:val="single" w:color="auto" w:sz="4" w:space="0"/>
              <w:left w:val="single" w:color="auto" w:sz="8" w:space="0"/>
              <w:bottom w:val="single" w:color="auto" w:sz="4" w:space="0"/>
              <w:right w:val="single" w:color="auto" w:sz="18" w:space="0"/>
            </w:tcBorders>
            <w:vAlign w:val="center"/>
          </w:tcPr>
          <w:p>
            <w:pPr>
              <w:spacing w:line="360" w:lineRule="auto"/>
              <w:rPr>
                <w:rFonts w:ascii="宋体" w:hAnsi="宋体" w:cs="宋体"/>
                <w:sz w:val="24"/>
                <w:szCs w:val="24"/>
                <w:highlight w:val="none"/>
                <w:lang w:val="zh-CN"/>
              </w:rPr>
            </w:pPr>
            <w:r>
              <w:rPr>
                <w:rFonts w:hint="eastAsia" w:ascii="宋体" w:hAnsi="宋体" w:cs="宋体"/>
                <w:sz w:val="24"/>
                <w:szCs w:val="24"/>
                <w:highlight w:val="none"/>
                <w:lang w:val="zh-CN"/>
              </w:rPr>
              <w:t>本项目为支持执行政府采购信用融资项目，政策文件附后。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784" w:type="dxa"/>
            <w:tcBorders>
              <w:top w:val="single" w:color="auto" w:sz="4" w:space="0"/>
              <w:left w:val="single" w:color="auto" w:sz="18" w:space="0"/>
              <w:bottom w:val="single" w:color="auto" w:sz="4" w:space="0"/>
              <w:right w:val="single" w:color="auto" w:sz="8" w:space="0"/>
            </w:tcBorders>
            <w:vAlign w:val="center"/>
          </w:tcPr>
          <w:p>
            <w:pPr>
              <w:numPr>
                <w:ilvl w:val="0"/>
                <w:numId w:val="3"/>
              </w:numPr>
              <w:snapToGrid w:val="0"/>
              <w:spacing w:line="360" w:lineRule="auto"/>
              <w:ind w:left="0" w:firstLine="0"/>
              <w:jc w:val="center"/>
              <w:rPr>
                <w:rFonts w:ascii="宋体" w:hAnsi="宋体" w:cs="宋体"/>
                <w:sz w:val="24"/>
                <w:szCs w:val="24"/>
                <w:highlight w:val="none"/>
              </w:rPr>
            </w:pPr>
          </w:p>
        </w:tc>
        <w:tc>
          <w:tcPr>
            <w:tcW w:w="8722" w:type="dxa"/>
            <w:gridSpan w:val="2"/>
            <w:tcBorders>
              <w:top w:val="single" w:color="auto" w:sz="4"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sz w:val="24"/>
                <w:szCs w:val="24"/>
                <w:highlight w:val="none"/>
                <w:lang w:val="zh-CN"/>
              </w:rPr>
            </w:pPr>
            <w:r>
              <w:rPr>
                <w:rFonts w:hint="eastAsia" w:ascii="宋体" w:hAnsi="宋体" w:cs="宋体"/>
                <w:sz w:val="24"/>
                <w:szCs w:val="24"/>
                <w:highlight w:val="none"/>
                <w:lang w:val="zh-CN"/>
              </w:rPr>
              <w:t>本项目优先采购本国货物和服务，必须进行的技术引进和转让需符合国家政策和有利于国内行业的发展。</w:t>
            </w:r>
          </w:p>
          <w:p>
            <w:pPr>
              <w:widowControl/>
              <w:tabs>
                <w:tab w:val="left" w:pos="7665"/>
              </w:tabs>
              <w:jc w:val="left"/>
              <w:rPr>
                <w:rFonts w:ascii="宋体" w:hAnsi="宋体" w:cs="宋体"/>
                <w:sz w:val="24"/>
                <w:szCs w:val="24"/>
                <w:highlight w:val="none"/>
              </w:rPr>
            </w:pPr>
            <w:r>
              <w:rPr>
                <w:rFonts w:hint="eastAsia" w:ascii="宋体" w:hAnsi="宋体" w:cs="宋体"/>
                <w:sz w:val="24"/>
                <w:szCs w:val="24"/>
                <w:highlight w:val="none"/>
                <w:lang w:val="zh-CN"/>
              </w:rPr>
              <w:t>《</w:t>
            </w:r>
            <w:r>
              <w:rPr>
                <w:rFonts w:hint="eastAsia" w:ascii="宋体" w:hAnsi="宋体" w:cs="宋体"/>
                <w:sz w:val="24"/>
                <w:szCs w:val="24"/>
                <w:highlight w:val="none"/>
              </w:rPr>
              <w:t>关于印发节能产品政府采购品目清单的通知</w:t>
            </w:r>
            <w:r>
              <w:rPr>
                <w:rFonts w:hint="eastAsia" w:ascii="宋体" w:hAnsi="宋体" w:cs="宋体"/>
                <w:sz w:val="24"/>
                <w:szCs w:val="24"/>
                <w:highlight w:val="none"/>
                <w:lang w:val="zh-CN"/>
              </w:rPr>
              <w:t>》（财库</w:t>
            </w:r>
            <w:r>
              <w:rPr>
                <w:rFonts w:hint="eastAsia" w:ascii="宋体" w:hAnsi="宋体" w:cs="宋体"/>
                <w:sz w:val="24"/>
                <w:szCs w:val="24"/>
                <w:highlight w:val="none"/>
              </w:rPr>
              <w:t>〔2019〕19号</w:t>
            </w:r>
            <w:r>
              <w:rPr>
                <w:rFonts w:hint="eastAsia" w:ascii="宋体" w:hAnsi="宋体" w:cs="宋体"/>
                <w:sz w:val="24"/>
                <w:szCs w:val="24"/>
                <w:highlight w:val="none"/>
                <w:lang w:val="zh-CN"/>
              </w:rPr>
              <w:t>）</w:t>
            </w:r>
            <w:r>
              <w:rPr>
                <w:rFonts w:hint="eastAsia" w:ascii="宋体" w:hAnsi="宋体" w:cs="宋体"/>
                <w:sz w:val="24"/>
                <w:szCs w:val="24"/>
                <w:highlight w:val="none"/>
              </w:rPr>
              <w:t>内的</w:t>
            </w:r>
            <w:r>
              <w:rPr>
                <w:rFonts w:hint="eastAsia" w:ascii="宋体" w:hAnsi="宋体" w:cs="宋体"/>
                <w:sz w:val="24"/>
                <w:szCs w:val="24"/>
                <w:highlight w:val="none"/>
                <w:lang w:val="zh-CN"/>
              </w:rPr>
              <w:t>产品</w:t>
            </w:r>
            <w:r>
              <w:rPr>
                <w:rFonts w:hint="eastAsia" w:ascii="宋体" w:hAnsi="宋体" w:cs="宋体"/>
                <w:sz w:val="24"/>
                <w:szCs w:val="24"/>
                <w:highlight w:val="none"/>
              </w:rPr>
              <w:t>,应按照相关政策严格执行强制采购和优先采购政策。供应商应自行提供国家确定的认证机构出具的、处于有效期之内的节能产品认证证书。</w:t>
            </w:r>
          </w:p>
          <w:p>
            <w:pPr>
              <w:widowControl/>
              <w:tabs>
                <w:tab w:val="left" w:pos="7665"/>
              </w:tabs>
              <w:jc w:val="left"/>
              <w:rPr>
                <w:rFonts w:ascii="宋体" w:hAnsi="宋体" w:cs="宋体"/>
                <w:sz w:val="24"/>
                <w:szCs w:val="24"/>
                <w:highlight w:val="none"/>
              </w:rPr>
            </w:pPr>
            <w:r>
              <w:rPr>
                <w:rFonts w:hint="eastAsia" w:ascii="宋体" w:hAnsi="宋体" w:cs="宋体"/>
                <w:sz w:val="24"/>
                <w:szCs w:val="24"/>
                <w:highlight w:val="none"/>
                <w:lang w:val="zh-CN"/>
              </w:rPr>
              <w:t>《</w:t>
            </w:r>
            <w:r>
              <w:rPr>
                <w:rFonts w:hint="eastAsia" w:ascii="宋体" w:hAnsi="宋体" w:cs="宋体"/>
                <w:sz w:val="24"/>
                <w:szCs w:val="24"/>
                <w:highlight w:val="none"/>
              </w:rPr>
              <w:t>关于印发环境标志产品政府采购品目清单的通知</w:t>
            </w:r>
            <w:r>
              <w:rPr>
                <w:rFonts w:hint="eastAsia" w:ascii="宋体" w:hAnsi="宋体" w:cs="宋体"/>
                <w:sz w:val="24"/>
                <w:szCs w:val="24"/>
                <w:highlight w:val="none"/>
                <w:lang w:val="zh-CN"/>
              </w:rPr>
              <w:t>》（财库</w:t>
            </w:r>
            <w:r>
              <w:rPr>
                <w:rFonts w:hint="eastAsia" w:ascii="宋体" w:hAnsi="宋体" w:cs="宋体"/>
                <w:sz w:val="24"/>
                <w:szCs w:val="24"/>
                <w:highlight w:val="none"/>
              </w:rPr>
              <w:t>〔2019〕18号</w:t>
            </w:r>
            <w:r>
              <w:rPr>
                <w:rFonts w:hint="eastAsia" w:ascii="宋体" w:hAnsi="宋体" w:cs="宋体"/>
                <w:sz w:val="24"/>
                <w:szCs w:val="24"/>
                <w:highlight w:val="none"/>
                <w:lang w:val="zh-CN"/>
              </w:rPr>
              <w:t>）</w:t>
            </w:r>
            <w:r>
              <w:rPr>
                <w:rFonts w:hint="eastAsia" w:ascii="宋体" w:hAnsi="宋体" w:cs="宋体"/>
                <w:sz w:val="24"/>
                <w:szCs w:val="24"/>
                <w:highlight w:val="none"/>
              </w:rPr>
              <w:t>内的</w:t>
            </w:r>
            <w:r>
              <w:rPr>
                <w:rFonts w:hint="eastAsia" w:ascii="宋体" w:hAnsi="宋体" w:cs="宋体"/>
                <w:sz w:val="24"/>
                <w:szCs w:val="24"/>
                <w:highlight w:val="none"/>
                <w:lang w:val="zh-CN"/>
              </w:rPr>
              <w:t>产品，</w:t>
            </w:r>
            <w:r>
              <w:rPr>
                <w:rFonts w:hint="eastAsia" w:ascii="宋体" w:hAnsi="宋体" w:cs="宋体"/>
                <w:sz w:val="24"/>
                <w:szCs w:val="24"/>
                <w:highlight w:val="none"/>
              </w:rPr>
              <w:t>应按照相关政策严格优先采购政策</w:t>
            </w:r>
            <w:r>
              <w:rPr>
                <w:rFonts w:hint="eastAsia" w:ascii="宋体" w:hAnsi="宋体" w:cs="宋体"/>
                <w:sz w:val="24"/>
                <w:szCs w:val="24"/>
                <w:highlight w:val="none"/>
                <w:lang w:val="zh-CN"/>
              </w:rPr>
              <w:t>。</w:t>
            </w:r>
            <w:r>
              <w:rPr>
                <w:rFonts w:hint="eastAsia" w:ascii="宋体" w:hAnsi="宋体" w:cs="宋体"/>
                <w:sz w:val="24"/>
                <w:szCs w:val="24"/>
                <w:highlight w:val="none"/>
              </w:rPr>
              <w:t>供应商应自行提供国家确定的认证机构出具的、处于有效期之内的环境标志产品认证证书。</w:t>
            </w:r>
          </w:p>
          <w:p>
            <w:pPr>
              <w:widowControl/>
              <w:jc w:val="left"/>
              <w:rPr>
                <w:rFonts w:ascii="宋体" w:hAnsi="宋体" w:cs="宋体"/>
                <w:sz w:val="24"/>
                <w:szCs w:val="24"/>
                <w:highlight w:val="none"/>
                <w:lang w:val="zh-CN"/>
              </w:rPr>
            </w:pPr>
            <w:r>
              <w:rPr>
                <w:rFonts w:hint="eastAsia" w:ascii="宋体" w:hAnsi="宋体" w:cs="宋体"/>
                <w:sz w:val="24"/>
                <w:szCs w:val="24"/>
                <w:highlight w:val="none"/>
              </w:rPr>
              <w:t>根据《无线局域网产品政府采购实施意见》相关要求，本项目采购的产品属于中国政府采购网公布的《无线局域网认证产品政府采购清单》的，应按照相关政策严格执行</w:t>
            </w:r>
            <w:r>
              <w:rPr>
                <w:rFonts w:hint="eastAsia" w:ascii="宋体" w:hAnsi="宋体" w:cs="宋体"/>
                <w:sz w:val="24"/>
                <w:szCs w:val="24"/>
                <w:highlight w:val="none"/>
                <w:lang w:val="zh-CN"/>
              </w:rPr>
              <w:t>优先采购政策。</w:t>
            </w:r>
          </w:p>
          <w:p>
            <w:pPr>
              <w:tabs>
                <w:tab w:val="left" w:pos="7665"/>
              </w:tabs>
              <w:snapToGrid w:val="0"/>
              <w:spacing w:line="360" w:lineRule="auto"/>
              <w:rPr>
                <w:rFonts w:ascii="宋体" w:hAnsi="宋体" w:cs="宋体"/>
                <w:sz w:val="24"/>
                <w:szCs w:val="24"/>
                <w:highlight w:val="none"/>
              </w:rPr>
            </w:pPr>
            <w:r>
              <w:rPr>
                <w:rFonts w:hint="eastAsia" w:ascii="宋体" w:hAnsi="宋体" w:cs="宋体"/>
                <w:sz w:val="24"/>
                <w:szCs w:val="24"/>
                <w:highlight w:val="none"/>
                <w:lang w:val="zh-CN"/>
              </w:rPr>
              <w:t>按照《政府采购货物和服务招标投标管理办法》（财政部令第87号）落实对</w:t>
            </w:r>
            <w:r>
              <w:rPr>
                <w:rFonts w:hint="eastAsia" w:ascii="宋体" w:hAnsi="宋体" w:cs="宋体"/>
                <w:sz w:val="24"/>
                <w:szCs w:val="24"/>
                <w:highlight w:val="none"/>
                <w:lang w:val="zh-CN" w:bidi="ar"/>
              </w:rPr>
              <w:t>不发达地区和少数民族地区的扶持政策，投标人应提供相关证明材料</w:t>
            </w:r>
            <w:r>
              <w:rPr>
                <w:rFonts w:hint="eastAsia" w:ascii="宋体" w:hAnsi="宋体" w:cs="宋体"/>
                <w:sz w:val="24"/>
                <w:szCs w:val="24"/>
                <w:highlight w:val="none"/>
                <w:lang w:val="zh-CN"/>
              </w:rPr>
              <w:t>。</w:t>
            </w:r>
          </w:p>
        </w:tc>
      </w:tr>
    </w:tbl>
    <w:p>
      <w:pPr>
        <w:pStyle w:val="2"/>
        <w:rPr>
          <w:rFonts w:cs="宋体"/>
          <w:sz w:val="24"/>
          <w:szCs w:val="24"/>
          <w:highlight w:val="none"/>
        </w:rPr>
      </w:pPr>
      <w:bookmarkStart w:id="26" w:name="_Toc494464903"/>
      <w:bookmarkStart w:id="27" w:name="_Toc13652482"/>
      <w:r>
        <w:rPr>
          <w:rFonts w:hint="eastAsia" w:cs="宋体"/>
          <w:sz w:val="24"/>
          <w:szCs w:val="24"/>
          <w:highlight w:val="none"/>
        </w:rPr>
        <w:t>总则</w:t>
      </w:r>
      <w:bookmarkEnd w:id="26"/>
      <w:bookmarkEnd w:id="27"/>
    </w:p>
    <w:p>
      <w:pPr>
        <w:pStyle w:val="4"/>
        <w:ind w:left="0" w:firstLine="0"/>
        <w:rPr>
          <w:rFonts w:cs="宋体"/>
          <w:color w:val="auto"/>
          <w:sz w:val="24"/>
          <w:szCs w:val="24"/>
          <w:highlight w:val="none"/>
        </w:rPr>
      </w:pPr>
      <w:r>
        <w:rPr>
          <w:rFonts w:hint="eastAsia" w:cs="宋体"/>
          <w:color w:val="auto"/>
          <w:sz w:val="24"/>
          <w:szCs w:val="24"/>
          <w:highlight w:val="none"/>
        </w:rPr>
        <w:t>适用范围</w:t>
      </w:r>
    </w:p>
    <w:p>
      <w:pPr>
        <w:numPr>
          <w:ilvl w:val="0"/>
          <w:numId w:val="4"/>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本招标文件仅适用于本次公开招标采购项目。</w:t>
      </w:r>
    </w:p>
    <w:p>
      <w:pPr>
        <w:numPr>
          <w:ilvl w:val="0"/>
          <w:numId w:val="4"/>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本招标文件的最终解释权由招标采购单位享有。</w:t>
      </w:r>
    </w:p>
    <w:p>
      <w:pPr>
        <w:pStyle w:val="4"/>
        <w:ind w:left="0" w:firstLine="0"/>
        <w:rPr>
          <w:rFonts w:cs="宋体"/>
          <w:color w:val="auto"/>
          <w:sz w:val="24"/>
          <w:szCs w:val="24"/>
          <w:highlight w:val="none"/>
        </w:rPr>
      </w:pPr>
      <w:r>
        <w:rPr>
          <w:rFonts w:hint="eastAsia" w:cs="宋体"/>
          <w:color w:val="auto"/>
          <w:sz w:val="24"/>
          <w:szCs w:val="24"/>
          <w:highlight w:val="none"/>
        </w:rPr>
        <w:t>有关定义</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“采购人”和“甲方”系指依法进行政府采购的国家机关、事业单位、团体组织。本次招标的采购人是</w:t>
      </w:r>
      <w:r>
        <w:rPr>
          <w:rFonts w:hint="eastAsia" w:ascii="宋体" w:hAnsi="宋体" w:cs="宋体"/>
          <w:b/>
          <w:sz w:val="24"/>
          <w:szCs w:val="24"/>
          <w:highlight w:val="none"/>
          <w:u w:val="single"/>
        </w:rPr>
        <w:t>成都职业技术学院</w:t>
      </w:r>
      <w:r>
        <w:rPr>
          <w:rFonts w:hint="eastAsia" w:ascii="宋体" w:hAnsi="宋体" w:cs="宋体"/>
          <w:sz w:val="24"/>
          <w:szCs w:val="24"/>
          <w:highlight w:val="none"/>
        </w:rPr>
        <w:t>。</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 xml:space="preserve"> “采购代理机构”系指根据采购人的委托依法办理招标事宜的采购机构。本项目的采购代理机构是</w:t>
      </w:r>
      <w:r>
        <w:rPr>
          <w:rFonts w:hint="eastAsia" w:ascii="宋体" w:hAnsi="宋体" w:cs="宋体"/>
          <w:b/>
          <w:sz w:val="24"/>
          <w:szCs w:val="24"/>
          <w:highlight w:val="none"/>
          <w:u w:val="single"/>
        </w:rPr>
        <w:t>四川正汇恒招标代理有限公司</w:t>
      </w:r>
      <w:r>
        <w:rPr>
          <w:rFonts w:hint="eastAsia" w:ascii="宋体" w:hAnsi="宋体" w:cs="宋体"/>
          <w:sz w:val="24"/>
          <w:szCs w:val="24"/>
          <w:highlight w:val="none"/>
        </w:rPr>
        <w:t>。</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“招标采购单位”系指“采购人”和“采购代理机构”的统称。</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“投标人”系指购买了招标文件拟参加投标和向采购人提供货物及服务的供应商。</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5"/>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本招标文件各部分规定的“以上”、“以下”、“内”、“以内”，包括本数；所称的“不足”，不包括本数。</w:t>
      </w:r>
    </w:p>
    <w:p>
      <w:pPr>
        <w:pStyle w:val="4"/>
        <w:ind w:hanging="3119"/>
        <w:rPr>
          <w:rFonts w:cs="宋体"/>
          <w:color w:val="auto"/>
          <w:sz w:val="24"/>
          <w:szCs w:val="24"/>
          <w:highlight w:val="none"/>
        </w:rPr>
      </w:pPr>
      <w:bookmarkStart w:id="28" w:name="_Toc183582207"/>
      <w:bookmarkStart w:id="29" w:name="_Toc217446036"/>
      <w:bookmarkStart w:id="30" w:name="_Toc217390843"/>
      <w:bookmarkStart w:id="31" w:name="_Toc183682344"/>
      <w:r>
        <w:rPr>
          <w:rFonts w:hint="eastAsia" w:cs="宋体"/>
          <w:color w:val="auto"/>
          <w:sz w:val="24"/>
          <w:szCs w:val="24"/>
          <w:highlight w:val="none"/>
        </w:rPr>
        <w:t>合格的投标人</w:t>
      </w:r>
      <w:bookmarkEnd w:id="28"/>
      <w:bookmarkEnd w:id="29"/>
      <w:bookmarkEnd w:id="30"/>
      <w:bookmarkEnd w:id="31"/>
    </w:p>
    <w:p>
      <w:pPr>
        <w:tabs>
          <w:tab w:val="left" w:pos="7665"/>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合格的投标人应具备以下条件：</w:t>
      </w:r>
    </w:p>
    <w:p>
      <w:pPr>
        <w:numPr>
          <w:ilvl w:val="0"/>
          <w:numId w:val="6"/>
        </w:numPr>
        <w:tabs>
          <w:tab w:val="left" w:pos="1134"/>
        </w:tabs>
        <w:spacing w:line="360" w:lineRule="auto"/>
        <w:rPr>
          <w:rFonts w:ascii="宋体" w:hAnsi="宋体" w:cs="宋体"/>
          <w:sz w:val="24"/>
          <w:szCs w:val="24"/>
          <w:highlight w:val="none"/>
        </w:rPr>
      </w:pPr>
      <w:r>
        <w:rPr>
          <w:rFonts w:hint="eastAsia" w:ascii="宋体" w:hAnsi="宋体" w:cs="宋体"/>
          <w:sz w:val="24"/>
          <w:szCs w:val="24"/>
          <w:highlight w:val="none"/>
        </w:rPr>
        <w:t>本招标文件“投标邀请”规定的应具备的资格条件；</w:t>
      </w:r>
    </w:p>
    <w:p>
      <w:pPr>
        <w:numPr>
          <w:ilvl w:val="0"/>
          <w:numId w:val="6"/>
        </w:numPr>
        <w:tabs>
          <w:tab w:val="left" w:pos="1134"/>
        </w:tabs>
        <w:spacing w:line="360" w:lineRule="auto"/>
        <w:rPr>
          <w:rFonts w:ascii="宋体" w:hAnsi="宋体" w:cs="宋体"/>
          <w:sz w:val="24"/>
          <w:szCs w:val="24"/>
          <w:highlight w:val="none"/>
        </w:rPr>
      </w:pPr>
      <w:r>
        <w:rPr>
          <w:rFonts w:hint="eastAsia" w:ascii="宋体" w:hAnsi="宋体" w:cs="宋体"/>
          <w:sz w:val="24"/>
          <w:szCs w:val="24"/>
          <w:highlight w:val="none"/>
        </w:rPr>
        <w:t>向采购代理机构登记购买了招标文件；</w:t>
      </w:r>
    </w:p>
    <w:p>
      <w:pPr>
        <w:numPr>
          <w:ilvl w:val="0"/>
          <w:numId w:val="6"/>
        </w:numPr>
        <w:tabs>
          <w:tab w:val="left" w:pos="1134"/>
        </w:tabs>
        <w:spacing w:line="360" w:lineRule="auto"/>
        <w:rPr>
          <w:rFonts w:ascii="宋体" w:hAnsi="宋体" w:cs="宋体"/>
          <w:sz w:val="24"/>
          <w:szCs w:val="24"/>
          <w:highlight w:val="none"/>
        </w:rPr>
      </w:pPr>
      <w:r>
        <w:rPr>
          <w:rFonts w:hint="eastAsia" w:ascii="宋体" w:hAnsi="宋体" w:cs="宋体"/>
          <w:sz w:val="24"/>
          <w:szCs w:val="24"/>
          <w:highlight w:val="none"/>
        </w:rPr>
        <w:t>遵守国家有关的法律、法规、规章和其他政策制度。</w:t>
      </w:r>
    </w:p>
    <w:p>
      <w:pPr>
        <w:pStyle w:val="4"/>
        <w:ind w:left="0" w:firstLine="0"/>
        <w:rPr>
          <w:rFonts w:cs="宋体"/>
          <w:color w:val="auto"/>
          <w:sz w:val="24"/>
          <w:szCs w:val="24"/>
          <w:highlight w:val="none"/>
        </w:rPr>
      </w:pPr>
      <w:r>
        <w:rPr>
          <w:rFonts w:hint="eastAsia" w:cs="宋体"/>
          <w:color w:val="auto"/>
          <w:sz w:val="24"/>
          <w:szCs w:val="24"/>
          <w:highlight w:val="none"/>
        </w:rPr>
        <w:t>投标费用（实质性要求）</w:t>
      </w:r>
    </w:p>
    <w:p>
      <w:pPr>
        <w:spacing w:line="360" w:lineRule="auto"/>
        <w:ind w:firstLine="566" w:firstLineChars="236"/>
        <w:rPr>
          <w:rFonts w:ascii="宋体" w:hAnsi="宋体" w:cs="宋体"/>
          <w:kern w:val="0"/>
          <w:sz w:val="24"/>
          <w:szCs w:val="24"/>
          <w:highlight w:val="none"/>
        </w:rPr>
      </w:pPr>
      <w:r>
        <w:rPr>
          <w:rFonts w:hint="eastAsia" w:ascii="宋体" w:hAnsi="宋体" w:cs="宋体"/>
          <w:kern w:val="0"/>
          <w:sz w:val="24"/>
          <w:szCs w:val="24"/>
          <w:highlight w:val="none"/>
        </w:rPr>
        <w:t>投标人参加投标的所有费用由投标人自行承担。</w:t>
      </w:r>
    </w:p>
    <w:p>
      <w:pPr>
        <w:pStyle w:val="4"/>
        <w:ind w:left="0" w:firstLine="0"/>
        <w:rPr>
          <w:rFonts w:cs="宋体"/>
          <w:color w:val="auto"/>
          <w:sz w:val="24"/>
          <w:szCs w:val="24"/>
          <w:highlight w:val="none"/>
        </w:rPr>
      </w:pPr>
      <w:r>
        <w:rPr>
          <w:rFonts w:hint="eastAsia" w:cs="宋体"/>
          <w:color w:val="auto"/>
          <w:sz w:val="24"/>
          <w:szCs w:val="24"/>
          <w:highlight w:val="none"/>
        </w:rPr>
        <w:t>充分、公平竞争保障措施（实质性要求）</w:t>
      </w:r>
    </w:p>
    <w:p>
      <w:pPr>
        <w:pStyle w:val="152"/>
        <w:numPr>
          <w:ilvl w:val="0"/>
          <w:numId w:val="7"/>
        </w:numPr>
        <w:tabs>
          <w:tab w:val="left" w:pos="851"/>
          <w:tab w:val="left" w:pos="1134"/>
        </w:tabs>
        <w:spacing w:line="360" w:lineRule="auto"/>
        <w:ind w:left="0" w:firstLine="567"/>
        <w:rPr>
          <w:rFonts w:hAnsi="宋体" w:cs="宋体"/>
          <w:b/>
          <w:sz w:val="24"/>
          <w:szCs w:val="24"/>
          <w:highlight w:val="none"/>
        </w:rPr>
      </w:pPr>
      <w:r>
        <w:rPr>
          <w:rFonts w:hint="eastAsia" w:hAnsi="宋体" w:cs="宋体"/>
          <w:b/>
          <w:sz w:val="24"/>
          <w:szCs w:val="24"/>
          <w:highlight w:val="none"/>
          <w:lang w:val="zh-CN"/>
        </w:rPr>
        <w:t>提供相同品牌产品处理。</w:t>
      </w:r>
    </w:p>
    <w:p>
      <w:pPr>
        <w:pStyle w:val="152"/>
        <w:tabs>
          <w:tab w:val="left" w:pos="851"/>
          <w:tab w:val="left" w:pos="1134"/>
        </w:tabs>
        <w:spacing w:line="360" w:lineRule="auto"/>
        <w:ind w:firstLine="480" w:firstLineChars="200"/>
        <w:rPr>
          <w:rFonts w:hAnsi="宋体" w:cs="宋体"/>
          <w:bCs/>
          <w:sz w:val="24"/>
          <w:szCs w:val="24"/>
          <w:highlight w:val="none"/>
          <w:lang w:val="zh-CN"/>
        </w:rPr>
      </w:pPr>
      <w:r>
        <w:rPr>
          <w:rFonts w:hint="eastAsia" w:hAnsi="宋体" w:cs="宋体"/>
          <w:bCs/>
          <w:sz w:val="24"/>
          <w:szCs w:val="24"/>
          <w:highlight w:val="none"/>
          <w:lang w:val="zh-CN"/>
        </w:rPr>
        <w:t>采用最低评标价法的采购项目，提供相同品牌产品的不同投标人参加同一合同项下投标的，以其中通过资格审查、符合性审查且报价最低的参加评标；报价相同的，由采购人或者采购人委托评标委员会采取随机抽取方式确定一个参加评标的投标人，其他投标无效。</w:t>
      </w:r>
    </w:p>
    <w:p>
      <w:pPr>
        <w:pStyle w:val="152"/>
        <w:tabs>
          <w:tab w:val="left" w:pos="851"/>
          <w:tab w:val="left" w:pos="1134"/>
        </w:tabs>
        <w:spacing w:line="360" w:lineRule="auto"/>
        <w:ind w:firstLine="480" w:firstLineChars="200"/>
        <w:rPr>
          <w:rFonts w:hAnsi="宋体" w:cs="宋体"/>
          <w:bCs/>
          <w:sz w:val="24"/>
          <w:szCs w:val="24"/>
          <w:highlight w:val="none"/>
        </w:rPr>
      </w:pPr>
      <w:r>
        <w:rPr>
          <w:rFonts w:hint="eastAsia" w:hAnsi="宋体" w:cs="宋体"/>
          <w:bCs/>
          <w:sz w:val="24"/>
          <w:szCs w:val="24"/>
          <w:highlight w:val="none"/>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报价最低的投标人获得中标候选人推荐资格；评审得分相同且报价相同的，由采购人或者采购人委托评标委员会采取随机抽取方式确定一个</w:t>
      </w:r>
      <w:r>
        <w:rPr>
          <w:rFonts w:hint="eastAsia" w:hAnsi="宋体" w:cs="宋体"/>
          <w:bCs/>
          <w:sz w:val="24"/>
          <w:szCs w:val="24"/>
          <w:highlight w:val="none"/>
        </w:rPr>
        <w:t>中标候选</w:t>
      </w:r>
      <w:r>
        <w:rPr>
          <w:rFonts w:hint="eastAsia" w:hAnsi="宋体" w:cs="宋体"/>
          <w:bCs/>
          <w:sz w:val="24"/>
          <w:szCs w:val="24"/>
          <w:highlight w:val="none"/>
          <w:lang w:val="zh-CN"/>
        </w:rPr>
        <w:t>人，其他同品牌投标人不作为中标候选人。</w:t>
      </w:r>
    </w:p>
    <w:p>
      <w:pPr>
        <w:pStyle w:val="152"/>
        <w:tabs>
          <w:tab w:val="left" w:pos="851"/>
          <w:tab w:val="left" w:pos="1134"/>
        </w:tabs>
        <w:spacing w:line="360" w:lineRule="auto"/>
        <w:ind w:firstLine="480" w:firstLineChars="200"/>
        <w:rPr>
          <w:rFonts w:hAnsi="宋体" w:cs="宋体"/>
          <w:bCs/>
          <w:sz w:val="24"/>
          <w:szCs w:val="24"/>
          <w:highlight w:val="none"/>
          <w:lang w:val="zh-CN"/>
        </w:rPr>
      </w:pPr>
      <w:r>
        <w:rPr>
          <w:rFonts w:hint="eastAsia" w:hAnsi="宋体" w:cs="宋体"/>
          <w:bCs/>
          <w:sz w:val="24"/>
          <w:szCs w:val="24"/>
          <w:highlight w:val="none"/>
          <w:lang w:val="zh-CN"/>
        </w:rPr>
        <w:t>非单一产品采购项目，多家投标人提供的核心产品品牌相同的，按前两款规定处理。</w:t>
      </w:r>
    </w:p>
    <w:p>
      <w:pPr>
        <w:pStyle w:val="152"/>
        <w:tabs>
          <w:tab w:val="left" w:pos="851"/>
          <w:tab w:val="left" w:pos="1134"/>
        </w:tabs>
        <w:spacing w:line="360" w:lineRule="auto"/>
        <w:ind w:firstLine="480" w:firstLineChars="200"/>
        <w:rPr>
          <w:rFonts w:hAnsi="宋体" w:cs="宋体"/>
          <w:bCs/>
          <w:sz w:val="24"/>
          <w:szCs w:val="24"/>
          <w:highlight w:val="none"/>
        </w:rPr>
      </w:pPr>
      <w:r>
        <w:rPr>
          <w:rFonts w:hint="eastAsia" w:hAnsi="宋体" w:cs="宋体"/>
          <w:bCs/>
          <w:sz w:val="24"/>
          <w:szCs w:val="24"/>
          <w:highlight w:val="none"/>
        </w:rPr>
        <w:t>本采购项目核心产品为：</w:t>
      </w:r>
      <w:r>
        <w:rPr>
          <w:rFonts w:hint="eastAsia" w:hAnsi="宋体" w:cs="宋体"/>
          <w:bCs/>
          <w:sz w:val="24"/>
          <w:szCs w:val="24"/>
          <w:highlight w:val="none"/>
          <w:u w:val="single"/>
        </w:rPr>
        <w:t xml:space="preserve"> 详见每个分包的核心产品说明</w:t>
      </w:r>
      <w:r>
        <w:rPr>
          <w:rFonts w:hint="eastAsia" w:hAnsi="宋体" w:cs="宋体"/>
          <w:bCs/>
          <w:sz w:val="24"/>
          <w:szCs w:val="24"/>
          <w:highlight w:val="none"/>
        </w:rPr>
        <w:t>。</w:t>
      </w:r>
    </w:p>
    <w:p>
      <w:pPr>
        <w:pStyle w:val="152"/>
        <w:numPr>
          <w:ilvl w:val="0"/>
          <w:numId w:val="7"/>
        </w:numPr>
        <w:tabs>
          <w:tab w:val="left" w:pos="851"/>
          <w:tab w:val="left" w:pos="1134"/>
        </w:tabs>
        <w:spacing w:line="360" w:lineRule="auto"/>
        <w:ind w:left="0" w:firstLine="567"/>
        <w:rPr>
          <w:rFonts w:hAnsi="宋体" w:cs="宋体"/>
          <w:sz w:val="24"/>
          <w:szCs w:val="24"/>
          <w:highlight w:val="none"/>
        </w:rPr>
      </w:pPr>
      <w:r>
        <w:rPr>
          <w:rFonts w:hint="eastAsia" w:hAnsi="宋体" w:cs="宋体"/>
          <w:b/>
          <w:sz w:val="24"/>
          <w:szCs w:val="24"/>
          <w:highlight w:val="none"/>
        </w:rPr>
        <w:t>利害关系投标人处理。</w:t>
      </w:r>
      <w:r>
        <w:rPr>
          <w:rFonts w:hint="eastAsia" w:hAnsi="宋体" w:cs="宋体"/>
          <w:sz w:val="24"/>
          <w:szCs w:val="24"/>
          <w:highlight w:val="none"/>
        </w:rPr>
        <w:t>单位负责人为同一人或者存在直接控股、管理关系的不同投标人不得参加同一合同项下的政府采购活动。</w:t>
      </w:r>
    </w:p>
    <w:p>
      <w:pPr>
        <w:pStyle w:val="152"/>
        <w:numPr>
          <w:ilvl w:val="0"/>
          <w:numId w:val="7"/>
        </w:numPr>
        <w:tabs>
          <w:tab w:val="left" w:pos="851"/>
          <w:tab w:val="left" w:pos="1134"/>
        </w:tabs>
        <w:spacing w:line="360" w:lineRule="auto"/>
        <w:ind w:left="0" w:firstLine="567"/>
        <w:rPr>
          <w:rFonts w:hAnsi="宋体" w:cs="宋体"/>
          <w:sz w:val="24"/>
          <w:szCs w:val="24"/>
          <w:highlight w:val="none"/>
        </w:rPr>
      </w:pPr>
      <w:r>
        <w:rPr>
          <w:rFonts w:hint="eastAsia" w:hAnsi="宋体" w:cs="宋体"/>
          <w:b/>
          <w:sz w:val="24"/>
          <w:szCs w:val="24"/>
          <w:highlight w:val="none"/>
        </w:rPr>
        <w:t>前期参与投标人处理。</w:t>
      </w:r>
      <w:r>
        <w:rPr>
          <w:rFonts w:hint="eastAsia" w:hAnsi="宋体" w:cs="宋体"/>
          <w:sz w:val="24"/>
          <w:szCs w:val="22"/>
          <w:highlight w:val="none"/>
        </w:rPr>
        <w:t>除单一来源采购项目外，</w:t>
      </w:r>
      <w:r>
        <w:rPr>
          <w:rFonts w:hint="eastAsia" w:hAnsi="宋体" w:cs="宋体"/>
          <w:sz w:val="24"/>
          <w:szCs w:val="24"/>
          <w:highlight w:val="none"/>
        </w:rPr>
        <w:t>为采购项目提供整体设计、规范编制或者项目管理、监理、检测等服务的供应商，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r>
        <w:rPr>
          <w:rFonts w:hint="eastAsia" w:hAnsi="宋体" w:cs="宋体"/>
          <w:b/>
          <w:sz w:val="24"/>
          <w:szCs w:val="24"/>
          <w:highlight w:val="none"/>
        </w:rPr>
        <w:t>（说明：无供应商为本项目提供整体设计、规范编制或者项目管理、监理、检测等服务。）</w:t>
      </w:r>
    </w:p>
    <w:p>
      <w:pPr>
        <w:pStyle w:val="152"/>
        <w:numPr>
          <w:ilvl w:val="0"/>
          <w:numId w:val="7"/>
        </w:numPr>
        <w:tabs>
          <w:tab w:val="left" w:pos="851"/>
          <w:tab w:val="left" w:pos="1134"/>
        </w:tabs>
        <w:spacing w:line="360" w:lineRule="auto"/>
        <w:ind w:left="0" w:firstLine="567"/>
        <w:rPr>
          <w:rFonts w:hAnsi="宋体" w:cs="宋体"/>
          <w:sz w:val="24"/>
          <w:szCs w:val="24"/>
          <w:highlight w:val="none"/>
        </w:rPr>
      </w:pPr>
      <w:r>
        <w:rPr>
          <w:rFonts w:hint="eastAsia" w:hAnsi="宋体" w:cs="宋体"/>
          <w:b/>
          <w:sz w:val="24"/>
          <w:szCs w:val="24"/>
          <w:highlight w:val="none"/>
        </w:rPr>
        <w:t>利害关系代理人处理。</w:t>
      </w:r>
      <w:r>
        <w:rPr>
          <w:rFonts w:hint="eastAsia" w:hAnsi="宋体" w:cs="宋体"/>
          <w:sz w:val="24"/>
          <w:szCs w:val="24"/>
          <w:highlight w:val="none"/>
        </w:rPr>
        <w:t>2家以上的投标人不得在同一合同项下的采购项目中，同时委托同一个自然人、同一家庭的人员、同一单位的人员作为其代理人，否则，其投标文件作为无效处理。</w:t>
      </w:r>
    </w:p>
    <w:p>
      <w:pPr>
        <w:pStyle w:val="152"/>
        <w:numPr>
          <w:ilvl w:val="0"/>
          <w:numId w:val="7"/>
        </w:numPr>
        <w:tabs>
          <w:tab w:val="left" w:pos="851"/>
          <w:tab w:val="left" w:pos="1134"/>
        </w:tabs>
        <w:spacing w:line="360" w:lineRule="auto"/>
        <w:ind w:left="0" w:firstLine="567"/>
        <w:rPr>
          <w:rFonts w:hAnsi="宋体" w:cs="宋体"/>
          <w:sz w:val="24"/>
          <w:szCs w:val="24"/>
          <w:highlight w:val="none"/>
        </w:rPr>
      </w:pPr>
      <w:r>
        <w:rPr>
          <w:rFonts w:hint="eastAsia" w:hAnsi="宋体" w:cs="宋体"/>
          <w:sz w:val="24"/>
          <w:szCs w:val="24"/>
          <w:highlight w:val="none"/>
        </w:rPr>
        <w:t>供应商实际控制人或者中高级管理人员，同时是采购代理机构工作人员，不得参与本项目政府采购活动。</w:t>
      </w:r>
    </w:p>
    <w:p>
      <w:pPr>
        <w:pStyle w:val="152"/>
        <w:numPr>
          <w:ilvl w:val="0"/>
          <w:numId w:val="7"/>
        </w:numPr>
        <w:tabs>
          <w:tab w:val="left" w:pos="851"/>
          <w:tab w:val="left" w:pos="1134"/>
        </w:tabs>
        <w:spacing w:line="360" w:lineRule="auto"/>
        <w:ind w:left="0" w:firstLine="567"/>
        <w:rPr>
          <w:rFonts w:hAnsi="宋体" w:cs="宋体"/>
          <w:sz w:val="24"/>
          <w:szCs w:val="24"/>
          <w:highlight w:val="none"/>
        </w:rPr>
      </w:pPr>
      <w:r>
        <w:rPr>
          <w:rFonts w:hint="eastAsia" w:hAnsi="宋体" w:cs="宋体"/>
          <w:sz w:val="24"/>
          <w:szCs w:val="24"/>
          <w:highlight w:val="none"/>
        </w:rPr>
        <w:t>供应商与采购代理机构存在关联关系，或者是采购代理机构的母公司或子公司，不得参加本项目政府采购活动。</w:t>
      </w:r>
    </w:p>
    <w:p>
      <w:pPr>
        <w:pStyle w:val="146"/>
        <w:tabs>
          <w:tab w:val="left" w:pos="851"/>
          <w:tab w:val="left" w:pos="1134"/>
        </w:tabs>
        <w:rPr>
          <w:highlight w:val="none"/>
        </w:rPr>
      </w:pPr>
    </w:p>
    <w:p>
      <w:pPr>
        <w:pStyle w:val="2"/>
        <w:rPr>
          <w:rFonts w:cs="宋体"/>
          <w:sz w:val="24"/>
          <w:szCs w:val="24"/>
          <w:highlight w:val="none"/>
        </w:rPr>
      </w:pPr>
      <w:bookmarkStart w:id="32" w:name="_Toc183682347"/>
      <w:bookmarkStart w:id="33" w:name="_Toc183582210"/>
      <w:bookmarkStart w:id="34" w:name="_Toc217446039"/>
      <w:bookmarkStart w:id="35" w:name="_Toc494464904"/>
      <w:bookmarkStart w:id="36" w:name="_Toc13652483"/>
      <w:r>
        <w:rPr>
          <w:rFonts w:hint="eastAsia" w:cs="宋体"/>
          <w:sz w:val="24"/>
          <w:szCs w:val="24"/>
          <w:highlight w:val="none"/>
        </w:rPr>
        <w:t>招标文件</w:t>
      </w:r>
      <w:bookmarkEnd w:id="32"/>
      <w:bookmarkEnd w:id="33"/>
      <w:bookmarkEnd w:id="34"/>
      <w:bookmarkEnd w:id="35"/>
      <w:bookmarkEnd w:id="36"/>
    </w:p>
    <w:p>
      <w:pPr>
        <w:pStyle w:val="4"/>
        <w:ind w:hanging="3119"/>
        <w:rPr>
          <w:rFonts w:cs="宋体"/>
          <w:color w:val="auto"/>
          <w:sz w:val="24"/>
          <w:szCs w:val="24"/>
          <w:highlight w:val="none"/>
        </w:rPr>
      </w:pPr>
      <w:r>
        <w:rPr>
          <w:rFonts w:hint="eastAsia" w:cs="宋体"/>
          <w:color w:val="auto"/>
          <w:sz w:val="24"/>
          <w:szCs w:val="24"/>
          <w:highlight w:val="none"/>
        </w:rPr>
        <w:t>招标文件的构成</w:t>
      </w:r>
    </w:p>
    <w:p>
      <w:pPr>
        <w:numPr>
          <w:ilvl w:val="0"/>
          <w:numId w:val="8"/>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投标邀请；</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投标人须知；</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投标文件格式；</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招标项目技术、服务、政府采购合同内容条款及其他商务要求；</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资格审查；</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评标办法；</w:t>
      </w:r>
    </w:p>
    <w:p>
      <w:pPr>
        <w:numPr>
          <w:ilvl w:val="1"/>
          <w:numId w:val="9"/>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合同主要条款。</w:t>
      </w:r>
    </w:p>
    <w:p>
      <w:pPr>
        <w:numPr>
          <w:ilvl w:val="0"/>
          <w:numId w:val="8"/>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投标人应认真阅读和充分理解招标文件中所有的事项、格式条款和规范要求。投标人没有对招标文件全面做出实质性响应所产生的风险由投标人承担。</w:t>
      </w:r>
    </w:p>
    <w:p>
      <w:pPr>
        <w:pStyle w:val="4"/>
        <w:ind w:left="0" w:firstLine="0"/>
        <w:rPr>
          <w:rFonts w:cs="宋体"/>
          <w:color w:val="auto"/>
          <w:sz w:val="24"/>
          <w:szCs w:val="24"/>
          <w:highlight w:val="none"/>
        </w:rPr>
      </w:pPr>
      <w:bookmarkStart w:id="37" w:name="_Toc183682348"/>
      <w:bookmarkStart w:id="38" w:name="_Toc183582211"/>
      <w:bookmarkStart w:id="39" w:name="_Toc217446040"/>
      <w:r>
        <w:rPr>
          <w:rFonts w:hint="eastAsia" w:cs="宋体"/>
          <w:color w:val="auto"/>
          <w:sz w:val="24"/>
          <w:szCs w:val="24"/>
          <w:highlight w:val="none"/>
        </w:rPr>
        <w:t>招标文件的澄清</w:t>
      </w:r>
      <w:bookmarkEnd w:id="37"/>
      <w:bookmarkEnd w:id="38"/>
      <w:r>
        <w:rPr>
          <w:rFonts w:hint="eastAsia" w:cs="宋体"/>
          <w:color w:val="auto"/>
          <w:sz w:val="24"/>
          <w:szCs w:val="24"/>
          <w:highlight w:val="none"/>
        </w:rPr>
        <w:t>和修改</w:t>
      </w:r>
      <w:bookmarkEnd w:id="39"/>
    </w:p>
    <w:p>
      <w:pPr>
        <w:numPr>
          <w:ilvl w:val="0"/>
          <w:numId w:val="10"/>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在投标截止时间前，招标采购单位无论出于何种原因，可以对招标文件进行必要的澄清或者修改，但不得改变采购标的和资格条件。</w:t>
      </w:r>
    </w:p>
    <w:p>
      <w:pPr>
        <w:numPr>
          <w:ilvl w:val="0"/>
          <w:numId w:val="10"/>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澄清或者修改应当在原公告发布媒体《四川政府采购网》上发布澄清公告。澄清或修改内容为招标文件的组成部分。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numPr>
          <w:ilvl w:val="0"/>
          <w:numId w:val="10"/>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4"/>
        <w:ind w:left="0" w:firstLine="0"/>
        <w:rPr>
          <w:rFonts w:cs="宋体"/>
          <w:color w:val="auto"/>
          <w:sz w:val="24"/>
          <w:szCs w:val="24"/>
          <w:highlight w:val="none"/>
        </w:rPr>
      </w:pPr>
      <w:r>
        <w:rPr>
          <w:rFonts w:hint="eastAsia" w:cs="宋体"/>
          <w:color w:val="auto"/>
          <w:sz w:val="24"/>
          <w:szCs w:val="24"/>
          <w:highlight w:val="none"/>
        </w:rPr>
        <w:t>答疑会和现场踏勘</w:t>
      </w:r>
    </w:p>
    <w:p>
      <w:pPr>
        <w:numPr>
          <w:ilvl w:val="0"/>
          <w:numId w:val="11"/>
        </w:numPr>
        <w:tabs>
          <w:tab w:val="left" w:pos="1134"/>
        </w:tabs>
        <w:spacing w:line="360" w:lineRule="auto"/>
        <w:ind w:left="0" w:firstLine="560"/>
        <w:rPr>
          <w:rFonts w:ascii="宋体" w:hAnsi="宋体" w:cs="宋体"/>
          <w:sz w:val="24"/>
          <w:szCs w:val="24"/>
          <w:highlight w:val="none"/>
        </w:rPr>
      </w:pPr>
      <w:bookmarkStart w:id="40" w:name="_Toc351016479"/>
      <w:r>
        <w:rPr>
          <w:rFonts w:hint="eastAsia" w:ascii="宋体" w:hAnsi="宋体" w:cs="宋体"/>
          <w:sz w:val="24"/>
          <w:szCs w:val="24"/>
          <w:highlight w:val="none"/>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numPr>
          <w:ilvl w:val="0"/>
          <w:numId w:val="11"/>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投标人考察现场所发生的一切费用由投标人自己承担。</w:t>
      </w:r>
      <w:bookmarkEnd w:id="40"/>
    </w:p>
    <w:p>
      <w:pPr>
        <w:pStyle w:val="2"/>
        <w:rPr>
          <w:rFonts w:cs="宋体"/>
          <w:sz w:val="24"/>
          <w:szCs w:val="24"/>
          <w:highlight w:val="none"/>
        </w:rPr>
      </w:pPr>
      <w:bookmarkStart w:id="41" w:name="_Toc13652484"/>
      <w:bookmarkStart w:id="42" w:name="_Toc183682351"/>
      <w:bookmarkStart w:id="43" w:name="_Toc77400780"/>
      <w:bookmarkStart w:id="44" w:name="_Toc89075876"/>
      <w:bookmarkStart w:id="45" w:name="_Toc494464905"/>
      <w:bookmarkStart w:id="46" w:name="_Toc183582214"/>
      <w:bookmarkStart w:id="47" w:name="_Toc217446042"/>
      <w:r>
        <w:rPr>
          <w:rFonts w:hint="eastAsia" w:cs="宋体"/>
          <w:sz w:val="24"/>
          <w:szCs w:val="24"/>
          <w:highlight w:val="none"/>
        </w:rPr>
        <w:t>投标文件</w:t>
      </w:r>
      <w:bookmarkEnd w:id="41"/>
      <w:bookmarkEnd w:id="42"/>
      <w:bookmarkEnd w:id="43"/>
      <w:bookmarkEnd w:id="44"/>
      <w:bookmarkEnd w:id="45"/>
      <w:bookmarkEnd w:id="46"/>
      <w:bookmarkEnd w:id="47"/>
    </w:p>
    <w:p>
      <w:pPr>
        <w:pStyle w:val="4"/>
        <w:ind w:left="0" w:firstLine="0"/>
        <w:rPr>
          <w:rFonts w:cs="宋体"/>
          <w:color w:val="auto"/>
          <w:sz w:val="24"/>
          <w:szCs w:val="24"/>
          <w:highlight w:val="none"/>
        </w:rPr>
      </w:pPr>
      <w:bookmarkStart w:id="48" w:name="_Toc183582215"/>
      <w:bookmarkStart w:id="49" w:name="_Toc217446043"/>
      <w:bookmarkStart w:id="50" w:name="_Toc183682352"/>
      <w:r>
        <w:rPr>
          <w:rFonts w:hint="eastAsia" w:cs="宋体"/>
          <w:color w:val="auto"/>
          <w:sz w:val="24"/>
          <w:szCs w:val="24"/>
          <w:highlight w:val="none"/>
        </w:rPr>
        <w:t>投标文件的语言</w:t>
      </w:r>
      <w:bookmarkEnd w:id="48"/>
      <w:bookmarkEnd w:id="49"/>
      <w:bookmarkEnd w:id="50"/>
      <w:r>
        <w:rPr>
          <w:rFonts w:hint="eastAsia" w:cs="宋体"/>
          <w:color w:val="auto"/>
          <w:sz w:val="24"/>
          <w:szCs w:val="24"/>
          <w:highlight w:val="none"/>
        </w:rPr>
        <w:t>（实质性要求）</w:t>
      </w:r>
    </w:p>
    <w:p>
      <w:pPr>
        <w:numPr>
          <w:ilvl w:val="0"/>
          <w:numId w:val="12"/>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投标人提交的投标文件以及投标人与招标采购单位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2"/>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对不同文字文本投标文件的解释发生异议的，以中文文本为准。若投标人投标文件中提供的外文资料未翻译成中文，则评标委员会可将其视为无效材料。涉嫌虚假响应的按照相关法律法规处理。</w:t>
      </w:r>
    </w:p>
    <w:p>
      <w:pPr>
        <w:pStyle w:val="4"/>
        <w:ind w:left="0" w:firstLine="0"/>
        <w:rPr>
          <w:rFonts w:cs="宋体"/>
          <w:color w:val="auto"/>
          <w:sz w:val="24"/>
          <w:szCs w:val="24"/>
          <w:highlight w:val="none"/>
        </w:rPr>
      </w:pPr>
      <w:bookmarkStart w:id="51" w:name="_Toc217446044"/>
      <w:bookmarkStart w:id="52" w:name="_Toc183682353"/>
      <w:bookmarkStart w:id="53" w:name="_Toc183582216"/>
      <w:r>
        <w:rPr>
          <w:rFonts w:hint="eastAsia" w:cs="宋体"/>
          <w:color w:val="auto"/>
          <w:sz w:val="24"/>
          <w:szCs w:val="24"/>
          <w:highlight w:val="none"/>
        </w:rPr>
        <w:t>计量单位</w:t>
      </w:r>
      <w:bookmarkEnd w:id="51"/>
      <w:bookmarkEnd w:id="52"/>
      <w:bookmarkEnd w:id="53"/>
      <w:r>
        <w:rPr>
          <w:rFonts w:hint="eastAsia" w:cs="宋体"/>
          <w:color w:val="auto"/>
          <w:sz w:val="24"/>
          <w:szCs w:val="24"/>
          <w:highlight w:val="none"/>
        </w:rPr>
        <w:t>（实质性要求）</w:t>
      </w:r>
    </w:p>
    <w:p>
      <w:pPr>
        <w:tabs>
          <w:tab w:val="left" w:pos="7665"/>
        </w:tabs>
        <w:spacing w:line="360" w:lineRule="auto"/>
        <w:ind w:left="13" w:firstLine="554"/>
        <w:rPr>
          <w:rFonts w:ascii="宋体" w:hAnsi="宋体" w:cs="宋体"/>
          <w:sz w:val="24"/>
          <w:szCs w:val="24"/>
          <w:highlight w:val="none"/>
        </w:rPr>
      </w:pPr>
      <w:r>
        <w:rPr>
          <w:rFonts w:hint="eastAsia" w:ascii="宋体" w:hAnsi="宋体" w:cs="宋体"/>
          <w:sz w:val="24"/>
          <w:szCs w:val="24"/>
          <w:highlight w:val="none"/>
        </w:rPr>
        <w:t>除招标文件中另有规定外，本次采购项目所有合同项下的投标均采用国家法定的计量单位。</w:t>
      </w:r>
    </w:p>
    <w:p>
      <w:pPr>
        <w:pStyle w:val="4"/>
        <w:ind w:left="0" w:firstLine="0"/>
        <w:rPr>
          <w:rFonts w:cs="宋体"/>
          <w:color w:val="auto"/>
          <w:sz w:val="24"/>
          <w:szCs w:val="24"/>
          <w:highlight w:val="none"/>
        </w:rPr>
      </w:pPr>
      <w:bookmarkStart w:id="54" w:name="_Toc217446045"/>
      <w:r>
        <w:rPr>
          <w:rFonts w:hint="eastAsia" w:cs="宋体"/>
          <w:color w:val="auto"/>
          <w:sz w:val="24"/>
          <w:szCs w:val="24"/>
          <w:highlight w:val="none"/>
        </w:rPr>
        <w:t>投标货币</w:t>
      </w:r>
      <w:bookmarkEnd w:id="54"/>
      <w:r>
        <w:rPr>
          <w:rFonts w:hint="eastAsia" w:cs="宋体"/>
          <w:color w:val="auto"/>
          <w:sz w:val="24"/>
          <w:szCs w:val="24"/>
          <w:highlight w:val="none"/>
        </w:rPr>
        <w:t>（实质性要求）</w:t>
      </w:r>
    </w:p>
    <w:p>
      <w:pPr>
        <w:tabs>
          <w:tab w:val="left" w:pos="7665"/>
        </w:tabs>
        <w:spacing w:line="360" w:lineRule="auto"/>
        <w:ind w:left="13" w:firstLine="554"/>
        <w:rPr>
          <w:rFonts w:ascii="宋体" w:hAnsi="宋体" w:cs="宋体"/>
          <w:sz w:val="24"/>
          <w:szCs w:val="24"/>
          <w:highlight w:val="none"/>
        </w:rPr>
      </w:pPr>
      <w:r>
        <w:rPr>
          <w:rFonts w:hint="eastAsia" w:ascii="宋体" w:hAnsi="宋体" w:cs="宋体"/>
          <w:sz w:val="24"/>
          <w:szCs w:val="24"/>
          <w:highlight w:val="none"/>
        </w:rPr>
        <w:t>本次招标项目的投标均以人民币报价。</w:t>
      </w:r>
    </w:p>
    <w:p>
      <w:pPr>
        <w:pStyle w:val="4"/>
        <w:ind w:left="0" w:firstLine="0"/>
        <w:rPr>
          <w:rFonts w:cs="宋体"/>
          <w:color w:val="auto"/>
          <w:sz w:val="24"/>
          <w:szCs w:val="24"/>
          <w:highlight w:val="none"/>
        </w:rPr>
      </w:pPr>
      <w:bookmarkStart w:id="55" w:name="_Toc217446046"/>
      <w:r>
        <w:rPr>
          <w:rFonts w:hint="eastAsia" w:cs="宋体"/>
          <w:color w:val="auto"/>
          <w:sz w:val="24"/>
          <w:szCs w:val="24"/>
          <w:highlight w:val="none"/>
        </w:rPr>
        <w:t>联合体投标</w:t>
      </w:r>
      <w:bookmarkEnd w:id="55"/>
      <w:r>
        <w:rPr>
          <w:rFonts w:hint="eastAsia" w:cs="宋体"/>
          <w:color w:val="auto"/>
          <w:sz w:val="24"/>
          <w:szCs w:val="24"/>
          <w:highlight w:val="none"/>
        </w:rPr>
        <w:t>（实质性要求）</w:t>
      </w:r>
    </w:p>
    <w:p>
      <w:pPr>
        <w:tabs>
          <w:tab w:val="left" w:pos="1134"/>
        </w:tabs>
        <w:spacing w:line="360" w:lineRule="auto"/>
        <w:ind w:left="546"/>
        <w:rPr>
          <w:rFonts w:ascii="宋体" w:hAnsi="宋体" w:cs="宋体"/>
          <w:sz w:val="24"/>
          <w:szCs w:val="24"/>
          <w:highlight w:val="none"/>
        </w:rPr>
      </w:pPr>
      <w:r>
        <w:rPr>
          <w:rFonts w:hint="eastAsia" w:ascii="宋体" w:hAnsi="宋体" w:cs="宋体"/>
          <w:sz w:val="24"/>
          <w:szCs w:val="24"/>
          <w:highlight w:val="none"/>
        </w:rPr>
        <w:t>本次政府采购活动</w:t>
      </w:r>
      <w:r>
        <w:rPr>
          <w:rFonts w:hint="eastAsia" w:ascii="宋体" w:hAnsi="宋体" w:cs="宋体"/>
          <w:b/>
          <w:sz w:val="24"/>
          <w:szCs w:val="24"/>
          <w:highlight w:val="none"/>
        </w:rPr>
        <w:t>不接受</w:t>
      </w:r>
      <w:r>
        <w:rPr>
          <w:rFonts w:hint="eastAsia" w:ascii="宋体" w:hAnsi="宋体" w:cs="宋体"/>
          <w:sz w:val="24"/>
          <w:szCs w:val="24"/>
          <w:highlight w:val="none"/>
        </w:rPr>
        <w:t>联合体投标。</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两个以上投标人可以组成一个联合体投标，以一个投标人的身份投标。以联合体形式参加投标的，联合体各方均应当符合《中华人民共和国政府采购法》第二十二条第一款规定的条件。采购人根据采购项目的特殊要求规定投标人特定条件的，联合体各方中至少应当有一方符合采购人规定的特定条件。</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联合体各方之间应当签订联合体投标协议，明确约定联合体各方承担的工作和相应的责任，并将共同联合体投标协议连同投标文件一并提交招标采购单位。</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联合体应当确定其中一个单位为投标的全权代表，负责参加投标的一切事务，并承担投标及履约中应承担的全部责任与义务。</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联合体各方应当共同与采购人签订采购合同，就采购合同约定的事项对采购人承担连带责任。</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联合体中有同类资质的投标人按照联合体分工承担相同工作的，应当按照资质等级较低的投标人确定资质等级。</w:t>
      </w:r>
    </w:p>
    <w:p>
      <w:pPr>
        <w:numPr>
          <w:ilvl w:val="0"/>
          <w:numId w:val="13"/>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以联合体形式参加政府采购活动的，联合体各方不得再单独参加或者与其他投标人另外组成联合体参加同一合同项下的政府采购活动。</w:t>
      </w:r>
    </w:p>
    <w:p>
      <w:pPr>
        <w:pStyle w:val="4"/>
        <w:ind w:left="0" w:firstLine="0"/>
        <w:rPr>
          <w:rFonts w:cs="宋体"/>
          <w:color w:val="auto"/>
          <w:sz w:val="24"/>
          <w:szCs w:val="24"/>
          <w:highlight w:val="none"/>
        </w:rPr>
      </w:pPr>
      <w:bookmarkStart w:id="56" w:name="_Toc217446047"/>
      <w:r>
        <w:rPr>
          <w:rFonts w:hint="eastAsia" w:cs="宋体"/>
          <w:color w:val="auto"/>
          <w:sz w:val="24"/>
          <w:szCs w:val="24"/>
          <w:highlight w:val="none"/>
        </w:rPr>
        <w:t>知识产权</w:t>
      </w:r>
      <w:bookmarkEnd w:id="56"/>
      <w:r>
        <w:rPr>
          <w:rFonts w:hint="eastAsia" w:cs="宋体"/>
          <w:color w:val="auto"/>
          <w:sz w:val="24"/>
          <w:szCs w:val="24"/>
          <w:highlight w:val="none"/>
        </w:rPr>
        <w:t>（实质性要求）</w:t>
      </w:r>
    </w:p>
    <w:p>
      <w:pPr>
        <w:pStyle w:val="135"/>
        <w:numPr>
          <w:ilvl w:val="0"/>
          <w:numId w:val="14"/>
        </w:numPr>
        <w:tabs>
          <w:tab w:val="left" w:pos="993"/>
        </w:tabs>
        <w:spacing w:line="360" w:lineRule="auto"/>
        <w:ind w:left="0" w:firstLine="549" w:firstLineChars="0"/>
        <w:rPr>
          <w:rFonts w:ascii="宋体" w:hAnsi="宋体" w:cs="宋体"/>
          <w:sz w:val="24"/>
          <w:szCs w:val="24"/>
          <w:highlight w:val="none"/>
        </w:rPr>
      </w:pPr>
      <w:r>
        <w:rPr>
          <w:rFonts w:hint="eastAsia" w:ascii="宋体" w:hAnsi="宋体" w:cs="宋体"/>
          <w:sz w:val="24"/>
          <w:szCs w:val="24"/>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35"/>
        <w:numPr>
          <w:ilvl w:val="0"/>
          <w:numId w:val="14"/>
        </w:numPr>
        <w:spacing w:line="360" w:lineRule="auto"/>
        <w:ind w:left="0" w:firstLine="549" w:firstLineChars="0"/>
        <w:rPr>
          <w:rFonts w:ascii="宋体" w:hAnsi="宋体" w:cs="宋体"/>
          <w:sz w:val="24"/>
          <w:szCs w:val="24"/>
          <w:highlight w:val="none"/>
        </w:rPr>
      </w:pPr>
      <w:r>
        <w:rPr>
          <w:rFonts w:hint="eastAsia" w:ascii="宋体" w:hAnsi="宋体" w:cs="宋体"/>
          <w:sz w:val="24"/>
          <w:szCs w:val="24"/>
          <w:highlight w:val="none"/>
        </w:rPr>
        <w:t>采购人享有本项目实施过程中产生的知识成果及知识产权。</w:t>
      </w:r>
    </w:p>
    <w:p>
      <w:pPr>
        <w:pStyle w:val="135"/>
        <w:numPr>
          <w:ilvl w:val="0"/>
          <w:numId w:val="14"/>
        </w:numPr>
        <w:spacing w:line="360" w:lineRule="auto"/>
        <w:ind w:left="0" w:firstLine="549" w:firstLineChars="0"/>
        <w:rPr>
          <w:rFonts w:ascii="宋体" w:hAnsi="宋体" w:cs="宋体"/>
          <w:sz w:val="24"/>
          <w:szCs w:val="24"/>
          <w:highlight w:val="none"/>
        </w:rPr>
      </w:pPr>
      <w:r>
        <w:rPr>
          <w:rFonts w:hint="eastAsia" w:ascii="宋体" w:hAnsi="宋体" w:cs="宋体"/>
          <w:sz w:val="24"/>
          <w:szCs w:val="24"/>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35"/>
        <w:numPr>
          <w:ilvl w:val="0"/>
          <w:numId w:val="14"/>
        </w:numPr>
        <w:spacing w:line="360" w:lineRule="auto"/>
        <w:ind w:left="0" w:firstLine="549" w:firstLineChars="0"/>
        <w:rPr>
          <w:rFonts w:ascii="宋体" w:hAnsi="宋体" w:cs="宋体"/>
          <w:sz w:val="24"/>
          <w:szCs w:val="24"/>
          <w:highlight w:val="none"/>
        </w:rPr>
      </w:pPr>
      <w:r>
        <w:rPr>
          <w:rFonts w:hint="eastAsia" w:ascii="宋体" w:hAnsi="宋体" w:cs="宋体"/>
          <w:sz w:val="24"/>
          <w:szCs w:val="24"/>
          <w:highlight w:val="none"/>
        </w:rPr>
        <w:t>如采用投标人所不拥有的知识产权，则在投标报价中必须包括合法获取该知识产权的相关费用。</w:t>
      </w:r>
    </w:p>
    <w:p>
      <w:pPr>
        <w:pStyle w:val="4"/>
        <w:ind w:left="0" w:firstLine="0"/>
        <w:rPr>
          <w:rFonts w:cs="宋体"/>
          <w:color w:val="auto"/>
          <w:sz w:val="24"/>
          <w:szCs w:val="24"/>
          <w:highlight w:val="none"/>
        </w:rPr>
      </w:pPr>
      <w:bookmarkStart w:id="57" w:name="_Toc183582217"/>
      <w:bookmarkStart w:id="58" w:name="_Toc183682354"/>
      <w:bookmarkStart w:id="59" w:name="_Toc217446048"/>
      <w:r>
        <w:rPr>
          <w:rFonts w:hint="eastAsia" w:cs="宋体"/>
          <w:color w:val="auto"/>
          <w:sz w:val="24"/>
          <w:szCs w:val="24"/>
          <w:highlight w:val="none"/>
        </w:rPr>
        <w:t>投标文件的组成</w:t>
      </w:r>
      <w:bookmarkEnd w:id="57"/>
      <w:bookmarkEnd w:id="58"/>
      <w:bookmarkEnd w:id="59"/>
    </w:p>
    <w:p>
      <w:pPr>
        <w:spacing w:line="360" w:lineRule="auto"/>
        <w:ind w:firstLine="470" w:firstLineChars="196"/>
        <w:rPr>
          <w:rFonts w:ascii="宋体" w:hAnsi="宋体" w:cs="宋体"/>
          <w:sz w:val="24"/>
          <w:szCs w:val="24"/>
          <w:highlight w:val="none"/>
        </w:rPr>
      </w:pPr>
      <w:r>
        <w:rPr>
          <w:rFonts w:hint="eastAsia" w:ascii="宋体" w:hAnsi="宋体" w:cs="宋体"/>
          <w:sz w:val="24"/>
          <w:szCs w:val="24"/>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numPr>
          <w:ilvl w:val="0"/>
          <w:numId w:val="15"/>
        </w:numPr>
        <w:spacing w:line="360" w:lineRule="auto"/>
        <w:ind w:left="546"/>
        <w:rPr>
          <w:rFonts w:ascii="宋体" w:hAnsi="宋体" w:cs="宋体"/>
          <w:b/>
          <w:kern w:val="0"/>
          <w:sz w:val="24"/>
          <w:szCs w:val="24"/>
          <w:highlight w:val="none"/>
        </w:rPr>
      </w:pPr>
      <w:r>
        <w:rPr>
          <w:rFonts w:hint="eastAsia" w:ascii="宋体" w:hAnsi="宋体" w:cs="宋体"/>
          <w:b/>
          <w:kern w:val="0"/>
          <w:sz w:val="24"/>
          <w:szCs w:val="24"/>
          <w:highlight w:val="none"/>
        </w:rPr>
        <w:t>投标文件封面；</w:t>
      </w:r>
    </w:p>
    <w:p>
      <w:pPr>
        <w:numPr>
          <w:ilvl w:val="0"/>
          <w:numId w:val="16"/>
        </w:numPr>
        <w:tabs>
          <w:tab w:val="left" w:pos="993"/>
        </w:tabs>
        <w:spacing w:line="360" w:lineRule="auto"/>
        <w:ind w:left="546"/>
        <w:rPr>
          <w:rFonts w:ascii="宋体" w:hAnsi="宋体" w:cs="宋体"/>
          <w:b/>
          <w:kern w:val="0"/>
          <w:sz w:val="24"/>
          <w:szCs w:val="24"/>
          <w:highlight w:val="none"/>
        </w:rPr>
      </w:pPr>
      <w:r>
        <w:rPr>
          <w:rFonts w:hint="eastAsia" w:ascii="宋体" w:hAnsi="宋体" w:cs="宋体"/>
          <w:b/>
          <w:kern w:val="0"/>
          <w:sz w:val="24"/>
          <w:szCs w:val="24"/>
          <w:highlight w:val="none"/>
        </w:rPr>
        <w:t>投标文件第一部分  详见第5章；</w:t>
      </w:r>
    </w:p>
    <w:p>
      <w:pPr>
        <w:tabs>
          <w:tab w:val="left" w:pos="1134"/>
        </w:tabs>
        <w:spacing w:line="360" w:lineRule="auto"/>
        <w:ind w:left="546"/>
        <w:rPr>
          <w:rFonts w:ascii="宋体" w:hAnsi="宋体" w:cs="宋体"/>
          <w:b/>
          <w:sz w:val="24"/>
          <w:szCs w:val="24"/>
          <w:highlight w:val="none"/>
        </w:rPr>
      </w:pPr>
      <w:r>
        <w:rPr>
          <w:rFonts w:hint="eastAsia" w:ascii="宋体" w:hAnsi="宋体" w:cs="宋体"/>
          <w:b/>
          <w:kern w:val="0"/>
          <w:sz w:val="24"/>
          <w:szCs w:val="24"/>
          <w:highlight w:val="none"/>
        </w:rPr>
        <w:t>三、</w:t>
      </w:r>
      <w:r>
        <w:rPr>
          <w:rFonts w:hint="eastAsia" w:ascii="宋体" w:hAnsi="宋体" w:cs="宋体"/>
          <w:b/>
          <w:sz w:val="24"/>
          <w:szCs w:val="24"/>
          <w:highlight w:val="none"/>
        </w:rPr>
        <w:t>投标文件第二部分  技术、商务及其他要求响应部分：</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投标函；</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投标报价表；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分项报价明细表；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技术偏离表；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商务应答表；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技术、服务、商务应答附表；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投标人基本情况表；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项目人员配置情况表；</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中小企业声明函（监狱企业视同中小企业，如未提供中小企业声明函或声明函签字盖章等不符合招标文件要求的，则其投标产品中的小型、微型企业生产的产品不能享受招标文件规定的价格扣除，但不影响投标人投标文件的有效性）；</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残疾人福利性单位声明函（如未提供残疾人福利性单位声明函或声明函签字盖章等不符合招标文件要求的，则其投标产品中的残疾人福利性单位生产的产品不能享受招标文件规定的价格扣除，但不影响投标人投标文件的有效性）；</w:t>
      </w:r>
    </w:p>
    <w:p>
      <w:pPr>
        <w:numPr>
          <w:ilvl w:val="0"/>
          <w:numId w:val="17"/>
        </w:numPr>
        <w:tabs>
          <w:tab w:val="left" w:pos="993"/>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lang w:eastAsia="zh-Hans"/>
        </w:rPr>
        <w:t>监狱企业证明材料：监狱企业提供的服务应提供由</w:t>
      </w:r>
      <w:r>
        <w:rPr>
          <w:rFonts w:hint="eastAsia" w:ascii="宋体" w:hAnsi="宋体" w:cs="宋体"/>
          <w:b/>
          <w:kern w:val="0"/>
          <w:sz w:val="24"/>
          <w:szCs w:val="24"/>
          <w:highlight w:val="none"/>
        </w:rPr>
        <w:t>省级以上监狱管理局、戒毒管理局（含新疆生产建设兵团）出具的生产厂商属于监狱企业的证明文件复印件（</w:t>
      </w:r>
      <w:r>
        <w:rPr>
          <w:rFonts w:hint="eastAsia" w:ascii="宋体" w:hAnsi="宋体" w:cs="宋体"/>
          <w:b/>
          <w:kern w:val="0"/>
          <w:sz w:val="24"/>
          <w:szCs w:val="24"/>
          <w:highlight w:val="none"/>
          <w:lang w:eastAsia="zh-Hans"/>
        </w:rPr>
        <w:t>注：</w:t>
      </w:r>
      <w:r>
        <w:rPr>
          <w:rFonts w:ascii="宋体" w:hAnsi="宋体" w:cs="宋体"/>
          <w:b/>
          <w:kern w:val="0"/>
          <w:sz w:val="24"/>
          <w:szCs w:val="24"/>
          <w:highlight w:val="none"/>
          <w:lang w:eastAsia="zh-Hans"/>
        </w:rPr>
        <w:t>1.</w:t>
      </w:r>
      <w:r>
        <w:rPr>
          <w:rFonts w:hint="eastAsia" w:ascii="宋体" w:hAnsi="宋体" w:cs="宋体"/>
          <w:b/>
          <w:kern w:val="0"/>
          <w:sz w:val="24"/>
          <w:szCs w:val="24"/>
          <w:highlight w:val="none"/>
        </w:rPr>
        <w:t>如未提供相关证明材料的，则其投标的监狱企业提供的服务不能享受招标文件规定的价格扣除，但不影响投标人投标文件的有效性</w:t>
      </w:r>
      <w:r>
        <w:rPr>
          <w:rFonts w:hint="eastAsia" w:ascii="宋体" w:hAnsi="宋体" w:cs="宋体"/>
          <w:b/>
          <w:kern w:val="0"/>
          <w:sz w:val="24"/>
          <w:szCs w:val="24"/>
          <w:highlight w:val="none"/>
          <w:lang w:eastAsia="zh-Hans"/>
        </w:rPr>
        <w:t>；</w:t>
      </w:r>
      <w:r>
        <w:rPr>
          <w:rFonts w:ascii="宋体" w:hAnsi="宋体" w:cs="宋体"/>
          <w:b/>
          <w:kern w:val="0"/>
          <w:sz w:val="24"/>
          <w:szCs w:val="24"/>
          <w:highlight w:val="none"/>
          <w:lang w:eastAsia="zh-Hans"/>
        </w:rPr>
        <w:t>2.如监狱企业证明材料中监狱企业的企业名称与投标货物提供商名称不一致的，则该部分货物不能享受招标文件规定的价格扣除，但不影响投标人投标文件的有效性</w:t>
      </w:r>
      <w:r>
        <w:rPr>
          <w:rFonts w:hint="eastAsia" w:ascii="宋体" w:hAnsi="宋体" w:cs="宋体"/>
          <w:b/>
          <w:kern w:val="0"/>
          <w:sz w:val="24"/>
          <w:szCs w:val="24"/>
          <w:highlight w:val="none"/>
        </w:rPr>
        <w:t>）。</w:t>
      </w:r>
    </w:p>
    <w:p>
      <w:pPr>
        <w:numPr>
          <w:ilvl w:val="0"/>
          <w:numId w:val="17"/>
        </w:numPr>
        <w:tabs>
          <w:tab w:val="left" w:pos="993"/>
          <w:tab w:val="left" w:pos="1418"/>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投标产品技术性能、技术参数和配置的详细描述；</w:t>
      </w:r>
    </w:p>
    <w:p>
      <w:pPr>
        <w:numPr>
          <w:ilvl w:val="0"/>
          <w:numId w:val="17"/>
        </w:numPr>
        <w:tabs>
          <w:tab w:val="left" w:pos="993"/>
          <w:tab w:val="left" w:pos="1418"/>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项目实施方案</w:t>
      </w:r>
    </w:p>
    <w:p>
      <w:pPr>
        <w:numPr>
          <w:ilvl w:val="0"/>
          <w:numId w:val="17"/>
        </w:numPr>
        <w:tabs>
          <w:tab w:val="left" w:pos="993"/>
          <w:tab w:val="left" w:pos="1418"/>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售后服务及承诺</w:t>
      </w:r>
    </w:p>
    <w:p>
      <w:pPr>
        <w:numPr>
          <w:ilvl w:val="0"/>
          <w:numId w:val="17"/>
        </w:numPr>
        <w:tabs>
          <w:tab w:val="left" w:pos="993"/>
          <w:tab w:val="left" w:pos="1418"/>
        </w:tabs>
        <w:spacing w:line="560" w:lineRule="exact"/>
        <w:ind w:left="0" w:firstLine="567"/>
        <w:rPr>
          <w:rFonts w:ascii="宋体" w:hAnsi="宋体" w:cs="宋体"/>
          <w:b/>
          <w:kern w:val="0"/>
          <w:sz w:val="24"/>
          <w:szCs w:val="24"/>
          <w:highlight w:val="none"/>
        </w:rPr>
      </w:pPr>
      <w:r>
        <w:rPr>
          <w:rFonts w:hint="eastAsia" w:ascii="宋体" w:hAnsi="宋体" w:cs="宋体"/>
          <w:b/>
          <w:kern w:val="0"/>
          <w:sz w:val="24"/>
          <w:szCs w:val="24"/>
          <w:highlight w:val="none"/>
        </w:rPr>
        <w:t>国家强制认证产品承诺函</w:t>
      </w:r>
    </w:p>
    <w:p>
      <w:pPr>
        <w:pStyle w:val="4"/>
        <w:ind w:left="0" w:firstLine="0"/>
        <w:rPr>
          <w:rFonts w:cs="宋体"/>
          <w:color w:val="auto"/>
          <w:sz w:val="24"/>
          <w:szCs w:val="24"/>
          <w:highlight w:val="none"/>
        </w:rPr>
      </w:pPr>
      <w:bookmarkStart w:id="60" w:name="_Toc316292019"/>
      <w:bookmarkEnd w:id="60"/>
      <w:bookmarkStart w:id="61" w:name="_Toc316291395"/>
      <w:bookmarkEnd w:id="61"/>
      <w:bookmarkStart w:id="62" w:name="_Toc316292020"/>
      <w:bookmarkEnd w:id="62"/>
      <w:bookmarkStart w:id="63" w:name="_Toc316291396"/>
      <w:bookmarkEnd w:id="63"/>
      <w:bookmarkStart w:id="64" w:name="_Toc183582218"/>
      <w:bookmarkStart w:id="65" w:name="_Toc183682355"/>
      <w:bookmarkStart w:id="66" w:name="_Toc217446049"/>
      <w:r>
        <w:rPr>
          <w:rFonts w:hint="eastAsia" w:cs="宋体"/>
          <w:color w:val="auto"/>
          <w:sz w:val="24"/>
          <w:szCs w:val="24"/>
          <w:highlight w:val="none"/>
        </w:rPr>
        <w:t>投标文件格式</w:t>
      </w:r>
      <w:bookmarkEnd w:id="64"/>
      <w:bookmarkEnd w:id="65"/>
      <w:bookmarkEnd w:id="66"/>
      <w:r>
        <w:rPr>
          <w:rFonts w:hint="eastAsia" w:cs="宋体"/>
          <w:color w:val="auto"/>
          <w:sz w:val="24"/>
          <w:szCs w:val="24"/>
          <w:highlight w:val="none"/>
        </w:rPr>
        <w:tab/>
      </w:r>
    </w:p>
    <w:p>
      <w:pPr>
        <w:numPr>
          <w:ilvl w:val="0"/>
          <w:numId w:val="18"/>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投标人应按照招标文件第3章中提供的“投标文件格式”填写相关内容。</w:t>
      </w:r>
    </w:p>
    <w:p>
      <w:pPr>
        <w:numPr>
          <w:ilvl w:val="0"/>
          <w:numId w:val="18"/>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对于没有格式要求的投标文件由投标人自行编写。</w:t>
      </w:r>
    </w:p>
    <w:p>
      <w:pPr>
        <w:numPr>
          <w:ilvl w:val="0"/>
          <w:numId w:val="18"/>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除特别要求外，本招标文件中的“投标文件格式”均只作为参考，不作为实质性审查条件。</w:t>
      </w:r>
    </w:p>
    <w:p>
      <w:pPr>
        <w:pStyle w:val="4"/>
        <w:ind w:left="0" w:firstLine="0"/>
        <w:rPr>
          <w:rFonts w:cs="宋体"/>
          <w:color w:val="auto"/>
          <w:sz w:val="24"/>
          <w:szCs w:val="24"/>
          <w:highlight w:val="none"/>
        </w:rPr>
      </w:pPr>
      <w:r>
        <w:rPr>
          <w:rFonts w:hint="eastAsia" w:cs="宋体"/>
          <w:color w:val="auto"/>
          <w:sz w:val="24"/>
          <w:szCs w:val="24"/>
          <w:highlight w:val="none"/>
        </w:rPr>
        <w:t>投标报价（实质性要求）</w:t>
      </w:r>
    </w:p>
    <w:p>
      <w:pPr>
        <w:numPr>
          <w:ilvl w:val="0"/>
          <w:numId w:val="19"/>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投标人的报价是投标人响应招标项目要求的全部工作内容的价格体现，包括投标人完成本项目所需的一切费用。</w:t>
      </w:r>
    </w:p>
    <w:p>
      <w:pPr>
        <w:numPr>
          <w:ilvl w:val="0"/>
          <w:numId w:val="19"/>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投标人每种货物及服务内容只允许有一个报价，并且在合同履行过程中是固定不变的，任何有选择或可调整的报价将不予接受，并按无效投标处理。</w:t>
      </w:r>
    </w:p>
    <w:p>
      <w:pPr>
        <w:numPr>
          <w:ilvl w:val="0"/>
          <w:numId w:val="19"/>
        </w:numPr>
        <w:tabs>
          <w:tab w:val="left" w:pos="1134"/>
        </w:tabs>
        <w:spacing w:line="360" w:lineRule="auto"/>
        <w:ind w:left="0" w:firstLine="560"/>
        <w:rPr>
          <w:rFonts w:ascii="宋体" w:hAnsi="宋体" w:cs="宋体"/>
          <w:sz w:val="24"/>
          <w:szCs w:val="24"/>
          <w:highlight w:val="none"/>
        </w:rPr>
      </w:pPr>
      <w:r>
        <w:rPr>
          <w:rFonts w:hint="eastAsia" w:ascii="宋体" w:hAnsi="宋体" w:cs="宋体"/>
          <w:sz w:val="24"/>
          <w:szCs w:val="24"/>
          <w:highlight w:val="none"/>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同时出现两种以上不一致的，按照前款规定的顺序修正。修正后的报价经投标人以书面形式进行确认，并加盖公章，或者由法定代表人或其授权的代表签字后产生约束力，投标人不确认的，其投标无效。</w:t>
      </w:r>
    </w:p>
    <w:p>
      <w:pPr>
        <w:pStyle w:val="4"/>
        <w:ind w:left="0" w:firstLine="0"/>
        <w:rPr>
          <w:rFonts w:cs="宋体"/>
          <w:color w:val="auto"/>
          <w:sz w:val="24"/>
          <w:szCs w:val="24"/>
          <w:highlight w:val="none"/>
        </w:rPr>
      </w:pPr>
      <w:bookmarkStart w:id="67" w:name="_Toc183682360"/>
      <w:bookmarkStart w:id="68" w:name="_Toc217446050"/>
      <w:bookmarkStart w:id="69" w:name="_Toc183582223"/>
      <w:r>
        <w:rPr>
          <w:rFonts w:hint="eastAsia" w:cs="宋体"/>
          <w:color w:val="auto"/>
          <w:sz w:val="24"/>
          <w:szCs w:val="24"/>
          <w:highlight w:val="none"/>
        </w:rPr>
        <w:t>投标保证金</w:t>
      </w:r>
      <w:bookmarkEnd w:id="67"/>
      <w:bookmarkEnd w:id="68"/>
      <w:bookmarkEnd w:id="69"/>
      <w:r>
        <w:rPr>
          <w:rFonts w:hint="eastAsia" w:cs="宋体"/>
          <w:color w:val="auto"/>
          <w:sz w:val="24"/>
          <w:szCs w:val="24"/>
          <w:highlight w:val="none"/>
        </w:rPr>
        <w:t>（实质性要求）</w:t>
      </w:r>
    </w:p>
    <w:p>
      <w:pPr>
        <w:tabs>
          <w:tab w:val="left" w:pos="1134"/>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不收取投标保证金。</w:t>
      </w:r>
    </w:p>
    <w:p>
      <w:pPr>
        <w:pStyle w:val="4"/>
        <w:tabs>
          <w:tab w:val="left" w:pos="851"/>
        </w:tabs>
        <w:ind w:left="0" w:firstLine="0"/>
        <w:rPr>
          <w:rFonts w:cs="宋体"/>
          <w:color w:val="auto"/>
          <w:sz w:val="24"/>
          <w:szCs w:val="24"/>
          <w:highlight w:val="none"/>
        </w:rPr>
      </w:pPr>
      <w:bookmarkStart w:id="70" w:name="_Toc316292024"/>
      <w:bookmarkEnd w:id="70"/>
      <w:bookmarkStart w:id="71" w:name="_Toc316291400"/>
      <w:bookmarkEnd w:id="71"/>
      <w:bookmarkStart w:id="72" w:name="_Toc183582224"/>
      <w:bookmarkStart w:id="73" w:name="_Toc217446051"/>
      <w:bookmarkStart w:id="74" w:name="_Toc183682361"/>
      <w:r>
        <w:rPr>
          <w:rFonts w:hint="eastAsia" w:cs="宋体"/>
          <w:color w:val="auto"/>
          <w:sz w:val="24"/>
          <w:szCs w:val="24"/>
          <w:highlight w:val="none"/>
        </w:rPr>
        <w:t>投标有效期</w:t>
      </w:r>
      <w:bookmarkEnd w:id="72"/>
      <w:bookmarkEnd w:id="73"/>
      <w:bookmarkEnd w:id="74"/>
      <w:r>
        <w:rPr>
          <w:rFonts w:hint="eastAsia" w:cs="宋体"/>
          <w:color w:val="auto"/>
          <w:sz w:val="24"/>
          <w:szCs w:val="24"/>
          <w:highlight w:val="none"/>
        </w:rPr>
        <w:t>（实质性要求）</w:t>
      </w:r>
    </w:p>
    <w:p>
      <w:pPr>
        <w:numPr>
          <w:ilvl w:val="0"/>
          <w:numId w:val="20"/>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本项目投标有效期为投标截止之日起120天。投标人投标文件中必须载明投标有效期，投标文件中载明的投标有效期可以长于招标文件规定的期限，但不得短于招标文件规定的期限。否则，其投标文件将作为无效投标处理。</w:t>
      </w:r>
    </w:p>
    <w:p>
      <w:pPr>
        <w:numPr>
          <w:ilvl w:val="0"/>
          <w:numId w:val="20"/>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 xml:space="preserve">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numPr>
          <w:ilvl w:val="0"/>
          <w:numId w:val="20"/>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tabs>
          <w:tab w:val="left" w:pos="851"/>
        </w:tabs>
        <w:ind w:left="0" w:firstLine="0"/>
        <w:rPr>
          <w:rFonts w:cs="宋体"/>
          <w:color w:val="auto"/>
          <w:sz w:val="24"/>
          <w:szCs w:val="24"/>
          <w:highlight w:val="none"/>
        </w:rPr>
      </w:pPr>
      <w:bookmarkStart w:id="75" w:name="_Toc217446052"/>
      <w:bookmarkStart w:id="76" w:name="_Toc183582225"/>
      <w:bookmarkStart w:id="77" w:name="_Toc183682362"/>
      <w:r>
        <w:rPr>
          <w:rFonts w:hint="eastAsia" w:cs="宋体"/>
          <w:color w:val="auto"/>
          <w:sz w:val="24"/>
          <w:szCs w:val="24"/>
          <w:highlight w:val="none"/>
        </w:rPr>
        <w:t>投标文件的印制和签署</w:t>
      </w:r>
      <w:bookmarkEnd w:id="75"/>
      <w:bookmarkEnd w:id="76"/>
      <w:bookmarkEnd w:id="77"/>
    </w:p>
    <w:p>
      <w:pPr>
        <w:numPr>
          <w:ilvl w:val="0"/>
          <w:numId w:val="2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人应按投标人须知前附表要求的份数准备投标文件1正2副，电子文档1份(如涉及)（投标人提供word格式的电子文档，投标后电子文档概不退还，电子文档与书面投标文件不一致的，或正本和副本有不一致的内容，以正本书面投标文件为准，但不影响投标有效性）。</w:t>
      </w:r>
    </w:p>
    <w:p>
      <w:pPr>
        <w:numPr>
          <w:ilvl w:val="0"/>
          <w:numId w:val="2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投标文件的需打印或用不褪色、不变质的墨水书写，并由投标人的法定代表人或其授权代表在规定签章处签字或盖章。投标文件副本可采用正本的复印件。</w:t>
      </w:r>
    </w:p>
    <w:p>
      <w:pPr>
        <w:numPr>
          <w:ilvl w:val="0"/>
          <w:numId w:val="2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投标文件的打印和书写应清楚工整，任何行间插字、涂改或增删，必须由投标人的法定代表人或其授权代理人签字或盖个人印章。</w:t>
      </w:r>
    </w:p>
    <w:p>
      <w:pPr>
        <w:numPr>
          <w:ilvl w:val="0"/>
          <w:numId w:val="2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投标文件正本和副本采取胶装方式装订成册，不能使用订书钉或活页夹装订，不能是散页（对投标文件的补充、修改或撤回的书面通知除外）。</w:t>
      </w:r>
    </w:p>
    <w:p>
      <w:pPr>
        <w:numPr>
          <w:ilvl w:val="0"/>
          <w:numId w:val="2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投标文件应根据招标文件的要求制作，签署、盖章和内容应完整。（①招标文件中要求提供复印件加盖公章的证明材料的，复印件所在页按要求加盖了公章或复印件为多页但至少有一页按要求加盖了公章的，视为满足复印件加盖公章的要求；②招标文件中要求提供复印件的证明材料的，原件的影印件、复印件、照片均有效。）。</w:t>
      </w:r>
    </w:p>
    <w:p>
      <w:pPr>
        <w:numPr>
          <w:ilvl w:val="0"/>
          <w:numId w:val="21"/>
        </w:numPr>
        <w:tabs>
          <w:tab w:val="left" w:pos="1134"/>
        </w:tabs>
        <w:spacing w:line="360" w:lineRule="auto"/>
        <w:ind w:left="0" w:firstLine="567"/>
        <w:rPr>
          <w:rFonts w:ascii="宋体" w:hAnsi="宋体" w:cs="宋体"/>
          <w:b/>
          <w:sz w:val="24"/>
          <w:szCs w:val="24"/>
          <w:highlight w:val="none"/>
        </w:rPr>
      </w:pPr>
      <w:r>
        <w:rPr>
          <w:rFonts w:hint="eastAsia" w:ascii="宋体" w:hAnsi="宋体" w:cs="宋体"/>
          <w:b/>
          <w:sz w:val="24"/>
          <w:szCs w:val="24"/>
          <w:highlight w:val="none"/>
        </w:rPr>
        <w:t>所有要求盖公章的地方都应加盖投标人单位（法定名称）章（鲜章），不得使用专用章（如经济合同章、投标专用章等）或下属单位印章代替。</w:t>
      </w:r>
    </w:p>
    <w:p>
      <w:pPr>
        <w:pStyle w:val="4"/>
        <w:tabs>
          <w:tab w:val="left" w:pos="851"/>
        </w:tabs>
        <w:ind w:left="0" w:firstLine="0"/>
        <w:rPr>
          <w:rFonts w:cs="宋体"/>
          <w:color w:val="auto"/>
          <w:sz w:val="24"/>
          <w:szCs w:val="24"/>
          <w:highlight w:val="none"/>
        </w:rPr>
      </w:pPr>
      <w:bookmarkStart w:id="78" w:name="_Toc316475583"/>
      <w:bookmarkEnd w:id="78"/>
      <w:bookmarkStart w:id="79" w:name="_Toc316475578"/>
      <w:bookmarkEnd w:id="79"/>
      <w:bookmarkStart w:id="80" w:name="_Toc316475582"/>
      <w:bookmarkEnd w:id="80"/>
      <w:bookmarkStart w:id="81" w:name="_Toc316475581"/>
      <w:bookmarkEnd w:id="81"/>
      <w:bookmarkStart w:id="82" w:name="_Toc316475580"/>
      <w:bookmarkEnd w:id="82"/>
      <w:bookmarkStart w:id="83" w:name="_Toc316475577"/>
      <w:bookmarkEnd w:id="83"/>
      <w:bookmarkStart w:id="84" w:name="_Toc316475579"/>
      <w:bookmarkEnd w:id="84"/>
      <w:bookmarkStart w:id="85" w:name="_Toc77400781"/>
      <w:bookmarkStart w:id="86" w:name="_Toc217446053"/>
      <w:bookmarkStart w:id="87" w:name="_Toc183582226"/>
      <w:bookmarkStart w:id="88" w:name="_Toc89075877"/>
      <w:bookmarkStart w:id="89" w:name="_Toc183682363"/>
      <w:r>
        <w:rPr>
          <w:rFonts w:hint="eastAsia" w:cs="宋体"/>
          <w:color w:val="auto"/>
          <w:sz w:val="24"/>
          <w:szCs w:val="24"/>
          <w:highlight w:val="none"/>
        </w:rPr>
        <w:t>投标文件的包装和密封、标注</w:t>
      </w:r>
      <w:bookmarkEnd w:id="85"/>
      <w:bookmarkEnd w:id="86"/>
      <w:bookmarkEnd w:id="87"/>
      <w:bookmarkEnd w:id="88"/>
      <w:bookmarkEnd w:id="89"/>
    </w:p>
    <w:p>
      <w:pPr>
        <w:numPr>
          <w:ilvl w:val="0"/>
          <w:numId w:val="22"/>
        </w:numPr>
        <w:tabs>
          <w:tab w:val="left" w:pos="1134"/>
        </w:tabs>
        <w:spacing w:line="360" w:lineRule="auto"/>
        <w:ind w:left="0" w:firstLine="568"/>
        <w:rPr>
          <w:rFonts w:ascii="宋体" w:hAnsi="宋体" w:cs="宋体"/>
          <w:b/>
          <w:sz w:val="24"/>
          <w:szCs w:val="24"/>
          <w:highlight w:val="none"/>
        </w:rPr>
      </w:pPr>
      <w:r>
        <w:rPr>
          <w:rFonts w:hint="eastAsia" w:ascii="宋体" w:hAnsi="宋体" w:cs="宋体"/>
          <w:sz w:val="24"/>
          <w:szCs w:val="24"/>
          <w:highlight w:val="none"/>
        </w:rPr>
        <w:t>投标文件正本和副本应按包件（若有）分别制作。</w:t>
      </w:r>
      <w:r>
        <w:rPr>
          <w:rFonts w:hint="eastAsia" w:ascii="宋体" w:hAnsi="宋体" w:cs="宋体"/>
          <w:bCs/>
          <w:sz w:val="24"/>
          <w:szCs w:val="24"/>
          <w:highlight w:val="none"/>
        </w:rPr>
        <w:t>投标文件</w:t>
      </w:r>
      <w:r>
        <w:rPr>
          <w:rFonts w:hint="eastAsia" w:ascii="宋体" w:hAnsi="宋体" w:cs="宋体"/>
          <w:sz w:val="24"/>
          <w:szCs w:val="24"/>
          <w:highlight w:val="none"/>
        </w:rPr>
        <w:t>正本、副本应密封包装（说明：投标文件正本、副本可单独密封，也可以密封在同一包装内）。</w:t>
      </w:r>
    </w:p>
    <w:p>
      <w:pPr>
        <w:numPr>
          <w:ilvl w:val="0"/>
          <w:numId w:val="22"/>
        </w:numPr>
        <w:tabs>
          <w:tab w:val="left" w:pos="1134"/>
        </w:tabs>
        <w:spacing w:line="360" w:lineRule="auto"/>
        <w:ind w:left="0" w:firstLine="568"/>
        <w:rPr>
          <w:rFonts w:ascii="宋体" w:hAnsi="宋体" w:cs="宋体"/>
          <w:bCs/>
          <w:sz w:val="24"/>
          <w:szCs w:val="24"/>
          <w:highlight w:val="none"/>
        </w:rPr>
      </w:pPr>
      <w:r>
        <w:rPr>
          <w:rFonts w:hint="eastAsia" w:ascii="宋体" w:hAnsi="宋体" w:cs="宋体"/>
          <w:bCs/>
          <w:sz w:val="24"/>
          <w:szCs w:val="24"/>
          <w:highlight w:val="none"/>
        </w:rPr>
        <w:t>每一个包装的最外层应标明</w:t>
      </w:r>
      <w:r>
        <w:rPr>
          <w:rFonts w:hint="eastAsia" w:ascii="宋体" w:hAnsi="宋体" w:cs="宋体"/>
          <w:b/>
          <w:bCs/>
          <w:sz w:val="24"/>
          <w:szCs w:val="24"/>
          <w:highlight w:val="none"/>
        </w:rPr>
        <w:t>采购项目名称、采购项目编号、包件号(若有)、投标人名称，</w:t>
      </w:r>
      <w:r>
        <w:rPr>
          <w:rFonts w:hint="eastAsia" w:ascii="宋体" w:hAnsi="宋体" w:cs="宋体"/>
          <w:bCs/>
          <w:sz w:val="24"/>
          <w:szCs w:val="24"/>
          <w:highlight w:val="none"/>
        </w:rPr>
        <w:t>并</w:t>
      </w:r>
      <w:r>
        <w:rPr>
          <w:rFonts w:hint="eastAsia" w:ascii="宋体" w:hAnsi="宋体" w:cs="宋体"/>
          <w:b/>
          <w:bCs/>
          <w:sz w:val="24"/>
          <w:szCs w:val="24"/>
          <w:highlight w:val="none"/>
        </w:rPr>
        <w:t>加盖投标人公章。</w:t>
      </w:r>
      <w:r>
        <w:rPr>
          <w:rFonts w:hint="eastAsia" w:ascii="宋体" w:hAnsi="宋体" w:cs="宋体"/>
          <w:bCs/>
          <w:sz w:val="24"/>
          <w:szCs w:val="24"/>
          <w:highlight w:val="none"/>
        </w:rPr>
        <w:t>标注内容应不具有歧义，但其内容准确与否不影响投标文件的有效性。</w:t>
      </w:r>
      <w:bookmarkStart w:id="90" w:name="_Toc183582227"/>
      <w:bookmarkStart w:id="91" w:name="_Toc183682364"/>
      <w:bookmarkStart w:id="92" w:name="_Toc217446054"/>
    </w:p>
    <w:p>
      <w:pPr>
        <w:pStyle w:val="4"/>
        <w:tabs>
          <w:tab w:val="left" w:pos="851"/>
        </w:tabs>
        <w:ind w:left="0" w:firstLine="0"/>
        <w:rPr>
          <w:rFonts w:hint="eastAsia" w:cs="宋体"/>
          <w:color w:val="auto"/>
          <w:sz w:val="24"/>
          <w:szCs w:val="24"/>
          <w:highlight w:val="none"/>
        </w:rPr>
      </w:pPr>
      <w:r>
        <w:rPr>
          <w:rFonts w:hint="eastAsia" w:cs="宋体"/>
          <w:color w:val="auto"/>
          <w:sz w:val="24"/>
          <w:szCs w:val="24"/>
          <w:highlight w:val="none"/>
        </w:rPr>
        <w:t>投标文件的</w:t>
      </w:r>
      <w:bookmarkEnd w:id="90"/>
      <w:bookmarkEnd w:id="91"/>
      <w:r>
        <w:rPr>
          <w:rFonts w:hint="eastAsia" w:cs="宋体"/>
          <w:color w:val="auto"/>
          <w:sz w:val="24"/>
          <w:szCs w:val="24"/>
          <w:highlight w:val="none"/>
        </w:rPr>
        <w:t>递交</w:t>
      </w:r>
      <w:bookmarkEnd w:id="92"/>
    </w:p>
    <w:p>
      <w:pPr>
        <w:numPr>
          <w:ilvl w:val="0"/>
          <w:numId w:val="23"/>
        </w:numPr>
        <w:tabs>
          <w:tab w:val="left" w:pos="1134"/>
        </w:tabs>
        <w:spacing w:line="360" w:lineRule="auto"/>
        <w:ind w:left="0" w:firstLine="567"/>
        <w:rPr>
          <w:rFonts w:ascii="宋体" w:hAnsi="宋体" w:cs="宋体"/>
          <w:bCs/>
          <w:sz w:val="24"/>
          <w:szCs w:val="24"/>
          <w:highlight w:val="none"/>
        </w:rPr>
      </w:pPr>
      <w:r>
        <w:rPr>
          <w:rFonts w:hint="eastAsia" w:ascii="宋体" w:hAnsi="宋体" w:cs="宋体"/>
          <w:bCs/>
          <w:sz w:val="24"/>
          <w:szCs w:val="24"/>
          <w:highlight w:val="none"/>
        </w:rPr>
        <w:t>投标文件递交的地点、开标地点、开标时间及递交投标文件的截止时间详见“第1章投标邀请”，投标人应在投标截止时间之前将投标文件送达开标地点。投标人在递交投标文件时，用正楷填写“递交投标文件签收表”，将签收表和投标文件一并递交给本项目招标代理机构工作人员。投标截止时间以后送达的，或未按要求密封包装的投标文件将不予接收，招标采购单位将告知投标人不予接收的原因。</w:t>
      </w:r>
    </w:p>
    <w:p>
      <w:pPr>
        <w:numPr>
          <w:ilvl w:val="0"/>
          <w:numId w:val="23"/>
        </w:numPr>
        <w:tabs>
          <w:tab w:val="left" w:pos="1134"/>
        </w:tabs>
        <w:spacing w:line="360" w:lineRule="auto"/>
        <w:ind w:left="0" w:firstLine="567"/>
        <w:rPr>
          <w:rFonts w:ascii="宋体" w:hAnsi="宋体" w:cs="宋体"/>
          <w:bCs/>
          <w:sz w:val="24"/>
          <w:szCs w:val="24"/>
          <w:highlight w:val="none"/>
        </w:rPr>
      </w:pPr>
      <w:r>
        <w:rPr>
          <w:rFonts w:hint="eastAsia" w:ascii="宋体" w:hAnsi="宋体" w:cs="宋体"/>
          <w:bCs/>
          <w:sz w:val="24"/>
          <w:szCs w:val="24"/>
          <w:highlight w:val="none"/>
        </w:rPr>
        <w:t>递交投标文件时，报名投标人名称和招标文件的项目编号、包件号应当与投标人名称和招标文件的项目编号、包件号一致。但是，投标文件实质内容报名投标人名称和招标文件的项目编号、包件号一致，只是封面文字错误的，可以在评标过程中当面予以澄清，以有效的澄清材料作为认定投标文件是否有效的依据。</w:t>
      </w:r>
    </w:p>
    <w:p>
      <w:pPr>
        <w:numPr>
          <w:ilvl w:val="0"/>
          <w:numId w:val="23"/>
        </w:numPr>
        <w:tabs>
          <w:tab w:val="left" w:pos="1134"/>
        </w:tabs>
        <w:spacing w:line="360" w:lineRule="auto"/>
        <w:ind w:left="0" w:firstLine="567"/>
        <w:rPr>
          <w:rFonts w:ascii="宋体" w:hAnsi="宋体" w:cs="宋体"/>
          <w:bCs/>
          <w:sz w:val="24"/>
          <w:szCs w:val="24"/>
          <w:highlight w:val="none"/>
        </w:rPr>
      </w:pPr>
      <w:r>
        <w:rPr>
          <w:rFonts w:hint="eastAsia" w:ascii="宋体" w:hAnsi="宋体" w:cs="宋体"/>
          <w:bCs/>
          <w:sz w:val="24"/>
          <w:szCs w:val="24"/>
          <w:highlight w:val="none"/>
        </w:rPr>
        <w:t>本次招标不接收邮寄的投标文件。</w:t>
      </w:r>
    </w:p>
    <w:p>
      <w:pPr>
        <w:numPr>
          <w:ilvl w:val="0"/>
          <w:numId w:val="23"/>
        </w:numPr>
        <w:tabs>
          <w:tab w:val="left" w:pos="1134"/>
        </w:tabs>
        <w:spacing w:line="360" w:lineRule="auto"/>
        <w:ind w:left="0" w:firstLine="567"/>
        <w:rPr>
          <w:rFonts w:ascii="宋体" w:hAnsi="宋体" w:cs="宋体"/>
          <w:bCs/>
          <w:sz w:val="24"/>
          <w:szCs w:val="24"/>
          <w:highlight w:val="none"/>
        </w:rPr>
      </w:pPr>
      <w:r>
        <w:rPr>
          <w:rFonts w:hint="eastAsia" w:ascii="宋体" w:hAnsi="宋体" w:cs="宋体"/>
          <w:bCs/>
          <w:sz w:val="24"/>
          <w:szCs w:val="24"/>
          <w:highlight w:val="none"/>
        </w:rPr>
        <w:t>因招标文件的修改推迟投标截止日期的，按四川正汇恒招标代理有限公司书面通知修改的时间递交。</w:t>
      </w:r>
    </w:p>
    <w:p>
      <w:pPr>
        <w:pStyle w:val="4"/>
        <w:ind w:left="0" w:firstLine="0"/>
        <w:rPr>
          <w:rFonts w:cs="宋体"/>
          <w:color w:val="auto"/>
          <w:sz w:val="24"/>
          <w:szCs w:val="24"/>
          <w:highlight w:val="none"/>
        </w:rPr>
      </w:pPr>
      <w:bookmarkStart w:id="93" w:name="_Toc316475586"/>
      <w:bookmarkEnd w:id="93"/>
      <w:bookmarkStart w:id="94" w:name="_Toc316475587"/>
      <w:bookmarkEnd w:id="94"/>
      <w:bookmarkStart w:id="95" w:name="_Toc183582228"/>
      <w:bookmarkStart w:id="96" w:name="_Toc183682365"/>
      <w:bookmarkStart w:id="97" w:name="_Toc217446055"/>
      <w:r>
        <w:rPr>
          <w:rFonts w:hint="eastAsia" w:cs="宋体"/>
          <w:color w:val="auto"/>
          <w:sz w:val="24"/>
          <w:szCs w:val="24"/>
          <w:highlight w:val="none"/>
        </w:rPr>
        <w:t>投标文件的补充、修改和撤</w:t>
      </w:r>
      <w:bookmarkEnd w:id="95"/>
      <w:bookmarkEnd w:id="96"/>
      <w:r>
        <w:rPr>
          <w:rFonts w:hint="eastAsia" w:cs="宋体"/>
          <w:color w:val="auto"/>
          <w:sz w:val="24"/>
          <w:szCs w:val="24"/>
          <w:highlight w:val="none"/>
        </w:rPr>
        <w:t>回</w:t>
      </w:r>
      <w:bookmarkEnd w:id="97"/>
    </w:p>
    <w:p>
      <w:pPr>
        <w:numPr>
          <w:ilvl w:val="0"/>
          <w:numId w:val="24"/>
        </w:numPr>
        <w:tabs>
          <w:tab w:val="left" w:pos="1134"/>
        </w:tabs>
        <w:spacing w:before="120" w:line="360" w:lineRule="auto"/>
        <w:ind w:left="0" w:firstLine="484" w:firstLineChars="202"/>
        <w:rPr>
          <w:rFonts w:ascii="宋体" w:hAnsi="宋体" w:cs="宋体"/>
          <w:bCs/>
          <w:sz w:val="24"/>
          <w:szCs w:val="24"/>
          <w:highlight w:val="none"/>
        </w:rPr>
      </w:pPr>
      <w:r>
        <w:rPr>
          <w:rFonts w:hint="eastAsia" w:ascii="宋体" w:hAnsi="宋体" w:cs="宋体"/>
          <w:bCs/>
          <w:sz w:val="24"/>
          <w:szCs w:val="24"/>
          <w:highlight w:val="none"/>
        </w:rPr>
        <w:t>投标人在提交投标文件后可对其投标文件进行补充、修改或撤回，但该补充、修改或撤回的书面通知须在投标截止时间之前送达开标地点。补充、修改的内容为投标文件的组成部分。</w:t>
      </w:r>
    </w:p>
    <w:p>
      <w:pPr>
        <w:numPr>
          <w:ilvl w:val="0"/>
          <w:numId w:val="24"/>
        </w:numPr>
        <w:tabs>
          <w:tab w:val="left" w:pos="1134"/>
        </w:tabs>
        <w:spacing w:before="120" w:line="360" w:lineRule="auto"/>
        <w:ind w:left="0" w:firstLine="484" w:firstLineChars="202"/>
        <w:rPr>
          <w:rFonts w:ascii="宋体" w:hAnsi="宋体" w:cs="宋体"/>
          <w:bCs/>
          <w:sz w:val="24"/>
          <w:szCs w:val="24"/>
          <w:highlight w:val="none"/>
        </w:rPr>
      </w:pPr>
      <w:r>
        <w:rPr>
          <w:rFonts w:hint="eastAsia" w:ascii="宋体" w:hAnsi="宋体" w:cs="宋体"/>
          <w:bCs/>
          <w:sz w:val="24"/>
          <w:szCs w:val="24"/>
          <w:highlight w:val="none"/>
        </w:rPr>
        <w:t>投标人补充、修改或撤回的书面通知，应由其法定代表人或授权代理人签署并盖投标人公章。补充、修改或撤回的书面通知应按投标人须知第2.4.11.条、第2.4.12.条规定进行编制、密封、标注，并在每个包装的最外层标明“补充投标文件”或“修改投标文件”或“撤回投标”字样。</w:t>
      </w:r>
    </w:p>
    <w:p>
      <w:pPr>
        <w:numPr>
          <w:ilvl w:val="0"/>
          <w:numId w:val="24"/>
        </w:numPr>
        <w:tabs>
          <w:tab w:val="left" w:pos="1134"/>
        </w:tabs>
        <w:spacing w:before="120" w:line="360" w:lineRule="auto"/>
        <w:ind w:left="0" w:firstLine="484" w:firstLineChars="202"/>
        <w:rPr>
          <w:rFonts w:ascii="宋体" w:hAnsi="宋体" w:cs="宋体"/>
          <w:bCs/>
          <w:sz w:val="24"/>
          <w:szCs w:val="24"/>
          <w:highlight w:val="none"/>
        </w:rPr>
      </w:pPr>
      <w:r>
        <w:rPr>
          <w:rFonts w:hint="eastAsia" w:ascii="宋体" w:hAnsi="宋体" w:cs="宋体"/>
          <w:bCs/>
          <w:sz w:val="24"/>
          <w:szCs w:val="24"/>
          <w:highlight w:val="none"/>
        </w:rPr>
        <w:t>在投标截止时间之后，投标人不得对其递交的投标文件做任何补充、修改或撤回投标。</w:t>
      </w:r>
    </w:p>
    <w:p>
      <w:pPr>
        <w:pStyle w:val="2"/>
        <w:rPr>
          <w:rFonts w:cs="宋体"/>
          <w:sz w:val="24"/>
          <w:szCs w:val="24"/>
          <w:highlight w:val="none"/>
        </w:rPr>
      </w:pPr>
      <w:bookmarkStart w:id="98" w:name="_Toc89075878"/>
      <w:bookmarkStart w:id="99" w:name="_Toc494464906"/>
      <w:bookmarkStart w:id="100" w:name="_Toc13652485"/>
      <w:bookmarkStart w:id="101" w:name="_Toc183682368"/>
      <w:bookmarkStart w:id="102" w:name="_Toc217446056"/>
      <w:bookmarkStart w:id="103" w:name="_Toc183582231"/>
      <w:bookmarkStart w:id="104" w:name="_Toc77400782"/>
      <w:r>
        <w:rPr>
          <w:rFonts w:hint="eastAsia" w:cs="宋体"/>
          <w:sz w:val="24"/>
          <w:szCs w:val="24"/>
          <w:highlight w:val="none"/>
        </w:rPr>
        <w:t>开标、评标和中标</w:t>
      </w:r>
      <w:bookmarkEnd w:id="98"/>
      <w:bookmarkEnd w:id="99"/>
      <w:bookmarkEnd w:id="100"/>
      <w:bookmarkEnd w:id="101"/>
      <w:bookmarkEnd w:id="102"/>
      <w:bookmarkEnd w:id="103"/>
      <w:bookmarkEnd w:id="104"/>
    </w:p>
    <w:p>
      <w:pPr>
        <w:pStyle w:val="4"/>
        <w:ind w:left="0" w:firstLine="0"/>
        <w:rPr>
          <w:rFonts w:cs="宋体"/>
          <w:color w:val="auto"/>
          <w:sz w:val="24"/>
          <w:szCs w:val="24"/>
          <w:highlight w:val="none"/>
        </w:rPr>
      </w:pPr>
      <w:bookmarkStart w:id="105" w:name="_Toc217446057"/>
      <w:bookmarkStart w:id="106" w:name="_Toc183682369"/>
      <w:bookmarkStart w:id="107" w:name="_Toc183582232"/>
      <w:r>
        <w:rPr>
          <w:rFonts w:hint="eastAsia" w:cs="宋体"/>
          <w:color w:val="auto"/>
          <w:sz w:val="24"/>
          <w:szCs w:val="24"/>
          <w:highlight w:val="none"/>
        </w:rPr>
        <w:t>开标</w:t>
      </w:r>
      <w:bookmarkEnd w:id="105"/>
      <w:bookmarkEnd w:id="106"/>
      <w:bookmarkEnd w:id="107"/>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开标时，可能根据具体情况邀请有关监督管理部门对开标活动进行现场监督。</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开标时，由投标人或者其推选的代表先检查其自己递交的投标文件的密封情况，经确认无误后，由招标工作人员将投标人递交的“投标文件”当众拆封，并由唱标人员按照招标文件规定的内容进行宣读。</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开标时，“投标报价表”中的大写金额与小写金额不一致的，以大写金额为准；总价金额与按单价计算的汇总金额不一致的，以单价计算的汇总金额为准；单价金额有明显小数点错误的，以总价为准，并修改单价。</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投标文件中相关内容与“投标报价表”不一致的，以“投标报价表”为准。对不同文字文本投标文件的解释发生异议的，以中文文本为准。</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所有投标唱标完毕，如投标人代表对宣读的“投标报价表”上的内容有异议的，应在获得开标会主持人同意后当场提出。如确实属于唱标人员宣读错了的，经现场监督人员核实后，当场予以更正。</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投标人代表对开标过程和开标记录有疑义，以及认为招标采购单位相关工作人员有需要回避的情形的，应当场提出询问或者回避申请。招标采购单位对投标人代表提出的询问或者回避申请应当及时处理。</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无论何种原因，在开标时没有宣读的报价在评标时不予考虑，采购代理机构对此不承担任何责任。</w:t>
      </w:r>
    </w:p>
    <w:p>
      <w:pPr>
        <w:numPr>
          <w:ilvl w:val="0"/>
          <w:numId w:val="25"/>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投标人不足3家的，不得开标。</w:t>
      </w:r>
    </w:p>
    <w:p>
      <w:pPr>
        <w:pStyle w:val="4"/>
        <w:ind w:left="0" w:firstLine="0"/>
        <w:rPr>
          <w:rFonts w:cs="宋体"/>
          <w:color w:val="auto"/>
          <w:sz w:val="24"/>
          <w:szCs w:val="24"/>
          <w:highlight w:val="none"/>
        </w:rPr>
      </w:pPr>
      <w:r>
        <w:rPr>
          <w:rFonts w:hint="eastAsia" w:cs="宋体"/>
          <w:color w:val="auto"/>
          <w:sz w:val="24"/>
          <w:szCs w:val="24"/>
          <w:highlight w:val="none"/>
        </w:rPr>
        <w:t>开标程序</w:t>
      </w:r>
    </w:p>
    <w:p>
      <w:pPr>
        <w:spacing w:line="360" w:lineRule="auto"/>
        <w:ind w:firstLine="495"/>
        <w:rPr>
          <w:rFonts w:ascii="宋体" w:hAnsi="宋体" w:cs="宋体"/>
          <w:sz w:val="24"/>
          <w:szCs w:val="24"/>
          <w:highlight w:val="none"/>
        </w:rPr>
      </w:pPr>
      <w:r>
        <w:rPr>
          <w:rFonts w:hint="eastAsia" w:ascii="宋体" w:hAnsi="宋体" w:cs="宋体"/>
          <w:sz w:val="24"/>
          <w:szCs w:val="24"/>
          <w:highlight w:val="none"/>
        </w:rPr>
        <w:t>开标会主持人按照招标文件规定的开标时间宣布开标，按照规定要求主持开标会。开标将按以下程序进行：</w:t>
      </w:r>
    </w:p>
    <w:p>
      <w:pPr>
        <w:numPr>
          <w:ilvl w:val="0"/>
          <w:numId w:val="26"/>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宣布开标会开始。开标时间到，主持人宣布开标会开始，当众宣布参加开标会的主持人、唱标、监标（督）人、会议记录等招标工作人员，宣布参加投标的投标人名单。</w:t>
      </w:r>
    </w:p>
    <w:p>
      <w:pPr>
        <w:numPr>
          <w:ilvl w:val="0"/>
          <w:numId w:val="26"/>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投标人代表对投标文件的密封情况进行检查并签字确认。</w:t>
      </w:r>
    </w:p>
    <w:p>
      <w:pPr>
        <w:numPr>
          <w:ilvl w:val="0"/>
          <w:numId w:val="26"/>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开标唱标。主持人宣布唱标后，由招标工作人员按任意顺序对投标人的“投标报价表”当众进行唱标，宣读投标人名称、投标报价，以及采购人认为合适的其他内容并加以记录。唱标人员在唱标过程中，如遇有不清楚的，应即刻报告主持人，经现场核实后，主持人立即请投标人代表现场进行澄清或确认。唱标完毕后投标人需现场对开标记录进行签字确认，投标人对唱标内容有异议的，可以当场提出，并要求会议记录人在开标记录中予以记录，或者另行提供书面异议资料，不签字又不提出异议的，视同认可唱标内容和结果，且不得干扰、阻挠开（唱）标、评标工作。</w:t>
      </w:r>
    </w:p>
    <w:p>
      <w:pPr>
        <w:numPr>
          <w:ilvl w:val="0"/>
          <w:numId w:val="26"/>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宣布开标会结束。主持人宣布开标会结束后，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ind w:left="0" w:firstLine="0"/>
        <w:rPr>
          <w:rFonts w:cs="宋体"/>
          <w:color w:val="auto"/>
          <w:sz w:val="24"/>
          <w:szCs w:val="24"/>
          <w:highlight w:val="none"/>
        </w:rPr>
      </w:pPr>
      <w:r>
        <w:rPr>
          <w:rFonts w:hint="eastAsia" w:cs="宋体"/>
          <w:color w:val="auto"/>
          <w:sz w:val="24"/>
          <w:szCs w:val="24"/>
          <w:highlight w:val="none"/>
        </w:rPr>
        <w:t>评标</w:t>
      </w:r>
    </w:p>
    <w:p>
      <w:pPr>
        <w:spacing w:line="360" w:lineRule="auto"/>
        <w:ind w:firstLine="495"/>
        <w:rPr>
          <w:rFonts w:ascii="宋体" w:hAnsi="宋体" w:cs="宋体"/>
          <w:sz w:val="24"/>
          <w:szCs w:val="24"/>
          <w:highlight w:val="none"/>
        </w:rPr>
      </w:pPr>
      <w:r>
        <w:rPr>
          <w:rFonts w:hint="eastAsia" w:ascii="宋体" w:hAnsi="宋体" w:cs="宋体"/>
          <w:sz w:val="24"/>
          <w:szCs w:val="24"/>
          <w:highlight w:val="none"/>
        </w:rPr>
        <w:t>详见招标文件第6章。</w:t>
      </w:r>
    </w:p>
    <w:p>
      <w:pPr>
        <w:pStyle w:val="4"/>
        <w:ind w:left="0" w:firstLine="0"/>
        <w:rPr>
          <w:rFonts w:cs="宋体"/>
          <w:color w:val="auto"/>
          <w:sz w:val="24"/>
          <w:szCs w:val="24"/>
          <w:highlight w:val="none"/>
        </w:rPr>
      </w:pPr>
      <w:bookmarkStart w:id="108" w:name="_Toc183682375"/>
      <w:bookmarkStart w:id="109" w:name="_Toc183582238"/>
      <w:bookmarkStart w:id="110" w:name="_Toc217446063"/>
      <w:r>
        <w:rPr>
          <w:rFonts w:hint="eastAsia" w:cs="宋体"/>
          <w:color w:val="auto"/>
          <w:sz w:val="24"/>
          <w:szCs w:val="24"/>
          <w:highlight w:val="none"/>
        </w:rPr>
        <w:t>中标通知</w:t>
      </w:r>
      <w:bookmarkEnd w:id="108"/>
      <w:bookmarkEnd w:id="109"/>
      <w:r>
        <w:rPr>
          <w:rFonts w:hint="eastAsia" w:cs="宋体"/>
          <w:color w:val="auto"/>
          <w:sz w:val="24"/>
          <w:szCs w:val="24"/>
          <w:highlight w:val="none"/>
        </w:rPr>
        <w:t>书</w:t>
      </w:r>
      <w:bookmarkEnd w:id="110"/>
    </w:p>
    <w:p>
      <w:pPr>
        <w:numPr>
          <w:ilvl w:val="0"/>
          <w:numId w:val="27"/>
        </w:numPr>
        <w:tabs>
          <w:tab w:val="left" w:pos="1134"/>
        </w:tabs>
        <w:spacing w:before="120" w:line="360" w:lineRule="auto"/>
        <w:ind w:left="0" w:firstLine="568"/>
        <w:rPr>
          <w:rFonts w:ascii="宋体" w:hAnsi="宋体" w:cs="宋体"/>
          <w:sz w:val="24"/>
          <w:szCs w:val="24"/>
          <w:highlight w:val="none"/>
        </w:rPr>
      </w:pPr>
      <w:bookmarkStart w:id="111" w:name="_Toc217446064"/>
      <w:bookmarkStart w:id="112" w:name="_Toc183582240"/>
      <w:bookmarkStart w:id="113" w:name="_Toc183682377"/>
      <w:r>
        <w:rPr>
          <w:rFonts w:hint="eastAsia" w:ascii="宋体" w:hAnsi="宋体" w:cs="宋体"/>
          <w:sz w:val="24"/>
          <w:szCs w:val="24"/>
          <w:highlight w:val="none"/>
        </w:rPr>
        <w:t>中标通知书为签订政府采购合同的依据，是合同的有效组成部分。</w:t>
      </w:r>
    </w:p>
    <w:p>
      <w:pPr>
        <w:numPr>
          <w:ilvl w:val="0"/>
          <w:numId w:val="27"/>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中标通知书对采购人和中标人均具有法律效力。中标通知书发出后，采购人改变中标结果，或者中标人无正当理由放弃中标的，应当承担相应的法律责任。</w:t>
      </w:r>
    </w:p>
    <w:p>
      <w:pPr>
        <w:numPr>
          <w:ilvl w:val="0"/>
          <w:numId w:val="27"/>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如果出现政府采购法律法规、规章制度规定的中标无效情形的，将以公告形式宣布发出的中标通知书无效，中标通知书将自动失效，并依法重新确定中标人或者重新开展采购活动。</w:t>
      </w:r>
    </w:p>
    <w:p>
      <w:pPr>
        <w:numPr>
          <w:ilvl w:val="0"/>
          <w:numId w:val="27"/>
        </w:numPr>
        <w:tabs>
          <w:tab w:val="left" w:pos="1134"/>
        </w:tabs>
        <w:spacing w:before="120" w:line="360" w:lineRule="auto"/>
        <w:ind w:left="0" w:firstLine="568"/>
        <w:rPr>
          <w:rFonts w:ascii="宋体" w:hAnsi="宋体" w:cs="宋体"/>
          <w:sz w:val="24"/>
          <w:szCs w:val="24"/>
          <w:highlight w:val="none"/>
        </w:rPr>
      </w:pPr>
      <w:r>
        <w:rPr>
          <w:rFonts w:hint="eastAsia" w:ascii="宋体" w:hAnsi="宋体" w:cs="宋体"/>
          <w:sz w:val="24"/>
          <w:szCs w:val="24"/>
          <w:highlight w:val="none"/>
        </w:rPr>
        <w:t>公告发出后，中标人凭有效身份证明证件到招标代理机构领取中标通知书。联系人：周女士，联系电话：028-67171868。</w:t>
      </w:r>
    </w:p>
    <w:p>
      <w:pPr>
        <w:pStyle w:val="4"/>
        <w:ind w:left="0" w:firstLine="0"/>
        <w:rPr>
          <w:rFonts w:cs="宋体"/>
          <w:color w:val="auto"/>
          <w:sz w:val="24"/>
          <w:szCs w:val="24"/>
          <w:highlight w:val="none"/>
        </w:rPr>
      </w:pPr>
      <w:r>
        <w:rPr>
          <w:rFonts w:hint="eastAsia" w:cs="宋体"/>
          <w:color w:val="auto"/>
          <w:sz w:val="24"/>
          <w:szCs w:val="24"/>
          <w:highlight w:val="none"/>
        </w:rPr>
        <w:t>招标代理服务费</w:t>
      </w:r>
    </w:p>
    <w:p>
      <w:pPr>
        <w:pStyle w:val="149"/>
        <w:spacing w:line="360" w:lineRule="auto"/>
        <w:ind w:firstLine="480" w:firstLineChars="200"/>
        <w:jc w:val="both"/>
        <w:rPr>
          <w:highlight w:val="none"/>
        </w:rPr>
      </w:pPr>
      <w:r>
        <w:rPr>
          <w:rFonts w:hint="eastAsia"/>
          <w:highlight w:val="none"/>
        </w:rPr>
        <w:t>一、根据相关规定，本招标文件特别约定，招标代理服务费由中标人向采购代理机构支付。</w:t>
      </w:r>
    </w:p>
    <w:p>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二、招标代理服务费：各包件服务费以中标金额为</w:t>
      </w:r>
      <w:r>
        <w:rPr>
          <w:rFonts w:hint="eastAsia" w:ascii="宋体" w:hAnsi="宋体" w:cs="宋体"/>
          <w:sz w:val="24"/>
          <w:szCs w:val="24"/>
          <w:highlight w:val="none"/>
          <w:lang w:val="en-US" w:eastAsia="zh-CN"/>
        </w:rPr>
        <w:t>基数</w:t>
      </w:r>
      <w:r>
        <w:rPr>
          <w:rFonts w:hint="eastAsia" w:ascii="宋体" w:hAnsi="宋体" w:cs="宋体"/>
          <w:sz w:val="24"/>
          <w:szCs w:val="24"/>
          <w:highlight w:val="none"/>
        </w:rPr>
        <w:t>，采用差额定率累进法，100万（含）以下部分乘以1.5%计算收取，100万以上部分乘以</w:t>
      </w:r>
      <w:r>
        <w:rPr>
          <w:rFonts w:hint="eastAsia" w:ascii="宋体" w:hAnsi="宋体" w:cs="宋体"/>
          <w:sz w:val="24"/>
          <w:szCs w:val="24"/>
          <w:highlight w:val="none"/>
          <w:lang w:val="en-US" w:eastAsia="zh-CN"/>
        </w:rPr>
        <w:t>1</w:t>
      </w:r>
      <w:r>
        <w:rPr>
          <w:rFonts w:hint="eastAsia" w:ascii="宋体" w:hAnsi="宋体" w:cs="宋体"/>
          <w:sz w:val="24"/>
          <w:szCs w:val="24"/>
          <w:highlight w:val="none"/>
        </w:rPr>
        <w:t>.</w:t>
      </w:r>
      <w:r>
        <w:rPr>
          <w:rFonts w:hint="eastAsia" w:ascii="宋体" w:hAnsi="宋体" w:cs="宋体"/>
          <w:sz w:val="24"/>
          <w:szCs w:val="24"/>
          <w:highlight w:val="none"/>
          <w:lang w:val="en-US" w:eastAsia="zh-CN"/>
        </w:rPr>
        <w:t>1</w:t>
      </w:r>
      <w:r>
        <w:rPr>
          <w:rFonts w:hint="eastAsia" w:ascii="宋体" w:hAnsi="宋体" w:cs="宋体"/>
          <w:sz w:val="24"/>
          <w:szCs w:val="24"/>
          <w:highlight w:val="none"/>
        </w:rPr>
        <w:t>%计算收取，按以上各项结果累计计算后下浮30%收取。</w:t>
      </w:r>
    </w:p>
    <w:p>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三、在办理中标通知书时一并办理招标代理服务费，可使用银行转账、电汇或采购代理机构认可的其他方式支付。</w:t>
      </w:r>
    </w:p>
    <w:p>
      <w:pPr>
        <w:pStyle w:val="101"/>
        <w:spacing w:line="500" w:lineRule="exact"/>
        <w:ind w:firstLine="484" w:firstLineChars="202"/>
        <w:rPr>
          <w:rFonts w:ascii="宋体" w:hAnsi="宋体" w:cs="宋体"/>
          <w:kern w:val="2"/>
          <w:sz w:val="24"/>
          <w:highlight w:val="none"/>
        </w:rPr>
      </w:pPr>
      <w:r>
        <w:rPr>
          <w:rFonts w:hint="eastAsia" w:ascii="宋体" w:hAnsi="宋体" w:cs="宋体"/>
          <w:kern w:val="2"/>
          <w:sz w:val="24"/>
          <w:highlight w:val="none"/>
        </w:rPr>
        <w:t>服务费缴纳账户：</w:t>
      </w:r>
    </w:p>
    <w:p>
      <w:pPr>
        <w:pStyle w:val="101"/>
        <w:spacing w:line="500" w:lineRule="exact"/>
        <w:ind w:firstLine="484" w:firstLineChars="202"/>
        <w:rPr>
          <w:rFonts w:ascii="宋体" w:hAnsi="宋体" w:cs="宋体"/>
          <w:kern w:val="2"/>
          <w:sz w:val="24"/>
          <w:highlight w:val="none"/>
        </w:rPr>
      </w:pPr>
      <w:r>
        <w:rPr>
          <w:rFonts w:hint="eastAsia" w:ascii="宋体" w:hAnsi="宋体" w:cs="宋体"/>
          <w:kern w:val="2"/>
          <w:sz w:val="24"/>
          <w:highlight w:val="none"/>
        </w:rPr>
        <w:t>开户银行：中国农业银行成都高新技术产业开发区支行</w:t>
      </w:r>
    </w:p>
    <w:p>
      <w:pPr>
        <w:pStyle w:val="101"/>
        <w:spacing w:line="500" w:lineRule="exact"/>
        <w:ind w:firstLine="484" w:firstLineChars="202"/>
        <w:rPr>
          <w:rFonts w:ascii="宋体" w:hAnsi="宋体" w:cs="宋体"/>
          <w:kern w:val="2"/>
          <w:sz w:val="24"/>
          <w:highlight w:val="none"/>
        </w:rPr>
      </w:pPr>
      <w:r>
        <w:rPr>
          <w:rFonts w:hint="eastAsia" w:ascii="宋体" w:hAnsi="宋体" w:cs="宋体"/>
          <w:kern w:val="2"/>
          <w:sz w:val="24"/>
          <w:highlight w:val="none"/>
        </w:rPr>
        <w:t>帐    号： 2280 8201 0400 04093</w:t>
      </w:r>
    </w:p>
    <w:p>
      <w:pPr>
        <w:pStyle w:val="101"/>
        <w:spacing w:line="500" w:lineRule="exact"/>
        <w:ind w:firstLine="484" w:firstLineChars="202"/>
        <w:rPr>
          <w:rFonts w:ascii="宋体" w:hAnsi="宋体" w:cs="宋体"/>
          <w:kern w:val="2"/>
          <w:sz w:val="24"/>
          <w:highlight w:val="none"/>
        </w:rPr>
      </w:pPr>
      <w:r>
        <w:rPr>
          <w:rFonts w:hint="eastAsia" w:ascii="宋体" w:hAnsi="宋体" w:cs="宋体"/>
          <w:kern w:val="2"/>
          <w:sz w:val="24"/>
          <w:highlight w:val="none"/>
        </w:rPr>
        <w:t>收款单位：四川正汇恒招标代理有限公司</w:t>
      </w:r>
    </w:p>
    <w:p>
      <w:pPr>
        <w:pStyle w:val="17"/>
        <w:rPr>
          <w:rFonts w:ascii="宋体" w:hAnsi="宋体" w:cs="宋体"/>
          <w:highlight w:val="none"/>
        </w:rPr>
      </w:pPr>
    </w:p>
    <w:p>
      <w:pPr>
        <w:pStyle w:val="2"/>
        <w:rPr>
          <w:rFonts w:cs="宋体"/>
          <w:sz w:val="24"/>
          <w:szCs w:val="24"/>
          <w:highlight w:val="none"/>
        </w:rPr>
      </w:pPr>
      <w:bookmarkStart w:id="114" w:name="_Toc13652486"/>
      <w:bookmarkStart w:id="115" w:name="_Toc494464907"/>
      <w:r>
        <w:rPr>
          <w:rFonts w:hint="eastAsia" w:cs="宋体"/>
          <w:sz w:val="24"/>
          <w:szCs w:val="24"/>
          <w:highlight w:val="none"/>
        </w:rPr>
        <w:t>签订及履行合同和验收</w:t>
      </w:r>
      <w:bookmarkEnd w:id="111"/>
      <w:bookmarkEnd w:id="114"/>
      <w:bookmarkEnd w:id="115"/>
    </w:p>
    <w:p>
      <w:pPr>
        <w:pStyle w:val="4"/>
        <w:ind w:left="0" w:firstLine="0"/>
        <w:rPr>
          <w:rFonts w:cs="宋体"/>
          <w:color w:val="auto"/>
          <w:sz w:val="24"/>
          <w:szCs w:val="24"/>
          <w:highlight w:val="none"/>
        </w:rPr>
      </w:pPr>
      <w:bookmarkStart w:id="116" w:name="_Toc217446065"/>
      <w:r>
        <w:rPr>
          <w:rFonts w:hint="eastAsia" w:cs="宋体"/>
          <w:color w:val="auto"/>
          <w:sz w:val="24"/>
          <w:szCs w:val="24"/>
          <w:highlight w:val="none"/>
        </w:rPr>
        <w:t>签订合同</w:t>
      </w:r>
      <w:bookmarkEnd w:id="116"/>
    </w:p>
    <w:p>
      <w:pPr>
        <w:numPr>
          <w:ilvl w:val="0"/>
          <w:numId w:val="28"/>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中标人与采购人应在中标通知书发出之日起30日内签订采购合同。由于中标人的原因逾期未与采购人签订采购合同的，将视为放弃中标，取消其中标资格并将按相关规定进行处理。</w:t>
      </w:r>
    </w:p>
    <w:p>
      <w:pPr>
        <w:numPr>
          <w:ilvl w:val="0"/>
          <w:numId w:val="28"/>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numPr>
          <w:ilvl w:val="0"/>
          <w:numId w:val="28"/>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中标人因不可抗力原因或者自身原因不能履行采购合同或放弃中标的，采购人可以与排在中标人之后第一位的中标候选人签订采购合同，以此类推。</w:t>
      </w:r>
    </w:p>
    <w:p>
      <w:pPr>
        <w:numPr>
          <w:ilvl w:val="0"/>
          <w:numId w:val="28"/>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中标人在合同签订之后7个工作日内，将签订的合同（一式4份）送四川正汇恒招标代理有限公司进行合同编号。联系人：王女士，联系电话：028-67171868。</w:t>
      </w:r>
    </w:p>
    <w:p>
      <w:pPr>
        <w:pStyle w:val="4"/>
        <w:ind w:hanging="3119"/>
        <w:rPr>
          <w:rFonts w:cs="宋体"/>
          <w:color w:val="auto"/>
          <w:sz w:val="24"/>
          <w:szCs w:val="24"/>
          <w:highlight w:val="none"/>
        </w:rPr>
      </w:pPr>
      <w:bookmarkStart w:id="117" w:name="_Toc315871033"/>
      <w:bookmarkEnd w:id="117"/>
      <w:bookmarkStart w:id="118" w:name="_Toc217446066"/>
      <w:r>
        <w:rPr>
          <w:rFonts w:hint="eastAsia" w:cs="宋体"/>
          <w:color w:val="auto"/>
          <w:sz w:val="24"/>
          <w:szCs w:val="24"/>
          <w:highlight w:val="none"/>
        </w:rPr>
        <w:t>合同分包</w:t>
      </w:r>
      <w:bookmarkEnd w:id="118"/>
      <w:r>
        <w:rPr>
          <w:rFonts w:hint="eastAsia" w:cs="宋体"/>
          <w:color w:val="auto"/>
          <w:sz w:val="24"/>
          <w:szCs w:val="24"/>
          <w:highlight w:val="none"/>
        </w:rPr>
        <w:t>（实质性要求）</w:t>
      </w:r>
    </w:p>
    <w:p>
      <w:pPr>
        <w:tabs>
          <w:tab w:val="left" w:pos="1134"/>
        </w:tabs>
        <w:spacing w:line="360" w:lineRule="auto"/>
        <w:ind w:left="424" w:leftChars="202"/>
        <w:rPr>
          <w:rFonts w:ascii="宋体" w:hAnsi="宋体" w:cs="宋体"/>
          <w:kern w:val="0"/>
          <w:sz w:val="24"/>
          <w:szCs w:val="24"/>
          <w:highlight w:val="none"/>
        </w:rPr>
      </w:pPr>
      <w:r>
        <w:rPr>
          <w:rFonts w:hint="eastAsia" w:ascii="宋体" w:hAnsi="宋体" w:cs="宋体"/>
          <w:sz w:val="24"/>
          <w:szCs w:val="24"/>
          <w:highlight w:val="none"/>
        </w:rPr>
        <w:t>本项目不允许分包。</w:t>
      </w:r>
    </w:p>
    <w:p>
      <w:pPr>
        <w:pStyle w:val="4"/>
        <w:ind w:hanging="3119"/>
        <w:rPr>
          <w:rFonts w:cs="宋体"/>
          <w:color w:val="auto"/>
          <w:sz w:val="24"/>
          <w:szCs w:val="24"/>
          <w:highlight w:val="none"/>
        </w:rPr>
      </w:pPr>
      <w:r>
        <w:rPr>
          <w:rFonts w:hint="eastAsia" w:cs="宋体"/>
          <w:color w:val="auto"/>
          <w:sz w:val="24"/>
          <w:szCs w:val="24"/>
          <w:highlight w:val="none"/>
        </w:rPr>
        <w:t>合同转包（实质性要求）</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中标人转包的，视同拒绝履行政府采购合同义务，将依法追究法律责任。</w:t>
      </w:r>
    </w:p>
    <w:p>
      <w:pPr>
        <w:pStyle w:val="4"/>
        <w:ind w:left="0" w:firstLine="0"/>
        <w:rPr>
          <w:rFonts w:cs="宋体"/>
          <w:color w:val="auto"/>
          <w:sz w:val="24"/>
          <w:szCs w:val="24"/>
          <w:highlight w:val="none"/>
        </w:rPr>
      </w:pPr>
      <w:bookmarkStart w:id="119" w:name="_Toc217446067"/>
      <w:r>
        <w:rPr>
          <w:rFonts w:hint="eastAsia" w:cs="宋体"/>
          <w:color w:val="auto"/>
          <w:sz w:val="24"/>
          <w:szCs w:val="24"/>
          <w:highlight w:val="none"/>
        </w:rPr>
        <w:t>采购人增加合同标的的权</w:t>
      </w:r>
      <w:bookmarkEnd w:id="119"/>
      <w:r>
        <w:rPr>
          <w:rFonts w:hint="eastAsia" w:cs="宋体"/>
          <w:color w:val="auto"/>
          <w:sz w:val="24"/>
          <w:szCs w:val="24"/>
          <w:highlight w:val="none"/>
        </w:rPr>
        <w:t>利</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4"/>
        <w:ind w:left="0" w:firstLine="0"/>
        <w:rPr>
          <w:rFonts w:cs="宋体"/>
          <w:color w:val="auto"/>
          <w:sz w:val="24"/>
          <w:szCs w:val="24"/>
          <w:highlight w:val="none"/>
        </w:rPr>
      </w:pPr>
      <w:bookmarkStart w:id="120" w:name="_Toc217446068"/>
      <w:r>
        <w:rPr>
          <w:rFonts w:hint="eastAsia" w:cs="宋体"/>
          <w:color w:val="auto"/>
          <w:sz w:val="24"/>
          <w:szCs w:val="24"/>
          <w:highlight w:val="none"/>
        </w:rPr>
        <w:t>履约保证金</w:t>
      </w:r>
      <w:bookmarkEnd w:id="120"/>
      <w:r>
        <w:rPr>
          <w:rFonts w:hint="eastAsia" w:cs="宋体"/>
          <w:color w:val="auto"/>
          <w:sz w:val="24"/>
          <w:szCs w:val="24"/>
          <w:highlight w:val="none"/>
        </w:rPr>
        <w:t>（实质性要求）</w:t>
      </w:r>
    </w:p>
    <w:p>
      <w:pPr>
        <w:numPr>
          <w:ilvl w:val="0"/>
          <w:numId w:val="29"/>
        </w:numPr>
        <w:tabs>
          <w:tab w:val="left" w:pos="993"/>
        </w:tabs>
        <w:spacing w:line="360" w:lineRule="auto"/>
        <w:ind w:left="0" w:firstLine="484" w:firstLineChars="202"/>
        <w:rPr>
          <w:rFonts w:ascii="宋体" w:hAnsi="宋体" w:cs="宋体"/>
          <w:sz w:val="24"/>
          <w:szCs w:val="24"/>
          <w:highlight w:val="none"/>
        </w:rPr>
      </w:pPr>
      <w:bookmarkStart w:id="121" w:name="_Toc217446069"/>
      <w:r>
        <w:rPr>
          <w:rFonts w:hint="eastAsia" w:ascii="宋体" w:hAnsi="宋体" w:cs="宋体"/>
          <w:sz w:val="24"/>
          <w:szCs w:val="24"/>
          <w:highlight w:val="none"/>
        </w:rPr>
        <w:t>中标人收到中标通知书后，签定合同前，须根据招标文件的规定向采购人交纳规定数额的履约保证金。如果中标人在规定的合同签订时间内，没有按照招标文件的规定交纳履约保证金，且又无正当理由的，将视为放弃中标。</w:t>
      </w:r>
    </w:p>
    <w:p>
      <w:pPr>
        <w:numPr>
          <w:ilvl w:val="0"/>
          <w:numId w:val="29"/>
        </w:numPr>
        <w:tabs>
          <w:tab w:val="left" w:pos="993"/>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履约保证金在中标人对合同规定义务履行完毕</w:t>
      </w:r>
      <w:r>
        <w:rPr>
          <w:rFonts w:hint="eastAsia" w:ascii="宋体" w:hAnsi="宋体" w:cs="宋体"/>
          <w:sz w:val="24"/>
          <w:szCs w:val="24"/>
          <w:highlight w:val="none"/>
          <w:lang w:eastAsia="zh-Hans"/>
        </w:rPr>
        <w:t>并验收合格后</w:t>
      </w:r>
      <w:r>
        <w:rPr>
          <w:rFonts w:hint="eastAsia" w:ascii="宋体" w:hAnsi="宋体" w:cs="宋体"/>
          <w:sz w:val="24"/>
          <w:szCs w:val="24"/>
          <w:highlight w:val="none"/>
        </w:rPr>
        <w:t>全额退还（无息）；如果中标人未能履行合同规定的部分或全部义务，该保证金将视情况予以部分或全部没收。</w:t>
      </w:r>
    </w:p>
    <w:p>
      <w:pPr>
        <w:numPr>
          <w:ilvl w:val="0"/>
          <w:numId w:val="29"/>
        </w:numPr>
        <w:tabs>
          <w:tab w:val="left" w:pos="993"/>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只有在采购人、中标人双方协商一致的情况下才可免除履约保证金条款。</w:t>
      </w:r>
    </w:p>
    <w:p>
      <w:pPr>
        <w:pStyle w:val="4"/>
        <w:ind w:left="0" w:firstLine="0"/>
        <w:rPr>
          <w:rFonts w:cs="宋体"/>
          <w:color w:val="auto"/>
          <w:sz w:val="24"/>
          <w:szCs w:val="24"/>
          <w:highlight w:val="none"/>
        </w:rPr>
      </w:pPr>
      <w:r>
        <w:rPr>
          <w:rFonts w:hint="eastAsia" w:cs="宋体"/>
          <w:color w:val="auto"/>
          <w:sz w:val="24"/>
          <w:szCs w:val="24"/>
          <w:highlight w:val="none"/>
        </w:rPr>
        <w:t>合同公告</w:t>
      </w:r>
    </w:p>
    <w:p>
      <w:pPr>
        <w:pStyle w:val="12"/>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采购人应当自政府采购合同签订之日起2个工作日内，在四川政府采购网公告，但政府采购合同中涉及国家秘密、商业秘密的内容除外。</w:t>
      </w:r>
    </w:p>
    <w:p>
      <w:pPr>
        <w:pStyle w:val="4"/>
        <w:ind w:left="0" w:firstLine="0"/>
        <w:rPr>
          <w:rFonts w:cs="宋体"/>
          <w:color w:val="auto"/>
          <w:sz w:val="24"/>
          <w:szCs w:val="24"/>
          <w:highlight w:val="none"/>
        </w:rPr>
      </w:pPr>
      <w:r>
        <w:rPr>
          <w:rFonts w:hint="eastAsia" w:cs="宋体"/>
          <w:color w:val="auto"/>
          <w:sz w:val="24"/>
          <w:szCs w:val="24"/>
          <w:highlight w:val="none"/>
        </w:rPr>
        <w:t>合同备案</w:t>
      </w:r>
    </w:p>
    <w:p>
      <w:pPr>
        <w:tabs>
          <w:tab w:val="left" w:pos="1134"/>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采购人应当自政府采购合同签订之日起7个工作日内将合同报同级财政部门备案。</w:t>
      </w:r>
    </w:p>
    <w:p>
      <w:pPr>
        <w:pStyle w:val="4"/>
        <w:ind w:left="0" w:firstLine="0"/>
        <w:rPr>
          <w:rFonts w:cs="宋体"/>
          <w:color w:val="auto"/>
          <w:sz w:val="24"/>
          <w:szCs w:val="24"/>
          <w:highlight w:val="none"/>
        </w:rPr>
      </w:pPr>
      <w:r>
        <w:rPr>
          <w:rFonts w:hint="eastAsia" w:cs="宋体"/>
          <w:color w:val="auto"/>
          <w:sz w:val="24"/>
          <w:szCs w:val="24"/>
          <w:highlight w:val="none"/>
        </w:rPr>
        <w:t>履行合同</w:t>
      </w:r>
      <w:bookmarkEnd w:id="121"/>
    </w:p>
    <w:p>
      <w:pPr>
        <w:numPr>
          <w:ilvl w:val="0"/>
          <w:numId w:val="30"/>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中标人与采购人签订合同后，合同双方应严格执行合同条款，履行合同规定的义务，保证合同的顺利完成。</w:t>
      </w:r>
    </w:p>
    <w:p>
      <w:pPr>
        <w:numPr>
          <w:ilvl w:val="0"/>
          <w:numId w:val="30"/>
        </w:numPr>
        <w:tabs>
          <w:tab w:val="left" w:pos="1134"/>
        </w:tabs>
        <w:spacing w:line="360" w:lineRule="auto"/>
        <w:ind w:left="0" w:firstLine="484" w:firstLineChars="202"/>
        <w:rPr>
          <w:rFonts w:ascii="宋体" w:hAnsi="宋体" w:cs="宋体"/>
          <w:sz w:val="24"/>
          <w:szCs w:val="24"/>
          <w:highlight w:val="none"/>
        </w:rPr>
      </w:pPr>
      <w:r>
        <w:rPr>
          <w:rFonts w:hint="eastAsia" w:ascii="宋体" w:hAnsi="宋体" w:cs="宋体"/>
          <w:sz w:val="24"/>
          <w:szCs w:val="24"/>
          <w:highlight w:val="none"/>
        </w:rPr>
        <w:t>在合同履行过程中，如发生合同纠纷，合同双方应按照《中华人民共和国民法典》的有关规定进行处理。</w:t>
      </w:r>
    </w:p>
    <w:p>
      <w:pPr>
        <w:pStyle w:val="4"/>
        <w:ind w:left="0" w:firstLine="0"/>
        <w:rPr>
          <w:rFonts w:cs="宋体"/>
          <w:color w:val="auto"/>
          <w:sz w:val="24"/>
          <w:szCs w:val="24"/>
          <w:highlight w:val="none"/>
        </w:rPr>
      </w:pPr>
      <w:bookmarkStart w:id="122" w:name="_Toc217446070"/>
      <w:r>
        <w:rPr>
          <w:rFonts w:hint="eastAsia" w:cs="宋体"/>
          <w:color w:val="auto"/>
          <w:sz w:val="24"/>
          <w:szCs w:val="24"/>
          <w:highlight w:val="none"/>
        </w:rPr>
        <w:t>验收</w:t>
      </w:r>
      <w:bookmarkEnd w:id="122"/>
    </w:p>
    <w:bookmarkEnd w:id="112"/>
    <w:bookmarkEnd w:id="113"/>
    <w:p>
      <w:pPr>
        <w:pStyle w:val="12"/>
        <w:spacing w:line="360" w:lineRule="auto"/>
        <w:ind w:firstLine="480" w:firstLineChars="200"/>
        <w:rPr>
          <w:rFonts w:ascii="宋体" w:hAnsi="宋体" w:cs="宋体"/>
          <w:sz w:val="24"/>
          <w:szCs w:val="24"/>
          <w:highlight w:val="none"/>
        </w:rPr>
      </w:pPr>
      <w:bookmarkStart w:id="123" w:name="_Toc217446074"/>
      <w:bookmarkStart w:id="124" w:name="_Toc183582243"/>
      <w:bookmarkStart w:id="125" w:name="_Toc183682380"/>
      <w:r>
        <w:rPr>
          <w:rFonts w:hint="eastAsia" w:ascii="宋体" w:hAnsi="宋体" w:cs="宋体"/>
          <w:sz w:val="24"/>
          <w:szCs w:val="24"/>
          <w:highlight w:val="none"/>
        </w:rPr>
        <w:t>本项目采购人及其委托的采购代理机构将严格按照政府采购相关法律法规以及《财政部关于进一步加强政府采购需求和履约验收管理的指导意见》（财库[2016]205号）的要求进行验收。</w:t>
      </w:r>
    </w:p>
    <w:p>
      <w:pPr>
        <w:pStyle w:val="12"/>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验收结果不合格的，还可能会报告本项目同级财政部门按照有关法律法规的规定给予行政处罚或者以失信行为记入诚信档案。</w:t>
      </w:r>
    </w:p>
    <w:p>
      <w:pPr>
        <w:pStyle w:val="4"/>
        <w:ind w:left="0" w:firstLine="0"/>
        <w:rPr>
          <w:rFonts w:cs="宋体"/>
          <w:color w:val="auto"/>
          <w:sz w:val="24"/>
          <w:szCs w:val="24"/>
          <w:highlight w:val="none"/>
        </w:rPr>
      </w:pPr>
      <w:r>
        <w:rPr>
          <w:rFonts w:hint="eastAsia" w:cs="宋体"/>
          <w:color w:val="auto"/>
          <w:sz w:val="24"/>
          <w:szCs w:val="24"/>
          <w:highlight w:val="none"/>
        </w:rPr>
        <w:t>资金支付</w:t>
      </w:r>
    </w:p>
    <w:p>
      <w:pPr>
        <w:pStyle w:val="39"/>
        <w:shd w:val="clear" w:color="auto" w:fill="FFFFFF"/>
        <w:spacing w:before="0" w:beforeAutospacing="0" w:after="0" w:afterAutospacing="0" w:line="360" w:lineRule="atLeast"/>
        <w:ind w:firstLine="570"/>
        <w:rPr>
          <w:rFonts w:cs="宋体"/>
          <w:color w:val="auto"/>
          <w:highlight w:val="none"/>
        </w:rPr>
      </w:pPr>
      <w:r>
        <w:rPr>
          <w:rFonts w:hint="eastAsia" w:cs="宋体"/>
          <w:color w:val="auto"/>
          <w:highlight w:val="none"/>
        </w:rPr>
        <w:t>采购人按财政部门的相关规定及采购合同的约定进行支付。本项目采购资金付款详见第四章商务要求中付款方式。</w:t>
      </w:r>
    </w:p>
    <w:p>
      <w:pPr>
        <w:pStyle w:val="2"/>
        <w:rPr>
          <w:rFonts w:cs="宋体"/>
          <w:sz w:val="24"/>
          <w:szCs w:val="24"/>
          <w:highlight w:val="none"/>
        </w:rPr>
      </w:pPr>
      <w:bookmarkStart w:id="126" w:name="_Toc13652487"/>
      <w:bookmarkStart w:id="127" w:name="_Toc494464908"/>
      <w:r>
        <w:rPr>
          <w:rFonts w:hint="eastAsia" w:cs="宋体"/>
          <w:sz w:val="24"/>
          <w:szCs w:val="24"/>
          <w:highlight w:val="none"/>
        </w:rPr>
        <w:t>投标纪律要求</w:t>
      </w:r>
      <w:bookmarkEnd w:id="123"/>
      <w:bookmarkEnd w:id="126"/>
      <w:bookmarkEnd w:id="127"/>
    </w:p>
    <w:p>
      <w:pPr>
        <w:pStyle w:val="4"/>
        <w:ind w:left="0" w:firstLine="0"/>
        <w:rPr>
          <w:rFonts w:cs="宋体"/>
          <w:color w:val="auto"/>
          <w:sz w:val="24"/>
          <w:szCs w:val="24"/>
          <w:highlight w:val="none"/>
        </w:rPr>
      </w:pPr>
      <w:bookmarkStart w:id="128" w:name="_Toc217446075"/>
      <w:r>
        <w:rPr>
          <w:rFonts w:hint="eastAsia" w:cs="宋体"/>
          <w:color w:val="auto"/>
          <w:sz w:val="24"/>
          <w:szCs w:val="24"/>
          <w:highlight w:val="none"/>
        </w:rPr>
        <w:t>投标人不得具有的情形</w:t>
      </w:r>
      <w:bookmarkEnd w:id="128"/>
    </w:p>
    <w:p>
      <w:pPr>
        <w:pStyle w:val="12"/>
        <w:spacing w:line="360" w:lineRule="auto"/>
        <w:ind w:firstLine="567"/>
        <w:rPr>
          <w:rFonts w:ascii="宋体" w:hAnsi="宋体" w:cs="宋体"/>
          <w:sz w:val="24"/>
          <w:szCs w:val="24"/>
          <w:highlight w:val="none"/>
        </w:rPr>
      </w:pPr>
      <w:r>
        <w:rPr>
          <w:rFonts w:hint="eastAsia" w:ascii="宋体" w:hAnsi="宋体" w:cs="宋体"/>
          <w:sz w:val="24"/>
          <w:szCs w:val="24"/>
          <w:highlight w:val="none"/>
        </w:rPr>
        <w:t>投标人参加投标不得有下列情形：</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有下列情形之一的，视为投标人串通投标：</w:t>
      </w:r>
    </w:p>
    <w:p>
      <w:pPr>
        <w:tabs>
          <w:tab w:val="left" w:pos="1134"/>
        </w:tabs>
        <w:spacing w:line="360" w:lineRule="auto"/>
        <w:ind w:left="420"/>
        <w:rPr>
          <w:rFonts w:ascii="宋体" w:hAnsi="宋体" w:cs="宋体"/>
          <w:sz w:val="24"/>
          <w:szCs w:val="24"/>
          <w:highlight w:val="none"/>
        </w:rPr>
      </w:pPr>
      <w:r>
        <w:rPr>
          <w:rFonts w:hint="eastAsia" w:ascii="宋体" w:hAnsi="宋体" w:cs="宋体"/>
          <w:sz w:val="24"/>
          <w:szCs w:val="24"/>
          <w:highlight w:val="none"/>
        </w:rPr>
        <w:t>（一）不同投标人的投标文件由同一单位或者个人编制；</w:t>
      </w:r>
    </w:p>
    <w:p>
      <w:pPr>
        <w:tabs>
          <w:tab w:val="left" w:pos="1134"/>
        </w:tabs>
        <w:spacing w:line="360" w:lineRule="auto"/>
        <w:ind w:left="420"/>
        <w:rPr>
          <w:rFonts w:ascii="宋体" w:hAnsi="宋体" w:cs="宋体"/>
          <w:sz w:val="24"/>
          <w:szCs w:val="24"/>
          <w:highlight w:val="none"/>
        </w:rPr>
      </w:pPr>
      <w:r>
        <w:rPr>
          <w:rFonts w:hint="eastAsia" w:ascii="宋体" w:hAnsi="宋体" w:cs="宋体"/>
          <w:sz w:val="24"/>
          <w:szCs w:val="24"/>
          <w:highlight w:val="none"/>
        </w:rPr>
        <w:t>（二）不同投标人委托同一单位或者个人办理投标事宜；</w:t>
      </w:r>
    </w:p>
    <w:p>
      <w:pPr>
        <w:tabs>
          <w:tab w:val="left" w:pos="1134"/>
        </w:tabs>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（三）不同投标人的投标文件载明的项目管理成员或者联系人员为同一人；</w:t>
      </w:r>
    </w:p>
    <w:p>
      <w:pPr>
        <w:tabs>
          <w:tab w:val="left" w:pos="1134"/>
        </w:tabs>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（四）不同投标人的投标文件异常一致或者投标报价呈规律性差异；</w:t>
      </w:r>
    </w:p>
    <w:p>
      <w:pPr>
        <w:tabs>
          <w:tab w:val="left" w:pos="1134"/>
        </w:tabs>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（五）不同投标人的投标文件相互混装；</w:t>
      </w:r>
    </w:p>
    <w:p>
      <w:pPr>
        <w:tabs>
          <w:tab w:val="left" w:pos="1134"/>
        </w:tabs>
        <w:spacing w:line="360" w:lineRule="auto"/>
        <w:ind w:left="420"/>
        <w:rPr>
          <w:rFonts w:ascii="宋体" w:hAnsi="宋体" w:cs="宋体"/>
          <w:sz w:val="24"/>
          <w:szCs w:val="24"/>
          <w:highlight w:val="none"/>
        </w:rPr>
      </w:pPr>
      <w:r>
        <w:rPr>
          <w:rFonts w:hint="eastAsia" w:ascii="宋体" w:hAnsi="宋体" w:cs="宋体"/>
          <w:sz w:val="24"/>
          <w:szCs w:val="24"/>
          <w:highlight w:val="none"/>
        </w:rPr>
        <w:t>（六）不同投标人的投标保证金从同一单位或者个人的账户转出；</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提供虚假材料谋取中标；</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采取不正当手段诋毁、排挤其他投标人；</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与招标采购单位、其他投标人恶意串通；</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向招标采购单位、评标委员会成员行贿或者提供其他不正当利益；</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在招标过程中与招标采购单位进行协商谈判；</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中标后无正当理由拒不与采购人签订政府采购合同；</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未按照采购文件确定的事项签订政府采购合同；</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将政府采购合同转包或者违规分包；</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提供假冒伪劣产品；</w:t>
      </w:r>
    </w:p>
    <w:p>
      <w:pPr>
        <w:numPr>
          <w:ilvl w:val="1"/>
          <w:numId w:val="31"/>
        </w:numPr>
        <w:tabs>
          <w:tab w:val="left" w:pos="1134"/>
        </w:tabs>
        <w:spacing w:line="360" w:lineRule="auto"/>
        <w:ind w:left="0" w:firstLine="567"/>
        <w:rPr>
          <w:rFonts w:ascii="宋体" w:hAnsi="宋体" w:cs="宋体"/>
          <w:sz w:val="24"/>
          <w:szCs w:val="24"/>
          <w:highlight w:val="none"/>
        </w:rPr>
      </w:pPr>
      <w:r>
        <w:rPr>
          <w:rFonts w:hint="eastAsia" w:ascii="宋体" w:hAnsi="宋体" w:cs="宋体"/>
          <w:sz w:val="24"/>
          <w:szCs w:val="24"/>
          <w:highlight w:val="none"/>
        </w:rPr>
        <w:t>擅自变更、中止或者终止政府采购合同；</w:t>
      </w:r>
    </w:p>
    <w:p>
      <w:pPr>
        <w:tabs>
          <w:tab w:val="left" w:pos="1134"/>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十二、被列入失信被执行人、重大税收违法案件当事人名单、政府采购严重违法失信行为记录名单（如投标人在参加政府采购活动前被禁止在一定期限内参加政府采购活动，期限届满的，可以参加政府采购活动），有未依法缴纳税收和社会保障资金的不良记录，参加政府采购活动前三年内，在经营活动中有重大违法记录（如投标人在参加政府采购活动前3年内因违法经营被禁止在一定期限内参加政府采购活动，期限届满的，可以参加政府采购活动）（重大违法记录是指供应商因违法经营受到刑事处罚或者责令停产停业、吊销许可证或执照、较大数额罚款等行政处罚）；</w:t>
      </w:r>
    </w:p>
    <w:p>
      <w:pPr>
        <w:pStyle w:val="12"/>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十三、在“中国裁判文书网（http://wenshu.court.gov.cn）”查询投标人及其现任法定代表人、主要负责人有行贿犯罪记录；</w:t>
      </w:r>
    </w:p>
    <w:p>
      <w:pPr>
        <w:pStyle w:val="12"/>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十四、拒绝有关部门的监督检查或者向监督检查部门提供虚假情况；</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十五、法律法规规定的其他情形。</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投标人有上述情形的，按照规定追究法律责任，具备一至十三条情形之一的，同时将认定投标人投标无效或不确定其为中标人，或者取消中标资格或认定中标无效。</w:t>
      </w:r>
    </w:p>
    <w:p>
      <w:pPr>
        <w:pStyle w:val="4"/>
        <w:ind w:left="0" w:firstLine="0"/>
        <w:rPr>
          <w:rFonts w:cs="宋体"/>
          <w:color w:val="auto"/>
          <w:sz w:val="24"/>
          <w:szCs w:val="24"/>
          <w:highlight w:val="none"/>
        </w:rPr>
      </w:pPr>
      <w:bookmarkStart w:id="129" w:name="_Toc314574786"/>
      <w:r>
        <w:rPr>
          <w:rFonts w:hint="eastAsia" w:cs="宋体"/>
          <w:color w:val="auto"/>
          <w:sz w:val="24"/>
          <w:szCs w:val="24"/>
          <w:highlight w:val="none"/>
        </w:rPr>
        <w:t>保密</w:t>
      </w:r>
      <w:bookmarkEnd w:id="129"/>
    </w:p>
    <w:p>
      <w:pPr>
        <w:pStyle w:val="12"/>
        <w:numPr>
          <w:ilvl w:val="0"/>
          <w:numId w:val="32"/>
        </w:numPr>
        <w:tabs>
          <w:tab w:val="left" w:pos="1134"/>
        </w:tabs>
        <w:spacing w:after="0" w:line="360" w:lineRule="auto"/>
        <w:ind w:left="0" w:firstLine="567"/>
        <w:rPr>
          <w:rFonts w:ascii="宋体" w:hAnsi="宋体" w:cs="宋体"/>
          <w:sz w:val="24"/>
          <w:szCs w:val="24"/>
          <w:highlight w:val="none"/>
        </w:rPr>
      </w:pPr>
      <w:r>
        <w:rPr>
          <w:rFonts w:hint="eastAsia" w:ascii="宋体" w:hAnsi="宋体" w:cs="宋体"/>
          <w:sz w:val="24"/>
          <w:szCs w:val="24"/>
          <w:highlight w:val="none"/>
        </w:rPr>
        <w:t>不得透露购买招标文件的潜在投标人的任何情况。</w:t>
      </w:r>
    </w:p>
    <w:p>
      <w:pPr>
        <w:pStyle w:val="12"/>
        <w:numPr>
          <w:ilvl w:val="0"/>
          <w:numId w:val="32"/>
        </w:numPr>
        <w:tabs>
          <w:tab w:val="left" w:pos="1134"/>
        </w:tabs>
        <w:spacing w:after="0" w:line="360" w:lineRule="auto"/>
        <w:ind w:left="0" w:firstLine="567"/>
        <w:rPr>
          <w:rFonts w:ascii="宋体" w:hAnsi="宋体" w:cs="宋体"/>
          <w:sz w:val="24"/>
          <w:szCs w:val="24"/>
          <w:highlight w:val="none"/>
        </w:rPr>
      </w:pPr>
      <w:r>
        <w:rPr>
          <w:rFonts w:hint="eastAsia" w:ascii="宋体" w:hAnsi="宋体" w:cs="宋体"/>
          <w:sz w:val="24"/>
          <w:szCs w:val="24"/>
          <w:highlight w:val="none"/>
        </w:rPr>
        <w:t>有关投标文件的审查、澄清、评估和比较以及合同授予意向等情况都不得对外透露。</w:t>
      </w:r>
    </w:p>
    <w:p>
      <w:pPr>
        <w:pStyle w:val="4"/>
        <w:ind w:left="0" w:firstLine="0"/>
        <w:rPr>
          <w:rFonts w:cs="宋体"/>
          <w:color w:val="auto"/>
          <w:sz w:val="24"/>
          <w:szCs w:val="24"/>
          <w:highlight w:val="none"/>
        </w:rPr>
      </w:pPr>
      <w:r>
        <w:rPr>
          <w:rFonts w:hint="eastAsia" w:cs="宋体"/>
          <w:color w:val="auto"/>
          <w:sz w:val="24"/>
          <w:szCs w:val="24"/>
          <w:highlight w:val="none"/>
        </w:rPr>
        <w:t>回避</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（一）参加采购活动前3年内与供应商存在劳动关系；</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（二）参加采购活动前3年内担任供应商的董事、监事；</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(三) 参加采购活动前3年内是供应商的控股股东或者实际控制人；</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（四）与供应商的法定代表人或者负责人有夫妻、直系血亲、三代以内旁系血亲或者近姻亲关系；</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（五）与供应商有其他可能影响政府采购活动公平、公正进行的关系。</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审小组成员。</w:t>
      </w:r>
    </w:p>
    <w:p>
      <w:pPr>
        <w:pStyle w:val="12"/>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2"/>
        <w:rPr>
          <w:rFonts w:cs="宋体"/>
          <w:sz w:val="24"/>
          <w:szCs w:val="24"/>
          <w:highlight w:val="none"/>
        </w:rPr>
      </w:pPr>
      <w:bookmarkStart w:id="130" w:name="_Toc217446078"/>
      <w:bookmarkStart w:id="131" w:name="_Toc13652488"/>
      <w:bookmarkStart w:id="132" w:name="_Toc494464909"/>
      <w:r>
        <w:rPr>
          <w:rFonts w:hint="eastAsia" w:cs="宋体"/>
          <w:sz w:val="24"/>
          <w:szCs w:val="24"/>
          <w:highlight w:val="none"/>
        </w:rPr>
        <w:t>询问、质疑和投诉</w:t>
      </w:r>
      <w:bookmarkEnd w:id="130"/>
      <w:bookmarkEnd w:id="131"/>
      <w:bookmarkEnd w:id="132"/>
      <w:bookmarkStart w:id="133" w:name="_Toc217446079"/>
    </w:p>
    <w:bookmarkEnd w:id="124"/>
    <w:bookmarkEnd w:id="125"/>
    <w:bookmarkEnd w:id="133"/>
    <w:p>
      <w:pPr>
        <w:pStyle w:val="26"/>
        <w:tabs>
          <w:tab w:val="left" w:pos="1134"/>
        </w:tabs>
        <w:spacing w:line="360" w:lineRule="auto"/>
        <w:ind w:left="0" w:leftChars="0" w:firstLine="480" w:firstLineChars="200"/>
        <w:rPr>
          <w:rFonts w:ascii="宋体" w:hAnsi="宋体" w:cs="宋体"/>
          <w:sz w:val="24"/>
          <w:szCs w:val="24"/>
          <w:highlight w:val="none"/>
        </w:rPr>
      </w:pPr>
      <w:bookmarkStart w:id="134" w:name="_Toc15458"/>
      <w:bookmarkStart w:id="135" w:name="_Toc8131"/>
      <w:bookmarkStart w:id="136" w:name="_Toc475861154"/>
      <w:bookmarkStart w:id="137" w:name="_Toc475862716"/>
      <w:bookmarkStart w:id="138" w:name="_Toc475862225"/>
      <w:r>
        <w:rPr>
          <w:rFonts w:hint="eastAsia" w:ascii="宋体" w:hAnsi="宋体" w:cs="宋体"/>
          <w:sz w:val="24"/>
          <w:szCs w:val="24"/>
          <w:highlight w:val="none"/>
        </w:rPr>
        <w:t>询问、质疑、投诉的接收和处理严格按照《</w:t>
      </w:r>
      <w:r>
        <w:rPr>
          <w:rFonts w:hint="eastAsia" w:ascii="宋体" w:hAnsi="宋体" w:cs="宋体"/>
          <w:sz w:val="24"/>
          <w:szCs w:val="24"/>
          <w:highlight w:val="none"/>
          <w:lang w:eastAsia="zh-CN"/>
        </w:rPr>
        <w:t>中华人民共和国</w:t>
      </w:r>
      <w:r>
        <w:rPr>
          <w:rFonts w:hint="eastAsia" w:ascii="宋体" w:hAnsi="宋体" w:cs="宋体"/>
          <w:sz w:val="24"/>
          <w:szCs w:val="24"/>
          <w:highlight w:val="none"/>
        </w:rPr>
        <w:t>政府采购法》、《中华人民共和国政府采购法实施条例》、《政府采购货物和服务招标投标管理办法》和《中华人民共和国财政部令第94号--政府采购质疑和投诉办法》的规定办理（详细规定请在四川政府采购网政策法规模块查询）。</w:t>
      </w:r>
      <w:bookmarkEnd w:id="134"/>
      <w:bookmarkEnd w:id="135"/>
      <w:bookmarkEnd w:id="136"/>
      <w:bookmarkEnd w:id="137"/>
      <w:bookmarkEnd w:id="138"/>
    </w:p>
    <w:p>
      <w:pPr>
        <w:keepNext/>
        <w:keepLines/>
        <w:numPr>
          <w:ilvl w:val="1"/>
          <w:numId w:val="1"/>
        </w:numPr>
        <w:spacing w:before="260" w:after="260" w:line="360" w:lineRule="auto"/>
        <w:jc w:val="left"/>
        <w:outlineLvl w:val="1"/>
        <w:rPr>
          <w:rFonts w:ascii="宋体" w:hAnsi="宋体" w:cs="宋体"/>
          <w:b/>
          <w:bCs/>
          <w:sz w:val="24"/>
          <w:szCs w:val="24"/>
          <w:highlight w:val="none"/>
        </w:rPr>
      </w:pPr>
      <w:bookmarkStart w:id="139" w:name="_Toc13652489"/>
      <w:r>
        <w:rPr>
          <w:rFonts w:hint="eastAsia" w:ascii="宋体" w:hAnsi="宋体" w:cs="宋体"/>
          <w:b/>
          <w:bCs/>
          <w:sz w:val="24"/>
          <w:szCs w:val="24"/>
          <w:highlight w:val="none"/>
        </w:rPr>
        <w:t>其他</w:t>
      </w:r>
      <w:bookmarkEnd w:id="139"/>
    </w:p>
    <w:p>
      <w:pPr>
        <w:spacing w:line="560" w:lineRule="exact"/>
        <w:ind w:firstLine="480" w:firstLineChars="200"/>
        <w:rPr>
          <w:rFonts w:ascii="宋体" w:hAnsi="宋体" w:cs="宋体"/>
          <w:sz w:val="24"/>
          <w:szCs w:val="24"/>
          <w:highlight w:val="none"/>
        </w:rPr>
      </w:pPr>
      <w:bookmarkStart w:id="140" w:name="_Toc475862718"/>
      <w:bookmarkStart w:id="141" w:name="_Toc475861156"/>
      <w:bookmarkStart w:id="142" w:name="_Toc475862227"/>
      <w:r>
        <w:rPr>
          <w:rFonts w:hint="eastAsia" w:ascii="宋体" w:hAnsi="宋体" w:cs="宋体"/>
          <w:sz w:val="24"/>
          <w:szCs w:val="24"/>
          <w:highlight w:val="none"/>
        </w:rPr>
        <w:t>本招标文件中所引相关法律制度规定，在政府采购中有变化的，按照变化后的相关法律制度规定执行。本章和第6章中“6.1总则、6.2评标方法、6.3评标程序”规定的内容条款，在本项目投标截止时间届满后，因相关法律制度规定的变化导致不符合相关法律制度规定的，直接按照变化后的相关法律制度规定执行，本招标文件不再做调整。</w:t>
      </w:r>
      <w:bookmarkEnd w:id="140"/>
      <w:bookmarkEnd w:id="141"/>
      <w:bookmarkEnd w:id="142"/>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本招标文件中作为实质性的内容，除明确要求需在响应时提供承诺函或证明材料的以外，评标小组在评审时，仅对投标文件是否违背实质性要求进行审查。</w:t>
      </w:r>
    </w:p>
    <w:p>
      <w:pPr>
        <w:pStyle w:val="26"/>
        <w:tabs>
          <w:tab w:val="left" w:pos="1134"/>
        </w:tabs>
        <w:spacing w:line="360" w:lineRule="auto"/>
        <w:ind w:left="0" w:leftChars="0"/>
        <w:rPr>
          <w:rFonts w:ascii="宋体" w:hAnsi="宋体" w:cs="宋体"/>
          <w:sz w:val="24"/>
          <w:szCs w:val="24"/>
          <w:highlight w:val="none"/>
        </w:rPr>
      </w:pPr>
    </w:p>
    <w:p>
      <w:pPr>
        <w:pStyle w:val="3"/>
        <w:numPr>
          <w:ilvl w:val="0"/>
          <w:numId w:val="0"/>
        </w:numPr>
        <w:jc w:val="both"/>
        <w:rPr>
          <w:rFonts w:cs="宋体"/>
          <w:highlight w:val="none"/>
        </w:rPr>
        <w:sectPr>
          <w:pgSz w:w="11906" w:h="16838"/>
          <w:pgMar w:top="1327" w:right="1800" w:bottom="1327" w:left="1800" w:header="851" w:footer="992" w:gutter="0"/>
          <w:cols w:space="720" w:num="1"/>
          <w:docGrid w:type="lines" w:linePitch="312" w:charSpace="0"/>
        </w:sectPr>
      </w:pPr>
      <w:bookmarkStart w:id="143" w:name="_Toc316292052"/>
      <w:bookmarkEnd w:id="143"/>
      <w:bookmarkStart w:id="144" w:name="_Toc316292048"/>
      <w:bookmarkEnd w:id="144"/>
      <w:bookmarkStart w:id="145" w:name="_Toc316292050"/>
      <w:bookmarkEnd w:id="145"/>
      <w:bookmarkStart w:id="146" w:name="_Toc315871045"/>
      <w:bookmarkEnd w:id="146"/>
      <w:bookmarkStart w:id="147" w:name="_Toc315871046"/>
      <w:bookmarkEnd w:id="147"/>
      <w:bookmarkStart w:id="148" w:name="_Toc315871048"/>
      <w:bookmarkEnd w:id="148"/>
      <w:bookmarkStart w:id="149" w:name="_Toc316292049"/>
      <w:bookmarkEnd w:id="149"/>
      <w:bookmarkStart w:id="150" w:name="_Toc315871049"/>
      <w:bookmarkEnd w:id="150"/>
      <w:bookmarkStart w:id="151" w:name="_Toc315871047"/>
      <w:bookmarkEnd w:id="151"/>
      <w:bookmarkStart w:id="152" w:name="_Toc315871050"/>
      <w:bookmarkEnd w:id="152"/>
      <w:bookmarkStart w:id="153" w:name="_Toc316292051"/>
      <w:bookmarkEnd w:id="153"/>
      <w:bookmarkStart w:id="154" w:name="_Toc494464911"/>
    </w:p>
    <w:p>
      <w:pPr>
        <w:pStyle w:val="3"/>
        <w:rPr>
          <w:rFonts w:cs="宋体"/>
          <w:highlight w:val="none"/>
        </w:rPr>
      </w:pPr>
      <w:bookmarkStart w:id="155" w:name="_Toc13652490"/>
      <w:r>
        <w:rPr>
          <w:rFonts w:hint="eastAsia" w:cs="宋体"/>
          <w:highlight w:val="none"/>
        </w:rPr>
        <w:t>投标文件格式</w:t>
      </w:r>
      <w:bookmarkEnd w:id="154"/>
      <w:bookmarkEnd w:id="155"/>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本章所制投标文件格式一律不具有强制性（除格式注解特别要求的以外），仅供文件編制参考，表格可增减删改，本章所制投标文件格式有关表格中的备注栏，由供应商人根据自身情况作解释性说明，不作为必填项。</w:t>
      </w:r>
    </w:p>
    <w:p>
      <w:pPr>
        <w:spacing w:line="560" w:lineRule="exact"/>
        <w:ind w:firstLine="480" w:firstLineChars="200"/>
        <w:rPr>
          <w:rFonts w:ascii="宋体" w:hAnsi="宋体" w:cs="宋体"/>
          <w:sz w:val="24"/>
          <w:szCs w:val="24"/>
          <w:highlight w:val="none"/>
        </w:rPr>
      </w:pPr>
    </w:p>
    <w:p>
      <w:pPr>
        <w:pStyle w:val="2"/>
        <w:rPr>
          <w:rFonts w:cs="宋体"/>
          <w:sz w:val="24"/>
          <w:szCs w:val="24"/>
          <w:highlight w:val="none"/>
        </w:rPr>
      </w:pPr>
      <w:bookmarkStart w:id="156" w:name="_Toc494464912"/>
      <w:bookmarkStart w:id="157" w:name="_Toc13652491"/>
      <w:r>
        <w:rPr>
          <w:rFonts w:hint="eastAsia" w:cs="宋体"/>
          <w:sz w:val="24"/>
          <w:szCs w:val="24"/>
          <w:highlight w:val="none"/>
        </w:rPr>
        <w:br w:type="page"/>
      </w:r>
      <w:r>
        <w:rPr>
          <w:rFonts w:hint="eastAsia" w:cs="宋体"/>
          <w:sz w:val="24"/>
          <w:szCs w:val="24"/>
          <w:highlight w:val="none"/>
        </w:rPr>
        <w:t>投标文件封面参考格式</w:t>
      </w:r>
      <w:bookmarkEnd w:id="156"/>
      <w:bookmarkEnd w:id="157"/>
    </w:p>
    <w:p>
      <w:pPr>
        <w:spacing w:line="360" w:lineRule="auto"/>
        <w:rPr>
          <w:rFonts w:ascii="宋体" w:hAnsi="宋体" w:cs="宋体"/>
          <w:bCs/>
          <w:sz w:val="24"/>
          <w:szCs w:val="24"/>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4055745</wp:posOffset>
                </wp:positionH>
                <wp:positionV relativeFrom="paragraph">
                  <wp:posOffset>169545</wp:posOffset>
                </wp:positionV>
                <wp:extent cx="1137285" cy="497205"/>
                <wp:effectExtent l="4445" t="5080" r="20320" b="12065"/>
                <wp:wrapNone/>
                <wp:docPr id="1" name="Text Box 2"/>
                <wp:cNvGraphicFramePr/>
                <a:graphic xmlns:a="http://schemas.openxmlformats.org/drawingml/2006/main">
                  <a:graphicData uri="http://schemas.microsoft.com/office/word/2010/wordprocessingShape">
                    <wps:wsp>
                      <wps:cNvSpPr txBox="1"/>
                      <wps:spPr>
                        <a:xfrm>
                          <a:off x="0" y="0"/>
                          <a:ext cx="113728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黑体" w:eastAsia="黑体"/>
                                <w:b/>
                                <w:sz w:val="28"/>
                                <w:szCs w:val="28"/>
                              </w:rPr>
                            </w:pPr>
                            <w:r>
                              <w:rPr>
                                <w:rFonts w:hint="eastAsia" w:ascii="黑体" w:hAnsi="宋体" w:eastAsia="黑体"/>
                                <w:b/>
                                <w:sz w:val="28"/>
                                <w:szCs w:val="28"/>
                              </w:rPr>
                              <w:t>正本或副本</w:t>
                            </w:r>
                          </w:p>
                        </w:txbxContent>
                      </wps:txbx>
                      <wps:bodyPr wrap="square" upright="1">
                        <a:spAutoFit/>
                      </wps:bodyPr>
                    </wps:wsp>
                  </a:graphicData>
                </a:graphic>
              </wp:anchor>
            </w:drawing>
          </mc:Choice>
          <mc:Fallback>
            <w:pict>
              <v:shape id="Text Box 2" o:spid="_x0000_s1026" o:spt="202" type="#_x0000_t202" style="position:absolute;left:0pt;margin-left:319.35pt;margin-top:13.35pt;height:39.15pt;width:89.55pt;z-index:251659264;mso-width-relative:page;mso-height-relative:page;" fillcolor="#FFFFFF" filled="t" stroked="t" coordsize="21600,21600" o:gfxdata="UEsDBAoAAAAAAIdO4kAAAAAAAAAAAAAAAAAEAAAAZHJzL1BLAwQUAAAACACHTuJAr+zG3tgAAAAK&#10;AQAADwAAAGRycy9kb3ducmV2LnhtbE2PwU7DMAyG70h7h8iTuLGkQ+uq0nQHpp0ZAwlxSxOvqdYk&#10;pcm6jafHnOBkWf70+/urzdX1bMIxdsFLyBYCGHodTOdbCe9vu4cCWEzKG9UHjxJuGGFTz+4qVZpw&#10;8a84HVLLKMTHUkmwKQ0l51FbdCouwoCebscwOpVoHVtuRnWhcNfzpRA5d6rz9MGqAZ8t6tPh7CTE&#10;7f5r0Md9c7Lm9v2ynVb6Y/cp5f08E0/AEl7THwy/+qQONTk14exNZL2E/LFYEyphmdMkoMjW1KUh&#10;UqwE8Lri/yvUP1BLAwQUAAAACACHTuJA+h4LWw4CAABdBAAADgAAAGRycy9lMm9Eb2MueG1srVRN&#10;j9MwEL0j8R8s32nSQNndqOkKKOWCAGmXHzC1ncSSv7DdJv33jJ3Q7i4ceiCHZGw/P897M876ftSK&#10;HIUP0pqGLhclJcIwy6XpGvrzcffmlpIQwXBQ1oiGnkSg95vXr9aDq0Vle6u48ARJTKgH19A+RlcX&#10;RWC90BAW1gmDi631GiIOfVdwDwOya1VUZfm+GKznzlsmQsDZ7bRIZ0Z/DaFtW8nE1rKDFiZOrF4o&#10;iCgp9NIFusnZtq1g8XvbBhGJaigqjfmNh2C8T+9is4a68+B6yeYU4JoUXmjSIA0eeqbaQgRy8PIv&#10;Ki2Zt8G2ccGsLiYh2RFUsSxfePPQgxNZC1od3Nn08P9o2bfjD08kx06gxIDGgj+KMZKPdiRVcmdw&#10;oUbQg0NYHHE6Ief5gJNJ9Nh6nb4oh+A6ens6e5vIWNq0fHtT3a4oYbj27u6mKleJprjsdj7EL8Jq&#10;koKGeqxdthSOX0OcoH8g6bBgleQ7qVQe+G7/SXlyBKzzLj8z+zOYMmRo6N2qSnkANm+LTYOhdmhA&#10;MF0+79mO8JS4zM+/iFNiWwj9lEBmSDCotYzC56gXwD8bTuLJockG7xZNyWjBKVECr2KKMjKCVNcg&#10;0Ttl0MJUoqkUKYrjfkSaFO4tP2HZBmxvlPfrAB7PPDgvux4NXk5q3YdDtDuZHb5smmmx63KN5huS&#10;2vrpOKMuf4X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sxt7YAAAACgEAAA8AAAAAAAAAAQAg&#10;AAAAIgAAAGRycy9kb3ducmV2LnhtbFBLAQIUABQAAAAIAIdO4kD6HgtbDgIAAF0EAAAOAAAAAAAA&#10;AAEAIAAAACcBAABkcnMvZTJvRG9jLnhtbFBLBQYAAAAABgAGAFkBAACnBQAAAAA=&#10;">
                <v:fill on="t" focussize="0,0"/>
                <v:stroke color="#000000" joinstyle="miter"/>
                <v:imagedata o:title=""/>
                <o:lock v:ext="edit" aspectratio="f"/>
                <v:textbox style="mso-fit-shape-to-text:t;">
                  <w:txbxContent>
                    <w:p>
                      <w:pPr>
                        <w:rPr>
                          <w:rFonts w:ascii="黑体" w:eastAsia="黑体"/>
                          <w:b/>
                          <w:sz w:val="28"/>
                          <w:szCs w:val="28"/>
                        </w:rPr>
                      </w:pPr>
                      <w:r>
                        <w:rPr>
                          <w:rFonts w:hint="eastAsia" w:ascii="黑体" w:hAnsi="宋体" w:eastAsia="黑体"/>
                          <w:b/>
                          <w:sz w:val="28"/>
                          <w:szCs w:val="28"/>
                        </w:rPr>
                        <w:t>正本或副本</w:t>
                      </w:r>
                    </w:p>
                  </w:txbxContent>
                </v:textbox>
              </v:shape>
            </w:pict>
          </mc:Fallback>
        </mc:AlternateContent>
      </w:r>
    </w:p>
    <w:p>
      <w:pPr>
        <w:spacing w:line="360" w:lineRule="auto"/>
        <w:rPr>
          <w:rFonts w:ascii="宋体" w:hAnsi="宋体" w:cs="宋体"/>
          <w:bCs/>
          <w:sz w:val="24"/>
          <w:szCs w:val="24"/>
          <w:highlight w:val="none"/>
        </w:rPr>
      </w:pPr>
    </w:p>
    <w:p>
      <w:pPr>
        <w:spacing w:line="360" w:lineRule="auto"/>
        <w:rPr>
          <w:rFonts w:ascii="宋体" w:hAnsi="宋体" w:cs="宋体"/>
          <w:bCs/>
          <w:sz w:val="24"/>
          <w:szCs w:val="24"/>
          <w:highlight w:val="none"/>
        </w:rPr>
      </w:pPr>
    </w:p>
    <w:p>
      <w:pPr>
        <w:spacing w:line="360" w:lineRule="auto"/>
        <w:jc w:val="right"/>
        <w:rPr>
          <w:rFonts w:ascii="宋体" w:hAnsi="宋体" w:cs="宋体"/>
          <w:sz w:val="24"/>
          <w:szCs w:val="24"/>
          <w:highlight w:val="none"/>
        </w:rPr>
      </w:pPr>
    </w:p>
    <w:p>
      <w:pPr>
        <w:spacing w:line="360" w:lineRule="auto"/>
        <w:jc w:val="center"/>
        <w:rPr>
          <w:rFonts w:ascii="宋体" w:hAnsi="宋体" w:cs="宋体"/>
          <w:spacing w:val="78"/>
          <w:sz w:val="120"/>
          <w:szCs w:val="120"/>
          <w:highlight w:val="none"/>
        </w:rPr>
      </w:pPr>
      <w:r>
        <w:rPr>
          <w:rFonts w:hint="eastAsia" w:ascii="宋体" w:hAnsi="宋体" w:cs="宋体"/>
          <w:spacing w:val="78"/>
          <w:sz w:val="120"/>
          <w:szCs w:val="120"/>
          <w:highlight w:val="none"/>
        </w:rPr>
        <w:t>投标文件</w:t>
      </w:r>
    </w:p>
    <w:p>
      <w:pPr>
        <w:spacing w:line="360" w:lineRule="auto"/>
        <w:jc w:val="center"/>
        <w:rPr>
          <w:rFonts w:ascii="宋体" w:hAnsi="宋体" w:cs="宋体"/>
          <w:bCs/>
          <w:sz w:val="24"/>
          <w:szCs w:val="24"/>
          <w:highlight w:val="none"/>
        </w:rPr>
      </w:pPr>
    </w:p>
    <w:p>
      <w:pPr>
        <w:spacing w:line="360" w:lineRule="auto"/>
        <w:jc w:val="center"/>
        <w:rPr>
          <w:rFonts w:ascii="宋体" w:hAnsi="宋体" w:cs="宋体"/>
          <w:bCs/>
          <w:sz w:val="24"/>
          <w:szCs w:val="24"/>
          <w:highlight w:val="none"/>
        </w:rPr>
      </w:pPr>
    </w:p>
    <w:p>
      <w:pPr>
        <w:spacing w:line="360" w:lineRule="auto"/>
        <w:ind w:left="1205" w:hanging="1205" w:hangingChars="500"/>
        <w:jc w:val="left"/>
        <w:rPr>
          <w:rFonts w:ascii="宋体" w:hAnsi="宋体" w:cs="宋体"/>
          <w:b/>
          <w:bCs/>
          <w:sz w:val="24"/>
          <w:szCs w:val="24"/>
          <w:highlight w:val="none"/>
        </w:rPr>
      </w:pPr>
      <w:r>
        <w:rPr>
          <w:rFonts w:hint="eastAsia" w:ascii="宋体" w:hAnsi="宋体" w:cs="宋体"/>
          <w:b/>
          <w:bCs/>
          <w:sz w:val="24"/>
          <w:szCs w:val="24"/>
          <w:highlight w:val="none"/>
        </w:rPr>
        <w:t xml:space="preserve">采购项目名称： </w:t>
      </w:r>
    </w:p>
    <w:p>
      <w:pPr>
        <w:spacing w:line="360" w:lineRule="auto"/>
        <w:jc w:val="left"/>
        <w:rPr>
          <w:rFonts w:ascii="宋体" w:hAnsi="宋体" w:cs="宋体"/>
          <w:b/>
          <w:sz w:val="24"/>
          <w:szCs w:val="24"/>
          <w:highlight w:val="none"/>
          <w:u w:val="single"/>
        </w:rPr>
      </w:pPr>
      <w:r>
        <w:rPr>
          <w:rFonts w:hint="eastAsia" w:ascii="宋体" w:hAnsi="宋体" w:cs="宋体"/>
          <w:b/>
          <w:bCs/>
          <w:sz w:val="24"/>
          <w:szCs w:val="24"/>
          <w:highlight w:val="none"/>
        </w:rPr>
        <w:t>采购项目编号：</w:t>
      </w:r>
    </w:p>
    <w:p>
      <w:pPr>
        <w:spacing w:line="360" w:lineRule="auto"/>
        <w:jc w:val="left"/>
        <w:rPr>
          <w:rFonts w:ascii="宋体" w:hAnsi="宋体" w:cs="宋体"/>
          <w:b/>
          <w:sz w:val="24"/>
          <w:szCs w:val="24"/>
          <w:highlight w:val="none"/>
        </w:rPr>
      </w:pPr>
      <w:r>
        <w:rPr>
          <w:rFonts w:hint="eastAsia" w:ascii="宋体" w:hAnsi="宋体" w:cs="宋体"/>
          <w:b/>
          <w:sz w:val="24"/>
          <w:szCs w:val="24"/>
          <w:highlight w:val="none"/>
        </w:rPr>
        <w:t>包件号：</w:t>
      </w:r>
    </w:p>
    <w:p>
      <w:pPr>
        <w:spacing w:line="360" w:lineRule="auto"/>
        <w:jc w:val="left"/>
        <w:rPr>
          <w:rFonts w:ascii="宋体" w:hAnsi="宋体" w:cs="宋体"/>
          <w:b/>
          <w:bCs/>
          <w:sz w:val="24"/>
          <w:szCs w:val="24"/>
          <w:highlight w:val="none"/>
        </w:rPr>
      </w:pPr>
    </w:p>
    <w:p>
      <w:pPr>
        <w:spacing w:line="360" w:lineRule="auto"/>
        <w:ind w:left="1890" w:leftChars="900"/>
        <w:jc w:val="left"/>
        <w:rPr>
          <w:rFonts w:ascii="宋体" w:hAnsi="宋体" w:cs="宋体"/>
          <w:b/>
          <w:bCs/>
          <w:sz w:val="24"/>
          <w:szCs w:val="24"/>
          <w:highlight w:val="none"/>
        </w:rPr>
      </w:pPr>
    </w:p>
    <w:p>
      <w:pPr>
        <w:spacing w:line="360" w:lineRule="auto"/>
        <w:ind w:left="1890" w:leftChars="900"/>
        <w:jc w:val="left"/>
        <w:rPr>
          <w:rFonts w:ascii="宋体" w:hAnsi="宋体" w:cs="宋体"/>
          <w:b/>
          <w:bCs/>
          <w:sz w:val="24"/>
          <w:szCs w:val="24"/>
          <w:highlight w:val="none"/>
        </w:rPr>
      </w:pPr>
    </w:p>
    <w:p>
      <w:pPr>
        <w:spacing w:line="360" w:lineRule="auto"/>
        <w:ind w:left="1890" w:leftChars="900"/>
        <w:jc w:val="left"/>
        <w:rPr>
          <w:rFonts w:ascii="宋体" w:hAnsi="宋体" w:cs="宋体"/>
          <w:b/>
          <w:bCs/>
          <w:sz w:val="24"/>
          <w:szCs w:val="24"/>
          <w:highlight w:val="none"/>
        </w:rPr>
      </w:pPr>
    </w:p>
    <w:p>
      <w:pPr>
        <w:spacing w:line="360" w:lineRule="auto"/>
        <w:ind w:firstLine="472" w:firstLineChars="196"/>
        <w:jc w:val="left"/>
        <w:rPr>
          <w:rFonts w:ascii="宋体" w:hAnsi="宋体" w:cs="宋体"/>
          <w:b/>
          <w:bCs/>
          <w:sz w:val="24"/>
          <w:szCs w:val="24"/>
          <w:highlight w:val="none"/>
          <w:u w:val="single"/>
        </w:rPr>
      </w:pPr>
      <w:r>
        <w:rPr>
          <w:rFonts w:hint="eastAsia" w:ascii="宋体" w:hAnsi="宋体" w:cs="宋体"/>
          <w:b/>
          <w:bCs/>
          <w:sz w:val="24"/>
          <w:szCs w:val="24"/>
          <w:highlight w:val="none"/>
        </w:rPr>
        <w:t>投标人名称：</w:t>
      </w:r>
      <w:r>
        <w:rPr>
          <w:rFonts w:hint="eastAsia" w:ascii="宋体" w:hAnsi="宋体" w:cs="宋体"/>
          <w:b/>
          <w:bCs/>
          <w:sz w:val="24"/>
          <w:szCs w:val="24"/>
          <w:highlight w:val="none"/>
          <w:u w:val="single"/>
        </w:rPr>
        <w:t xml:space="preserve">                  </w:t>
      </w:r>
    </w:p>
    <w:p>
      <w:pPr>
        <w:spacing w:line="360" w:lineRule="auto"/>
        <w:ind w:firstLine="472" w:firstLineChars="196"/>
        <w:jc w:val="left"/>
        <w:rPr>
          <w:rFonts w:ascii="宋体" w:hAnsi="宋体" w:cs="宋体"/>
          <w:b/>
          <w:bCs/>
          <w:sz w:val="24"/>
          <w:szCs w:val="24"/>
          <w:highlight w:val="none"/>
          <w:u w:val="single"/>
        </w:rPr>
      </w:pPr>
    </w:p>
    <w:p>
      <w:pPr>
        <w:spacing w:line="360" w:lineRule="auto"/>
        <w:ind w:firstLine="426" w:firstLineChars="177"/>
        <w:rPr>
          <w:rFonts w:ascii="宋体" w:hAnsi="宋体" w:cs="宋体"/>
          <w:b/>
          <w:bCs/>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年</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月</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日</w:t>
      </w:r>
    </w:p>
    <w:p>
      <w:pPr>
        <w:spacing w:line="360" w:lineRule="auto"/>
        <w:ind w:firstLine="426" w:firstLineChars="177"/>
        <w:rPr>
          <w:rFonts w:ascii="宋体" w:hAnsi="宋体" w:cs="宋体"/>
          <w:b/>
          <w:bCs/>
          <w:sz w:val="24"/>
          <w:szCs w:val="24"/>
          <w:highlight w:val="none"/>
        </w:rPr>
      </w:pPr>
    </w:p>
    <w:p>
      <w:pPr>
        <w:spacing w:line="360" w:lineRule="auto"/>
        <w:ind w:firstLine="426" w:firstLineChars="177"/>
        <w:rPr>
          <w:rFonts w:ascii="宋体" w:hAnsi="宋体" w:cs="宋体"/>
          <w:b/>
          <w:bCs/>
          <w:sz w:val="24"/>
          <w:szCs w:val="24"/>
          <w:highlight w:val="none"/>
        </w:rPr>
      </w:pPr>
    </w:p>
    <w:p>
      <w:pPr>
        <w:spacing w:line="360" w:lineRule="auto"/>
        <w:ind w:firstLine="426" w:firstLineChars="177"/>
        <w:rPr>
          <w:rFonts w:ascii="宋体" w:hAnsi="宋体" w:cs="宋体"/>
          <w:b/>
          <w:bCs/>
          <w:sz w:val="24"/>
          <w:szCs w:val="24"/>
          <w:highlight w:val="none"/>
        </w:rPr>
      </w:pPr>
    </w:p>
    <w:p>
      <w:pPr>
        <w:spacing w:line="360" w:lineRule="auto"/>
        <w:ind w:firstLine="426" w:firstLineChars="177"/>
        <w:rPr>
          <w:rFonts w:ascii="宋体" w:hAnsi="宋体" w:cs="宋体"/>
          <w:b/>
          <w:bCs/>
          <w:sz w:val="24"/>
          <w:szCs w:val="24"/>
          <w:highlight w:val="none"/>
        </w:rPr>
      </w:pPr>
    </w:p>
    <w:p>
      <w:pPr>
        <w:spacing w:line="360" w:lineRule="auto"/>
        <w:ind w:firstLine="426" w:firstLineChars="177"/>
        <w:rPr>
          <w:rFonts w:ascii="宋体" w:hAnsi="宋体" w:cs="宋体"/>
          <w:b/>
          <w:bCs/>
          <w:sz w:val="24"/>
          <w:szCs w:val="24"/>
          <w:highlight w:val="none"/>
        </w:rPr>
      </w:pPr>
    </w:p>
    <w:p>
      <w:pPr>
        <w:pStyle w:val="2"/>
        <w:rPr>
          <w:rFonts w:cs="宋体"/>
          <w:sz w:val="24"/>
          <w:szCs w:val="24"/>
          <w:highlight w:val="none"/>
        </w:rPr>
      </w:pPr>
      <w:bookmarkStart w:id="158" w:name="_Toc13652492"/>
      <w:bookmarkStart w:id="159" w:name="_Toc494464913"/>
      <w:r>
        <w:rPr>
          <w:rFonts w:hint="eastAsia" w:cs="宋体"/>
          <w:sz w:val="24"/>
          <w:szCs w:val="24"/>
          <w:highlight w:val="none"/>
        </w:rPr>
        <w:t>电子文档封面格式</w:t>
      </w:r>
      <w:bookmarkEnd w:id="158"/>
    </w:p>
    <w:p>
      <w:pPr>
        <w:spacing w:line="360" w:lineRule="auto"/>
        <w:rPr>
          <w:rFonts w:ascii="宋体" w:hAnsi="宋体" w:cs="宋体"/>
          <w:bCs/>
          <w:sz w:val="24"/>
          <w:szCs w:val="24"/>
          <w:highlight w:val="none"/>
        </w:rPr>
      </w:pPr>
    </w:p>
    <w:p>
      <w:pPr>
        <w:spacing w:line="360" w:lineRule="auto"/>
        <w:rPr>
          <w:rFonts w:ascii="宋体" w:hAnsi="宋体" w:cs="宋体"/>
          <w:bCs/>
          <w:sz w:val="24"/>
          <w:szCs w:val="24"/>
          <w:highlight w:val="none"/>
        </w:rPr>
      </w:pPr>
    </w:p>
    <w:p>
      <w:pPr>
        <w:spacing w:line="360" w:lineRule="auto"/>
        <w:rPr>
          <w:rFonts w:ascii="宋体" w:hAnsi="宋体" w:cs="宋体"/>
          <w:bCs/>
          <w:sz w:val="24"/>
          <w:szCs w:val="24"/>
          <w:highlight w:val="none"/>
        </w:rPr>
      </w:pPr>
    </w:p>
    <w:p>
      <w:pPr>
        <w:spacing w:line="360" w:lineRule="auto"/>
        <w:jc w:val="right"/>
        <w:rPr>
          <w:rFonts w:ascii="宋体" w:hAnsi="宋体" w:cs="宋体"/>
          <w:sz w:val="24"/>
          <w:szCs w:val="24"/>
          <w:highlight w:val="none"/>
        </w:rPr>
      </w:pPr>
    </w:p>
    <w:p>
      <w:pPr>
        <w:spacing w:line="360" w:lineRule="auto"/>
        <w:jc w:val="center"/>
        <w:rPr>
          <w:rFonts w:ascii="宋体" w:hAnsi="宋体" w:cs="宋体"/>
          <w:spacing w:val="78"/>
          <w:sz w:val="120"/>
          <w:szCs w:val="120"/>
          <w:highlight w:val="none"/>
        </w:rPr>
      </w:pPr>
      <w:r>
        <w:rPr>
          <w:rFonts w:hint="eastAsia" w:ascii="宋体" w:hAnsi="宋体" w:cs="宋体"/>
          <w:spacing w:val="78"/>
          <w:sz w:val="120"/>
          <w:szCs w:val="120"/>
          <w:highlight w:val="none"/>
        </w:rPr>
        <w:t>电子文档</w:t>
      </w:r>
    </w:p>
    <w:p>
      <w:pPr>
        <w:spacing w:line="360" w:lineRule="auto"/>
        <w:jc w:val="center"/>
        <w:rPr>
          <w:rFonts w:ascii="宋体" w:hAnsi="宋体" w:cs="宋体"/>
          <w:bCs/>
          <w:sz w:val="24"/>
          <w:szCs w:val="24"/>
          <w:highlight w:val="none"/>
        </w:rPr>
      </w:pPr>
    </w:p>
    <w:p>
      <w:pPr>
        <w:spacing w:line="360" w:lineRule="auto"/>
        <w:jc w:val="center"/>
        <w:rPr>
          <w:rFonts w:ascii="宋体" w:hAnsi="宋体" w:cs="宋体"/>
          <w:bCs/>
          <w:sz w:val="24"/>
          <w:szCs w:val="24"/>
          <w:highlight w:val="none"/>
        </w:rPr>
      </w:pPr>
    </w:p>
    <w:p>
      <w:pPr>
        <w:spacing w:line="360" w:lineRule="auto"/>
        <w:ind w:left="1606" w:hanging="1606" w:hangingChars="500"/>
        <w:jc w:val="left"/>
        <w:rPr>
          <w:rFonts w:ascii="宋体" w:hAnsi="宋体" w:cs="宋体"/>
          <w:b/>
          <w:bCs/>
          <w:sz w:val="32"/>
          <w:szCs w:val="32"/>
          <w:highlight w:val="none"/>
        </w:rPr>
      </w:pPr>
      <w:r>
        <w:rPr>
          <w:rFonts w:hint="eastAsia" w:ascii="宋体" w:hAnsi="宋体" w:cs="宋体"/>
          <w:b/>
          <w:bCs/>
          <w:sz w:val="32"/>
          <w:szCs w:val="32"/>
          <w:highlight w:val="none"/>
        </w:rPr>
        <w:t xml:space="preserve">采购项目名称： </w:t>
      </w:r>
    </w:p>
    <w:p>
      <w:pPr>
        <w:spacing w:line="360" w:lineRule="auto"/>
        <w:jc w:val="left"/>
        <w:rPr>
          <w:rFonts w:ascii="宋体" w:hAnsi="宋体" w:cs="宋体"/>
          <w:b/>
          <w:sz w:val="32"/>
          <w:szCs w:val="32"/>
          <w:highlight w:val="none"/>
          <w:u w:val="single"/>
        </w:rPr>
      </w:pPr>
      <w:r>
        <w:rPr>
          <w:rFonts w:hint="eastAsia" w:ascii="宋体" w:hAnsi="宋体" w:cs="宋体"/>
          <w:b/>
          <w:bCs/>
          <w:sz w:val="32"/>
          <w:szCs w:val="32"/>
          <w:highlight w:val="none"/>
        </w:rPr>
        <w:t>采购项目编号：</w:t>
      </w:r>
    </w:p>
    <w:p>
      <w:pPr>
        <w:spacing w:line="360" w:lineRule="auto"/>
        <w:jc w:val="left"/>
        <w:rPr>
          <w:rFonts w:ascii="宋体" w:hAnsi="宋体" w:cs="宋体"/>
          <w:b/>
          <w:sz w:val="32"/>
          <w:szCs w:val="32"/>
          <w:highlight w:val="none"/>
        </w:rPr>
      </w:pPr>
      <w:r>
        <w:rPr>
          <w:rFonts w:hint="eastAsia" w:ascii="宋体" w:hAnsi="宋体" w:cs="宋体"/>
          <w:b/>
          <w:sz w:val="32"/>
          <w:szCs w:val="32"/>
          <w:highlight w:val="none"/>
        </w:rPr>
        <w:t>包件号：</w:t>
      </w:r>
    </w:p>
    <w:p>
      <w:pPr>
        <w:spacing w:line="360" w:lineRule="auto"/>
        <w:jc w:val="left"/>
        <w:rPr>
          <w:rFonts w:ascii="宋体" w:hAnsi="宋体" w:cs="宋体"/>
          <w:b/>
          <w:bCs/>
          <w:sz w:val="32"/>
          <w:szCs w:val="32"/>
          <w:highlight w:val="none"/>
        </w:rPr>
      </w:pPr>
    </w:p>
    <w:p>
      <w:pPr>
        <w:spacing w:line="360" w:lineRule="auto"/>
        <w:ind w:left="1890" w:leftChars="900"/>
        <w:jc w:val="left"/>
        <w:rPr>
          <w:rFonts w:ascii="宋体" w:hAnsi="宋体" w:cs="宋体"/>
          <w:b/>
          <w:bCs/>
          <w:sz w:val="24"/>
          <w:szCs w:val="24"/>
          <w:highlight w:val="none"/>
        </w:rPr>
      </w:pPr>
    </w:p>
    <w:p>
      <w:pPr>
        <w:spacing w:line="360" w:lineRule="auto"/>
        <w:ind w:left="1890" w:leftChars="900"/>
        <w:jc w:val="left"/>
        <w:rPr>
          <w:rFonts w:ascii="宋体" w:hAnsi="宋体" w:cs="宋体"/>
          <w:b/>
          <w:bCs/>
          <w:sz w:val="24"/>
          <w:szCs w:val="24"/>
          <w:highlight w:val="none"/>
        </w:rPr>
      </w:pPr>
    </w:p>
    <w:p>
      <w:pPr>
        <w:spacing w:line="360" w:lineRule="auto"/>
        <w:ind w:left="1890" w:leftChars="900"/>
        <w:jc w:val="left"/>
        <w:rPr>
          <w:rFonts w:ascii="宋体" w:hAnsi="宋体" w:cs="宋体"/>
          <w:b/>
          <w:bCs/>
          <w:sz w:val="24"/>
          <w:szCs w:val="24"/>
          <w:highlight w:val="none"/>
        </w:rPr>
      </w:pPr>
    </w:p>
    <w:p>
      <w:pPr>
        <w:spacing w:line="360" w:lineRule="auto"/>
        <w:ind w:firstLine="472" w:firstLineChars="196"/>
        <w:jc w:val="left"/>
        <w:rPr>
          <w:rFonts w:ascii="宋体" w:hAnsi="宋体" w:cs="宋体"/>
          <w:b/>
          <w:bCs/>
          <w:sz w:val="24"/>
          <w:szCs w:val="24"/>
          <w:highlight w:val="none"/>
          <w:u w:val="single"/>
        </w:rPr>
      </w:pPr>
      <w:r>
        <w:rPr>
          <w:rFonts w:hint="eastAsia" w:ascii="宋体" w:hAnsi="宋体" w:cs="宋体"/>
          <w:b/>
          <w:bCs/>
          <w:sz w:val="24"/>
          <w:szCs w:val="24"/>
          <w:highlight w:val="none"/>
        </w:rPr>
        <w:t>投标人名称：</w:t>
      </w:r>
      <w:r>
        <w:rPr>
          <w:rFonts w:hint="eastAsia" w:ascii="宋体" w:hAnsi="宋体" w:cs="宋体"/>
          <w:b/>
          <w:bCs/>
          <w:sz w:val="24"/>
          <w:szCs w:val="24"/>
          <w:highlight w:val="none"/>
          <w:u w:val="single"/>
        </w:rPr>
        <w:t xml:space="preserve">                  </w:t>
      </w:r>
    </w:p>
    <w:p>
      <w:pPr>
        <w:spacing w:line="360" w:lineRule="auto"/>
        <w:ind w:firstLine="472" w:firstLineChars="196"/>
        <w:jc w:val="left"/>
        <w:rPr>
          <w:rFonts w:ascii="宋体" w:hAnsi="宋体" w:cs="宋体"/>
          <w:b/>
          <w:bCs/>
          <w:sz w:val="24"/>
          <w:szCs w:val="24"/>
          <w:highlight w:val="none"/>
          <w:u w:val="single"/>
        </w:rPr>
      </w:pPr>
    </w:p>
    <w:p>
      <w:pPr>
        <w:spacing w:line="360" w:lineRule="auto"/>
        <w:ind w:firstLine="426" w:firstLineChars="177"/>
        <w:rPr>
          <w:rFonts w:ascii="宋体" w:hAnsi="宋体" w:cs="宋体"/>
          <w:b/>
          <w:bCs/>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年</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月</w:t>
      </w:r>
      <w:r>
        <w:rPr>
          <w:rFonts w:hint="eastAsia" w:ascii="宋体" w:hAnsi="宋体" w:cs="宋体"/>
          <w:b/>
          <w:bCs/>
          <w:sz w:val="24"/>
          <w:szCs w:val="24"/>
          <w:highlight w:val="none"/>
          <w:u w:val="single"/>
        </w:rPr>
        <w:t xml:space="preserve">   </w:t>
      </w:r>
      <w:r>
        <w:rPr>
          <w:rFonts w:hint="eastAsia" w:ascii="宋体" w:hAnsi="宋体" w:cs="宋体"/>
          <w:b/>
          <w:bCs/>
          <w:sz w:val="24"/>
          <w:szCs w:val="24"/>
          <w:highlight w:val="none"/>
        </w:rPr>
        <w:t>日</w:t>
      </w:r>
    </w:p>
    <w:p>
      <w:pPr>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pStyle w:val="2"/>
        <w:rPr>
          <w:rFonts w:cs="宋体"/>
          <w:sz w:val="24"/>
          <w:szCs w:val="24"/>
          <w:highlight w:val="none"/>
        </w:rPr>
      </w:pPr>
      <w:bookmarkStart w:id="160" w:name="_Toc13652493"/>
      <w:r>
        <w:rPr>
          <w:rFonts w:hint="eastAsia" w:cs="宋体"/>
          <w:sz w:val="24"/>
          <w:szCs w:val="24"/>
          <w:highlight w:val="none"/>
        </w:rPr>
        <w:t>投标文件第一部分  资格审查</w:t>
      </w:r>
      <w:bookmarkEnd w:id="159"/>
      <w:r>
        <w:rPr>
          <w:rFonts w:hint="eastAsia" w:cs="宋体"/>
          <w:sz w:val="24"/>
          <w:szCs w:val="24"/>
          <w:highlight w:val="none"/>
        </w:rPr>
        <w:t>部分</w:t>
      </w:r>
      <w:bookmarkEnd w:id="160"/>
    </w:p>
    <w:p>
      <w:pPr>
        <w:pStyle w:val="4"/>
        <w:ind w:hanging="3119"/>
        <w:rPr>
          <w:rFonts w:cs="宋体"/>
          <w:color w:val="auto"/>
          <w:sz w:val="24"/>
          <w:szCs w:val="24"/>
          <w:highlight w:val="none"/>
        </w:rPr>
      </w:pPr>
      <w:r>
        <w:rPr>
          <w:rFonts w:hint="eastAsia" w:cs="宋体"/>
          <w:color w:val="auto"/>
          <w:sz w:val="24"/>
          <w:szCs w:val="24"/>
          <w:highlight w:val="none"/>
        </w:rPr>
        <w:t>承诺函</w:t>
      </w:r>
    </w:p>
    <w:p>
      <w:pPr>
        <w:spacing w:line="360" w:lineRule="auto"/>
        <w:rPr>
          <w:rFonts w:ascii="宋体" w:hAnsi="宋体" w:cs="宋体"/>
          <w:sz w:val="24"/>
          <w:szCs w:val="24"/>
          <w:highlight w:val="none"/>
        </w:rPr>
      </w:pPr>
      <w:bookmarkStart w:id="161" w:name="_Toc119295087"/>
      <w:bookmarkStart w:id="162" w:name="_Toc238581782"/>
      <w:bookmarkStart w:id="163" w:name="_Toc146903609"/>
      <w:bookmarkStart w:id="164" w:name="_Toc119296788"/>
      <w:bookmarkStart w:id="165" w:name="_Toc52184753"/>
      <w:bookmarkStart w:id="166" w:name="_Toc119203988"/>
      <w:r>
        <w:rPr>
          <w:rFonts w:hint="eastAsia" w:ascii="宋体" w:hAnsi="宋体" w:cs="宋体"/>
          <w:sz w:val="24"/>
          <w:szCs w:val="24"/>
          <w:highlight w:val="none"/>
        </w:rPr>
        <w:t>采购项目名称：</w:t>
      </w:r>
    </w:p>
    <w:p>
      <w:pPr>
        <w:spacing w:line="360" w:lineRule="auto"/>
        <w:rPr>
          <w:rFonts w:ascii="宋体" w:hAnsi="宋体" w:cs="宋体"/>
          <w:sz w:val="24"/>
          <w:szCs w:val="24"/>
          <w:highlight w:val="none"/>
        </w:rPr>
      </w:pPr>
      <w:r>
        <w:rPr>
          <w:rFonts w:hint="eastAsia" w:ascii="宋体" w:hAnsi="宋体" w:cs="宋体"/>
          <w:sz w:val="24"/>
          <w:szCs w:val="24"/>
          <w:highlight w:val="none"/>
        </w:rPr>
        <w:t>采购项目编号：</w:t>
      </w:r>
    </w:p>
    <w:p>
      <w:pPr>
        <w:spacing w:line="360" w:lineRule="auto"/>
        <w:rPr>
          <w:rFonts w:ascii="宋体" w:hAnsi="宋体" w:cs="宋体"/>
          <w:sz w:val="24"/>
          <w:szCs w:val="24"/>
          <w:highlight w:val="none"/>
        </w:rPr>
      </w:pPr>
      <w:r>
        <w:rPr>
          <w:rFonts w:hint="eastAsia" w:ascii="宋体" w:hAnsi="宋体" w:cs="宋体"/>
          <w:sz w:val="24"/>
          <w:szCs w:val="24"/>
          <w:highlight w:val="none"/>
        </w:rPr>
        <w:t>包件号：</w:t>
      </w:r>
    </w:p>
    <w:p>
      <w:pPr>
        <w:spacing w:line="360" w:lineRule="auto"/>
        <w:rPr>
          <w:rFonts w:ascii="宋体" w:hAnsi="宋体" w:cs="宋体"/>
          <w:sz w:val="24"/>
          <w:szCs w:val="24"/>
          <w:highlight w:val="none"/>
        </w:rPr>
      </w:pPr>
    </w:p>
    <w:p>
      <w:pPr>
        <w:spacing w:line="360" w:lineRule="auto"/>
        <w:rPr>
          <w:rFonts w:ascii="宋体" w:hAnsi="宋体" w:cs="宋体"/>
          <w:sz w:val="24"/>
          <w:szCs w:val="24"/>
          <w:highlight w:val="none"/>
        </w:rPr>
      </w:pPr>
      <w:r>
        <w:rPr>
          <w:rFonts w:hint="eastAsia" w:ascii="宋体" w:hAnsi="宋体" w:cs="宋体"/>
          <w:sz w:val="24"/>
          <w:szCs w:val="24"/>
          <w:highlight w:val="none"/>
        </w:rPr>
        <w:t>四川正汇恒招标代理有限公司：</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我公司作为本项目的非联合体投标人，根据招标文件要求，现郑重承诺如下：</w:t>
      </w:r>
    </w:p>
    <w:p>
      <w:pPr>
        <w:pStyle w:val="88"/>
        <w:numPr>
          <w:ilvl w:val="0"/>
          <w:numId w:val="33"/>
        </w:numPr>
        <w:tabs>
          <w:tab w:val="left" w:pos="1134"/>
        </w:tabs>
        <w:spacing w:line="360" w:lineRule="auto"/>
        <w:ind w:left="0" w:firstLine="567" w:firstLineChars="0"/>
        <w:rPr>
          <w:rFonts w:ascii="宋体" w:hAnsi="宋体" w:cs="宋体"/>
          <w:sz w:val="24"/>
          <w:szCs w:val="24"/>
          <w:highlight w:val="none"/>
        </w:rPr>
      </w:pPr>
      <w:r>
        <w:rPr>
          <w:rFonts w:hint="eastAsia" w:ascii="宋体" w:hAnsi="宋体" w:cs="宋体"/>
          <w:sz w:val="24"/>
          <w:szCs w:val="24"/>
          <w:highlight w:val="none"/>
        </w:rPr>
        <w:t>具备《中华人民共和国政府采购法》第二十二条第一款和本项目规定的条件：</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（一）具有独立承担民事责任的能力； </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（二）具有良好的商业信誉和健全的财务会计制度； </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（三）具有履行合同所必需的设备和专业技术能力； </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（四）有依法缴纳税收和社会保障资金的良好记录； </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（五）参加政府采购活动前三年内，在经营活动中没有重大违法记录；</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（六）法律、行政法规规定的其他条件；</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（七）根据采购项目提出的特殊条件。</w:t>
      </w:r>
    </w:p>
    <w:p>
      <w:pPr>
        <w:pStyle w:val="88"/>
        <w:numPr>
          <w:ilvl w:val="0"/>
          <w:numId w:val="33"/>
        </w:numPr>
        <w:tabs>
          <w:tab w:val="left" w:pos="1134"/>
        </w:tabs>
        <w:spacing w:line="360" w:lineRule="auto"/>
        <w:ind w:left="0" w:firstLine="567" w:firstLineChars="0"/>
        <w:rPr>
          <w:rFonts w:ascii="宋体" w:hAnsi="宋体" w:cs="宋体"/>
          <w:sz w:val="24"/>
          <w:szCs w:val="24"/>
          <w:highlight w:val="none"/>
        </w:rPr>
      </w:pPr>
      <w:r>
        <w:rPr>
          <w:rFonts w:hint="eastAsia" w:ascii="宋体" w:hAnsi="宋体" w:cs="宋体"/>
          <w:sz w:val="24"/>
          <w:szCs w:val="24"/>
          <w:highlight w:val="none"/>
        </w:rPr>
        <w:t>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88"/>
        <w:numPr>
          <w:ilvl w:val="0"/>
          <w:numId w:val="33"/>
        </w:numPr>
        <w:tabs>
          <w:tab w:val="left" w:pos="1134"/>
        </w:tabs>
        <w:spacing w:line="360" w:lineRule="auto"/>
        <w:ind w:left="0" w:firstLine="567" w:firstLineChars="0"/>
        <w:rPr>
          <w:rFonts w:ascii="宋体" w:hAnsi="宋体" w:cs="宋体"/>
          <w:sz w:val="24"/>
          <w:szCs w:val="24"/>
          <w:highlight w:val="none"/>
        </w:rPr>
      </w:pPr>
      <w:r>
        <w:rPr>
          <w:rFonts w:hint="eastAsia" w:ascii="宋体" w:hAnsi="宋体" w:cs="宋体"/>
          <w:sz w:val="24"/>
          <w:szCs w:val="24"/>
          <w:highlight w:val="none"/>
        </w:rPr>
        <w:t>我单位未对本次采购项目提供整体设计、规范编制或者项目管理、监理、检测等服务，我单位未参与本次项目前期咨询论证。不属于禁止参加投标或投标无效的供应商。</w:t>
      </w:r>
    </w:p>
    <w:p>
      <w:pPr>
        <w:pStyle w:val="88"/>
        <w:numPr>
          <w:ilvl w:val="0"/>
          <w:numId w:val="33"/>
        </w:numPr>
        <w:tabs>
          <w:tab w:val="left" w:pos="1134"/>
        </w:tabs>
        <w:spacing w:line="360" w:lineRule="auto"/>
        <w:ind w:left="0" w:firstLine="567" w:firstLineChars="0"/>
        <w:rPr>
          <w:rFonts w:ascii="宋体" w:hAnsi="宋体" w:cs="宋体"/>
          <w:sz w:val="24"/>
          <w:szCs w:val="24"/>
          <w:highlight w:val="none"/>
        </w:rPr>
      </w:pPr>
      <w:r>
        <w:rPr>
          <w:rFonts w:hint="eastAsia" w:ascii="宋体" w:hAnsi="宋体" w:cs="宋体"/>
          <w:sz w:val="24"/>
          <w:szCs w:val="24"/>
          <w:highlight w:val="none"/>
        </w:rPr>
        <w:t>我公司及现任法定代表人、主要负责人无行贿犯罪记录。</w:t>
      </w:r>
    </w:p>
    <w:p>
      <w:pPr>
        <w:pStyle w:val="88"/>
        <w:numPr>
          <w:ilvl w:val="0"/>
          <w:numId w:val="33"/>
        </w:numPr>
        <w:tabs>
          <w:tab w:val="left" w:pos="1134"/>
        </w:tabs>
        <w:spacing w:line="360" w:lineRule="auto"/>
        <w:ind w:left="0" w:firstLine="567" w:firstLineChars="0"/>
        <w:rPr>
          <w:rFonts w:ascii="宋体" w:hAnsi="宋体" w:cs="宋体"/>
          <w:sz w:val="24"/>
          <w:szCs w:val="24"/>
          <w:highlight w:val="none"/>
        </w:rPr>
      </w:pPr>
      <w:r>
        <w:rPr>
          <w:rFonts w:hint="eastAsia" w:ascii="宋体" w:hAnsi="宋体" w:cs="宋体"/>
          <w:sz w:val="24"/>
          <w:szCs w:val="24"/>
          <w:highlight w:val="none"/>
        </w:rPr>
        <w:t>我公司在本项目使用的任何产品和服务（包括部分使用）时，不会产生因第三方提出侵犯其专利权、商标权或其它知识产权而引起的法律和经济纠纷，如因专利权、商标权或其它知识产权而引起法律和经济纠纷，由我公司承担所有相关责任。采购人享有本项目实施过程中产生的知识成果及知识产权。</w:t>
      </w:r>
    </w:p>
    <w:p>
      <w:pPr>
        <w:pStyle w:val="88"/>
        <w:tabs>
          <w:tab w:val="left" w:pos="1134"/>
        </w:tabs>
        <w:spacing w:line="360" w:lineRule="auto"/>
        <w:ind w:left="567" w:firstLine="0" w:firstLineChars="0"/>
        <w:rPr>
          <w:rFonts w:ascii="宋体" w:hAnsi="宋体" w:cs="宋体"/>
          <w:sz w:val="24"/>
          <w:szCs w:val="24"/>
          <w:highlight w:val="none"/>
        </w:rPr>
      </w:pP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本公司对上述承诺的内容事项真实性负责。如经查实上述承诺的内容事项存在虚假，我公司愿意接受以提供虚假材料谋取中标追究法律责任。</w:t>
      </w:r>
    </w:p>
    <w:p>
      <w:pPr>
        <w:spacing w:line="360" w:lineRule="auto"/>
        <w:rPr>
          <w:rFonts w:ascii="宋体" w:hAnsi="宋体" w:cs="宋体"/>
          <w:sz w:val="24"/>
          <w:szCs w:val="24"/>
          <w:highlight w:val="none"/>
        </w:rPr>
      </w:pPr>
    </w:p>
    <w:p>
      <w:pPr>
        <w:spacing w:line="360" w:lineRule="auto"/>
        <w:rPr>
          <w:rFonts w:ascii="宋体" w:hAnsi="宋体" w:cs="宋体"/>
          <w:sz w:val="24"/>
          <w:szCs w:val="24"/>
          <w:highlight w:val="none"/>
        </w:rPr>
      </w:pPr>
      <w:r>
        <w:rPr>
          <w:rFonts w:hint="eastAsia" w:ascii="宋体" w:hAnsi="宋体" w:cs="宋体"/>
          <w:sz w:val="24"/>
          <w:szCs w:val="24"/>
          <w:highlight w:val="none"/>
        </w:rPr>
        <w:t>投标人名称（公章）：</w:t>
      </w:r>
      <w:r>
        <w:rPr>
          <w:rFonts w:hint="eastAsia" w:ascii="宋体" w:hAnsi="宋体" w:cs="宋体"/>
          <w:sz w:val="24"/>
          <w:szCs w:val="24"/>
          <w:highlight w:val="none"/>
          <w:u w:val="single"/>
        </w:rPr>
        <w:t xml:space="preserve">                      </w:t>
      </w:r>
    </w:p>
    <w:p>
      <w:pPr>
        <w:spacing w:line="360" w:lineRule="auto"/>
        <w:rPr>
          <w:rFonts w:ascii="宋体" w:hAnsi="宋体" w:cs="宋体"/>
          <w:sz w:val="24"/>
          <w:szCs w:val="24"/>
          <w:highlight w:val="none"/>
        </w:rPr>
      </w:pPr>
      <w:r>
        <w:rPr>
          <w:rFonts w:hint="eastAsia" w:ascii="宋体" w:hAnsi="宋体" w:cs="宋体"/>
          <w:sz w:val="24"/>
          <w:szCs w:val="24"/>
          <w:highlight w:val="none"/>
        </w:rPr>
        <w:t>法定代表人或授权代理人（签字或加盖个人名章）：</w:t>
      </w:r>
      <w:r>
        <w:rPr>
          <w:rFonts w:hint="eastAsia" w:ascii="宋体" w:hAnsi="宋体" w:cs="宋体"/>
          <w:sz w:val="24"/>
          <w:szCs w:val="24"/>
          <w:highlight w:val="none"/>
          <w:u w:val="single"/>
        </w:rPr>
        <w:t xml:space="preserve">      </w:t>
      </w:r>
    </w:p>
    <w:p>
      <w:pPr>
        <w:spacing w:line="360" w:lineRule="auto"/>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 xml:space="preserve"> 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spacing w:line="360" w:lineRule="auto"/>
        <w:rPr>
          <w:rFonts w:ascii="宋体" w:hAnsi="宋体" w:cs="宋体"/>
          <w:sz w:val="24"/>
          <w:szCs w:val="24"/>
          <w:highlight w:val="none"/>
        </w:rPr>
      </w:pPr>
    </w:p>
    <w:bookmarkEnd w:id="161"/>
    <w:bookmarkEnd w:id="162"/>
    <w:bookmarkEnd w:id="163"/>
    <w:bookmarkEnd w:id="164"/>
    <w:bookmarkEnd w:id="165"/>
    <w:bookmarkEnd w:id="166"/>
    <w:p>
      <w:pPr>
        <w:widowControl/>
        <w:jc w:val="left"/>
        <w:rPr>
          <w:rFonts w:ascii="宋体" w:hAnsi="宋体" w:cs="宋体"/>
          <w:b/>
          <w:bCs/>
          <w:sz w:val="24"/>
          <w:szCs w:val="24"/>
          <w:highlight w:val="none"/>
        </w:rPr>
      </w:pPr>
    </w:p>
    <w:p>
      <w:pPr>
        <w:widowControl/>
        <w:jc w:val="left"/>
        <w:rPr>
          <w:rFonts w:ascii="宋体" w:hAnsi="宋体" w:cs="宋体"/>
          <w:b/>
          <w:bCs/>
          <w:sz w:val="24"/>
          <w:szCs w:val="24"/>
          <w:highlight w:val="none"/>
        </w:rPr>
      </w:pPr>
    </w:p>
    <w:p>
      <w:pPr>
        <w:pStyle w:val="4"/>
        <w:ind w:left="0" w:firstLine="0"/>
        <w:rPr>
          <w:rFonts w:cs="宋体"/>
          <w:color w:val="auto"/>
          <w:sz w:val="24"/>
          <w:szCs w:val="24"/>
          <w:highlight w:val="none"/>
        </w:rPr>
        <w:sectPr>
          <w:pgSz w:w="11906" w:h="16838"/>
          <w:pgMar w:top="1327" w:right="1800" w:bottom="1327" w:left="1800" w:header="851" w:footer="992" w:gutter="0"/>
          <w:cols w:space="720" w:num="1"/>
          <w:docGrid w:type="lines" w:linePitch="312" w:charSpace="0"/>
        </w:sectPr>
      </w:pPr>
    </w:p>
    <w:p>
      <w:pPr>
        <w:pStyle w:val="4"/>
        <w:ind w:left="0" w:firstLine="0"/>
        <w:rPr>
          <w:rFonts w:cs="宋体"/>
          <w:color w:val="auto"/>
          <w:sz w:val="24"/>
          <w:szCs w:val="24"/>
          <w:highlight w:val="none"/>
        </w:rPr>
      </w:pPr>
      <w:r>
        <w:rPr>
          <w:rFonts w:hint="eastAsia" w:cs="宋体"/>
          <w:color w:val="auto"/>
          <w:sz w:val="24"/>
          <w:szCs w:val="24"/>
          <w:highlight w:val="none"/>
        </w:rPr>
        <w:t>法定代表人身份证明书</w:t>
      </w:r>
    </w:p>
    <w:p>
      <w:pPr>
        <w:rPr>
          <w:rFonts w:ascii="宋体" w:hAnsi="宋体" w:cs="宋体"/>
          <w:sz w:val="24"/>
          <w:szCs w:val="24"/>
          <w:highlight w:val="none"/>
        </w:rPr>
      </w:pPr>
    </w:p>
    <w:p>
      <w:pPr>
        <w:rPr>
          <w:rFonts w:ascii="宋体" w:hAnsi="宋体" w:cs="宋体"/>
          <w:sz w:val="24"/>
          <w:szCs w:val="24"/>
          <w:highlight w:val="none"/>
        </w:rPr>
      </w:pPr>
      <w:r>
        <w:rPr>
          <w:rFonts w:hint="eastAsia" w:ascii="宋体" w:hAnsi="宋体" w:cs="宋体"/>
          <w:sz w:val="24"/>
          <w:szCs w:val="24"/>
          <w:highlight w:val="none"/>
        </w:rPr>
        <w:t>四川正汇恒招标代理有限公司：</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u w:val="single"/>
        </w:rPr>
        <w:t>（法定代表人姓名）</w:t>
      </w:r>
      <w:r>
        <w:rPr>
          <w:rFonts w:hint="eastAsia" w:ascii="宋体" w:hAnsi="宋体" w:cs="宋体"/>
          <w:sz w:val="24"/>
          <w:szCs w:val="24"/>
          <w:highlight w:val="none"/>
        </w:rPr>
        <w:t>在</w:t>
      </w:r>
      <w:r>
        <w:rPr>
          <w:rFonts w:hint="eastAsia" w:ascii="宋体" w:hAnsi="宋体" w:cs="宋体"/>
          <w:sz w:val="24"/>
          <w:szCs w:val="24"/>
          <w:highlight w:val="none"/>
          <w:u w:val="single"/>
        </w:rPr>
        <w:t>（投标人名称）</w:t>
      </w:r>
      <w:r>
        <w:rPr>
          <w:rFonts w:hint="eastAsia" w:ascii="宋体" w:hAnsi="宋体" w:cs="宋体"/>
          <w:sz w:val="24"/>
          <w:szCs w:val="24"/>
          <w:highlight w:val="none"/>
        </w:rPr>
        <w:t>处任</w:t>
      </w:r>
      <w:r>
        <w:rPr>
          <w:rFonts w:hint="eastAsia" w:ascii="宋体" w:hAnsi="宋体" w:cs="宋体"/>
          <w:sz w:val="24"/>
          <w:szCs w:val="24"/>
          <w:highlight w:val="none"/>
          <w:u w:val="single"/>
        </w:rPr>
        <w:t>（职务名称）</w:t>
      </w:r>
      <w:r>
        <w:rPr>
          <w:rFonts w:hint="eastAsia" w:ascii="宋体" w:hAnsi="宋体" w:cs="宋体"/>
          <w:sz w:val="24"/>
          <w:szCs w:val="24"/>
          <w:highlight w:val="none"/>
        </w:rPr>
        <w:t>职务，是</w:t>
      </w:r>
      <w:r>
        <w:rPr>
          <w:rFonts w:hint="eastAsia" w:ascii="宋体" w:hAnsi="宋体" w:cs="宋体"/>
          <w:sz w:val="24"/>
          <w:szCs w:val="24"/>
          <w:highlight w:val="none"/>
          <w:u w:val="single"/>
        </w:rPr>
        <w:t xml:space="preserve">（投标人名称）    </w:t>
      </w:r>
      <w:r>
        <w:rPr>
          <w:rFonts w:hint="eastAsia" w:ascii="宋体" w:hAnsi="宋体" w:cs="宋体"/>
          <w:sz w:val="24"/>
          <w:szCs w:val="24"/>
          <w:highlight w:val="none"/>
        </w:rPr>
        <w:t>的法定代表人。</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法定代表人联系方式：</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ascii="宋体" w:hAnsi="宋体" w:cs="宋体"/>
          <w:sz w:val="24"/>
          <w:szCs w:val="24"/>
          <w:highlight w:val="none"/>
        </w:rPr>
      </w:pPr>
    </w:p>
    <w:p>
      <w:pPr>
        <w:spacing w:line="360" w:lineRule="auto"/>
        <w:rPr>
          <w:rFonts w:ascii="宋体" w:hAnsi="宋体" w:cs="宋体"/>
          <w:sz w:val="24"/>
          <w:szCs w:val="24"/>
          <w:highlight w:val="none"/>
        </w:rPr>
      </w:pPr>
      <w:r>
        <w:rPr>
          <w:rFonts w:hint="eastAsia" w:ascii="宋体" w:hAnsi="宋体" w:cs="宋体"/>
          <w:sz w:val="24"/>
          <w:szCs w:val="24"/>
          <w:highlight w:val="none"/>
        </w:rPr>
        <w:t>特此证明。</w:t>
      </w:r>
    </w:p>
    <w:p>
      <w:pPr>
        <w:spacing w:line="360" w:lineRule="auto"/>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spacing w:line="360" w:lineRule="auto"/>
        <w:rPr>
          <w:rFonts w:ascii="宋体" w:hAnsi="宋体" w:cs="宋体"/>
          <w:sz w:val="24"/>
          <w:szCs w:val="24"/>
          <w:highlight w:val="none"/>
        </w:rPr>
      </w:pPr>
      <w:r>
        <w:rPr>
          <w:rFonts w:hint="eastAsia" w:ascii="宋体" w:hAnsi="宋体" w:cs="宋体"/>
          <w:sz w:val="24"/>
          <w:szCs w:val="24"/>
          <w:highlight w:val="none"/>
        </w:rPr>
        <w:t>投标人名称（公章）：</w:t>
      </w:r>
      <w:r>
        <w:rPr>
          <w:rFonts w:hint="eastAsia" w:ascii="宋体" w:hAnsi="宋体" w:cs="宋体"/>
          <w:sz w:val="24"/>
          <w:szCs w:val="24"/>
          <w:highlight w:val="none"/>
          <w:u w:val="single"/>
        </w:rPr>
        <w:t xml:space="preserve">                      </w:t>
      </w:r>
    </w:p>
    <w:p>
      <w:pPr>
        <w:spacing w:line="360" w:lineRule="auto"/>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spacing w:line="360" w:lineRule="auto"/>
        <w:rPr>
          <w:rFonts w:ascii="宋体" w:hAnsi="宋体" w:cs="宋体"/>
          <w:sz w:val="24"/>
          <w:szCs w:val="24"/>
          <w:highlight w:val="none"/>
        </w:rPr>
      </w:pPr>
    </w:p>
    <w:p>
      <w:pPr>
        <w:spacing w:line="360" w:lineRule="auto"/>
        <w:rPr>
          <w:rFonts w:ascii="宋体" w:hAnsi="宋体" w:cs="宋体"/>
          <w:b/>
          <w:sz w:val="24"/>
          <w:szCs w:val="24"/>
          <w:highlight w:val="none"/>
        </w:rPr>
      </w:pPr>
      <w:r>
        <w:rPr>
          <w:rFonts w:hint="eastAsia" w:ascii="宋体" w:hAnsi="宋体" w:cs="宋体"/>
          <w:b/>
          <w:sz w:val="24"/>
          <w:szCs w:val="24"/>
          <w:highlight w:val="none"/>
        </w:rPr>
        <w:t>说明：1、上述证明文件在投标文件中附有法定代表人身份证复印件（身份证两面均应复印）或护照复印件（投标人的法定代表人为外籍人士的，则提供护照复印件）时才能生效。投标人为自然人无须提供身份证明书，仅提供身份证复印件或护照复印件。</w:t>
      </w:r>
    </w:p>
    <w:p>
      <w:pPr>
        <w:rPr>
          <w:rFonts w:ascii="宋体" w:hAnsi="宋体" w:cs="宋体"/>
          <w:sz w:val="24"/>
          <w:szCs w:val="24"/>
          <w:highlight w:val="none"/>
        </w:rPr>
      </w:pPr>
    </w:p>
    <w:p>
      <w:pPr>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widowControl/>
        <w:jc w:val="left"/>
        <w:rPr>
          <w:rFonts w:ascii="宋体" w:hAnsi="宋体" w:cs="宋体"/>
          <w:sz w:val="24"/>
          <w:szCs w:val="24"/>
          <w:highlight w:val="none"/>
        </w:rPr>
      </w:pPr>
    </w:p>
    <w:p>
      <w:pPr>
        <w:pStyle w:val="4"/>
        <w:ind w:left="0" w:firstLine="0"/>
        <w:rPr>
          <w:rFonts w:cs="宋体"/>
          <w:color w:val="auto"/>
          <w:sz w:val="24"/>
          <w:szCs w:val="24"/>
          <w:highlight w:val="none"/>
        </w:rPr>
      </w:pPr>
      <w:r>
        <w:rPr>
          <w:rFonts w:hint="eastAsia" w:cs="宋体"/>
          <w:color w:val="auto"/>
          <w:sz w:val="24"/>
          <w:szCs w:val="24"/>
          <w:highlight w:val="none"/>
        </w:rPr>
        <w:br w:type="page"/>
      </w:r>
      <w:r>
        <w:rPr>
          <w:rFonts w:hint="eastAsia" w:cs="宋体"/>
          <w:color w:val="auto"/>
          <w:sz w:val="24"/>
          <w:szCs w:val="24"/>
          <w:highlight w:val="none"/>
        </w:rPr>
        <w:t>法定代表人授权委托书</w:t>
      </w:r>
    </w:p>
    <w:p>
      <w:pPr>
        <w:spacing w:line="360" w:lineRule="auto"/>
        <w:jc w:val="center"/>
        <w:rPr>
          <w:rFonts w:ascii="宋体" w:hAnsi="宋体" w:cs="宋体"/>
          <w:sz w:val="24"/>
          <w:szCs w:val="24"/>
          <w:highlight w:val="none"/>
        </w:rPr>
      </w:pPr>
      <w:r>
        <w:rPr>
          <w:rFonts w:hint="eastAsia" w:ascii="宋体" w:hAnsi="宋体" w:cs="宋体"/>
          <w:b/>
          <w:sz w:val="24"/>
          <w:szCs w:val="24"/>
          <w:highlight w:val="none"/>
        </w:rPr>
        <w:t>（独立投标人投标适用）</w:t>
      </w:r>
    </w:p>
    <w:p>
      <w:pPr>
        <w:spacing w:line="360" w:lineRule="auto"/>
        <w:rPr>
          <w:rFonts w:ascii="宋体" w:hAnsi="宋体" w:cs="宋体"/>
          <w:sz w:val="24"/>
          <w:szCs w:val="24"/>
          <w:highlight w:val="none"/>
        </w:rPr>
      </w:pPr>
      <w:r>
        <w:rPr>
          <w:rFonts w:hint="eastAsia" w:ascii="宋体" w:hAnsi="宋体" w:cs="宋体"/>
          <w:sz w:val="24"/>
          <w:szCs w:val="24"/>
          <w:highlight w:val="none"/>
        </w:rPr>
        <w:t>四川正汇恒招标代理有限公司：</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u w:val="single"/>
        </w:rPr>
        <w:t xml:space="preserve">        （投标人全称）</w:t>
      </w:r>
      <w:r>
        <w:rPr>
          <w:rFonts w:hint="eastAsia" w:ascii="宋体" w:hAnsi="宋体" w:cs="宋体"/>
          <w:sz w:val="24"/>
          <w:szCs w:val="24"/>
          <w:highlight w:val="none"/>
        </w:rPr>
        <w:t>法定代表人____________ 授权委托_____________为我公司的代理人，参加贵单位组织的</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项目（采购项目编号：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）包件</w:t>
      </w:r>
      <w:r>
        <w:rPr>
          <w:rFonts w:hint="eastAsia" w:ascii="宋体" w:hAnsi="宋体" w:cs="宋体"/>
          <w:sz w:val="24"/>
          <w:szCs w:val="24"/>
          <w:highlight w:val="none"/>
          <w:u w:val="single"/>
        </w:rPr>
        <w:t xml:space="preserve">    </w:t>
      </w:r>
      <w:r>
        <w:rPr>
          <w:rFonts w:hint="eastAsia" w:ascii="宋体" w:hAnsi="宋体" w:cs="宋体"/>
          <w:sz w:val="24"/>
          <w:szCs w:val="24"/>
          <w:highlight w:val="none"/>
        </w:rPr>
        <w:t>的投标。代理人在本次招标中所签署的一切文件和处理的一切有关事宜，我方均予承认，所产生的法律后果均由我单位承担。</w:t>
      </w:r>
    </w:p>
    <w:p>
      <w:pPr>
        <w:spacing w:line="360" w:lineRule="auto"/>
        <w:rPr>
          <w:rFonts w:ascii="宋体" w:hAnsi="宋体" w:cs="宋体"/>
          <w:sz w:val="24"/>
          <w:szCs w:val="24"/>
          <w:highlight w:val="none"/>
        </w:rPr>
      </w:pPr>
      <w:r>
        <w:rPr>
          <w:rFonts w:hint="eastAsia" w:ascii="宋体" w:hAnsi="宋体" w:cs="宋体"/>
          <w:sz w:val="24"/>
          <w:szCs w:val="24"/>
          <w:highlight w:val="none"/>
        </w:rPr>
        <w:t>代理人无转委托权，本授权书自</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日签字生效，特此声明。</w:t>
      </w:r>
    </w:p>
    <w:p>
      <w:pPr>
        <w:spacing w:line="360" w:lineRule="auto"/>
        <w:rPr>
          <w:rFonts w:ascii="宋体" w:hAnsi="宋体" w:cs="宋体"/>
          <w:sz w:val="24"/>
          <w:szCs w:val="24"/>
          <w:highlight w:val="none"/>
        </w:rPr>
      </w:pPr>
    </w:p>
    <w:p>
      <w:pPr>
        <w:spacing w:line="360" w:lineRule="auto"/>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spacing w:line="360" w:lineRule="auto"/>
        <w:rPr>
          <w:rFonts w:ascii="宋体" w:hAnsi="宋体" w:cs="宋体"/>
          <w:sz w:val="24"/>
          <w:szCs w:val="24"/>
          <w:highlight w:val="none"/>
        </w:rPr>
      </w:pPr>
    </w:p>
    <w:p>
      <w:pPr>
        <w:spacing w:line="360" w:lineRule="auto"/>
        <w:rPr>
          <w:rFonts w:ascii="宋体" w:hAnsi="宋体" w:cs="宋体"/>
          <w:sz w:val="24"/>
          <w:szCs w:val="24"/>
          <w:highlight w:val="none"/>
        </w:rPr>
      </w:pPr>
      <w:r>
        <w:rPr>
          <w:rFonts w:hint="eastAsia" w:ascii="宋体" w:hAnsi="宋体" w:cs="宋体"/>
          <w:sz w:val="24"/>
          <w:szCs w:val="24"/>
          <w:highlight w:val="none"/>
        </w:rPr>
        <w:t>法定代表人（签字或盖法定代表人印章）：</w:t>
      </w:r>
      <w:r>
        <w:rPr>
          <w:rFonts w:hint="eastAsia" w:ascii="宋体" w:hAnsi="宋体" w:cs="宋体"/>
          <w:sz w:val="24"/>
          <w:szCs w:val="24"/>
          <w:highlight w:val="none"/>
          <w:u w:val="single"/>
        </w:rPr>
        <w:t xml:space="preserve">                           </w:t>
      </w:r>
    </w:p>
    <w:p>
      <w:pPr>
        <w:spacing w:line="360" w:lineRule="auto"/>
        <w:rPr>
          <w:rFonts w:ascii="宋体" w:hAnsi="宋体" w:cs="宋体"/>
          <w:sz w:val="24"/>
          <w:szCs w:val="24"/>
          <w:highlight w:val="none"/>
        </w:rPr>
      </w:pPr>
      <w:r>
        <w:rPr>
          <w:rFonts w:hint="eastAsia" w:ascii="宋体" w:hAnsi="宋体" w:cs="宋体"/>
          <w:sz w:val="24"/>
          <w:szCs w:val="24"/>
          <w:highlight w:val="none"/>
        </w:rPr>
        <w:t>授权代理人（签字）：</w:t>
      </w:r>
      <w:r>
        <w:rPr>
          <w:rFonts w:hint="eastAsia" w:ascii="宋体" w:hAnsi="宋体" w:cs="宋体"/>
          <w:sz w:val="24"/>
          <w:szCs w:val="24"/>
          <w:highlight w:val="none"/>
          <w:u w:val="single"/>
        </w:rPr>
        <w:t xml:space="preserve">                             </w:t>
      </w:r>
    </w:p>
    <w:p>
      <w:pPr>
        <w:spacing w:line="360" w:lineRule="auto"/>
        <w:rPr>
          <w:rFonts w:ascii="宋体" w:hAnsi="宋体" w:cs="宋体"/>
          <w:sz w:val="24"/>
          <w:szCs w:val="24"/>
          <w:highlight w:val="none"/>
        </w:rPr>
      </w:pPr>
      <w:r>
        <w:rPr>
          <w:rFonts w:hint="eastAsia" w:ascii="宋体" w:hAnsi="宋体" w:cs="宋体"/>
          <w:sz w:val="24"/>
          <w:highlight w:val="none"/>
        </w:rPr>
        <w:t>投标人名称：</w:t>
      </w:r>
      <w:r>
        <w:rPr>
          <w:rFonts w:hint="eastAsia" w:ascii="宋体" w:hAnsi="宋体" w:cs="宋体"/>
          <w:sz w:val="24"/>
          <w:szCs w:val="24"/>
          <w:highlight w:val="none"/>
          <w:u w:val="single"/>
        </w:rPr>
        <w:t xml:space="preserve">                       </w:t>
      </w:r>
      <w:r>
        <w:rPr>
          <w:rFonts w:hint="eastAsia" w:ascii="宋体" w:hAnsi="宋体" w:cs="宋体"/>
          <w:sz w:val="24"/>
          <w:highlight w:val="none"/>
        </w:rPr>
        <w:t>（单位盖章）</w:t>
      </w:r>
    </w:p>
    <w:p>
      <w:pPr>
        <w:spacing w:line="360" w:lineRule="auto"/>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 xml:space="preserve"> 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spacing w:line="360" w:lineRule="auto"/>
        <w:rPr>
          <w:rFonts w:ascii="宋体" w:hAnsi="宋体" w:cs="宋体"/>
          <w:sz w:val="24"/>
          <w:szCs w:val="24"/>
          <w:highlight w:val="none"/>
        </w:rPr>
      </w:pPr>
    </w:p>
    <w:p>
      <w:pPr>
        <w:pStyle w:val="26"/>
        <w:spacing w:line="360" w:lineRule="auto"/>
        <w:ind w:left="0" w:leftChars="0" w:firstLine="366" w:firstLineChars="152"/>
        <w:rPr>
          <w:rFonts w:ascii="宋体" w:hAnsi="宋体" w:cs="宋体"/>
          <w:b/>
          <w:sz w:val="24"/>
          <w:szCs w:val="24"/>
          <w:highlight w:val="none"/>
        </w:rPr>
      </w:pPr>
      <w:r>
        <w:rPr>
          <w:rFonts w:hint="eastAsia" w:ascii="宋体" w:hAnsi="宋体" w:cs="宋体"/>
          <w:b/>
          <w:sz w:val="24"/>
          <w:szCs w:val="24"/>
          <w:highlight w:val="none"/>
          <w:lang w:val="zh-CN"/>
        </w:rPr>
        <w:t>说明：</w:t>
      </w:r>
      <w:r>
        <w:rPr>
          <w:rFonts w:hint="eastAsia" w:ascii="宋体" w:hAnsi="宋体" w:cs="宋体"/>
          <w:b/>
          <w:sz w:val="24"/>
          <w:szCs w:val="24"/>
          <w:highlight w:val="none"/>
        </w:rPr>
        <w:t>1、</w:t>
      </w:r>
      <w:r>
        <w:rPr>
          <w:rFonts w:hint="eastAsia" w:ascii="宋体" w:hAnsi="宋体" w:cs="宋体"/>
          <w:b/>
          <w:sz w:val="24"/>
          <w:szCs w:val="24"/>
          <w:highlight w:val="none"/>
          <w:lang w:val="zh-CN"/>
        </w:rPr>
        <w:t>上述证明文件在投标文件中附有代理人身份证复印件（身份证两面均应复印）时才能生效</w:t>
      </w:r>
      <w:r>
        <w:rPr>
          <w:rFonts w:hint="eastAsia" w:ascii="宋体" w:hAnsi="宋体" w:cs="宋体"/>
          <w:b/>
          <w:sz w:val="24"/>
          <w:szCs w:val="24"/>
          <w:highlight w:val="none"/>
        </w:rPr>
        <w:t>。2、投标文件均由投标人法定代表人签字的,投标文件中可不提供该附件的内容。</w:t>
      </w: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26"/>
        <w:spacing w:line="360" w:lineRule="auto"/>
        <w:ind w:left="0" w:leftChars="0" w:firstLine="366" w:firstLineChars="152"/>
        <w:rPr>
          <w:rFonts w:ascii="宋体" w:hAnsi="宋体" w:cs="宋体"/>
          <w:b/>
          <w:sz w:val="24"/>
          <w:szCs w:val="24"/>
          <w:highlight w:val="none"/>
        </w:rPr>
      </w:pPr>
    </w:p>
    <w:p>
      <w:pPr>
        <w:pStyle w:val="4"/>
        <w:ind w:left="0" w:firstLine="0"/>
        <w:rPr>
          <w:rFonts w:cs="宋体"/>
          <w:color w:val="auto"/>
          <w:sz w:val="24"/>
          <w:szCs w:val="24"/>
          <w:highlight w:val="none"/>
        </w:rPr>
      </w:pPr>
      <w:r>
        <w:rPr>
          <w:rFonts w:hint="eastAsia" w:cs="宋体"/>
          <w:color w:val="auto"/>
          <w:sz w:val="24"/>
          <w:szCs w:val="24"/>
          <w:highlight w:val="none"/>
        </w:rPr>
        <w:t>声明</w:t>
      </w:r>
    </w:p>
    <w:p>
      <w:pPr>
        <w:spacing w:line="560" w:lineRule="exact"/>
        <w:rPr>
          <w:rFonts w:ascii="宋体" w:hAnsi="宋体" w:cs="宋体"/>
          <w:b/>
          <w:sz w:val="24"/>
          <w:szCs w:val="24"/>
          <w:highlight w:val="none"/>
        </w:rPr>
      </w:pPr>
      <w:r>
        <w:rPr>
          <w:rFonts w:hint="eastAsia" w:ascii="宋体" w:hAnsi="宋体" w:cs="宋体"/>
          <w:b/>
          <w:sz w:val="24"/>
          <w:szCs w:val="24"/>
          <w:highlight w:val="none"/>
        </w:rPr>
        <w:t>四川正汇恒招标代理有限公司：</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我公司作为</w:t>
      </w:r>
      <w:r>
        <w:rPr>
          <w:rFonts w:hint="eastAsia" w:ascii="宋体" w:hAnsi="宋体" w:cs="宋体"/>
          <w:b/>
          <w:sz w:val="24"/>
          <w:szCs w:val="24"/>
          <w:highlight w:val="none"/>
          <w:u w:val="single"/>
        </w:rPr>
        <w:t xml:space="preserve">             采购项目</w:t>
      </w:r>
      <w:r>
        <w:rPr>
          <w:rFonts w:hint="eastAsia" w:ascii="宋体" w:hAnsi="宋体" w:cs="宋体"/>
          <w:sz w:val="24"/>
          <w:szCs w:val="24"/>
          <w:highlight w:val="none"/>
        </w:rPr>
        <w:t>的投标人，在此郑重声明：</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一、我公司参加政府采购活动前三年内，在经营活动中</w:t>
      </w:r>
      <w:r>
        <w:rPr>
          <w:rFonts w:hint="eastAsia" w:ascii="宋体" w:hAnsi="宋体" w:cs="宋体"/>
          <w:b/>
          <w:sz w:val="24"/>
          <w:szCs w:val="24"/>
          <w:highlight w:val="none"/>
          <w:u w:val="single"/>
        </w:rPr>
        <w:t>（说明：填写“没有”或“有”</w:t>
      </w:r>
      <w:r>
        <w:rPr>
          <w:rFonts w:hint="eastAsia" w:ascii="宋体" w:hAnsi="宋体" w:cs="宋体"/>
          <w:sz w:val="24"/>
          <w:szCs w:val="24"/>
          <w:highlight w:val="none"/>
          <w:u w:val="single"/>
        </w:rPr>
        <w:t>）</w:t>
      </w:r>
      <w:r>
        <w:rPr>
          <w:rFonts w:hint="eastAsia" w:ascii="宋体" w:hAnsi="宋体" w:cs="宋体"/>
          <w:sz w:val="24"/>
          <w:szCs w:val="24"/>
          <w:highlight w:val="none"/>
        </w:rPr>
        <w:t>重大违法记录。</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二、我公司</w:t>
      </w:r>
      <w:r>
        <w:rPr>
          <w:rFonts w:hint="eastAsia" w:ascii="宋体" w:hAnsi="宋体" w:cs="宋体"/>
          <w:b/>
          <w:sz w:val="24"/>
          <w:szCs w:val="24"/>
          <w:highlight w:val="none"/>
          <w:u w:val="single"/>
        </w:rPr>
        <w:t>（说明：填写“具有”或“不具有”</w:t>
      </w:r>
      <w:r>
        <w:rPr>
          <w:rFonts w:hint="eastAsia" w:ascii="宋体" w:hAnsi="宋体" w:cs="宋体"/>
          <w:sz w:val="24"/>
          <w:szCs w:val="24"/>
          <w:highlight w:val="none"/>
          <w:u w:val="single"/>
        </w:rPr>
        <w:t>）</w:t>
      </w:r>
      <w:r>
        <w:rPr>
          <w:rFonts w:hint="eastAsia" w:ascii="宋体" w:hAnsi="宋体" w:cs="宋体"/>
          <w:sz w:val="24"/>
          <w:szCs w:val="24"/>
          <w:highlight w:val="none"/>
        </w:rPr>
        <w:t>良好的商业信誉。</w:t>
      </w:r>
    </w:p>
    <w:p>
      <w:pPr>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三、与我公司存在直接控股、管理关系的相关供应商：</w:t>
      </w:r>
      <w:r>
        <w:rPr>
          <w:rFonts w:hint="eastAsia" w:ascii="宋体" w:hAnsi="宋体" w:cs="宋体"/>
          <w:b/>
          <w:sz w:val="24"/>
          <w:szCs w:val="24"/>
          <w:highlight w:val="none"/>
          <w:u w:val="single"/>
        </w:rPr>
        <w:t xml:space="preserve">　  （说明：填写“无”或“（一）供应商名称１；（二）供应商名称２；（三）……”） </w:t>
      </w:r>
      <w:r>
        <w:rPr>
          <w:rFonts w:hint="eastAsia" w:ascii="宋体" w:hAnsi="宋体" w:cs="宋体"/>
          <w:b/>
          <w:sz w:val="24"/>
          <w:szCs w:val="24"/>
          <w:highlight w:val="none"/>
        </w:rPr>
        <w:t>。</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四、在行贿犯罪信息查询期限内，我公司及我公司现任法定代表人、主要负责人</w:t>
      </w:r>
      <w:r>
        <w:rPr>
          <w:rFonts w:hint="eastAsia" w:ascii="宋体" w:hAnsi="宋体" w:cs="宋体"/>
          <w:b/>
          <w:sz w:val="24"/>
          <w:szCs w:val="24"/>
          <w:highlight w:val="none"/>
          <w:u w:val="single"/>
        </w:rPr>
        <w:t>（说明：填写“没有”或“有”）</w:t>
      </w:r>
      <w:r>
        <w:rPr>
          <w:rFonts w:hint="eastAsia" w:ascii="宋体" w:hAnsi="宋体" w:cs="宋体"/>
          <w:sz w:val="24"/>
          <w:szCs w:val="24"/>
          <w:highlight w:val="none"/>
        </w:rPr>
        <w:t>行贿犯罪记录。</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五、我公司</w:t>
      </w:r>
      <w:r>
        <w:rPr>
          <w:rFonts w:hint="eastAsia" w:ascii="宋体" w:hAnsi="宋体"/>
          <w:b/>
          <w:sz w:val="24"/>
          <w:szCs w:val="24"/>
          <w:highlight w:val="none"/>
          <w:u w:val="single"/>
        </w:rPr>
        <w:t>（说明：填写“未列入”或“被列入”）</w:t>
      </w:r>
      <w:r>
        <w:rPr>
          <w:rFonts w:hint="eastAsia" w:ascii="宋体" w:hAnsi="宋体"/>
          <w:sz w:val="24"/>
          <w:szCs w:val="24"/>
          <w:highlight w:val="none"/>
        </w:rPr>
        <w:t>失信被执行人、重大税收违法案件当事人名单。</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六、我公司</w:t>
      </w:r>
      <w:r>
        <w:rPr>
          <w:rFonts w:hint="eastAsia" w:ascii="宋体" w:hAnsi="宋体"/>
          <w:b/>
          <w:sz w:val="24"/>
          <w:szCs w:val="24"/>
          <w:highlight w:val="none"/>
          <w:u w:val="single"/>
        </w:rPr>
        <w:t>（说明：填写“未列入”或“被列入”）</w:t>
      </w:r>
      <w:r>
        <w:rPr>
          <w:rFonts w:hint="eastAsia" w:ascii="宋体" w:hAnsi="宋体"/>
          <w:sz w:val="24"/>
          <w:szCs w:val="24"/>
          <w:highlight w:val="none"/>
        </w:rPr>
        <w:t>政府采购严重违法失信行为记录名单。</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七、我公司</w:t>
      </w:r>
      <w:r>
        <w:rPr>
          <w:rFonts w:hint="eastAsia" w:ascii="宋体" w:hAnsi="宋体"/>
          <w:b/>
          <w:sz w:val="24"/>
          <w:szCs w:val="24"/>
          <w:highlight w:val="none"/>
          <w:u w:val="single"/>
        </w:rPr>
        <w:t>（说明：填写“未列入”或“被列入”）</w:t>
      </w:r>
      <w:r>
        <w:rPr>
          <w:rFonts w:hint="eastAsia" w:ascii="宋体" w:hAnsi="宋体"/>
          <w:sz w:val="24"/>
          <w:szCs w:val="24"/>
          <w:highlight w:val="none"/>
        </w:rPr>
        <w:t>经营异常名录。</w:t>
      </w:r>
    </w:p>
    <w:p>
      <w:pPr>
        <w:spacing w:line="360" w:lineRule="auto"/>
        <w:ind w:firstLine="480" w:firstLineChars="200"/>
        <w:rPr>
          <w:rFonts w:ascii="宋体" w:hAnsi="宋体" w:cs="宋体"/>
          <w:sz w:val="24"/>
          <w:szCs w:val="24"/>
          <w:highlight w:val="none"/>
        </w:rPr>
      </w:pP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特此声明。</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投标人名称(公章)：</w:t>
      </w:r>
      <w:r>
        <w:rPr>
          <w:rFonts w:hint="eastAsia" w:ascii="宋体" w:hAnsi="宋体" w:cs="宋体"/>
          <w:sz w:val="24"/>
          <w:szCs w:val="24"/>
          <w:highlight w:val="none"/>
          <w:u w:val="single"/>
        </w:rPr>
        <w:t xml:space="preserve">                   </w:t>
      </w:r>
    </w:p>
    <w:p>
      <w:pPr>
        <w:spacing w:line="360" w:lineRule="auto"/>
        <w:ind w:left="283" w:leftChars="135" w:firstLine="240" w:firstLineChars="100"/>
        <w:rPr>
          <w:rFonts w:ascii="宋体" w:hAnsi="宋体" w:cs="宋体"/>
          <w:sz w:val="24"/>
          <w:szCs w:val="24"/>
          <w:highlight w:val="none"/>
        </w:rPr>
      </w:pPr>
      <w:r>
        <w:rPr>
          <w:rFonts w:hint="eastAsia" w:ascii="宋体" w:hAnsi="宋体" w:cs="宋体"/>
          <w:bCs/>
          <w:sz w:val="24"/>
          <w:szCs w:val="24"/>
          <w:highlight w:val="none"/>
        </w:rPr>
        <w:t>日    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 xml:space="preserve"> 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spacing w:line="360" w:lineRule="auto"/>
        <w:ind w:left="283" w:leftChars="135" w:firstLine="472" w:firstLineChars="196"/>
        <w:rPr>
          <w:rFonts w:ascii="宋体" w:hAnsi="宋体" w:cs="宋体"/>
          <w:b/>
          <w:sz w:val="24"/>
          <w:szCs w:val="24"/>
          <w:highlight w:val="none"/>
        </w:rPr>
      </w:pPr>
      <w:r>
        <w:rPr>
          <w:rFonts w:hint="eastAsia" w:ascii="宋体" w:hAnsi="宋体" w:cs="宋体"/>
          <w:b/>
          <w:sz w:val="24"/>
          <w:szCs w:val="24"/>
          <w:highlight w:val="none"/>
        </w:rPr>
        <w:t>说明：</w:t>
      </w:r>
    </w:p>
    <w:p>
      <w:pPr>
        <w:ind w:firstLine="480" w:firstLineChars="200"/>
        <w:rPr>
          <w:rFonts w:ascii="宋体" w:hAnsi="宋体" w:cs="宋体"/>
          <w:sz w:val="24"/>
          <w:szCs w:val="24"/>
          <w:highlight w:val="none"/>
        </w:rPr>
      </w:pPr>
      <w:r>
        <w:rPr>
          <w:rFonts w:hint="eastAsia" w:ascii="宋体" w:hAnsi="宋体" w:cs="宋体"/>
          <w:sz w:val="24"/>
          <w:szCs w:val="24"/>
          <w:highlight w:val="none"/>
        </w:rPr>
        <w:t>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、对声明中第三条的说明：单位负责人为同一人或者存在直接控股、管理关系的不同供应商，不得参加同一合同项下的政府采购活动。</w:t>
      </w:r>
    </w:p>
    <w:p>
      <w:pPr>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.对声明中第五条的说明：投标人如被列入失信被执行人、重大税收违法案件当事人名单，应填写“被列入”，投标人将被认定投标无效或被取消中标资格。</w:t>
      </w:r>
    </w:p>
    <w:p>
      <w:pPr>
        <w:widowControl/>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对声明中第六条的说明：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widowControl/>
        <w:ind w:firstLine="480" w:firstLineChars="200"/>
        <w:jc w:val="left"/>
        <w:rPr>
          <w:highlight w:val="none"/>
        </w:rPr>
        <w:sectPr>
          <w:pgSz w:w="11906" w:h="16838"/>
          <w:pgMar w:top="1327" w:right="1800" w:bottom="1327" w:left="1800" w:header="851" w:footer="992" w:gutter="0"/>
          <w:cols w:space="720" w:num="1"/>
          <w:docGrid w:type="lines" w:linePitch="312" w:charSpace="0"/>
        </w:sectPr>
      </w:pPr>
      <w:r>
        <w:rPr>
          <w:rFonts w:hint="eastAsia" w:ascii="宋体" w:hAnsi="宋体" w:cs="宋体"/>
          <w:sz w:val="24"/>
          <w:szCs w:val="24"/>
          <w:highlight w:val="none"/>
          <w:lang w:val="en-US" w:eastAsia="zh-CN"/>
        </w:rPr>
        <w:t>6</w:t>
      </w:r>
      <w:r>
        <w:rPr>
          <w:rFonts w:hint="eastAsia" w:ascii="宋体" w:hAnsi="宋体" w:cs="宋体"/>
          <w:sz w:val="24"/>
          <w:szCs w:val="24"/>
          <w:highlight w:val="none"/>
        </w:rPr>
        <w:t>、对声明中第七条的说明：投标人如被列入经营异常名录的，应填写“被列入”，其投标或中标资格将被取消。</w:t>
      </w:r>
    </w:p>
    <w:p>
      <w:pPr>
        <w:widowControl/>
        <w:jc w:val="left"/>
        <w:rPr>
          <w:rFonts w:ascii="宋体" w:hAnsi="宋体" w:cs="宋体"/>
          <w:sz w:val="24"/>
          <w:szCs w:val="24"/>
          <w:highlight w:val="none"/>
        </w:rPr>
      </w:pPr>
    </w:p>
    <w:p>
      <w:pPr>
        <w:pStyle w:val="2"/>
        <w:spacing w:before="0" w:after="0" w:line="560" w:lineRule="exact"/>
        <w:rPr>
          <w:rFonts w:cs="宋体"/>
          <w:sz w:val="24"/>
          <w:szCs w:val="24"/>
          <w:highlight w:val="none"/>
        </w:rPr>
      </w:pPr>
      <w:bookmarkStart w:id="167" w:name="_Toc13652494"/>
      <w:bookmarkStart w:id="168" w:name="_Toc494464914"/>
      <w:r>
        <w:rPr>
          <w:rFonts w:hint="eastAsia" w:cs="宋体"/>
          <w:sz w:val="24"/>
          <w:szCs w:val="24"/>
          <w:highlight w:val="none"/>
        </w:rPr>
        <w:t>投标文件第二部分  技术、服务及其他要求响应部分</w:t>
      </w:r>
      <w:bookmarkEnd w:id="167"/>
      <w:bookmarkEnd w:id="168"/>
    </w:p>
    <w:p>
      <w:pPr>
        <w:pStyle w:val="4"/>
        <w:ind w:left="569" w:hanging="569"/>
        <w:rPr>
          <w:rFonts w:cs="宋体"/>
          <w:color w:val="auto"/>
          <w:sz w:val="24"/>
          <w:szCs w:val="24"/>
          <w:highlight w:val="none"/>
        </w:rPr>
      </w:pPr>
      <w:r>
        <w:rPr>
          <w:rFonts w:hint="eastAsia" w:cs="宋体"/>
          <w:color w:val="auto"/>
          <w:sz w:val="24"/>
          <w:szCs w:val="24"/>
          <w:highlight w:val="none"/>
        </w:rPr>
        <w:t>投标函</w:t>
      </w:r>
    </w:p>
    <w:p>
      <w:pPr>
        <w:pStyle w:val="26"/>
        <w:spacing w:after="0" w:line="560" w:lineRule="exact"/>
        <w:ind w:left="0" w:leftChars="0"/>
        <w:rPr>
          <w:rFonts w:ascii="宋体" w:hAnsi="宋体" w:cs="宋体"/>
          <w:bCs/>
          <w:sz w:val="24"/>
          <w:szCs w:val="24"/>
          <w:highlight w:val="none"/>
        </w:rPr>
      </w:pPr>
    </w:p>
    <w:p>
      <w:pPr>
        <w:spacing w:line="560" w:lineRule="exact"/>
        <w:rPr>
          <w:rFonts w:ascii="宋体" w:hAnsi="宋体" w:cs="宋体"/>
          <w:sz w:val="24"/>
          <w:szCs w:val="24"/>
          <w:highlight w:val="none"/>
        </w:rPr>
      </w:pPr>
      <w:r>
        <w:rPr>
          <w:rFonts w:hint="eastAsia" w:ascii="宋体" w:hAnsi="宋体" w:cs="宋体"/>
          <w:sz w:val="24"/>
          <w:szCs w:val="24"/>
          <w:highlight w:val="none"/>
        </w:rPr>
        <w:t>四川正汇恒招标代理有限公司：</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我方全面研究了“</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”项目的招标文件（采购项目编号：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）包件</w:t>
      </w:r>
      <w:r>
        <w:rPr>
          <w:rFonts w:hint="eastAsia" w:ascii="宋体" w:hAnsi="宋体" w:cs="宋体"/>
          <w:sz w:val="24"/>
          <w:szCs w:val="24"/>
          <w:highlight w:val="none"/>
          <w:u w:val="single"/>
        </w:rPr>
        <w:t xml:space="preserve">  </w:t>
      </w:r>
      <w:r>
        <w:rPr>
          <w:rFonts w:hint="eastAsia" w:ascii="宋体" w:hAnsi="宋体" w:cs="宋体"/>
          <w:sz w:val="24"/>
          <w:szCs w:val="24"/>
          <w:highlight w:val="none"/>
        </w:rPr>
        <w:t>，决定参加贵单位组织的本项目的投标。我方授权</w:t>
      </w:r>
      <w:r>
        <w:rPr>
          <w:rFonts w:hint="eastAsia" w:ascii="宋体" w:hAnsi="宋体" w:cs="宋体"/>
          <w:sz w:val="24"/>
          <w:szCs w:val="24"/>
          <w:highlight w:val="none"/>
          <w:u w:val="single"/>
        </w:rPr>
        <w:t>（姓名、职务）</w:t>
      </w:r>
      <w:r>
        <w:rPr>
          <w:rFonts w:hint="eastAsia" w:ascii="宋体" w:hAnsi="宋体" w:cs="宋体"/>
          <w:sz w:val="24"/>
          <w:szCs w:val="24"/>
          <w:highlight w:val="none"/>
        </w:rPr>
        <w:t>代表我方</w:t>
      </w:r>
      <w:r>
        <w:rPr>
          <w:rFonts w:hint="eastAsia" w:ascii="宋体" w:hAnsi="宋体" w:cs="宋体"/>
          <w:sz w:val="24"/>
          <w:szCs w:val="24"/>
          <w:highlight w:val="none"/>
          <w:u w:val="single"/>
        </w:rPr>
        <w:t>（投标单位的名称）</w:t>
      </w:r>
      <w:r>
        <w:rPr>
          <w:rFonts w:hint="eastAsia" w:ascii="宋体" w:hAnsi="宋体" w:cs="宋体"/>
          <w:sz w:val="24"/>
          <w:szCs w:val="24"/>
          <w:highlight w:val="none"/>
        </w:rPr>
        <w:t>全权处理本项目投标的有关事宜。</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我方自愿按照招标文件规定的各项要求向甲方提供所需货物及服务，投标报价以《</w:t>
      </w:r>
      <w:r>
        <w:rPr>
          <w:rFonts w:hint="eastAsia" w:ascii="宋体" w:hAnsi="宋体" w:cs="宋体"/>
          <w:b/>
          <w:sz w:val="24"/>
          <w:szCs w:val="24"/>
          <w:highlight w:val="none"/>
        </w:rPr>
        <w:t>投标报价表</w:t>
      </w:r>
      <w:r>
        <w:rPr>
          <w:rFonts w:hint="eastAsia" w:ascii="宋体" w:hAnsi="宋体" w:cs="宋体"/>
          <w:sz w:val="24"/>
          <w:szCs w:val="24"/>
          <w:highlight w:val="none"/>
        </w:rPr>
        <w:t>》为准。我方的投标报价是最终用户验收合格后的总价。</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一旦我方中标，我方将严格履行政府采购合同规定的责任和义务。</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我方为本项目提交的投标文件投标有效期为</w:t>
      </w:r>
      <w:r>
        <w:rPr>
          <w:rFonts w:hint="eastAsia" w:ascii="宋体" w:hAnsi="宋体" w:cs="宋体"/>
          <w:sz w:val="24"/>
          <w:szCs w:val="24"/>
          <w:highlight w:val="none"/>
          <w:lang w:val="zh-CN"/>
        </w:rPr>
        <w:t>投标截止之日起</w:t>
      </w:r>
      <w:r>
        <w:rPr>
          <w:rFonts w:hint="eastAsia" w:ascii="宋体" w:hAnsi="宋体" w:cs="宋体"/>
          <w:sz w:val="24"/>
          <w:szCs w:val="24"/>
          <w:highlight w:val="none"/>
          <w:u w:val="single"/>
        </w:rPr>
        <w:t>120</w:t>
      </w:r>
      <w:r>
        <w:rPr>
          <w:rFonts w:hint="eastAsia" w:ascii="宋体" w:hAnsi="宋体" w:cs="宋体"/>
          <w:sz w:val="24"/>
          <w:szCs w:val="24"/>
          <w:highlight w:val="none"/>
        </w:rPr>
        <w:t>天。</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bCs/>
          <w:sz w:val="24"/>
          <w:szCs w:val="24"/>
          <w:highlight w:val="none"/>
        </w:rPr>
        <w:t>我方已详细阅读和审查了全部招标文件，包括修改文件（如有）以及全部相关资料和有关附件，并对上述文件均无异议。</w:t>
      </w:r>
      <w:r>
        <w:rPr>
          <w:rFonts w:hint="eastAsia" w:ascii="宋体" w:hAnsi="宋体" w:cs="宋体"/>
          <w:sz w:val="24"/>
          <w:szCs w:val="24"/>
          <w:highlight w:val="none"/>
        </w:rPr>
        <w:t>我方完全理解采购人不一定将合同授予最低报价的投标人的行为。</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我方愿意提供贵单位可能另外要求的，与投标有关的文件资料，并保证我方已提供和将要提供的文件资料是真实、准确的，并对此承担一切法律后果。</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我方满足招标文件中所有实质性条款的要求。</w:t>
      </w:r>
    </w:p>
    <w:p>
      <w:pPr>
        <w:numPr>
          <w:ilvl w:val="0"/>
          <w:numId w:val="34"/>
        </w:numPr>
        <w:tabs>
          <w:tab w:val="left" w:pos="993"/>
        </w:tabs>
        <w:spacing w:line="560" w:lineRule="exact"/>
        <w:ind w:left="0" w:firstLine="426"/>
        <w:rPr>
          <w:rFonts w:ascii="宋体" w:hAnsi="宋体" w:cs="宋体"/>
          <w:sz w:val="24"/>
          <w:szCs w:val="24"/>
          <w:highlight w:val="none"/>
        </w:rPr>
      </w:pPr>
      <w:r>
        <w:rPr>
          <w:rFonts w:hint="eastAsia" w:ascii="宋体" w:hAnsi="宋体" w:cs="宋体"/>
          <w:sz w:val="24"/>
          <w:szCs w:val="24"/>
          <w:highlight w:val="none"/>
        </w:rPr>
        <w:t xml:space="preserve">我单位联系方式： </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通讯地址：</w:t>
      </w:r>
      <w:r>
        <w:rPr>
          <w:rFonts w:hint="eastAsia" w:ascii="宋体" w:hAnsi="宋体" w:cs="宋体"/>
          <w:sz w:val="24"/>
          <w:szCs w:val="24"/>
          <w:highlight w:val="none"/>
          <w:u w:val="single"/>
        </w:rPr>
        <w:t xml:space="preserve">                         </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邮政编码：</w:t>
      </w:r>
      <w:r>
        <w:rPr>
          <w:rFonts w:hint="eastAsia" w:ascii="宋体" w:hAnsi="宋体" w:cs="宋体"/>
          <w:sz w:val="24"/>
          <w:szCs w:val="24"/>
          <w:highlight w:val="none"/>
          <w:u w:val="single"/>
        </w:rPr>
        <w:t xml:space="preserve">                         </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联系电话及传真：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560" w:lineRule="exact"/>
        <w:ind w:firstLine="480" w:firstLineChars="200"/>
        <w:rPr>
          <w:rFonts w:ascii="宋体" w:hAnsi="宋体" w:cs="宋体"/>
          <w:sz w:val="24"/>
          <w:szCs w:val="24"/>
          <w:highlight w:val="none"/>
        </w:rPr>
      </w:pPr>
    </w:p>
    <w:p>
      <w:pPr>
        <w:spacing w:line="560" w:lineRule="exact"/>
        <w:ind w:firstLine="480" w:firstLineChars="200"/>
        <w:rPr>
          <w:rFonts w:ascii="宋体" w:hAnsi="宋体" w:cs="宋体"/>
          <w:sz w:val="24"/>
          <w:szCs w:val="24"/>
          <w:highlight w:val="none"/>
        </w:rPr>
      </w:pPr>
    </w:p>
    <w:p>
      <w:pPr>
        <w:spacing w:line="560" w:lineRule="exact"/>
        <w:ind w:firstLine="480" w:firstLineChars="200"/>
        <w:rPr>
          <w:rFonts w:ascii="宋体" w:hAnsi="宋体" w:cs="宋体"/>
          <w:sz w:val="24"/>
          <w:szCs w:val="24"/>
          <w:highlight w:val="none"/>
        </w:rPr>
      </w:pPr>
    </w:p>
    <w:p>
      <w:pPr>
        <w:spacing w:line="560" w:lineRule="exact"/>
        <w:ind w:firstLine="480" w:firstLineChars="200"/>
        <w:rPr>
          <w:rFonts w:ascii="宋体" w:hAnsi="宋体" w:cs="宋体"/>
          <w:sz w:val="24"/>
          <w:szCs w:val="24"/>
          <w:highlight w:val="none"/>
        </w:rPr>
      </w:pP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投标人名称（公章）：</w:t>
      </w:r>
      <w:r>
        <w:rPr>
          <w:rFonts w:hint="eastAsia" w:ascii="宋体" w:hAnsi="宋体" w:cs="宋体"/>
          <w:sz w:val="24"/>
          <w:szCs w:val="24"/>
          <w:highlight w:val="none"/>
          <w:u w:val="single"/>
        </w:rPr>
        <w:t xml:space="preserve">                       </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spacing w:line="560" w:lineRule="exact"/>
        <w:rPr>
          <w:rFonts w:ascii="宋体" w:hAnsi="宋体" w:cs="宋体"/>
          <w:bCs/>
          <w:sz w:val="24"/>
          <w:szCs w:val="24"/>
          <w:highlight w:val="none"/>
        </w:rPr>
      </w:pPr>
    </w:p>
    <w:p>
      <w:pPr>
        <w:pStyle w:val="17"/>
        <w:rPr>
          <w:rFonts w:ascii="宋体" w:hAnsi="宋体" w:cs="宋体"/>
          <w:bCs/>
          <w:sz w:val="24"/>
          <w:szCs w:val="24"/>
          <w:highlight w:val="none"/>
        </w:rPr>
      </w:pPr>
    </w:p>
    <w:p>
      <w:pPr>
        <w:pStyle w:val="18"/>
        <w:ind w:firstLine="180"/>
        <w:rPr>
          <w:highlight w:val="none"/>
        </w:rPr>
      </w:pPr>
    </w:p>
    <w:p>
      <w:pPr>
        <w:spacing w:line="560" w:lineRule="exact"/>
        <w:rPr>
          <w:rFonts w:ascii="宋体" w:hAnsi="宋体" w:cs="宋体"/>
          <w:bCs/>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t>投标报价表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宋体" w:hAnsi="宋体" w:cs="宋体"/>
                <w:sz w:val="24"/>
                <w:highlight w:val="none"/>
              </w:rPr>
            </w:pPr>
            <w:r>
              <w:rPr>
                <w:rFonts w:hint="eastAsia" w:ascii="宋体" w:hAnsi="宋体" w:cs="宋体"/>
                <w:sz w:val="24"/>
                <w:highlight w:val="none"/>
              </w:rPr>
              <w:t>采购项目名称</w:t>
            </w:r>
          </w:p>
        </w:tc>
        <w:tc>
          <w:tcPr>
            <w:tcW w:w="6649" w:type="dxa"/>
            <w:vAlign w:val="center"/>
          </w:tcPr>
          <w:p>
            <w:pPr>
              <w:snapToGrid w:val="0"/>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宋体" w:hAnsi="宋体" w:cs="宋体"/>
                <w:sz w:val="24"/>
                <w:highlight w:val="none"/>
              </w:rPr>
            </w:pPr>
            <w:r>
              <w:rPr>
                <w:rFonts w:hint="eastAsia" w:ascii="宋体" w:hAnsi="宋体" w:cs="宋体"/>
                <w:sz w:val="24"/>
                <w:highlight w:val="none"/>
              </w:rPr>
              <w:t>采购项目编号</w:t>
            </w:r>
          </w:p>
        </w:tc>
        <w:tc>
          <w:tcPr>
            <w:tcW w:w="6649" w:type="dxa"/>
            <w:vAlign w:val="center"/>
          </w:tcPr>
          <w:p>
            <w:pPr>
              <w:snapToGrid w:val="0"/>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宋体" w:hAnsi="宋体" w:cs="宋体"/>
                <w:sz w:val="24"/>
                <w:highlight w:val="none"/>
              </w:rPr>
            </w:pPr>
            <w:r>
              <w:rPr>
                <w:rFonts w:hint="eastAsia" w:ascii="宋体" w:hAnsi="宋体" w:cs="宋体"/>
                <w:sz w:val="24"/>
                <w:highlight w:val="none"/>
              </w:rPr>
              <w:t>包件号</w:t>
            </w:r>
          </w:p>
        </w:tc>
        <w:tc>
          <w:tcPr>
            <w:tcW w:w="6649" w:type="dxa"/>
            <w:vAlign w:val="center"/>
          </w:tcPr>
          <w:p>
            <w:pPr>
              <w:snapToGrid w:val="0"/>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宋体" w:hAnsi="宋体" w:cs="宋体"/>
                <w:sz w:val="24"/>
                <w:highlight w:val="none"/>
              </w:rPr>
            </w:pPr>
            <w:r>
              <w:rPr>
                <w:rFonts w:hint="eastAsia" w:ascii="宋体" w:hAnsi="宋体" w:cs="宋体"/>
                <w:sz w:val="24"/>
                <w:highlight w:val="none"/>
              </w:rPr>
              <w:t>供应商名称</w:t>
            </w:r>
          </w:p>
        </w:tc>
        <w:tc>
          <w:tcPr>
            <w:tcW w:w="6649" w:type="dxa"/>
            <w:vAlign w:val="center"/>
          </w:tcPr>
          <w:p>
            <w:pPr>
              <w:snapToGrid w:val="0"/>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2740" w:type="dxa"/>
            <w:vAlign w:val="center"/>
          </w:tcPr>
          <w:p>
            <w:pPr>
              <w:snapToGrid w:val="0"/>
              <w:jc w:val="center"/>
              <w:rPr>
                <w:rFonts w:ascii="宋体" w:hAnsi="宋体" w:cs="宋体"/>
                <w:sz w:val="24"/>
                <w:highlight w:val="none"/>
              </w:rPr>
            </w:pPr>
            <w:r>
              <w:rPr>
                <w:rFonts w:hint="eastAsia" w:ascii="宋体" w:hAnsi="宋体" w:cs="宋体"/>
                <w:sz w:val="24"/>
                <w:highlight w:val="none"/>
              </w:rPr>
              <w:t>投标报价</w:t>
            </w:r>
          </w:p>
        </w:tc>
        <w:tc>
          <w:tcPr>
            <w:tcW w:w="6649" w:type="dxa"/>
            <w:vAlign w:val="bottom"/>
          </w:tcPr>
          <w:p>
            <w:pPr>
              <w:snapToGrid w:val="0"/>
              <w:spacing w:line="480" w:lineRule="auto"/>
              <w:ind w:firstLine="420"/>
              <w:jc w:val="right"/>
              <w:rPr>
                <w:rFonts w:ascii="宋体" w:hAnsi="宋体" w:cs="宋体"/>
                <w:highlight w:val="none"/>
              </w:rPr>
            </w:pPr>
            <w:r>
              <w:rPr>
                <w:rFonts w:hint="eastAsia" w:ascii="宋体" w:hAnsi="宋体" w:cs="宋体"/>
                <w:highlight w:val="none"/>
              </w:rPr>
              <w:t>元（小写）</w:t>
            </w:r>
          </w:p>
          <w:p>
            <w:pPr>
              <w:pStyle w:val="17"/>
              <w:ind w:firstLine="420"/>
              <w:jc w:val="right"/>
              <w:rPr>
                <w:rFonts w:ascii="宋体" w:hAnsi="宋体" w:cs="宋体"/>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rPr>
              <w:t>元（大写）</w:t>
            </w:r>
          </w:p>
        </w:tc>
      </w:tr>
    </w:tbl>
    <w:p>
      <w:pPr>
        <w:pStyle w:val="26"/>
        <w:spacing w:line="560" w:lineRule="exact"/>
        <w:ind w:left="0" w:leftChars="0"/>
        <w:rPr>
          <w:rFonts w:ascii="宋体" w:hAnsi="宋体" w:cs="宋体"/>
          <w:bCs/>
          <w:sz w:val="24"/>
          <w:szCs w:val="24"/>
          <w:highlight w:val="none"/>
        </w:rPr>
      </w:pPr>
    </w:p>
    <w:p>
      <w:pPr>
        <w:pStyle w:val="26"/>
        <w:spacing w:line="560" w:lineRule="exact"/>
        <w:ind w:firstLine="247" w:firstLineChars="103"/>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pStyle w:val="26"/>
        <w:spacing w:line="560" w:lineRule="exact"/>
        <w:ind w:firstLine="247" w:firstLineChars="103"/>
        <w:rPr>
          <w:rFonts w:ascii="宋体" w:hAnsi="宋体" w:cs="宋体"/>
          <w:bCs/>
          <w:sz w:val="24"/>
          <w:szCs w:val="24"/>
          <w:highlight w:val="none"/>
        </w:rPr>
      </w:pPr>
      <w:r>
        <w:rPr>
          <w:rFonts w:hint="eastAsia" w:ascii="宋体" w:hAnsi="宋体" w:cs="宋体"/>
          <w:bCs/>
          <w:sz w:val="24"/>
          <w:szCs w:val="24"/>
          <w:highlight w:val="none"/>
        </w:rPr>
        <w:t>法定代表人或授权代理人（签字或加盖个人名章）：</w:t>
      </w:r>
      <w:r>
        <w:rPr>
          <w:rFonts w:hint="eastAsia" w:ascii="宋体" w:hAnsi="宋体" w:cs="宋体"/>
          <w:bCs/>
          <w:sz w:val="24"/>
          <w:szCs w:val="24"/>
          <w:highlight w:val="none"/>
          <w:u w:val="single"/>
        </w:rPr>
        <w:t xml:space="preserve">             </w:t>
      </w:r>
    </w:p>
    <w:p>
      <w:pPr>
        <w:pStyle w:val="26"/>
        <w:spacing w:line="560" w:lineRule="exact"/>
        <w:ind w:firstLine="247" w:firstLineChars="103"/>
        <w:rPr>
          <w:rFonts w:ascii="宋体" w:hAnsi="宋体" w:cs="宋体"/>
          <w:bCs/>
          <w:sz w:val="24"/>
          <w:szCs w:val="24"/>
          <w:highlight w:val="none"/>
          <w:u w:val="single"/>
        </w:rPr>
      </w:pPr>
      <w:bookmarkStart w:id="169" w:name="_Toc231030275"/>
      <w:bookmarkStart w:id="170" w:name="_Toc229802674"/>
      <w:bookmarkStart w:id="171" w:name="_Toc265494342"/>
      <w:bookmarkStart w:id="172" w:name="_Toc237145395"/>
      <w:bookmarkStart w:id="173" w:name="_Toc240367172"/>
      <w:bookmarkStart w:id="174" w:name="_Toc239849853"/>
      <w:bookmarkStart w:id="175" w:name="_Toc314574804"/>
      <w:bookmarkStart w:id="176" w:name="_Toc240865266"/>
      <w:bookmarkStart w:id="177" w:name="_Toc239846734"/>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spacing w:line="560" w:lineRule="exact"/>
        <w:ind w:firstLine="420" w:firstLineChars="175"/>
        <w:jc w:val="left"/>
        <w:rPr>
          <w:rFonts w:ascii="宋体" w:hAnsi="宋体" w:cs="宋体"/>
          <w:sz w:val="24"/>
          <w:szCs w:val="24"/>
          <w:highlight w:val="none"/>
        </w:rPr>
      </w:pPr>
      <w:bookmarkStart w:id="178" w:name="_Toc475862267"/>
      <w:bookmarkStart w:id="179" w:name="_Toc475862758"/>
      <w:r>
        <w:rPr>
          <w:rFonts w:hint="eastAsia" w:ascii="宋体" w:hAnsi="宋体" w:cs="宋体"/>
          <w:sz w:val="24"/>
          <w:szCs w:val="24"/>
          <w:highlight w:val="none"/>
        </w:rPr>
        <w:t>注：投标报价应是最终用户验收合格后的总价，包括设备运输、保险、代理、测量、税费、检测和招标文件规定的其它费用。</w:t>
      </w:r>
      <w:bookmarkEnd w:id="178"/>
      <w:bookmarkEnd w:id="179"/>
    </w:p>
    <w:p>
      <w:pPr>
        <w:spacing w:line="560" w:lineRule="exact"/>
        <w:jc w:val="left"/>
        <w:rPr>
          <w:rFonts w:ascii="宋体" w:hAnsi="宋体" w:cs="宋体"/>
          <w:sz w:val="24"/>
          <w:szCs w:val="24"/>
          <w:highlight w:val="none"/>
        </w:rPr>
      </w:pPr>
    </w:p>
    <w:p>
      <w:pPr>
        <w:spacing w:line="560" w:lineRule="exact"/>
        <w:jc w:val="left"/>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br w:type="page"/>
      </w:r>
      <w:r>
        <w:rPr>
          <w:rFonts w:hint="eastAsia" w:cs="宋体"/>
          <w:color w:val="auto"/>
          <w:sz w:val="24"/>
          <w:szCs w:val="24"/>
          <w:highlight w:val="none"/>
        </w:rPr>
        <w:t>分项报价明细表</w:t>
      </w:r>
    </w:p>
    <w:p>
      <w:pPr>
        <w:snapToGrid w:val="0"/>
        <w:spacing w:line="360" w:lineRule="auto"/>
        <w:ind w:left="1238" w:right="-57" w:rightChars="-27" w:hanging="1238" w:hangingChars="514"/>
        <w:rPr>
          <w:rFonts w:ascii="宋体" w:hAnsi="宋体" w:cs="宋体"/>
          <w:b/>
          <w:sz w:val="24"/>
          <w:szCs w:val="24"/>
          <w:highlight w:val="none"/>
          <w:u w:val="single"/>
        </w:rPr>
      </w:pPr>
      <w:r>
        <w:rPr>
          <w:rFonts w:hint="eastAsia" w:ascii="宋体" w:hAnsi="宋体" w:cs="宋体"/>
          <w:b/>
          <w:sz w:val="24"/>
          <w:szCs w:val="24"/>
          <w:highlight w:val="none"/>
        </w:rPr>
        <w:t>采购项目名称：</w:t>
      </w:r>
      <w:r>
        <w:rPr>
          <w:rFonts w:hint="eastAsia" w:ascii="宋体" w:hAnsi="宋体" w:cs="宋体"/>
          <w:b/>
          <w:sz w:val="24"/>
          <w:szCs w:val="24"/>
          <w:highlight w:val="none"/>
          <w:u w:val="single"/>
        </w:rPr>
        <w:t xml:space="preserve">           </w:t>
      </w:r>
    </w:p>
    <w:p>
      <w:pPr>
        <w:snapToGrid w:val="0"/>
        <w:spacing w:line="360" w:lineRule="auto"/>
        <w:ind w:left="1238" w:right="-57" w:rightChars="-27" w:hanging="1238" w:hangingChars="514"/>
        <w:rPr>
          <w:rFonts w:ascii="宋体" w:hAnsi="宋体" w:cs="宋体"/>
          <w:b/>
          <w:sz w:val="24"/>
          <w:szCs w:val="24"/>
          <w:highlight w:val="none"/>
          <w:u w:val="single"/>
        </w:rPr>
      </w:pPr>
      <w:r>
        <w:rPr>
          <w:rFonts w:hint="eastAsia" w:ascii="宋体" w:hAnsi="宋体" w:cs="宋体"/>
          <w:b/>
          <w:sz w:val="24"/>
          <w:szCs w:val="24"/>
          <w:highlight w:val="none"/>
        </w:rPr>
        <w:t>采购项目编号：</w:t>
      </w:r>
      <w:r>
        <w:rPr>
          <w:rFonts w:hint="eastAsia" w:ascii="宋体" w:hAnsi="宋体" w:cs="宋体"/>
          <w:b/>
          <w:sz w:val="24"/>
          <w:szCs w:val="24"/>
          <w:highlight w:val="none"/>
          <w:u w:val="single"/>
        </w:rPr>
        <w:t xml:space="preserve">          </w:t>
      </w:r>
    </w:p>
    <w:p>
      <w:pPr>
        <w:snapToGrid w:val="0"/>
        <w:spacing w:line="360" w:lineRule="auto"/>
        <w:ind w:left="1238" w:right="-57" w:rightChars="-27" w:hanging="1238" w:hangingChars="514"/>
        <w:rPr>
          <w:rFonts w:ascii="宋体" w:hAnsi="宋体" w:cs="宋体"/>
          <w:b/>
          <w:sz w:val="24"/>
          <w:szCs w:val="24"/>
          <w:highlight w:val="none"/>
          <w:u w:val="single"/>
        </w:rPr>
      </w:pPr>
      <w:r>
        <w:rPr>
          <w:rFonts w:hint="eastAsia" w:ascii="宋体" w:hAnsi="宋体" w:cs="宋体"/>
          <w:b/>
          <w:sz w:val="24"/>
          <w:szCs w:val="24"/>
          <w:highlight w:val="none"/>
        </w:rPr>
        <w:t>包件号：</w:t>
      </w:r>
      <w:r>
        <w:rPr>
          <w:rFonts w:hint="eastAsia" w:ascii="宋体" w:hAnsi="宋体" w:cs="宋体"/>
          <w:b/>
          <w:sz w:val="24"/>
          <w:szCs w:val="24"/>
          <w:highlight w:val="none"/>
          <w:u w:val="single"/>
        </w:rPr>
        <w:t xml:space="preserve">                </w:t>
      </w:r>
    </w:p>
    <w:p>
      <w:pPr>
        <w:tabs>
          <w:tab w:val="left" w:pos="630"/>
          <w:tab w:val="left" w:pos="7560"/>
        </w:tabs>
        <w:spacing w:line="360" w:lineRule="auto"/>
        <w:rPr>
          <w:rFonts w:ascii="宋体" w:hAnsi="宋体" w:cs="宋体"/>
          <w:b/>
          <w:sz w:val="24"/>
          <w:szCs w:val="24"/>
          <w:highlight w:val="none"/>
        </w:rPr>
      </w:pPr>
      <w:r>
        <w:rPr>
          <w:rFonts w:hint="eastAsia" w:ascii="宋体" w:hAnsi="宋体" w:cs="宋体"/>
          <w:b/>
          <w:sz w:val="24"/>
          <w:szCs w:val="24"/>
          <w:highlight w:val="none"/>
        </w:rPr>
        <w:t>（说明：投标人应根据其投标报价的构成提供详细的分项价格明细表，如表格不能满足需要，可自行制表填写）</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806"/>
        <w:gridCol w:w="1268"/>
        <w:gridCol w:w="1417"/>
        <w:gridCol w:w="851"/>
        <w:gridCol w:w="1034"/>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60"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序号</w:t>
            </w:r>
          </w:p>
        </w:tc>
        <w:tc>
          <w:tcPr>
            <w:tcW w:w="1720"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产品名称</w:t>
            </w:r>
          </w:p>
        </w:tc>
        <w:tc>
          <w:tcPr>
            <w:tcW w:w="806"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品牌或规格型号</w:t>
            </w:r>
          </w:p>
        </w:tc>
        <w:tc>
          <w:tcPr>
            <w:tcW w:w="1268"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进口或国产</w:t>
            </w:r>
          </w:p>
        </w:tc>
        <w:tc>
          <w:tcPr>
            <w:tcW w:w="1417"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生产厂商</w:t>
            </w:r>
          </w:p>
        </w:tc>
        <w:tc>
          <w:tcPr>
            <w:tcW w:w="851"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数量</w:t>
            </w:r>
          </w:p>
        </w:tc>
        <w:tc>
          <w:tcPr>
            <w:tcW w:w="1034"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单价</w:t>
            </w:r>
          </w:p>
        </w:tc>
        <w:tc>
          <w:tcPr>
            <w:tcW w:w="1295" w:type="dxa"/>
            <w:vAlign w:val="center"/>
          </w:tcPr>
          <w:p>
            <w:pPr>
              <w:spacing w:before="156" w:beforeLines="50" w:line="360" w:lineRule="auto"/>
              <w:jc w:val="center"/>
              <w:rPr>
                <w:rFonts w:ascii="宋体" w:hAnsi="宋体" w:cs="宋体"/>
                <w:b/>
                <w:kern w:val="0"/>
                <w:sz w:val="24"/>
                <w:szCs w:val="24"/>
                <w:highlight w:val="none"/>
              </w:rPr>
            </w:pPr>
            <w:r>
              <w:rPr>
                <w:rFonts w:hint="eastAsia" w:ascii="宋体" w:hAnsi="宋体" w:cs="宋体"/>
                <w:b/>
                <w:kern w:val="0"/>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60" w:type="dxa"/>
            <w:vAlign w:val="center"/>
          </w:tcPr>
          <w:p>
            <w:pPr>
              <w:snapToGrid w:val="0"/>
              <w:spacing w:line="360" w:lineRule="auto"/>
              <w:jc w:val="center"/>
              <w:rPr>
                <w:rFonts w:ascii="宋体" w:hAnsi="宋体" w:cs="宋体"/>
                <w:sz w:val="24"/>
                <w:szCs w:val="24"/>
                <w:highlight w:val="none"/>
              </w:rPr>
            </w:pPr>
          </w:p>
        </w:tc>
        <w:tc>
          <w:tcPr>
            <w:tcW w:w="1720" w:type="dxa"/>
            <w:vAlign w:val="center"/>
          </w:tcPr>
          <w:p>
            <w:pPr>
              <w:spacing w:line="480" w:lineRule="exact"/>
              <w:jc w:val="center"/>
              <w:rPr>
                <w:rFonts w:ascii="宋体" w:hAnsi="宋体" w:cs="宋体"/>
                <w:kern w:val="0"/>
                <w:sz w:val="24"/>
                <w:szCs w:val="24"/>
                <w:highlight w:val="none"/>
              </w:rPr>
            </w:pPr>
          </w:p>
        </w:tc>
        <w:tc>
          <w:tcPr>
            <w:tcW w:w="806" w:type="dxa"/>
            <w:vAlign w:val="center"/>
          </w:tcPr>
          <w:p>
            <w:pPr>
              <w:spacing w:line="480" w:lineRule="exact"/>
              <w:jc w:val="center"/>
              <w:rPr>
                <w:rFonts w:ascii="宋体" w:hAnsi="宋体" w:cs="宋体"/>
                <w:kern w:val="0"/>
                <w:sz w:val="24"/>
                <w:szCs w:val="24"/>
                <w:highlight w:val="none"/>
              </w:rPr>
            </w:pPr>
          </w:p>
        </w:tc>
        <w:tc>
          <w:tcPr>
            <w:tcW w:w="1268" w:type="dxa"/>
            <w:vAlign w:val="center"/>
          </w:tcPr>
          <w:p>
            <w:pPr>
              <w:spacing w:line="480" w:lineRule="exact"/>
              <w:jc w:val="center"/>
              <w:rPr>
                <w:rFonts w:ascii="宋体" w:hAnsi="宋体" w:cs="宋体"/>
                <w:kern w:val="0"/>
                <w:sz w:val="24"/>
                <w:szCs w:val="24"/>
                <w:highlight w:val="none"/>
              </w:rPr>
            </w:pPr>
          </w:p>
        </w:tc>
        <w:tc>
          <w:tcPr>
            <w:tcW w:w="1417" w:type="dxa"/>
            <w:vAlign w:val="center"/>
          </w:tcPr>
          <w:p>
            <w:pPr>
              <w:spacing w:line="480" w:lineRule="exact"/>
              <w:jc w:val="center"/>
              <w:rPr>
                <w:rFonts w:ascii="宋体" w:hAnsi="宋体" w:cs="宋体"/>
                <w:kern w:val="0"/>
                <w:sz w:val="24"/>
                <w:szCs w:val="24"/>
                <w:highlight w:val="none"/>
              </w:rPr>
            </w:pPr>
          </w:p>
        </w:tc>
        <w:tc>
          <w:tcPr>
            <w:tcW w:w="851" w:type="dxa"/>
            <w:vAlign w:val="center"/>
          </w:tcPr>
          <w:p>
            <w:pPr>
              <w:spacing w:line="480" w:lineRule="exact"/>
              <w:jc w:val="center"/>
              <w:rPr>
                <w:rFonts w:ascii="宋体" w:hAnsi="宋体" w:cs="宋体"/>
                <w:kern w:val="0"/>
                <w:sz w:val="24"/>
                <w:szCs w:val="24"/>
                <w:highlight w:val="none"/>
              </w:rPr>
            </w:pPr>
          </w:p>
        </w:tc>
        <w:tc>
          <w:tcPr>
            <w:tcW w:w="1034" w:type="dxa"/>
            <w:vAlign w:val="center"/>
          </w:tcPr>
          <w:p>
            <w:pPr>
              <w:spacing w:line="480" w:lineRule="exact"/>
              <w:jc w:val="center"/>
              <w:rPr>
                <w:rFonts w:ascii="宋体" w:hAnsi="宋体" w:cs="宋体"/>
                <w:kern w:val="0"/>
                <w:sz w:val="24"/>
                <w:szCs w:val="24"/>
                <w:highlight w:val="none"/>
              </w:rPr>
            </w:pPr>
          </w:p>
        </w:tc>
        <w:tc>
          <w:tcPr>
            <w:tcW w:w="1295" w:type="dxa"/>
            <w:vAlign w:val="center"/>
          </w:tcPr>
          <w:p>
            <w:pPr>
              <w:spacing w:line="48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60" w:type="dxa"/>
            <w:vAlign w:val="center"/>
          </w:tcPr>
          <w:p>
            <w:pPr>
              <w:snapToGrid w:val="0"/>
              <w:spacing w:line="360" w:lineRule="auto"/>
              <w:jc w:val="center"/>
              <w:rPr>
                <w:rFonts w:ascii="宋体" w:hAnsi="宋体" w:cs="宋体"/>
                <w:sz w:val="24"/>
                <w:szCs w:val="24"/>
                <w:highlight w:val="none"/>
              </w:rPr>
            </w:pPr>
          </w:p>
        </w:tc>
        <w:tc>
          <w:tcPr>
            <w:tcW w:w="1720" w:type="dxa"/>
            <w:vAlign w:val="center"/>
          </w:tcPr>
          <w:p>
            <w:pPr>
              <w:spacing w:line="480" w:lineRule="exact"/>
              <w:jc w:val="center"/>
              <w:rPr>
                <w:rFonts w:ascii="宋体" w:hAnsi="宋体" w:cs="宋体"/>
                <w:kern w:val="0"/>
                <w:sz w:val="24"/>
                <w:szCs w:val="24"/>
                <w:highlight w:val="none"/>
              </w:rPr>
            </w:pPr>
          </w:p>
        </w:tc>
        <w:tc>
          <w:tcPr>
            <w:tcW w:w="806" w:type="dxa"/>
            <w:vAlign w:val="center"/>
          </w:tcPr>
          <w:p>
            <w:pPr>
              <w:spacing w:line="480" w:lineRule="exact"/>
              <w:jc w:val="center"/>
              <w:rPr>
                <w:rFonts w:ascii="宋体" w:hAnsi="宋体" w:cs="宋体"/>
                <w:kern w:val="0"/>
                <w:sz w:val="24"/>
                <w:szCs w:val="24"/>
                <w:highlight w:val="none"/>
              </w:rPr>
            </w:pPr>
          </w:p>
        </w:tc>
        <w:tc>
          <w:tcPr>
            <w:tcW w:w="1268" w:type="dxa"/>
            <w:vAlign w:val="center"/>
          </w:tcPr>
          <w:p>
            <w:pPr>
              <w:spacing w:line="480" w:lineRule="exact"/>
              <w:jc w:val="center"/>
              <w:rPr>
                <w:rFonts w:ascii="宋体" w:hAnsi="宋体" w:cs="宋体"/>
                <w:kern w:val="0"/>
                <w:sz w:val="24"/>
                <w:szCs w:val="24"/>
                <w:highlight w:val="none"/>
              </w:rPr>
            </w:pPr>
          </w:p>
        </w:tc>
        <w:tc>
          <w:tcPr>
            <w:tcW w:w="1417" w:type="dxa"/>
            <w:vAlign w:val="center"/>
          </w:tcPr>
          <w:p>
            <w:pPr>
              <w:spacing w:line="480" w:lineRule="exact"/>
              <w:jc w:val="center"/>
              <w:rPr>
                <w:rFonts w:ascii="宋体" w:hAnsi="宋体" w:cs="宋体"/>
                <w:kern w:val="0"/>
                <w:sz w:val="24"/>
                <w:szCs w:val="24"/>
                <w:highlight w:val="none"/>
              </w:rPr>
            </w:pPr>
          </w:p>
        </w:tc>
        <w:tc>
          <w:tcPr>
            <w:tcW w:w="851" w:type="dxa"/>
            <w:vAlign w:val="center"/>
          </w:tcPr>
          <w:p>
            <w:pPr>
              <w:spacing w:line="480" w:lineRule="exact"/>
              <w:jc w:val="center"/>
              <w:rPr>
                <w:rFonts w:ascii="宋体" w:hAnsi="宋体" w:cs="宋体"/>
                <w:kern w:val="0"/>
                <w:sz w:val="24"/>
                <w:szCs w:val="24"/>
                <w:highlight w:val="none"/>
              </w:rPr>
            </w:pPr>
          </w:p>
        </w:tc>
        <w:tc>
          <w:tcPr>
            <w:tcW w:w="1034" w:type="dxa"/>
            <w:vAlign w:val="center"/>
          </w:tcPr>
          <w:p>
            <w:pPr>
              <w:spacing w:line="480" w:lineRule="exact"/>
              <w:jc w:val="center"/>
              <w:rPr>
                <w:rFonts w:ascii="宋体" w:hAnsi="宋体" w:cs="宋体"/>
                <w:kern w:val="0"/>
                <w:sz w:val="24"/>
                <w:szCs w:val="24"/>
                <w:highlight w:val="none"/>
              </w:rPr>
            </w:pPr>
          </w:p>
        </w:tc>
        <w:tc>
          <w:tcPr>
            <w:tcW w:w="1295" w:type="dxa"/>
            <w:vAlign w:val="center"/>
          </w:tcPr>
          <w:p>
            <w:pPr>
              <w:spacing w:line="48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60" w:type="dxa"/>
            <w:vAlign w:val="center"/>
          </w:tcPr>
          <w:p>
            <w:pPr>
              <w:snapToGrid w:val="0"/>
              <w:spacing w:line="360" w:lineRule="auto"/>
              <w:jc w:val="center"/>
              <w:rPr>
                <w:rFonts w:ascii="宋体" w:hAnsi="宋体" w:cs="宋体"/>
                <w:sz w:val="24"/>
                <w:szCs w:val="24"/>
                <w:highlight w:val="none"/>
              </w:rPr>
            </w:pPr>
          </w:p>
        </w:tc>
        <w:tc>
          <w:tcPr>
            <w:tcW w:w="1720" w:type="dxa"/>
            <w:vAlign w:val="center"/>
          </w:tcPr>
          <w:p>
            <w:pPr>
              <w:spacing w:line="480" w:lineRule="exact"/>
              <w:jc w:val="center"/>
              <w:rPr>
                <w:rFonts w:ascii="宋体" w:hAnsi="宋体" w:cs="宋体"/>
                <w:kern w:val="0"/>
                <w:sz w:val="24"/>
                <w:szCs w:val="24"/>
                <w:highlight w:val="none"/>
              </w:rPr>
            </w:pPr>
          </w:p>
        </w:tc>
        <w:tc>
          <w:tcPr>
            <w:tcW w:w="806" w:type="dxa"/>
            <w:vAlign w:val="center"/>
          </w:tcPr>
          <w:p>
            <w:pPr>
              <w:spacing w:line="480" w:lineRule="exact"/>
              <w:jc w:val="center"/>
              <w:rPr>
                <w:rFonts w:ascii="宋体" w:hAnsi="宋体" w:cs="宋体"/>
                <w:kern w:val="0"/>
                <w:sz w:val="24"/>
                <w:szCs w:val="24"/>
                <w:highlight w:val="none"/>
              </w:rPr>
            </w:pPr>
          </w:p>
        </w:tc>
        <w:tc>
          <w:tcPr>
            <w:tcW w:w="1268" w:type="dxa"/>
            <w:vAlign w:val="center"/>
          </w:tcPr>
          <w:p>
            <w:pPr>
              <w:spacing w:line="480" w:lineRule="exact"/>
              <w:jc w:val="center"/>
              <w:rPr>
                <w:rFonts w:ascii="宋体" w:hAnsi="宋体" w:cs="宋体"/>
                <w:kern w:val="0"/>
                <w:sz w:val="24"/>
                <w:szCs w:val="24"/>
                <w:highlight w:val="none"/>
              </w:rPr>
            </w:pPr>
          </w:p>
        </w:tc>
        <w:tc>
          <w:tcPr>
            <w:tcW w:w="1417" w:type="dxa"/>
            <w:vAlign w:val="center"/>
          </w:tcPr>
          <w:p>
            <w:pPr>
              <w:spacing w:line="480" w:lineRule="exact"/>
              <w:jc w:val="center"/>
              <w:rPr>
                <w:rFonts w:ascii="宋体" w:hAnsi="宋体" w:cs="宋体"/>
                <w:kern w:val="0"/>
                <w:sz w:val="24"/>
                <w:szCs w:val="24"/>
                <w:highlight w:val="none"/>
              </w:rPr>
            </w:pPr>
          </w:p>
        </w:tc>
        <w:tc>
          <w:tcPr>
            <w:tcW w:w="851" w:type="dxa"/>
            <w:vAlign w:val="center"/>
          </w:tcPr>
          <w:p>
            <w:pPr>
              <w:spacing w:line="480" w:lineRule="exact"/>
              <w:jc w:val="center"/>
              <w:rPr>
                <w:rFonts w:ascii="宋体" w:hAnsi="宋体" w:cs="宋体"/>
                <w:kern w:val="0"/>
                <w:sz w:val="24"/>
                <w:szCs w:val="24"/>
                <w:highlight w:val="none"/>
              </w:rPr>
            </w:pPr>
          </w:p>
        </w:tc>
        <w:tc>
          <w:tcPr>
            <w:tcW w:w="1034" w:type="dxa"/>
            <w:vAlign w:val="center"/>
          </w:tcPr>
          <w:p>
            <w:pPr>
              <w:spacing w:line="480" w:lineRule="exact"/>
              <w:jc w:val="center"/>
              <w:rPr>
                <w:rFonts w:ascii="宋体" w:hAnsi="宋体" w:cs="宋体"/>
                <w:kern w:val="0"/>
                <w:sz w:val="24"/>
                <w:szCs w:val="24"/>
                <w:highlight w:val="none"/>
              </w:rPr>
            </w:pPr>
          </w:p>
        </w:tc>
        <w:tc>
          <w:tcPr>
            <w:tcW w:w="1295" w:type="dxa"/>
            <w:vAlign w:val="center"/>
          </w:tcPr>
          <w:p>
            <w:pPr>
              <w:spacing w:line="48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056" w:type="dxa"/>
            <w:gridSpan w:val="7"/>
            <w:vAlign w:val="center"/>
          </w:tcPr>
          <w:p>
            <w:pPr>
              <w:spacing w:before="156" w:beforeLines="50" w:line="360" w:lineRule="auto"/>
              <w:ind w:firstLine="2007" w:firstLineChars="833"/>
              <w:rPr>
                <w:rFonts w:ascii="宋体" w:hAnsi="宋体" w:cs="宋体"/>
                <w:b/>
                <w:kern w:val="0"/>
                <w:sz w:val="24"/>
                <w:szCs w:val="24"/>
                <w:highlight w:val="none"/>
              </w:rPr>
            </w:pPr>
            <w:r>
              <w:rPr>
                <w:rFonts w:hint="eastAsia" w:ascii="宋体" w:hAnsi="宋体" w:cs="宋体"/>
                <w:b/>
                <w:kern w:val="0"/>
                <w:sz w:val="24"/>
                <w:szCs w:val="24"/>
                <w:highlight w:val="none"/>
              </w:rPr>
              <w:t>投标报价（总价合计）</w:t>
            </w:r>
          </w:p>
        </w:tc>
        <w:tc>
          <w:tcPr>
            <w:tcW w:w="1295" w:type="dxa"/>
            <w:vAlign w:val="center"/>
          </w:tcPr>
          <w:p>
            <w:pPr>
              <w:spacing w:line="480" w:lineRule="exact"/>
              <w:jc w:val="center"/>
              <w:rPr>
                <w:rFonts w:ascii="宋体" w:hAnsi="宋体" w:cs="宋体"/>
                <w:kern w:val="0"/>
                <w:sz w:val="24"/>
                <w:szCs w:val="24"/>
                <w:highlight w:val="none"/>
              </w:rPr>
            </w:pPr>
          </w:p>
        </w:tc>
      </w:tr>
    </w:tbl>
    <w:p>
      <w:pPr>
        <w:tabs>
          <w:tab w:val="left" w:pos="630"/>
          <w:tab w:val="left" w:pos="720"/>
          <w:tab w:val="left" w:pos="7560"/>
        </w:tabs>
        <w:spacing w:line="360" w:lineRule="auto"/>
        <w:rPr>
          <w:rFonts w:ascii="宋体" w:hAnsi="宋体" w:cs="宋体"/>
          <w:b/>
          <w:sz w:val="24"/>
          <w:szCs w:val="24"/>
          <w:highlight w:val="none"/>
        </w:rPr>
      </w:pPr>
      <w:r>
        <w:rPr>
          <w:rFonts w:hint="eastAsia" w:ascii="宋体" w:hAnsi="宋体" w:cs="宋体"/>
          <w:b/>
          <w:sz w:val="24"/>
          <w:szCs w:val="24"/>
          <w:highlight w:val="none"/>
        </w:rPr>
        <w:t>注：进口产品是指通过中国海关报关验放进入中国境内且产自关境外的产品。</w:t>
      </w:r>
    </w:p>
    <w:p>
      <w:pPr>
        <w:tabs>
          <w:tab w:val="left" w:pos="630"/>
          <w:tab w:val="left" w:pos="7560"/>
        </w:tabs>
        <w:spacing w:line="360" w:lineRule="auto"/>
        <w:rPr>
          <w:rFonts w:ascii="宋体" w:hAnsi="宋体" w:cs="宋体"/>
          <w:sz w:val="24"/>
          <w:szCs w:val="24"/>
          <w:highlight w:val="none"/>
        </w:rPr>
      </w:pPr>
    </w:p>
    <w:p>
      <w:pPr>
        <w:pStyle w:val="12"/>
        <w:ind w:firstLine="484" w:firstLineChars="202"/>
        <w:rPr>
          <w:rFonts w:ascii="宋体" w:hAnsi="宋体" w:cs="宋体"/>
          <w:sz w:val="24"/>
          <w:szCs w:val="24"/>
          <w:highlight w:val="none"/>
        </w:rPr>
      </w:pPr>
    </w:p>
    <w:p>
      <w:pPr>
        <w:pStyle w:val="26"/>
        <w:spacing w:line="560" w:lineRule="exact"/>
        <w:ind w:left="0" w:leftChars="0"/>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pStyle w:val="26"/>
        <w:spacing w:line="560" w:lineRule="exact"/>
        <w:ind w:left="0" w:leftChars="0"/>
        <w:rPr>
          <w:rFonts w:ascii="宋体" w:hAnsi="宋体" w:cs="宋体"/>
          <w:bCs/>
          <w:sz w:val="24"/>
          <w:szCs w:val="24"/>
          <w:highlight w:val="none"/>
          <w:u w:val="single"/>
        </w:rPr>
      </w:pPr>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tabs>
          <w:tab w:val="left" w:pos="630"/>
          <w:tab w:val="left" w:pos="7560"/>
        </w:tabs>
        <w:spacing w:line="360" w:lineRule="auto"/>
        <w:rPr>
          <w:rFonts w:ascii="宋体" w:hAnsi="宋体" w:cs="宋体"/>
          <w:bCs/>
          <w:sz w:val="24"/>
          <w:szCs w:val="24"/>
          <w:highlight w:val="none"/>
        </w:rPr>
      </w:pPr>
    </w:p>
    <w:p>
      <w:pPr>
        <w:tabs>
          <w:tab w:val="left" w:pos="630"/>
          <w:tab w:val="left" w:pos="7560"/>
        </w:tabs>
        <w:spacing w:line="360" w:lineRule="auto"/>
        <w:rPr>
          <w:rFonts w:ascii="宋体" w:hAnsi="宋体" w:cs="宋体"/>
          <w:bCs/>
          <w:sz w:val="24"/>
          <w:szCs w:val="24"/>
          <w:highlight w:val="none"/>
        </w:rPr>
      </w:pPr>
      <w:r>
        <w:rPr>
          <w:rFonts w:hint="eastAsia" w:ascii="宋体" w:hAnsi="宋体" w:cs="宋体"/>
          <w:bCs/>
          <w:sz w:val="24"/>
          <w:szCs w:val="24"/>
          <w:highlight w:val="none"/>
        </w:rPr>
        <w:t>注:以上表格可按投标人实际情况增减。</w:t>
      </w:r>
    </w:p>
    <w:p>
      <w:pPr>
        <w:tabs>
          <w:tab w:val="left" w:pos="630"/>
          <w:tab w:val="left" w:pos="7560"/>
        </w:tabs>
        <w:spacing w:line="360" w:lineRule="auto"/>
        <w:rPr>
          <w:rFonts w:ascii="宋体" w:hAnsi="宋体" w:cs="宋体"/>
          <w:sz w:val="24"/>
          <w:szCs w:val="24"/>
          <w:highlight w:val="none"/>
        </w:rPr>
      </w:pPr>
    </w:p>
    <w:p>
      <w:pPr>
        <w:pStyle w:val="4"/>
        <w:ind w:hanging="3119"/>
        <w:rPr>
          <w:rFonts w:cs="宋体"/>
          <w:color w:val="auto"/>
          <w:sz w:val="24"/>
          <w:szCs w:val="24"/>
          <w:highlight w:val="none"/>
        </w:rPr>
        <w:sectPr>
          <w:pgSz w:w="11906" w:h="16838"/>
          <w:pgMar w:top="1327" w:right="1800" w:bottom="1327" w:left="1800" w:header="851" w:footer="992" w:gutter="0"/>
          <w:cols w:space="720" w:num="1"/>
          <w:docGrid w:type="lines" w:linePitch="312" w:charSpace="0"/>
        </w:sectPr>
      </w:pPr>
      <w:bookmarkStart w:id="180" w:name="_Toc315871054"/>
      <w:bookmarkEnd w:id="180"/>
      <w:bookmarkStart w:id="181" w:name="_Toc263768867"/>
      <w:bookmarkStart w:id="182" w:name="_Toc233512320"/>
      <w:bookmarkStart w:id="183" w:name="_Toc256175396"/>
      <w:bookmarkStart w:id="184" w:name="_Toc302997919"/>
      <w:bookmarkStart w:id="185" w:name="_Toc263753602"/>
      <w:bookmarkStart w:id="186" w:name="_Toc214858829"/>
      <w:bookmarkStart w:id="187" w:name="_Toc181520573"/>
    </w:p>
    <w:p>
      <w:pPr>
        <w:pStyle w:val="4"/>
        <w:ind w:hanging="3119"/>
        <w:rPr>
          <w:rFonts w:cs="宋体"/>
          <w:color w:val="auto"/>
          <w:sz w:val="24"/>
          <w:szCs w:val="24"/>
          <w:highlight w:val="none"/>
        </w:rPr>
      </w:pPr>
      <w:r>
        <w:rPr>
          <w:rFonts w:hint="eastAsia" w:cs="宋体"/>
          <w:color w:val="auto"/>
          <w:sz w:val="24"/>
          <w:szCs w:val="24"/>
          <w:highlight w:val="none"/>
        </w:rPr>
        <w:t>技术偏离表</w:t>
      </w:r>
      <w:bookmarkEnd w:id="181"/>
      <w:bookmarkEnd w:id="182"/>
      <w:bookmarkEnd w:id="183"/>
      <w:bookmarkEnd w:id="184"/>
      <w:bookmarkEnd w:id="185"/>
      <w:bookmarkEnd w:id="186"/>
      <w:bookmarkEnd w:id="187"/>
    </w:p>
    <w:p>
      <w:pPr>
        <w:spacing w:line="400" w:lineRule="exact"/>
        <w:rPr>
          <w:rFonts w:ascii="宋体" w:hAnsi="宋体" w:cs="宋体"/>
          <w:sz w:val="24"/>
          <w:szCs w:val="24"/>
          <w:highlight w:val="none"/>
        </w:rPr>
      </w:pPr>
      <w:r>
        <w:rPr>
          <w:rFonts w:hint="eastAsia" w:ascii="宋体" w:hAnsi="宋体" w:cs="宋体"/>
          <w:sz w:val="24"/>
          <w:szCs w:val="24"/>
          <w:highlight w:val="none"/>
        </w:rPr>
        <w:t>采购项目名称：</w:t>
      </w:r>
    </w:p>
    <w:p>
      <w:pPr>
        <w:spacing w:line="400" w:lineRule="exact"/>
        <w:rPr>
          <w:rFonts w:ascii="宋体" w:hAnsi="宋体" w:cs="宋体"/>
          <w:sz w:val="24"/>
          <w:szCs w:val="24"/>
          <w:highlight w:val="none"/>
        </w:rPr>
      </w:pPr>
      <w:r>
        <w:rPr>
          <w:rFonts w:hint="eastAsia" w:ascii="宋体" w:hAnsi="宋体" w:cs="宋体"/>
          <w:sz w:val="24"/>
          <w:szCs w:val="24"/>
          <w:highlight w:val="none"/>
        </w:rPr>
        <w:t>采购项目编号：</w:t>
      </w:r>
    </w:p>
    <w:p>
      <w:pPr>
        <w:spacing w:line="400" w:lineRule="exact"/>
        <w:jc w:val="left"/>
        <w:rPr>
          <w:rFonts w:ascii="宋体" w:hAnsi="宋体" w:cs="宋体"/>
          <w:sz w:val="24"/>
          <w:szCs w:val="24"/>
          <w:highlight w:val="none"/>
        </w:rPr>
      </w:pPr>
      <w:r>
        <w:rPr>
          <w:rFonts w:hint="eastAsia" w:ascii="宋体" w:hAnsi="宋体" w:cs="宋体"/>
          <w:sz w:val="24"/>
          <w:szCs w:val="24"/>
          <w:highlight w:val="none"/>
        </w:rPr>
        <w:t>包件号：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09"/>
        <w:gridCol w:w="2694"/>
        <w:gridCol w:w="2682"/>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720" w:type="dxa"/>
            <w:vAlign w:val="center"/>
          </w:tcPr>
          <w:p>
            <w:pPr>
              <w:snapToGrid w:val="0"/>
              <w:spacing w:before="156" w:beforeLines="50" w:after="156" w:afterLines="50" w:line="560" w:lineRule="exact"/>
              <w:jc w:val="center"/>
              <w:rPr>
                <w:rFonts w:ascii="宋体" w:hAnsi="宋体" w:cs="宋体"/>
                <w:sz w:val="24"/>
                <w:szCs w:val="24"/>
                <w:highlight w:val="none"/>
              </w:rPr>
            </w:pPr>
            <w:r>
              <w:rPr>
                <w:rFonts w:hint="eastAsia" w:ascii="宋体" w:hAnsi="宋体" w:cs="宋体"/>
                <w:sz w:val="24"/>
                <w:szCs w:val="24"/>
                <w:highlight w:val="none"/>
              </w:rPr>
              <w:t>编号</w:t>
            </w:r>
          </w:p>
        </w:tc>
        <w:tc>
          <w:tcPr>
            <w:tcW w:w="2409" w:type="dxa"/>
            <w:vAlign w:val="center"/>
          </w:tcPr>
          <w:p>
            <w:pPr>
              <w:pStyle w:val="123"/>
              <w:snapToGrid w:val="0"/>
              <w:spacing w:before="156" w:beforeLines="50" w:after="156" w:afterLines="50" w:line="560" w:lineRule="exact"/>
              <w:textAlignment w:val="auto"/>
              <w:rPr>
                <w:rFonts w:cs="宋体"/>
                <w:szCs w:val="24"/>
                <w:highlight w:val="none"/>
              </w:rPr>
            </w:pPr>
            <w:r>
              <w:rPr>
                <w:rFonts w:hint="eastAsia" w:cs="宋体"/>
                <w:szCs w:val="24"/>
                <w:highlight w:val="none"/>
              </w:rPr>
              <w:t>设备名称</w:t>
            </w:r>
          </w:p>
        </w:tc>
        <w:tc>
          <w:tcPr>
            <w:tcW w:w="2694" w:type="dxa"/>
            <w:vAlign w:val="center"/>
          </w:tcPr>
          <w:p>
            <w:pPr>
              <w:pStyle w:val="123"/>
              <w:snapToGrid w:val="0"/>
              <w:spacing w:before="156" w:beforeLines="50" w:after="156" w:afterLines="50" w:line="240" w:lineRule="exact"/>
              <w:textAlignment w:val="auto"/>
              <w:rPr>
                <w:rFonts w:cs="宋体"/>
                <w:szCs w:val="24"/>
                <w:highlight w:val="none"/>
              </w:rPr>
            </w:pPr>
            <w:r>
              <w:rPr>
                <w:rFonts w:hint="eastAsia" w:cs="宋体"/>
                <w:szCs w:val="24"/>
                <w:highlight w:val="none"/>
              </w:rPr>
              <w:t>招标文件要求</w:t>
            </w:r>
          </w:p>
          <w:p>
            <w:pPr>
              <w:pStyle w:val="123"/>
              <w:snapToGrid w:val="0"/>
              <w:spacing w:before="156" w:beforeLines="50" w:after="156" w:afterLines="50" w:line="240" w:lineRule="exact"/>
              <w:textAlignment w:val="auto"/>
              <w:rPr>
                <w:rFonts w:cs="宋体"/>
                <w:szCs w:val="24"/>
                <w:highlight w:val="none"/>
              </w:rPr>
            </w:pPr>
            <w:r>
              <w:rPr>
                <w:rFonts w:hint="eastAsia" w:cs="宋体"/>
                <w:szCs w:val="24"/>
                <w:highlight w:val="none"/>
              </w:rPr>
              <w:t>（详见招标文件第4章）</w:t>
            </w:r>
          </w:p>
        </w:tc>
        <w:tc>
          <w:tcPr>
            <w:tcW w:w="2682" w:type="dxa"/>
            <w:vAlign w:val="center"/>
          </w:tcPr>
          <w:p>
            <w:pPr>
              <w:snapToGrid w:val="0"/>
              <w:spacing w:before="156" w:beforeLines="50" w:after="156" w:afterLines="50" w:line="560" w:lineRule="exact"/>
              <w:jc w:val="center"/>
              <w:rPr>
                <w:rFonts w:ascii="宋体" w:hAnsi="宋体" w:cs="宋体"/>
                <w:sz w:val="24"/>
                <w:szCs w:val="24"/>
                <w:highlight w:val="none"/>
              </w:rPr>
            </w:pPr>
            <w:r>
              <w:rPr>
                <w:rFonts w:hint="eastAsia" w:ascii="宋体" w:hAnsi="宋体" w:cs="宋体"/>
                <w:sz w:val="24"/>
                <w:szCs w:val="24"/>
                <w:highlight w:val="none"/>
              </w:rPr>
              <w:t>投标响应</w:t>
            </w:r>
          </w:p>
        </w:tc>
        <w:tc>
          <w:tcPr>
            <w:tcW w:w="1296" w:type="dxa"/>
            <w:vAlign w:val="center"/>
          </w:tcPr>
          <w:p>
            <w:pPr>
              <w:snapToGrid w:val="0"/>
              <w:spacing w:before="156" w:beforeLines="50" w:after="156" w:afterLines="50" w:line="560" w:lineRule="exact"/>
              <w:jc w:val="center"/>
              <w:rPr>
                <w:rFonts w:ascii="宋体" w:hAnsi="宋体" w:cs="宋体"/>
                <w:sz w:val="24"/>
                <w:szCs w:val="24"/>
                <w:highlight w:val="none"/>
              </w:rPr>
            </w:pPr>
            <w:r>
              <w:rPr>
                <w:rFonts w:hint="eastAsia" w:ascii="宋体" w:hAnsi="宋体" w:cs="宋体"/>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20" w:type="dxa"/>
            <w:vAlign w:val="center"/>
          </w:tcPr>
          <w:p>
            <w:pPr>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1</w:t>
            </w:r>
          </w:p>
        </w:tc>
        <w:tc>
          <w:tcPr>
            <w:tcW w:w="2409" w:type="dxa"/>
            <w:vAlign w:val="center"/>
          </w:tcPr>
          <w:p>
            <w:pPr>
              <w:jc w:val="left"/>
              <w:rPr>
                <w:rFonts w:ascii="宋体" w:hAnsi="宋体" w:cs="宋体"/>
                <w:sz w:val="24"/>
                <w:szCs w:val="24"/>
                <w:highlight w:val="none"/>
              </w:rPr>
            </w:pPr>
          </w:p>
        </w:tc>
        <w:tc>
          <w:tcPr>
            <w:tcW w:w="2694" w:type="dxa"/>
            <w:vAlign w:val="center"/>
          </w:tcPr>
          <w:p>
            <w:pPr>
              <w:jc w:val="center"/>
              <w:rPr>
                <w:rFonts w:ascii="宋体" w:hAnsi="宋体" w:cs="宋体"/>
                <w:sz w:val="24"/>
                <w:szCs w:val="24"/>
                <w:highlight w:val="none"/>
              </w:rPr>
            </w:pPr>
          </w:p>
        </w:tc>
        <w:tc>
          <w:tcPr>
            <w:tcW w:w="2682" w:type="dxa"/>
            <w:vAlign w:val="center"/>
          </w:tcPr>
          <w:p>
            <w:pPr>
              <w:spacing w:before="156" w:beforeLines="50" w:after="156" w:afterLines="50"/>
              <w:jc w:val="center"/>
              <w:rPr>
                <w:rFonts w:ascii="宋体" w:hAnsi="宋体" w:cs="宋体"/>
                <w:sz w:val="24"/>
                <w:szCs w:val="24"/>
                <w:highlight w:val="none"/>
              </w:rPr>
            </w:pPr>
          </w:p>
        </w:tc>
        <w:tc>
          <w:tcPr>
            <w:tcW w:w="1296"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0" w:type="dxa"/>
            <w:vAlign w:val="center"/>
          </w:tcPr>
          <w:p>
            <w:pPr>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2</w:t>
            </w:r>
          </w:p>
        </w:tc>
        <w:tc>
          <w:tcPr>
            <w:tcW w:w="2409" w:type="dxa"/>
            <w:vAlign w:val="center"/>
          </w:tcPr>
          <w:p>
            <w:pPr>
              <w:jc w:val="left"/>
              <w:rPr>
                <w:rFonts w:ascii="宋体" w:hAnsi="宋体" w:cs="宋体"/>
                <w:sz w:val="24"/>
                <w:szCs w:val="24"/>
                <w:highlight w:val="none"/>
              </w:rPr>
            </w:pPr>
          </w:p>
        </w:tc>
        <w:tc>
          <w:tcPr>
            <w:tcW w:w="2694" w:type="dxa"/>
            <w:vAlign w:val="center"/>
          </w:tcPr>
          <w:p>
            <w:pPr>
              <w:jc w:val="center"/>
              <w:rPr>
                <w:rFonts w:ascii="宋体" w:hAnsi="宋体" w:cs="宋体"/>
                <w:sz w:val="24"/>
                <w:szCs w:val="24"/>
                <w:highlight w:val="none"/>
              </w:rPr>
            </w:pPr>
          </w:p>
        </w:tc>
        <w:tc>
          <w:tcPr>
            <w:tcW w:w="2682" w:type="dxa"/>
            <w:vAlign w:val="center"/>
          </w:tcPr>
          <w:p>
            <w:pPr>
              <w:spacing w:before="156" w:beforeLines="50" w:after="156" w:afterLines="50"/>
              <w:jc w:val="center"/>
              <w:rPr>
                <w:rFonts w:ascii="宋体" w:hAnsi="宋体" w:cs="宋体"/>
                <w:sz w:val="24"/>
                <w:szCs w:val="24"/>
                <w:highlight w:val="none"/>
              </w:rPr>
            </w:pPr>
          </w:p>
        </w:tc>
        <w:tc>
          <w:tcPr>
            <w:tcW w:w="1296"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20" w:type="dxa"/>
            <w:vAlign w:val="center"/>
          </w:tcPr>
          <w:p>
            <w:pPr>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w:t>
            </w:r>
          </w:p>
        </w:tc>
        <w:tc>
          <w:tcPr>
            <w:tcW w:w="2409" w:type="dxa"/>
            <w:vAlign w:val="center"/>
          </w:tcPr>
          <w:p>
            <w:pPr>
              <w:jc w:val="left"/>
              <w:rPr>
                <w:rFonts w:ascii="宋体" w:hAnsi="宋体" w:cs="宋体"/>
                <w:sz w:val="24"/>
                <w:szCs w:val="24"/>
                <w:highlight w:val="none"/>
              </w:rPr>
            </w:pPr>
          </w:p>
        </w:tc>
        <w:tc>
          <w:tcPr>
            <w:tcW w:w="2694" w:type="dxa"/>
            <w:vAlign w:val="center"/>
          </w:tcPr>
          <w:p>
            <w:pPr>
              <w:jc w:val="center"/>
              <w:rPr>
                <w:rFonts w:ascii="宋体" w:hAnsi="宋体" w:cs="宋体"/>
                <w:sz w:val="24"/>
                <w:szCs w:val="24"/>
                <w:highlight w:val="none"/>
              </w:rPr>
            </w:pPr>
          </w:p>
        </w:tc>
        <w:tc>
          <w:tcPr>
            <w:tcW w:w="2682" w:type="dxa"/>
            <w:vAlign w:val="center"/>
          </w:tcPr>
          <w:p>
            <w:pPr>
              <w:spacing w:before="156" w:beforeLines="50" w:after="156" w:afterLines="50"/>
              <w:jc w:val="center"/>
              <w:rPr>
                <w:rFonts w:ascii="宋体" w:hAnsi="宋体" w:cs="宋体"/>
                <w:sz w:val="24"/>
                <w:szCs w:val="24"/>
                <w:highlight w:val="none"/>
              </w:rPr>
            </w:pPr>
          </w:p>
        </w:tc>
        <w:tc>
          <w:tcPr>
            <w:tcW w:w="1296" w:type="dxa"/>
            <w:vAlign w:val="center"/>
          </w:tcPr>
          <w:p>
            <w:pPr>
              <w:spacing w:before="156" w:beforeLines="50" w:after="156" w:afterLines="50"/>
              <w:jc w:val="center"/>
              <w:rPr>
                <w:rFonts w:ascii="宋体" w:hAnsi="宋体" w:cs="宋体"/>
                <w:sz w:val="24"/>
                <w:szCs w:val="24"/>
                <w:highlight w:val="none"/>
              </w:rPr>
            </w:pPr>
          </w:p>
        </w:tc>
      </w:tr>
    </w:tbl>
    <w:p>
      <w:pPr>
        <w:spacing w:line="560" w:lineRule="exact"/>
        <w:ind w:firstLine="482" w:firstLineChars="200"/>
        <w:jc w:val="left"/>
        <w:rPr>
          <w:rFonts w:ascii="宋体" w:hAnsi="宋体" w:cs="宋体"/>
          <w:b/>
          <w:bCs/>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b/>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spacing w:line="460" w:lineRule="exact"/>
        <w:jc w:val="left"/>
        <w:rPr>
          <w:rFonts w:ascii="宋体" w:hAnsi="宋体" w:cs="宋体"/>
          <w:sz w:val="24"/>
          <w:szCs w:val="24"/>
          <w:highlight w:val="none"/>
        </w:rPr>
      </w:pPr>
    </w:p>
    <w:p>
      <w:pPr>
        <w:spacing w:line="460" w:lineRule="exact"/>
        <w:jc w:val="left"/>
        <w:rPr>
          <w:rFonts w:ascii="宋体" w:hAnsi="宋体" w:cs="宋体"/>
          <w:sz w:val="24"/>
          <w:szCs w:val="24"/>
          <w:highlight w:val="none"/>
        </w:rPr>
      </w:pPr>
      <w:r>
        <w:rPr>
          <w:rFonts w:hint="eastAsia" w:ascii="宋体" w:hAnsi="宋体" w:cs="宋体"/>
          <w:sz w:val="24"/>
          <w:szCs w:val="24"/>
          <w:highlight w:val="none"/>
        </w:rPr>
        <w:t>注：1、以上表格格式行、列可增减。</w:t>
      </w:r>
    </w:p>
    <w:p>
      <w:pPr>
        <w:numPr>
          <w:ilvl w:val="0"/>
          <w:numId w:val="35"/>
        </w:numPr>
        <w:spacing w:line="46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除本偏离表所列的指标外，其他所有技术条款均完全响应本项目招标文件中的要求。投标人必须据实填写，不得虚假响应，否则将取消其投标或中标资格。若采购人在项目实施中发现投标人虚假响应，则采购人有权单方面中止合同，并没收投标人的全部履约保证金；若采购人在项目验收后一年内发现投标人有虚假响应行为，则采购人有权追索投标人由此给采购人造成的一切损失。</w:t>
      </w:r>
    </w:p>
    <w:p>
      <w:pPr>
        <w:spacing w:line="460" w:lineRule="exact"/>
        <w:jc w:val="left"/>
        <w:rPr>
          <w:rFonts w:ascii="宋体" w:hAnsi="宋体" w:cs="宋体"/>
          <w:sz w:val="24"/>
          <w:szCs w:val="24"/>
          <w:highlight w:val="none"/>
        </w:rPr>
      </w:pPr>
      <w:bookmarkStart w:id="188" w:name="_Toc351709662"/>
    </w:p>
    <w:p>
      <w:pPr>
        <w:pStyle w:val="4"/>
        <w:ind w:hanging="3119"/>
        <w:rPr>
          <w:rFonts w:cs="宋体"/>
          <w:color w:val="auto"/>
          <w:sz w:val="24"/>
          <w:szCs w:val="24"/>
          <w:highlight w:val="none"/>
        </w:rPr>
        <w:sectPr>
          <w:pgSz w:w="11906" w:h="16838"/>
          <w:pgMar w:top="1327" w:right="1800" w:bottom="1327" w:left="1800" w:header="851" w:footer="992" w:gutter="0"/>
          <w:cols w:space="720" w:num="1"/>
          <w:docGrid w:type="lines" w:linePitch="312" w:charSpace="0"/>
        </w:sectPr>
      </w:pPr>
    </w:p>
    <w:p>
      <w:pPr>
        <w:pStyle w:val="4"/>
        <w:ind w:hanging="3119"/>
        <w:rPr>
          <w:rFonts w:cs="宋体"/>
          <w:color w:val="auto"/>
          <w:sz w:val="24"/>
          <w:szCs w:val="24"/>
          <w:highlight w:val="none"/>
        </w:rPr>
      </w:pPr>
      <w:r>
        <w:rPr>
          <w:rFonts w:hint="eastAsia" w:cs="宋体"/>
          <w:color w:val="auto"/>
          <w:sz w:val="24"/>
          <w:szCs w:val="24"/>
          <w:highlight w:val="none"/>
        </w:rPr>
        <w:t>商务应答表</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采购项目名称：</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采购项目编号：</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包件号：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3935"/>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1079" w:type="dxa"/>
            <w:vAlign w:val="center"/>
          </w:tcPr>
          <w:p>
            <w:pPr>
              <w:snapToGrid w:val="0"/>
              <w:spacing w:before="156" w:beforeLines="50" w:after="156" w:afterLines="50" w:line="560" w:lineRule="exact"/>
              <w:jc w:val="center"/>
              <w:rPr>
                <w:rFonts w:ascii="宋体" w:hAnsi="宋体" w:cs="宋体"/>
                <w:sz w:val="24"/>
                <w:szCs w:val="24"/>
                <w:highlight w:val="none"/>
              </w:rPr>
            </w:pPr>
            <w:r>
              <w:rPr>
                <w:rFonts w:hint="eastAsia" w:ascii="宋体" w:hAnsi="宋体" w:cs="宋体"/>
                <w:sz w:val="24"/>
                <w:szCs w:val="24"/>
                <w:highlight w:val="none"/>
              </w:rPr>
              <w:t>序号</w:t>
            </w:r>
          </w:p>
        </w:tc>
        <w:tc>
          <w:tcPr>
            <w:tcW w:w="3935" w:type="dxa"/>
            <w:vAlign w:val="center"/>
          </w:tcPr>
          <w:p>
            <w:pPr>
              <w:pStyle w:val="123"/>
              <w:snapToGrid w:val="0"/>
              <w:spacing w:before="156" w:beforeLines="50" w:after="156" w:afterLines="50" w:line="240" w:lineRule="exact"/>
              <w:textAlignment w:val="auto"/>
              <w:rPr>
                <w:rFonts w:hint="eastAsia" w:cs="宋体"/>
                <w:szCs w:val="24"/>
                <w:highlight w:val="none"/>
              </w:rPr>
            </w:pPr>
            <w:r>
              <w:rPr>
                <w:rFonts w:hint="eastAsia" w:cs="宋体"/>
                <w:szCs w:val="24"/>
                <w:highlight w:val="none"/>
              </w:rPr>
              <w:t>招标文件商务要求</w:t>
            </w:r>
          </w:p>
          <w:p>
            <w:pPr>
              <w:pStyle w:val="123"/>
              <w:snapToGrid w:val="0"/>
              <w:spacing w:before="156" w:beforeLines="50" w:after="156" w:afterLines="50" w:line="240" w:lineRule="exact"/>
              <w:textAlignment w:val="auto"/>
              <w:rPr>
                <w:rFonts w:hint="eastAsia" w:cs="宋体"/>
                <w:szCs w:val="24"/>
                <w:highlight w:val="none"/>
              </w:rPr>
            </w:pPr>
            <w:r>
              <w:rPr>
                <w:rFonts w:hint="eastAsia" w:ascii="宋体" w:hAnsi="宋体" w:cs="宋体"/>
                <w:sz w:val="24"/>
                <w:szCs w:val="24"/>
              </w:rPr>
              <w:t>（根据招标文件第4章商务要求逐项填写）</w:t>
            </w:r>
          </w:p>
        </w:tc>
        <w:tc>
          <w:tcPr>
            <w:tcW w:w="4025" w:type="dxa"/>
            <w:vAlign w:val="center"/>
          </w:tcPr>
          <w:p>
            <w:pPr>
              <w:snapToGrid w:val="0"/>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是否响应</w:t>
            </w:r>
          </w:p>
          <w:p>
            <w:pPr>
              <w:snapToGrid w:val="0"/>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（填写响应或不响应）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079" w:type="dxa"/>
            <w:vAlign w:val="center"/>
          </w:tcPr>
          <w:p>
            <w:pPr>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1</w:t>
            </w:r>
          </w:p>
        </w:tc>
        <w:tc>
          <w:tcPr>
            <w:tcW w:w="3935" w:type="dxa"/>
            <w:vAlign w:val="center"/>
          </w:tcPr>
          <w:p>
            <w:pPr>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质保期</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079" w:type="dxa"/>
            <w:vAlign w:val="center"/>
          </w:tcPr>
          <w:p>
            <w:pPr>
              <w:spacing w:before="156" w:beforeLines="50" w:after="156" w:afterLines="50"/>
              <w:jc w:val="center"/>
              <w:rPr>
                <w:rFonts w:ascii="宋体" w:hAnsi="宋体" w:cs="宋体"/>
                <w:sz w:val="24"/>
                <w:szCs w:val="24"/>
                <w:highlight w:val="none"/>
              </w:rPr>
            </w:pPr>
            <w:r>
              <w:rPr>
                <w:rFonts w:hint="eastAsia" w:ascii="宋体" w:hAnsi="宋体" w:cs="宋体"/>
                <w:sz w:val="24"/>
                <w:szCs w:val="24"/>
                <w:highlight w:val="none"/>
              </w:rPr>
              <w:t>2</w:t>
            </w:r>
          </w:p>
        </w:tc>
        <w:tc>
          <w:tcPr>
            <w:tcW w:w="3935" w:type="dxa"/>
            <w:vAlign w:val="center"/>
          </w:tcPr>
          <w:p>
            <w:pPr>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验收标准</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3935" w:type="dxa"/>
            <w:vAlign w:val="center"/>
          </w:tcPr>
          <w:p>
            <w:pPr>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违约责任</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3935" w:type="dxa"/>
            <w:vAlign w:val="center"/>
          </w:tcPr>
          <w:p>
            <w:pPr>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交货时间</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w:t>
            </w:r>
          </w:p>
        </w:tc>
        <w:tc>
          <w:tcPr>
            <w:tcW w:w="3935" w:type="dxa"/>
            <w:vAlign w:val="center"/>
          </w:tcPr>
          <w:p>
            <w:pPr>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交货地点</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w:t>
            </w:r>
          </w:p>
        </w:tc>
        <w:tc>
          <w:tcPr>
            <w:tcW w:w="3935" w:type="dxa"/>
            <w:vAlign w:val="center"/>
          </w:tcPr>
          <w:p>
            <w:pPr>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付款方式</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7</w:t>
            </w:r>
          </w:p>
        </w:tc>
        <w:tc>
          <w:tcPr>
            <w:tcW w:w="3935" w:type="dxa"/>
            <w:vAlign w:val="center"/>
          </w:tcPr>
          <w:p>
            <w:pPr>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履约要求</w:t>
            </w:r>
          </w:p>
        </w:tc>
        <w:tc>
          <w:tcPr>
            <w:tcW w:w="4025" w:type="dxa"/>
            <w:vAlign w:val="center"/>
          </w:tcPr>
          <w:p>
            <w:pPr>
              <w:spacing w:before="156" w:beforeLines="50" w:after="156" w:afterLines="50"/>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79" w:type="dxa"/>
            <w:vAlign w:val="center"/>
          </w:tcPr>
          <w:p>
            <w:pPr>
              <w:spacing w:before="156" w:beforeLines="50" w:after="156" w:afterLines="5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w:t>
            </w:r>
          </w:p>
        </w:tc>
        <w:tc>
          <w:tcPr>
            <w:tcW w:w="3935" w:type="dxa"/>
            <w:vAlign w:val="center"/>
          </w:tcPr>
          <w:p>
            <w:pPr>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售后服务要求</w:t>
            </w:r>
          </w:p>
        </w:tc>
        <w:tc>
          <w:tcPr>
            <w:tcW w:w="4025" w:type="dxa"/>
            <w:vAlign w:val="center"/>
          </w:tcPr>
          <w:p>
            <w:pPr>
              <w:spacing w:before="156" w:beforeLines="50" w:after="156" w:afterLines="50"/>
              <w:jc w:val="center"/>
              <w:rPr>
                <w:rFonts w:ascii="宋体" w:hAnsi="宋体" w:cs="宋体"/>
                <w:sz w:val="24"/>
                <w:szCs w:val="24"/>
                <w:highlight w:val="none"/>
              </w:rPr>
            </w:pPr>
          </w:p>
        </w:tc>
      </w:tr>
    </w:tbl>
    <w:p>
      <w:pPr>
        <w:ind w:firstLine="480" w:firstLineChars="200"/>
        <w:jc w:val="left"/>
        <w:rPr>
          <w:rFonts w:ascii="宋体" w:hAnsi="宋体" w:cs="宋体"/>
          <w:sz w:val="24"/>
          <w:szCs w:val="24"/>
          <w:highlight w:val="none"/>
        </w:rPr>
      </w:pPr>
    </w:p>
    <w:p>
      <w:pPr>
        <w:ind w:firstLine="480" w:firstLineChars="200"/>
        <w:jc w:val="left"/>
        <w:rPr>
          <w:rFonts w:ascii="宋体" w:hAnsi="宋体" w:cs="宋体"/>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b/>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ind w:firstLine="480" w:firstLineChars="200"/>
        <w:jc w:val="left"/>
        <w:rPr>
          <w:rFonts w:ascii="宋体" w:hAnsi="宋体" w:cs="宋体"/>
          <w:sz w:val="24"/>
          <w:szCs w:val="24"/>
          <w:highlight w:val="none"/>
        </w:rPr>
      </w:pPr>
    </w:p>
    <w:p>
      <w:pPr>
        <w:ind w:firstLine="480" w:firstLineChars="200"/>
        <w:jc w:val="left"/>
        <w:rPr>
          <w:rFonts w:ascii="宋体" w:hAnsi="宋体" w:cs="宋体"/>
          <w:sz w:val="24"/>
          <w:szCs w:val="24"/>
          <w:highlight w:val="none"/>
        </w:rPr>
      </w:pPr>
    </w:p>
    <w:p>
      <w:pPr>
        <w:spacing w:line="560" w:lineRule="exact"/>
        <w:ind w:firstLine="523"/>
        <w:rPr>
          <w:rFonts w:ascii="宋体" w:hAnsi="宋体" w:cs="宋体"/>
          <w:sz w:val="24"/>
          <w:szCs w:val="24"/>
          <w:highlight w:val="none"/>
        </w:rPr>
      </w:pPr>
      <w:r>
        <w:rPr>
          <w:rFonts w:hint="eastAsia" w:ascii="宋体" w:hAnsi="宋体" w:cs="宋体"/>
          <w:sz w:val="24"/>
          <w:szCs w:val="24"/>
          <w:highlight w:val="none"/>
        </w:rPr>
        <w:t>注：投标人必须据实填写，不得虚假应答，否则将取消其中标候选资格或中标资格。</w:t>
      </w:r>
    </w:p>
    <w:p>
      <w:pPr>
        <w:spacing w:line="560" w:lineRule="exact"/>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17"/>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highlight w:val="none"/>
        </w:rPr>
        <w:t>技术、服务、商务应答附表</w:t>
      </w:r>
    </w:p>
    <w:p>
      <w:pPr>
        <w:widowControl/>
        <w:ind w:firstLine="480"/>
        <w:jc w:val="left"/>
        <w:rPr>
          <w:rFonts w:ascii="宋体" w:hAnsi="宋体" w:cs="宋体"/>
          <w:bCs/>
          <w:sz w:val="24"/>
          <w:szCs w:val="24"/>
          <w:highlight w:val="none"/>
        </w:rPr>
      </w:pPr>
      <w:r>
        <w:rPr>
          <w:rFonts w:hint="eastAsia" w:ascii="宋体" w:hAnsi="宋体" w:cs="宋体"/>
          <w:bCs/>
          <w:sz w:val="24"/>
          <w:szCs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41"/>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243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755" w:type="dxa"/>
            <w:gridSpan w:val="9"/>
            <w:vAlign w:val="center"/>
          </w:tcPr>
          <w:p>
            <w:pPr>
              <w:widowControl/>
              <w:spacing w:line="360" w:lineRule="atLeast"/>
              <w:jc w:val="center"/>
              <w:outlineLvl w:val="1"/>
              <w:rPr>
                <w:rFonts w:ascii="宋体" w:hAnsi="宋体" w:cs="宋体"/>
                <w:sz w:val="24"/>
                <w:szCs w:val="24"/>
                <w:highlight w:val="none"/>
              </w:rPr>
            </w:pPr>
            <w:bookmarkStart w:id="189" w:name="_Toc13652495"/>
            <w:bookmarkStart w:id="190" w:name="_Toc515287760"/>
            <w:bookmarkStart w:id="191" w:name="_Toc502754414"/>
            <w:bookmarkStart w:id="192" w:name="_Toc527214655"/>
            <w:r>
              <w:rPr>
                <w:rFonts w:hint="eastAsia" w:ascii="宋体" w:hAnsi="宋体" w:cs="宋体"/>
                <w:b/>
                <w:kern w:val="0"/>
                <w:sz w:val="24"/>
                <w:szCs w:val="24"/>
                <w:highlight w:val="none"/>
              </w:rPr>
              <w:t>中标（成交）供应商的相关信息</w:t>
            </w:r>
            <w:bookmarkEnd w:id="189"/>
            <w:bookmarkEnd w:id="190"/>
            <w:bookmarkEnd w:id="191"/>
            <w:bookmarkEnd w:id="192"/>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宋体"/>
                <w:sz w:val="24"/>
                <w:szCs w:val="24"/>
                <w:highlight w:val="none"/>
              </w:rPr>
            </w:pPr>
            <w:bookmarkStart w:id="193" w:name="_Toc502822049"/>
            <w:bookmarkStart w:id="194" w:name="_Toc13652496"/>
            <w:bookmarkStart w:id="195" w:name="_Toc501975518"/>
            <w:bookmarkStart w:id="196" w:name="_Toc515287761"/>
            <w:bookmarkStart w:id="197" w:name="_Toc502754415"/>
            <w:bookmarkStart w:id="198" w:name="_Toc527214656"/>
            <w:r>
              <w:rPr>
                <w:rFonts w:hint="eastAsia" w:ascii="宋体" w:hAnsi="宋体" w:cs="宋体"/>
                <w:sz w:val="24"/>
                <w:szCs w:val="24"/>
                <w:highlight w:val="none"/>
              </w:rPr>
              <w:t>*项目名称</w:t>
            </w:r>
            <w:bookmarkEnd w:id="193"/>
            <w:bookmarkEnd w:id="194"/>
            <w:bookmarkEnd w:id="195"/>
            <w:bookmarkEnd w:id="196"/>
            <w:bookmarkEnd w:id="197"/>
            <w:bookmarkEnd w:id="198"/>
          </w:p>
        </w:tc>
        <w:tc>
          <w:tcPr>
            <w:tcW w:w="7014" w:type="dxa"/>
            <w:gridSpan w:val="7"/>
            <w:vAlign w:val="center"/>
          </w:tcPr>
          <w:p>
            <w:pPr>
              <w:widowControl/>
              <w:spacing w:line="360" w:lineRule="atLeast"/>
              <w:ind w:firstLine="470" w:firstLineChars="196"/>
              <w:jc w:val="left"/>
              <w:outlineLvl w:val="1"/>
              <w:rPr>
                <w:rFonts w:ascii="宋体"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宋体"/>
                <w:sz w:val="24"/>
                <w:szCs w:val="24"/>
                <w:highlight w:val="none"/>
              </w:rPr>
            </w:pPr>
            <w:bookmarkStart w:id="199" w:name="_Toc527214657"/>
            <w:bookmarkStart w:id="200" w:name="_Toc13652497"/>
            <w:bookmarkStart w:id="201" w:name="_Toc502822050"/>
            <w:bookmarkStart w:id="202" w:name="_Toc502754416"/>
            <w:bookmarkStart w:id="203" w:name="_Toc501975519"/>
            <w:bookmarkStart w:id="204" w:name="_Toc515287762"/>
            <w:r>
              <w:rPr>
                <w:rFonts w:hint="eastAsia" w:ascii="宋体" w:hAnsi="宋体" w:cs="宋体"/>
                <w:sz w:val="24"/>
                <w:szCs w:val="24"/>
                <w:highlight w:val="none"/>
              </w:rPr>
              <w:t>*投标人名称</w:t>
            </w:r>
            <w:bookmarkEnd w:id="199"/>
            <w:bookmarkEnd w:id="200"/>
            <w:bookmarkEnd w:id="201"/>
            <w:bookmarkEnd w:id="202"/>
            <w:bookmarkEnd w:id="203"/>
            <w:bookmarkEnd w:id="204"/>
          </w:p>
        </w:tc>
        <w:tc>
          <w:tcPr>
            <w:tcW w:w="7014" w:type="dxa"/>
            <w:gridSpan w:val="7"/>
            <w:vAlign w:val="center"/>
          </w:tcPr>
          <w:p>
            <w:pPr>
              <w:widowControl/>
              <w:spacing w:line="360" w:lineRule="atLeast"/>
              <w:ind w:firstLine="470" w:firstLineChars="196"/>
              <w:jc w:val="left"/>
              <w:outlineLvl w:val="1"/>
              <w:rPr>
                <w:rFonts w:ascii="宋体"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宋体"/>
                <w:sz w:val="24"/>
                <w:szCs w:val="24"/>
                <w:highlight w:val="none"/>
              </w:rPr>
            </w:pPr>
            <w:bookmarkStart w:id="205" w:name="_Toc515287763"/>
            <w:bookmarkStart w:id="206" w:name="_Toc527214658"/>
            <w:bookmarkStart w:id="207" w:name="_Toc13652498"/>
            <w:bookmarkStart w:id="208" w:name="_Toc501975520"/>
            <w:bookmarkStart w:id="209" w:name="_Toc502754417"/>
            <w:bookmarkStart w:id="210" w:name="_Toc502822051"/>
            <w:r>
              <w:rPr>
                <w:rFonts w:hint="eastAsia" w:ascii="宋体" w:hAnsi="宋体" w:cs="宋体"/>
                <w:sz w:val="24"/>
                <w:szCs w:val="24"/>
                <w:highlight w:val="none"/>
              </w:rPr>
              <w:t>*注册地址</w:t>
            </w:r>
            <w:bookmarkEnd w:id="205"/>
            <w:bookmarkEnd w:id="206"/>
            <w:bookmarkEnd w:id="207"/>
            <w:bookmarkEnd w:id="208"/>
            <w:bookmarkEnd w:id="209"/>
            <w:bookmarkEnd w:id="210"/>
          </w:p>
        </w:tc>
        <w:tc>
          <w:tcPr>
            <w:tcW w:w="2985" w:type="dxa"/>
            <w:gridSpan w:val="3"/>
            <w:tcBorders>
              <w:right w:val="single" w:color="auto" w:sz="4" w:space="0"/>
            </w:tcBorders>
            <w:vAlign w:val="center"/>
          </w:tcPr>
          <w:p>
            <w:pPr>
              <w:widowControl/>
              <w:spacing w:line="360" w:lineRule="atLeast"/>
              <w:jc w:val="left"/>
              <w:outlineLvl w:val="1"/>
              <w:rPr>
                <w:rFonts w:ascii="宋体" w:hAnsi="宋体" w:cs="宋体"/>
                <w:sz w:val="24"/>
                <w:szCs w:val="24"/>
                <w:highlight w:val="none"/>
              </w:rPr>
            </w:pPr>
          </w:p>
        </w:tc>
        <w:tc>
          <w:tcPr>
            <w:tcW w:w="1590" w:type="dxa"/>
            <w:gridSpan w:val="3"/>
            <w:tcBorders>
              <w:left w:val="single" w:color="auto" w:sz="4" w:space="0"/>
              <w:right w:val="single" w:color="auto" w:sz="4" w:space="0"/>
            </w:tcBorders>
            <w:vAlign w:val="center"/>
          </w:tcPr>
          <w:p>
            <w:pPr>
              <w:widowControl/>
              <w:spacing w:line="360" w:lineRule="atLeast"/>
              <w:jc w:val="left"/>
              <w:outlineLvl w:val="1"/>
              <w:rPr>
                <w:rFonts w:ascii="宋体" w:hAnsi="宋体" w:cs="宋体"/>
                <w:sz w:val="24"/>
                <w:szCs w:val="24"/>
                <w:highlight w:val="none"/>
              </w:rPr>
            </w:pPr>
            <w:bookmarkStart w:id="211" w:name="_Toc515287764"/>
            <w:bookmarkStart w:id="212" w:name="_Toc502754418"/>
            <w:bookmarkStart w:id="213" w:name="_Toc502822052"/>
            <w:bookmarkStart w:id="214" w:name="_Toc527214659"/>
            <w:bookmarkStart w:id="215" w:name="_Toc13652499"/>
            <w:bookmarkStart w:id="216" w:name="_Toc501975521"/>
            <w:r>
              <w:rPr>
                <w:rFonts w:hint="eastAsia" w:ascii="宋体" w:hAnsi="宋体" w:cs="宋体"/>
                <w:sz w:val="24"/>
                <w:szCs w:val="24"/>
                <w:highlight w:val="none"/>
              </w:rPr>
              <w:t>*行政区域</w:t>
            </w:r>
            <w:bookmarkEnd w:id="211"/>
            <w:bookmarkEnd w:id="212"/>
            <w:bookmarkEnd w:id="213"/>
            <w:bookmarkEnd w:id="214"/>
            <w:bookmarkEnd w:id="215"/>
            <w:bookmarkEnd w:id="216"/>
          </w:p>
        </w:tc>
        <w:tc>
          <w:tcPr>
            <w:tcW w:w="2439" w:type="dxa"/>
            <w:tcBorders>
              <w:left w:val="single" w:color="auto" w:sz="4" w:space="0"/>
            </w:tcBorders>
            <w:vAlign w:val="center"/>
          </w:tcPr>
          <w:p>
            <w:pPr>
              <w:widowControl/>
              <w:spacing w:line="360" w:lineRule="atLeast"/>
              <w:ind w:firstLine="470" w:firstLineChars="196"/>
              <w:jc w:val="left"/>
              <w:outlineLvl w:val="1"/>
              <w:rPr>
                <w:rFonts w:ascii="宋体"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宋体"/>
                <w:sz w:val="24"/>
                <w:szCs w:val="24"/>
                <w:highlight w:val="none"/>
              </w:rPr>
            </w:pPr>
            <w:bookmarkStart w:id="217" w:name="_Toc502822053"/>
            <w:bookmarkStart w:id="218" w:name="_Toc502754419"/>
            <w:bookmarkStart w:id="219" w:name="_Toc527214660"/>
            <w:bookmarkStart w:id="220" w:name="_Toc501975522"/>
            <w:bookmarkStart w:id="221" w:name="_Toc515287765"/>
            <w:bookmarkStart w:id="222" w:name="_Toc13652500"/>
            <w:r>
              <w:rPr>
                <w:rFonts w:hint="eastAsia" w:ascii="宋体" w:hAnsi="宋体" w:cs="宋体"/>
                <w:sz w:val="24"/>
                <w:szCs w:val="24"/>
                <w:highlight w:val="none"/>
              </w:rPr>
              <w:t>*供应商规模</w:t>
            </w:r>
            <w:bookmarkEnd w:id="217"/>
            <w:bookmarkEnd w:id="218"/>
            <w:bookmarkEnd w:id="219"/>
            <w:bookmarkEnd w:id="220"/>
            <w:bookmarkEnd w:id="221"/>
            <w:bookmarkEnd w:id="222"/>
          </w:p>
        </w:tc>
        <w:tc>
          <w:tcPr>
            <w:tcW w:w="7014" w:type="dxa"/>
            <w:gridSpan w:val="7"/>
            <w:vAlign w:val="center"/>
          </w:tcPr>
          <w:p>
            <w:pPr>
              <w:widowControl/>
              <w:spacing w:line="360" w:lineRule="atLeast"/>
              <w:jc w:val="center"/>
              <w:outlineLvl w:val="1"/>
              <w:rPr>
                <w:rFonts w:ascii="宋体" w:hAnsi="宋体" w:cs="宋体"/>
                <w:sz w:val="24"/>
                <w:szCs w:val="24"/>
                <w:highlight w:val="none"/>
              </w:rPr>
            </w:pPr>
            <w:bookmarkStart w:id="223" w:name="_Toc515287766"/>
            <w:bookmarkStart w:id="224" w:name="_Toc13652501"/>
            <w:bookmarkStart w:id="225" w:name="_Toc501975523"/>
            <w:bookmarkStart w:id="226" w:name="_Toc502822054"/>
            <w:bookmarkStart w:id="227" w:name="_Toc502754420"/>
            <w:bookmarkStart w:id="228" w:name="_Toc527214661"/>
            <w:r>
              <w:rPr>
                <w:rFonts w:hint="eastAsia" w:ascii="宋体" w:hAnsi="宋体" w:cs="宋体"/>
                <w:sz w:val="24"/>
                <w:szCs w:val="24"/>
                <w:highlight w:val="none"/>
              </w:rPr>
              <w:t>□大型企业   □中型企业   □小微型企业（对应处打“√”）</w:t>
            </w:r>
            <w:bookmarkEnd w:id="223"/>
            <w:bookmarkEnd w:id="224"/>
            <w:bookmarkEnd w:id="225"/>
            <w:bookmarkEnd w:id="226"/>
            <w:bookmarkEnd w:id="227"/>
            <w:bookmarkEnd w:id="228"/>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line="360" w:lineRule="atLeast"/>
              <w:jc w:val="left"/>
              <w:outlineLvl w:val="1"/>
              <w:rPr>
                <w:rFonts w:ascii="宋体" w:hAnsi="宋体" w:cs="宋体"/>
                <w:sz w:val="24"/>
                <w:szCs w:val="24"/>
                <w:highlight w:val="none"/>
              </w:rPr>
            </w:pPr>
            <w:bookmarkStart w:id="229" w:name="_Toc502754421"/>
            <w:bookmarkStart w:id="230" w:name="_Toc502822055"/>
            <w:bookmarkStart w:id="231" w:name="_Toc527214662"/>
            <w:bookmarkStart w:id="232" w:name="_Toc501975524"/>
            <w:bookmarkStart w:id="233" w:name="_Toc515287767"/>
            <w:bookmarkStart w:id="234" w:name="_Toc13652502"/>
            <w:r>
              <w:rPr>
                <w:rFonts w:hint="eastAsia" w:ascii="宋体" w:hAnsi="宋体" w:cs="宋体"/>
                <w:sz w:val="24"/>
                <w:szCs w:val="24"/>
                <w:highlight w:val="none"/>
              </w:rPr>
              <w:t>*单位联系方式</w:t>
            </w:r>
            <w:bookmarkEnd w:id="229"/>
            <w:bookmarkEnd w:id="230"/>
            <w:bookmarkEnd w:id="231"/>
            <w:bookmarkEnd w:id="232"/>
            <w:bookmarkEnd w:id="233"/>
            <w:bookmarkEnd w:id="234"/>
          </w:p>
        </w:tc>
        <w:tc>
          <w:tcPr>
            <w:tcW w:w="1635" w:type="dxa"/>
            <w:vAlign w:val="center"/>
          </w:tcPr>
          <w:p>
            <w:pPr>
              <w:widowControl/>
              <w:spacing w:line="360" w:lineRule="atLeast"/>
              <w:jc w:val="left"/>
              <w:outlineLvl w:val="1"/>
              <w:rPr>
                <w:rFonts w:ascii="宋体" w:hAnsi="宋体" w:cs="宋体"/>
                <w:sz w:val="24"/>
                <w:szCs w:val="24"/>
                <w:highlight w:val="none"/>
              </w:rPr>
            </w:pPr>
            <w:bookmarkStart w:id="235" w:name="_Toc515287768"/>
            <w:bookmarkStart w:id="236" w:name="_Toc527214663"/>
            <w:bookmarkStart w:id="237" w:name="_Toc501975525"/>
            <w:bookmarkStart w:id="238" w:name="_Toc502822056"/>
            <w:bookmarkStart w:id="239" w:name="_Toc502754422"/>
            <w:bookmarkStart w:id="240" w:name="_Toc13652503"/>
            <w:r>
              <w:rPr>
                <w:rFonts w:hint="eastAsia" w:ascii="宋体" w:hAnsi="宋体" w:cs="宋体"/>
                <w:sz w:val="24"/>
                <w:szCs w:val="24"/>
                <w:highlight w:val="none"/>
              </w:rPr>
              <w:t>*单位联系人</w:t>
            </w:r>
            <w:bookmarkEnd w:id="235"/>
            <w:bookmarkEnd w:id="236"/>
            <w:bookmarkEnd w:id="237"/>
            <w:bookmarkEnd w:id="238"/>
            <w:bookmarkEnd w:id="239"/>
            <w:bookmarkEnd w:id="240"/>
          </w:p>
        </w:tc>
        <w:tc>
          <w:tcPr>
            <w:tcW w:w="1380" w:type="dxa"/>
            <w:gridSpan w:val="3"/>
            <w:vAlign w:val="center"/>
          </w:tcPr>
          <w:p>
            <w:pPr>
              <w:widowControl/>
              <w:spacing w:line="360" w:lineRule="atLeast"/>
              <w:ind w:firstLine="470" w:firstLineChars="196"/>
              <w:jc w:val="left"/>
              <w:outlineLvl w:val="1"/>
              <w:rPr>
                <w:rFonts w:ascii="宋体" w:hAnsi="宋体" w:cs="宋体"/>
                <w:sz w:val="24"/>
                <w:szCs w:val="24"/>
                <w:highlight w:val="none"/>
              </w:rPr>
            </w:pPr>
          </w:p>
        </w:tc>
        <w:tc>
          <w:tcPr>
            <w:tcW w:w="1529" w:type="dxa"/>
            <w:vAlign w:val="center"/>
          </w:tcPr>
          <w:p>
            <w:pPr>
              <w:widowControl/>
              <w:spacing w:line="360" w:lineRule="atLeast"/>
              <w:jc w:val="left"/>
              <w:outlineLvl w:val="1"/>
              <w:rPr>
                <w:rFonts w:ascii="宋体" w:hAnsi="宋体" w:cs="宋体"/>
                <w:sz w:val="24"/>
                <w:szCs w:val="24"/>
                <w:highlight w:val="none"/>
              </w:rPr>
            </w:pPr>
            <w:bookmarkStart w:id="241" w:name="_Toc515287769"/>
            <w:bookmarkStart w:id="242" w:name="_Toc502822057"/>
            <w:bookmarkStart w:id="243" w:name="_Toc13652504"/>
            <w:bookmarkStart w:id="244" w:name="_Toc501975526"/>
            <w:bookmarkStart w:id="245" w:name="_Toc527214664"/>
            <w:bookmarkStart w:id="246" w:name="_Toc502754423"/>
            <w:r>
              <w:rPr>
                <w:rFonts w:hint="eastAsia" w:ascii="宋体" w:hAnsi="宋体" w:cs="宋体"/>
                <w:sz w:val="24"/>
                <w:szCs w:val="24"/>
                <w:highlight w:val="none"/>
              </w:rPr>
              <w:t>*单位电话</w:t>
            </w:r>
            <w:bookmarkEnd w:id="241"/>
            <w:bookmarkEnd w:id="242"/>
            <w:bookmarkEnd w:id="243"/>
            <w:bookmarkEnd w:id="244"/>
            <w:bookmarkEnd w:id="245"/>
            <w:bookmarkEnd w:id="246"/>
          </w:p>
        </w:tc>
        <w:tc>
          <w:tcPr>
            <w:tcW w:w="2470" w:type="dxa"/>
            <w:gridSpan w:val="2"/>
            <w:vAlign w:val="center"/>
          </w:tcPr>
          <w:p>
            <w:pPr>
              <w:widowControl/>
              <w:spacing w:line="360" w:lineRule="atLeast"/>
              <w:ind w:firstLine="470" w:firstLineChars="196"/>
              <w:jc w:val="left"/>
              <w:outlineLvl w:val="1"/>
              <w:rPr>
                <w:rFonts w:ascii="宋体"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宋体" w:hAnsi="宋体" w:cs="宋体"/>
                <w:sz w:val="24"/>
                <w:szCs w:val="24"/>
                <w:highlight w:val="none"/>
              </w:rPr>
            </w:pPr>
          </w:p>
        </w:tc>
        <w:tc>
          <w:tcPr>
            <w:tcW w:w="1635" w:type="dxa"/>
            <w:vAlign w:val="center"/>
          </w:tcPr>
          <w:p>
            <w:pPr>
              <w:widowControl/>
              <w:spacing w:line="360" w:lineRule="atLeast"/>
              <w:jc w:val="left"/>
              <w:outlineLvl w:val="1"/>
              <w:rPr>
                <w:rFonts w:ascii="宋体" w:hAnsi="宋体" w:cs="宋体"/>
                <w:sz w:val="24"/>
                <w:szCs w:val="24"/>
                <w:highlight w:val="none"/>
              </w:rPr>
            </w:pPr>
            <w:bookmarkStart w:id="247" w:name="_Toc13652505"/>
            <w:bookmarkStart w:id="248" w:name="_Toc502822058"/>
            <w:bookmarkStart w:id="249" w:name="_Toc502754424"/>
            <w:bookmarkStart w:id="250" w:name="_Toc515287770"/>
            <w:bookmarkStart w:id="251" w:name="_Toc501975527"/>
            <w:bookmarkStart w:id="252" w:name="_Toc527214665"/>
            <w:r>
              <w:rPr>
                <w:rFonts w:hint="eastAsia" w:ascii="宋体" w:hAnsi="宋体" w:cs="宋体"/>
                <w:sz w:val="24"/>
                <w:szCs w:val="24"/>
                <w:highlight w:val="none"/>
              </w:rPr>
              <w:t>*单位邮箱</w:t>
            </w:r>
            <w:bookmarkEnd w:id="247"/>
            <w:bookmarkEnd w:id="248"/>
            <w:bookmarkEnd w:id="249"/>
            <w:bookmarkEnd w:id="250"/>
            <w:bookmarkEnd w:id="251"/>
            <w:bookmarkEnd w:id="252"/>
          </w:p>
        </w:tc>
        <w:tc>
          <w:tcPr>
            <w:tcW w:w="5379" w:type="dxa"/>
            <w:gridSpan w:val="6"/>
            <w:vAlign w:val="center"/>
          </w:tcPr>
          <w:p>
            <w:pPr>
              <w:widowControl/>
              <w:spacing w:line="360" w:lineRule="atLeast"/>
              <w:ind w:firstLine="470" w:firstLineChars="196"/>
              <w:jc w:val="left"/>
              <w:outlineLvl w:val="1"/>
              <w:rPr>
                <w:rFonts w:ascii="宋体"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755" w:type="dxa"/>
            <w:gridSpan w:val="9"/>
            <w:vAlign w:val="center"/>
          </w:tcPr>
          <w:p>
            <w:pPr>
              <w:widowControl/>
              <w:spacing w:line="360" w:lineRule="atLeast"/>
              <w:ind w:firstLine="472" w:firstLineChars="196"/>
              <w:jc w:val="left"/>
              <w:outlineLvl w:val="1"/>
              <w:rPr>
                <w:rFonts w:ascii="宋体" w:hAnsi="宋体" w:cs="宋体"/>
                <w:sz w:val="24"/>
                <w:szCs w:val="24"/>
                <w:highlight w:val="none"/>
              </w:rPr>
            </w:pPr>
            <w:bookmarkStart w:id="253" w:name="_Toc502754425"/>
            <w:bookmarkStart w:id="254" w:name="_Toc13652506"/>
            <w:bookmarkStart w:id="255" w:name="_Toc502822059"/>
            <w:bookmarkStart w:id="256" w:name="_Toc501975528"/>
            <w:bookmarkStart w:id="257" w:name="_Toc515287771"/>
            <w:bookmarkStart w:id="258" w:name="_Toc527214666"/>
            <w:r>
              <w:rPr>
                <w:rFonts w:hint="eastAsia" w:ascii="宋体" w:hAnsi="宋体" w:cs="宋体"/>
                <w:b/>
                <w:bCs/>
                <w:sz w:val="24"/>
                <w:szCs w:val="24"/>
                <w:highlight w:val="none"/>
              </w:rPr>
              <w:t>注：以上*号项信息供应商须如实填写，若因供应商提供错误信息造成的问题，由其自身承担。</w:t>
            </w:r>
            <w:bookmarkEnd w:id="253"/>
            <w:bookmarkEnd w:id="254"/>
            <w:bookmarkEnd w:id="255"/>
            <w:bookmarkEnd w:id="256"/>
            <w:bookmarkEnd w:id="257"/>
            <w:bookmarkEnd w:id="258"/>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line="360" w:lineRule="atLeast"/>
              <w:jc w:val="left"/>
              <w:outlineLvl w:val="1"/>
              <w:rPr>
                <w:rFonts w:ascii="宋体" w:hAnsi="宋体" w:cs="宋体"/>
                <w:b/>
                <w:bCs/>
                <w:sz w:val="24"/>
                <w:szCs w:val="24"/>
                <w:highlight w:val="none"/>
              </w:rPr>
            </w:pPr>
            <w:bookmarkStart w:id="259" w:name="_Toc527214667"/>
            <w:bookmarkStart w:id="260" w:name="_Toc501975529"/>
            <w:bookmarkStart w:id="261" w:name="_Toc502822060"/>
            <w:bookmarkStart w:id="262" w:name="_Toc502754426"/>
            <w:bookmarkStart w:id="263" w:name="_Toc515287772"/>
            <w:bookmarkStart w:id="264" w:name="_Toc13652507"/>
            <w:r>
              <w:rPr>
                <w:rFonts w:hint="eastAsia" w:ascii="宋体" w:hAnsi="宋体" w:cs="宋体"/>
                <w:b/>
                <w:bCs/>
                <w:sz w:val="24"/>
                <w:szCs w:val="24"/>
                <w:highlight w:val="none"/>
              </w:rPr>
              <w:t>投标人应答“采购文件”的主要内容</w:t>
            </w:r>
            <w:bookmarkEnd w:id="259"/>
            <w:bookmarkEnd w:id="260"/>
            <w:bookmarkEnd w:id="261"/>
            <w:bookmarkEnd w:id="262"/>
            <w:bookmarkEnd w:id="263"/>
            <w:bookmarkEnd w:id="264"/>
          </w:p>
        </w:tc>
        <w:tc>
          <w:tcPr>
            <w:tcW w:w="2373" w:type="dxa"/>
            <w:gridSpan w:val="3"/>
            <w:tcBorders>
              <w:left w:val="single" w:color="auto" w:sz="4" w:space="0"/>
              <w:right w:val="single" w:color="auto" w:sz="4" w:space="0"/>
            </w:tcBorders>
            <w:vAlign w:val="center"/>
          </w:tcPr>
          <w:p>
            <w:pPr>
              <w:jc w:val="left"/>
              <w:rPr>
                <w:rFonts w:ascii="宋体" w:hAnsi="宋体" w:cs="宋体"/>
                <w:b/>
                <w:bCs/>
                <w:sz w:val="24"/>
                <w:szCs w:val="24"/>
                <w:highlight w:val="none"/>
              </w:rPr>
            </w:pPr>
            <w:r>
              <w:rPr>
                <w:rFonts w:hint="eastAsia" w:ascii="宋体" w:hAnsi="宋体" w:cs="宋体"/>
                <w:bCs/>
                <w:kern w:val="0"/>
                <w:sz w:val="24"/>
                <w:szCs w:val="24"/>
                <w:highlight w:val="none"/>
              </w:rPr>
              <w:t>主要中标或者成交标的的名称</w:t>
            </w:r>
          </w:p>
        </w:tc>
        <w:tc>
          <w:tcPr>
            <w:tcW w:w="5104" w:type="dxa"/>
            <w:gridSpan w:val="5"/>
            <w:tcBorders>
              <w:left w:val="single" w:color="auto" w:sz="4" w:space="0"/>
            </w:tcBorders>
            <w:vAlign w:val="center"/>
          </w:tcPr>
          <w:p>
            <w:pPr>
              <w:jc w:val="left"/>
              <w:rPr>
                <w:rFonts w:ascii="宋体" w:hAnsi="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outlineLvl w:val="1"/>
              <w:rPr>
                <w:rFonts w:ascii="宋体" w:hAnsi="宋体" w:cs="宋体"/>
                <w:b/>
                <w:bCs/>
                <w:sz w:val="24"/>
                <w:szCs w:val="24"/>
                <w:highlight w:val="none"/>
              </w:rPr>
            </w:pPr>
          </w:p>
        </w:tc>
        <w:tc>
          <w:tcPr>
            <w:tcW w:w="2373" w:type="dxa"/>
            <w:gridSpan w:val="3"/>
            <w:tcBorders>
              <w:left w:val="single" w:color="auto" w:sz="4" w:space="0"/>
              <w:right w:val="single" w:color="auto" w:sz="4" w:space="0"/>
            </w:tcBorders>
            <w:vAlign w:val="center"/>
          </w:tcPr>
          <w:p>
            <w:pPr>
              <w:jc w:val="left"/>
              <w:rPr>
                <w:rFonts w:ascii="宋体" w:hAnsi="宋体" w:cs="宋体"/>
                <w:b/>
                <w:bCs/>
                <w:sz w:val="24"/>
                <w:szCs w:val="24"/>
                <w:highlight w:val="none"/>
              </w:rPr>
            </w:pPr>
            <w:r>
              <w:rPr>
                <w:rFonts w:hint="eastAsia" w:ascii="宋体" w:hAnsi="宋体" w:cs="宋体"/>
                <w:bCs/>
                <w:kern w:val="0"/>
                <w:sz w:val="24"/>
                <w:szCs w:val="24"/>
                <w:highlight w:val="none"/>
              </w:rPr>
              <w:t>主要中标或者成交标的的规格型号</w:t>
            </w:r>
          </w:p>
        </w:tc>
        <w:tc>
          <w:tcPr>
            <w:tcW w:w="5104" w:type="dxa"/>
            <w:gridSpan w:val="5"/>
            <w:tcBorders>
              <w:left w:val="single" w:color="auto" w:sz="4" w:space="0"/>
            </w:tcBorders>
            <w:vAlign w:val="center"/>
          </w:tcPr>
          <w:p>
            <w:pPr>
              <w:jc w:val="left"/>
              <w:rPr>
                <w:rFonts w:ascii="宋体" w:hAnsi="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outlineLvl w:val="1"/>
              <w:rPr>
                <w:rFonts w:ascii="宋体" w:hAnsi="宋体" w:cs="宋体"/>
                <w:b/>
                <w:bCs/>
                <w:sz w:val="24"/>
                <w:szCs w:val="24"/>
                <w:highlight w:val="none"/>
              </w:rPr>
            </w:pPr>
          </w:p>
        </w:tc>
        <w:tc>
          <w:tcPr>
            <w:tcW w:w="2373" w:type="dxa"/>
            <w:gridSpan w:val="3"/>
            <w:tcBorders>
              <w:left w:val="single" w:color="auto" w:sz="4" w:space="0"/>
              <w:right w:val="single" w:color="auto" w:sz="4" w:space="0"/>
            </w:tcBorders>
            <w:vAlign w:val="center"/>
          </w:tcPr>
          <w:p>
            <w:pPr>
              <w:jc w:val="left"/>
              <w:rPr>
                <w:rFonts w:ascii="宋体" w:hAnsi="宋体" w:cs="宋体"/>
                <w:b/>
                <w:bCs/>
                <w:sz w:val="24"/>
                <w:szCs w:val="24"/>
                <w:highlight w:val="none"/>
              </w:rPr>
            </w:pPr>
            <w:r>
              <w:rPr>
                <w:rFonts w:hint="eastAsia" w:ascii="宋体" w:hAnsi="宋体" w:cs="宋体"/>
                <w:bCs/>
                <w:kern w:val="0"/>
                <w:sz w:val="24"/>
                <w:szCs w:val="24"/>
                <w:highlight w:val="none"/>
              </w:rPr>
              <w:t>主要中标或者成交标的的数量</w:t>
            </w:r>
          </w:p>
        </w:tc>
        <w:tc>
          <w:tcPr>
            <w:tcW w:w="5104" w:type="dxa"/>
            <w:gridSpan w:val="5"/>
            <w:tcBorders>
              <w:left w:val="single" w:color="auto" w:sz="4" w:space="0"/>
            </w:tcBorders>
            <w:vAlign w:val="center"/>
          </w:tcPr>
          <w:p>
            <w:pPr>
              <w:jc w:val="left"/>
              <w:rPr>
                <w:rFonts w:ascii="宋体" w:hAnsi="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outlineLvl w:val="1"/>
              <w:rPr>
                <w:rFonts w:ascii="宋体" w:hAnsi="宋体" w:cs="宋体"/>
                <w:b/>
                <w:bCs/>
                <w:sz w:val="24"/>
                <w:szCs w:val="24"/>
                <w:highlight w:val="none"/>
              </w:rPr>
            </w:pPr>
          </w:p>
        </w:tc>
        <w:tc>
          <w:tcPr>
            <w:tcW w:w="2373" w:type="dxa"/>
            <w:gridSpan w:val="3"/>
            <w:tcBorders>
              <w:left w:val="single" w:color="auto" w:sz="4" w:space="0"/>
              <w:right w:val="single" w:color="auto" w:sz="4" w:space="0"/>
            </w:tcBorders>
            <w:vAlign w:val="center"/>
          </w:tcPr>
          <w:p>
            <w:pPr>
              <w:jc w:val="left"/>
              <w:rPr>
                <w:rFonts w:ascii="宋体" w:hAnsi="宋体" w:cs="宋体"/>
                <w:b/>
                <w:bCs/>
                <w:sz w:val="24"/>
                <w:szCs w:val="24"/>
                <w:highlight w:val="none"/>
              </w:rPr>
            </w:pPr>
            <w:r>
              <w:rPr>
                <w:rFonts w:hint="eastAsia" w:ascii="宋体" w:hAnsi="宋体" w:cs="宋体"/>
                <w:bCs/>
                <w:kern w:val="0"/>
                <w:sz w:val="24"/>
                <w:szCs w:val="24"/>
                <w:highlight w:val="none"/>
              </w:rPr>
              <w:t>主要中标或者成交标的的单价</w:t>
            </w:r>
          </w:p>
        </w:tc>
        <w:tc>
          <w:tcPr>
            <w:tcW w:w="5104" w:type="dxa"/>
            <w:gridSpan w:val="5"/>
            <w:tcBorders>
              <w:left w:val="single" w:color="auto" w:sz="4" w:space="0"/>
            </w:tcBorders>
            <w:vAlign w:val="center"/>
          </w:tcPr>
          <w:p>
            <w:pPr>
              <w:jc w:val="left"/>
              <w:rPr>
                <w:rFonts w:ascii="宋体" w:hAnsi="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outlineLvl w:val="1"/>
              <w:rPr>
                <w:rFonts w:ascii="宋体" w:hAnsi="宋体" w:cs="宋体"/>
                <w:b/>
                <w:bCs/>
                <w:sz w:val="24"/>
                <w:szCs w:val="24"/>
                <w:highlight w:val="none"/>
              </w:rPr>
            </w:pPr>
          </w:p>
        </w:tc>
        <w:tc>
          <w:tcPr>
            <w:tcW w:w="2373" w:type="dxa"/>
            <w:gridSpan w:val="3"/>
            <w:tcBorders>
              <w:left w:val="single" w:color="auto" w:sz="4" w:space="0"/>
              <w:right w:val="single" w:color="auto" w:sz="4" w:space="0"/>
            </w:tcBorders>
            <w:vAlign w:val="center"/>
          </w:tcPr>
          <w:p>
            <w:pPr>
              <w:jc w:val="left"/>
              <w:rPr>
                <w:rFonts w:ascii="宋体" w:hAnsi="宋体" w:cs="宋体"/>
                <w:b/>
                <w:bCs/>
                <w:sz w:val="24"/>
                <w:szCs w:val="24"/>
                <w:highlight w:val="none"/>
              </w:rPr>
            </w:pPr>
            <w:r>
              <w:rPr>
                <w:rFonts w:hint="eastAsia" w:ascii="宋体" w:hAnsi="宋体" w:cs="宋体"/>
                <w:bCs/>
                <w:kern w:val="0"/>
                <w:sz w:val="24"/>
                <w:szCs w:val="24"/>
                <w:highlight w:val="none"/>
              </w:rPr>
              <w:t>主要中标或者成交标的的服务要求（如：交货期、质保期、售后服务等等）</w:t>
            </w:r>
          </w:p>
        </w:tc>
        <w:tc>
          <w:tcPr>
            <w:tcW w:w="5104" w:type="dxa"/>
            <w:gridSpan w:val="5"/>
            <w:tcBorders>
              <w:left w:val="single" w:color="auto" w:sz="4" w:space="0"/>
            </w:tcBorders>
            <w:vAlign w:val="center"/>
          </w:tcPr>
          <w:p>
            <w:pPr>
              <w:numPr>
                <w:ilvl w:val="0"/>
                <w:numId w:val="36"/>
              </w:numPr>
              <w:jc w:val="left"/>
              <w:rPr>
                <w:rFonts w:ascii="宋体" w:hAnsi="宋体" w:cs="宋体"/>
                <w:bCs/>
                <w:sz w:val="24"/>
                <w:szCs w:val="24"/>
                <w:highlight w:val="none"/>
              </w:rPr>
            </w:pPr>
            <w:r>
              <w:rPr>
                <w:rFonts w:hint="eastAsia" w:ascii="宋体" w:hAnsi="宋体" w:cs="宋体"/>
                <w:bCs/>
                <w:sz w:val="24"/>
                <w:szCs w:val="24"/>
                <w:highlight w:val="none"/>
              </w:rPr>
              <w:t>....</w:t>
            </w:r>
          </w:p>
          <w:p>
            <w:pPr>
              <w:numPr>
                <w:ilvl w:val="0"/>
                <w:numId w:val="36"/>
              </w:numPr>
              <w:jc w:val="left"/>
              <w:rPr>
                <w:rFonts w:ascii="宋体" w:hAnsi="宋体" w:cs="宋体"/>
                <w:bCs/>
                <w:sz w:val="24"/>
                <w:szCs w:val="24"/>
                <w:highlight w:val="none"/>
              </w:rPr>
            </w:pPr>
            <w:r>
              <w:rPr>
                <w:rFonts w:hint="eastAsia" w:ascii="宋体" w:hAnsi="宋体" w:cs="宋体"/>
                <w:bCs/>
                <w:sz w:val="24"/>
                <w:szCs w:val="24"/>
                <w:highlight w:val="none"/>
              </w:rPr>
              <w:t>....</w:t>
            </w:r>
          </w:p>
          <w:p>
            <w:pPr>
              <w:numPr>
                <w:ilvl w:val="0"/>
                <w:numId w:val="36"/>
              </w:numPr>
              <w:jc w:val="left"/>
              <w:rPr>
                <w:rFonts w:ascii="宋体" w:hAnsi="宋体" w:cs="宋体"/>
                <w:bCs/>
                <w:sz w:val="24"/>
                <w:szCs w:val="24"/>
                <w:highlight w:val="none"/>
              </w:rPr>
            </w:pPr>
            <w:r>
              <w:rPr>
                <w:rFonts w:hint="eastAsia" w:ascii="宋体" w:hAnsi="宋体" w:cs="宋体"/>
                <w:bCs/>
                <w:sz w:val="24"/>
                <w:szCs w:val="24"/>
                <w:highlight w:val="none"/>
              </w:rPr>
              <w:t>....</w:t>
            </w:r>
          </w:p>
          <w:p>
            <w:pPr>
              <w:jc w:val="left"/>
              <w:rPr>
                <w:rFonts w:ascii="宋体" w:hAnsi="宋体" w:cs="宋体"/>
                <w:b/>
                <w:bCs/>
                <w:sz w:val="24"/>
                <w:szCs w:val="24"/>
                <w:highlight w:val="none"/>
              </w:rPr>
            </w:pPr>
            <w:r>
              <w:rPr>
                <w:rFonts w:hint="eastAsia" w:ascii="宋体" w:hAnsi="宋体" w:cs="宋体"/>
                <w:bCs/>
                <w:sz w:val="24"/>
                <w:szCs w:val="24"/>
                <w:highlight w:val="none"/>
              </w:rPr>
              <w:t>......</w:t>
            </w:r>
          </w:p>
        </w:tc>
      </w:tr>
    </w:tbl>
    <w:p>
      <w:pPr>
        <w:spacing w:line="360" w:lineRule="auto"/>
        <w:rPr>
          <w:rFonts w:ascii="宋体" w:hAnsi="宋体" w:cs="宋体"/>
          <w:sz w:val="24"/>
          <w:szCs w:val="24"/>
          <w:highlight w:val="none"/>
        </w:rPr>
      </w:pPr>
      <w:r>
        <w:rPr>
          <w:rFonts w:hint="eastAsia" w:ascii="宋体" w:hAnsi="宋体" w:cs="宋体"/>
          <w:sz w:val="24"/>
          <w:szCs w:val="24"/>
          <w:highlight w:val="none"/>
        </w:rPr>
        <w:t>说明：</w:t>
      </w:r>
    </w:p>
    <w:p>
      <w:pPr>
        <w:numPr>
          <w:ilvl w:val="0"/>
          <w:numId w:val="37"/>
        </w:numPr>
        <w:rPr>
          <w:rFonts w:ascii="宋体" w:hAnsi="宋体" w:cs="宋体"/>
          <w:sz w:val="24"/>
          <w:szCs w:val="24"/>
          <w:highlight w:val="none"/>
        </w:rPr>
      </w:pPr>
      <w:r>
        <w:rPr>
          <w:rFonts w:hint="eastAsia" w:ascii="宋体" w:hAnsi="宋体" w:cs="宋体"/>
          <w:bCs/>
          <w:sz w:val="24"/>
          <w:szCs w:val="24"/>
          <w:highlight w:val="none"/>
        </w:rPr>
        <w:t>投标人</w:t>
      </w:r>
      <w:r>
        <w:rPr>
          <w:rFonts w:hint="eastAsia" w:ascii="宋体" w:hAnsi="宋体" w:cs="宋体"/>
          <w:sz w:val="24"/>
          <w:szCs w:val="24"/>
          <w:highlight w:val="none"/>
        </w:rPr>
        <w:t>需如实完善表格内容。</w:t>
      </w:r>
    </w:p>
    <w:p>
      <w:pPr>
        <w:numPr>
          <w:ilvl w:val="0"/>
          <w:numId w:val="37"/>
        </w:numPr>
        <w:rPr>
          <w:rFonts w:ascii="宋体" w:hAnsi="宋体" w:cs="宋体"/>
          <w:sz w:val="24"/>
          <w:szCs w:val="24"/>
          <w:highlight w:val="none"/>
        </w:rPr>
      </w:pPr>
      <w:r>
        <w:rPr>
          <w:rFonts w:hint="eastAsia" w:ascii="宋体" w:hAnsi="宋体" w:cs="宋体"/>
          <w:bCs/>
          <w:sz w:val="24"/>
          <w:szCs w:val="24"/>
          <w:highlight w:val="none"/>
        </w:rPr>
        <w:t>投标人</w:t>
      </w:r>
      <w:r>
        <w:rPr>
          <w:rFonts w:hint="eastAsia" w:ascii="宋体" w:hAnsi="宋体" w:cs="宋体"/>
          <w:sz w:val="24"/>
          <w:szCs w:val="24"/>
          <w:highlight w:val="none"/>
        </w:rPr>
        <w:t>应答的主要内容应与投标文件一致，可以进行简要概括性表述。</w:t>
      </w:r>
    </w:p>
    <w:p>
      <w:pPr>
        <w:widowControl/>
        <w:jc w:val="left"/>
        <w:rPr>
          <w:rFonts w:ascii="宋体" w:hAnsi="宋体" w:cs="宋体"/>
          <w:sz w:val="24"/>
          <w:szCs w:val="24"/>
          <w:highlight w:val="none"/>
        </w:rPr>
      </w:pPr>
      <w:r>
        <w:rPr>
          <w:rFonts w:hint="eastAsia" w:ascii="宋体" w:hAnsi="宋体" w:cs="宋体"/>
          <w:bCs/>
          <w:sz w:val="24"/>
          <w:szCs w:val="24"/>
          <w:highlight w:val="none"/>
        </w:rPr>
        <w:t>投标人</w:t>
      </w:r>
      <w:r>
        <w:rPr>
          <w:rFonts w:hint="eastAsia" w:ascii="宋体" w:hAnsi="宋体" w:cs="宋体"/>
          <w:sz w:val="24"/>
          <w:szCs w:val="24"/>
          <w:highlight w:val="none"/>
        </w:rPr>
        <w:t>应答的主要内容仅用于结果公告，</w:t>
      </w:r>
      <w:r>
        <w:rPr>
          <w:rFonts w:hint="eastAsia" w:ascii="宋体" w:hAnsi="宋体" w:cs="宋体"/>
          <w:bCs/>
          <w:sz w:val="24"/>
          <w:szCs w:val="24"/>
          <w:highlight w:val="none"/>
        </w:rPr>
        <w:t>投标人</w:t>
      </w:r>
      <w:r>
        <w:rPr>
          <w:rFonts w:hint="eastAsia" w:ascii="宋体" w:hAnsi="宋体" w:cs="宋体"/>
          <w:sz w:val="24"/>
          <w:szCs w:val="24"/>
          <w:highlight w:val="none"/>
        </w:rPr>
        <w:t>自行完善的内容视为不涉及供应商商业秘密。若</w:t>
      </w:r>
      <w:r>
        <w:rPr>
          <w:rFonts w:hint="eastAsia" w:ascii="宋体" w:hAnsi="宋体" w:cs="宋体"/>
          <w:bCs/>
          <w:sz w:val="24"/>
          <w:szCs w:val="24"/>
          <w:highlight w:val="none"/>
        </w:rPr>
        <w:t>投标人</w:t>
      </w:r>
      <w:r>
        <w:rPr>
          <w:rFonts w:hint="eastAsia" w:ascii="宋体" w:hAnsi="宋体" w:cs="宋体"/>
          <w:sz w:val="24"/>
          <w:szCs w:val="24"/>
          <w:highlight w:val="none"/>
        </w:rPr>
        <w:t>没有填写或没有递交此表，视为允许采购代理机构将投标人投标文件中所有相关的应答内容进行公告。（仅用于中标、成交结果公告，此表不作为评审内容）</w:t>
      </w:r>
    </w:p>
    <w:p>
      <w:pPr>
        <w:rPr>
          <w:rFonts w:ascii="宋体" w:hAnsi="宋体" w:cs="宋体"/>
          <w:sz w:val="24"/>
          <w:szCs w:val="24"/>
          <w:highlight w:val="none"/>
        </w:rPr>
      </w:pPr>
    </w:p>
    <w:p>
      <w:pPr>
        <w:spacing w:line="360" w:lineRule="auto"/>
        <w:ind w:firstLine="960" w:firstLineChars="400"/>
        <w:rPr>
          <w:rFonts w:ascii="宋体" w:hAnsi="宋体" w:cs="宋体"/>
          <w:bCs/>
          <w:sz w:val="24"/>
          <w:szCs w:val="24"/>
          <w:highlight w:val="none"/>
        </w:rPr>
      </w:pPr>
      <w:r>
        <w:rPr>
          <w:rFonts w:hint="eastAsia" w:ascii="宋体" w:hAnsi="宋体" w:cs="宋体"/>
          <w:bCs/>
          <w:sz w:val="24"/>
          <w:szCs w:val="24"/>
          <w:highlight w:val="none"/>
        </w:rPr>
        <w:t>投标人名称：</w:t>
      </w:r>
      <w:r>
        <w:rPr>
          <w:rFonts w:hint="eastAsia" w:ascii="宋体" w:hAnsi="宋体" w:cs="宋体"/>
          <w:sz w:val="24"/>
          <w:szCs w:val="24"/>
          <w:highlight w:val="none"/>
          <w:u w:val="single"/>
        </w:rPr>
        <w:t xml:space="preserve">                </w:t>
      </w:r>
      <w:r>
        <w:rPr>
          <w:rFonts w:hint="eastAsia" w:ascii="宋体" w:hAnsi="宋体" w:cs="宋体"/>
          <w:bCs/>
          <w:sz w:val="24"/>
          <w:szCs w:val="24"/>
          <w:highlight w:val="none"/>
        </w:rPr>
        <w:t>（加盖公章）</w:t>
      </w:r>
    </w:p>
    <w:p>
      <w:pPr>
        <w:adjustRightInd w:val="0"/>
        <w:spacing w:line="360" w:lineRule="auto"/>
        <w:ind w:firstLine="960" w:firstLineChars="400"/>
        <w:jc w:val="left"/>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pPr>
        <w:rPr>
          <w:rFonts w:ascii="宋体" w:hAnsi="宋体" w:cs="宋体"/>
          <w:sz w:val="24"/>
          <w:szCs w:val="24"/>
          <w:highlight w:val="none"/>
        </w:rPr>
      </w:pPr>
    </w:p>
    <w:p>
      <w:pPr>
        <w:pStyle w:val="17"/>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t>投标人基本情况表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037"/>
        <w:gridCol w:w="1289"/>
        <w:gridCol w:w="1324"/>
        <w:gridCol w:w="1407"/>
        <w:gridCol w:w="169"/>
        <w:gridCol w:w="1074"/>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投标人名称</w:t>
            </w:r>
          </w:p>
        </w:tc>
        <w:tc>
          <w:tcPr>
            <w:tcW w:w="7432" w:type="dxa"/>
            <w:gridSpan w:val="7"/>
            <w:vAlign w:val="center"/>
          </w:tcPr>
          <w:p>
            <w:pPr>
              <w:autoSpaceDE w:val="0"/>
              <w:autoSpaceDN w:val="0"/>
              <w:adjustRightInd w:val="0"/>
              <w:spacing w:line="56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注册地址</w:t>
            </w:r>
          </w:p>
        </w:tc>
        <w:tc>
          <w:tcPr>
            <w:tcW w:w="3650" w:type="dxa"/>
            <w:gridSpan w:val="3"/>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邮政编码</w:t>
            </w:r>
          </w:p>
        </w:tc>
        <w:tc>
          <w:tcPr>
            <w:tcW w:w="2375" w:type="dxa"/>
            <w:gridSpan w:val="3"/>
            <w:vAlign w:val="center"/>
          </w:tcPr>
          <w:p>
            <w:pPr>
              <w:autoSpaceDE w:val="0"/>
              <w:autoSpaceDN w:val="0"/>
              <w:adjustRightInd w:val="0"/>
              <w:spacing w:line="56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Merge w:val="restart"/>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联系方式</w:t>
            </w:r>
          </w:p>
        </w:tc>
        <w:tc>
          <w:tcPr>
            <w:tcW w:w="103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联系人</w:t>
            </w:r>
          </w:p>
        </w:tc>
        <w:tc>
          <w:tcPr>
            <w:tcW w:w="2613"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电话</w:t>
            </w:r>
          </w:p>
        </w:tc>
        <w:tc>
          <w:tcPr>
            <w:tcW w:w="2375" w:type="dxa"/>
            <w:gridSpan w:val="3"/>
            <w:vAlign w:val="center"/>
          </w:tcPr>
          <w:p>
            <w:pPr>
              <w:autoSpaceDE w:val="0"/>
              <w:autoSpaceDN w:val="0"/>
              <w:adjustRightInd w:val="0"/>
              <w:spacing w:line="56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Merge w:val="continue"/>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03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传真</w:t>
            </w:r>
          </w:p>
        </w:tc>
        <w:tc>
          <w:tcPr>
            <w:tcW w:w="2613"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网址</w:t>
            </w:r>
          </w:p>
        </w:tc>
        <w:tc>
          <w:tcPr>
            <w:tcW w:w="2375" w:type="dxa"/>
            <w:gridSpan w:val="3"/>
            <w:vAlign w:val="center"/>
          </w:tcPr>
          <w:p>
            <w:pPr>
              <w:autoSpaceDE w:val="0"/>
              <w:autoSpaceDN w:val="0"/>
              <w:adjustRightInd w:val="0"/>
              <w:spacing w:line="560" w:lineRule="exact"/>
              <w:jc w:val="center"/>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法定代表人</w:t>
            </w:r>
          </w:p>
        </w:tc>
        <w:tc>
          <w:tcPr>
            <w:tcW w:w="103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姓名</w:t>
            </w:r>
          </w:p>
        </w:tc>
        <w:tc>
          <w:tcPr>
            <w:tcW w:w="1289"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技术职称</w:t>
            </w: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243"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电话</w:t>
            </w:r>
          </w:p>
        </w:tc>
        <w:tc>
          <w:tcPr>
            <w:tcW w:w="1132" w:type="dxa"/>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技术负责人</w:t>
            </w:r>
          </w:p>
        </w:tc>
        <w:tc>
          <w:tcPr>
            <w:tcW w:w="103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姓名</w:t>
            </w:r>
          </w:p>
        </w:tc>
        <w:tc>
          <w:tcPr>
            <w:tcW w:w="1289"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技术职称</w:t>
            </w: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243"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电话</w:t>
            </w:r>
          </w:p>
        </w:tc>
        <w:tc>
          <w:tcPr>
            <w:tcW w:w="1132" w:type="dxa"/>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财务负责人</w:t>
            </w:r>
          </w:p>
        </w:tc>
        <w:tc>
          <w:tcPr>
            <w:tcW w:w="1037"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姓名</w:t>
            </w:r>
          </w:p>
        </w:tc>
        <w:tc>
          <w:tcPr>
            <w:tcW w:w="1289"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技术职称</w:t>
            </w:r>
          </w:p>
        </w:tc>
        <w:tc>
          <w:tcPr>
            <w:tcW w:w="1407" w:type="dxa"/>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243"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电话</w:t>
            </w:r>
          </w:p>
        </w:tc>
        <w:tc>
          <w:tcPr>
            <w:tcW w:w="1132" w:type="dxa"/>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成立时间</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5106" w:type="dxa"/>
            <w:gridSpan w:val="5"/>
            <w:vAlign w:val="center"/>
          </w:tcPr>
          <w:p>
            <w:pPr>
              <w:autoSpaceDE w:val="0"/>
              <w:autoSpaceDN w:val="0"/>
              <w:adjustRightInd w:val="0"/>
              <w:spacing w:line="560" w:lineRule="exact"/>
              <w:ind w:firstLine="1680" w:firstLineChars="700"/>
              <w:rPr>
                <w:rFonts w:ascii="宋体" w:hAnsi="宋体" w:cs="宋体"/>
                <w:kern w:val="0"/>
                <w:sz w:val="24"/>
                <w:szCs w:val="24"/>
                <w:highlight w:val="none"/>
              </w:rPr>
            </w:pPr>
            <w:r>
              <w:rPr>
                <w:rFonts w:hint="eastAsia" w:ascii="宋体" w:hAnsi="宋体" w:cs="宋体"/>
                <w:kern w:val="0"/>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企业资质等级</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Merge w:val="restart"/>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其中</w:t>
            </w:r>
          </w:p>
        </w:tc>
        <w:tc>
          <w:tcPr>
            <w:tcW w:w="157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项目经理</w:t>
            </w:r>
          </w:p>
        </w:tc>
        <w:tc>
          <w:tcPr>
            <w:tcW w:w="2206" w:type="dxa"/>
            <w:gridSpan w:val="2"/>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营业执照（法人证书）号</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Merge w:val="continue"/>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57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高级职称人员</w:t>
            </w:r>
          </w:p>
        </w:tc>
        <w:tc>
          <w:tcPr>
            <w:tcW w:w="2206" w:type="dxa"/>
            <w:gridSpan w:val="2"/>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Merge w:val="continue"/>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57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中级职称人员</w:t>
            </w:r>
          </w:p>
        </w:tc>
        <w:tc>
          <w:tcPr>
            <w:tcW w:w="2206" w:type="dxa"/>
            <w:gridSpan w:val="2"/>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开户银行</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Merge w:val="continue"/>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57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初级职称人员</w:t>
            </w:r>
          </w:p>
        </w:tc>
        <w:tc>
          <w:tcPr>
            <w:tcW w:w="2206" w:type="dxa"/>
            <w:gridSpan w:val="2"/>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账号</w:t>
            </w:r>
          </w:p>
        </w:tc>
        <w:tc>
          <w:tcPr>
            <w:tcW w:w="232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324" w:type="dxa"/>
            <w:vMerge w:val="continue"/>
            <w:vAlign w:val="center"/>
          </w:tcPr>
          <w:p>
            <w:pPr>
              <w:autoSpaceDE w:val="0"/>
              <w:autoSpaceDN w:val="0"/>
              <w:adjustRightInd w:val="0"/>
              <w:spacing w:line="560" w:lineRule="exact"/>
              <w:jc w:val="center"/>
              <w:rPr>
                <w:rFonts w:ascii="宋体" w:hAnsi="宋体" w:cs="宋体"/>
                <w:kern w:val="0"/>
                <w:sz w:val="24"/>
                <w:szCs w:val="24"/>
                <w:highlight w:val="none"/>
              </w:rPr>
            </w:pPr>
          </w:p>
        </w:tc>
        <w:tc>
          <w:tcPr>
            <w:tcW w:w="1576" w:type="dxa"/>
            <w:gridSpan w:val="2"/>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技工</w:t>
            </w:r>
          </w:p>
        </w:tc>
        <w:tc>
          <w:tcPr>
            <w:tcW w:w="2206" w:type="dxa"/>
            <w:gridSpan w:val="2"/>
            <w:vAlign w:val="center"/>
          </w:tcPr>
          <w:p>
            <w:pPr>
              <w:autoSpaceDE w:val="0"/>
              <w:autoSpaceDN w:val="0"/>
              <w:adjustRightInd w:val="0"/>
              <w:spacing w:line="560" w:lineRule="exact"/>
              <w:jc w:val="center"/>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vAlign w:val="center"/>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432" w:type="dxa"/>
            <w:gridSpan w:val="7"/>
            <w:vAlign w:val="center"/>
          </w:tcPr>
          <w:p>
            <w:pPr>
              <w:autoSpaceDE w:val="0"/>
              <w:autoSpaceDN w:val="0"/>
              <w:adjustRightInd w:val="0"/>
              <w:spacing w:line="560" w:lineRule="exact"/>
              <w:rPr>
                <w:rFonts w:ascii="宋体" w:hAnsi="宋体" w:cs="宋体"/>
                <w:b/>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08" w:type="dxa"/>
          </w:tcPr>
          <w:p>
            <w:pPr>
              <w:autoSpaceDE w:val="0"/>
              <w:autoSpaceDN w:val="0"/>
              <w:adjustRightInd w:val="0"/>
              <w:spacing w:line="560" w:lineRule="exact"/>
              <w:jc w:val="center"/>
              <w:rPr>
                <w:rFonts w:ascii="宋体" w:hAnsi="宋体" w:cs="宋体"/>
                <w:kern w:val="0"/>
                <w:sz w:val="24"/>
                <w:szCs w:val="24"/>
                <w:highlight w:val="none"/>
              </w:rPr>
            </w:pPr>
            <w:r>
              <w:rPr>
                <w:rFonts w:hint="eastAsia" w:ascii="宋体" w:hAnsi="宋体" w:cs="宋体"/>
                <w:kern w:val="0"/>
                <w:sz w:val="24"/>
                <w:szCs w:val="24"/>
                <w:highlight w:val="none"/>
              </w:rPr>
              <w:t>备注</w:t>
            </w:r>
          </w:p>
        </w:tc>
        <w:tc>
          <w:tcPr>
            <w:tcW w:w="7432" w:type="dxa"/>
            <w:gridSpan w:val="7"/>
          </w:tcPr>
          <w:p>
            <w:pPr>
              <w:autoSpaceDE w:val="0"/>
              <w:autoSpaceDN w:val="0"/>
              <w:adjustRightInd w:val="0"/>
              <w:spacing w:line="560" w:lineRule="exact"/>
              <w:jc w:val="left"/>
              <w:rPr>
                <w:rFonts w:ascii="宋体" w:hAnsi="宋体" w:cs="宋体"/>
                <w:kern w:val="0"/>
                <w:sz w:val="24"/>
                <w:szCs w:val="24"/>
                <w:highlight w:val="none"/>
              </w:rPr>
            </w:pPr>
          </w:p>
        </w:tc>
      </w:tr>
    </w:tbl>
    <w:p>
      <w:pPr>
        <w:rPr>
          <w:rFonts w:ascii="宋体" w:hAnsi="宋体" w:cs="宋体"/>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t>项目人员配置情况表</w:t>
      </w:r>
    </w:p>
    <w:p>
      <w:pPr>
        <w:spacing w:line="360" w:lineRule="auto"/>
        <w:rPr>
          <w:rFonts w:ascii="宋体" w:hAnsi="宋体" w:cs="宋体"/>
          <w:highlight w:val="none"/>
          <w:u w:val="single"/>
        </w:rPr>
      </w:pPr>
      <w:r>
        <w:rPr>
          <w:rFonts w:hint="eastAsia" w:ascii="宋体" w:hAnsi="宋体" w:cs="宋体"/>
          <w:highlight w:val="none"/>
        </w:rPr>
        <w:t>采购项目名称：</w:t>
      </w:r>
    </w:p>
    <w:p>
      <w:pPr>
        <w:spacing w:line="360" w:lineRule="auto"/>
        <w:rPr>
          <w:rFonts w:ascii="宋体" w:hAnsi="宋体" w:cs="宋体"/>
          <w:highlight w:val="none"/>
        </w:rPr>
      </w:pPr>
      <w:r>
        <w:rPr>
          <w:rFonts w:hint="eastAsia" w:ascii="宋体" w:hAnsi="宋体" w:cs="宋体"/>
          <w:highlight w:val="none"/>
        </w:rPr>
        <w:t>采购项目编号：</w:t>
      </w:r>
    </w:p>
    <w:p>
      <w:pPr>
        <w:spacing w:line="360" w:lineRule="auto"/>
        <w:rPr>
          <w:rFonts w:ascii="宋体" w:hAnsi="宋体" w:cs="宋体"/>
          <w:highlight w:val="none"/>
        </w:rPr>
      </w:pPr>
      <w:r>
        <w:rPr>
          <w:rFonts w:hint="eastAsia" w:ascii="宋体" w:hAnsi="宋体" w:cs="宋体"/>
          <w:highlight w:val="none"/>
        </w:rPr>
        <w:t xml:space="preserve">包件号：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915"/>
        <w:gridCol w:w="1333"/>
        <w:gridCol w:w="708"/>
        <w:gridCol w:w="716"/>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ign w:val="center"/>
          </w:tcPr>
          <w:p>
            <w:pPr>
              <w:rPr>
                <w:rFonts w:ascii="宋体" w:hAnsi="宋体" w:cs="宋体"/>
                <w:highlight w:val="none"/>
              </w:rPr>
            </w:pPr>
            <w:r>
              <w:rPr>
                <w:rFonts w:hint="eastAsia" w:ascii="宋体" w:hAnsi="宋体" w:cs="宋体"/>
                <w:highlight w:val="none"/>
              </w:rPr>
              <w:t>类别</w:t>
            </w:r>
          </w:p>
        </w:tc>
        <w:tc>
          <w:tcPr>
            <w:tcW w:w="901" w:type="dxa"/>
            <w:vMerge w:val="restart"/>
            <w:noWrap/>
            <w:vAlign w:val="center"/>
          </w:tcPr>
          <w:p>
            <w:pPr>
              <w:rPr>
                <w:rFonts w:ascii="宋体" w:hAnsi="宋体" w:cs="宋体"/>
                <w:highlight w:val="none"/>
              </w:rPr>
            </w:pPr>
            <w:r>
              <w:rPr>
                <w:rFonts w:hint="eastAsia" w:ascii="宋体" w:hAnsi="宋体" w:cs="宋体"/>
                <w:highlight w:val="none"/>
              </w:rPr>
              <w:t>职务</w:t>
            </w:r>
          </w:p>
        </w:tc>
        <w:tc>
          <w:tcPr>
            <w:tcW w:w="901" w:type="dxa"/>
            <w:vMerge w:val="restart"/>
            <w:noWrap/>
            <w:vAlign w:val="center"/>
          </w:tcPr>
          <w:p>
            <w:pPr>
              <w:rPr>
                <w:rFonts w:ascii="宋体" w:hAnsi="宋体" w:cs="宋体"/>
                <w:highlight w:val="none"/>
              </w:rPr>
            </w:pPr>
            <w:r>
              <w:rPr>
                <w:rFonts w:hint="eastAsia" w:ascii="宋体" w:hAnsi="宋体" w:cs="宋体"/>
                <w:highlight w:val="none"/>
              </w:rPr>
              <w:t>姓名</w:t>
            </w:r>
          </w:p>
        </w:tc>
        <w:tc>
          <w:tcPr>
            <w:tcW w:w="901" w:type="dxa"/>
            <w:vMerge w:val="restart"/>
            <w:noWrap/>
            <w:vAlign w:val="center"/>
          </w:tcPr>
          <w:p>
            <w:pPr>
              <w:rPr>
                <w:rFonts w:ascii="宋体" w:hAnsi="宋体" w:cs="宋体"/>
                <w:highlight w:val="none"/>
              </w:rPr>
            </w:pPr>
            <w:r>
              <w:rPr>
                <w:rFonts w:hint="eastAsia" w:ascii="宋体" w:hAnsi="宋体" w:cs="宋体"/>
                <w:highlight w:val="none"/>
              </w:rPr>
              <w:t>职称</w:t>
            </w:r>
          </w:p>
        </w:tc>
        <w:tc>
          <w:tcPr>
            <w:tcW w:w="915" w:type="dxa"/>
            <w:vMerge w:val="restart"/>
            <w:vAlign w:val="center"/>
          </w:tcPr>
          <w:p>
            <w:pPr>
              <w:rPr>
                <w:rFonts w:ascii="宋体" w:hAnsi="宋体" w:cs="宋体"/>
                <w:highlight w:val="none"/>
              </w:rPr>
            </w:pPr>
            <w:r>
              <w:rPr>
                <w:rFonts w:hint="eastAsia" w:ascii="宋体" w:hAnsi="宋体" w:cs="宋体"/>
                <w:highlight w:val="none"/>
              </w:rPr>
              <w:t>学历</w:t>
            </w:r>
          </w:p>
        </w:tc>
        <w:tc>
          <w:tcPr>
            <w:tcW w:w="3743" w:type="dxa"/>
            <w:gridSpan w:val="4"/>
            <w:noWrap/>
            <w:vAlign w:val="center"/>
          </w:tcPr>
          <w:p>
            <w:pPr>
              <w:rPr>
                <w:rFonts w:ascii="宋体" w:hAnsi="宋体" w:cs="宋体"/>
                <w:highlight w:val="none"/>
              </w:rPr>
            </w:pPr>
            <w:r>
              <w:rPr>
                <w:rFonts w:hint="eastAsia" w:ascii="宋体" w:hAnsi="宋体" w:cs="宋体"/>
                <w:highlight w:val="none"/>
              </w:rPr>
              <w:t>资格证明（附复印件，无可不提供）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ign w:val="center"/>
          </w:tcPr>
          <w:p>
            <w:pPr>
              <w:rPr>
                <w:rFonts w:ascii="宋体" w:hAnsi="宋体" w:cs="宋体"/>
                <w:highlight w:val="none"/>
              </w:rPr>
            </w:pPr>
          </w:p>
        </w:tc>
        <w:tc>
          <w:tcPr>
            <w:tcW w:w="901" w:type="dxa"/>
            <w:vMerge w:val="continue"/>
            <w:noWrap/>
            <w:vAlign w:val="center"/>
          </w:tcPr>
          <w:p>
            <w:pPr>
              <w:rPr>
                <w:rFonts w:ascii="宋体" w:hAnsi="宋体" w:cs="宋体"/>
                <w:highlight w:val="none"/>
              </w:rPr>
            </w:pPr>
          </w:p>
        </w:tc>
        <w:tc>
          <w:tcPr>
            <w:tcW w:w="901" w:type="dxa"/>
            <w:vMerge w:val="continue"/>
            <w:noWrap/>
            <w:vAlign w:val="center"/>
          </w:tcPr>
          <w:p>
            <w:pPr>
              <w:rPr>
                <w:rFonts w:ascii="宋体" w:hAnsi="宋体" w:cs="宋体"/>
                <w:highlight w:val="none"/>
              </w:rPr>
            </w:pPr>
          </w:p>
        </w:tc>
        <w:tc>
          <w:tcPr>
            <w:tcW w:w="901" w:type="dxa"/>
            <w:vMerge w:val="continue"/>
            <w:noWrap/>
            <w:vAlign w:val="center"/>
          </w:tcPr>
          <w:p>
            <w:pPr>
              <w:rPr>
                <w:rFonts w:ascii="宋体" w:hAnsi="宋体" w:cs="宋体"/>
                <w:highlight w:val="none"/>
              </w:rPr>
            </w:pPr>
          </w:p>
        </w:tc>
        <w:tc>
          <w:tcPr>
            <w:tcW w:w="915" w:type="dxa"/>
            <w:vMerge w:val="continue"/>
          </w:tcPr>
          <w:p>
            <w:pPr>
              <w:rPr>
                <w:rFonts w:ascii="宋体" w:hAnsi="宋体" w:cs="宋体"/>
                <w:highlight w:val="none"/>
              </w:rPr>
            </w:pPr>
          </w:p>
        </w:tc>
        <w:tc>
          <w:tcPr>
            <w:tcW w:w="1333" w:type="dxa"/>
            <w:noWrap/>
            <w:vAlign w:val="center"/>
          </w:tcPr>
          <w:p>
            <w:pPr>
              <w:rPr>
                <w:rFonts w:ascii="宋体" w:hAnsi="宋体" w:cs="宋体"/>
                <w:highlight w:val="none"/>
              </w:rPr>
            </w:pPr>
            <w:r>
              <w:rPr>
                <w:rFonts w:hint="eastAsia" w:ascii="宋体" w:hAnsi="宋体" w:cs="宋体"/>
                <w:highlight w:val="none"/>
              </w:rPr>
              <w:t>证书名称</w:t>
            </w:r>
          </w:p>
        </w:tc>
        <w:tc>
          <w:tcPr>
            <w:tcW w:w="708" w:type="dxa"/>
            <w:noWrap/>
            <w:vAlign w:val="center"/>
          </w:tcPr>
          <w:p>
            <w:pPr>
              <w:rPr>
                <w:rFonts w:ascii="宋体" w:hAnsi="宋体" w:cs="宋体"/>
                <w:highlight w:val="none"/>
              </w:rPr>
            </w:pPr>
            <w:r>
              <w:rPr>
                <w:rFonts w:hint="eastAsia" w:ascii="宋体" w:hAnsi="宋体" w:cs="宋体"/>
                <w:highlight w:val="none"/>
              </w:rPr>
              <w:t>级别</w:t>
            </w:r>
          </w:p>
        </w:tc>
        <w:tc>
          <w:tcPr>
            <w:tcW w:w="716" w:type="dxa"/>
            <w:noWrap/>
            <w:vAlign w:val="center"/>
          </w:tcPr>
          <w:p>
            <w:pPr>
              <w:rPr>
                <w:rFonts w:ascii="宋体" w:hAnsi="宋体" w:cs="宋体"/>
                <w:highlight w:val="none"/>
              </w:rPr>
            </w:pPr>
            <w:r>
              <w:rPr>
                <w:rFonts w:hint="eastAsia" w:ascii="宋体" w:hAnsi="宋体" w:cs="宋体"/>
                <w:highlight w:val="none"/>
              </w:rPr>
              <w:t>证号</w:t>
            </w:r>
          </w:p>
        </w:tc>
        <w:tc>
          <w:tcPr>
            <w:tcW w:w="986" w:type="dxa"/>
            <w:noWrap/>
            <w:vAlign w:val="center"/>
          </w:tcPr>
          <w:p>
            <w:pPr>
              <w:rPr>
                <w:rFonts w:ascii="宋体" w:hAnsi="宋体" w:cs="宋体"/>
                <w:highlight w:val="none"/>
              </w:rPr>
            </w:pPr>
            <w:r>
              <w:rPr>
                <w:rFonts w:hint="eastAsia" w:ascii="宋体" w:hAnsi="宋体" w:cs="宋体"/>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ign w:val="center"/>
          </w:tcPr>
          <w:p>
            <w:pPr>
              <w:rPr>
                <w:rFonts w:ascii="宋体" w:hAnsi="宋体" w:cs="宋体"/>
                <w:highlight w:val="none"/>
              </w:rPr>
            </w:pPr>
            <w:r>
              <w:rPr>
                <w:rFonts w:hint="eastAsia" w:ascii="宋体" w:hAnsi="宋体" w:cs="宋体"/>
                <w:highlight w:val="none"/>
              </w:rPr>
              <w:t>项目管理成员</w:t>
            </w: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15" w:type="dxa"/>
          </w:tcPr>
          <w:p>
            <w:pPr>
              <w:rPr>
                <w:rFonts w:ascii="宋体" w:hAnsi="宋体" w:cs="宋体"/>
                <w:highlight w:val="none"/>
              </w:rPr>
            </w:pPr>
          </w:p>
        </w:tc>
        <w:tc>
          <w:tcPr>
            <w:tcW w:w="1333" w:type="dxa"/>
            <w:noWrap/>
            <w:vAlign w:val="center"/>
          </w:tcPr>
          <w:p>
            <w:pPr>
              <w:rPr>
                <w:rFonts w:ascii="宋体" w:hAnsi="宋体" w:cs="宋体"/>
                <w:highlight w:val="none"/>
              </w:rPr>
            </w:pPr>
          </w:p>
        </w:tc>
        <w:tc>
          <w:tcPr>
            <w:tcW w:w="708" w:type="dxa"/>
            <w:noWrap/>
            <w:vAlign w:val="center"/>
          </w:tcPr>
          <w:p>
            <w:pPr>
              <w:rPr>
                <w:rFonts w:ascii="宋体" w:hAnsi="宋体" w:cs="宋体"/>
                <w:highlight w:val="none"/>
              </w:rPr>
            </w:pPr>
          </w:p>
        </w:tc>
        <w:tc>
          <w:tcPr>
            <w:tcW w:w="716" w:type="dxa"/>
            <w:noWrap/>
            <w:vAlign w:val="center"/>
          </w:tcPr>
          <w:p>
            <w:pPr>
              <w:rPr>
                <w:rFonts w:ascii="宋体" w:hAnsi="宋体" w:cs="宋体"/>
                <w:highlight w:val="none"/>
              </w:rPr>
            </w:pPr>
          </w:p>
        </w:tc>
        <w:tc>
          <w:tcPr>
            <w:tcW w:w="986" w:type="dxa"/>
            <w:noWrap/>
            <w:vAlign w:val="center"/>
          </w:tcPr>
          <w:p>
            <w:pP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15" w:type="dxa"/>
          </w:tcPr>
          <w:p>
            <w:pPr>
              <w:rPr>
                <w:rFonts w:ascii="宋体" w:hAnsi="宋体" w:cs="宋体"/>
                <w:highlight w:val="none"/>
              </w:rPr>
            </w:pPr>
          </w:p>
        </w:tc>
        <w:tc>
          <w:tcPr>
            <w:tcW w:w="1333" w:type="dxa"/>
            <w:noWrap/>
            <w:vAlign w:val="center"/>
          </w:tcPr>
          <w:p>
            <w:pPr>
              <w:rPr>
                <w:rFonts w:ascii="宋体" w:hAnsi="宋体" w:cs="宋体"/>
                <w:highlight w:val="none"/>
              </w:rPr>
            </w:pPr>
          </w:p>
        </w:tc>
        <w:tc>
          <w:tcPr>
            <w:tcW w:w="708" w:type="dxa"/>
            <w:noWrap/>
            <w:vAlign w:val="center"/>
          </w:tcPr>
          <w:p>
            <w:pPr>
              <w:rPr>
                <w:rFonts w:ascii="宋体" w:hAnsi="宋体" w:cs="宋体"/>
                <w:highlight w:val="none"/>
              </w:rPr>
            </w:pPr>
          </w:p>
        </w:tc>
        <w:tc>
          <w:tcPr>
            <w:tcW w:w="716" w:type="dxa"/>
            <w:noWrap/>
            <w:vAlign w:val="center"/>
          </w:tcPr>
          <w:p>
            <w:pPr>
              <w:rPr>
                <w:rFonts w:ascii="宋体" w:hAnsi="宋体" w:cs="宋体"/>
                <w:highlight w:val="none"/>
              </w:rPr>
            </w:pPr>
          </w:p>
        </w:tc>
        <w:tc>
          <w:tcPr>
            <w:tcW w:w="986" w:type="dxa"/>
            <w:noWrap/>
            <w:vAlign w:val="center"/>
          </w:tcPr>
          <w:p>
            <w:pP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15" w:type="dxa"/>
          </w:tcPr>
          <w:p>
            <w:pPr>
              <w:rPr>
                <w:rFonts w:ascii="宋体" w:hAnsi="宋体" w:cs="宋体"/>
                <w:highlight w:val="none"/>
              </w:rPr>
            </w:pPr>
          </w:p>
        </w:tc>
        <w:tc>
          <w:tcPr>
            <w:tcW w:w="1333" w:type="dxa"/>
            <w:noWrap/>
            <w:vAlign w:val="center"/>
          </w:tcPr>
          <w:p>
            <w:pPr>
              <w:rPr>
                <w:rFonts w:ascii="宋体" w:hAnsi="宋体" w:cs="宋体"/>
                <w:highlight w:val="none"/>
              </w:rPr>
            </w:pPr>
          </w:p>
        </w:tc>
        <w:tc>
          <w:tcPr>
            <w:tcW w:w="708" w:type="dxa"/>
            <w:noWrap/>
            <w:vAlign w:val="center"/>
          </w:tcPr>
          <w:p>
            <w:pPr>
              <w:rPr>
                <w:rFonts w:ascii="宋体" w:hAnsi="宋体" w:cs="宋体"/>
                <w:highlight w:val="none"/>
              </w:rPr>
            </w:pPr>
          </w:p>
        </w:tc>
        <w:tc>
          <w:tcPr>
            <w:tcW w:w="716" w:type="dxa"/>
            <w:noWrap/>
            <w:vAlign w:val="center"/>
          </w:tcPr>
          <w:p>
            <w:pPr>
              <w:rPr>
                <w:rFonts w:ascii="宋体" w:hAnsi="宋体" w:cs="宋体"/>
                <w:highlight w:val="none"/>
              </w:rPr>
            </w:pPr>
          </w:p>
        </w:tc>
        <w:tc>
          <w:tcPr>
            <w:tcW w:w="986" w:type="dxa"/>
            <w:noWrap/>
            <w:vAlign w:val="center"/>
          </w:tcPr>
          <w:p>
            <w:pP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noWrap/>
            <w:vAlign w:val="center"/>
          </w:tcPr>
          <w:p>
            <w:pPr>
              <w:rPr>
                <w:rFonts w:ascii="宋体" w:hAnsi="宋体" w:cs="宋体"/>
                <w:highlight w:val="none"/>
              </w:rPr>
            </w:pPr>
            <w:r>
              <w:rPr>
                <w:rFonts w:hint="eastAsia" w:ascii="宋体" w:hAnsi="宋体" w:cs="宋体"/>
                <w:highlight w:val="none"/>
              </w:rPr>
              <w:t>...</w:t>
            </w: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15" w:type="dxa"/>
          </w:tcPr>
          <w:p>
            <w:pPr>
              <w:rPr>
                <w:rFonts w:ascii="宋体" w:hAnsi="宋体" w:cs="宋体"/>
                <w:highlight w:val="none"/>
              </w:rPr>
            </w:pPr>
          </w:p>
        </w:tc>
        <w:tc>
          <w:tcPr>
            <w:tcW w:w="1333" w:type="dxa"/>
            <w:noWrap/>
            <w:vAlign w:val="center"/>
          </w:tcPr>
          <w:p>
            <w:pPr>
              <w:rPr>
                <w:rFonts w:ascii="宋体" w:hAnsi="宋体" w:cs="宋体"/>
                <w:highlight w:val="none"/>
              </w:rPr>
            </w:pPr>
          </w:p>
        </w:tc>
        <w:tc>
          <w:tcPr>
            <w:tcW w:w="708" w:type="dxa"/>
            <w:noWrap/>
            <w:vAlign w:val="center"/>
          </w:tcPr>
          <w:p>
            <w:pPr>
              <w:rPr>
                <w:rFonts w:ascii="宋体" w:hAnsi="宋体" w:cs="宋体"/>
                <w:highlight w:val="none"/>
              </w:rPr>
            </w:pPr>
          </w:p>
        </w:tc>
        <w:tc>
          <w:tcPr>
            <w:tcW w:w="716" w:type="dxa"/>
            <w:noWrap/>
            <w:vAlign w:val="center"/>
          </w:tcPr>
          <w:p>
            <w:pPr>
              <w:rPr>
                <w:rFonts w:ascii="宋体" w:hAnsi="宋体" w:cs="宋体"/>
                <w:highlight w:val="none"/>
              </w:rPr>
            </w:pPr>
          </w:p>
        </w:tc>
        <w:tc>
          <w:tcPr>
            <w:tcW w:w="986" w:type="dxa"/>
            <w:noWrap/>
            <w:vAlign w:val="center"/>
          </w:tcPr>
          <w:p>
            <w:pP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noWrap/>
            <w:vAlign w:val="center"/>
          </w:tcPr>
          <w:p>
            <w:pPr>
              <w:rPr>
                <w:rFonts w:ascii="宋体" w:hAnsi="宋体" w:cs="宋体"/>
                <w:highlight w:val="none"/>
              </w:rPr>
            </w:pPr>
            <w:r>
              <w:rPr>
                <w:rFonts w:hint="eastAsia" w:ascii="宋体" w:hAnsi="宋体" w:cs="宋体"/>
                <w:highlight w:val="none"/>
              </w:rPr>
              <w:t>...</w:t>
            </w: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01" w:type="dxa"/>
            <w:noWrap/>
            <w:vAlign w:val="center"/>
          </w:tcPr>
          <w:p>
            <w:pPr>
              <w:rPr>
                <w:rFonts w:ascii="宋体" w:hAnsi="宋体" w:cs="宋体"/>
                <w:highlight w:val="none"/>
              </w:rPr>
            </w:pPr>
          </w:p>
        </w:tc>
        <w:tc>
          <w:tcPr>
            <w:tcW w:w="915" w:type="dxa"/>
          </w:tcPr>
          <w:p>
            <w:pPr>
              <w:rPr>
                <w:rFonts w:ascii="宋体" w:hAnsi="宋体" w:cs="宋体"/>
                <w:highlight w:val="none"/>
              </w:rPr>
            </w:pPr>
          </w:p>
        </w:tc>
        <w:tc>
          <w:tcPr>
            <w:tcW w:w="1333" w:type="dxa"/>
            <w:noWrap/>
            <w:vAlign w:val="center"/>
          </w:tcPr>
          <w:p>
            <w:pPr>
              <w:rPr>
                <w:rFonts w:ascii="宋体" w:hAnsi="宋体" w:cs="宋体"/>
                <w:highlight w:val="none"/>
              </w:rPr>
            </w:pPr>
          </w:p>
        </w:tc>
        <w:tc>
          <w:tcPr>
            <w:tcW w:w="708" w:type="dxa"/>
            <w:noWrap/>
            <w:vAlign w:val="center"/>
          </w:tcPr>
          <w:p>
            <w:pPr>
              <w:rPr>
                <w:rFonts w:ascii="宋体" w:hAnsi="宋体" w:cs="宋体"/>
                <w:highlight w:val="none"/>
              </w:rPr>
            </w:pPr>
          </w:p>
        </w:tc>
        <w:tc>
          <w:tcPr>
            <w:tcW w:w="716" w:type="dxa"/>
            <w:noWrap/>
            <w:vAlign w:val="center"/>
          </w:tcPr>
          <w:p>
            <w:pPr>
              <w:rPr>
                <w:rFonts w:ascii="宋体" w:hAnsi="宋体" w:cs="宋体"/>
                <w:highlight w:val="none"/>
              </w:rPr>
            </w:pPr>
          </w:p>
        </w:tc>
        <w:tc>
          <w:tcPr>
            <w:tcW w:w="986" w:type="dxa"/>
            <w:noWrap/>
            <w:vAlign w:val="center"/>
          </w:tcPr>
          <w:p>
            <w:pPr>
              <w:rPr>
                <w:rFonts w:ascii="宋体" w:hAnsi="宋体" w:cs="宋体"/>
                <w:highlight w:val="none"/>
              </w:rPr>
            </w:pPr>
          </w:p>
        </w:tc>
      </w:tr>
    </w:tbl>
    <w:p>
      <w:pPr>
        <w:spacing w:line="400" w:lineRule="exact"/>
        <w:ind w:left="899" w:leftChars="228" w:hanging="420" w:hangingChars="200"/>
        <w:rPr>
          <w:rFonts w:ascii="宋体" w:hAnsi="宋体" w:cs="宋体"/>
          <w:highlight w:val="none"/>
        </w:rPr>
      </w:pPr>
      <w:r>
        <w:rPr>
          <w:rFonts w:hint="eastAsia" w:ascii="宋体" w:hAnsi="宋体" w:cs="宋体"/>
          <w:highlight w:val="none"/>
        </w:rPr>
        <w:t>注：以上表格格式行、列可增减。</w:t>
      </w:r>
    </w:p>
    <w:p>
      <w:pPr>
        <w:spacing w:line="360" w:lineRule="auto"/>
        <w:rPr>
          <w:rFonts w:ascii="宋体" w:hAnsi="宋体" w:cs="宋体"/>
          <w:highlight w:val="none"/>
        </w:rPr>
      </w:pPr>
    </w:p>
    <w:p>
      <w:pPr>
        <w:spacing w:line="560" w:lineRule="exact"/>
        <w:ind w:left="959" w:leftChars="228" w:hanging="480" w:hangingChars="200"/>
        <w:rPr>
          <w:rFonts w:ascii="宋体" w:hAnsi="宋体" w:cs="宋体"/>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b/>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spacing w:line="560" w:lineRule="exact"/>
        <w:ind w:left="959" w:leftChars="228" w:hanging="480" w:hangingChars="200"/>
        <w:rPr>
          <w:rFonts w:ascii="宋体" w:hAnsi="宋体" w:cs="宋体"/>
          <w:sz w:val="24"/>
          <w:szCs w:val="24"/>
          <w:highlight w:val="none"/>
        </w:rPr>
      </w:pPr>
    </w:p>
    <w:p>
      <w:pPr>
        <w:pStyle w:val="17"/>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18"/>
        <w:ind w:firstLine="240"/>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t>中小企业声明函</w:t>
      </w:r>
      <w:bookmarkEnd w:id="188"/>
      <w:r>
        <w:rPr>
          <w:rFonts w:hint="eastAsia" w:cs="宋体"/>
          <w:color w:val="auto"/>
          <w:sz w:val="24"/>
          <w:szCs w:val="24"/>
          <w:highlight w:val="none"/>
        </w:rPr>
        <w:t>（实质性格式）</w:t>
      </w:r>
    </w:p>
    <w:p>
      <w:pPr>
        <w:spacing w:line="588" w:lineRule="exact"/>
        <w:jc w:val="center"/>
        <w:rPr>
          <w:rFonts w:ascii="宋体" w:hAnsi="宋体" w:cs="宋体"/>
          <w:b/>
          <w:spacing w:val="6"/>
          <w:sz w:val="24"/>
          <w:szCs w:val="24"/>
          <w:highlight w:val="none"/>
        </w:rPr>
      </w:pPr>
      <w:r>
        <w:rPr>
          <w:rFonts w:hint="eastAsia" w:ascii="宋体" w:hAnsi="宋体" w:cs="宋体"/>
          <w:b/>
          <w:spacing w:val="6"/>
          <w:sz w:val="24"/>
          <w:szCs w:val="24"/>
          <w:highlight w:val="none"/>
        </w:rPr>
        <w:t>中小企业声明函</w:t>
      </w:r>
    </w:p>
    <w:p>
      <w:pPr>
        <w:spacing w:line="560" w:lineRule="exact"/>
        <w:ind w:firstLine="480" w:firstLineChars="200"/>
        <w:rPr>
          <w:rFonts w:ascii="宋体" w:hAnsi="宋体" w:cs="宋体"/>
          <w:sz w:val="24"/>
          <w:szCs w:val="24"/>
          <w:highlight w:val="none"/>
        </w:rPr>
      </w:pPr>
      <w:r>
        <w:rPr>
          <w:rFonts w:ascii="宋体" w:hAnsi="宋体" w:cs="宋体"/>
          <w:sz w:val="24"/>
          <w:szCs w:val="24"/>
          <w:highlight w:val="none"/>
        </w:rPr>
        <w:t>本公司（联合体）郑重声明，根据《政府采购促进中小 企业发展管理办法》（财库﹝2020﹞46 号）的规定，本公司（联合体）参加</w:t>
      </w:r>
      <w:r>
        <w:rPr>
          <w:rFonts w:ascii="宋体" w:hAnsi="宋体" w:cs="宋体"/>
          <w:sz w:val="24"/>
          <w:szCs w:val="24"/>
          <w:highlight w:val="none"/>
          <w:u w:val="single"/>
        </w:rPr>
        <w:t>（单位名称）</w:t>
      </w:r>
      <w:r>
        <w:rPr>
          <w:rFonts w:ascii="宋体" w:hAnsi="宋体" w:cs="宋体"/>
          <w:sz w:val="24"/>
          <w:szCs w:val="24"/>
          <w:highlight w:val="none"/>
        </w:rPr>
        <w:t>的</w:t>
      </w:r>
      <w:r>
        <w:rPr>
          <w:rFonts w:ascii="宋体" w:hAnsi="宋体" w:cs="宋体"/>
          <w:sz w:val="24"/>
          <w:szCs w:val="24"/>
          <w:highlight w:val="none"/>
          <w:u w:val="single"/>
        </w:rPr>
        <w:t>（项目名称）</w:t>
      </w:r>
      <w:r>
        <w:rPr>
          <w:rFonts w:ascii="宋体" w:hAnsi="宋体" w:cs="宋体"/>
          <w:sz w:val="24"/>
          <w:szCs w:val="24"/>
          <w:highlight w:val="none"/>
        </w:rPr>
        <w:t>采购活动，提供的货物全部由符合政策要求的中小企业制造。相关企业（含联合体中的中小企业、签订分包意向协议的中小企业）的具体情况如下：</w:t>
      </w:r>
    </w:p>
    <w:p>
      <w:pPr>
        <w:spacing w:line="560" w:lineRule="exact"/>
        <w:ind w:firstLine="480" w:firstLineChars="200"/>
        <w:rPr>
          <w:rFonts w:ascii="宋体" w:hAnsi="宋体" w:cs="宋体"/>
          <w:bCs/>
          <w:sz w:val="24"/>
          <w:szCs w:val="24"/>
          <w:highlight w:val="none"/>
        </w:rPr>
      </w:pPr>
      <w:r>
        <w:rPr>
          <w:rFonts w:ascii="宋体" w:hAnsi="宋体" w:cs="宋体"/>
          <w:sz w:val="24"/>
          <w:szCs w:val="24"/>
          <w:highlight w:val="none"/>
        </w:rPr>
        <w:t>1.</w:t>
      </w:r>
      <w:r>
        <w:rPr>
          <w:rFonts w:ascii="宋体" w:hAnsi="宋体" w:cs="宋体"/>
          <w:sz w:val="24"/>
          <w:szCs w:val="24"/>
          <w:highlight w:val="none"/>
          <w:u w:val="single"/>
        </w:rPr>
        <w:t xml:space="preserve"> （标的名称） </w:t>
      </w:r>
      <w:r>
        <w:rPr>
          <w:rFonts w:ascii="宋体" w:hAnsi="宋体" w:cs="宋体"/>
          <w:sz w:val="24"/>
          <w:szCs w:val="24"/>
          <w:highlight w:val="none"/>
        </w:rPr>
        <w:t>，属于</w:t>
      </w:r>
      <w:r>
        <w:rPr>
          <w:rFonts w:ascii="宋体" w:hAnsi="宋体" w:cs="宋体"/>
          <w:sz w:val="24"/>
          <w:szCs w:val="24"/>
          <w:highlight w:val="none"/>
          <w:u w:val="single"/>
        </w:rPr>
        <w:t xml:space="preserve">（采购文件中明确的所属行业） </w:t>
      </w:r>
      <w:r>
        <w:rPr>
          <w:rFonts w:ascii="宋体" w:hAnsi="宋体" w:cs="宋体"/>
          <w:sz w:val="24"/>
          <w:szCs w:val="24"/>
          <w:highlight w:val="none"/>
        </w:rPr>
        <w:t>行业；制造商为</w:t>
      </w:r>
      <w:r>
        <w:rPr>
          <w:rFonts w:ascii="宋体" w:hAnsi="宋体" w:cs="宋体"/>
          <w:sz w:val="24"/>
          <w:szCs w:val="24"/>
          <w:highlight w:val="none"/>
          <w:u w:val="single"/>
        </w:rPr>
        <w:t>（企业名称）</w:t>
      </w:r>
      <w:r>
        <w:rPr>
          <w:rFonts w:ascii="宋体" w:hAnsi="宋体" w:cs="宋体"/>
          <w:sz w:val="24"/>
          <w:szCs w:val="24"/>
          <w:highlight w:val="none"/>
        </w:rPr>
        <w:t>，从业人员</w:t>
      </w:r>
      <w:r>
        <w:rPr>
          <w:rFonts w:hint="eastAsia" w:ascii="宋体" w:hAnsi="宋体" w:cs="宋体"/>
          <w:sz w:val="24"/>
          <w:szCs w:val="24"/>
          <w:highlight w:val="none"/>
          <w:u w:val="single"/>
        </w:rPr>
        <w:t xml:space="preserve">  </w:t>
      </w:r>
      <w:r>
        <w:rPr>
          <w:rFonts w:ascii="宋体" w:hAnsi="宋体" w:cs="宋体"/>
          <w:sz w:val="24"/>
          <w:szCs w:val="24"/>
          <w:highlight w:val="none"/>
        </w:rPr>
        <w:t>人，营业收入为</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ascii="宋体" w:hAnsi="宋体" w:cs="宋体"/>
          <w:sz w:val="24"/>
          <w:szCs w:val="24"/>
          <w:highlight w:val="none"/>
        </w:rPr>
        <w:t>万元，属于</w:t>
      </w:r>
      <w:r>
        <w:rPr>
          <w:rFonts w:ascii="宋体" w:hAnsi="宋体" w:cs="宋体"/>
          <w:sz w:val="24"/>
          <w:szCs w:val="24"/>
          <w:highlight w:val="none"/>
          <w:u w:val="single"/>
        </w:rPr>
        <w:t>（中型企业、小 型企业、微型企业）</w:t>
      </w:r>
      <w:r>
        <w:rPr>
          <w:rFonts w:ascii="宋体" w:hAnsi="宋体" w:cs="宋体"/>
          <w:sz w:val="24"/>
          <w:szCs w:val="24"/>
          <w:highlight w:val="none"/>
        </w:rPr>
        <w:t>；</w:t>
      </w:r>
    </w:p>
    <w:p>
      <w:pPr>
        <w:spacing w:line="560" w:lineRule="exact"/>
        <w:ind w:firstLine="480" w:firstLineChars="200"/>
        <w:rPr>
          <w:rFonts w:ascii="宋体" w:hAnsi="宋体" w:cs="宋体"/>
          <w:sz w:val="24"/>
          <w:szCs w:val="24"/>
          <w:highlight w:val="none"/>
          <w:u w:val="single"/>
        </w:rPr>
      </w:pPr>
      <w:r>
        <w:rPr>
          <w:rFonts w:ascii="宋体" w:hAnsi="宋体" w:cs="宋体"/>
          <w:sz w:val="24"/>
          <w:szCs w:val="24"/>
          <w:highlight w:val="none"/>
        </w:rPr>
        <w:t>2.</w:t>
      </w:r>
      <w:r>
        <w:rPr>
          <w:rFonts w:ascii="宋体" w:hAnsi="宋体" w:cs="宋体"/>
          <w:sz w:val="24"/>
          <w:szCs w:val="24"/>
          <w:highlight w:val="none"/>
          <w:u w:val="single"/>
        </w:rPr>
        <w:t xml:space="preserve"> （标的名称） </w:t>
      </w:r>
      <w:r>
        <w:rPr>
          <w:rFonts w:ascii="宋体" w:hAnsi="宋体" w:cs="宋体"/>
          <w:sz w:val="24"/>
          <w:szCs w:val="24"/>
          <w:highlight w:val="none"/>
        </w:rPr>
        <w:t>，属于</w:t>
      </w:r>
      <w:r>
        <w:rPr>
          <w:rFonts w:ascii="宋体" w:hAnsi="宋体" w:cs="宋体"/>
          <w:sz w:val="24"/>
          <w:szCs w:val="24"/>
          <w:highlight w:val="none"/>
          <w:u w:val="single"/>
        </w:rPr>
        <w:t xml:space="preserve">（采购文件中明确的所属行业） </w:t>
      </w:r>
      <w:r>
        <w:rPr>
          <w:rFonts w:ascii="宋体" w:hAnsi="宋体" w:cs="宋体"/>
          <w:sz w:val="24"/>
          <w:szCs w:val="24"/>
          <w:highlight w:val="none"/>
        </w:rPr>
        <w:t>行业；制造商为</w:t>
      </w:r>
      <w:r>
        <w:rPr>
          <w:rFonts w:ascii="宋体" w:hAnsi="宋体" w:cs="宋体"/>
          <w:sz w:val="24"/>
          <w:szCs w:val="24"/>
          <w:highlight w:val="none"/>
          <w:u w:val="single"/>
        </w:rPr>
        <w:t>（企业名称）</w:t>
      </w:r>
      <w:r>
        <w:rPr>
          <w:rFonts w:ascii="宋体" w:hAnsi="宋体" w:cs="宋体"/>
          <w:sz w:val="24"/>
          <w:szCs w:val="24"/>
          <w:highlight w:val="none"/>
        </w:rPr>
        <w:t>，从业人员</w:t>
      </w:r>
      <w:r>
        <w:rPr>
          <w:rFonts w:hint="eastAsia" w:ascii="宋体" w:hAnsi="宋体" w:cs="宋体"/>
          <w:sz w:val="24"/>
          <w:szCs w:val="24"/>
          <w:highlight w:val="none"/>
          <w:u w:val="single"/>
        </w:rPr>
        <w:t xml:space="preserve">  </w:t>
      </w:r>
      <w:r>
        <w:rPr>
          <w:rFonts w:ascii="宋体" w:hAnsi="宋体" w:cs="宋体"/>
          <w:sz w:val="24"/>
          <w:szCs w:val="24"/>
          <w:highlight w:val="none"/>
        </w:rPr>
        <w:t>人，营业收入为</w:t>
      </w:r>
      <w:r>
        <w:rPr>
          <w:rFonts w:hint="eastAsia" w:ascii="宋体" w:hAnsi="宋体" w:cs="宋体"/>
          <w:sz w:val="24"/>
          <w:szCs w:val="24"/>
          <w:highlight w:val="none"/>
          <w:u w:val="single"/>
        </w:rPr>
        <w:t xml:space="preserve">  </w:t>
      </w:r>
      <w:r>
        <w:rPr>
          <w:rFonts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ascii="宋体" w:hAnsi="宋体" w:cs="宋体"/>
          <w:sz w:val="24"/>
          <w:szCs w:val="24"/>
          <w:highlight w:val="none"/>
        </w:rPr>
        <w:t>万元，属于</w:t>
      </w:r>
      <w:r>
        <w:rPr>
          <w:rFonts w:ascii="宋体" w:hAnsi="宋体" w:cs="宋体"/>
          <w:sz w:val="24"/>
          <w:szCs w:val="24"/>
          <w:highlight w:val="none"/>
          <w:u w:val="single"/>
        </w:rPr>
        <w:t>（中型企业、小型 企业、微型企业）</w:t>
      </w:r>
      <w:r>
        <w:rPr>
          <w:rFonts w:hint="eastAsia" w:ascii="宋体" w:hAnsi="宋体" w:cs="宋体"/>
          <w:sz w:val="24"/>
          <w:szCs w:val="24"/>
          <w:highlight w:val="none"/>
          <w:u w:val="single"/>
        </w:rPr>
        <w:t>；</w:t>
      </w:r>
    </w:p>
    <w:p>
      <w:pPr>
        <w:pStyle w:val="17"/>
        <w:ind w:firstLine="480" w:firstLineChars="200"/>
        <w:rPr>
          <w:highlight w:val="none"/>
        </w:rPr>
      </w:pPr>
      <w:r>
        <w:rPr>
          <w:rFonts w:hint="eastAsia" w:ascii="宋体" w:hAnsi="宋体" w:cs="宋体"/>
          <w:sz w:val="24"/>
          <w:szCs w:val="24"/>
          <w:highlight w:val="none"/>
          <w:u w:val="single"/>
        </w:rPr>
        <w:t>......</w:t>
      </w:r>
    </w:p>
    <w:p>
      <w:pPr>
        <w:spacing w:line="560" w:lineRule="exact"/>
        <w:ind w:firstLine="480" w:firstLineChars="200"/>
        <w:rPr>
          <w:rFonts w:ascii="宋体" w:hAnsi="宋体" w:cs="宋体"/>
          <w:sz w:val="24"/>
          <w:szCs w:val="24"/>
          <w:highlight w:val="none"/>
        </w:rPr>
      </w:pPr>
      <w:r>
        <w:rPr>
          <w:rFonts w:ascii="宋体" w:hAnsi="宋体" w:cs="宋体"/>
          <w:sz w:val="24"/>
          <w:szCs w:val="24"/>
          <w:highlight w:val="none"/>
        </w:rPr>
        <w:t xml:space="preserve">以上企业，不属于大企业的分支机构，不存在控股股东为大企业的情形，也不存在与大企业的负责人为同一人的情形。 </w:t>
      </w:r>
    </w:p>
    <w:p>
      <w:pPr>
        <w:spacing w:line="560" w:lineRule="exact"/>
        <w:ind w:firstLine="480" w:firstLineChars="200"/>
        <w:rPr>
          <w:rFonts w:ascii="宋体" w:hAnsi="宋体" w:cs="宋体"/>
          <w:bCs/>
          <w:sz w:val="24"/>
          <w:szCs w:val="24"/>
          <w:highlight w:val="none"/>
        </w:rPr>
      </w:pPr>
      <w:r>
        <w:rPr>
          <w:rFonts w:ascii="宋体" w:hAnsi="宋体" w:cs="宋体"/>
          <w:sz w:val="24"/>
          <w:szCs w:val="24"/>
          <w:highlight w:val="none"/>
        </w:rPr>
        <w:t>本企业对上述声明内容的真实性负责。如有虚假，将依法承担相应责任。</w:t>
      </w:r>
    </w:p>
    <w:p>
      <w:pPr>
        <w:tabs>
          <w:tab w:val="left" w:pos="3969"/>
        </w:tabs>
        <w:spacing w:line="588" w:lineRule="exact"/>
        <w:ind w:right="-58"/>
        <w:jc w:val="left"/>
        <w:rPr>
          <w:rFonts w:ascii="宋体" w:hAnsi="宋体" w:cs="宋体"/>
          <w:spacing w:val="6"/>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b/>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tabs>
          <w:tab w:val="left" w:pos="3969"/>
        </w:tabs>
        <w:spacing w:line="588" w:lineRule="exact"/>
        <w:ind w:right="-58"/>
        <w:jc w:val="left"/>
        <w:rPr>
          <w:rFonts w:ascii="宋体" w:hAnsi="宋体" w:cs="宋体"/>
          <w:spacing w:val="6"/>
          <w:sz w:val="24"/>
          <w:szCs w:val="24"/>
          <w:highlight w:val="none"/>
        </w:rPr>
      </w:pPr>
    </w:p>
    <w:p>
      <w:pPr>
        <w:ind w:firstLine="563"/>
        <w:rPr>
          <w:rFonts w:ascii="宋体" w:hAnsi="宋体" w:cs="宋体"/>
          <w:sz w:val="24"/>
          <w:szCs w:val="24"/>
          <w:highlight w:val="none"/>
        </w:rPr>
      </w:pPr>
      <w:r>
        <w:rPr>
          <w:rFonts w:hint="eastAsia" w:ascii="宋体" w:hAnsi="宋体" w:cs="宋体"/>
          <w:b/>
          <w:spacing w:val="6"/>
          <w:sz w:val="24"/>
          <w:szCs w:val="24"/>
          <w:highlight w:val="none"/>
        </w:rPr>
        <w:t>注：</w:t>
      </w:r>
      <w:r>
        <w:rPr>
          <w:rFonts w:hint="eastAsia" w:ascii="宋体" w:hAnsi="宋体" w:cs="宋体"/>
          <w:sz w:val="24"/>
          <w:szCs w:val="24"/>
          <w:highlight w:val="none"/>
        </w:rPr>
        <w:t>1、如未提供中小企业声明函，则其投标服务中的小型、微型企业提供的服务不能享受招标文件规定的政策扶持，但不影响投标人投标文件的有效性。</w:t>
      </w:r>
    </w:p>
    <w:p>
      <w:pPr>
        <w:widowControl/>
        <w:ind w:firstLine="480" w:firstLineChars="200"/>
        <w:jc w:val="left"/>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kern w:val="0"/>
          <w:sz w:val="24"/>
          <w:szCs w:val="24"/>
          <w:highlight w:val="none"/>
        </w:rPr>
        <w:t>供应商参加政府采购时其声明应按格式如实填写，提供虚假中小企业申明函的，以提供虚假材料谋取中标处理</w:t>
      </w:r>
      <w:r>
        <w:rPr>
          <w:rFonts w:hint="eastAsia" w:ascii="宋体" w:hAnsi="宋体" w:cs="宋体"/>
          <w:sz w:val="24"/>
          <w:szCs w:val="24"/>
          <w:highlight w:val="none"/>
        </w:rPr>
        <w:t xml:space="preserve">。 </w:t>
      </w:r>
    </w:p>
    <w:p>
      <w:pPr>
        <w:widowControl/>
        <w:ind w:firstLine="480" w:firstLineChars="200"/>
        <w:jc w:val="left"/>
        <w:rPr>
          <w:rFonts w:ascii="宋体" w:hAnsi="宋体" w:cs="宋体"/>
          <w:sz w:val="24"/>
          <w:szCs w:val="24"/>
          <w:highlight w:val="none"/>
        </w:rPr>
      </w:pPr>
      <w:r>
        <w:rPr>
          <w:rFonts w:hint="eastAsia" w:ascii="宋体" w:hAnsi="宋体" w:cs="宋体"/>
          <w:sz w:val="24"/>
          <w:szCs w:val="24"/>
          <w:highlight w:val="none"/>
        </w:rPr>
        <w:t>3、本次采购标的对应的中小企业划分标准所属行业为</w:t>
      </w:r>
      <w:r>
        <w:rPr>
          <w:rFonts w:hint="eastAsia" w:ascii="宋体" w:hAnsi="宋体" w:cs="宋体"/>
          <w:sz w:val="24"/>
          <w:szCs w:val="24"/>
          <w:highlight w:val="none"/>
          <w:u w:val="single"/>
        </w:rPr>
        <w:t>其他未列明行业</w:t>
      </w:r>
      <w:r>
        <w:rPr>
          <w:rFonts w:hint="eastAsia" w:ascii="宋体" w:hAnsi="宋体" w:cs="宋体"/>
          <w:sz w:val="24"/>
          <w:szCs w:val="24"/>
          <w:highlight w:val="none"/>
        </w:rPr>
        <w:t>。</w:t>
      </w:r>
    </w:p>
    <w:p>
      <w:pPr>
        <w:widowControl/>
        <w:ind w:firstLine="480" w:firstLineChars="200"/>
        <w:jc w:val="left"/>
        <w:rPr>
          <w:rFonts w:ascii="宋体" w:hAnsi="宋体" w:cs="宋体"/>
          <w:sz w:val="24"/>
          <w:szCs w:val="24"/>
          <w:highlight w:val="none"/>
        </w:rPr>
      </w:pPr>
      <w:r>
        <w:rPr>
          <w:rFonts w:hint="eastAsia" w:ascii="宋体" w:hAnsi="宋体" w:cs="宋体"/>
          <w:sz w:val="24"/>
          <w:szCs w:val="24"/>
          <w:highlight w:val="none"/>
        </w:rPr>
        <w:t>4、小微企业不得将合同分包给大中型企业，中型企业不得将合同分包给大型企业。</w:t>
      </w:r>
    </w:p>
    <w:p>
      <w:pPr>
        <w:pStyle w:val="17"/>
        <w:rPr>
          <w:rFonts w:ascii="宋体" w:hAnsi="宋体" w:cs="宋体"/>
          <w:highlight w:val="none"/>
        </w:rPr>
      </w:pPr>
      <w:r>
        <w:rPr>
          <w:rFonts w:hint="eastAsia" w:ascii="宋体" w:hAnsi="宋体" w:cs="宋体"/>
          <w:highlight w:val="none"/>
        </w:rPr>
        <w:br w:type="page"/>
      </w:r>
    </w:p>
    <w:p>
      <w:pPr>
        <w:pStyle w:val="18"/>
        <w:ind w:firstLine="180"/>
        <w:rPr>
          <w:highlight w:val="none"/>
        </w:rPr>
      </w:pPr>
    </w:p>
    <w:p>
      <w:pPr>
        <w:pStyle w:val="4"/>
        <w:ind w:hanging="3119"/>
        <w:rPr>
          <w:rFonts w:cs="宋体"/>
          <w:color w:val="auto"/>
          <w:sz w:val="24"/>
          <w:szCs w:val="24"/>
          <w:highlight w:val="none"/>
        </w:rPr>
      </w:pPr>
      <w:r>
        <w:rPr>
          <w:rFonts w:hint="eastAsia" w:cs="宋体"/>
          <w:color w:val="auto"/>
          <w:sz w:val="24"/>
          <w:szCs w:val="24"/>
          <w:highlight w:val="none"/>
        </w:rPr>
        <w:t>监狱企业证明材料</w:t>
      </w:r>
    </w:p>
    <w:p>
      <w:pPr>
        <w:rPr>
          <w:rFonts w:ascii="宋体" w:hAnsi="宋体" w:cs="宋体"/>
          <w:b/>
          <w:bCs/>
          <w:sz w:val="24"/>
          <w:szCs w:val="24"/>
          <w:highlight w:val="none"/>
        </w:rPr>
      </w:pPr>
      <w:r>
        <w:rPr>
          <w:rFonts w:hint="eastAsia" w:ascii="宋体" w:hAnsi="宋体" w:cs="宋体"/>
          <w:b/>
          <w:bCs/>
          <w:sz w:val="24"/>
          <w:szCs w:val="24"/>
          <w:highlight w:val="none"/>
        </w:rPr>
        <w:t>附：证明材料复印件</w:t>
      </w:r>
    </w:p>
    <w:p>
      <w:pPr>
        <w:widowControl/>
        <w:jc w:val="left"/>
        <w:rPr>
          <w:rFonts w:ascii="宋体" w:hAnsi="宋体" w:cs="宋体"/>
          <w:b/>
          <w:sz w:val="24"/>
          <w:szCs w:val="24"/>
          <w:highlight w:val="none"/>
        </w:rPr>
      </w:pPr>
    </w:p>
    <w:p>
      <w:pPr>
        <w:pStyle w:val="17"/>
        <w:rPr>
          <w:rFonts w:ascii="宋体" w:hAnsi="宋体" w:cs="宋体"/>
          <w:b/>
          <w:sz w:val="24"/>
          <w:szCs w:val="24"/>
          <w:highlight w:val="none"/>
        </w:r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参加政府采购活动的监狱企业应当提供省级以上监狱管理局、戒毒管理局（含新疆生产建设兵团）出具的属于监狱企业的证明文件复印件加盖供应商公章。</w:t>
      </w:r>
    </w:p>
    <w:p>
      <w:pPr>
        <w:pStyle w:val="18"/>
        <w:ind w:firstLine="180"/>
        <w:rPr>
          <w:highlight w:val="none"/>
        </w:rPr>
      </w:pPr>
    </w:p>
    <w:p>
      <w:pPr>
        <w:widowControl/>
        <w:jc w:val="left"/>
        <w:rPr>
          <w:rFonts w:ascii="宋体" w:hAnsi="宋体" w:cs="宋体"/>
          <w:b/>
          <w:sz w:val="24"/>
          <w:szCs w:val="24"/>
          <w:highlight w:val="none"/>
        </w:rPr>
      </w:pPr>
      <w:r>
        <w:rPr>
          <w:rFonts w:hint="eastAsia" w:ascii="宋体" w:hAnsi="宋体" w:cs="宋体"/>
          <w:b/>
          <w:sz w:val="24"/>
          <w:szCs w:val="24"/>
          <w:highlight w:val="none"/>
        </w:rPr>
        <w:t>说明：如未提供则不能享受对监狱企业生产的产品的价格扣除，但不影响投标文件的有效性。</w:t>
      </w:r>
    </w:p>
    <w:p>
      <w:pPr>
        <w:pStyle w:val="4"/>
        <w:ind w:left="142" w:hanging="142"/>
        <w:rPr>
          <w:rFonts w:cs="宋体"/>
          <w:color w:val="auto"/>
          <w:sz w:val="24"/>
          <w:szCs w:val="24"/>
          <w:highlight w:val="none"/>
        </w:rPr>
      </w:pPr>
      <w:r>
        <w:rPr>
          <w:rFonts w:hint="eastAsia" w:cs="宋体"/>
          <w:color w:val="auto"/>
          <w:sz w:val="24"/>
          <w:szCs w:val="24"/>
          <w:highlight w:val="none"/>
        </w:rPr>
        <w:br w:type="page"/>
      </w:r>
      <w:bookmarkEnd w:id="169"/>
      <w:bookmarkEnd w:id="170"/>
      <w:bookmarkEnd w:id="171"/>
      <w:bookmarkEnd w:id="172"/>
      <w:bookmarkEnd w:id="173"/>
      <w:bookmarkEnd w:id="174"/>
      <w:bookmarkEnd w:id="175"/>
      <w:bookmarkEnd w:id="176"/>
      <w:bookmarkEnd w:id="177"/>
      <w:bookmarkStart w:id="265" w:name="_Toc263768877"/>
      <w:bookmarkStart w:id="266" w:name="_Toc302997928"/>
      <w:bookmarkStart w:id="267" w:name="_Toc263753619"/>
      <w:bookmarkStart w:id="268" w:name="_Toc217446083"/>
      <w:r>
        <w:rPr>
          <w:rFonts w:hint="eastAsia" w:cs="宋体"/>
          <w:color w:val="auto"/>
          <w:sz w:val="24"/>
          <w:szCs w:val="24"/>
          <w:highlight w:val="none"/>
        </w:rPr>
        <w:t>残疾人福利性单位声明函</w:t>
      </w:r>
    </w:p>
    <w:p>
      <w:pPr>
        <w:spacing w:line="588" w:lineRule="exact"/>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残疾人福利性单位声明函</w:t>
      </w:r>
    </w:p>
    <w:p>
      <w:pPr>
        <w:spacing w:line="588" w:lineRule="exact"/>
        <w:ind w:firstLine="504" w:firstLineChars="200"/>
        <w:rPr>
          <w:rFonts w:ascii="宋体" w:hAnsi="宋体" w:cs="宋体"/>
          <w:spacing w:val="6"/>
          <w:sz w:val="24"/>
          <w:szCs w:val="24"/>
          <w:highlight w:val="none"/>
        </w:rPr>
      </w:pPr>
      <w:r>
        <w:rPr>
          <w:rFonts w:hint="eastAsia" w:ascii="宋体" w:hAnsi="宋体" w:cs="宋体"/>
          <w:spacing w:val="6"/>
          <w:sz w:val="24"/>
          <w:szCs w:val="24"/>
          <w:highlight w:val="none"/>
        </w:rPr>
        <w:t>本单位郑重声明，根据《关于促进残疾人就业政府采购政策的通知》（财库〔2017〕141号）的规定，本单位参加</w:t>
      </w:r>
      <w:r>
        <w:rPr>
          <w:rFonts w:hint="eastAsia" w:ascii="宋体" w:hAnsi="宋体" w:cs="宋体"/>
          <w:spacing w:val="6"/>
          <w:sz w:val="24"/>
          <w:szCs w:val="24"/>
          <w:highlight w:val="none"/>
          <w:u w:val="single"/>
        </w:rPr>
        <w:t xml:space="preserve">                  </w:t>
      </w:r>
      <w:r>
        <w:rPr>
          <w:rFonts w:hint="eastAsia" w:ascii="宋体" w:hAnsi="宋体" w:cs="宋体"/>
          <w:spacing w:val="6"/>
          <w:sz w:val="24"/>
          <w:szCs w:val="24"/>
          <w:highlight w:val="none"/>
        </w:rPr>
        <w:t>单位的</w:t>
      </w:r>
      <w:r>
        <w:rPr>
          <w:rFonts w:hint="eastAsia" w:ascii="宋体" w:hAnsi="宋体" w:cs="宋体"/>
          <w:spacing w:val="6"/>
          <w:sz w:val="24"/>
          <w:szCs w:val="24"/>
          <w:highlight w:val="none"/>
          <w:u w:val="single"/>
        </w:rPr>
        <w:t xml:space="preserve">      </w:t>
      </w:r>
      <w:r>
        <w:rPr>
          <w:rFonts w:hint="eastAsia" w:ascii="宋体" w:hAnsi="宋体" w:cs="宋体"/>
          <w:spacing w:val="6"/>
          <w:sz w:val="24"/>
          <w:szCs w:val="24"/>
          <w:highlight w:val="none"/>
        </w:rPr>
        <w:t>项目采购活动提供</w:t>
      </w:r>
      <w:r>
        <w:rPr>
          <w:rFonts w:hint="eastAsia" w:ascii="宋体" w:hAnsi="宋体" w:cs="宋体"/>
          <w:spacing w:val="6"/>
          <w:sz w:val="24"/>
          <w:szCs w:val="24"/>
          <w:highlight w:val="none"/>
          <w:u w:val="single"/>
        </w:rPr>
        <w:t xml:space="preserve">          </w:t>
      </w:r>
      <w:r>
        <w:rPr>
          <w:rFonts w:hint="eastAsia" w:ascii="宋体" w:hAnsi="宋体" w:cs="宋体"/>
          <w:spacing w:val="6"/>
          <w:sz w:val="24"/>
          <w:szCs w:val="24"/>
          <w:highlight w:val="none"/>
        </w:rPr>
        <w:t>（请填写：本单位、</w:t>
      </w:r>
      <w:r>
        <w:rPr>
          <w:rFonts w:hint="eastAsia" w:ascii="宋体" w:hAnsi="宋体" w:cs="宋体"/>
          <w:spacing w:val="6"/>
          <w:sz w:val="24"/>
          <w:szCs w:val="24"/>
          <w:highlight w:val="none"/>
          <w:u w:val="single"/>
        </w:rPr>
        <w:t xml:space="preserve">    </w:t>
      </w:r>
      <w:r>
        <w:rPr>
          <w:rFonts w:hint="eastAsia" w:ascii="宋体" w:hAnsi="宋体" w:cs="宋体"/>
          <w:spacing w:val="6"/>
          <w:sz w:val="24"/>
          <w:szCs w:val="24"/>
          <w:highlight w:val="none"/>
        </w:rPr>
        <w:t>单位）制造的货物，该单位为符合条件的残疾人福利性单位，不包括使用非残疾人福利性单位注册商标的货物。</w:t>
      </w:r>
    </w:p>
    <w:p>
      <w:pPr>
        <w:spacing w:line="588" w:lineRule="exact"/>
        <w:ind w:firstLine="504" w:firstLineChars="200"/>
        <w:rPr>
          <w:rFonts w:ascii="宋体" w:hAnsi="宋体" w:cs="宋体"/>
          <w:spacing w:val="6"/>
          <w:sz w:val="24"/>
          <w:szCs w:val="24"/>
          <w:highlight w:val="none"/>
        </w:rPr>
      </w:pPr>
      <w:r>
        <w:rPr>
          <w:rFonts w:hint="eastAsia" w:ascii="宋体" w:hAnsi="宋体" w:cs="宋体"/>
          <w:spacing w:val="6"/>
          <w:sz w:val="24"/>
          <w:szCs w:val="24"/>
          <w:highlight w:val="none"/>
        </w:rPr>
        <w:t>本单位对上述声明的真实性负责。如有虚假，将依法承担相应责任。</w:t>
      </w:r>
    </w:p>
    <w:p>
      <w:pPr>
        <w:spacing w:line="588" w:lineRule="exact"/>
        <w:rPr>
          <w:rFonts w:ascii="宋体" w:hAnsi="宋体" w:cs="宋体"/>
          <w:b/>
          <w:spacing w:val="6"/>
          <w:sz w:val="24"/>
          <w:szCs w:val="24"/>
          <w:highlight w:val="none"/>
        </w:rPr>
      </w:pPr>
    </w:p>
    <w:p>
      <w:pPr>
        <w:spacing w:line="560" w:lineRule="exact"/>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投标人名称（公章）：</w:t>
      </w:r>
      <w:r>
        <w:rPr>
          <w:rFonts w:hint="eastAsia" w:ascii="宋体" w:hAnsi="宋体" w:cs="宋体"/>
          <w:b/>
          <w:bCs/>
          <w:sz w:val="24"/>
          <w:szCs w:val="24"/>
          <w:highlight w:val="none"/>
          <w:u w:val="single"/>
        </w:rPr>
        <w:t xml:space="preserve">                                 </w:t>
      </w:r>
    </w:p>
    <w:p>
      <w:pPr>
        <w:spacing w:line="560" w:lineRule="exact"/>
        <w:ind w:firstLine="482" w:firstLineChars="200"/>
        <w:rPr>
          <w:rFonts w:ascii="宋体" w:hAnsi="宋体" w:cs="宋体"/>
          <w:b/>
          <w:sz w:val="24"/>
          <w:szCs w:val="24"/>
          <w:highlight w:val="none"/>
        </w:rPr>
      </w:pPr>
      <w:r>
        <w:rPr>
          <w:rFonts w:hint="eastAsia" w:ascii="宋体" w:hAnsi="宋体" w:cs="宋体"/>
          <w:b/>
          <w:bCs/>
          <w:sz w:val="24"/>
          <w:szCs w:val="24"/>
          <w:highlight w:val="none"/>
        </w:rPr>
        <w:t>日  期：</w:t>
      </w:r>
      <w:r>
        <w:rPr>
          <w:rFonts w:hint="eastAsia" w:ascii="宋体" w:hAnsi="宋体" w:cs="宋体"/>
          <w:b/>
          <w:bCs/>
          <w:sz w:val="24"/>
          <w:szCs w:val="24"/>
          <w:highlight w:val="none"/>
          <w:u w:val="single"/>
        </w:rPr>
        <w:t xml:space="preserve">            </w:t>
      </w:r>
    </w:p>
    <w:p>
      <w:pPr>
        <w:tabs>
          <w:tab w:val="left" w:pos="3969"/>
        </w:tabs>
        <w:spacing w:line="588" w:lineRule="exact"/>
        <w:ind w:right="-58"/>
        <w:jc w:val="left"/>
        <w:rPr>
          <w:rFonts w:ascii="宋体" w:hAnsi="宋体" w:cs="宋体"/>
          <w:spacing w:val="6"/>
          <w:sz w:val="24"/>
          <w:szCs w:val="24"/>
          <w:highlight w:val="none"/>
        </w:rPr>
      </w:pPr>
    </w:p>
    <w:p>
      <w:pPr>
        <w:ind w:firstLine="563"/>
        <w:rPr>
          <w:rFonts w:ascii="宋体" w:hAnsi="宋体" w:cs="宋体"/>
          <w:sz w:val="24"/>
          <w:szCs w:val="24"/>
          <w:highlight w:val="none"/>
        </w:rPr>
      </w:pPr>
      <w:r>
        <w:rPr>
          <w:rFonts w:hint="eastAsia" w:ascii="宋体" w:hAnsi="宋体" w:cs="宋体"/>
          <w:b/>
          <w:spacing w:val="6"/>
          <w:sz w:val="24"/>
          <w:szCs w:val="24"/>
          <w:highlight w:val="none"/>
        </w:rPr>
        <w:t>说明：</w:t>
      </w:r>
      <w:r>
        <w:rPr>
          <w:rFonts w:hint="eastAsia" w:ascii="宋体" w:hAnsi="宋体" w:cs="宋体"/>
          <w:spacing w:val="6"/>
          <w:sz w:val="24"/>
          <w:szCs w:val="24"/>
          <w:highlight w:val="none"/>
        </w:rPr>
        <w:t>1、</w:t>
      </w:r>
      <w:r>
        <w:rPr>
          <w:rFonts w:hint="eastAsia" w:ascii="宋体" w:hAnsi="宋体" w:cs="宋体"/>
          <w:sz w:val="24"/>
          <w:szCs w:val="24"/>
          <w:highlight w:val="none"/>
        </w:rPr>
        <w:t>如未提供残疾人福利性单位声明函，则其投标产品中的残疾人福利性单位的货物不能享受招标文件规定的价格扣除，但不影响投标人投标文件的有效性。</w:t>
      </w:r>
    </w:p>
    <w:p>
      <w:pPr>
        <w:ind w:firstLine="480" w:firstLineChars="200"/>
        <w:rPr>
          <w:rFonts w:ascii="宋体" w:hAnsi="宋体" w:cs="宋体"/>
          <w:sz w:val="24"/>
          <w:szCs w:val="24"/>
          <w:highlight w:val="none"/>
        </w:rPr>
      </w:pPr>
      <w:r>
        <w:rPr>
          <w:rFonts w:hint="eastAsia" w:ascii="宋体" w:hAnsi="宋体" w:cs="宋体"/>
          <w:sz w:val="24"/>
          <w:szCs w:val="24"/>
          <w:highlight w:val="none"/>
        </w:rPr>
        <w:t>2、中标人为残疾人福利性单位的，随中标结果同时公告其《残疾人福利性单位声明函》，接受社会监督。</w:t>
      </w:r>
    </w:p>
    <w:p>
      <w:pPr>
        <w:pStyle w:val="17"/>
        <w:ind w:firstLine="480" w:firstLineChars="200"/>
        <w:rPr>
          <w:rFonts w:ascii="宋体" w:hAnsi="宋体" w:cs="宋体"/>
          <w:kern w:val="2"/>
          <w:sz w:val="24"/>
          <w:szCs w:val="24"/>
          <w:highlight w:val="none"/>
        </w:rPr>
      </w:pPr>
      <w:r>
        <w:rPr>
          <w:rFonts w:hint="eastAsia" w:ascii="宋体" w:hAnsi="宋体" w:cs="宋体"/>
          <w:kern w:val="2"/>
          <w:sz w:val="24"/>
          <w:szCs w:val="24"/>
          <w:highlight w:val="none"/>
        </w:rPr>
        <w:br w:type="page"/>
      </w:r>
    </w:p>
    <w:p>
      <w:pPr>
        <w:pStyle w:val="4"/>
        <w:ind w:left="142" w:hanging="142"/>
        <w:rPr>
          <w:rFonts w:cs="宋体"/>
          <w:color w:val="auto"/>
          <w:sz w:val="24"/>
          <w:szCs w:val="24"/>
          <w:highlight w:val="none"/>
        </w:rPr>
      </w:pPr>
      <w:r>
        <w:rPr>
          <w:rFonts w:hint="eastAsia" w:cs="宋体"/>
          <w:color w:val="auto"/>
          <w:sz w:val="24"/>
          <w:szCs w:val="24"/>
          <w:highlight w:val="none"/>
        </w:rPr>
        <w:t>投标产品技术性能、技术参数和配置的详细描述</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采购项目名称：</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采购项目编号：</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包件号：</w:t>
      </w: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r>
        <w:rPr>
          <w:rFonts w:hint="eastAsia" w:ascii="宋体" w:hAnsi="宋体" w:cs="宋体"/>
          <w:sz w:val="24"/>
          <w:szCs w:val="24"/>
          <w:highlight w:val="none"/>
        </w:rPr>
        <w:t>格式自拟</w:t>
      </w: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pStyle w:val="26"/>
        <w:spacing w:line="560" w:lineRule="exact"/>
        <w:ind w:left="0" w:leftChars="0"/>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pStyle w:val="26"/>
        <w:spacing w:line="560" w:lineRule="exact"/>
        <w:ind w:left="0" w:leftChars="0"/>
        <w:rPr>
          <w:rFonts w:ascii="宋体" w:hAnsi="宋体" w:cs="宋体"/>
          <w:sz w:val="24"/>
          <w:szCs w:val="24"/>
          <w:highlight w:val="none"/>
        </w:rPr>
      </w:pPr>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pStyle w:val="4"/>
        <w:ind w:hanging="3119"/>
        <w:rPr>
          <w:rFonts w:cs="宋体"/>
          <w:color w:val="auto"/>
          <w:sz w:val="24"/>
          <w:szCs w:val="24"/>
          <w:highlight w:val="none"/>
        </w:rPr>
        <w:sectPr>
          <w:pgSz w:w="11906" w:h="16838"/>
          <w:pgMar w:top="1327" w:right="1800" w:bottom="1327" w:left="1800" w:header="851" w:footer="992" w:gutter="0"/>
          <w:cols w:space="720" w:num="1"/>
          <w:docGrid w:type="lines" w:linePitch="312" w:charSpace="0"/>
        </w:sectPr>
      </w:pPr>
    </w:p>
    <w:p>
      <w:pPr>
        <w:pStyle w:val="4"/>
        <w:ind w:hanging="3119"/>
        <w:rPr>
          <w:rFonts w:cs="宋体"/>
          <w:color w:val="auto"/>
          <w:sz w:val="24"/>
          <w:szCs w:val="24"/>
          <w:highlight w:val="none"/>
        </w:rPr>
      </w:pPr>
      <w:r>
        <w:rPr>
          <w:rFonts w:hint="eastAsia" w:cs="宋体"/>
          <w:color w:val="auto"/>
          <w:sz w:val="24"/>
          <w:szCs w:val="24"/>
          <w:highlight w:val="none"/>
        </w:rPr>
        <w:t>项目实施方案（根据项目情况增加）</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采购项目名称：</w:t>
      </w:r>
    </w:p>
    <w:p>
      <w:pPr>
        <w:spacing w:line="360" w:lineRule="auto"/>
        <w:ind w:firstLine="436" w:firstLineChars="182"/>
        <w:rPr>
          <w:rFonts w:ascii="宋体" w:hAnsi="宋体" w:cs="宋体"/>
          <w:sz w:val="24"/>
          <w:szCs w:val="24"/>
          <w:highlight w:val="none"/>
        </w:rPr>
      </w:pPr>
      <w:r>
        <w:rPr>
          <w:rFonts w:hint="eastAsia" w:ascii="宋体" w:hAnsi="宋体" w:cs="宋体"/>
          <w:sz w:val="24"/>
          <w:szCs w:val="24"/>
          <w:highlight w:val="none"/>
        </w:rPr>
        <w:t>采购项目编号：</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包件号：</w:t>
      </w: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rPr>
          <w:rFonts w:ascii="宋体" w:hAnsi="宋体" w:cs="宋体"/>
          <w:sz w:val="24"/>
          <w:szCs w:val="24"/>
          <w:highlight w:val="none"/>
        </w:rPr>
      </w:pPr>
    </w:p>
    <w:p>
      <w:pPr>
        <w:pStyle w:val="26"/>
        <w:spacing w:line="560" w:lineRule="exact"/>
        <w:ind w:left="0" w:leftChars="0"/>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tabs>
          <w:tab w:val="left" w:pos="3969"/>
        </w:tabs>
        <w:spacing w:line="588" w:lineRule="exact"/>
        <w:ind w:right="-58"/>
        <w:jc w:val="left"/>
        <w:rPr>
          <w:rFonts w:ascii="宋体" w:hAnsi="宋体" w:cs="宋体"/>
          <w:sz w:val="24"/>
          <w:szCs w:val="24"/>
          <w:highlight w:val="none"/>
        </w:rPr>
      </w:pPr>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rPr>
          <w:rFonts w:ascii="宋体" w:hAnsi="宋体" w:cs="宋体"/>
          <w:sz w:val="24"/>
          <w:szCs w:val="24"/>
          <w:highlight w:val="none"/>
        </w:rPr>
      </w:pPr>
    </w:p>
    <w:p>
      <w:pPr>
        <w:rPr>
          <w:rFonts w:ascii="宋体" w:hAnsi="宋体" w:cs="宋体"/>
          <w:sz w:val="24"/>
          <w:szCs w:val="24"/>
          <w:highlight w:val="none"/>
        </w:rPr>
      </w:pPr>
    </w:p>
    <w:p>
      <w:pPr>
        <w:pStyle w:val="4"/>
        <w:ind w:hanging="3119"/>
        <w:rPr>
          <w:rFonts w:cs="宋体"/>
          <w:color w:val="auto"/>
          <w:sz w:val="24"/>
          <w:szCs w:val="24"/>
          <w:highlight w:val="none"/>
        </w:rPr>
      </w:pPr>
      <w:r>
        <w:rPr>
          <w:rFonts w:hint="eastAsia" w:cs="宋体"/>
          <w:color w:val="auto"/>
          <w:sz w:val="24"/>
          <w:szCs w:val="24"/>
          <w:highlight w:val="none"/>
        </w:rPr>
        <w:t>售后服务及承诺</w:t>
      </w:r>
      <w:bookmarkEnd w:id="265"/>
      <w:bookmarkEnd w:id="266"/>
      <w:bookmarkEnd w:id="267"/>
    </w:p>
    <w:p>
      <w:pPr>
        <w:snapToGrid w:val="0"/>
        <w:spacing w:line="400" w:lineRule="exact"/>
        <w:ind w:right="-624" w:rightChars="-297"/>
        <w:rPr>
          <w:rFonts w:ascii="宋体" w:hAnsi="宋体" w:cs="宋体"/>
          <w:b/>
          <w:sz w:val="24"/>
          <w:szCs w:val="24"/>
          <w:highlight w:val="none"/>
        </w:rPr>
      </w:pPr>
      <w:r>
        <w:rPr>
          <w:rFonts w:hint="eastAsia" w:ascii="宋体" w:hAnsi="宋体" w:cs="宋体"/>
          <w:b/>
          <w:sz w:val="24"/>
          <w:szCs w:val="24"/>
          <w:highlight w:val="none"/>
        </w:rPr>
        <w:t>项目名称：</w:t>
      </w:r>
      <w:r>
        <w:rPr>
          <w:rFonts w:hint="eastAsia" w:ascii="宋体" w:hAnsi="宋体" w:cs="宋体"/>
          <w:b/>
          <w:sz w:val="24"/>
          <w:szCs w:val="24"/>
          <w:highlight w:val="none"/>
          <w:u w:val="single"/>
        </w:rPr>
        <w:t xml:space="preserve">                                    </w:t>
      </w:r>
    </w:p>
    <w:p>
      <w:pPr>
        <w:pStyle w:val="12"/>
        <w:tabs>
          <w:tab w:val="left" w:pos="7560"/>
        </w:tabs>
        <w:spacing w:line="400" w:lineRule="exact"/>
        <w:ind w:firstLine="0"/>
        <w:rPr>
          <w:rFonts w:ascii="宋体" w:hAnsi="宋体" w:cs="宋体"/>
          <w:b/>
          <w:sz w:val="24"/>
          <w:szCs w:val="24"/>
          <w:highlight w:val="none"/>
          <w:u w:val="single"/>
        </w:rPr>
      </w:pPr>
      <w:r>
        <w:rPr>
          <w:rFonts w:hint="eastAsia" w:ascii="宋体" w:hAnsi="宋体" w:cs="宋体"/>
          <w:b/>
          <w:sz w:val="24"/>
          <w:szCs w:val="24"/>
          <w:highlight w:val="none"/>
        </w:rPr>
        <w:t>项目编号：</w:t>
      </w:r>
      <w:r>
        <w:rPr>
          <w:rFonts w:hint="eastAsia" w:ascii="宋体" w:hAnsi="宋体" w:cs="宋体"/>
          <w:b/>
          <w:sz w:val="24"/>
          <w:szCs w:val="24"/>
          <w:highlight w:val="none"/>
          <w:u w:val="single"/>
        </w:rPr>
        <w:t xml:space="preserve">                                     </w:t>
      </w:r>
    </w:p>
    <w:bookmarkEnd w:id="268"/>
    <w:p>
      <w:pPr>
        <w:ind w:firstLine="484" w:firstLineChars="202"/>
        <w:rPr>
          <w:rFonts w:ascii="宋体" w:hAnsi="宋体" w:cs="宋体"/>
          <w:sz w:val="24"/>
          <w:szCs w:val="24"/>
          <w:highlight w:val="none"/>
        </w:rPr>
      </w:pPr>
      <w:bookmarkStart w:id="269" w:name="_Toc316475719"/>
      <w:r>
        <w:rPr>
          <w:rFonts w:hint="eastAsia" w:ascii="宋体" w:hAnsi="宋体" w:cs="宋体"/>
          <w:sz w:val="24"/>
          <w:szCs w:val="24"/>
          <w:highlight w:val="none"/>
        </w:rPr>
        <w:t>格式自拟。</w:t>
      </w:r>
    </w:p>
    <w:p>
      <w:pPr>
        <w:ind w:firstLine="484" w:firstLineChars="202"/>
        <w:rPr>
          <w:rFonts w:ascii="宋体" w:hAnsi="宋体" w:cs="宋体"/>
          <w:sz w:val="24"/>
          <w:szCs w:val="24"/>
          <w:highlight w:val="none"/>
        </w:rPr>
      </w:pPr>
    </w:p>
    <w:p>
      <w:pPr>
        <w:ind w:firstLine="484" w:firstLineChars="202"/>
        <w:rPr>
          <w:rFonts w:ascii="宋体" w:hAnsi="宋体" w:cs="宋体"/>
          <w:sz w:val="24"/>
          <w:szCs w:val="24"/>
          <w:highlight w:val="none"/>
        </w:rPr>
      </w:pPr>
    </w:p>
    <w:p>
      <w:pPr>
        <w:ind w:firstLine="484" w:firstLineChars="202"/>
        <w:rPr>
          <w:rFonts w:ascii="宋体" w:hAnsi="宋体" w:cs="宋体"/>
          <w:sz w:val="24"/>
          <w:szCs w:val="24"/>
          <w:highlight w:val="none"/>
        </w:rPr>
      </w:pPr>
    </w:p>
    <w:p>
      <w:pPr>
        <w:ind w:firstLine="484" w:firstLineChars="202"/>
        <w:rPr>
          <w:rFonts w:ascii="宋体" w:hAnsi="宋体" w:cs="宋体"/>
          <w:sz w:val="24"/>
          <w:szCs w:val="24"/>
          <w:highlight w:val="none"/>
        </w:rPr>
      </w:pPr>
    </w:p>
    <w:p>
      <w:pPr>
        <w:pStyle w:val="26"/>
        <w:spacing w:line="560" w:lineRule="exact"/>
        <w:ind w:left="0" w:leftChars="0"/>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tabs>
          <w:tab w:val="left" w:pos="3969"/>
        </w:tabs>
        <w:spacing w:line="588" w:lineRule="exact"/>
        <w:ind w:right="-58"/>
        <w:jc w:val="left"/>
        <w:rPr>
          <w:rFonts w:ascii="宋体" w:hAnsi="宋体" w:cs="宋体"/>
          <w:bCs/>
          <w:sz w:val="24"/>
          <w:szCs w:val="24"/>
          <w:highlight w:val="none"/>
        </w:rPr>
      </w:pPr>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pStyle w:val="4"/>
        <w:ind w:hanging="3119"/>
        <w:rPr>
          <w:rFonts w:cs="宋体"/>
          <w:color w:val="auto"/>
          <w:sz w:val="24"/>
          <w:szCs w:val="24"/>
          <w:highlight w:val="none"/>
        </w:rPr>
      </w:pPr>
      <w:r>
        <w:rPr>
          <w:rFonts w:hint="eastAsia" w:cs="宋体"/>
          <w:bCs w:val="0"/>
          <w:color w:val="auto"/>
          <w:sz w:val="24"/>
          <w:szCs w:val="24"/>
          <w:highlight w:val="none"/>
        </w:rPr>
        <w:br w:type="page"/>
      </w:r>
      <w:r>
        <w:rPr>
          <w:rFonts w:hint="eastAsia" w:cs="宋体"/>
          <w:color w:val="auto"/>
          <w:sz w:val="24"/>
          <w:szCs w:val="24"/>
          <w:highlight w:val="none"/>
        </w:rPr>
        <w:t>国家强制认证产品承诺函</w:t>
      </w:r>
    </w:p>
    <w:p>
      <w:pPr>
        <w:rPr>
          <w:rFonts w:ascii="宋体" w:hAnsi="宋体" w:cs="宋体"/>
          <w:highlight w:val="none"/>
        </w:rPr>
      </w:pPr>
    </w:p>
    <w:p>
      <w:pPr>
        <w:spacing w:line="560" w:lineRule="exact"/>
        <w:ind w:firstLine="436" w:firstLineChars="182"/>
        <w:rPr>
          <w:rFonts w:ascii="宋体" w:hAnsi="宋体" w:cs="宋体"/>
          <w:sz w:val="24"/>
          <w:szCs w:val="24"/>
          <w:highlight w:val="none"/>
        </w:rPr>
      </w:pPr>
      <w:r>
        <w:rPr>
          <w:rFonts w:hint="eastAsia" w:ascii="宋体" w:hAnsi="宋体" w:cs="宋体"/>
          <w:sz w:val="24"/>
          <w:szCs w:val="24"/>
          <w:highlight w:val="none"/>
        </w:rPr>
        <w:t>采购项目名称：</w:t>
      </w:r>
    </w:p>
    <w:p>
      <w:pPr>
        <w:spacing w:line="560" w:lineRule="exact"/>
        <w:ind w:firstLine="436" w:firstLineChars="182"/>
        <w:rPr>
          <w:rFonts w:ascii="宋体" w:hAnsi="宋体" w:cs="宋体"/>
          <w:sz w:val="24"/>
          <w:szCs w:val="24"/>
          <w:highlight w:val="none"/>
        </w:rPr>
      </w:pPr>
      <w:r>
        <w:rPr>
          <w:rFonts w:hint="eastAsia" w:ascii="宋体" w:hAnsi="宋体" w:cs="宋体"/>
          <w:sz w:val="24"/>
          <w:szCs w:val="24"/>
          <w:highlight w:val="none"/>
        </w:rPr>
        <w:t>采购项目编号：</w:t>
      </w:r>
    </w:p>
    <w:p>
      <w:pPr>
        <w:spacing w:line="560" w:lineRule="exact"/>
        <w:ind w:firstLine="436" w:firstLineChars="182"/>
        <w:rPr>
          <w:rFonts w:ascii="宋体" w:hAnsi="宋体" w:cs="宋体"/>
          <w:sz w:val="24"/>
          <w:szCs w:val="24"/>
          <w:highlight w:val="none"/>
        </w:rPr>
      </w:pPr>
      <w:r>
        <w:rPr>
          <w:rFonts w:hint="eastAsia" w:ascii="宋体" w:hAnsi="宋体" w:cs="宋体"/>
          <w:sz w:val="24"/>
          <w:szCs w:val="24"/>
          <w:highlight w:val="none"/>
        </w:rPr>
        <w:t>包件号：</w:t>
      </w:r>
    </w:p>
    <w:p>
      <w:pPr>
        <w:pStyle w:val="17"/>
        <w:jc w:val="center"/>
        <w:rPr>
          <w:rFonts w:ascii="宋体" w:hAnsi="宋体" w:cs="宋体"/>
          <w:kern w:val="2"/>
          <w:sz w:val="24"/>
          <w:szCs w:val="24"/>
          <w:highlight w:val="none"/>
        </w:rPr>
      </w:pPr>
      <w:r>
        <w:rPr>
          <w:rFonts w:hint="eastAsia" w:ascii="宋体" w:hAnsi="宋体" w:cs="宋体"/>
          <w:kern w:val="2"/>
          <w:sz w:val="24"/>
          <w:szCs w:val="24"/>
          <w:highlight w:val="none"/>
        </w:rPr>
        <w:t>国家强制认证产品承诺函</w:t>
      </w:r>
    </w:p>
    <w:p>
      <w:pPr>
        <w:pStyle w:val="17"/>
        <w:rPr>
          <w:rFonts w:ascii="宋体" w:hAnsi="宋体" w:cs="宋体"/>
          <w:kern w:val="2"/>
          <w:sz w:val="24"/>
          <w:szCs w:val="24"/>
          <w:highlight w:val="none"/>
        </w:rPr>
      </w:pPr>
    </w:p>
    <w:p>
      <w:pPr>
        <w:spacing w:line="560" w:lineRule="exact"/>
        <w:ind w:firstLine="436" w:firstLineChars="182"/>
        <w:rPr>
          <w:rFonts w:ascii="宋体" w:hAnsi="宋体" w:cs="宋体"/>
          <w:sz w:val="24"/>
          <w:szCs w:val="24"/>
          <w:highlight w:val="none"/>
        </w:rPr>
      </w:pPr>
      <w:r>
        <w:rPr>
          <w:rFonts w:hint="eastAsia" w:ascii="宋体" w:hAnsi="宋体" w:cs="宋体"/>
          <w:sz w:val="24"/>
          <w:szCs w:val="24"/>
          <w:highlight w:val="none"/>
        </w:rPr>
        <w:t>我公司在此承诺，所投产品涉及国家强制认证的（CCC）或前置许可认证的，在供货时将向采购人一并提供相关许可、认证材料，若未提供则视同虚假响应。</w:t>
      </w:r>
    </w:p>
    <w:p>
      <w:pPr>
        <w:spacing w:line="560" w:lineRule="exact"/>
        <w:ind w:firstLine="436" w:firstLineChars="182"/>
        <w:rPr>
          <w:rFonts w:ascii="宋体" w:hAnsi="宋体" w:cs="宋体"/>
          <w:sz w:val="24"/>
          <w:szCs w:val="24"/>
          <w:highlight w:val="none"/>
        </w:rPr>
      </w:pPr>
      <w:r>
        <w:rPr>
          <w:rFonts w:hint="eastAsia" w:ascii="宋体" w:hAnsi="宋体" w:cs="宋体"/>
          <w:sz w:val="24"/>
          <w:szCs w:val="24"/>
          <w:highlight w:val="none"/>
        </w:rPr>
        <w:t>特此承诺</w:t>
      </w:r>
    </w:p>
    <w:p>
      <w:pPr>
        <w:pStyle w:val="17"/>
        <w:rPr>
          <w:rFonts w:ascii="宋体" w:hAnsi="宋体" w:cs="宋体"/>
          <w:kern w:val="2"/>
          <w:sz w:val="24"/>
          <w:szCs w:val="24"/>
          <w:highlight w:val="none"/>
        </w:rPr>
      </w:pPr>
      <w:r>
        <w:rPr>
          <w:rFonts w:hint="eastAsia" w:ascii="宋体" w:hAnsi="宋体" w:cs="宋体"/>
          <w:kern w:val="2"/>
          <w:sz w:val="24"/>
          <w:szCs w:val="24"/>
          <w:highlight w:val="none"/>
        </w:rPr>
        <w:t xml:space="preserve">  </w:t>
      </w: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26"/>
        <w:spacing w:line="560" w:lineRule="exact"/>
        <w:ind w:left="0" w:leftChars="0"/>
        <w:rPr>
          <w:rFonts w:ascii="宋体" w:hAnsi="宋体" w:cs="宋体"/>
          <w:bCs/>
          <w:sz w:val="24"/>
          <w:szCs w:val="24"/>
          <w:highlight w:val="none"/>
        </w:rPr>
      </w:pPr>
      <w:r>
        <w:rPr>
          <w:rFonts w:hint="eastAsia" w:ascii="宋体" w:hAnsi="宋体" w:cs="宋体"/>
          <w:bCs/>
          <w:sz w:val="24"/>
          <w:szCs w:val="24"/>
          <w:highlight w:val="none"/>
        </w:rPr>
        <w:t>投标人名称（公章）：</w:t>
      </w:r>
      <w:r>
        <w:rPr>
          <w:rFonts w:hint="eastAsia" w:ascii="宋体" w:hAnsi="宋体" w:cs="宋体"/>
          <w:bCs/>
          <w:sz w:val="24"/>
          <w:szCs w:val="24"/>
          <w:highlight w:val="none"/>
          <w:u w:val="single"/>
        </w:rPr>
        <w:t xml:space="preserve">                  </w:t>
      </w:r>
    </w:p>
    <w:p>
      <w:pPr>
        <w:tabs>
          <w:tab w:val="left" w:pos="3969"/>
        </w:tabs>
        <w:spacing w:line="588" w:lineRule="exact"/>
        <w:ind w:right="-58"/>
        <w:jc w:val="left"/>
        <w:rPr>
          <w:rFonts w:ascii="宋体" w:hAnsi="宋体" w:cs="宋体"/>
          <w:bCs/>
          <w:sz w:val="24"/>
          <w:szCs w:val="24"/>
          <w:highlight w:val="none"/>
        </w:rPr>
      </w:pPr>
      <w:r>
        <w:rPr>
          <w:rFonts w:hint="eastAsia" w:ascii="宋体" w:hAnsi="宋体" w:cs="宋体"/>
          <w:sz w:val="24"/>
          <w:szCs w:val="24"/>
          <w:highlight w:val="none"/>
        </w:rPr>
        <w:t>日期：</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年</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月</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rPr>
        <w:t>日</w:t>
      </w: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pStyle w:val="17"/>
        <w:rPr>
          <w:rFonts w:ascii="宋体" w:hAnsi="宋体" w:cs="宋体"/>
          <w:highlight w:val="none"/>
        </w:rPr>
      </w:pPr>
    </w:p>
    <w:p>
      <w:pPr>
        <w:tabs>
          <w:tab w:val="left" w:pos="3969"/>
        </w:tabs>
        <w:spacing w:line="588" w:lineRule="exact"/>
        <w:ind w:right="-58"/>
        <w:jc w:val="left"/>
        <w:rPr>
          <w:rFonts w:ascii="宋体" w:hAnsi="宋体" w:cs="宋体"/>
          <w:sz w:val="24"/>
          <w:szCs w:val="24"/>
          <w:highlight w:val="none"/>
        </w:rPr>
      </w:pPr>
    </w:p>
    <w:bookmarkEnd w:id="269"/>
    <w:p>
      <w:pPr>
        <w:pStyle w:val="3"/>
        <w:rPr>
          <w:rFonts w:cs="宋体"/>
          <w:highlight w:val="none"/>
        </w:rPr>
        <w:sectPr>
          <w:pgSz w:w="11906" w:h="16838"/>
          <w:pgMar w:top="1327" w:right="1800" w:bottom="1327" w:left="1800" w:header="851" w:footer="992" w:gutter="0"/>
          <w:cols w:space="720" w:num="1"/>
          <w:docGrid w:type="lines" w:linePitch="312" w:charSpace="0"/>
        </w:sectPr>
      </w:pPr>
      <w:bookmarkStart w:id="270" w:name="_Toc13156"/>
      <w:bookmarkStart w:id="271" w:name="_Toc32231"/>
      <w:bookmarkStart w:id="272" w:name="_Toc475862793"/>
      <w:bookmarkStart w:id="273" w:name="_Toc316292231"/>
      <w:bookmarkStart w:id="274" w:name="_Toc321382057"/>
    </w:p>
    <w:p>
      <w:pPr>
        <w:pStyle w:val="3"/>
        <w:rPr>
          <w:rFonts w:cs="宋体"/>
          <w:highlight w:val="none"/>
        </w:rPr>
      </w:pPr>
      <w:bookmarkStart w:id="275" w:name="_Toc13652508"/>
      <w:r>
        <w:rPr>
          <w:rFonts w:hint="eastAsia" w:cs="宋体"/>
          <w:highlight w:val="none"/>
        </w:rPr>
        <w:t>招标项目技术、服务、政府采购合同内容条款及其他商务要求</w:t>
      </w:r>
      <w:bookmarkEnd w:id="270"/>
      <w:bookmarkEnd w:id="271"/>
      <w:bookmarkEnd w:id="272"/>
      <w:bookmarkEnd w:id="275"/>
    </w:p>
    <w:p>
      <w:pPr>
        <w:spacing w:line="560" w:lineRule="exact"/>
        <w:outlineLvl w:val="1"/>
        <w:rPr>
          <w:rFonts w:ascii="宋体" w:hAnsi="宋体" w:cs="宋体"/>
          <w:b/>
          <w:kern w:val="44"/>
          <w:sz w:val="24"/>
          <w:szCs w:val="24"/>
          <w:highlight w:val="none"/>
        </w:rPr>
      </w:pPr>
      <w:r>
        <w:rPr>
          <w:rFonts w:hint="eastAsia" w:ascii="宋体" w:hAnsi="宋体" w:cs="宋体"/>
          <w:b/>
          <w:kern w:val="44"/>
          <w:sz w:val="24"/>
          <w:szCs w:val="24"/>
          <w:highlight w:val="none"/>
        </w:rPr>
        <w:t>包件号：包件5</w:t>
      </w: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项目概况</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项目选取</w:t>
      </w:r>
      <w:r>
        <w:rPr>
          <w:rFonts w:ascii="宋体" w:hAnsi="宋体" w:cs="宋体"/>
          <w:sz w:val="24"/>
          <w:highlight w:val="none"/>
        </w:rPr>
        <w:t>三个典型的智慧城市应用场景：智慧环保应用系统、智能电网应用系统、智能安防应用系统。</w:t>
      </w:r>
    </w:p>
    <w:p>
      <w:pPr>
        <w:adjustRightInd w:val="0"/>
        <w:snapToGrid w:val="0"/>
        <w:spacing w:line="360" w:lineRule="auto"/>
        <w:jc w:val="center"/>
        <w:rPr>
          <w:rFonts w:ascii="宋体" w:hAnsi="宋体" w:cs="宋体"/>
          <w:sz w:val="24"/>
          <w:highlight w:val="none"/>
        </w:rPr>
      </w:pPr>
      <w:r>
        <w:rPr>
          <w:rFonts w:ascii="仿宋" w:hAnsi="仿宋" w:eastAsia="仿宋"/>
          <w:highlight w:val="none"/>
        </w:rPr>
        <w:drawing>
          <wp:inline distT="0" distB="0" distL="114300" distR="114300">
            <wp:extent cx="5232400" cy="2907665"/>
            <wp:effectExtent l="0" t="0" r="635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32400" cy="2907665"/>
                    </a:xfrm>
                    <a:prstGeom prst="rect">
                      <a:avLst/>
                    </a:prstGeom>
                    <a:noFill/>
                    <a:ln>
                      <a:noFill/>
                    </a:ln>
                  </pic:spPr>
                </pic:pic>
              </a:graphicData>
            </a:graphic>
          </wp:inline>
        </w:drawing>
      </w:r>
    </w:p>
    <w:p>
      <w:pPr>
        <w:adjustRightInd w:val="0"/>
        <w:snapToGrid w:val="0"/>
        <w:spacing w:line="360" w:lineRule="auto"/>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1</w:t>
      </w:r>
      <w:r>
        <w:rPr>
          <w:rFonts w:hint="eastAsia" w:ascii="宋体" w:hAnsi="宋体" w:cs="宋体"/>
          <w:sz w:val="24"/>
          <w:highlight w:val="none"/>
        </w:rPr>
        <w:t>、智慧环保主要使用各种类型环境监测、气象监测等传感器（温湿度、光照度、大气压力、CO2、风速、风向、空气质量等等）对相应的环境参数进行监测，同时采用灵活的通信方式（RS485、以太网、ZIGBEE、LORA、4G等）将数据实时传送至物联网云平台，并同时能通过远端客户端、移动端APP或者网页形式对数据进行实时查看。</w:t>
      </w:r>
    </w:p>
    <w:p>
      <w:pPr>
        <w:adjustRightInd w:val="0"/>
        <w:snapToGrid w:val="0"/>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rPr>
        <w:t xml:space="preserve">、智能电网主要采用智能电表对用电情况进行实时监管，主要分为三个部分：智慧照明系统、智能路灯系统和智能抄表系统。智慧照明采用智能面板（WIFI）对LED灯进行智能化操控，同时可以通过远端APP对LED灯进行实时监控；智能路灯采用NB-IOT对路灯进行远端实时监控；智能抄表采用智能电表结合4G通信进行远端抄表；通过远端对各种用电设备进行监管，例如结合光照度传感器可以实现实时调节灯光，或者结合人体红外传感可以实现无人自动关闭照明灯等智能化、节能化管理。 </w:t>
      </w:r>
    </w:p>
    <w:p>
      <w:pPr>
        <w:spacing w:line="360" w:lineRule="auto"/>
        <w:ind w:firstLine="480" w:firstLineChars="200"/>
        <w:rPr>
          <w:rFonts w:ascii="宋体" w:hAnsi="宋体"/>
          <w:sz w:val="24"/>
          <w:szCs w:val="24"/>
          <w:highlight w:val="none"/>
        </w:rPr>
      </w:pPr>
      <w:r>
        <w:rPr>
          <w:rFonts w:hint="eastAsia" w:ascii="宋体" w:hAnsi="宋体" w:cs="宋体"/>
          <w:sz w:val="24"/>
          <w:highlight w:val="none"/>
        </w:rPr>
        <w:t>3、智能安防主要采用传统的弱电安防监控项目，结合最新物联网技术及应用，可以实现更加智能化、人性化的安防监管。智能安防主要分为两个部分：视频监控和报警系统；其中视频监控主要包含传统的视频监控和最新的AI智能视频监控等；报警除传统的安防（防入侵、火灾等）监控外，还包含安全方面（煤气泄漏、重点区域防护等）的监控。可以通过远端实时监控及报警。</w:t>
      </w:r>
    </w:p>
    <w:p>
      <w:pPr>
        <w:tabs>
          <w:tab w:val="left" w:pos="851"/>
          <w:tab w:val="left" w:pos="993"/>
          <w:tab w:val="left" w:pos="1134"/>
        </w:tabs>
        <w:autoSpaceDE w:val="0"/>
        <w:autoSpaceDN w:val="0"/>
        <w:adjustRightInd w:val="0"/>
        <w:spacing w:line="360" w:lineRule="auto"/>
        <w:ind w:left="420"/>
        <w:rPr>
          <w:rFonts w:ascii="宋体" w:hAnsi="宋体" w:cs="宋体"/>
          <w:sz w:val="24"/>
          <w:szCs w:val="24"/>
          <w:highlight w:val="none"/>
        </w:rPr>
      </w:pP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★采购清单</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8"/>
        <w:gridCol w:w="5112"/>
        <w:gridCol w:w="178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67" w:type="pct"/>
            <w:vAlign w:val="center"/>
          </w:tcPr>
          <w:p>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2724" w:type="pct"/>
            <w:vAlign w:val="center"/>
          </w:tcPr>
          <w:p>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货物名称</w:t>
            </w:r>
          </w:p>
        </w:tc>
        <w:tc>
          <w:tcPr>
            <w:tcW w:w="953" w:type="pct"/>
            <w:vAlign w:val="center"/>
          </w:tcPr>
          <w:p>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953" w:type="pct"/>
            <w:vAlign w:val="center"/>
          </w:tcPr>
          <w:p>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8"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1</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城市智慧环保应用实训系统</w:t>
            </w:r>
          </w:p>
        </w:tc>
        <w:tc>
          <w:tcPr>
            <w:tcW w:w="1789" w:type="dxa"/>
            <w:vAlign w:val="center"/>
          </w:tcPr>
          <w:p>
            <w:pPr>
              <w:spacing w:line="360" w:lineRule="auto"/>
              <w:jc w:val="center"/>
              <w:rPr>
                <w:rFonts w:ascii="宋体" w:hAnsi="宋体" w:cs="宋体"/>
                <w:sz w:val="24"/>
                <w:szCs w:val="24"/>
                <w:highlight w:val="none"/>
              </w:rPr>
            </w:pPr>
            <w:r>
              <w:rPr>
                <w:rFonts w:ascii="宋体" w:hAnsi="宋体"/>
                <w:sz w:val="24"/>
                <w:szCs w:val="24"/>
                <w:highlight w:val="none"/>
              </w:rPr>
              <w:t>10</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2</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城市智能电网应用实训系统</w:t>
            </w:r>
          </w:p>
        </w:tc>
        <w:tc>
          <w:tcPr>
            <w:tcW w:w="1789" w:type="dxa"/>
            <w:vAlign w:val="center"/>
          </w:tcPr>
          <w:p>
            <w:pPr>
              <w:spacing w:line="360" w:lineRule="auto"/>
              <w:jc w:val="center"/>
              <w:rPr>
                <w:rFonts w:ascii="宋体" w:hAnsi="宋体" w:cs="宋体"/>
                <w:sz w:val="24"/>
                <w:szCs w:val="24"/>
                <w:highlight w:val="none"/>
              </w:rPr>
            </w:pPr>
            <w:r>
              <w:rPr>
                <w:rFonts w:ascii="宋体" w:hAnsi="宋体"/>
                <w:sz w:val="24"/>
                <w:szCs w:val="24"/>
                <w:highlight w:val="none"/>
              </w:rPr>
              <w:t>10</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3</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城市智慧安防应用实训系统</w:t>
            </w:r>
          </w:p>
        </w:tc>
        <w:tc>
          <w:tcPr>
            <w:tcW w:w="1789" w:type="dxa"/>
            <w:vAlign w:val="center"/>
          </w:tcPr>
          <w:p>
            <w:pPr>
              <w:spacing w:line="360" w:lineRule="auto"/>
              <w:jc w:val="center"/>
              <w:rPr>
                <w:rFonts w:ascii="宋体" w:hAnsi="宋体" w:cs="宋体"/>
                <w:sz w:val="24"/>
                <w:szCs w:val="24"/>
                <w:highlight w:val="none"/>
              </w:rPr>
            </w:pPr>
            <w:r>
              <w:rPr>
                <w:rFonts w:ascii="宋体" w:hAnsi="宋体"/>
                <w:sz w:val="24"/>
                <w:szCs w:val="24"/>
                <w:highlight w:val="none"/>
              </w:rPr>
              <w:t>10</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4</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智慧城市应用场景展示系统</w:t>
            </w:r>
          </w:p>
        </w:tc>
        <w:tc>
          <w:tcPr>
            <w:tcW w:w="1789" w:type="dxa"/>
            <w:vAlign w:val="center"/>
          </w:tcPr>
          <w:p>
            <w:pPr>
              <w:spacing w:line="360" w:lineRule="auto"/>
              <w:jc w:val="center"/>
              <w:rPr>
                <w:rFonts w:ascii="宋体" w:hAnsi="宋体" w:cs="宋体"/>
                <w:sz w:val="24"/>
                <w:szCs w:val="24"/>
                <w:highlight w:val="none"/>
              </w:rPr>
            </w:pPr>
            <w:r>
              <w:rPr>
                <w:rFonts w:hint="eastAsia" w:ascii="宋体" w:hAnsi="宋体"/>
                <w:sz w:val="24"/>
                <w:szCs w:val="24"/>
                <w:highlight w:val="none"/>
              </w:rPr>
              <w:t>1</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5</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智慧城市应用系统平台</w:t>
            </w:r>
          </w:p>
        </w:tc>
        <w:tc>
          <w:tcPr>
            <w:tcW w:w="1789" w:type="dxa"/>
            <w:vAlign w:val="center"/>
          </w:tcPr>
          <w:p>
            <w:pPr>
              <w:spacing w:line="360" w:lineRule="auto"/>
              <w:jc w:val="center"/>
              <w:rPr>
                <w:sz w:val="24"/>
                <w:szCs w:val="24"/>
                <w:highlight w:val="none"/>
              </w:rPr>
            </w:pPr>
            <w:r>
              <w:rPr>
                <w:rFonts w:hint="eastAsia" w:ascii="宋体" w:hAnsi="宋体"/>
                <w:sz w:val="24"/>
                <w:szCs w:val="24"/>
                <w:highlight w:val="none"/>
              </w:rPr>
              <w:t>1套</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jc w:val="center"/>
        </w:trPr>
        <w:tc>
          <w:tcPr>
            <w:tcW w:w="367" w:type="pct"/>
            <w:vAlign w:val="center"/>
          </w:tcPr>
          <w:p>
            <w:pPr>
              <w:widowControl/>
              <w:jc w:val="center"/>
              <w:rPr>
                <w:rFonts w:ascii="宋体" w:hAnsi="宋体" w:cs="宋体"/>
                <w:sz w:val="24"/>
                <w:szCs w:val="24"/>
                <w:highlight w:val="none"/>
              </w:rPr>
            </w:pPr>
            <w:r>
              <w:rPr>
                <w:rFonts w:hint="eastAsia" w:ascii="宋体" w:hAnsi="宋体" w:cs="宋体"/>
                <w:sz w:val="24"/>
                <w:szCs w:val="24"/>
                <w:highlight w:val="none"/>
              </w:rPr>
              <w:t>6</w:t>
            </w:r>
          </w:p>
        </w:tc>
        <w:tc>
          <w:tcPr>
            <w:tcW w:w="5112" w:type="dxa"/>
            <w:vAlign w:val="center"/>
          </w:tcPr>
          <w:p>
            <w:pPr>
              <w:spacing w:line="360" w:lineRule="auto"/>
              <w:jc w:val="left"/>
              <w:rPr>
                <w:rFonts w:ascii="宋体" w:hAnsi="宋体" w:cs="宋体"/>
                <w:sz w:val="24"/>
                <w:szCs w:val="24"/>
                <w:highlight w:val="none"/>
              </w:rPr>
            </w:pPr>
            <w:r>
              <w:rPr>
                <w:rFonts w:hint="eastAsia" w:ascii="宋体" w:hAnsi="宋体"/>
                <w:sz w:val="24"/>
                <w:szCs w:val="24"/>
                <w:highlight w:val="none"/>
              </w:rPr>
              <w:t>工程应用实训架</w:t>
            </w:r>
          </w:p>
        </w:tc>
        <w:tc>
          <w:tcPr>
            <w:tcW w:w="1789" w:type="dxa"/>
            <w:vAlign w:val="center"/>
          </w:tcPr>
          <w:p>
            <w:pPr>
              <w:spacing w:line="360" w:lineRule="auto"/>
              <w:jc w:val="center"/>
              <w:rPr>
                <w:sz w:val="24"/>
                <w:szCs w:val="24"/>
                <w:highlight w:val="none"/>
              </w:rPr>
            </w:pPr>
            <w:r>
              <w:rPr>
                <w:rFonts w:ascii="宋体" w:hAnsi="宋体"/>
                <w:sz w:val="24"/>
                <w:szCs w:val="24"/>
                <w:highlight w:val="none"/>
              </w:rPr>
              <w:t>10</w:t>
            </w:r>
            <w:r>
              <w:rPr>
                <w:rFonts w:hint="eastAsia" w:ascii="宋体" w:hAnsi="宋体"/>
                <w:sz w:val="24"/>
                <w:szCs w:val="24"/>
                <w:highlight w:val="none"/>
              </w:rPr>
              <w:t>套</w:t>
            </w:r>
          </w:p>
        </w:tc>
        <w:tc>
          <w:tcPr>
            <w:tcW w:w="953" w:type="pct"/>
            <w:vAlign w:val="center"/>
          </w:tcPr>
          <w:p>
            <w:pPr>
              <w:spacing w:line="600" w:lineRule="exact"/>
              <w:jc w:val="center"/>
              <w:rPr>
                <w:sz w:val="24"/>
                <w:szCs w:val="24"/>
                <w:highlight w:val="none"/>
              </w:rPr>
            </w:pPr>
            <w:r>
              <w:rPr>
                <w:rFonts w:hint="eastAsia"/>
                <w:sz w:val="24"/>
                <w:szCs w:val="24"/>
                <w:highlight w:val="none"/>
              </w:rPr>
              <w:t>套</w:t>
            </w:r>
          </w:p>
        </w:tc>
      </w:tr>
    </w:tbl>
    <w:p>
      <w:pPr>
        <w:rPr>
          <w:rFonts w:ascii="宋体" w:hAnsi="宋体" w:cs="宋体"/>
          <w:sz w:val="24"/>
          <w:szCs w:val="24"/>
          <w:highlight w:val="none"/>
        </w:rPr>
      </w:pPr>
      <w:r>
        <w:rPr>
          <w:rFonts w:hint="eastAsia" w:ascii="宋体" w:hAnsi="宋体" w:cs="宋体"/>
          <w:b/>
          <w:sz w:val="24"/>
          <w:szCs w:val="24"/>
          <w:highlight w:val="none"/>
        </w:rPr>
        <w:t>本包件核心产品为:智慧城市应用系统平台。</w:t>
      </w: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技术要求</w:t>
      </w:r>
    </w:p>
    <w:tbl>
      <w:tblPr>
        <w:tblStyle w:val="41"/>
        <w:tblW w:w="9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793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设备名称</w:t>
            </w:r>
          </w:p>
        </w:tc>
        <w:tc>
          <w:tcPr>
            <w:tcW w:w="7936"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技术参数</w:t>
            </w:r>
          </w:p>
        </w:tc>
        <w:tc>
          <w:tcPr>
            <w:tcW w:w="833" w:type="dxa"/>
            <w:vAlign w:val="center"/>
          </w:tcPr>
          <w:p>
            <w:pPr>
              <w:adjustRightInd w:val="0"/>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城市智慧环保应用实训系统</w:t>
            </w:r>
          </w:p>
        </w:tc>
        <w:tc>
          <w:tcPr>
            <w:tcW w:w="7936" w:type="dxa"/>
            <w:vAlign w:val="center"/>
          </w:tcPr>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一、设备硬件参数要求</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1．液位数据采集器（1台） </w:t>
            </w:r>
          </w:p>
          <w:p>
            <w:pPr>
              <w:pStyle w:val="200"/>
              <w:widowControl/>
              <w:numPr>
                <w:ilvl w:val="0"/>
                <w:numId w:val="39"/>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液位测量范围 ：≥0-1m；</w:t>
            </w:r>
          </w:p>
          <w:p>
            <w:pPr>
              <w:pStyle w:val="200"/>
              <w:widowControl/>
              <w:numPr>
                <w:ilvl w:val="0"/>
                <w:numId w:val="39"/>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输出信号：4~20mA；</w:t>
            </w:r>
          </w:p>
          <w:p>
            <w:pPr>
              <w:pStyle w:val="200"/>
              <w:widowControl/>
              <w:numPr>
                <w:ilvl w:val="0"/>
                <w:numId w:val="39"/>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外壳防护：≥IP68；</w:t>
            </w:r>
          </w:p>
          <w:p>
            <w:pPr>
              <w:pStyle w:val="200"/>
              <w:widowControl/>
              <w:numPr>
                <w:ilvl w:val="0"/>
                <w:numId w:val="39"/>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测量介质：油，水等其他非腐蚀性介质；</w:t>
            </w:r>
          </w:p>
          <w:p>
            <w:pPr>
              <w:pStyle w:val="200"/>
              <w:widowControl/>
              <w:numPr>
                <w:ilvl w:val="0"/>
                <w:numId w:val="39"/>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供电电源 ：DC6~24V（典型工作电压DC12V）。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2.水温数据采集器 （1台）</w:t>
            </w:r>
          </w:p>
          <w:p>
            <w:pPr>
              <w:pStyle w:val="200"/>
              <w:widowControl/>
              <w:numPr>
                <w:ilvl w:val="0"/>
                <w:numId w:val="40"/>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温度测量范围：≥-30℃~80℃；</w:t>
            </w:r>
          </w:p>
          <w:p>
            <w:pPr>
              <w:pStyle w:val="200"/>
              <w:widowControl/>
              <w:numPr>
                <w:ilvl w:val="0"/>
                <w:numId w:val="40"/>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温度测量精度：≥±0.5℃（25℃时）；</w:t>
            </w:r>
          </w:p>
          <w:p>
            <w:pPr>
              <w:pStyle w:val="200"/>
              <w:widowControl/>
              <w:numPr>
                <w:ilvl w:val="0"/>
                <w:numId w:val="40"/>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输出信号：4~20mA；</w:t>
            </w:r>
          </w:p>
          <w:p>
            <w:pPr>
              <w:pStyle w:val="200"/>
              <w:widowControl/>
              <w:numPr>
                <w:ilvl w:val="0"/>
                <w:numId w:val="40"/>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外壳防护：≥IP68；</w:t>
            </w:r>
          </w:p>
          <w:p>
            <w:pPr>
              <w:pStyle w:val="200"/>
              <w:widowControl/>
              <w:numPr>
                <w:ilvl w:val="0"/>
                <w:numId w:val="40"/>
              </w:numPr>
              <w:adjustRightInd w:val="0"/>
              <w:snapToGrid w:val="0"/>
              <w:spacing w:line="312" w:lineRule="auto"/>
              <w:ind w:hanging="20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测量介质：油，水等其他非腐蚀性介质；</w:t>
            </w:r>
          </w:p>
          <w:p>
            <w:pPr>
              <w:pStyle w:val="200"/>
              <w:widowControl/>
              <w:numPr>
                <w:ilvl w:val="0"/>
                <w:numId w:val="40"/>
              </w:numPr>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 ：DC 6~24V（典型工作电压DC12V）。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3.液体PH值监测器（1台） </w:t>
            </w:r>
          </w:p>
          <w:p>
            <w:pPr>
              <w:pStyle w:val="200"/>
              <w:widowControl/>
              <w:numPr>
                <w:ilvl w:val="0"/>
                <w:numId w:val="41"/>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测量范围：</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4~9pH；</w:t>
            </w:r>
          </w:p>
          <w:p>
            <w:pPr>
              <w:pStyle w:val="200"/>
              <w:widowControl/>
              <w:numPr>
                <w:ilvl w:val="0"/>
                <w:numId w:val="41"/>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分辨率：</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0.1/0.01 pH；</w:t>
            </w:r>
          </w:p>
          <w:p>
            <w:pPr>
              <w:pStyle w:val="200"/>
              <w:widowControl/>
              <w:numPr>
                <w:ilvl w:val="0"/>
                <w:numId w:val="41"/>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精度：</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±0.5 pH</w:t>
            </w:r>
            <w:r>
              <w:rPr>
                <w:rFonts w:hint="eastAsia" w:ascii="宋体" w:hAnsi="宋体" w:eastAsia="宋体" w:cs="宋体"/>
                <w:sz w:val="24"/>
                <w:szCs w:val="24"/>
                <w:highlight w:val="none"/>
              </w:rPr>
              <w:t>（25℃时）</w:t>
            </w:r>
            <w:r>
              <w:rPr>
                <w:rFonts w:hint="eastAsia" w:ascii="宋体" w:hAnsi="宋体" w:eastAsia="宋体" w:cs="宋体"/>
                <w:color w:val="000000"/>
                <w:sz w:val="24"/>
                <w:szCs w:val="24"/>
                <w:highlight w:val="none"/>
              </w:rPr>
              <w:t>；</w:t>
            </w:r>
          </w:p>
          <w:p>
            <w:pPr>
              <w:pStyle w:val="200"/>
              <w:widowControl/>
              <w:numPr>
                <w:ilvl w:val="0"/>
                <w:numId w:val="41"/>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1"/>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 ：DC 6~24V（典型工作电压DC12V）。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4.液体电导率探测器（1台） </w:t>
            </w:r>
          </w:p>
          <w:p>
            <w:pPr>
              <w:pStyle w:val="200"/>
              <w:widowControl/>
              <w:numPr>
                <w:ilvl w:val="0"/>
                <w:numId w:val="42"/>
              </w:numPr>
              <w:adjustRightInd w:val="0"/>
              <w:snapToGrid w:val="0"/>
              <w:spacing w:line="312" w:lineRule="auto"/>
              <w:ind w:left="62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量程：</w:t>
            </w:r>
            <w:r>
              <w:rPr>
                <w:rFonts w:hint="eastAsia" w:ascii="宋体" w:hAnsi="宋体" w:eastAsia="宋体" w:cs="宋体"/>
                <w:sz w:val="24"/>
                <w:szCs w:val="24"/>
                <w:highlight w:val="none"/>
              </w:rPr>
              <w:t>≥0~2000us/m；</w:t>
            </w:r>
          </w:p>
          <w:p>
            <w:pPr>
              <w:pStyle w:val="200"/>
              <w:widowControl/>
              <w:numPr>
                <w:ilvl w:val="0"/>
                <w:numId w:val="42"/>
              </w:numPr>
              <w:adjustRightInd w:val="0"/>
              <w:snapToGrid w:val="0"/>
              <w:spacing w:line="312" w:lineRule="auto"/>
              <w:ind w:left="62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精度：</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±3FS%</w:t>
            </w:r>
            <w:r>
              <w:rPr>
                <w:rFonts w:hint="eastAsia" w:ascii="宋体" w:hAnsi="宋体" w:eastAsia="宋体" w:cs="宋体"/>
                <w:sz w:val="24"/>
                <w:szCs w:val="24"/>
                <w:highlight w:val="none"/>
              </w:rPr>
              <w:t>（25℃时）</w:t>
            </w:r>
            <w:r>
              <w:rPr>
                <w:rFonts w:hint="eastAsia" w:ascii="宋体" w:hAnsi="宋体" w:eastAsia="宋体" w:cs="宋体"/>
                <w:color w:val="000000"/>
                <w:sz w:val="24"/>
                <w:szCs w:val="24"/>
                <w:highlight w:val="none"/>
              </w:rPr>
              <w:t>；</w:t>
            </w:r>
          </w:p>
          <w:p>
            <w:pPr>
              <w:pStyle w:val="200"/>
              <w:widowControl/>
              <w:numPr>
                <w:ilvl w:val="0"/>
                <w:numId w:val="42"/>
              </w:numPr>
              <w:adjustRightInd w:val="0"/>
              <w:snapToGrid w:val="0"/>
              <w:spacing w:line="312" w:lineRule="auto"/>
              <w:ind w:left="62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2"/>
              </w:numPr>
              <w:adjustRightInd w:val="0"/>
              <w:snapToGrid w:val="0"/>
              <w:spacing w:line="312" w:lineRule="auto"/>
              <w:ind w:left="627" w:hanging="425"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 ：DC 6~24V（典型工作电压DC12V）；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5.空气质量粉尘浓度检测器（1台） </w:t>
            </w:r>
          </w:p>
          <w:p>
            <w:pPr>
              <w:pStyle w:val="200"/>
              <w:widowControl/>
              <w:numPr>
                <w:ilvl w:val="0"/>
                <w:numId w:val="43"/>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PM2.5测量范围：</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0.0-999.9μg/m</w:t>
            </w:r>
            <w:r>
              <w:rPr>
                <w:rFonts w:hint="eastAsia" w:ascii="宋体" w:hAnsi="宋体" w:eastAsia="宋体" w:cs="宋体"/>
                <w:color w:val="000000"/>
                <w:sz w:val="24"/>
                <w:szCs w:val="24"/>
                <w:highlight w:val="none"/>
                <w:vertAlign w:val="superscript"/>
              </w:rPr>
              <w:t>3</w:t>
            </w:r>
            <w:r>
              <w:rPr>
                <w:rFonts w:hint="eastAsia" w:ascii="宋体" w:hAnsi="宋体" w:eastAsia="宋体" w:cs="宋体"/>
                <w:color w:val="000000"/>
                <w:sz w:val="24"/>
                <w:szCs w:val="24"/>
                <w:highlight w:val="none"/>
              </w:rPr>
              <w:t>;</w:t>
            </w:r>
          </w:p>
          <w:p>
            <w:pPr>
              <w:pStyle w:val="200"/>
              <w:widowControl/>
              <w:numPr>
                <w:ilvl w:val="0"/>
                <w:numId w:val="4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PM10测量范围：</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0.0-1999.9μg/m</w:t>
            </w:r>
            <w:r>
              <w:rPr>
                <w:rFonts w:hint="eastAsia" w:ascii="宋体" w:hAnsi="宋体" w:eastAsia="宋体" w:cs="宋体"/>
                <w:color w:val="000000"/>
                <w:sz w:val="24"/>
                <w:szCs w:val="24"/>
                <w:highlight w:val="none"/>
                <w:vertAlign w:val="superscript"/>
              </w:rPr>
              <w:t>3</w:t>
            </w:r>
            <w:r>
              <w:rPr>
                <w:rFonts w:hint="eastAsia" w:ascii="宋体" w:hAnsi="宋体" w:eastAsia="宋体" w:cs="宋体"/>
                <w:color w:val="000000"/>
                <w:sz w:val="24"/>
                <w:szCs w:val="24"/>
                <w:highlight w:val="none"/>
              </w:rPr>
              <w:t>;</w:t>
            </w:r>
          </w:p>
          <w:p>
            <w:pPr>
              <w:pStyle w:val="200"/>
              <w:widowControl/>
              <w:numPr>
                <w:ilvl w:val="0"/>
                <w:numId w:val="4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最小分辨粒径：≤0.3μm;</w:t>
            </w:r>
          </w:p>
          <w:p>
            <w:pPr>
              <w:pStyle w:val="200"/>
              <w:widowControl/>
              <w:numPr>
                <w:ilvl w:val="0"/>
                <w:numId w:val="4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相对误差：≤±15%和±10μg/m3（温度25℃,湿度50%RH时）；</w:t>
            </w:r>
          </w:p>
          <w:p>
            <w:pPr>
              <w:pStyle w:val="200"/>
              <w:widowControl/>
              <w:numPr>
                <w:ilvl w:val="0"/>
                <w:numId w:val="4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供电电源：DC 6~24V（典型工作电压DC12V）。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6.气体二氧化碳检测器  (1台)</w:t>
            </w:r>
          </w:p>
          <w:p>
            <w:pPr>
              <w:pStyle w:val="200"/>
              <w:widowControl/>
              <w:numPr>
                <w:ilvl w:val="0"/>
                <w:numId w:val="44"/>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测量范围：≥0-10000ppm ；</w:t>
            </w:r>
          </w:p>
          <w:p>
            <w:pPr>
              <w:pStyle w:val="200"/>
              <w:widowControl/>
              <w:numPr>
                <w:ilvl w:val="0"/>
                <w:numId w:val="44"/>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 xml:space="preserve">最大允许误差：≤±5%FSD（25℃时）； </w:t>
            </w:r>
          </w:p>
          <w:p>
            <w:pPr>
              <w:pStyle w:val="200"/>
              <w:widowControl/>
              <w:numPr>
                <w:ilvl w:val="0"/>
                <w:numId w:val="44"/>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 xml:space="preserve">重复测试：≤±3%FDS（25℃时）； </w:t>
            </w:r>
          </w:p>
          <w:p>
            <w:pPr>
              <w:pStyle w:val="200"/>
              <w:widowControl/>
              <w:numPr>
                <w:ilvl w:val="0"/>
                <w:numId w:val="44"/>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4"/>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供电电源：DC 6~24V（典型工作电压DC12V）。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 气体二氧化硫检测器 (1台)</w:t>
            </w:r>
          </w:p>
          <w:p>
            <w:pPr>
              <w:pStyle w:val="200"/>
              <w:widowControl/>
              <w:numPr>
                <w:ilvl w:val="0"/>
                <w:numId w:val="45"/>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量程：</w:t>
            </w:r>
            <w:r>
              <w:rPr>
                <w:rFonts w:hint="eastAsia" w:ascii="宋体" w:hAnsi="宋体" w:eastAsia="宋体" w:cs="宋体"/>
                <w:sz w:val="24"/>
                <w:szCs w:val="24"/>
                <w:highlight w:val="none"/>
              </w:rPr>
              <w:t>≥0-</w:t>
            </w:r>
            <w:r>
              <w:rPr>
                <w:rFonts w:hint="eastAsia" w:ascii="宋体" w:hAnsi="宋体" w:eastAsia="宋体" w:cs="宋体"/>
                <w:color w:val="000000"/>
                <w:sz w:val="24"/>
                <w:szCs w:val="24"/>
                <w:highlight w:val="none"/>
              </w:rPr>
              <w:t>2000ppm；</w:t>
            </w:r>
          </w:p>
          <w:p>
            <w:pPr>
              <w:pStyle w:val="200"/>
              <w:widowControl/>
              <w:numPr>
                <w:ilvl w:val="0"/>
                <w:numId w:val="45"/>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允许误差：</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100ppm ；</w:t>
            </w:r>
          </w:p>
          <w:p>
            <w:pPr>
              <w:pStyle w:val="200"/>
              <w:widowControl/>
              <w:numPr>
                <w:ilvl w:val="0"/>
                <w:numId w:val="45"/>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测量精度：&lt;±3%</w:t>
            </w:r>
            <w:r>
              <w:rPr>
                <w:rFonts w:hint="eastAsia" w:ascii="宋体" w:hAnsi="宋体" w:eastAsia="宋体" w:cs="宋体"/>
                <w:sz w:val="24"/>
                <w:szCs w:val="24"/>
                <w:highlight w:val="none"/>
              </w:rPr>
              <w:t>（25℃时）；</w:t>
            </w:r>
          </w:p>
          <w:p>
            <w:pPr>
              <w:pStyle w:val="200"/>
              <w:widowControl/>
              <w:numPr>
                <w:ilvl w:val="0"/>
                <w:numId w:val="45"/>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5"/>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6~24V（典型工作电压DC12V）。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 气体二氧化氮检测器 (1台)</w:t>
            </w:r>
          </w:p>
          <w:p>
            <w:pPr>
              <w:pStyle w:val="200"/>
              <w:widowControl/>
              <w:numPr>
                <w:ilvl w:val="0"/>
                <w:numId w:val="46"/>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量程：</w:t>
            </w:r>
            <w:r>
              <w:rPr>
                <w:rFonts w:hint="eastAsia" w:ascii="宋体" w:hAnsi="宋体" w:eastAsia="宋体" w:cs="宋体"/>
                <w:sz w:val="24"/>
                <w:szCs w:val="24"/>
                <w:highlight w:val="none"/>
              </w:rPr>
              <w:t>≥0-</w:t>
            </w:r>
            <w:r>
              <w:rPr>
                <w:rFonts w:hint="eastAsia" w:ascii="宋体" w:hAnsi="宋体" w:eastAsia="宋体" w:cs="宋体"/>
                <w:color w:val="000000"/>
                <w:sz w:val="24"/>
                <w:szCs w:val="24"/>
                <w:highlight w:val="none"/>
              </w:rPr>
              <w:t>20ppm；</w:t>
            </w:r>
          </w:p>
          <w:p>
            <w:pPr>
              <w:pStyle w:val="200"/>
              <w:widowControl/>
              <w:numPr>
                <w:ilvl w:val="0"/>
                <w:numId w:val="46"/>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测量精度：&lt;±3%</w:t>
            </w:r>
            <w:r>
              <w:rPr>
                <w:rFonts w:hint="eastAsia" w:ascii="宋体" w:hAnsi="宋体" w:eastAsia="宋体" w:cs="宋体"/>
                <w:sz w:val="24"/>
                <w:szCs w:val="24"/>
                <w:highlight w:val="none"/>
              </w:rPr>
              <w:t>（25℃时）；</w:t>
            </w:r>
          </w:p>
          <w:p>
            <w:pPr>
              <w:pStyle w:val="200"/>
              <w:widowControl/>
              <w:numPr>
                <w:ilvl w:val="0"/>
                <w:numId w:val="46"/>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6"/>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6~24V（典型工作电压DC12V）。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9.环境温湿度数据采集器 (1台)</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温度测量范围：≥-30℃~80℃；</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温度测量精度：≥±0.5℃</w:t>
            </w:r>
            <w:r>
              <w:rPr>
                <w:rFonts w:hint="eastAsia" w:ascii="宋体" w:hAnsi="宋体" w:eastAsia="宋体" w:cs="宋体"/>
                <w:sz w:val="24"/>
                <w:szCs w:val="24"/>
                <w:highlight w:val="none"/>
              </w:rPr>
              <w:t>（25℃时）；</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湿度测量范围：0~100%RH；</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湿度测量精度：≥±3%RH</w:t>
            </w:r>
            <w:r>
              <w:rPr>
                <w:rFonts w:hint="eastAsia" w:ascii="宋体" w:hAnsi="宋体" w:eastAsia="宋体" w:cs="宋体"/>
                <w:sz w:val="24"/>
                <w:szCs w:val="24"/>
                <w:highlight w:val="none"/>
              </w:rPr>
              <w:t>（25℃时）；</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7"/>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 （典型DC12V）。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 环境光照度数据采集器 (1台)</w:t>
            </w:r>
          </w:p>
          <w:p>
            <w:pPr>
              <w:pStyle w:val="200"/>
              <w:widowControl/>
              <w:numPr>
                <w:ilvl w:val="0"/>
                <w:numId w:val="48"/>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量程：≥0-65535Lux；</w:t>
            </w:r>
          </w:p>
          <w:p>
            <w:pPr>
              <w:pStyle w:val="200"/>
              <w:widowControl/>
              <w:numPr>
                <w:ilvl w:val="0"/>
                <w:numId w:val="48"/>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光照强度精度：≥±5%</w:t>
            </w:r>
            <w:r>
              <w:rPr>
                <w:rFonts w:hint="eastAsia" w:ascii="宋体" w:hAnsi="宋体" w:eastAsia="宋体" w:cs="宋体"/>
                <w:sz w:val="24"/>
                <w:szCs w:val="24"/>
                <w:highlight w:val="none"/>
              </w:rPr>
              <w:t>（25℃时）；</w:t>
            </w:r>
          </w:p>
          <w:p>
            <w:pPr>
              <w:pStyle w:val="200"/>
              <w:widowControl/>
              <w:numPr>
                <w:ilvl w:val="0"/>
                <w:numId w:val="48"/>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8"/>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供电电源：DC 9V~24V（典型工作电压DC12V）。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 气象风速传感器变送器 (1台)</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测量范围：≥0～30m/s；</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准确度：≥±(0.3+0.03V)m/s；</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分辨率：≥0.1m/s；</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启动风速：≤0.5m/s；</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49"/>
              </w:numPr>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 气象风向传感器变送器 (1台)</w:t>
            </w:r>
          </w:p>
          <w:p>
            <w:pPr>
              <w:pStyle w:val="200"/>
              <w:widowControl/>
              <w:numPr>
                <w:ilvl w:val="0"/>
                <w:numId w:val="50"/>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测量范围：0～360°；</w:t>
            </w:r>
          </w:p>
          <w:p>
            <w:pPr>
              <w:pStyle w:val="200"/>
              <w:widowControl/>
              <w:numPr>
                <w:ilvl w:val="0"/>
                <w:numId w:val="50"/>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准确度：≥±3°；</w:t>
            </w:r>
          </w:p>
          <w:p>
            <w:pPr>
              <w:pStyle w:val="200"/>
              <w:widowControl/>
              <w:numPr>
                <w:ilvl w:val="0"/>
                <w:numId w:val="50"/>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启动风速： ≤0.5m/s；</w:t>
            </w:r>
          </w:p>
          <w:p>
            <w:pPr>
              <w:pStyle w:val="200"/>
              <w:widowControl/>
              <w:numPr>
                <w:ilvl w:val="0"/>
                <w:numId w:val="50"/>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信号输出：RS485（波特率范围1200bps~115200bps,可设置）；</w:t>
            </w:r>
          </w:p>
          <w:p>
            <w:pPr>
              <w:pStyle w:val="200"/>
              <w:widowControl/>
              <w:numPr>
                <w:ilvl w:val="0"/>
                <w:numId w:val="50"/>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供电电源：DC9V~DC24V （典型工作电压DC12V）。</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13.低功耗无线自组网数据传输终端(2台)</w:t>
            </w:r>
          </w:p>
          <w:p>
            <w:pPr>
              <w:pStyle w:val="200"/>
              <w:widowControl/>
              <w:numPr>
                <w:ilvl w:val="0"/>
                <w:numId w:val="51"/>
              </w:numPr>
              <w:tabs>
                <w:tab w:val="left" w:pos="641"/>
              </w:tabs>
              <w:adjustRightInd w:val="0"/>
              <w:snapToGrid w:val="0"/>
              <w:spacing w:line="312" w:lineRule="auto"/>
              <w:ind w:hanging="11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无线通信：ZigBee无线自组网络（2.4G ISM全球免费频段）； </w:t>
            </w:r>
          </w:p>
          <w:p>
            <w:pPr>
              <w:pStyle w:val="200"/>
              <w:widowControl/>
              <w:numPr>
                <w:ilvl w:val="0"/>
                <w:numId w:val="51"/>
              </w:numPr>
              <w:tabs>
                <w:tab w:val="left" w:pos="641"/>
              </w:tabs>
              <w:adjustRightInd w:val="0"/>
              <w:snapToGrid w:val="0"/>
              <w:spacing w:line="312" w:lineRule="auto"/>
              <w:ind w:hanging="11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有线通信：RS485（波特率范围1200bps~115200bps,可设置）；</w:t>
            </w:r>
          </w:p>
          <w:p>
            <w:pPr>
              <w:pStyle w:val="200"/>
              <w:widowControl/>
              <w:numPr>
                <w:ilvl w:val="0"/>
                <w:numId w:val="51"/>
              </w:numPr>
              <w:tabs>
                <w:tab w:val="left" w:pos="641"/>
              </w:tabs>
              <w:adjustRightInd w:val="0"/>
              <w:snapToGrid w:val="0"/>
              <w:spacing w:line="312" w:lineRule="auto"/>
              <w:ind w:hanging="11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对外接口：电源接口、RS485接口、SMA天线接口；</w:t>
            </w:r>
          </w:p>
          <w:p>
            <w:pPr>
              <w:pStyle w:val="200"/>
              <w:widowControl/>
              <w:numPr>
                <w:ilvl w:val="0"/>
                <w:numId w:val="51"/>
              </w:numPr>
              <w:tabs>
                <w:tab w:val="left" w:pos="641"/>
              </w:tabs>
              <w:adjustRightInd w:val="0"/>
              <w:snapToGrid w:val="0"/>
              <w:spacing w:line="312" w:lineRule="auto"/>
              <w:ind w:hanging="11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9V~24V（典型工作电压DC12V）。</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13.多协议物联网网关 (1台)</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主控芯片：兼容STM32F103系列芯片；</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外    壳：工业铝型材外壳；</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数据接口：至少包含3个RS232串口、1个RS485串口和1个以太网RJ45接口；</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无线支持：支持ZigBee无线自组网络（2.4 GISM全球免费频段）；</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9V~24V（典型工作电压DC12V）；</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平台支持：</w:t>
            </w:r>
            <w:r>
              <w:rPr>
                <w:rFonts w:hint="eastAsia" w:ascii="宋体" w:hAnsi="宋体" w:eastAsia="宋体" w:cs="宋体"/>
                <w:sz w:val="24"/>
                <w:szCs w:val="24"/>
                <w:highlight w:val="none"/>
              </w:rPr>
              <w:t>支持直接接入物联网云平台，能与物联网云平台进行数据交互，能在物联网云平台上进行设备的管理、数据流展示、下发控制命令等操作；</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提供基于物联网云平台开发API开发接口，第三方软件或者APP能够通过物联网云平台获取物联网网关数据或发送命令至网关；</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开放接口：外扩主控制的程序下载、调试接口；</w:t>
            </w:r>
          </w:p>
          <w:p>
            <w:pPr>
              <w:pStyle w:val="200"/>
              <w:widowControl/>
              <w:numPr>
                <w:ilvl w:val="0"/>
                <w:numId w:val="52"/>
              </w:numPr>
              <w:tabs>
                <w:tab w:val="left" w:pos="641"/>
              </w:tabs>
              <w:adjustRightInd w:val="0"/>
              <w:snapToGrid w:val="0"/>
              <w:spacing w:line="312" w:lineRule="auto"/>
              <w:ind w:hanging="208"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▲拥有自主知识产权，至少提供1件与</w:t>
            </w:r>
            <w:r>
              <w:rPr>
                <w:rFonts w:hint="eastAsia" w:ascii="宋体" w:hAnsi="宋体" w:eastAsia="宋体" w:cs="宋体"/>
                <w:color w:val="000000"/>
                <w:sz w:val="24"/>
                <w:szCs w:val="24"/>
                <w:highlight w:val="none"/>
              </w:rPr>
              <w:t>多协议物联网网关相关的软件著作权证书复印件作为佐证材料。</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 智能数据采集控制终端 （1台）</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主控制器：兼容</w:t>
            </w:r>
            <w:r>
              <w:rPr>
                <w:rFonts w:hint="eastAsia" w:ascii="宋体" w:hAnsi="宋体" w:eastAsia="宋体" w:cs="宋体"/>
                <w:color w:val="000000"/>
                <w:sz w:val="24"/>
                <w:szCs w:val="24"/>
                <w:highlight w:val="none"/>
              </w:rPr>
              <w:t>STM32F103系列芯片</w:t>
            </w:r>
            <w:r>
              <w:rPr>
                <w:rFonts w:hint="eastAsia" w:ascii="宋体" w:hAnsi="宋体" w:eastAsia="宋体" w:cs="宋体"/>
                <w:sz w:val="24"/>
                <w:szCs w:val="24"/>
                <w:highlight w:val="none"/>
              </w:rPr>
              <w:t>；</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外    壳：工控塑料外壳,上盖透明；</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通信接口：≥1路RS232串口，≥1路RS485接口； </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调试接口：板载主控器程序烧写模组，外扩USB接口进行程序烧写；【</w:t>
            </w:r>
            <w:r>
              <w:rPr>
                <w:rFonts w:hint="eastAsia" w:ascii="宋体" w:hAnsi="宋体" w:eastAsia="宋体" w:cs="宋体"/>
                <w:b/>
                <w:bCs/>
                <w:sz w:val="24"/>
                <w:szCs w:val="24"/>
                <w:highlight w:val="none"/>
              </w:rPr>
              <w:t>现场演示</w:t>
            </w:r>
            <w:r>
              <w:rPr>
                <w:rFonts w:hint="eastAsia" w:ascii="宋体" w:hAnsi="宋体" w:eastAsia="宋体" w:cs="宋体"/>
                <w:sz w:val="24"/>
                <w:szCs w:val="24"/>
                <w:highlight w:val="none"/>
              </w:rPr>
              <w:t>】</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▲工业采集控制接口：≥2路AD输入采集接口（4~20mA）、≥2路IO输入采集接口、≥2路继电器输出控制接口（常开&amp;常闭）；</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扩展接口：含20芯开发传感器模块扩展接口； </w:t>
            </w:r>
          </w:p>
          <w:p>
            <w:pPr>
              <w:pStyle w:val="200"/>
              <w:widowControl/>
              <w:numPr>
                <w:ilvl w:val="0"/>
                <w:numId w:val="53"/>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供电电源：DC 9V~24V（典型工作电压DC12V）</w:t>
            </w:r>
            <w:r>
              <w:rPr>
                <w:rFonts w:hint="eastAsia" w:ascii="宋体" w:hAnsi="宋体" w:eastAsia="宋体" w:cs="宋体"/>
                <w:sz w:val="24"/>
                <w:szCs w:val="24"/>
                <w:highlight w:val="none"/>
              </w:rPr>
              <w:t>。</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w:t>
            </w:r>
            <w:r>
              <w:rPr>
                <w:rFonts w:hint="eastAsia" w:ascii="宋体" w:hAnsi="宋体" w:eastAsia="宋体" w:cs="宋体"/>
                <w:sz w:val="24"/>
                <w:szCs w:val="24"/>
                <w:highlight w:val="none"/>
              </w:rPr>
              <w:t xml:space="preserve"> 物联网云平台</w:t>
            </w:r>
            <w:r>
              <w:rPr>
                <w:rFonts w:hint="eastAsia" w:ascii="宋体" w:hAnsi="宋体" w:eastAsia="宋体" w:cs="宋体"/>
                <w:color w:val="000000"/>
                <w:kern w:val="0"/>
                <w:sz w:val="24"/>
                <w:szCs w:val="24"/>
                <w:highlight w:val="none"/>
              </w:rPr>
              <w:t>4G传输终端（1台）</w:t>
            </w:r>
          </w:p>
          <w:p>
            <w:pPr>
              <w:pStyle w:val="200"/>
              <w:widowControl/>
              <w:numPr>
                <w:ilvl w:val="0"/>
                <w:numId w:val="54"/>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传输类型：4G/LTE；</w:t>
            </w:r>
          </w:p>
          <w:p>
            <w:pPr>
              <w:pStyle w:val="200"/>
              <w:widowControl/>
              <w:numPr>
                <w:ilvl w:val="0"/>
                <w:numId w:val="54"/>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发射功率：≥23~33dBm；</w:t>
            </w:r>
          </w:p>
          <w:p>
            <w:pPr>
              <w:pStyle w:val="200"/>
              <w:widowControl/>
              <w:numPr>
                <w:ilvl w:val="0"/>
                <w:numId w:val="54"/>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接口类型：RS485/RS232</w:t>
            </w:r>
            <w:r>
              <w:rPr>
                <w:rFonts w:hint="eastAsia" w:ascii="宋体" w:hAnsi="宋体" w:eastAsia="宋体" w:cs="宋体"/>
                <w:color w:val="000000"/>
                <w:sz w:val="24"/>
                <w:szCs w:val="24"/>
                <w:highlight w:val="none"/>
              </w:rPr>
              <w:t>（波特率范围1200bps~115200bps，可设置）；</w:t>
            </w:r>
          </w:p>
          <w:p>
            <w:pPr>
              <w:pStyle w:val="200"/>
              <w:widowControl/>
              <w:numPr>
                <w:ilvl w:val="0"/>
                <w:numId w:val="54"/>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w:t>
            </w:r>
            <w:r>
              <w:rPr>
                <w:rFonts w:hint="eastAsia" w:ascii="宋体" w:hAnsi="宋体" w:eastAsia="宋体" w:cs="宋体"/>
                <w:sz w:val="24"/>
                <w:szCs w:val="24"/>
                <w:highlight w:val="none"/>
              </w:rPr>
              <w:t>支持直接接入物联网云平台，能与物联网云平台进行数据交互，能在物联网云平台上进行设备的管理、数据流展示、下发控制命令等操作；</w:t>
            </w:r>
          </w:p>
          <w:p>
            <w:pPr>
              <w:pStyle w:val="200"/>
              <w:widowControl/>
              <w:numPr>
                <w:ilvl w:val="0"/>
                <w:numId w:val="54"/>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9V~24V（典型工作电压DC12V）。</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w:t>
            </w:r>
            <w:r>
              <w:rPr>
                <w:rFonts w:hint="eastAsia" w:ascii="宋体" w:hAnsi="宋体" w:eastAsia="宋体" w:cs="宋体"/>
                <w:sz w:val="24"/>
                <w:szCs w:val="24"/>
                <w:highlight w:val="none"/>
              </w:rPr>
              <w:t xml:space="preserve"> </w:t>
            </w:r>
            <w:r>
              <w:rPr>
                <w:rFonts w:hint="eastAsia" w:ascii="宋体" w:hAnsi="宋体" w:eastAsia="宋体" w:cs="宋体"/>
                <w:color w:val="000000"/>
                <w:kern w:val="0"/>
                <w:sz w:val="24"/>
                <w:szCs w:val="24"/>
                <w:highlight w:val="none"/>
              </w:rPr>
              <w:t>modbus总线集线器（2台） 2台</w:t>
            </w:r>
          </w:p>
          <w:p>
            <w:pPr>
              <w:pStyle w:val="200"/>
              <w:widowControl/>
              <w:numPr>
                <w:ilvl w:val="0"/>
                <w:numId w:val="55"/>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接口：≥8路RS485接口，≥1路RS232接口；</w:t>
            </w:r>
          </w:p>
          <w:p>
            <w:pPr>
              <w:pStyle w:val="200"/>
              <w:widowControl/>
              <w:numPr>
                <w:ilvl w:val="0"/>
                <w:numId w:val="55"/>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电源输入/输出：1路电源输入，每路RS485接口均包含电源输出，可直接通过总线为RS485设备供电</w:t>
            </w:r>
            <w:r>
              <w:rPr>
                <w:rFonts w:hint="eastAsia" w:ascii="宋体" w:hAnsi="宋体" w:eastAsia="宋体" w:cs="宋体"/>
                <w:b/>
                <w:bCs/>
                <w:color w:val="000000"/>
                <w:sz w:val="24"/>
                <w:szCs w:val="24"/>
                <w:highlight w:val="none"/>
              </w:rPr>
              <w:t>【现场演示】</w:t>
            </w:r>
            <w:r>
              <w:rPr>
                <w:rFonts w:hint="eastAsia" w:ascii="宋体" w:hAnsi="宋体" w:eastAsia="宋体" w:cs="宋体"/>
                <w:color w:val="000000"/>
                <w:sz w:val="24"/>
                <w:szCs w:val="24"/>
                <w:highlight w:val="none"/>
              </w:rPr>
              <w:t>；</w:t>
            </w:r>
          </w:p>
          <w:p>
            <w:pPr>
              <w:pStyle w:val="200"/>
              <w:widowControl/>
              <w:numPr>
                <w:ilvl w:val="0"/>
                <w:numId w:val="55"/>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外壳：透明工控塑料外壳；</w:t>
            </w:r>
          </w:p>
          <w:p>
            <w:pPr>
              <w:pStyle w:val="200"/>
              <w:widowControl/>
              <w:numPr>
                <w:ilvl w:val="0"/>
                <w:numId w:val="55"/>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9V~24V（典型工作电压DC12V）；</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16. SIM卡（1张） </w:t>
            </w:r>
          </w:p>
          <w:p>
            <w:pPr>
              <w:widowControl/>
              <w:tabs>
                <w:tab w:val="left" w:pos="641"/>
              </w:tabs>
              <w:adjustRightInd w:val="0"/>
              <w:snapToGrid w:val="0"/>
              <w:spacing w:line="312" w:lineRule="auto"/>
              <w:ind w:firstLine="240" w:firstLineChars="1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物联网卡，预存3年流量费（每年不低于100M）。</w:t>
            </w:r>
          </w:p>
          <w:p>
            <w:pPr>
              <w:widowControl/>
              <w:tabs>
                <w:tab w:val="left" w:pos="641"/>
              </w:tabs>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二、系统主要功能要求：</w:t>
            </w:r>
          </w:p>
          <w:p>
            <w:pPr>
              <w:pStyle w:val="200"/>
              <w:widowControl/>
              <w:numPr>
                <w:ilvl w:val="0"/>
                <w:numId w:val="56"/>
              </w:numPr>
              <w:tabs>
                <w:tab w:val="left" w:pos="641"/>
              </w:tabs>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水质监测系统：能通过多协议物联网网关或4G传输终端，将各种传感器（PH值、液位、水温、电导率等）采集的水质数据传输至物联网云平台，同时能通过曲线、柱状图、仪表盘等形状对传感器数据进行展示，能通过对各指标数据形象的统一汇总分析，实现对城市水环境的管控目标；</w:t>
            </w:r>
          </w:p>
          <w:p>
            <w:pPr>
              <w:pStyle w:val="200"/>
              <w:widowControl/>
              <w:numPr>
                <w:ilvl w:val="0"/>
                <w:numId w:val="56"/>
              </w:numPr>
              <w:tabs>
                <w:tab w:val="left" w:pos="641"/>
              </w:tabs>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气质量监测系统：能通过多协议物联网网关或4G传输终端，将空气质量各种传感器（粉尘、CO2、SO2、NO2等）采集的空气质量数据传输至物联网云平台，同时能通过曲线、柱状图、仪表盘等形状对传感器数据进行展示，能通过对各指标数据形象的统一汇总分析，实现对城市空气质量的管控目标；</w:t>
            </w:r>
          </w:p>
          <w:p>
            <w:pPr>
              <w:pStyle w:val="200"/>
              <w:widowControl/>
              <w:numPr>
                <w:ilvl w:val="0"/>
                <w:numId w:val="56"/>
              </w:numPr>
              <w:tabs>
                <w:tab w:val="left" w:pos="641"/>
              </w:tabs>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气象环境监测系统：能通过多协议物联网网关或4G传输终端，将各种气象环境传感器（温湿度、光照强度、风速、风向等）采集的气象环境数据传输至物联网云平台，同时能通过曲线、柱状图、仪表盘等形状对传感器数据进行展示，能通过对各指标数据形象的统一汇总分析，实现对气象环境实时监测的目的</w:t>
            </w:r>
            <w:r>
              <w:rPr>
                <w:rFonts w:hint="eastAsia" w:ascii="宋体" w:hAnsi="宋体" w:eastAsia="宋体" w:cs="宋体"/>
                <w:b/>
                <w:bCs/>
                <w:color w:val="000000"/>
                <w:sz w:val="24"/>
                <w:szCs w:val="24"/>
                <w:highlight w:val="none"/>
              </w:rPr>
              <w:t>【现场演示】</w:t>
            </w:r>
            <w:r>
              <w:rPr>
                <w:rFonts w:hint="eastAsia" w:ascii="宋体" w:hAnsi="宋体" w:eastAsia="宋体" w:cs="宋体"/>
                <w:color w:val="000000"/>
                <w:sz w:val="24"/>
                <w:szCs w:val="24"/>
                <w:highlight w:val="none"/>
              </w:rPr>
              <w:t>。</w:t>
            </w:r>
          </w:p>
          <w:p>
            <w:pPr>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三、实训资源要求</w:t>
            </w:r>
          </w:p>
          <w:p>
            <w:pPr>
              <w:pStyle w:val="88"/>
              <w:numPr>
                <w:ilvl w:val="0"/>
                <w:numId w:val="57"/>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产品说明书/设备技术参数说明不少于100页。</w:t>
            </w:r>
          </w:p>
          <w:p>
            <w:pPr>
              <w:pStyle w:val="88"/>
              <w:numPr>
                <w:ilvl w:val="0"/>
                <w:numId w:val="57"/>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配套实训教学资源</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（1）实训教学PPT合计不少于400页；</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（2）提供设备/系统操作类视频不少于15个，每个视频均不少于8分钟；</w:t>
            </w:r>
          </w:p>
          <w:p>
            <w:pPr>
              <w:pStyle w:val="88"/>
              <w:adjustRightInd w:val="0"/>
              <w:snapToGrid w:val="0"/>
              <w:spacing w:line="312" w:lineRule="auto"/>
              <w:ind w:left="42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（3）活页式操作手册不少于100页。</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城市智能电网应用实训系统</w:t>
            </w:r>
          </w:p>
        </w:tc>
        <w:tc>
          <w:tcPr>
            <w:tcW w:w="7936" w:type="dxa"/>
            <w:vAlign w:val="center"/>
          </w:tcPr>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一、设备参数</w:t>
            </w:r>
          </w:p>
          <w:p>
            <w:pPr>
              <w:pStyle w:val="200"/>
              <w:widowControl/>
              <w:tabs>
                <w:tab w:val="left" w:pos="641"/>
              </w:tabs>
              <w:adjustRightInd w:val="0"/>
              <w:snapToGrid w:val="0"/>
              <w:spacing w:line="312" w:lineRule="auto"/>
              <w:ind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1.光照传感器 （1台） </w:t>
            </w:r>
          </w:p>
          <w:p>
            <w:pPr>
              <w:pStyle w:val="200"/>
              <w:widowControl/>
              <w:numPr>
                <w:ilvl w:val="0"/>
                <w:numId w:val="58"/>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量程：≥0-2*10</w:t>
            </w:r>
            <w:r>
              <w:rPr>
                <w:rFonts w:hint="eastAsia" w:ascii="宋体" w:hAnsi="宋体" w:eastAsia="宋体" w:cs="宋体"/>
                <w:sz w:val="24"/>
                <w:szCs w:val="24"/>
                <w:highlight w:val="none"/>
                <w:vertAlign w:val="superscript"/>
              </w:rPr>
              <w:t>5</w:t>
            </w:r>
            <w:r>
              <w:rPr>
                <w:rFonts w:hint="eastAsia" w:ascii="宋体" w:hAnsi="宋体" w:eastAsia="宋体" w:cs="宋体"/>
                <w:sz w:val="24"/>
                <w:szCs w:val="24"/>
                <w:highlight w:val="none"/>
              </w:rPr>
              <w:t>Lux；</w:t>
            </w:r>
          </w:p>
          <w:p>
            <w:pPr>
              <w:pStyle w:val="200"/>
              <w:widowControl/>
              <w:numPr>
                <w:ilvl w:val="0"/>
                <w:numId w:val="58"/>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精度：≥±7%；</w:t>
            </w:r>
          </w:p>
          <w:p>
            <w:pPr>
              <w:pStyle w:val="200"/>
              <w:widowControl/>
              <w:numPr>
                <w:ilvl w:val="0"/>
                <w:numId w:val="58"/>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信号输出：RS485（波特率范围1200bps~115200bps,可设置）；</w:t>
            </w:r>
          </w:p>
          <w:p>
            <w:pPr>
              <w:pStyle w:val="200"/>
              <w:widowControl/>
              <w:numPr>
                <w:ilvl w:val="0"/>
                <w:numId w:val="58"/>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供电电源：DC 9V~24V （典型工作电压DC12V）。</w:t>
            </w:r>
          </w:p>
          <w:p>
            <w:pPr>
              <w:widowControl/>
              <w:adjustRightInd w:val="0"/>
              <w:snapToGrid w:val="0"/>
              <w:spacing w:line="312" w:lineRule="auto"/>
              <w:ind w:firstLine="120" w:firstLineChars="5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2.传感器云采集仪 （1台）</w:t>
            </w:r>
          </w:p>
          <w:p>
            <w:pPr>
              <w:pStyle w:val="200"/>
              <w:widowControl/>
              <w:numPr>
                <w:ilvl w:val="0"/>
                <w:numId w:val="59"/>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主控芯片：兼容STM32F103系列芯片；</w:t>
            </w:r>
          </w:p>
          <w:p>
            <w:pPr>
              <w:pStyle w:val="200"/>
              <w:widowControl/>
              <w:numPr>
                <w:ilvl w:val="0"/>
                <w:numId w:val="59"/>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▲无线方式：WiFi通信；</w:t>
            </w:r>
          </w:p>
          <w:p>
            <w:pPr>
              <w:pStyle w:val="200"/>
              <w:widowControl/>
              <w:numPr>
                <w:ilvl w:val="0"/>
                <w:numId w:val="59"/>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传感器通信：RS485（波特率范围1200bps~115200bps，可设置）；</w:t>
            </w:r>
          </w:p>
          <w:p>
            <w:pPr>
              <w:pStyle w:val="200"/>
              <w:widowControl/>
              <w:numPr>
                <w:ilvl w:val="0"/>
                <w:numId w:val="59"/>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平台支持：内置物联网云平台协议，数据直接上云，可通过远程APP查看光照传感器实时数据</w:t>
            </w:r>
            <w:r>
              <w:rPr>
                <w:rFonts w:hint="eastAsia" w:ascii="宋体" w:hAnsi="宋体" w:eastAsia="宋体" w:cs="宋体"/>
                <w:b/>
                <w:bCs/>
                <w:sz w:val="24"/>
                <w:szCs w:val="24"/>
                <w:highlight w:val="none"/>
              </w:rPr>
              <w:t>【现场演示】；</w:t>
            </w:r>
          </w:p>
          <w:p>
            <w:pPr>
              <w:pStyle w:val="200"/>
              <w:widowControl/>
              <w:numPr>
                <w:ilvl w:val="0"/>
                <w:numId w:val="59"/>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供电电源：DC 9V~24V （典型工作电压DC12V）。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3.LED照明灯（6台） </w:t>
            </w:r>
          </w:p>
          <w:p>
            <w:pPr>
              <w:widowControl/>
              <w:adjustRightInd w:val="0"/>
              <w:snapToGrid w:val="0"/>
              <w:spacing w:line="312" w:lineRule="auto"/>
              <w:ind w:firstLine="120" w:firstLineChars="5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（1）供电：220VAC；</w:t>
            </w:r>
          </w:p>
          <w:p>
            <w:pPr>
              <w:widowControl/>
              <w:adjustRightInd w:val="0"/>
              <w:snapToGrid w:val="0"/>
              <w:spacing w:line="312" w:lineRule="auto"/>
              <w:ind w:firstLine="120" w:firstLineChars="5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（2）功率：</w:t>
            </w:r>
            <w:r>
              <w:rPr>
                <w:rFonts w:hint="eastAsia" w:ascii="宋体" w:hAnsi="宋体" w:eastAsia="宋体" w:cs="宋体"/>
                <w:kern w:val="0"/>
                <w:sz w:val="24"/>
                <w:szCs w:val="24"/>
                <w:highlight w:val="none"/>
              </w:rPr>
              <w:t>≥</w:t>
            </w:r>
            <w:r>
              <w:rPr>
                <w:rFonts w:hint="eastAsia" w:ascii="宋体" w:hAnsi="宋体" w:eastAsia="宋体" w:cs="宋体"/>
                <w:color w:val="000000"/>
                <w:kern w:val="0"/>
                <w:sz w:val="24"/>
                <w:szCs w:val="24"/>
                <w:highlight w:val="none"/>
              </w:rPr>
              <w:t>6W。</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4.LED灯云控制器 （6台）</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主控芯片：兼容STM32F103系列芯片；</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继电器输出：≥1路；</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继电器负载：≥10A；</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通信方式：WiFi通信；</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▲平台支持：内置物联网云平台协议，可直接通过APP或WEB对LED灯进行远程控制；</w:t>
            </w:r>
          </w:p>
          <w:p>
            <w:pPr>
              <w:pStyle w:val="200"/>
              <w:widowControl/>
              <w:numPr>
                <w:ilvl w:val="0"/>
                <w:numId w:val="60"/>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供电电源：DC 9V~24V （典型工作电压DC12V）。</w:t>
            </w:r>
          </w:p>
          <w:p>
            <w:pPr>
              <w:widowControl/>
              <w:adjustRightInd w:val="0"/>
              <w:snapToGrid w:val="0"/>
              <w:spacing w:line="312" w:lineRule="auto"/>
              <w:ind w:firstLine="120" w:firstLineChars="5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5.双路灯NB-IOT控制器 （1台）</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通信方式：LTE NB-IoT B3/B5/B8/B26；</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灵敏度：≥-135dBm；</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输出路数：≥2路；</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输出负载：≥10A；</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USIM接口：1.8/3.0V，支持SIM和USIM；</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▲平台支持：内置物联网云平台协议，可直接通过APP或WEB对LED路灯进行远程控制</w:t>
            </w:r>
            <w:r>
              <w:rPr>
                <w:rFonts w:hint="eastAsia" w:ascii="宋体" w:hAnsi="宋体" w:eastAsia="宋体" w:cs="宋体"/>
                <w:color w:val="000000"/>
                <w:sz w:val="24"/>
                <w:szCs w:val="24"/>
                <w:highlight w:val="none"/>
              </w:rPr>
              <w:t>；</w:t>
            </w:r>
          </w:p>
          <w:p>
            <w:pPr>
              <w:pStyle w:val="200"/>
              <w:widowControl/>
              <w:numPr>
                <w:ilvl w:val="0"/>
                <w:numId w:val="61"/>
              </w:numPr>
              <w:tabs>
                <w:tab w:val="left" w:pos="641"/>
              </w:tabs>
              <w:adjustRightInd w:val="0"/>
              <w:snapToGrid w:val="0"/>
              <w:spacing w:line="312" w:lineRule="auto"/>
              <w:ind w:left="63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供电电源：DC 9V~24V （典型工作电压DC12V）。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6.LED路灯:（2台） </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（1）供电：220VAC；</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（2）功率：</w:t>
            </w:r>
            <w:r>
              <w:rPr>
                <w:rFonts w:hint="eastAsia" w:ascii="宋体" w:hAnsi="宋体" w:eastAsia="宋体" w:cs="宋体"/>
                <w:kern w:val="0"/>
                <w:sz w:val="24"/>
                <w:szCs w:val="24"/>
                <w:highlight w:val="none"/>
              </w:rPr>
              <w:t>≥</w:t>
            </w:r>
            <w:r>
              <w:rPr>
                <w:rFonts w:hint="eastAsia" w:ascii="宋体" w:hAnsi="宋体" w:eastAsia="宋体" w:cs="宋体"/>
                <w:color w:val="000000"/>
                <w:kern w:val="0"/>
                <w:sz w:val="24"/>
                <w:szCs w:val="24"/>
                <w:highlight w:val="none"/>
              </w:rPr>
              <w:t>100W。</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7. DDZY-Z型单相智能电表（1台） </w:t>
            </w:r>
          </w:p>
          <w:p>
            <w:pPr>
              <w:pStyle w:val="200"/>
              <w:widowControl/>
              <w:numPr>
                <w:ilvl w:val="0"/>
                <w:numId w:val="62"/>
              </w:numPr>
              <w:adjustRightInd w:val="0"/>
              <w:snapToGrid w:val="0"/>
              <w:spacing w:line="312" w:lineRule="auto"/>
              <w:ind w:left="63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安装：轨道式安装；</w:t>
            </w:r>
          </w:p>
          <w:p>
            <w:pPr>
              <w:pStyle w:val="200"/>
              <w:widowControl/>
              <w:numPr>
                <w:ilvl w:val="0"/>
                <w:numId w:val="62"/>
              </w:numPr>
              <w:adjustRightInd w:val="0"/>
              <w:snapToGrid w:val="0"/>
              <w:spacing w:line="312" w:lineRule="auto"/>
              <w:ind w:left="63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通信：支持RS485或RS232等串口通信；</w:t>
            </w:r>
          </w:p>
          <w:p>
            <w:pPr>
              <w:pStyle w:val="200"/>
              <w:widowControl/>
              <w:numPr>
                <w:ilvl w:val="0"/>
                <w:numId w:val="62"/>
              </w:numPr>
              <w:adjustRightInd w:val="0"/>
              <w:snapToGrid w:val="0"/>
              <w:spacing w:line="312" w:lineRule="auto"/>
              <w:ind w:left="63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显示：具有LCD显示；</w:t>
            </w:r>
          </w:p>
          <w:p>
            <w:pPr>
              <w:pStyle w:val="200"/>
              <w:widowControl/>
              <w:numPr>
                <w:ilvl w:val="0"/>
                <w:numId w:val="62"/>
              </w:numPr>
              <w:adjustRightInd w:val="0"/>
              <w:snapToGrid w:val="0"/>
              <w:spacing w:line="312" w:lineRule="auto"/>
              <w:ind w:left="63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电源电流：</w:t>
            </w:r>
            <w:r>
              <w:rPr>
                <w:rFonts w:hint="eastAsia" w:ascii="宋体" w:hAnsi="宋体" w:eastAsia="宋体" w:cs="宋体"/>
                <w:sz w:val="24"/>
                <w:szCs w:val="24"/>
                <w:highlight w:val="none"/>
              </w:rPr>
              <w:t>≥10A；</w:t>
            </w:r>
          </w:p>
          <w:p>
            <w:pPr>
              <w:pStyle w:val="200"/>
              <w:widowControl/>
              <w:numPr>
                <w:ilvl w:val="0"/>
                <w:numId w:val="62"/>
              </w:numPr>
              <w:adjustRightInd w:val="0"/>
              <w:snapToGrid w:val="0"/>
              <w:spacing w:line="312" w:lineRule="auto"/>
              <w:ind w:left="637" w:hanging="425"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脉冲常数imp/kWh ：50Hz,1200imp/kWh。</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8.NB-IOT智能采集终端 (1台)</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主控制器:兼容STM32F103系列芯片；</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NB-IoT：支持 LTE Cat NB2；</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网络协议：支持IPv4/IPv6/Non-IP/UDP/TCP/CoAP/DTLS*/LwM2M/HTTP/MQTT；</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接口：USIM ×1(1.8V/3.0V)；</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有线通信：RS485</w:t>
            </w:r>
            <w:r>
              <w:rPr>
                <w:rFonts w:hint="eastAsia" w:ascii="宋体" w:hAnsi="宋体" w:eastAsia="宋体" w:cs="宋体"/>
                <w:sz w:val="24"/>
                <w:szCs w:val="24"/>
                <w:highlight w:val="none"/>
              </w:rPr>
              <w:t>（波特率范围1200bps~115200bps,可设置）</w:t>
            </w:r>
            <w:r>
              <w:rPr>
                <w:rFonts w:hint="eastAsia" w:ascii="宋体" w:hAnsi="宋体" w:eastAsia="宋体" w:cs="宋体"/>
                <w:color w:val="000000"/>
                <w:sz w:val="24"/>
                <w:szCs w:val="24"/>
                <w:highlight w:val="none"/>
              </w:rPr>
              <w:t>；</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▲平台支持：</w:t>
            </w:r>
            <w:r>
              <w:rPr>
                <w:rFonts w:hint="eastAsia" w:ascii="宋体" w:hAnsi="宋体" w:eastAsia="宋体" w:cs="宋体"/>
                <w:color w:val="000000"/>
                <w:sz w:val="24"/>
                <w:szCs w:val="24"/>
                <w:highlight w:val="none"/>
              </w:rPr>
              <w:t>内嵌云平台协议，数据可直接传输至物联网云平台；</w:t>
            </w:r>
          </w:p>
          <w:p>
            <w:pPr>
              <w:pStyle w:val="200"/>
              <w:widowControl/>
              <w:numPr>
                <w:ilvl w:val="0"/>
                <w:numId w:val="63"/>
              </w:numPr>
              <w:adjustRightInd w:val="0"/>
              <w:snapToGrid w:val="0"/>
              <w:spacing w:line="312" w:lineRule="auto"/>
              <w:ind w:left="627" w:hanging="364"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供电电源：DC 9V~24V （典型工作电压DC12V）。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9.4G智能采集终端 （1台） </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主控制器:兼容STM32F103系列芯片；</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4G通信支持：支持 TD- LTE/FDD- LTE/WCDMA/TD- SCDMA/GSM 通信制式；</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网络协议：支持IPV4/IPV6/TCP/PPP/UDP/FTP/HTTP/NTP；</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接口：USIM ×1(1.8V/3.0V)；</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有线通信：RS485（波特率范围1200bps~115200bp，s可设置）；</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▲平台支持：内嵌云平台协议，数据可直接传输至物联网云平台；</w:t>
            </w:r>
          </w:p>
          <w:p>
            <w:pPr>
              <w:pStyle w:val="200"/>
              <w:widowControl/>
              <w:numPr>
                <w:ilvl w:val="0"/>
                <w:numId w:val="64"/>
              </w:numPr>
              <w:adjustRightInd w:val="0"/>
              <w:snapToGrid w:val="0"/>
              <w:spacing w:line="312" w:lineRule="auto"/>
              <w:ind w:left="627" w:hanging="283"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供电电源：DC 9V~24V （典型工作电压DC12V）。</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 流量卡 （3张）</w:t>
            </w:r>
          </w:p>
          <w:p>
            <w:pPr>
              <w:widowControl/>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同时支持2G、NB-IOT、4G流量，预存3年流量费（每年不低于100M）</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二、系统主要功能要求</w:t>
            </w:r>
          </w:p>
          <w:p>
            <w:pPr>
              <w:pStyle w:val="200"/>
              <w:widowControl/>
              <w:numPr>
                <w:ilvl w:val="0"/>
                <w:numId w:val="6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能够远程实时监测室内光照强度，根据光照强度自动控制LED照明灯，从而达到节能的目的；</w:t>
            </w:r>
          </w:p>
          <w:p>
            <w:pPr>
              <w:pStyle w:val="200"/>
              <w:widowControl/>
              <w:numPr>
                <w:ilvl w:val="0"/>
                <w:numId w:val="6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能够远程实时监测户外光照强度，根据光照强度远程自动控制LED路灯，从而实现路灯智能化管理；</w:t>
            </w:r>
          </w:p>
          <w:p>
            <w:pPr>
              <w:pStyle w:val="200"/>
              <w:widowControl/>
              <w:numPr>
                <w:ilvl w:val="0"/>
                <w:numId w:val="6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能通过4G或NB-IOT远程实时采集用电情况，对能耗进行分析，制定用电设备使用策略，从而达到优化节能的目的。</w:t>
            </w:r>
          </w:p>
          <w:p>
            <w:pPr>
              <w:pStyle w:val="200"/>
              <w:widowControl/>
              <w:numPr>
                <w:ilvl w:val="0"/>
                <w:numId w:val="66"/>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实训资源要求</w:t>
            </w:r>
          </w:p>
          <w:p>
            <w:pPr>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1）产品说明书/设备技术参数说明不少于200页。</w:t>
            </w:r>
          </w:p>
          <w:p>
            <w:pPr>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2）配套实训教学资源</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（1）实训教学PPT合计不少于100页；</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（2）设备/系统操作类视频不少于10个，每个不少于8分钟；</w:t>
            </w:r>
          </w:p>
          <w:p>
            <w:pPr>
              <w:pStyle w:val="200"/>
              <w:widowControl/>
              <w:adjustRightInd w:val="0"/>
              <w:snapToGrid w:val="0"/>
              <w:spacing w:line="312" w:lineRule="auto"/>
              <w:ind w:firstLine="48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（3）活页式操作手册不少于100页。</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城市智慧安防应用实训系统</w:t>
            </w:r>
          </w:p>
        </w:tc>
        <w:tc>
          <w:tcPr>
            <w:tcW w:w="7936" w:type="dxa"/>
            <w:vAlign w:val="center"/>
          </w:tcPr>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一、设备硬件参数</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1.门磁传感器 （1台）</w:t>
            </w:r>
          </w:p>
          <w:p>
            <w:pPr>
              <w:pStyle w:val="200"/>
              <w:widowControl/>
              <w:numPr>
                <w:ilvl w:val="0"/>
                <w:numId w:val="67"/>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检测距离：≥15mm；</w:t>
            </w:r>
          </w:p>
          <w:p>
            <w:pPr>
              <w:pStyle w:val="200"/>
              <w:widowControl/>
              <w:numPr>
                <w:ilvl w:val="0"/>
                <w:numId w:val="67"/>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连接方式：端子台型。</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2.玻璃破碎监测器 （1台）</w:t>
            </w:r>
          </w:p>
          <w:p>
            <w:pPr>
              <w:pStyle w:val="200"/>
              <w:widowControl/>
              <w:numPr>
                <w:ilvl w:val="0"/>
                <w:numId w:val="68"/>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起动时间：≤60s </w:t>
            </w:r>
          </w:p>
          <w:p>
            <w:pPr>
              <w:pStyle w:val="200"/>
              <w:widowControl/>
              <w:numPr>
                <w:ilvl w:val="0"/>
                <w:numId w:val="68"/>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警报显示：红色LED亮保持3s（可关闭）；</w:t>
            </w:r>
          </w:p>
          <w:p>
            <w:pPr>
              <w:pStyle w:val="200"/>
              <w:widowControl/>
              <w:numPr>
                <w:ilvl w:val="0"/>
                <w:numId w:val="68"/>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警报输出：常闭；</w:t>
            </w:r>
          </w:p>
          <w:p>
            <w:pPr>
              <w:pStyle w:val="200"/>
              <w:widowControl/>
              <w:numPr>
                <w:ilvl w:val="0"/>
                <w:numId w:val="68"/>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防拆开关：常闭；</w:t>
            </w:r>
          </w:p>
          <w:p>
            <w:pPr>
              <w:pStyle w:val="200"/>
              <w:widowControl/>
              <w:numPr>
                <w:ilvl w:val="0"/>
                <w:numId w:val="68"/>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9V~24V （典型工作电压DC12V）。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3.红外防入侵探测器（1台） </w:t>
            </w:r>
          </w:p>
          <w:p>
            <w:pPr>
              <w:pStyle w:val="200"/>
              <w:widowControl/>
              <w:numPr>
                <w:ilvl w:val="0"/>
                <w:numId w:val="69"/>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探测距离：≥6m；</w:t>
            </w:r>
          </w:p>
          <w:p>
            <w:pPr>
              <w:pStyle w:val="200"/>
              <w:widowControl/>
              <w:numPr>
                <w:ilvl w:val="0"/>
                <w:numId w:val="69"/>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探测角度：≥15°；</w:t>
            </w:r>
          </w:p>
          <w:p>
            <w:pPr>
              <w:pStyle w:val="200"/>
              <w:widowControl/>
              <w:numPr>
                <w:ilvl w:val="0"/>
                <w:numId w:val="69"/>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9V~24V （典型工作电压DC12V）。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4.震动监测器（1台） </w:t>
            </w:r>
          </w:p>
          <w:p>
            <w:pPr>
              <w:pStyle w:val="200"/>
              <w:widowControl/>
              <w:numPr>
                <w:ilvl w:val="0"/>
                <w:numId w:val="70"/>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报警触点：常闭；</w:t>
            </w:r>
          </w:p>
          <w:p>
            <w:pPr>
              <w:pStyle w:val="200"/>
              <w:widowControl/>
              <w:numPr>
                <w:ilvl w:val="0"/>
                <w:numId w:val="70"/>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报警时间：≥2.2s；</w:t>
            </w:r>
          </w:p>
          <w:p>
            <w:pPr>
              <w:pStyle w:val="200"/>
              <w:widowControl/>
              <w:numPr>
                <w:ilvl w:val="0"/>
                <w:numId w:val="70"/>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9V~24V （典型工作电压DC12V）。</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5.报警器 （1台）</w:t>
            </w:r>
          </w:p>
          <w:p>
            <w:pPr>
              <w:pStyle w:val="200"/>
              <w:widowControl/>
              <w:numPr>
                <w:ilvl w:val="0"/>
                <w:numId w:val="71"/>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报警类型：LED闪烁；</w:t>
            </w:r>
          </w:p>
          <w:p>
            <w:pPr>
              <w:pStyle w:val="200"/>
              <w:widowControl/>
              <w:numPr>
                <w:ilvl w:val="0"/>
                <w:numId w:val="71"/>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 C9V~24V （典型工作电压DC12V）</w:t>
            </w:r>
            <w:r>
              <w:rPr>
                <w:rFonts w:hint="eastAsia" w:ascii="宋体" w:hAnsi="宋体" w:eastAsia="宋体" w:cs="宋体"/>
                <w:color w:val="000000"/>
                <w:sz w:val="24"/>
                <w:szCs w:val="24"/>
                <w:highlight w:val="none"/>
              </w:rPr>
              <w:t>。</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6.智能报警主机 （1台）</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8个板载有线防区，</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1路继电器输出；</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支持通过网络、电话线方式上传报警数据；</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8000条报警事件记录、</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2000条操作事件记录、</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1500条用户管理操作记录；</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8个独立控制的子系统，</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1个公共子系统；</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2组独立的以太网接警中心，</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2组独立的电话接警中心；</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4个独立中心组，每组可灵活配置报警数据上传策略、冗余备份策略；</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支持主机防拆报警,探测器防拆报警；</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支持1路RS485半双工接口；</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支持警号输出、键盘电源、辅助电源防反接和过流保护；</w:t>
            </w:r>
          </w:p>
          <w:p>
            <w:pPr>
              <w:pStyle w:val="19"/>
              <w:numPr>
                <w:ilvl w:val="0"/>
                <w:numId w:val="72"/>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支持远程升级,远程导入导出配置参数。</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7.智能烟感探测器 （1台）</w:t>
            </w:r>
          </w:p>
          <w:p>
            <w:pPr>
              <w:pStyle w:val="200"/>
              <w:widowControl/>
              <w:numPr>
                <w:ilvl w:val="0"/>
                <w:numId w:val="7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报警声响：≥80dB；</w:t>
            </w:r>
          </w:p>
          <w:p>
            <w:pPr>
              <w:pStyle w:val="200"/>
              <w:widowControl/>
              <w:numPr>
                <w:ilvl w:val="0"/>
                <w:numId w:val="73"/>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信号输出：常开/常闭型；</w:t>
            </w:r>
          </w:p>
          <w:p>
            <w:pPr>
              <w:pStyle w:val="200"/>
              <w:widowControl/>
              <w:numPr>
                <w:ilvl w:val="0"/>
                <w:numId w:val="71"/>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9V~24V （典型工作电压DC12V）</w:t>
            </w:r>
            <w:r>
              <w:rPr>
                <w:rFonts w:hint="eastAsia" w:ascii="宋体" w:hAnsi="宋体" w:eastAsia="宋体" w:cs="宋体"/>
                <w:color w:val="000000"/>
                <w:sz w:val="24"/>
                <w:szCs w:val="24"/>
                <w:highlight w:val="none"/>
              </w:rPr>
              <w:t>。</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8.智能温感探测器（1台） </w:t>
            </w:r>
          </w:p>
          <w:p>
            <w:pPr>
              <w:pStyle w:val="200"/>
              <w:widowControl/>
              <w:numPr>
                <w:ilvl w:val="0"/>
                <w:numId w:val="74"/>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报警温度：50-70℃；</w:t>
            </w:r>
          </w:p>
          <w:p>
            <w:pPr>
              <w:pStyle w:val="200"/>
              <w:widowControl/>
              <w:numPr>
                <w:ilvl w:val="0"/>
                <w:numId w:val="74"/>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报警声响：≥80dB；</w:t>
            </w:r>
          </w:p>
          <w:p>
            <w:pPr>
              <w:pStyle w:val="200"/>
              <w:widowControl/>
              <w:numPr>
                <w:ilvl w:val="0"/>
                <w:numId w:val="74"/>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信号输出：常开/常闭型；</w:t>
            </w:r>
          </w:p>
          <w:p>
            <w:pPr>
              <w:pStyle w:val="200"/>
              <w:widowControl/>
              <w:numPr>
                <w:ilvl w:val="0"/>
                <w:numId w:val="74"/>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w:t>
            </w:r>
            <w:r>
              <w:rPr>
                <w:rFonts w:hint="eastAsia" w:ascii="宋体" w:hAnsi="宋体" w:eastAsia="宋体" w:cs="宋体"/>
                <w:color w:val="000000"/>
                <w:sz w:val="24"/>
                <w:szCs w:val="24"/>
                <w:highlight w:val="none"/>
              </w:rPr>
              <w:t>24V</w:t>
            </w:r>
            <w:r>
              <w:rPr>
                <w:rFonts w:hint="eastAsia" w:ascii="宋体" w:hAnsi="宋体" w:eastAsia="宋体" w:cs="宋体"/>
                <w:sz w:val="24"/>
                <w:szCs w:val="24"/>
                <w:highlight w:val="none"/>
              </w:rPr>
              <w:t xml:space="preserve"> （典型工作电压DC12V）</w:t>
            </w:r>
            <w:r>
              <w:rPr>
                <w:rFonts w:hint="eastAsia" w:ascii="宋体" w:hAnsi="宋体" w:eastAsia="宋体" w:cs="宋体"/>
                <w:color w:val="000000"/>
                <w:sz w:val="24"/>
                <w:szCs w:val="24"/>
                <w:highlight w:val="none"/>
              </w:rPr>
              <w:t>。</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9.可燃气体探测器（1台） </w:t>
            </w:r>
          </w:p>
          <w:p>
            <w:pPr>
              <w:pStyle w:val="200"/>
              <w:widowControl/>
              <w:numPr>
                <w:ilvl w:val="0"/>
                <w:numId w:val="75"/>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感应气体：煤气、天然气、液化石油气；</w:t>
            </w:r>
          </w:p>
          <w:p>
            <w:pPr>
              <w:pStyle w:val="200"/>
              <w:widowControl/>
              <w:numPr>
                <w:ilvl w:val="0"/>
                <w:numId w:val="75"/>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报警浓度：煤气≥0.1~0.5%、天然气≥0.1~0/3%、液化石油气≥0.1-0.5%；</w:t>
            </w:r>
          </w:p>
          <w:p>
            <w:pPr>
              <w:pStyle w:val="200"/>
              <w:widowControl/>
              <w:numPr>
                <w:ilvl w:val="0"/>
                <w:numId w:val="75"/>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报警声响：≥70dB；</w:t>
            </w:r>
          </w:p>
          <w:p>
            <w:pPr>
              <w:pStyle w:val="200"/>
              <w:widowControl/>
              <w:numPr>
                <w:ilvl w:val="0"/>
                <w:numId w:val="75"/>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信号输出：常开/常闭型；</w:t>
            </w:r>
          </w:p>
          <w:p>
            <w:pPr>
              <w:pStyle w:val="200"/>
              <w:widowControl/>
              <w:numPr>
                <w:ilvl w:val="0"/>
                <w:numId w:val="75"/>
              </w:numPr>
              <w:adjustRightInd w:val="0"/>
              <w:snapToGrid w:val="0"/>
              <w:spacing w:line="312" w:lineRule="auto"/>
              <w:ind w:left="627"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供电</w:t>
            </w:r>
            <w:r>
              <w:rPr>
                <w:rFonts w:hint="eastAsia" w:ascii="宋体" w:hAnsi="宋体" w:eastAsia="宋体" w:cs="宋体"/>
                <w:color w:val="000000"/>
                <w:sz w:val="24"/>
                <w:szCs w:val="24"/>
                <w:highlight w:val="none"/>
              </w:rPr>
              <w:t>电源</w:t>
            </w:r>
            <w:r>
              <w:rPr>
                <w:rFonts w:hint="eastAsia" w:ascii="宋体" w:hAnsi="宋体" w:eastAsia="宋体" w:cs="宋体"/>
                <w:sz w:val="24"/>
                <w:szCs w:val="24"/>
                <w:highlight w:val="none"/>
              </w:rPr>
              <w:t>：DC 9V~</w:t>
            </w:r>
            <w:r>
              <w:rPr>
                <w:rFonts w:hint="eastAsia" w:ascii="宋体" w:hAnsi="宋体" w:eastAsia="宋体" w:cs="宋体"/>
                <w:color w:val="000000"/>
                <w:sz w:val="24"/>
                <w:szCs w:val="24"/>
                <w:highlight w:val="none"/>
              </w:rPr>
              <w:t>24V</w:t>
            </w:r>
            <w:r>
              <w:rPr>
                <w:rFonts w:hint="eastAsia" w:ascii="宋体" w:hAnsi="宋体" w:eastAsia="宋体" w:cs="宋体"/>
                <w:sz w:val="24"/>
                <w:szCs w:val="24"/>
                <w:highlight w:val="none"/>
              </w:rPr>
              <w:t xml:space="preserve"> （典型工作电压DC12V）</w:t>
            </w:r>
            <w:r>
              <w:rPr>
                <w:rFonts w:hint="eastAsia" w:ascii="宋体" w:hAnsi="宋体" w:eastAsia="宋体" w:cs="宋体"/>
                <w:color w:val="000000"/>
                <w:sz w:val="24"/>
                <w:szCs w:val="24"/>
                <w:highlight w:val="none"/>
              </w:rPr>
              <w:t>。</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10.网络摄像机 （1台）</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参数：200W像素1/2.9” CMOS互联网摄像机；</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传感器类型：1/2.9” Progressive Scan CMOS；</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视频压缩标准：H.264；</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图像：</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1920 × 1080；</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存储功能：支持MicroSD 卡(最大128G)；</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平台支持协议：支持云平台协议；</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无线标准：IEEE802.11b, 802.11g, 802.11n Draft；</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安全：64/128-bit WEP, WPA/WPA2, WPA-PSK/WPA2-PSK；</w:t>
            </w:r>
          </w:p>
          <w:p>
            <w:pPr>
              <w:pStyle w:val="19"/>
              <w:numPr>
                <w:ilvl w:val="0"/>
                <w:numId w:val="76"/>
              </w:numPr>
              <w:adjustRightInd w:val="0"/>
              <w:snapToGrid w:val="0"/>
              <w:spacing w:line="312" w:lineRule="auto"/>
              <w:ind w:left="84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电源： DC 5V±10%供电。</w:t>
            </w:r>
          </w:p>
          <w:p>
            <w:pPr>
              <w:widowControl/>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二、系统主要功能要求</w:t>
            </w:r>
          </w:p>
          <w:p>
            <w:pPr>
              <w:pStyle w:val="200"/>
              <w:widowControl/>
              <w:numPr>
                <w:ilvl w:val="0"/>
                <w:numId w:val="77"/>
              </w:numPr>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能通过物联网云平台或APP远程实时监测各种安防传感器状态；</w:t>
            </w:r>
          </w:p>
          <w:p>
            <w:pPr>
              <w:pStyle w:val="200"/>
              <w:widowControl/>
              <w:numPr>
                <w:ilvl w:val="0"/>
                <w:numId w:val="77"/>
              </w:numPr>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能通过物联网云平台或APP远程实时监控报警器状态；</w:t>
            </w:r>
          </w:p>
          <w:p>
            <w:pPr>
              <w:pStyle w:val="200"/>
              <w:widowControl/>
              <w:numPr>
                <w:ilvl w:val="0"/>
                <w:numId w:val="77"/>
              </w:numPr>
              <w:adjustRightInd w:val="0"/>
              <w:snapToGrid w:val="0"/>
              <w:spacing w:line="312" w:lineRule="auto"/>
              <w:ind w:left="66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能够通过物联网云平台或APP远程实时监控网络摄像机监控视频。</w:t>
            </w:r>
          </w:p>
          <w:p>
            <w:pPr>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三、实训资源要求</w:t>
            </w:r>
          </w:p>
          <w:p>
            <w:pPr>
              <w:pStyle w:val="88"/>
              <w:numPr>
                <w:ilvl w:val="0"/>
                <w:numId w:val="78"/>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产品说明书/设备技术参数说明不少于100页。</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2）配套实训教学资源</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（1）实训教学PPT合计不少于200页；</w:t>
            </w:r>
          </w:p>
          <w:p>
            <w:pPr>
              <w:pStyle w:val="88"/>
              <w:adjustRightInd w:val="0"/>
              <w:snapToGrid w:val="0"/>
              <w:spacing w:line="312" w:lineRule="auto"/>
              <w:ind w:left="42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（2）设备/系统操作类视频不少于5个，每个不少于8分钟；</w:t>
            </w:r>
          </w:p>
          <w:p>
            <w:pPr>
              <w:pStyle w:val="88"/>
              <w:adjustRightInd w:val="0"/>
              <w:snapToGrid w:val="0"/>
              <w:spacing w:line="312" w:lineRule="auto"/>
              <w:ind w:left="42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（3）活页式操作手册不少于100页。</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智慧城市应用场景展示系统</w:t>
            </w:r>
          </w:p>
        </w:tc>
        <w:tc>
          <w:tcPr>
            <w:tcW w:w="7936" w:type="dxa"/>
            <w:vAlign w:val="center"/>
          </w:tcPr>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1.智能展示终端 </w:t>
            </w:r>
          </w:p>
          <w:p>
            <w:pPr>
              <w:pStyle w:val="88"/>
              <w:widowControl/>
              <w:numPr>
                <w:ilvl w:val="0"/>
                <w:numId w:val="79"/>
              </w:numPr>
              <w:adjustRightInd w:val="0"/>
              <w:snapToGrid w:val="0"/>
              <w:spacing w:line="312" w:lineRule="auto"/>
              <w:ind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显示区域：≥1.9m * 1.1m；</w:t>
            </w:r>
          </w:p>
          <w:p>
            <w:pPr>
              <w:pStyle w:val="88"/>
              <w:widowControl/>
              <w:numPr>
                <w:ilvl w:val="0"/>
                <w:numId w:val="79"/>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系统支持：支持Android和Windows双系统；</w:t>
            </w:r>
          </w:p>
          <w:p>
            <w:pPr>
              <w:pStyle w:val="88"/>
              <w:widowControl/>
              <w:numPr>
                <w:ilvl w:val="0"/>
                <w:numId w:val="79"/>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核心处理器：≥四核处理器，主频≥2.2GHz；</w:t>
            </w:r>
          </w:p>
          <w:p>
            <w:pPr>
              <w:pStyle w:val="88"/>
              <w:widowControl/>
              <w:numPr>
                <w:ilvl w:val="0"/>
                <w:numId w:val="79"/>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存储空间：内存≥4G DDR4，≥256G SSD存储；</w:t>
            </w:r>
          </w:p>
          <w:p>
            <w:pPr>
              <w:pStyle w:val="88"/>
              <w:widowControl/>
              <w:numPr>
                <w:ilvl w:val="0"/>
                <w:numId w:val="79"/>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主要功能：内嵌物联网云平台view显示界面，能直接显示智慧城市应用功能界面，能直观展示智慧城市各个应用数据，能通过触控的方式控制各个智能设备；整体界面设计友好，与展示台环境协调。</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2.智慧城市应用系统展示台</w:t>
            </w:r>
          </w:p>
          <w:p>
            <w:pPr>
              <w:pStyle w:val="88"/>
              <w:widowControl/>
              <w:numPr>
                <w:ilvl w:val="0"/>
                <w:numId w:val="80"/>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采用亚克力彩色喷绘展台，制作智慧城市应用系统的架构图，并在对应设备位置安装实体设备，设备需要通电并正常运行，展台安装上墙，需安装辅助灯光，让展台显示更加清晰、美观。</w:t>
            </w:r>
          </w:p>
          <w:p>
            <w:pPr>
              <w:pStyle w:val="88"/>
              <w:widowControl/>
              <w:numPr>
                <w:ilvl w:val="0"/>
                <w:numId w:val="80"/>
              </w:numPr>
              <w:adjustRightInd w:val="0"/>
              <w:snapToGrid w:val="0"/>
              <w:spacing w:line="312" w:lineRule="auto"/>
              <w:ind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整个应用设计按照物联网层级架构模式，一层一层进行结构设计，同时进行设备安装部署，能够直观体现智慧环保、智能电网、智慧消防应用体系及设备部署情况。</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3.实体设备采用与实训系统一致的产品</w:t>
            </w:r>
          </w:p>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 xml:space="preserve">  选用智慧环保、智能电网、智慧安防三个实训系统的全套硬件及软件进行安装部署。能够在通电后正常运行，同时实时数据信息在平台上能够被集中显示及控制。</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智慧城市应用系统平台软件</w:t>
            </w:r>
          </w:p>
        </w:tc>
        <w:tc>
          <w:tcPr>
            <w:tcW w:w="7936" w:type="dxa"/>
            <w:vAlign w:val="center"/>
          </w:tcPr>
          <w:p>
            <w:pPr>
              <w:pStyle w:val="200"/>
              <w:widowControl/>
              <w:numPr>
                <w:ilvl w:val="1"/>
                <w:numId w:val="81"/>
              </w:numPr>
              <w:adjustRightInd w:val="0"/>
              <w:snapToGrid w:val="0"/>
              <w:spacing w:line="312" w:lineRule="auto"/>
              <w:ind w:left="496"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系统架构要求</w:t>
            </w:r>
          </w:p>
          <w:p>
            <w:pPr>
              <w:widowControl/>
              <w:adjustRightInd w:val="0"/>
              <w:snapToGrid w:val="0"/>
              <w:spacing w:line="312" w:lineRule="auto"/>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智慧城市应用接入物联网云平台基础上至少具有4大核心模块：设备管理模块，用户管理模块，数据传输管理模块，数据管理模块。该物联网云平台必须基于Paas层进行建设，同时为SaaS层和IaaS层搭建连接，分别向上下游提供中间层核心能力。</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设备接入功能要求：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兼容多种主流接入协议（NB-IoT（LWM2M）、MQTT、EDP、Modbus、HTTP等），支持各种网络通道，分布式集群机制支持电信级海量设备的大并发量接入。</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数据存储功能要求：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要求采用分布式结构，提供完备的数据接口和多重保障机制。</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消息分发功能要求：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能实现设备的监控管理、在线调试、实时控制等功能。</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规则引擎功能要求：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能快速创建设备管理的前端页面，实现数据图形化和报表化，并实现对设备的远程管控。</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应用接入功能要求：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能将采集的数据通过消息转发、短/彩信推送、APP信息推送方式快速告知业务平台、手机、APP客户端，建立双向通信的有效通道。</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数据统计功能要求：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云端支持事件触发引擎，自定义触发条件帮助用户快速实现业务逻辑；</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设备管理功能要求：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提供开放API接口以及详细的指导手册。</w:t>
            </w:r>
          </w:p>
          <w:p>
            <w:pPr>
              <w:pStyle w:val="200"/>
              <w:widowControl/>
              <w:numPr>
                <w:ilvl w:val="0"/>
                <w:numId w:val="82"/>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产品管理功能要求：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提供统一的数据管理与分析能力，实现产品及业务的快速演进。</w:t>
            </w:r>
          </w:p>
          <w:p>
            <w:pPr>
              <w:pStyle w:val="200"/>
              <w:widowControl/>
              <w:numPr>
                <w:ilvl w:val="1"/>
                <w:numId w:val="81"/>
              </w:numPr>
              <w:adjustRightInd w:val="0"/>
              <w:snapToGrid w:val="0"/>
              <w:spacing w:line="312" w:lineRule="auto"/>
              <w:ind w:left="354"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平台功能设计要求</w:t>
            </w:r>
          </w:p>
          <w:p>
            <w:pPr>
              <w:pStyle w:val="200"/>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数据库设计要求</w:t>
            </w:r>
          </w:p>
          <w:p>
            <w:pPr>
              <w:pStyle w:val="200"/>
              <w:adjustRightInd w:val="0"/>
              <w:snapToGrid w:val="0"/>
              <w:spacing w:line="312" w:lineRule="auto"/>
              <w:ind w:left="330"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智慧城市运营平台支持多种后端存储介质，至少包括关系型数据库、非关系型数据库、时序列数据库，运营平台数据存储服务应该具有分布式存储和技术能力，并统一数据模型，从而降低物联网架构和应用跨领域的复杂性，能充分挖掘物联网大数据的深层次价值。</w:t>
            </w:r>
          </w:p>
          <w:p>
            <w:pPr>
              <w:pStyle w:val="200"/>
              <w:widowControl/>
              <w:numPr>
                <w:ilvl w:val="0"/>
                <w:numId w:val="84"/>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数据隔离要求</w:t>
            </w:r>
          </w:p>
          <w:p>
            <w:pPr>
              <w:pStyle w:val="200"/>
              <w:widowControl/>
              <w:adjustRightInd w:val="0"/>
              <w:snapToGrid w:val="0"/>
              <w:spacing w:line="312" w:lineRule="auto"/>
              <w:ind w:left="33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运营平台的所有数据都必须按照统一的数据模型（设备-数据点）进行设计，各种物联网数据都必须按这种模型进行统一存储。</w:t>
            </w:r>
          </w:p>
          <w:p>
            <w:pPr>
              <w:pStyle w:val="200"/>
              <w:widowControl/>
              <w:numPr>
                <w:ilvl w:val="0"/>
                <w:numId w:val="84"/>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备份系统</w:t>
            </w:r>
          </w:p>
          <w:p>
            <w:pPr>
              <w:widowControl/>
              <w:adjustRightInd w:val="0"/>
              <w:snapToGrid w:val="0"/>
              <w:spacing w:line="312" w:lineRule="auto"/>
              <w:ind w:left="33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运营平台的数据备份必须具备物理备份和数据库备份两种能力。</w:t>
            </w:r>
          </w:p>
          <w:p>
            <w:pPr>
              <w:pStyle w:val="200"/>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数据采集设计要求</w:t>
            </w:r>
          </w:p>
          <w:p>
            <w:pPr>
              <w:pStyle w:val="200"/>
              <w:widowControl/>
              <w:numPr>
                <w:ilvl w:val="0"/>
                <w:numId w:val="8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支持MQTT协议类终端接入与数据采集；</w:t>
            </w:r>
          </w:p>
          <w:p>
            <w:pPr>
              <w:pStyle w:val="200"/>
              <w:widowControl/>
              <w:numPr>
                <w:ilvl w:val="0"/>
                <w:numId w:val="8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支持HTTP 协议类终端接入和数据采集；</w:t>
            </w:r>
          </w:p>
          <w:p>
            <w:pPr>
              <w:pStyle w:val="200"/>
              <w:numPr>
                <w:ilvl w:val="0"/>
                <w:numId w:val="8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支持云网关类终端接入与数据采集；</w:t>
            </w:r>
          </w:p>
          <w:p>
            <w:pPr>
              <w:pStyle w:val="200"/>
              <w:widowControl/>
              <w:numPr>
                <w:ilvl w:val="0"/>
                <w:numId w:val="85"/>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支持Modbus RTU Over TCP终端接入与数据上传。</w:t>
            </w:r>
          </w:p>
          <w:p>
            <w:pPr>
              <w:pStyle w:val="200"/>
              <w:widowControl/>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数据共享设计要求</w:t>
            </w:r>
          </w:p>
          <w:p>
            <w:pPr>
              <w:pStyle w:val="200"/>
              <w:widowControl/>
              <w:numPr>
                <w:ilvl w:val="0"/>
                <w:numId w:val="86"/>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提供开发API接口；</w:t>
            </w:r>
          </w:p>
          <w:p>
            <w:pPr>
              <w:pStyle w:val="200"/>
              <w:widowControl/>
              <w:numPr>
                <w:ilvl w:val="0"/>
                <w:numId w:val="86"/>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支持消息路由用于配置数据推送转发；</w:t>
            </w:r>
          </w:p>
          <w:p>
            <w:pPr>
              <w:pStyle w:val="200"/>
              <w:widowControl/>
              <w:numPr>
                <w:ilvl w:val="0"/>
                <w:numId w:val="86"/>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物联网平台支持设备数据不在物联网平台进行存储，直接利用数据推送服务将数据推送给客户授权的第三方应用或存储介质进行存储。</w:t>
            </w:r>
          </w:p>
          <w:p>
            <w:pPr>
              <w:pStyle w:val="200"/>
              <w:widowControl/>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系统软件设计要求</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支持远程固件升级（OTA）；</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平台支持在线调试功能；</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平台支持日志服务；</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平台支持规则引擎；</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平台支持数据分析；</w:t>
            </w:r>
          </w:p>
          <w:p>
            <w:pPr>
              <w:pStyle w:val="200"/>
              <w:numPr>
                <w:ilvl w:val="0"/>
                <w:numId w:val="87"/>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平台用户权限管理设计</w:t>
            </w:r>
          </w:p>
          <w:p>
            <w:pPr>
              <w:pStyle w:val="88"/>
              <w:numPr>
                <w:ilvl w:val="0"/>
                <w:numId w:val="88"/>
              </w:numPr>
              <w:spacing w:line="312" w:lineRule="auto"/>
              <w:ind w:left="984"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平台必须为智慧城市运营平台客户提供统一的用户身份管理与资源访问控制服务；</w:t>
            </w:r>
          </w:p>
          <w:p>
            <w:pPr>
              <w:pStyle w:val="88"/>
              <w:numPr>
                <w:ilvl w:val="0"/>
                <w:numId w:val="88"/>
              </w:numPr>
              <w:spacing w:line="312" w:lineRule="auto"/>
              <w:ind w:left="984"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平台支持统一鉴权管理：统一的登录认证页面，对登录的用户进行身份标识和鉴别，身份标识具有唯一性，身份鉴别信息具有复杂度要求并定期更换；</w:t>
            </w:r>
          </w:p>
          <w:p>
            <w:pPr>
              <w:pStyle w:val="88"/>
              <w:numPr>
                <w:ilvl w:val="0"/>
                <w:numId w:val="88"/>
              </w:numPr>
              <w:spacing w:line="312" w:lineRule="auto"/>
              <w:ind w:left="984"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平台支持主/子用户：不同的主用户之间相互隔离，主用户下的各个子用户可以拥有不同的资源权限。</w:t>
            </w:r>
          </w:p>
          <w:p>
            <w:pPr>
              <w:pStyle w:val="200"/>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应用终端系统功能要求</w:t>
            </w:r>
          </w:p>
          <w:p>
            <w:pPr>
              <w:pStyle w:val="200"/>
              <w:numPr>
                <w:ilvl w:val="0"/>
                <w:numId w:val="89"/>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设备管理</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产品设备管理模块通过一套完整、自洽的物联网标识使用规则，采用统一资源模型，实现通过产品ID、设备ID和MasterKey等标识对设备属性进行统一管理。</w:t>
            </w:r>
          </w:p>
          <w:p>
            <w:pPr>
              <w:pStyle w:val="200"/>
              <w:numPr>
                <w:ilvl w:val="0"/>
                <w:numId w:val="89"/>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命令管理</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设备接入运营平台后，用户可以直接通过运营平台向设备下发命令，也可通过第三方应用调用OpenAPI向设备下发命令，从而实现对设备的控制。</w:t>
            </w:r>
          </w:p>
          <w:p>
            <w:pPr>
              <w:pStyle w:val="200"/>
              <w:numPr>
                <w:ilvl w:val="0"/>
                <w:numId w:val="83"/>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应用服务能力要求（应用软件）</w:t>
            </w:r>
          </w:p>
          <w:p>
            <w:pPr>
              <w:pStyle w:val="200"/>
              <w:numPr>
                <w:ilvl w:val="0"/>
                <w:numId w:val="90"/>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数据采集</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支持定时批量采集和实时流式采集。</w:t>
            </w:r>
          </w:p>
          <w:p>
            <w:pPr>
              <w:pStyle w:val="200"/>
              <w:numPr>
                <w:ilvl w:val="0"/>
                <w:numId w:val="90"/>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数据处理</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平台能提供丰富的大数据开发套件，快速进行数据清洗、数据处理、任务管理、调度管理研发工作。</w:t>
            </w:r>
          </w:p>
          <w:p>
            <w:pPr>
              <w:pStyle w:val="200"/>
              <w:numPr>
                <w:ilvl w:val="0"/>
                <w:numId w:val="90"/>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数据存储</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平台支持实时采集汇聚设备上报的感知数据，并进行存储，为各应用提供实时或历史的感知数据，满足在线实时监测和离线统计分析需求。平台支持多种后端存储介质，包括关系型数据库、非关系型数据库、时序列数据库，数据存储服务具有分布式存储和技术能力，统一数据模型，降低物联网架构和应用跨领域的复杂性，可充分挖掘物联网大数据的深层次价值，使平台具备服务保证性、自主性和共享性。</w:t>
            </w:r>
          </w:p>
          <w:p>
            <w:pPr>
              <w:pStyle w:val="200"/>
              <w:numPr>
                <w:ilvl w:val="0"/>
                <w:numId w:val="90"/>
              </w:numPr>
              <w:adjustRightInd w:val="0"/>
              <w:snapToGrid w:val="0"/>
              <w:spacing w:line="312"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数据服务</w:t>
            </w:r>
          </w:p>
          <w:p>
            <w:pPr>
              <w:pStyle w:val="200"/>
              <w:adjustRightInd w:val="0"/>
              <w:snapToGrid w:val="0"/>
              <w:spacing w:line="312" w:lineRule="auto"/>
              <w:ind w:left="750" w:firstLine="0"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提供数据预处理、模型建立、结果预测一系列完整的数据处理流程。</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三、智慧城市应用软件部署</w:t>
            </w:r>
            <w:r>
              <w:rPr>
                <w:rFonts w:hint="eastAsia" w:ascii="宋体" w:hAnsi="宋体" w:eastAsia="宋体" w:cs="宋体"/>
                <w:color w:val="000000"/>
                <w:kern w:val="0"/>
                <w:sz w:val="24"/>
                <w:szCs w:val="24"/>
                <w:highlight w:val="none"/>
              </w:rPr>
              <w:br w:type="textWrapping"/>
            </w:r>
            <w:r>
              <w:rPr>
                <w:rFonts w:hint="eastAsia" w:ascii="宋体" w:hAnsi="宋体" w:eastAsia="宋体" w:cs="宋体"/>
                <w:color w:val="000000"/>
                <w:kern w:val="0"/>
                <w:sz w:val="24"/>
                <w:szCs w:val="24"/>
                <w:highlight w:val="none"/>
              </w:rPr>
              <w:t>1、智慧环保监测系统应用软件部署</w:t>
            </w:r>
          </w:p>
          <w:p>
            <w:pPr>
              <w:widowControl/>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基于云平台开发的环境监测SaaS智慧环保系统软件，能够通过智能终端远程监测和反向控制（部分）室内外的空气温度、湿度、PM2.5、CO₂等空气指标，各指标数据可统一汇总分析，实现对城市环境的管控目标。</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2、智能电网系统应用软件部署</w:t>
            </w:r>
          </w:p>
          <w:p>
            <w:pPr>
              <w:widowControl/>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提供基于云平台开发的能耗监测SaaS智能电网系统软件，能够通过智能终端实 时监测电量变化，达成对能源的追溯和管理目标。基于智慧城市运营平台开发的智慧照明SaaS实验平台，能够通过智能终端远程实现开关照明灯，完成“有人则开，无人则关闭”的基础工作，同时云端可以发出命令开/关照明灯，并可以设置延迟关闭等触发条件，最终实现室内外的能源节约效果。</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3、智慧能源监测系统应用软件部署</w:t>
            </w:r>
          </w:p>
          <w:p>
            <w:pPr>
              <w:widowControl/>
              <w:adjustRightInd w:val="0"/>
              <w:snapToGrid w:val="0"/>
              <w:spacing w:line="312" w:lineRule="auto"/>
              <w:ind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智能电表云集抄管理平台，支持基于地理位置的基站电表展示、用户分级管理、智能电表设备管理、空间资源信息同步、实时电量采集、日冻结电量采集、报表管理等功能。</w:t>
            </w:r>
          </w:p>
          <w:p>
            <w:pPr>
              <w:widowControl/>
              <w:adjustRightInd w:val="0"/>
              <w:snapToGrid w:val="0"/>
              <w:spacing w:line="312"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四、扩展功能</w:t>
            </w:r>
          </w:p>
          <w:p>
            <w:pPr>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1、提供平台及应用软件的SDK开发包，并提供开发DEMO和详细使用文档；</w:t>
            </w:r>
          </w:p>
          <w:p>
            <w:pPr>
              <w:adjustRightInd w:val="0"/>
              <w:snapToGrid w:val="0"/>
              <w:spacing w:line="312"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2、提供PC版“智慧城市应用实训管理软件”【</w:t>
            </w:r>
            <w:r>
              <w:rPr>
                <w:rFonts w:hint="eastAsia" w:ascii="宋体" w:hAnsi="宋体" w:eastAsia="宋体" w:cs="宋体"/>
                <w:b/>
                <w:bCs/>
                <w:color w:val="000000"/>
                <w:kern w:val="0"/>
                <w:sz w:val="24"/>
                <w:szCs w:val="24"/>
                <w:highlight w:val="none"/>
              </w:rPr>
              <w:t>现场演示</w:t>
            </w:r>
            <w:r>
              <w:rPr>
                <w:rFonts w:hint="eastAsia" w:ascii="宋体" w:hAnsi="宋体" w:eastAsia="宋体" w:cs="宋体"/>
                <w:color w:val="000000"/>
                <w:kern w:val="0"/>
                <w:sz w:val="24"/>
                <w:szCs w:val="24"/>
                <w:highlight w:val="none"/>
              </w:rPr>
              <w:t>】</w:t>
            </w:r>
          </w:p>
          <w:p>
            <w:pPr>
              <w:pStyle w:val="200"/>
              <w:numPr>
                <w:ilvl w:val="0"/>
                <w:numId w:val="91"/>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包含智能环保应用系统、智能电网应用系统、智能安防应用系统的管理，通过设备可以绑定云平台的设备，将云平台数据实时展示到管理软件；</w:t>
            </w:r>
          </w:p>
          <w:p>
            <w:pPr>
              <w:pStyle w:val="200"/>
              <w:numPr>
                <w:ilvl w:val="0"/>
                <w:numId w:val="91"/>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智能环保应用系统包含：水质远程实时监测系统、空气质量AQI监测系统、实时环境监测系统三部分，可将以上设备硬件数据通过仪表盘、曲线等方式进行展示；</w:t>
            </w:r>
          </w:p>
          <w:p>
            <w:pPr>
              <w:pStyle w:val="200"/>
              <w:numPr>
                <w:ilvl w:val="0"/>
                <w:numId w:val="91"/>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智能电网包含：智能照明系统，智能路灯系统，智能抄表系统三部分，可与以上实训设备进行绑定，对光照传感器数、抄表数据实时显示，对LED照明灯、路灯进行在线实时控制；</w:t>
            </w:r>
          </w:p>
          <w:p>
            <w:pPr>
              <w:pStyle w:val="200"/>
              <w:numPr>
                <w:ilvl w:val="0"/>
                <w:numId w:val="91"/>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智能安防应用系统包含：智能消防系统，智能报警系统，视频监控系统，可以与以上实训设备进行绑定，对各类报警传感器进行状态实时监测并设置与报警器进行联动，远程开启/关闭报警控制，能在线实时显示视频监控状态；</w:t>
            </w:r>
          </w:p>
          <w:p>
            <w:pPr>
              <w:pStyle w:val="200"/>
              <w:numPr>
                <w:ilvl w:val="0"/>
                <w:numId w:val="91"/>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集成智慧城市应用实训系统实训手册，能在线指导学生逐步完成各个实训项目。</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2" w:type="dxa"/>
            <w:vAlign w:val="center"/>
          </w:tcPr>
          <w:p>
            <w:pPr>
              <w:adjustRightInd w:val="0"/>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工程应用实训架</w:t>
            </w:r>
          </w:p>
        </w:tc>
        <w:tc>
          <w:tcPr>
            <w:tcW w:w="7936" w:type="dxa"/>
            <w:vAlign w:val="center"/>
          </w:tcPr>
          <w:p>
            <w:pPr>
              <w:pStyle w:val="88"/>
              <w:numPr>
                <w:ilvl w:val="0"/>
                <w:numId w:val="92"/>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主框架采用铝合金型材搭建，要求支撑稳固、造型合理美观；主框架整体尺寸不小于：1.2m*2m*2.4m(深*宽*高)；</w:t>
            </w:r>
          </w:p>
          <w:p>
            <w:pPr>
              <w:pStyle w:val="88"/>
              <w:numPr>
                <w:ilvl w:val="0"/>
                <w:numId w:val="92"/>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背面及两侧面采用不小于1.2mm钣金喷塑网孔板，需要定制相关造型以方便安装各种实训设备；</w:t>
            </w:r>
          </w:p>
          <w:p>
            <w:pPr>
              <w:pStyle w:val="88"/>
              <w:numPr>
                <w:ilvl w:val="0"/>
                <w:numId w:val="92"/>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设备的安装方式与实际工程一致，使用自攻螺丝与网孔板用膨胀固定件的配合，学生在模拟墙体的一边便可单独完成设备的固定；布线方式可选择通过线槽布明线（网孔板正面）或通过理线环布暗线（网孔板背面）。</w:t>
            </w:r>
          </w:p>
          <w:p>
            <w:pPr>
              <w:pStyle w:val="88"/>
              <w:numPr>
                <w:ilvl w:val="0"/>
                <w:numId w:val="92"/>
              </w:numPr>
              <w:adjustRightInd w:val="0"/>
              <w:snapToGrid w:val="0"/>
              <w:spacing w:line="312"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将所有设备安装到实训架，同时配置实训所需要的工具等耗材。</w:t>
            </w:r>
          </w:p>
        </w:tc>
        <w:tc>
          <w:tcPr>
            <w:tcW w:w="833" w:type="dxa"/>
            <w:vAlign w:val="center"/>
          </w:tcPr>
          <w:p>
            <w:pPr>
              <w:adjustRightInd w:val="0"/>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10套</w:t>
            </w:r>
          </w:p>
        </w:tc>
      </w:tr>
    </w:tbl>
    <w:p>
      <w:pPr>
        <w:rPr>
          <w:highlight w:val="none"/>
        </w:rPr>
      </w:pP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演示要求</w:t>
      </w:r>
    </w:p>
    <w:p>
      <w:pPr>
        <w:pStyle w:val="88"/>
        <w:tabs>
          <w:tab w:val="left" w:pos="851"/>
          <w:tab w:val="left" w:pos="993"/>
          <w:tab w:val="left" w:pos="1134"/>
        </w:tabs>
        <w:spacing w:line="360" w:lineRule="auto"/>
        <w:ind w:firstLine="480"/>
        <w:rPr>
          <w:rFonts w:ascii="宋体" w:hAnsi="宋体" w:cs="宋体"/>
          <w:sz w:val="24"/>
          <w:szCs w:val="24"/>
          <w:highlight w:val="none"/>
        </w:rPr>
      </w:pPr>
      <w:r>
        <w:rPr>
          <w:rFonts w:hint="eastAsia" w:ascii="宋体" w:hAnsi="宋体" w:cs="宋体"/>
          <w:sz w:val="24"/>
          <w:szCs w:val="24"/>
          <w:highlight w:val="none"/>
        </w:rPr>
        <w:t>招标</w:t>
      </w:r>
      <w:r>
        <w:rPr>
          <w:rFonts w:hint="eastAsia" w:ascii="宋体" w:hAnsi="宋体"/>
          <w:sz w:val="24"/>
          <w:szCs w:val="24"/>
          <w:highlight w:val="none"/>
        </w:rPr>
        <w:t>现场提供</w:t>
      </w:r>
      <w:r>
        <w:rPr>
          <w:rFonts w:hint="eastAsia" w:ascii="宋体" w:hAnsi="宋体" w:cs="宋体"/>
          <w:sz w:val="24"/>
          <w:szCs w:val="24"/>
          <w:highlight w:val="none"/>
        </w:rPr>
        <w:t>A</w:t>
      </w:r>
      <w:r>
        <w:rPr>
          <w:rFonts w:ascii="宋体" w:hAnsi="宋体" w:cs="宋体"/>
          <w:sz w:val="24"/>
          <w:szCs w:val="24"/>
          <w:highlight w:val="none"/>
        </w:rPr>
        <w:t>C220V</w:t>
      </w:r>
      <w:r>
        <w:rPr>
          <w:rFonts w:hint="eastAsia" w:ascii="宋体" w:hAnsi="宋体" w:cs="宋体"/>
          <w:sz w:val="24"/>
          <w:szCs w:val="24"/>
          <w:highlight w:val="none"/>
        </w:rPr>
        <w:t>电源供电（品字插座），供应商应自行准备演示所需要的硬件和软件，对招标文件中要求现场演示的技术点逐一演示并说明（演示要求详见对应技术参数），演示时长不超过1</w:t>
      </w:r>
      <w:r>
        <w:rPr>
          <w:rFonts w:ascii="宋体" w:hAnsi="宋体" w:cs="宋体"/>
          <w:sz w:val="24"/>
          <w:szCs w:val="24"/>
          <w:highlight w:val="none"/>
        </w:rPr>
        <w:t>5</w:t>
      </w:r>
      <w:r>
        <w:rPr>
          <w:rFonts w:hint="eastAsia" w:ascii="宋体" w:hAnsi="宋体" w:cs="宋体"/>
          <w:sz w:val="24"/>
          <w:szCs w:val="24"/>
          <w:highlight w:val="none"/>
        </w:rPr>
        <w:t>分钟。</w:t>
      </w: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售后服务要求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1.质保要求：</w:t>
      </w:r>
    </w:p>
    <w:p>
      <w:pPr>
        <w:spacing w:line="360" w:lineRule="auto"/>
        <w:ind w:firstLine="480" w:firstLineChars="200"/>
        <w:rPr>
          <w:sz w:val="24"/>
          <w:szCs w:val="24"/>
          <w:highlight w:val="none"/>
        </w:rPr>
      </w:pPr>
      <w:r>
        <w:rPr>
          <w:rFonts w:hint="eastAsia" w:ascii="宋体" w:hAnsi="宋体"/>
          <w:sz w:val="24"/>
          <w:szCs w:val="24"/>
          <w:highlight w:val="none"/>
        </w:rPr>
        <w:t>1.1</w:t>
      </w:r>
      <w:r>
        <w:rPr>
          <w:rFonts w:hint="eastAsia"/>
          <w:sz w:val="24"/>
          <w:szCs w:val="24"/>
          <w:highlight w:val="none"/>
        </w:rPr>
        <w:t>自第一次验收合格之日起，提供</w:t>
      </w:r>
      <w:r>
        <w:rPr>
          <w:rFonts w:hint="eastAsia"/>
          <w:color w:val="0000FF"/>
          <w:sz w:val="24"/>
          <w:szCs w:val="24"/>
          <w:highlight w:val="none"/>
        </w:rPr>
        <w:t>3</w:t>
      </w:r>
      <w:r>
        <w:rPr>
          <w:rFonts w:hint="eastAsia"/>
          <w:sz w:val="24"/>
          <w:szCs w:val="24"/>
          <w:highlight w:val="none"/>
        </w:rPr>
        <w:t>年的质保，质保期过后需提供至少1年的维保服务。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1.2质保期内，提供所有相关软件和技术升级更新。</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1.3质保期内，所有相关软件和技术升级更新均为现场服务，由此产生的费用均不再收取。</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1.4质保期内，所有相关设备的更换、维修均为含在本次报价内。</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1.5质保期内，所有相关设备的更换、维修均为现场服务，由此产生的费用均不再收取。</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1.6采购货物属于国家规定“三包”范围的，其产品质量保证期不得低于“三包”规定。</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1.7供应商的质量保证期承诺优于国家“三包”规定的，按供应商实际承诺执行。</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1.8供应商需承诺：采购货物由产品制造商（指产品生产制造商以下同）负责标准售后服务。</w:t>
      </w:r>
      <w:r>
        <w:rPr>
          <w:rFonts w:hint="eastAsia"/>
          <w:b/>
          <w:bCs/>
          <w:sz w:val="24"/>
          <w:szCs w:val="24"/>
          <w:highlight w:val="none"/>
        </w:rPr>
        <w:t>（中标后提供承诺函原件并加盖供应商公章）</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2.售后服务内容</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供应商和制造商在质量保证期内应当为采购人提供以下技术支持服务：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2.1质量保证期内服务要求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2.1.1电话咨询</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中标供应商和制造商应当为用户提供技术援助电话，解答用户在使用中遇到的问题，及时为用户提出解决问题的建议。</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2.1.2现场响应</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用户遇到使用及技术问题，中标供应商或制造商应在2小时内采取相应响应措施；无法电话指导解决的，应在8小时内派出专业人员进行技术支持。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2.1.3技术升级</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在质保期，如果中标供应商和制造商的产品技术升级，中标供应商应及时通知采购人，如采购人有相应要求，中标供应商和制造商应对采购人进行升级服务。质保期内所有软件应提供无条件升级服务。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2.2质保期外服务要求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2.2.1质保期过后，中标供应商和制造商应同样提供无条件电话咨询服务，并应承诺提供产品上门维护服务。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2.2.2质保期过后，采购人需要继续由原中标供应商和制造商提供售后服务的，中标供应商和制造商应以优惠价格提供售后服务。</w:t>
      </w:r>
    </w:p>
    <w:p>
      <w:pPr>
        <w:spacing w:line="600" w:lineRule="exact"/>
        <w:ind w:firstLine="480" w:firstLineChars="200"/>
        <w:rPr>
          <w:rFonts w:ascii="宋体" w:hAnsi="宋体"/>
          <w:sz w:val="24"/>
          <w:szCs w:val="24"/>
          <w:highlight w:val="none"/>
        </w:rPr>
      </w:pPr>
      <w:r>
        <w:rPr>
          <w:rFonts w:hint="eastAsia" w:ascii="宋体" w:hAnsi="宋体"/>
          <w:sz w:val="24"/>
          <w:szCs w:val="24"/>
          <w:highlight w:val="none"/>
        </w:rPr>
        <w:t>2.2.3</w:t>
      </w:r>
      <w:r>
        <w:rPr>
          <w:rFonts w:ascii="宋体" w:hAnsi="宋体"/>
          <w:sz w:val="24"/>
          <w:szCs w:val="24"/>
          <w:highlight w:val="none"/>
        </w:rPr>
        <w:tab/>
      </w:r>
      <w:r>
        <w:rPr>
          <w:rFonts w:ascii="宋体" w:hAnsi="宋体"/>
          <w:sz w:val="24"/>
          <w:szCs w:val="24"/>
          <w:highlight w:val="none"/>
        </w:rPr>
        <w:t>★中标人提供不得少于3年的现场技术售后服务,每年派遣2名工程师到现场服务，每年现场服务时间不得少于</w:t>
      </w:r>
      <w:r>
        <w:rPr>
          <w:rFonts w:hint="eastAsia" w:ascii="宋体" w:hAnsi="宋体"/>
          <w:sz w:val="24"/>
          <w:szCs w:val="24"/>
          <w:highlight w:val="none"/>
        </w:rPr>
        <w:t>10</w:t>
      </w:r>
      <w:r>
        <w:rPr>
          <w:rFonts w:ascii="宋体" w:hAnsi="宋体"/>
          <w:sz w:val="24"/>
          <w:szCs w:val="24"/>
          <w:highlight w:val="none"/>
        </w:rPr>
        <w:t>个月</w:t>
      </w:r>
      <w:r>
        <w:rPr>
          <w:rFonts w:hint="eastAsia" w:ascii="宋体" w:hAnsi="宋体"/>
          <w:b/>
          <w:bCs/>
          <w:sz w:val="24"/>
          <w:szCs w:val="24"/>
          <w:highlight w:val="none"/>
        </w:rPr>
        <w:t>（提供承诺函并加盖供应商公章）</w:t>
      </w:r>
      <w:r>
        <w:rPr>
          <w:rFonts w:ascii="宋体" w:hAnsi="宋体"/>
          <w:sz w:val="24"/>
          <w:szCs w:val="24"/>
          <w:highlight w:val="none"/>
        </w:rPr>
        <w:t>。</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2.</w:t>
      </w:r>
      <w:r>
        <w:rPr>
          <w:rFonts w:hint="eastAsia" w:ascii="宋体" w:hAnsi="宋体"/>
          <w:sz w:val="24"/>
          <w:szCs w:val="24"/>
          <w:highlight w:val="none"/>
        </w:rPr>
        <w:t>4</w:t>
      </w:r>
      <w:r>
        <w:rPr>
          <w:rFonts w:ascii="宋体" w:hAnsi="宋体"/>
          <w:sz w:val="24"/>
          <w:szCs w:val="24"/>
          <w:highlight w:val="none"/>
        </w:rPr>
        <w:tab/>
      </w:r>
      <w:r>
        <w:rPr>
          <w:rFonts w:ascii="宋体" w:hAnsi="宋体"/>
          <w:sz w:val="24"/>
          <w:szCs w:val="24"/>
          <w:highlight w:val="none"/>
        </w:rPr>
        <w:t>现场服务工程师要求：中级以上职称(工程师)或5年以</w:t>
      </w:r>
      <w:r>
        <w:rPr>
          <w:rFonts w:hint="eastAsia" w:ascii="宋体" w:hAnsi="宋体"/>
          <w:sz w:val="24"/>
          <w:szCs w:val="24"/>
          <w:highlight w:val="none"/>
        </w:rPr>
        <w:t>上</w:t>
      </w:r>
      <w:r>
        <w:rPr>
          <w:rFonts w:ascii="宋体" w:hAnsi="宋体"/>
          <w:sz w:val="24"/>
          <w:szCs w:val="24"/>
          <w:highlight w:val="none"/>
        </w:rPr>
        <w:t>行业项目经验。</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2.2.5</w:t>
      </w:r>
      <w:r>
        <w:rPr>
          <w:rFonts w:ascii="宋体" w:hAnsi="宋体"/>
          <w:sz w:val="24"/>
          <w:szCs w:val="24"/>
          <w:highlight w:val="none"/>
        </w:rPr>
        <w:t>.</w:t>
      </w:r>
      <w:r>
        <w:rPr>
          <w:rFonts w:ascii="宋体" w:hAnsi="宋体"/>
          <w:sz w:val="24"/>
          <w:szCs w:val="24"/>
          <w:highlight w:val="none"/>
        </w:rPr>
        <w:tab/>
      </w:r>
      <w:r>
        <w:rPr>
          <w:rFonts w:ascii="宋体" w:hAnsi="宋体"/>
          <w:sz w:val="24"/>
          <w:szCs w:val="24"/>
          <w:highlight w:val="none"/>
        </w:rPr>
        <w:t>服务内容包括，设备的软硬件调试、运行，</w:t>
      </w:r>
      <w:r>
        <w:rPr>
          <w:rFonts w:hint="eastAsia" w:ascii="宋体" w:hAnsi="宋体"/>
          <w:sz w:val="24"/>
          <w:szCs w:val="24"/>
          <w:highlight w:val="none"/>
        </w:rPr>
        <w:t>工业物联网</w:t>
      </w:r>
      <w:r>
        <w:rPr>
          <w:rFonts w:ascii="宋体" w:hAnsi="宋体"/>
          <w:sz w:val="24"/>
          <w:szCs w:val="24"/>
          <w:highlight w:val="none"/>
        </w:rPr>
        <w:t>应用场景的搭建，协助开展工业物联网场景项目实训，为项目化课程实施提供技术支持。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2.2.6</w:t>
      </w:r>
      <w:r>
        <w:rPr>
          <w:rFonts w:ascii="宋体" w:hAnsi="宋体"/>
          <w:sz w:val="24"/>
          <w:szCs w:val="24"/>
          <w:highlight w:val="none"/>
        </w:rPr>
        <w:t>.</w:t>
      </w:r>
      <w:r>
        <w:rPr>
          <w:rFonts w:ascii="宋体" w:hAnsi="宋体"/>
          <w:sz w:val="24"/>
          <w:szCs w:val="24"/>
          <w:highlight w:val="none"/>
        </w:rPr>
        <w:tab/>
      </w:r>
      <w:r>
        <w:rPr>
          <w:rFonts w:ascii="宋体" w:hAnsi="宋体"/>
          <w:sz w:val="24"/>
          <w:szCs w:val="24"/>
          <w:highlight w:val="none"/>
        </w:rPr>
        <w:t>培训学习</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设备制造厂商需具备深度学习相关的培训学院，可提供自学式在线学习和面对面讲师指导等课程形式，教授学员开启构建、优化</w:t>
      </w:r>
      <w:r>
        <w:rPr>
          <w:rFonts w:ascii="宋体" w:hAnsi="宋体"/>
          <w:sz w:val="24"/>
          <w:szCs w:val="24"/>
          <w:highlight w:val="none"/>
        </w:rPr>
        <w:t>和部署</w:t>
      </w:r>
      <w:r>
        <w:rPr>
          <w:rFonts w:hint="eastAsia" w:ascii="宋体" w:hAnsi="宋体"/>
          <w:sz w:val="24"/>
          <w:szCs w:val="24"/>
          <w:highlight w:val="none"/>
        </w:rPr>
        <w:t>智慧工业应用工程场景</w:t>
      </w:r>
      <w:r>
        <w:rPr>
          <w:rFonts w:ascii="宋体" w:hAnsi="宋体"/>
          <w:sz w:val="24"/>
          <w:szCs w:val="24"/>
          <w:highlight w:val="none"/>
        </w:rPr>
        <w:t>，从而解决各行业的现实问题。</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提供培训资源、配合进行培训招生等，对外师资培训和企业员工培训每年不少于</w:t>
      </w:r>
      <w:r>
        <w:rPr>
          <w:rFonts w:ascii="宋体" w:hAnsi="宋体"/>
          <w:sz w:val="24"/>
          <w:szCs w:val="24"/>
          <w:highlight w:val="none"/>
        </w:rPr>
        <w:t>50</w:t>
      </w:r>
      <w:r>
        <w:rPr>
          <w:rFonts w:hint="eastAsia" w:ascii="宋体" w:hAnsi="宋体"/>
          <w:sz w:val="24"/>
          <w:szCs w:val="24"/>
          <w:highlight w:val="none"/>
        </w:rPr>
        <w:t>人次。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3.故障响应时间要求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供应商接到使用方产品出现问题的通知后立即作出响应，8小时内到达现场进行处理。</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4.维修配件</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中标供应商应提供备品备件，保证用户应急所需。使用的维修零配件应为原厂配件，未经用户同意不得使用非原厂配件。</w:t>
      </w:r>
    </w:p>
    <w:p>
      <w:pPr>
        <w:spacing w:line="360" w:lineRule="auto"/>
        <w:ind w:firstLine="480" w:firstLineChars="200"/>
        <w:rPr>
          <w:sz w:val="24"/>
          <w:szCs w:val="24"/>
          <w:highlight w:val="none"/>
        </w:rPr>
      </w:pPr>
      <w:r>
        <w:rPr>
          <w:rFonts w:hint="eastAsia"/>
          <w:sz w:val="24"/>
          <w:szCs w:val="24"/>
          <w:highlight w:val="none"/>
        </w:rPr>
        <w:t>5</w:t>
      </w:r>
      <w:r>
        <w:rPr>
          <w:sz w:val="24"/>
          <w:szCs w:val="24"/>
          <w:highlight w:val="none"/>
        </w:rPr>
        <w:t>.</w:t>
      </w:r>
      <w:r>
        <w:rPr>
          <w:rFonts w:hint="eastAsia"/>
          <w:sz w:val="24"/>
          <w:szCs w:val="24"/>
          <w:highlight w:val="none"/>
        </w:rPr>
        <w:t>预期标志性成果</w:t>
      </w:r>
      <w:r>
        <w:rPr>
          <w:rFonts w:hint="eastAsia"/>
          <w:b/>
          <w:bCs/>
          <w:sz w:val="24"/>
          <w:szCs w:val="24"/>
          <w:highlight w:val="none"/>
        </w:rPr>
        <w:t>（提供承诺函）</w:t>
      </w:r>
    </w:p>
    <w:p>
      <w:pPr>
        <w:spacing w:line="360" w:lineRule="auto"/>
        <w:ind w:firstLine="480" w:firstLineChars="200"/>
        <w:rPr>
          <w:sz w:val="24"/>
          <w:szCs w:val="24"/>
          <w:highlight w:val="none"/>
        </w:rPr>
      </w:pPr>
      <w:r>
        <w:rPr>
          <w:sz w:val="24"/>
          <w:szCs w:val="24"/>
          <w:highlight w:val="none"/>
        </w:rPr>
        <w:t>5.1</w:t>
      </w:r>
      <w:r>
        <w:rPr>
          <w:rFonts w:hint="eastAsia"/>
          <w:sz w:val="24"/>
          <w:szCs w:val="24"/>
          <w:highlight w:val="none"/>
        </w:rPr>
        <w:t>人才培养：三年内，中标供应商提供企业工程师参与人才培养，通过物联网产教融合实训基地培养物联网方向人才达</w:t>
      </w:r>
      <w:r>
        <w:rPr>
          <w:sz w:val="24"/>
          <w:szCs w:val="24"/>
          <w:highlight w:val="none"/>
        </w:rPr>
        <w:t>60</w:t>
      </w:r>
      <w:r>
        <w:rPr>
          <w:rFonts w:hint="eastAsia"/>
          <w:sz w:val="24"/>
          <w:szCs w:val="24"/>
          <w:highlight w:val="none"/>
        </w:rPr>
        <w:t>人/年以上（根据学校实际招生人数为准），覆盖软件专业群学生</w:t>
      </w:r>
      <w:r>
        <w:rPr>
          <w:sz w:val="24"/>
          <w:szCs w:val="24"/>
          <w:highlight w:val="none"/>
        </w:rPr>
        <w:t>200</w:t>
      </w:r>
      <w:r>
        <w:rPr>
          <w:rFonts w:hint="eastAsia"/>
          <w:sz w:val="24"/>
          <w:szCs w:val="24"/>
          <w:highlight w:val="none"/>
        </w:rPr>
        <w:t>人/年以上（根据软件专业群对应的课程计划为准）。</w:t>
      </w:r>
    </w:p>
    <w:p>
      <w:pPr>
        <w:spacing w:line="360" w:lineRule="auto"/>
        <w:ind w:firstLine="480" w:firstLineChars="200"/>
        <w:rPr>
          <w:sz w:val="24"/>
          <w:szCs w:val="24"/>
          <w:highlight w:val="none"/>
        </w:rPr>
      </w:pPr>
      <w:r>
        <w:rPr>
          <w:rFonts w:hint="eastAsia"/>
          <w:sz w:val="24"/>
          <w:szCs w:val="24"/>
          <w:highlight w:val="none"/>
        </w:rPr>
        <w:t>5.2 教学资源：</w:t>
      </w:r>
      <w:r>
        <w:rPr>
          <w:rFonts w:hint="eastAsia" w:ascii="宋体" w:hAnsi="宋体"/>
          <w:sz w:val="24"/>
          <w:szCs w:val="24"/>
          <w:highlight w:val="none"/>
        </w:rPr>
        <w:t>三年内，校企共同开发模块化的课程至少1门，包括实训项目</w:t>
      </w:r>
      <w:r>
        <w:rPr>
          <w:rFonts w:ascii="宋体" w:hAnsi="宋体"/>
          <w:sz w:val="24"/>
          <w:szCs w:val="24"/>
          <w:highlight w:val="none"/>
        </w:rPr>
        <w:t>4-5个、教学资源≥80个（其中</w:t>
      </w:r>
      <w:r>
        <w:rPr>
          <w:rFonts w:hint="eastAsia" w:ascii="宋体" w:hAnsi="宋体"/>
          <w:sz w:val="24"/>
          <w:szCs w:val="24"/>
          <w:highlight w:val="none"/>
        </w:rPr>
        <w:t>配套P</w:t>
      </w:r>
      <w:r>
        <w:rPr>
          <w:rFonts w:ascii="宋体" w:hAnsi="宋体"/>
          <w:sz w:val="24"/>
          <w:szCs w:val="24"/>
          <w:highlight w:val="none"/>
        </w:rPr>
        <w:t>PT≥40个</w:t>
      </w:r>
      <w:r>
        <w:rPr>
          <w:rFonts w:hint="eastAsia" w:ascii="宋体" w:hAnsi="宋体"/>
          <w:sz w:val="24"/>
          <w:szCs w:val="24"/>
          <w:highlight w:val="none"/>
        </w:rPr>
        <w:t>，对应</w:t>
      </w:r>
      <w:r>
        <w:rPr>
          <w:rFonts w:ascii="宋体" w:hAnsi="宋体"/>
          <w:sz w:val="24"/>
          <w:szCs w:val="24"/>
          <w:highlight w:val="none"/>
        </w:rPr>
        <w:t>脚本≥40个）</w:t>
      </w:r>
      <w:r>
        <w:rPr>
          <w:rFonts w:hint="eastAsia" w:ascii="宋体" w:hAnsi="宋体"/>
          <w:sz w:val="24"/>
          <w:szCs w:val="24"/>
          <w:highlight w:val="none"/>
        </w:rPr>
        <w:t>；</w:t>
      </w:r>
      <w:r>
        <w:rPr>
          <w:rFonts w:hint="eastAsia"/>
          <w:sz w:val="24"/>
          <w:szCs w:val="24"/>
          <w:highlight w:val="none"/>
        </w:rPr>
        <w:t>申报在线开放课程1门。</w:t>
      </w:r>
    </w:p>
    <w:p>
      <w:pPr>
        <w:spacing w:line="360" w:lineRule="auto"/>
        <w:ind w:firstLine="480" w:firstLineChars="200"/>
        <w:rPr>
          <w:rFonts w:ascii="宋体" w:hAnsi="宋体"/>
          <w:sz w:val="24"/>
          <w:szCs w:val="24"/>
          <w:highlight w:val="none"/>
        </w:rPr>
      </w:pPr>
      <w:r>
        <w:rPr>
          <w:rFonts w:hint="eastAsia"/>
          <w:sz w:val="24"/>
          <w:szCs w:val="24"/>
          <w:highlight w:val="none"/>
        </w:rPr>
        <w:t>5.3 教学团队：</w:t>
      </w:r>
      <w:r>
        <w:rPr>
          <w:rFonts w:hint="eastAsia" w:ascii="宋体" w:hAnsi="宋体"/>
          <w:sz w:val="24"/>
          <w:szCs w:val="24"/>
          <w:highlight w:val="none"/>
        </w:rPr>
        <w:t>三年内，校企共建教学团队，其中企业团队入驻2人，每年承担校方安排专业课程，不超过</w:t>
      </w:r>
      <w:r>
        <w:rPr>
          <w:rFonts w:ascii="宋体" w:hAnsi="宋体"/>
          <w:sz w:val="24"/>
          <w:szCs w:val="24"/>
          <w:highlight w:val="none"/>
        </w:rPr>
        <w:t>144</w:t>
      </w:r>
      <w:r>
        <w:rPr>
          <w:rFonts w:hint="eastAsia" w:ascii="宋体" w:hAnsi="宋体"/>
          <w:sz w:val="24"/>
          <w:szCs w:val="24"/>
          <w:highlight w:val="none"/>
        </w:rPr>
        <w:t>课时；三年内教学团队指导学生参加省级及以上技能大赛或创新创业大赛获奖≥</w:t>
      </w:r>
      <w:r>
        <w:rPr>
          <w:rFonts w:ascii="宋体" w:hAnsi="宋体"/>
          <w:sz w:val="24"/>
          <w:szCs w:val="24"/>
          <w:highlight w:val="none"/>
        </w:rPr>
        <w:t>1</w:t>
      </w:r>
      <w:r>
        <w:rPr>
          <w:rFonts w:hint="eastAsia" w:ascii="宋体" w:hAnsi="宋体"/>
          <w:sz w:val="24"/>
          <w:szCs w:val="24"/>
          <w:highlight w:val="none"/>
        </w:rPr>
        <w:t>项</w:t>
      </w:r>
      <w:r>
        <w:rPr>
          <w:rFonts w:hint="eastAsia"/>
          <w:sz w:val="24"/>
          <w:szCs w:val="24"/>
          <w:highlight w:val="none"/>
        </w:rPr>
        <w:t>。</w:t>
      </w:r>
    </w:p>
    <w:p>
      <w:pPr>
        <w:spacing w:line="360" w:lineRule="auto"/>
        <w:ind w:firstLine="480" w:firstLineChars="200"/>
        <w:rPr>
          <w:sz w:val="24"/>
          <w:szCs w:val="24"/>
          <w:highlight w:val="none"/>
        </w:rPr>
      </w:pPr>
      <w:r>
        <w:rPr>
          <w:rFonts w:hint="eastAsia"/>
          <w:sz w:val="24"/>
          <w:szCs w:val="24"/>
          <w:highlight w:val="none"/>
        </w:rPr>
        <w:t>5.4 科研成果：</w:t>
      </w:r>
      <w:r>
        <w:rPr>
          <w:rFonts w:hint="eastAsia" w:ascii="宋体" w:hAnsi="宋体"/>
          <w:sz w:val="24"/>
          <w:szCs w:val="24"/>
          <w:highlight w:val="none"/>
        </w:rPr>
        <w:t>全面支撑各类课题/项目申报，三年内校企共同或协助校方申报市厅级或企业横向项目≥1个，其中依托物联网产教融合实训基地共同开展对外技术服务横向到账经费不低于</w:t>
      </w:r>
      <w:r>
        <w:rPr>
          <w:rFonts w:ascii="宋体" w:hAnsi="宋体"/>
          <w:sz w:val="24"/>
          <w:szCs w:val="24"/>
          <w:highlight w:val="none"/>
        </w:rPr>
        <w:t>20</w:t>
      </w:r>
      <w:r>
        <w:rPr>
          <w:rFonts w:hint="eastAsia" w:ascii="宋体" w:hAnsi="宋体"/>
          <w:sz w:val="24"/>
          <w:szCs w:val="24"/>
          <w:highlight w:val="none"/>
        </w:rPr>
        <w:t>万元（根据实际项目校企双方任务分工另行签订协议）；协助校方申请知识产权</w:t>
      </w:r>
      <w:r>
        <w:rPr>
          <w:sz w:val="24"/>
          <w:szCs w:val="24"/>
          <w:highlight w:val="none"/>
        </w:rPr>
        <w:t>1</w:t>
      </w:r>
      <w:r>
        <w:rPr>
          <w:rFonts w:hint="eastAsia"/>
          <w:sz w:val="24"/>
          <w:szCs w:val="24"/>
          <w:highlight w:val="none"/>
        </w:rPr>
        <w:t>~</w:t>
      </w:r>
      <w:r>
        <w:rPr>
          <w:sz w:val="24"/>
          <w:szCs w:val="24"/>
          <w:highlight w:val="none"/>
        </w:rPr>
        <w:t>2</w:t>
      </w:r>
      <w:r>
        <w:rPr>
          <w:rFonts w:hint="eastAsia" w:ascii="宋体" w:hAnsi="宋体"/>
          <w:sz w:val="24"/>
          <w:szCs w:val="24"/>
          <w:highlight w:val="none"/>
        </w:rPr>
        <w:t>项。</w:t>
      </w:r>
    </w:p>
    <w:p>
      <w:pPr>
        <w:spacing w:line="360" w:lineRule="auto"/>
        <w:ind w:firstLine="480" w:firstLineChars="200"/>
        <w:rPr>
          <w:rFonts w:ascii="宋体" w:hAnsi="宋体"/>
          <w:sz w:val="24"/>
          <w:szCs w:val="24"/>
          <w:highlight w:val="none"/>
        </w:rPr>
      </w:pPr>
      <w:r>
        <w:rPr>
          <w:rFonts w:hint="eastAsia"/>
          <w:sz w:val="24"/>
          <w:szCs w:val="24"/>
          <w:highlight w:val="none"/>
        </w:rPr>
        <w:t>5.5 社会服务：三年内，提供培训资源、协助学校进行培训招生，面向师生、企业员工等培训不</w:t>
      </w:r>
      <w:r>
        <w:rPr>
          <w:rFonts w:hint="eastAsia" w:ascii="宋体" w:hAnsi="宋体"/>
          <w:sz w:val="24"/>
          <w:szCs w:val="24"/>
          <w:highlight w:val="none"/>
        </w:rPr>
        <w:t>低于</w:t>
      </w:r>
      <w:r>
        <w:rPr>
          <w:rFonts w:ascii="宋体" w:hAnsi="宋体"/>
          <w:sz w:val="24"/>
          <w:szCs w:val="24"/>
          <w:highlight w:val="none"/>
        </w:rPr>
        <w:t>100</w:t>
      </w:r>
      <w:r>
        <w:rPr>
          <w:rFonts w:hint="eastAsia" w:ascii="宋体" w:hAnsi="宋体"/>
          <w:sz w:val="24"/>
          <w:szCs w:val="24"/>
          <w:highlight w:val="none"/>
        </w:rPr>
        <w:t>人日。</w:t>
      </w:r>
    </w:p>
    <w:p>
      <w:pPr>
        <w:spacing w:line="360" w:lineRule="auto"/>
        <w:ind w:firstLine="480" w:firstLineChars="200"/>
        <w:rPr>
          <w:rFonts w:ascii="宋体" w:hAnsi="宋体"/>
          <w:sz w:val="24"/>
          <w:szCs w:val="24"/>
          <w:highlight w:val="none"/>
        </w:rPr>
      </w:pPr>
      <w:r>
        <w:rPr>
          <w:rFonts w:hint="eastAsia"/>
          <w:sz w:val="24"/>
          <w:szCs w:val="24"/>
          <w:highlight w:val="none"/>
        </w:rPr>
        <w:t>5.6就业服务：三年内，协助校方开展线上或线下招聘会，</w:t>
      </w:r>
      <w:r>
        <w:rPr>
          <w:rFonts w:hint="eastAsia" w:ascii="宋体" w:hAnsi="宋体"/>
          <w:sz w:val="24"/>
          <w:szCs w:val="24"/>
          <w:highlight w:val="none"/>
        </w:rPr>
        <w:t>中标供应商每年推荐不少于</w:t>
      </w:r>
      <w:r>
        <w:rPr>
          <w:rFonts w:ascii="宋体" w:hAnsi="宋体"/>
          <w:sz w:val="24"/>
          <w:szCs w:val="24"/>
          <w:highlight w:val="none"/>
        </w:rPr>
        <w:t>10</w:t>
      </w:r>
      <w:r>
        <w:rPr>
          <w:rFonts w:hint="eastAsia" w:ascii="宋体" w:hAnsi="宋体"/>
          <w:sz w:val="24"/>
          <w:szCs w:val="24"/>
          <w:highlight w:val="none"/>
        </w:rPr>
        <w:t>家生态内物联网企业，开出薪资水平5</w:t>
      </w:r>
      <w:r>
        <w:rPr>
          <w:rFonts w:ascii="宋体" w:hAnsi="宋体"/>
          <w:sz w:val="24"/>
          <w:szCs w:val="24"/>
          <w:highlight w:val="none"/>
        </w:rPr>
        <w:t>000</w:t>
      </w:r>
      <w:r>
        <w:rPr>
          <w:rFonts w:hint="eastAsia" w:ascii="宋体" w:hAnsi="宋体"/>
          <w:sz w:val="24"/>
          <w:szCs w:val="24"/>
          <w:highlight w:val="none"/>
        </w:rPr>
        <w:t>元/月以上，面试录用率不低于6</w:t>
      </w:r>
      <w:r>
        <w:rPr>
          <w:rFonts w:ascii="宋体" w:hAnsi="宋体"/>
          <w:sz w:val="24"/>
          <w:szCs w:val="24"/>
          <w:highlight w:val="none"/>
        </w:rPr>
        <w:t>0</w:t>
      </w:r>
      <w:r>
        <w:rPr>
          <w:rFonts w:hint="eastAsia" w:ascii="宋体" w:hAnsi="宋体"/>
          <w:sz w:val="24"/>
          <w:szCs w:val="24"/>
          <w:highlight w:val="none"/>
        </w:rPr>
        <w:t>%。</w:t>
      </w:r>
    </w:p>
    <w:p>
      <w:pPr>
        <w:spacing w:line="360" w:lineRule="auto"/>
        <w:ind w:firstLine="480" w:firstLineChars="200"/>
        <w:rPr>
          <w:sz w:val="24"/>
          <w:szCs w:val="24"/>
          <w:highlight w:val="none"/>
        </w:rPr>
      </w:pPr>
    </w:p>
    <w:p>
      <w:pPr>
        <w:rPr>
          <w:highlight w:val="none"/>
        </w:rPr>
      </w:pP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★商务要求</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质保期</w:t>
      </w:r>
    </w:p>
    <w:p>
      <w:pPr>
        <w:tabs>
          <w:tab w:val="left" w:pos="851"/>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自第一次验收合格之日起，提供</w:t>
      </w:r>
      <w:r>
        <w:rPr>
          <w:rFonts w:hint="eastAsia" w:ascii="宋体" w:hAnsi="宋体" w:cs="宋体"/>
          <w:color w:val="0000FF"/>
          <w:sz w:val="24"/>
          <w:szCs w:val="24"/>
          <w:highlight w:val="none"/>
        </w:rPr>
        <w:t>3</w:t>
      </w:r>
      <w:r>
        <w:rPr>
          <w:rFonts w:hint="eastAsia" w:ascii="宋体" w:hAnsi="宋体" w:cs="宋体"/>
          <w:sz w:val="24"/>
          <w:szCs w:val="24"/>
          <w:highlight w:val="none"/>
        </w:rPr>
        <w:t>年的质保，质保期过后需提供至少1年的维保服务。</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验收标准</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1.货物到达现场后，供应商应经采购人或其指定验收单位清点品名、规格、数量；检查外观，作出验收记录，双方签字确认。</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2.供应商应保证货物到达用户所在地完好无损，如有缺漏、损坏，由供应商负责调换、补齐或赔偿。</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3.供应商应提供完备的技术资料、装箱单和合格证等，并派遣专业技术人员进行现场安装调试。验收合格条件如下：</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3.1设备品种、规格、数量、技术参数以及商品品牌、制造商等与采购合同一致，性能指标达到规定的标准。</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3.2货物技术资料、装箱单、合格证等资料齐全。</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3.3在规定时间内完成交货并验收，并经采购人确认。</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4.供应商提供的货物未达到采购规定要求，且对采购人造成损失的，由供应商承担一切责任，并赔偿所造成的损失。</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5.大型或者复杂的政府采购产品项目，采购人可邀请国家认可的质量检测机构参加验收工作。</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6.采购人需要制造商对中标供应商交付的产品（包括质量、技术参数等）进行确认的，制造商应予以配合，并出具书面意见。</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7.产品包装材料归采购人所有。</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采购人违约责任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1.采购人无正当理由拒收货物的，采购人应偿付合同总价百分之五的违约金。</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2.因采购人原因逾期支付货款的，除应及时付足货款外，应向投标人偿付欠款总额万分之十/天的违约金；逾期付款超过 30天的，投标人有权终止合同。</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3.采购人偿付的违约金不足以弥补投标人损失的，还应按投标人损失尚未弥补的部分，支付赔偿金给投标人。</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投标人（供应商）违约责任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投标人（供应商）交付的货物质量不符合合同规定的，投标人（供应商）应向采购人支付合同总价的百分之五的违约金，并须在合同规定的交货时间内更换合格的货物给采购人，否则，视作投标人不能交付货物而违约。</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3.如货物经投标人（供应商）3次维修仍不能达到合同约定的质量标准，采购人有权退货，并视作投标人（供应商）不能交付货物而须支付违约赔偿金给采购人，采购人还可依法追究投标人（供应商）的违约责任。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切损失。</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6.投标人（供应商）偿付的违约金不足以弥补采购人损失的，还应按采购人损失尚未弥补的部分，支付赔偿金给采购人。</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交货时间</w:t>
      </w:r>
    </w:p>
    <w:p>
      <w:pPr>
        <w:tabs>
          <w:tab w:val="left" w:pos="851"/>
        </w:tabs>
        <w:spacing w:line="360" w:lineRule="auto"/>
        <w:ind w:firstLine="480" w:firstLineChars="200"/>
        <w:rPr>
          <w:rFonts w:ascii="宋体" w:hAnsi="宋体" w:cs="宋体"/>
          <w:b/>
          <w:sz w:val="24"/>
          <w:szCs w:val="24"/>
          <w:highlight w:val="none"/>
        </w:rPr>
      </w:pPr>
      <w:r>
        <w:rPr>
          <w:rFonts w:hint="eastAsia" w:ascii="宋体" w:hAnsi="宋体" w:cs="宋体"/>
          <w:kern w:val="0"/>
          <w:sz w:val="24"/>
          <w:szCs w:val="24"/>
          <w:highlight w:val="none"/>
        </w:rPr>
        <w:t>交货期限为合同签订生效后的90日内，在合同签订生效之日起60天内交货到甲方指定地点，随即在30日内全部完成安装调试验收合格交付使用。</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交货地点</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成都职业技术学院高新校区软件大楼5楼（成都市高新区天益街83号）</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付款方式</w:t>
      </w:r>
    </w:p>
    <w:p>
      <w:pPr>
        <w:spacing w:line="360" w:lineRule="auto"/>
        <w:ind w:firstLine="480" w:firstLineChars="200"/>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合同签订后20个工作日支付合同金额的30%，货到清点并完成设备功能调试，</w:t>
      </w:r>
      <w:r>
        <w:rPr>
          <w:rFonts w:hint="eastAsia" w:ascii="宋体" w:hAnsi="宋体" w:cs="宋体"/>
          <w:kern w:val="0"/>
          <w:sz w:val="24"/>
          <w:szCs w:val="24"/>
          <w:highlight w:val="none"/>
          <w:lang w:eastAsia="zh-CN"/>
        </w:rPr>
        <w:t>调试验收合格后支付合同金额的60%，合同签订一年后进行最终验收，合格后支付合同金额的10%。</w:t>
      </w:r>
    </w:p>
    <w:p>
      <w:pPr>
        <w:pStyle w:val="4"/>
        <w:numPr>
          <w:ilvl w:val="0"/>
          <w:numId w:val="93"/>
        </w:numPr>
        <w:ind w:left="3119" w:hanging="3119"/>
        <w:rPr>
          <w:rFonts w:cs="宋体"/>
          <w:color w:val="auto"/>
          <w:sz w:val="24"/>
          <w:szCs w:val="24"/>
          <w:highlight w:val="none"/>
        </w:rPr>
      </w:pPr>
      <w:r>
        <w:rPr>
          <w:rFonts w:hint="eastAsia" w:cs="宋体"/>
          <w:color w:val="auto"/>
          <w:sz w:val="24"/>
          <w:szCs w:val="24"/>
          <w:highlight w:val="none"/>
        </w:rPr>
        <w:t>履约要求</w:t>
      </w:r>
    </w:p>
    <w:p>
      <w:pPr>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合同签订前，中标人应按要求支付履约保证金；</w:t>
      </w:r>
      <w:r>
        <w:rPr>
          <w:rFonts w:hint="eastAsia" w:ascii="宋体" w:hAnsi="宋体" w:cs="宋体"/>
          <w:color w:val="0000FF"/>
          <w:kern w:val="0"/>
          <w:sz w:val="24"/>
          <w:szCs w:val="24"/>
          <w:highlight w:val="none"/>
        </w:rPr>
        <w:t>质保期满</w:t>
      </w:r>
      <w:r>
        <w:rPr>
          <w:rFonts w:hint="eastAsia" w:ascii="宋体" w:hAnsi="宋体" w:cs="宋体"/>
          <w:kern w:val="0"/>
          <w:sz w:val="24"/>
          <w:szCs w:val="24"/>
          <w:highlight w:val="none"/>
        </w:rPr>
        <w:t>后无产品质量问题且预期标志性成果完全达到返还中标人全部履约保证金;如果预期标志性成果每不满足1条扣除履约保证金的2%，最多扣除履约保证金的20%。</w:t>
      </w:r>
    </w:p>
    <w:p>
      <w:pPr>
        <w:rPr>
          <w:highlight w:val="none"/>
        </w:rPr>
      </w:pPr>
    </w:p>
    <w:p>
      <w:pPr>
        <w:pStyle w:val="2"/>
        <w:numPr>
          <w:ilvl w:val="0"/>
          <w:numId w:val="38"/>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lang w:val="zh-CN"/>
        </w:rPr>
        <w:t>★</w:t>
      </w:r>
      <w:r>
        <w:rPr>
          <w:rFonts w:hint="eastAsia" w:cs="宋体"/>
          <w:sz w:val="24"/>
          <w:szCs w:val="24"/>
          <w:highlight w:val="none"/>
        </w:rPr>
        <w:t>强制性产品认证及强制节能产品认证</w:t>
      </w:r>
    </w:p>
    <w:p>
      <w:pPr>
        <w:pStyle w:val="88"/>
        <w:tabs>
          <w:tab w:val="left" w:pos="1134"/>
        </w:tabs>
        <w:spacing w:line="360" w:lineRule="auto"/>
        <w:ind w:firstLine="470" w:firstLineChars="196"/>
        <w:rPr>
          <w:rFonts w:ascii="宋体" w:hAnsi="宋体" w:cs="宋体"/>
          <w:sz w:val="24"/>
          <w:szCs w:val="24"/>
          <w:highlight w:val="none"/>
        </w:rPr>
      </w:pPr>
      <w:r>
        <w:rPr>
          <w:rFonts w:hint="eastAsia" w:ascii="宋体" w:hAnsi="宋体" w:cs="宋体"/>
          <w:sz w:val="24"/>
          <w:szCs w:val="24"/>
          <w:highlight w:val="none"/>
        </w:rPr>
        <w:t>供应商所投产品涉及国家强制认证的（CCC）或前置许可认证的，在投标文件中提供符合国家强制认证（CCC）或前置许可、认证的承诺函件，在供货时一并提供相关许可、认证材料。（提供承诺函原件加盖供应商公章）。</w:t>
      </w:r>
    </w:p>
    <w:p>
      <w:pPr>
        <w:tabs>
          <w:tab w:val="left" w:pos="851"/>
          <w:tab w:val="left" w:pos="993"/>
          <w:tab w:val="left" w:pos="1134"/>
        </w:tabs>
        <w:autoSpaceDE w:val="0"/>
        <w:autoSpaceDN w:val="0"/>
        <w:adjustRightInd w:val="0"/>
        <w:spacing w:line="360" w:lineRule="auto"/>
        <w:ind w:left="420"/>
        <w:rPr>
          <w:rFonts w:ascii="宋体" w:hAnsi="宋体" w:cs="宋体"/>
          <w:sz w:val="24"/>
          <w:szCs w:val="24"/>
          <w:highlight w:val="none"/>
        </w:rPr>
      </w:pPr>
      <w:r>
        <w:rPr>
          <w:rFonts w:hint="eastAsia" w:ascii="宋体" w:hAnsi="宋体" w:cs="宋体"/>
          <w:b/>
          <w:bCs/>
          <w:sz w:val="24"/>
          <w:szCs w:val="24"/>
          <w:highlight w:val="none"/>
        </w:rPr>
        <w:br w:type="page"/>
      </w:r>
    </w:p>
    <w:p>
      <w:pPr>
        <w:spacing w:line="560" w:lineRule="exact"/>
        <w:outlineLvl w:val="1"/>
        <w:rPr>
          <w:rFonts w:ascii="宋体" w:hAnsi="宋体" w:cs="宋体"/>
          <w:b/>
          <w:kern w:val="44"/>
          <w:sz w:val="24"/>
          <w:szCs w:val="24"/>
          <w:highlight w:val="none"/>
        </w:rPr>
      </w:pPr>
      <w:r>
        <w:rPr>
          <w:rFonts w:hint="eastAsia" w:ascii="宋体" w:hAnsi="宋体" w:cs="宋体"/>
          <w:b/>
          <w:kern w:val="44"/>
          <w:sz w:val="24"/>
          <w:szCs w:val="24"/>
          <w:highlight w:val="none"/>
        </w:rPr>
        <w:t>包件号：包件7</w:t>
      </w:r>
    </w:p>
    <w:p>
      <w:pPr>
        <w:pStyle w:val="2"/>
        <w:numPr>
          <w:ilvl w:val="0"/>
          <w:numId w:val="94"/>
        </w:numPr>
        <w:tabs>
          <w:tab w:val="left" w:pos="0"/>
          <w:tab w:val="left" w:pos="426"/>
          <w:tab w:val="left" w:pos="576"/>
          <w:tab w:val="left" w:pos="786"/>
        </w:tabs>
        <w:spacing w:line="416" w:lineRule="auto"/>
        <w:ind w:firstLine="0"/>
        <w:jc w:val="both"/>
        <w:rPr>
          <w:rFonts w:cs="宋体"/>
          <w:sz w:val="24"/>
          <w:highlight w:val="none"/>
        </w:rPr>
      </w:pPr>
      <w:r>
        <w:rPr>
          <w:rFonts w:hint="eastAsia" w:cs="宋体"/>
          <w:sz w:val="24"/>
          <w:szCs w:val="24"/>
          <w:highlight w:val="none"/>
        </w:rPr>
        <w:t>项目概况</w:t>
      </w:r>
    </w:p>
    <w:p>
      <w:pPr>
        <w:pStyle w:val="88"/>
        <w:tabs>
          <w:tab w:val="left" w:pos="1134"/>
        </w:tabs>
        <w:spacing w:line="360" w:lineRule="auto"/>
        <w:ind w:firstLine="470" w:firstLineChars="196"/>
        <w:rPr>
          <w:rFonts w:hint="eastAsia" w:ascii="宋体" w:hAnsi="宋体" w:cs="宋体"/>
          <w:sz w:val="24"/>
          <w:szCs w:val="24"/>
          <w:highlight w:val="none"/>
        </w:rPr>
      </w:pPr>
      <w:r>
        <w:rPr>
          <w:rFonts w:hint="eastAsia" w:ascii="宋体" w:hAnsi="宋体" w:cs="宋体"/>
          <w:sz w:val="24"/>
          <w:szCs w:val="24"/>
          <w:highlight w:val="none"/>
        </w:rPr>
        <w:t>成都职业技术学院软件大楼，建于2008年，已经使用12年，楼内承载日常教学、教学实训、教师办公、校企合作、企业入驻、协会入驻、阅读空间等诸多功能，随着教学需求、办公需求、企业管理等需求的不断变化，现有大楼的布局与功能已经不能支持需要，急需重新规划调整。</w:t>
      </w:r>
    </w:p>
    <w:p>
      <w:pPr>
        <w:pStyle w:val="88"/>
        <w:tabs>
          <w:tab w:val="left" w:pos="1134"/>
        </w:tabs>
        <w:spacing w:line="360" w:lineRule="auto"/>
        <w:ind w:firstLine="470" w:firstLineChars="196"/>
        <w:rPr>
          <w:highlight w:val="none"/>
        </w:rPr>
      </w:pPr>
      <w:r>
        <w:rPr>
          <w:rFonts w:hint="eastAsia" w:ascii="宋体" w:hAnsi="宋体" w:cs="宋体"/>
          <w:sz w:val="24"/>
          <w:szCs w:val="24"/>
          <w:highlight w:val="none"/>
        </w:rPr>
        <w:t>本项目将联合人工智能标杆企业共同建设能够支持智慧管理、体验互动等功能的智慧大楼。新的智慧大楼设计将融入智能元素，结合人工智能、大数据等前沿技术，积极融合互动体验子项目，让师生在日常的学习生活中即可享受智能科技带来的便利，并且大楼的管理上也得到极大的提升。</w:t>
      </w:r>
    </w:p>
    <w:p>
      <w:pPr>
        <w:pStyle w:val="2"/>
        <w:numPr>
          <w:ilvl w:val="0"/>
          <w:numId w:val="94"/>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★采购清单</w:t>
      </w:r>
    </w:p>
    <w:tbl>
      <w:tblPr>
        <w:tblStyle w:val="41"/>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3213"/>
        <w:gridCol w:w="1720"/>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96"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3213"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设备名称</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采购数量</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213" w:type="dxa"/>
            <w:vAlign w:val="center"/>
          </w:tcPr>
          <w:p>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安防平台</w:t>
            </w:r>
          </w:p>
          <w:p>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（软硬件监控一体机）</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p>
        </w:tc>
        <w:tc>
          <w:tcPr>
            <w:tcW w:w="3213"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人脸识别摄像机（半球）</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32台</w:t>
            </w:r>
          </w:p>
        </w:tc>
        <w:tc>
          <w:tcPr>
            <w:tcW w:w="3259" w:type="dxa"/>
            <w:vAlign w:val="center"/>
          </w:tcPr>
          <w:p>
            <w:pPr>
              <w:spacing w:line="60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5楼14台、7楼12台、11楼6台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p>
        </w:tc>
        <w:tc>
          <w:tcPr>
            <w:tcW w:w="3213"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物联网AP</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18个</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5、7、11层每层6台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p>
        </w:tc>
        <w:tc>
          <w:tcPr>
            <w:tcW w:w="3213" w:type="dxa"/>
            <w:vAlign w:val="center"/>
          </w:tcPr>
          <w:p>
            <w:pPr>
              <w:spacing w:line="600" w:lineRule="exac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交换机1</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6台</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p>
        </w:tc>
        <w:tc>
          <w:tcPr>
            <w:tcW w:w="3213"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交换机2</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1台</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p>
        </w:tc>
        <w:tc>
          <w:tcPr>
            <w:tcW w:w="3213"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无线管理平台</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p>
        </w:tc>
        <w:tc>
          <w:tcPr>
            <w:tcW w:w="3213"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Hans"/>
              </w:rPr>
              <w:t>万兆光纤收发模块</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18台</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5、7、11层每层6台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智能机器人</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AR图书</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AR沙盘</w:t>
            </w:r>
          </w:p>
        </w:tc>
        <w:tc>
          <w:tcPr>
            <w:tcW w:w="1720"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机柜电源火灾监测器</w:t>
            </w:r>
          </w:p>
        </w:tc>
        <w:tc>
          <w:tcPr>
            <w:tcW w:w="1720" w:type="dxa"/>
            <w:vAlign w:val="center"/>
          </w:tcPr>
          <w:p>
            <w:pPr>
              <w:spacing w:line="600" w:lineRule="exact"/>
              <w:jc w:val="center"/>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1台</w:t>
            </w:r>
          </w:p>
        </w:tc>
        <w:tc>
          <w:tcPr>
            <w:tcW w:w="3259" w:type="dxa"/>
            <w:vAlign w:val="center"/>
          </w:tcPr>
          <w:p>
            <w:pPr>
              <w:spacing w:line="600" w:lineRule="exact"/>
              <w:jc w:val="center"/>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FF"/>
                <w:sz w:val="24"/>
                <w:szCs w:val="24"/>
                <w:highlight w:val="none"/>
              </w:rPr>
              <w:t>资产</w:t>
            </w:r>
            <w:r>
              <w:rPr>
                <w:rFonts w:hint="eastAsia" w:ascii="宋体" w:hAnsi="宋体" w:eastAsia="宋体" w:cs="宋体"/>
                <w:color w:val="000000"/>
                <w:sz w:val="24"/>
                <w:szCs w:val="24"/>
                <w:highlight w:val="none"/>
              </w:rPr>
              <w:t>管理系统</w:t>
            </w:r>
          </w:p>
        </w:tc>
        <w:tc>
          <w:tcPr>
            <w:tcW w:w="1720" w:type="dxa"/>
            <w:vAlign w:val="center"/>
          </w:tcPr>
          <w:p>
            <w:pPr>
              <w:spacing w:line="600" w:lineRule="exact"/>
              <w:jc w:val="center"/>
              <w:rPr>
                <w:rFonts w:hint="eastAsia" w:ascii="宋体" w:hAnsi="宋体" w:eastAsia="宋体" w:cs="宋体"/>
                <w:color w:val="000000"/>
                <w:sz w:val="24"/>
                <w:szCs w:val="24"/>
                <w:highlight w:val="none"/>
                <w:lang w:eastAsia="zh-Hans"/>
              </w:rPr>
            </w:pPr>
            <w:r>
              <w:rPr>
                <w:rFonts w:hint="eastAsia" w:ascii="宋体" w:hAnsi="宋体" w:eastAsia="宋体" w:cs="宋体"/>
                <w:sz w:val="24"/>
                <w:szCs w:val="24"/>
                <w:highlight w:val="none"/>
              </w:rPr>
              <w:t>1套</w:t>
            </w:r>
          </w:p>
        </w:tc>
        <w:tc>
          <w:tcPr>
            <w:tcW w:w="3259" w:type="dxa"/>
            <w:vAlign w:val="center"/>
          </w:tcPr>
          <w:p>
            <w:pPr>
              <w:spacing w:line="600" w:lineRule="exact"/>
              <w:jc w:val="center"/>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w:t>
            </w:r>
          </w:p>
        </w:tc>
        <w:tc>
          <w:tcPr>
            <w:tcW w:w="3213" w:type="dxa"/>
            <w:vAlign w:val="center"/>
          </w:tcPr>
          <w:p>
            <w:pPr>
              <w:spacing w:line="600" w:lineRule="exac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Hans"/>
              </w:rPr>
              <w:t>RFID读卡器</w:t>
            </w:r>
          </w:p>
        </w:tc>
        <w:tc>
          <w:tcPr>
            <w:tcW w:w="1720" w:type="dxa"/>
            <w:vAlign w:val="center"/>
          </w:tcPr>
          <w:p>
            <w:pPr>
              <w:spacing w:line="6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54块</w:t>
            </w:r>
          </w:p>
        </w:tc>
        <w:tc>
          <w:tcPr>
            <w:tcW w:w="3259" w:type="dxa"/>
            <w:vAlign w:val="center"/>
          </w:tcPr>
          <w:p>
            <w:pPr>
              <w:spacing w:line="6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5楼、7楼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96" w:type="dxa"/>
            <w:vAlign w:val="center"/>
          </w:tcPr>
          <w:p>
            <w:pPr>
              <w:spacing w:line="6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w:t>
            </w:r>
          </w:p>
        </w:tc>
        <w:tc>
          <w:tcPr>
            <w:tcW w:w="3213" w:type="dxa"/>
            <w:vAlign w:val="center"/>
          </w:tcPr>
          <w:p>
            <w:pPr>
              <w:spacing w:line="600" w:lineRule="exact"/>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lang w:eastAsia="zh-Hans"/>
              </w:rPr>
              <w:t>RFID有源位置标签</w:t>
            </w:r>
          </w:p>
        </w:tc>
        <w:tc>
          <w:tcPr>
            <w:tcW w:w="1720" w:type="dxa"/>
            <w:vAlign w:val="center"/>
          </w:tcPr>
          <w:p>
            <w:pPr>
              <w:spacing w:line="60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200个</w:t>
            </w:r>
          </w:p>
        </w:tc>
        <w:tc>
          <w:tcPr>
            <w:tcW w:w="3259" w:type="dxa"/>
            <w:vAlign w:val="center"/>
          </w:tcPr>
          <w:p>
            <w:pPr>
              <w:spacing w:line="600" w:lineRule="exact"/>
              <w:jc w:val="center"/>
              <w:rPr>
                <w:rFonts w:hint="eastAsia" w:ascii="宋体" w:hAnsi="宋体" w:eastAsia="宋体" w:cs="宋体"/>
                <w:color w:val="000000"/>
                <w:sz w:val="24"/>
                <w:szCs w:val="24"/>
                <w:highlight w:val="none"/>
                <w:lang w:eastAsia="zh-Hans"/>
              </w:rPr>
            </w:pPr>
            <w:r>
              <w:rPr>
                <w:rFonts w:hint="eastAsia" w:ascii="宋体" w:hAnsi="宋体" w:eastAsia="宋体" w:cs="宋体"/>
                <w:color w:val="000000"/>
                <w:sz w:val="24"/>
                <w:szCs w:val="24"/>
                <w:highlight w:val="none"/>
              </w:rPr>
              <w:t>5楼、7楼</w:t>
            </w:r>
          </w:p>
        </w:tc>
      </w:tr>
    </w:tbl>
    <w:p>
      <w:pPr>
        <w:rPr>
          <w:rFonts w:ascii="宋体" w:hAnsi="宋体" w:cs="宋体"/>
          <w:b/>
          <w:sz w:val="24"/>
          <w:szCs w:val="24"/>
          <w:highlight w:val="none"/>
        </w:rPr>
      </w:pPr>
    </w:p>
    <w:p>
      <w:pPr>
        <w:rPr>
          <w:rFonts w:ascii="宋体" w:hAnsi="宋体" w:cs="宋体"/>
          <w:sz w:val="24"/>
          <w:szCs w:val="24"/>
          <w:highlight w:val="none"/>
        </w:rPr>
      </w:pPr>
      <w:r>
        <w:rPr>
          <w:rFonts w:hint="eastAsia" w:ascii="宋体" w:hAnsi="宋体" w:cs="宋体"/>
          <w:b/>
          <w:sz w:val="24"/>
          <w:szCs w:val="24"/>
          <w:highlight w:val="none"/>
        </w:rPr>
        <w:t>本包件核心产品为:安防平台（软硬件监控一体机）</w:t>
      </w:r>
    </w:p>
    <w:p>
      <w:pPr>
        <w:pStyle w:val="2"/>
        <w:numPr>
          <w:ilvl w:val="0"/>
          <w:numId w:val="94"/>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技术要求</w:t>
      </w:r>
    </w:p>
    <w:tbl>
      <w:tblPr>
        <w:tblStyle w:val="4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6827"/>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设备名称</w:t>
            </w:r>
          </w:p>
        </w:tc>
        <w:tc>
          <w:tcPr>
            <w:tcW w:w="3570"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技术参数</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安防平台</w:t>
            </w:r>
          </w:p>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（软硬件监控一体机）</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▲应支持硬件资源按照计算资源、存储资源、网络资源分类，业务应用部署在容器上；需提供公安部</w:t>
            </w:r>
            <w:r>
              <w:rPr>
                <w:rFonts w:hint="eastAsia" w:ascii="宋体" w:hAnsi="宋体" w:eastAsia="宋体" w:cs="宋体"/>
                <w:color w:val="FF0000"/>
                <w:sz w:val="24"/>
                <w:szCs w:val="24"/>
                <w:highlight w:val="none"/>
              </w:rPr>
              <w:t>质检中心</w:t>
            </w:r>
            <w:r>
              <w:rPr>
                <w:rFonts w:hint="eastAsia" w:ascii="宋体" w:hAnsi="宋体" w:eastAsia="宋体" w:cs="宋体"/>
                <w:sz w:val="24"/>
                <w:szCs w:val="24"/>
                <w:highlight w:val="none"/>
              </w:rPr>
              <w:t>检验报告证明。</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★支持视频接入、存储、转发、人脸识别、人体识别、车辆识别、人脸检索、人体检索等多业务组合运用。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系统应能支持5000个用户注册，可支持2000个用户同时登陆，支持200个用户同时操作；可设置用户单位、角色及用户基本信息。</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系统应支持不少于300 路摄像机以4M码率存储30天以上的能力。</w:t>
            </w:r>
            <w:bookmarkStart w:id="386" w:name="_GoBack"/>
            <w:bookmarkEnd w:id="386"/>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▲支持视频流和图片流直存，无需额外接入单独的转发服务器；需提供公安部质检中心检验报告证明，加盖投标人公章。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★支持N+0集群，单集群内云节点不需要独立的集群管理服务器，当任意一个节点故障时，支持将故障节点上的业务负载分担到其他节点，可在30s之内完成；需提供公安部质检中心检验报告证明，加盖投标人公章。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支持将重要录像片段锁定，不会被自动循环覆盖，到锁定周期后，自动解锁，锁定录像的空间可被回收。</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客户端可提供网络自动重连机制，能够在网络故障恢复后自动获取原视频播放内容，重连时间不大于15秒，支持管理服务故障后业务保持不中断。</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★配置至少两颗24核处理器，主频应不低于2.2GHz，缓存应不低于35MB；内存配置不低于256GB，采用DDR4及以上规格，支持内存扩展；</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设备应能安装在19″标准机架中，采用全模块化无线缆设计，独立主控模块、热插拔硬盘、独立电源模块。</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★单设备支持系统磁盘数量≥ 2，配置2块960GB SAS SSD,组成RAIDI; 最大支持38块业务磁盘，其中最大配置36块8TB/10TB/16TB SATA企业盘，组建Raid5，2块1.8TB SAS SSD硬盘，组建Raid1。 </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单设备配置企业级硬盘裸容量不低于512T。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单服务器配置不少于2 个GE 网卡和2 个10GE网卡，有两口 GE/10GE 可选配扩展。</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单台可支持摄像机接入不小于1024路；可同时支持视频存储不小于1024 路，视频转发不小于1024 路，录像下载不小于512 路；单台可并发支持存储不小于2048Mbps，转发不小于2048Mbps，录像下载不小于1024Mbps。</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单节点分析功能支持：人脸视频分析≥128路；人脸图片分析≥800张/秒；需提供公安部质检中心检验报告并加盖投标人公章。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支持数据传输加密，保证数据传输过程安全，当传输密码、邮箱地址、电话号码、视频、图片、所有业务控制信令敏感数据时进行加密传输； </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支持平台敏感数据加密，如口令、私钥、人脸特征值等加密存储，防止敏感数据泄密；  </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支持基于角色权限和访问控制，防止数据和功能未授权或绕过授权访问；</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▲支持以算法插件方式集成多个不同厂家算法，支持同一类型多个不同厂家的算法同时部署和管理，支持同一厂家多个不同算法版本同时部署和管理。需提供公安部质检中心检验报告并加盖投标人公章。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将容器镜像及关键数据备份到数据磁盘中，并产生多分拷贝。关键数据包括数据库、配置文件及录像索引文件等涉及系统正常运行的数据；支持故障时通过从数据盘中读取备份实现容器数据的恢复；支持创建新的容器后软件自动从数据盘中找出最新且完好的关键数据，恢复到故障前状态。需提供公安部质检中心检验报告并加盖投标人公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单纯转发业务模式下支持媒体访问请求，向请求方分发流媒体数据；支持本域转发、外域转发和逐级转发功能。</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★配置单块16T专用硬盘。</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★需与智慧园区一期平台无缝对接。（包括GIS平台、IOC平台、设备管理平台，可支持http、restful、MQTT等协议。）。</w:t>
            </w:r>
          </w:p>
        </w:tc>
        <w:tc>
          <w:tcPr>
            <w:tcW w:w="644" w:type="pct"/>
            <w:vAlign w:val="center"/>
          </w:tcPr>
          <w:p>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交换机1</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★交换容量≥330Gbps，包转发率≥126Mpps，≥24个千兆电口，≥4个万兆SFP+光口；</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支持802.3at POE+功能，单端口最大输出30W，整机最大功耗带POE输出≥380W；</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▲支持快速POE供电功能，在设备上电后，设备的POE端口在4秒内实现对远端受电设备的供电；</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支持POE+供电能力，为远端无线AP和监控设备提供远程供电；</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▲设备自带标准的USB接口(非MiniUSB)，支持U盘快速开局，提供所投设备对应型号的USB接口图；</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▲为满足客户端安全接入需求，支持 1024 个Portal认证客户端同时在线；</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支持静态路由、RIP、RIPng、OSPF、OSPFv3 路由协议；</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支持MAC地址表≥16K，ARP表项≥4K；</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▲支持纵向虚拟化，作为纵向子节点零配置即插即用；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▲支持对监控视频业务的智能运维，设备周期统计并上报视频业务类指标，结合网络质量分析系统，对视频业务质量类故障进行快速定界；</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支持CPU防攻击、动态ARP检测、IP 源地址护、PPPoE+、安全启动多种安全特性；</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支持业务口防雷：共模±10kV，电源口防雷：差模±5kV，共模±5kV；</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支持管理员通过Python脚本对交换机进行运维功能的编程，实现智能化运维；</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Hans"/>
              </w:rPr>
              <w:t>提供国家工信部颁发的电信设备入网许可证</w:t>
            </w:r>
            <w:r>
              <w:rPr>
                <w:rFonts w:hint="eastAsia" w:ascii="宋体" w:hAnsi="宋体" w:eastAsia="宋体" w:cs="宋体"/>
                <w:sz w:val="24"/>
                <w:szCs w:val="24"/>
                <w:highlight w:val="none"/>
              </w:rPr>
              <w:t>；</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交换机2</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★交换容量≥2.5Tbps，包转发率≥720Mpps,≥24个万兆SFP+接口，≥6个40GE QSFP+接口</w:t>
            </w:r>
            <w:r>
              <w:rPr>
                <w:rFonts w:hint="eastAsia" w:ascii="宋体" w:hAnsi="宋体" w:eastAsia="宋体" w:cs="宋体"/>
                <w:sz w:val="24"/>
                <w:szCs w:val="24"/>
                <w:highlight w:val="none"/>
                <w:lang w:eastAsia="zh-Hans"/>
              </w:rPr>
              <w: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▲为提高系统的安全性，设备CPU芯片、NP芯片国产自主可控，提供CMA或ILAC-MRA或CNAS或CAL标识的第三方测试报告证明；</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为了提高设备可靠性，支持可插拔双电源，支持1+1电源备份，配置双电源，满足至少4个独立可插拔风扇；</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▲支持OSPF路由协议，MAC表项≥64K，IPv4路由表项≥64K，提供CMA或ILAC-MRA或CNAS或CAL标识的第三方测试报告证明；</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▲支持VxLAN功能，支持BGP EVPN分布式Anycast网关，实现自动建立隧道，VXLAN隧道容量≥2K IPV4隧道；</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支持横向堆叠，主机堆叠数≥9台；</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支持统一用户管理功能，支持802.1X/MAC/Portal等多种认证方式，支持对用户进行分组/分域/分时的管理，用户、业务可视可控；</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支持DHCP Snooping，IP Source Guard，SAVI等安全特性；</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支持真实业务流实时检测技术，能实时检测网络故障；</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可实现基于Python语言的开放可编程特性，提供开放的编辑语言和更简单的操作方法，实现智能化运维；</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▲支持全网安全协防，进行加密通信分析和威胁诱捕功能；</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支持G.8032标准环网协议；</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Hans"/>
              </w:rPr>
              <w:t>提供国家工信部颁发的电信设备入网许可证</w:t>
            </w:r>
            <w:r>
              <w:rPr>
                <w:rFonts w:hint="eastAsia" w:ascii="宋体" w:hAnsi="宋体" w:eastAsia="宋体" w:cs="宋体"/>
                <w:sz w:val="24"/>
                <w:szCs w:val="24"/>
                <w:highlight w:val="none"/>
              </w:rPr>
              <w:t>；</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人脸识别摄像机（半球）</w:t>
            </w:r>
          </w:p>
        </w:tc>
        <w:tc>
          <w:tcPr>
            <w:tcW w:w="3570" w:type="pct"/>
            <w:vAlign w:val="center"/>
          </w:tcPr>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采用不低于500万像素1/2.7"逐行扫描CMOS传感器； </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支持红外补光距离室内不低于30米；</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支持H.265/H.264/MJPEG编码可选；</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支持自动识别背光、运动速度、雾（雨）天、正常等场景，并能在＜1s的时间内快速自适应调整相应的图像参数(提供公安部质检中心检测报告并加盖投标人公章)；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★支持具有图像诊断雪花、偏色、画面冻结、增益失衡、摄像机抖动、条纹噪声设置选项 (提供公安部质检中心检测报告并加盖投标人公章)；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▲支持在同一静止场景相同图像质量情况下，H.265编码，开启智能编码和不开启智能编码相比，码率节约85% (提供公安部质检中心检测报告并加盖投标人公章)；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▲支持在均匀丢包的情况下，具有抗丢包30%的能力 (提供公安部质检中心检测报告并加盖投标人公章)；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▲支持具有网卡混杂模式检查、系统敏感文件检查、非法超级账户检测、僵尸网络检测、Rootkit检测、程序白名单、挖矿恶意进程检测等设置选项(提供公安部质检中心检测报告并加盖投标人公章)；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▲配置下面4种多算法，在规划点位切换运行：</w:t>
            </w:r>
          </w:p>
          <w:p>
            <w:pPr>
              <w:pStyle w:val="200"/>
              <w:numPr>
                <w:ilvl w:val="1"/>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人脸抓拍模式：人脸和人体的关联抓拍，并支持人脸属性识别和人流量统计功能；</w:t>
            </w:r>
          </w:p>
          <w:p>
            <w:pPr>
              <w:pStyle w:val="200"/>
              <w:numPr>
                <w:ilvl w:val="1"/>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行为分析模式：快速移动，越线检测，区域入侵，进入/离开区域，徘徊检测，人员集聚；</w:t>
            </w:r>
          </w:p>
          <w:p>
            <w:pPr>
              <w:pStyle w:val="200"/>
              <w:numPr>
                <w:ilvl w:val="1"/>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人群态势分析模式：排队长度、区域人数统计、过线统计、热度图；</w:t>
            </w:r>
          </w:p>
          <w:p>
            <w:pPr>
              <w:pStyle w:val="200"/>
              <w:numPr>
                <w:ilvl w:val="1"/>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车辆抓拍模式：车辆、非机动车、人体的同时抓拍，并支持车辆属性识别，车牌识别、机非人流量统计 ；</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★可对检测到的人脸进行属性分析：包括年龄段（老、中、轻）、性别、是否带口罩、是否带眼镜，平均准确率≥95% (提供公安部质检中心检测报告并加盖投标人公章)；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支持对150张黑名单库进行布控，比对成功后输出报警信息；误报率：10-9下，识别率：≥95%，识别比对时间≤300ms；</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支持对经过监控画面中的行人进行（自上而下，自下而上）的人流量统计，支持双向通行的人数统计，准确率：≥99%，支持报表统计，支持日报表、周报表、月报表、年报表；</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支持1个RJ45 10M/100M自适应以太网口、1个半双工RS485接口、2路报警输入、1路报警输出、1路音频输入（内置MIC）、1路音频输出、提供MicroSD卡插槽，支持MicroSDHC/MicroSDXC，支持最大容量256GB内存卡；</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▲具有安全启动设置选项，具有在启动的过程中，OS+应用软件逐级校验uboot的设置选项。（提供公安部质检中心检测报告并加盖投标人公章）</w:t>
            </w:r>
          </w:p>
          <w:p>
            <w:pPr>
              <w:pStyle w:val="200"/>
              <w:numPr>
                <w:ilvl w:val="0"/>
                <w:numId w:val="95"/>
              </w:numPr>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支持IP67防护等级；</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支持DC12V，PoE(IEEE 802.3af)供电；</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物联网AP</w:t>
            </w:r>
          </w:p>
        </w:tc>
        <w:tc>
          <w:tcPr>
            <w:tcW w:w="3570" w:type="pct"/>
            <w:vAlign w:val="center"/>
          </w:tcPr>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★支持2.4GHz/5GHz双频段，支持三射频，所有频段均支持802.11ax标准，所有射频支持802.11ax 4x4 MU-MIMO，整机支持8条空间流，整机最大协商速率≥5.95Gbps；</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支持1个独立扫描射频，实现2.4G/5G全频谱扫描，实时检测识别非法设备和干扰源，如果不支持，可额外配置一个双频放装AP来实现该功能；</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▲支持1个5G自适应以太口，1个GE电口；</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支持USB接口，可用于对外供电，也可用于存储</w:t>
            </w:r>
            <w:r>
              <w:rPr>
                <w:rFonts w:hint="eastAsia" w:ascii="宋体" w:hAnsi="宋体" w:eastAsia="宋体" w:cs="宋体"/>
                <w:sz w:val="24"/>
                <w:szCs w:val="24"/>
                <w:highlight w:val="none"/>
                <w:lang w:eastAsia="zh-Hans"/>
              </w:rPr>
              <w:t>；</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内置智能天线；</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▲内置蓝牙5.0，可实现蓝牙终端精确定位</w:t>
            </w:r>
            <w:r>
              <w:rPr>
                <w:rFonts w:hint="eastAsia" w:ascii="宋体" w:hAnsi="宋体" w:eastAsia="宋体" w:cs="宋体"/>
                <w:sz w:val="24"/>
                <w:szCs w:val="24"/>
                <w:highlight w:val="none"/>
                <w:lang w:eastAsia="zh-Hans"/>
              </w:rPr>
              <w:t>，支持蓝牙串口远距无线运维，提供官网链接及截图证明</w:t>
            </w:r>
            <w:r>
              <w:rPr>
                <w:rFonts w:hint="eastAsia" w:ascii="宋体" w:hAnsi="宋体" w:eastAsia="宋体" w:cs="宋体"/>
                <w:sz w:val="24"/>
                <w:szCs w:val="24"/>
                <w:highlight w:val="none"/>
              </w:rPr>
              <w:t>；</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▲支持内置</w:t>
            </w:r>
            <w:r>
              <w:rPr>
                <w:rFonts w:hint="eastAsia" w:ascii="宋体" w:hAnsi="宋体" w:eastAsia="宋体" w:cs="宋体"/>
                <w:sz w:val="24"/>
                <w:szCs w:val="24"/>
                <w:highlight w:val="none"/>
                <w:lang w:eastAsia="zh-Hans"/>
              </w:rPr>
              <w:t>至少</w:t>
            </w:r>
            <w:r>
              <w:rPr>
                <w:rFonts w:hint="eastAsia" w:ascii="宋体" w:hAnsi="宋体" w:eastAsia="宋体" w:cs="宋体"/>
                <w:sz w:val="24"/>
                <w:szCs w:val="24"/>
                <w:highlight w:val="none"/>
              </w:rPr>
              <w:t>2个扩展物联网模块插槽，可以扩展支持Zigbee/RFID/Thread</w:t>
            </w:r>
            <w:r>
              <w:rPr>
                <w:rFonts w:hint="eastAsia" w:ascii="宋体" w:hAnsi="宋体" w:eastAsia="宋体" w:cs="宋体"/>
                <w:sz w:val="24"/>
                <w:szCs w:val="24"/>
                <w:highlight w:val="none"/>
                <w:lang w:eastAsia="zh-Hans"/>
              </w:rPr>
              <w:t>，提供官网链接及截图证明</w:t>
            </w:r>
            <w:r>
              <w:rPr>
                <w:rFonts w:hint="eastAsia" w:ascii="宋体" w:hAnsi="宋体" w:eastAsia="宋体" w:cs="宋体"/>
                <w:sz w:val="24"/>
                <w:szCs w:val="24"/>
                <w:highlight w:val="none"/>
              </w:rPr>
              <w:t>；</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▲支持硬件加密，DTLS及Ipsec加密</w:t>
            </w:r>
            <w:r>
              <w:rPr>
                <w:rFonts w:hint="eastAsia" w:ascii="宋体" w:hAnsi="宋体" w:eastAsia="宋体" w:cs="宋体"/>
                <w:sz w:val="24"/>
                <w:szCs w:val="24"/>
                <w:highlight w:val="none"/>
                <w:lang w:eastAsia="zh-Hans"/>
              </w:rPr>
              <w:t>，提供官网链接及截图证明</w:t>
            </w:r>
            <w:r>
              <w:rPr>
                <w:rFonts w:hint="eastAsia" w:ascii="宋体" w:hAnsi="宋体" w:eastAsia="宋体" w:cs="宋体"/>
                <w:sz w:val="24"/>
                <w:szCs w:val="24"/>
                <w:highlight w:val="none"/>
              </w:rPr>
              <w:t>；</w:t>
            </w:r>
          </w:p>
          <w:p>
            <w:pPr>
              <w:pStyle w:val="135"/>
              <w:numPr>
                <w:ilvl w:val="0"/>
                <w:numId w:val="95"/>
              </w:numPr>
              <w:ind w:firstLineChars="0"/>
              <w:jc w:val="left"/>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支持802.3bt供电；</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无线管理平台</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★最大管理AP数量≥256，最大接入用户数量≥4K，转发能力≥6 Gbps，配置≥2个10GE光口,≥8个GE电口</w:t>
            </w:r>
            <w:r>
              <w:rPr>
                <w:rFonts w:hint="eastAsia" w:ascii="宋体" w:hAnsi="宋体" w:eastAsia="宋体" w:cs="宋体"/>
                <w:sz w:val="24"/>
                <w:szCs w:val="24"/>
                <w:highlight w:val="none"/>
                <w:lang w:eastAsia="zh-Hans"/>
              </w:rPr>
              <w: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▲支持静态路由，RIP-1/RIP-2，OSPF，BGP，IS-IS，路由策略、策略路由</w:t>
            </w:r>
            <w:r>
              <w:rPr>
                <w:rFonts w:hint="eastAsia" w:ascii="宋体" w:hAnsi="宋体" w:eastAsia="宋体" w:cs="宋体"/>
                <w:sz w:val="24"/>
                <w:szCs w:val="24"/>
                <w:highlight w:val="none"/>
                <w:lang w:eastAsia="zh-Hans"/>
              </w:rPr>
              <w:t>，提供官网链接及截图证明；</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支持MAC 地址认证、802.1x认证（EAP-PAP、EAP-MD5、EAP-PEAP、EAP-TLS、EAP-TTLS）、Portal认证、MAC+Portal混合认证、WAPI认证；</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支持基于802.11k 和 802.11v协议的智能漫游，使低漫游灵敏度的客户端能漫游到最佳AP</w:t>
            </w:r>
            <w:r>
              <w:rPr>
                <w:rFonts w:hint="eastAsia" w:ascii="宋体" w:hAnsi="宋体" w:eastAsia="宋体" w:cs="宋体"/>
                <w:sz w:val="24"/>
                <w:szCs w:val="24"/>
                <w:highlight w:val="none"/>
                <w:lang w:eastAsia="zh-Hans"/>
              </w:rPr>
              <w: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 4~7 层应用识别，可识别 6000 多种常见办公应用与 P2P 下载应用</w:t>
            </w:r>
            <w:r>
              <w:rPr>
                <w:rFonts w:hint="eastAsia" w:ascii="宋体" w:hAnsi="宋体" w:eastAsia="宋体" w:cs="宋体"/>
                <w:sz w:val="24"/>
                <w:szCs w:val="24"/>
                <w:highlight w:val="none"/>
                <w:lang w:eastAsia="zh-Hans"/>
              </w:rPr>
              <w:t>，提供官网链接及截图证明；</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支持Navigator AC，可将访客流量通过CAPWAP隧道引入Navigator AC，隔离访客的业务流量；</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支持设备冗余备份功能，可支持1+1或N+1备份，并支持主备AC间配置同步</w:t>
            </w:r>
            <w:r>
              <w:rPr>
                <w:rFonts w:hint="eastAsia" w:ascii="宋体" w:hAnsi="宋体" w:eastAsia="宋体" w:cs="宋体"/>
                <w:sz w:val="24"/>
                <w:szCs w:val="24"/>
                <w:highlight w:val="none"/>
                <w:lang w:eastAsia="zh-Hans"/>
              </w:rPr>
              <w: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支持可视化故障诊断，对用户、AP、AC的故障呈现故障根因和处理建议</w:t>
            </w:r>
            <w:r>
              <w:rPr>
                <w:rFonts w:hint="eastAsia" w:ascii="宋体" w:hAnsi="宋体" w:eastAsia="宋体" w:cs="宋体"/>
                <w:sz w:val="24"/>
                <w:szCs w:val="24"/>
                <w:highlight w:val="none"/>
                <w:lang w:eastAsia="zh-Hans"/>
              </w:rPr>
              <w:t>；</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Hans"/>
              </w:rPr>
              <w:t>本次</w:t>
            </w:r>
            <w:r>
              <w:rPr>
                <w:rFonts w:hint="eastAsia" w:ascii="宋体" w:hAnsi="宋体" w:eastAsia="宋体" w:cs="宋体"/>
                <w:sz w:val="24"/>
                <w:szCs w:val="24"/>
                <w:highlight w:val="none"/>
              </w:rPr>
              <w:t>配置18个无线AP软件</w:t>
            </w:r>
            <w:r>
              <w:rPr>
                <w:rFonts w:hint="eastAsia" w:ascii="宋体" w:hAnsi="宋体" w:eastAsia="宋体" w:cs="宋体"/>
                <w:sz w:val="24"/>
                <w:szCs w:val="24"/>
                <w:highlight w:val="none"/>
                <w:lang w:eastAsia="zh-Hans"/>
              </w:rPr>
              <w:t>管理</w:t>
            </w:r>
            <w:r>
              <w:rPr>
                <w:rFonts w:hint="eastAsia" w:ascii="宋体" w:hAnsi="宋体" w:eastAsia="宋体" w:cs="宋体"/>
                <w:sz w:val="24"/>
                <w:szCs w:val="24"/>
                <w:highlight w:val="none"/>
              </w:rPr>
              <w:t>授权</w:t>
            </w:r>
            <w:r>
              <w:rPr>
                <w:rFonts w:hint="eastAsia" w:ascii="宋体" w:hAnsi="宋体" w:eastAsia="宋体" w:cs="宋体"/>
                <w:sz w:val="24"/>
                <w:szCs w:val="24"/>
                <w:highlight w:val="none"/>
                <w:lang w:eastAsia="zh-Hans"/>
              </w:rPr>
              <w:t>；</w:t>
            </w:r>
          </w:p>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需与智慧园区平台无缝对接。</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万兆光纤</w:t>
            </w:r>
          </w:p>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收发模块</w:t>
            </w:r>
          </w:p>
        </w:tc>
        <w:tc>
          <w:tcPr>
            <w:tcW w:w="3570" w:type="pct"/>
            <w:vAlign w:val="center"/>
          </w:tcPr>
          <w:p>
            <w:pPr>
              <w:pStyle w:val="135"/>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光模块-SFP+-10G-单模模块(1310nm,10km,LC)</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AI智能机器人</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身高：≥120cm；</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体重：≤30kg；</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行走方式：全向轮驱动，不少于3个；</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视觉系统：2个500万像素摄像头，1个3D摄像头；</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语音系统：内置语音识别模块，配备4个全向麦克风、2个扬声器，4个触摸传感器；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人机交互：10英寸以上液晶显示+触摸屏；</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处理器：X86CPU 1.8G以上处理器；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连接方式：Wi-Fi/Ethernet/Bluetooth；</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▲活动关节：≥20个，包括头部、肩部、手部、腰部等；</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续航能力：10个小时以上，高性能可充电电池；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▲编程语言：C++、Python、Java以及图形化编程；</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导航系统：激光自主导航，辅助3轴陀螺仪、3轴加速计；</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传感系统：3个红外传感器、3个触碰传感器、2个声纳传感器；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▲支持国际语言种类：≥20种；</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服务应用：迎宾接待、语音互动、语音控制、智能讲解、自助导览、人脸识别等；</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学习应用：人脸识别、语音交互、地图构建、自主导航、深度计算、自主学习、协同控制等；</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智能功能：图像分析、场景分析、物体跟踪、文字识别、自主生活、避障行走、深度学习；</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感知功能：声音感知、物体识别、运动感知、触摸感知、人脸识别、情绪感知；</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交互功能：多语交互、情感表达、触屏交互、动作交互、移动交互；</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扩展功能：云端访问、开放平台、数据通信、智能外设、底层扩展</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AR图书</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作为整个课程贯始终的学习资料试用，提供PPT专业排版，类化设计，风格统一，贴合课程内容</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作为穿插进学习过程中讲解部分知识点使用，每个微课不超过5分钟（含视频拍摄部分输出的成片内容），包含拍摄，后期制作，图片文字动画包装，输出1080P高清成片（mp4格式），提供修改服务</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加入到微课中作为部分知识点讲解使用，可根据需要在成片内添加PPT内容。采用双机位拍摄，现场提供专业布光，专业收音，14天内累计为每个微课录制出不超过5分钟的成片补充内容。</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基于专业老师设计的试题，设计判断题，选择题，每套5个试题</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每个3D课件包含至少三个交互点，每个模型面数控制在5W三个角度以内，贴图尺寸不低于512，单个交互动画时长在10S以内，30帧/S，试用unity引擎进行渲染疏忽最终效果</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AR沙盘</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类别：360度四面同步成像</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立体幻像尺寸：≥376mm（L）*301mm（H）</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显示部分：≥19寸液晶屏*4套</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成像比例：5:4</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分辨率：1208*1024</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内置音响</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控制主机服务器：4G-128G</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支持视频格式：MPG、TS、TRP、MKV、MOV、WMV</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支持音频格式：MP3、WMA、支持图片格式：JPEG、BMP</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机柜电源火灾监测器</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工作电压：12VDC/5A；</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功耗：监视状态≤0.5W；</w:t>
            </w:r>
          </w:p>
          <w:p>
            <w:pPr>
              <w:pStyle w:val="156"/>
              <w:ind w:left="42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动作状态≤40W；</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▲一氧化碳（CO）测量：</w:t>
            </w:r>
          </w:p>
          <w:p>
            <w:pPr>
              <w:pStyle w:val="156"/>
              <w:ind w:left="42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量程 0～1000ppm</w:t>
            </w:r>
          </w:p>
          <w:p>
            <w:pPr>
              <w:pStyle w:val="156"/>
              <w:ind w:left="42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最大测量限 2000ppm</w:t>
            </w:r>
          </w:p>
          <w:p>
            <w:pPr>
              <w:pStyle w:val="156"/>
              <w:ind w:left="42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灵敏度 ＞0.015 µA/ppm</w:t>
            </w:r>
          </w:p>
          <w:p>
            <w:pPr>
              <w:pStyle w:val="156"/>
              <w:ind w:left="42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分辨率 0.5ppm</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▲温度探测，报警设定范围45-140℃,调节精度：1℃</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▲路剩余电流探测,探测范围50-1000mA</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▲路电流探测,范围：电流分为5-1000A。</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▲相电压探测,范围：10-400V AC</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▲控制输出（脉冲输出）：≥12V/2A/1路</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▲无线通信方式： NB-Iot</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▲有线通讯接口：RS485</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环境温度：-10℃～ 40℃ ；</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相对湿度：当周围空气温度为20±5℃时，相对湿度不高于90%；</w:t>
            </w:r>
          </w:p>
        </w:tc>
        <w:tc>
          <w:tcPr>
            <w:tcW w:w="644"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Hans"/>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color w:val="0000FF"/>
                <w:sz w:val="24"/>
                <w:szCs w:val="24"/>
                <w:highlight w:val="none"/>
              </w:rPr>
              <w:t>资产</w:t>
            </w:r>
            <w:r>
              <w:rPr>
                <w:rFonts w:hint="eastAsia" w:ascii="宋体" w:hAnsi="宋体" w:eastAsia="宋体" w:cs="宋体"/>
                <w:color w:val="000000"/>
                <w:sz w:val="24"/>
                <w:szCs w:val="24"/>
                <w:highlight w:val="none"/>
              </w:rPr>
              <w:t>管理系统</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为了实现资产管理业务快速部署，方案中涉及的物联网AP和RFID读卡器要求采用一体化设计，物联网AP和RFID读卡器共址，RFID读卡器以插卡的形成集成在物联网AP里；</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系统需采用B/S模式设计，支持IE10及更高版本浏览器、Chrome浏览器</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系统需采用模块化设计，支持对读卡器进行license管理。</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系统上位机需支持MQTT/REST接口或SDK和第三方资产管理业务软件对接。</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资产管理软件需对外提供Web service或SDK接口，供OA或其他应用系统对接。</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资产管理软件要求支持云化部署。</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需与智慧园区平台无缝对接。</w:t>
            </w:r>
          </w:p>
        </w:tc>
        <w:tc>
          <w:tcPr>
            <w:tcW w:w="644" w:type="pct"/>
            <w:vAlign w:val="center"/>
          </w:tcPr>
          <w:p>
            <w:pPr>
              <w:spacing w:line="600" w:lineRule="exact"/>
              <w:jc w:val="center"/>
              <w:rPr>
                <w:rFonts w:hint="eastAsia" w:ascii="宋体" w:hAnsi="宋体" w:eastAsia="宋体" w:cs="宋体"/>
                <w:color w:val="000000"/>
                <w:sz w:val="24"/>
                <w:szCs w:val="24"/>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Hans"/>
              </w:rPr>
              <w:t>RFID读卡器</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与物联AP通信接口：要求为Uart接口</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工作频段：2.4GHz-2.483GHz ISM频段</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调制方式：支持GFSK调制</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工作方式：支持主动式 或 被动式</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空中通讯速度：250 kbps, 1 Mbps or 2 Mbps</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识读灵敏度：95dBm-98dBm at 1Mbps，</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可调识读距离：10m～80m(空旷区域)，</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可调最大识读速度：300 个标签/秒</w:t>
            </w:r>
          </w:p>
        </w:tc>
        <w:tc>
          <w:tcPr>
            <w:tcW w:w="644" w:type="pct"/>
            <w:vAlign w:val="center"/>
          </w:tcPr>
          <w:p>
            <w:pPr>
              <w:spacing w:line="600" w:lineRule="exact"/>
              <w:jc w:val="center"/>
              <w:rPr>
                <w:rFonts w:hint="eastAsia" w:ascii="宋体" w:hAnsi="宋体" w:eastAsia="宋体" w:cs="宋体"/>
                <w:color w:val="000000"/>
                <w:sz w:val="24"/>
                <w:szCs w:val="24"/>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85" w:type="pct"/>
            <w:vAlign w:val="center"/>
          </w:tcPr>
          <w:p>
            <w:pPr>
              <w:spacing w:line="600" w:lineRule="exact"/>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Hans"/>
              </w:rPr>
              <w:t>RFID有源位置标签</w:t>
            </w:r>
          </w:p>
        </w:tc>
        <w:tc>
          <w:tcPr>
            <w:tcW w:w="3570" w:type="pct"/>
            <w:vAlign w:val="center"/>
          </w:tcPr>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工作频率：2.4GHz-2.483GHz ISM频段</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调制方式：GFSK调制</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工作方式：主动式</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电池：220mAh,有低电压报警功能</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工作平均功耗：0.003mAh 每小时</w:t>
            </w:r>
          </w:p>
          <w:p>
            <w:pPr>
              <w:pStyle w:val="156"/>
              <w:numPr>
                <w:ilvl w:val="0"/>
                <w:numId w:val="95"/>
              </w:numPr>
              <w:ind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工作温度：-30℃～+60℃</w:t>
            </w:r>
          </w:p>
        </w:tc>
        <w:tc>
          <w:tcPr>
            <w:tcW w:w="644" w:type="pct"/>
            <w:vAlign w:val="center"/>
          </w:tcPr>
          <w:p>
            <w:pPr>
              <w:spacing w:line="600" w:lineRule="exact"/>
              <w:jc w:val="center"/>
              <w:rPr>
                <w:rFonts w:hint="eastAsia" w:ascii="宋体" w:hAnsi="宋体" w:eastAsia="宋体" w:cs="宋体"/>
                <w:color w:val="000000"/>
                <w:sz w:val="24"/>
                <w:szCs w:val="24"/>
                <w:highlight w:val="none"/>
                <w:lang w:eastAsia="zh-Hans"/>
              </w:rPr>
            </w:pPr>
          </w:p>
        </w:tc>
      </w:tr>
    </w:tbl>
    <w:p>
      <w:pPr>
        <w:rPr>
          <w:highlight w:val="none"/>
        </w:rPr>
      </w:pPr>
    </w:p>
    <w:p>
      <w:pPr>
        <w:pStyle w:val="2"/>
        <w:numPr>
          <w:ilvl w:val="0"/>
          <w:numId w:val="94"/>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rPr>
        <w:t>★商务要求</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售后服务要求</w:t>
      </w:r>
    </w:p>
    <w:p>
      <w:pPr>
        <w:spacing w:line="360" w:lineRule="auto"/>
        <w:ind w:firstLine="480" w:firstLineChars="200"/>
        <w:rPr>
          <w:sz w:val="24"/>
          <w:szCs w:val="24"/>
          <w:highlight w:val="none"/>
        </w:rPr>
      </w:pPr>
      <w:bookmarkStart w:id="276" w:name="_Toc535312155"/>
      <w:r>
        <w:rPr>
          <w:rFonts w:hint="eastAsia"/>
          <w:sz w:val="24"/>
          <w:szCs w:val="24"/>
          <w:highlight w:val="none"/>
        </w:rPr>
        <w:t>1.质保要求</w:t>
      </w:r>
    </w:p>
    <w:p>
      <w:pPr>
        <w:spacing w:line="360" w:lineRule="auto"/>
        <w:ind w:firstLine="480" w:firstLineChars="200"/>
        <w:rPr>
          <w:sz w:val="24"/>
          <w:szCs w:val="24"/>
          <w:highlight w:val="none"/>
        </w:rPr>
      </w:pPr>
      <w:r>
        <w:rPr>
          <w:rFonts w:hint="eastAsia"/>
          <w:sz w:val="24"/>
          <w:szCs w:val="24"/>
          <w:highlight w:val="none"/>
        </w:rPr>
        <w:t>1.1自验收合格之日起，提供</w:t>
      </w:r>
      <w:r>
        <w:rPr>
          <w:sz w:val="24"/>
          <w:szCs w:val="24"/>
          <w:highlight w:val="none"/>
        </w:rPr>
        <w:t>3</w:t>
      </w:r>
      <w:r>
        <w:rPr>
          <w:rFonts w:hint="eastAsia"/>
          <w:sz w:val="24"/>
          <w:szCs w:val="24"/>
          <w:highlight w:val="none"/>
        </w:rPr>
        <w:t>年的质保。</w:t>
      </w:r>
    </w:p>
    <w:p>
      <w:pPr>
        <w:spacing w:line="360" w:lineRule="auto"/>
        <w:ind w:firstLine="480" w:firstLineChars="200"/>
        <w:rPr>
          <w:sz w:val="24"/>
          <w:szCs w:val="24"/>
          <w:highlight w:val="none"/>
        </w:rPr>
      </w:pPr>
      <w:r>
        <w:rPr>
          <w:rFonts w:hint="eastAsia"/>
          <w:sz w:val="24"/>
          <w:szCs w:val="24"/>
          <w:highlight w:val="none"/>
        </w:rPr>
        <w:t>1.2质保期内，提供所有相关软件和技术升级更新。</w:t>
      </w:r>
    </w:p>
    <w:p>
      <w:pPr>
        <w:spacing w:line="360" w:lineRule="auto"/>
        <w:ind w:firstLine="480" w:firstLineChars="200"/>
        <w:rPr>
          <w:sz w:val="24"/>
          <w:szCs w:val="24"/>
          <w:highlight w:val="none"/>
        </w:rPr>
      </w:pPr>
      <w:r>
        <w:rPr>
          <w:rFonts w:hint="eastAsia"/>
          <w:sz w:val="24"/>
          <w:szCs w:val="24"/>
          <w:highlight w:val="none"/>
        </w:rPr>
        <w:t>1.3质保期内，所有相关软件和技术升级更新均为现场服务，由此产生的费用均不再收取。</w:t>
      </w:r>
    </w:p>
    <w:p>
      <w:pPr>
        <w:spacing w:line="360" w:lineRule="auto"/>
        <w:ind w:firstLine="480" w:firstLineChars="200"/>
        <w:rPr>
          <w:sz w:val="24"/>
          <w:szCs w:val="24"/>
          <w:highlight w:val="none"/>
        </w:rPr>
      </w:pPr>
      <w:r>
        <w:rPr>
          <w:rFonts w:hint="eastAsia"/>
          <w:sz w:val="24"/>
          <w:szCs w:val="24"/>
          <w:highlight w:val="none"/>
        </w:rPr>
        <w:t>1.4质保期内，所有相关设备的更换、维修均为含在本次报价内。</w:t>
      </w:r>
    </w:p>
    <w:p>
      <w:pPr>
        <w:spacing w:line="360" w:lineRule="auto"/>
        <w:ind w:firstLine="480" w:firstLineChars="200"/>
        <w:rPr>
          <w:sz w:val="24"/>
          <w:szCs w:val="24"/>
          <w:highlight w:val="none"/>
        </w:rPr>
      </w:pPr>
      <w:r>
        <w:rPr>
          <w:rFonts w:hint="eastAsia"/>
          <w:sz w:val="24"/>
          <w:szCs w:val="24"/>
          <w:highlight w:val="none"/>
        </w:rPr>
        <w:t>1.5质保期内，所有相关设备的更换、维修均为现场服务，由此产生的费用均不再收取。</w:t>
      </w:r>
    </w:p>
    <w:p>
      <w:pPr>
        <w:spacing w:line="360" w:lineRule="auto"/>
        <w:ind w:firstLine="480" w:firstLineChars="200"/>
        <w:rPr>
          <w:sz w:val="24"/>
          <w:szCs w:val="24"/>
          <w:highlight w:val="none"/>
        </w:rPr>
      </w:pPr>
      <w:r>
        <w:rPr>
          <w:rFonts w:hint="eastAsia"/>
          <w:sz w:val="24"/>
          <w:szCs w:val="24"/>
          <w:highlight w:val="none"/>
        </w:rPr>
        <w:t>1.6采购货物属于国家规定“三包”范围的，其产品质量保证期不得低于“三包”规定。</w:t>
      </w:r>
    </w:p>
    <w:p>
      <w:pPr>
        <w:spacing w:line="360" w:lineRule="auto"/>
        <w:ind w:firstLine="480" w:firstLineChars="200"/>
        <w:rPr>
          <w:sz w:val="24"/>
          <w:szCs w:val="24"/>
          <w:highlight w:val="none"/>
        </w:rPr>
      </w:pPr>
      <w:r>
        <w:rPr>
          <w:rFonts w:hint="eastAsia"/>
          <w:sz w:val="24"/>
          <w:szCs w:val="24"/>
          <w:highlight w:val="none"/>
        </w:rPr>
        <w:t>1.7供应商的质量保证期承诺优于国家“三包”规定的，按供应商实际承诺执行。</w:t>
      </w:r>
    </w:p>
    <w:p>
      <w:pPr>
        <w:spacing w:line="360" w:lineRule="auto"/>
        <w:ind w:firstLine="480" w:firstLineChars="200"/>
        <w:rPr>
          <w:sz w:val="24"/>
          <w:szCs w:val="24"/>
          <w:highlight w:val="none"/>
        </w:rPr>
      </w:pPr>
      <w:r>
        <w:rPr>
          <w:rFonts w:hint="eastAsia"/>
          <w:sz w:val="24"/>
          <w:szCs w:val="24"/>
          <w:highlight w:val="none"/>
        </w:rPr>
        <w:t>2.售后服务内容</w:t>
      </w:r>
    </w:p>
    <w:p>
      <w:pPr>
        <w:spacing w:line="360" w:lineRule="auto"/>
        <w:ind w:firstLine="480" w:firstLineChars="200"/>
        <w:rPr>
          <w:sz w:val="24"/>
          <w:szCs w:val="24"/>
          <w:highlight w:val="none"/>
        </w:rPr>
      </w:pPr>
      <w:r>
        <w:rPr>
          <w:rFonts w:hint="eastAsia"/>
          <w:sz w:val="24"/>
          <w:szCs w:val="24"/>
          <w:highlight w:val="none"/>
        </w:rPr>
        <w:t>供应商和制造商在质保期内应当为采购人提供以下技术支持服务：</w:t>
      </w:r>
    </w:p>
    <w:p>
      <w:pPr>
        <w:spacing w:line="360" w:lineRule="auto"/>
        <w:ind w:firstLine="480" w:firstLineChars="200"/>
        <w:rPr>
          <w:sz w:val="24"/>
          <w:szCs w:val="24"/>
          <w:highlight w:val="none"/>
        </w:rPr>
      </w:pPr>
      <w:r>
        <w:rPr>
          <w:rFonts w:hint="eastAsia"/>
          <w:sz w:val="24"/>
          <w:szCs w:val="24"/>
          <w:highlight w:val="none"/>
        </w:rPr>
        <w:t>2.1质量保证期内服务要求</w:t>
      </w:r>
    </w:p>
    <w:p>
      <w:pPr>
        <w:spacing w:line="360" w:lineRule="auto"/>
        <w:ind w:firstLine="480" w:firstLineChars="200"/>
        <w:rPr>
          <w:sz w:val="24"/>
          <w:szCs w:val="24"/>
          <w:highlight w:val="none"/>
        </w:rPr>
      </w:pPr>
      <w:r>
        <w:rPr>
          <w:rFonts w:hint="eastAsia"/>
          <w:sz w:val="24"/>
          <w:szCs w:val="24"/>
          <w:highlight w:val="none"/>
        </w:rPr>
        <w:t>2.1.1电话咨询</w:t>
      </w:r>
    </w:p>
    <w:p>
      <w:pPr>
        <w:spacing w:line="360" w:lineRule="auto"/>
        <w:ind w:firstLine="480" w:firstLineChars="200"/>
        <w:rPr>
          <w:sz w:val="24"/>
          <w:szCs w:val="24"/>
          <w:highlight w:val="none"/>
        </w:rPr>
      </w:pPr>
      <w:r>
        <w:rPr>
          <w:rFonts w:hint="eastAsia"/>
          <w:sz w:val="24"/>
          <w:szCs w:val="24"/>
          <w:highlight w:val="none"/>
        </w:rPr>
        <w:t>成交供应商和制造商应当为用户提供技术援助电话，解答用户在使用中遇到的问题，及时为用户提出解决问题的建议。</w:t>
      </w:r>
    </w:p>
    <w:p>
      <w:pPr>
        <w:spacing w:line="360" w:lineRule="auto"/>
        <w:ind w:firstLine="480" w:firstLineChars="200"/>
        <w:rPr>
          <w:sz w:val="24"/>
          <w:szCs w:val="24"/>
          <w:highlight w:val="none"/>
        </w:rPr>
      </w:pPr>
      <w:r>
        <w:rPr>
          <w:rFonts w:hint="eastAsia"/>
          <w:sz w:val="24"/>
          <w:szCs w:val="24"/>
          <w:highlight w:val="none"/>
        </w:rPr>
        <w:t>2.1.2现场响应</w:t>
      </w:r>
    </w:p>
    <w:p>
      <w:pPr>
        <w:spacing w:line="360" w:lineRule="auto"/>
        <w:ind w:firstLine="480" w:firstLineChars="200"/>
        <w:rPr>
          <w:sz w:val="24"/>
          <w:szCs w:val="24"/>
          <w:highlight w:val="none"/>
        </w:rPr>
      </w:pPr>
      <w:r>
        <w:rPr>
          <w:rFonts w:hint="eastAsia"/>
          <w:sz w:val="24"/>
          <w:szCs w:val="24"/>
          <w:highlight w:val="none"/>
        </w:rPr>
        <w:t>用户遇到使用及技术问题，成交供应商或制造商应在2小时内采取相应响应措施；无法电话指导解决的，应在8小时内派出专业人员进行技术支持。</w:t>
      </w:r>
    </w:p>
    <w:p>
      <w:pPr>
        <w:spacing w:line="360" w:lineRule="auto"/>
        <w:ind w:firstLine="480" w:firstLineChars="200"/>
        <w:rPr>
          <w:sz w:val="24"/>
          <w:szCs w:val="24"/>
          <w:highlight w:val="none"/>
        </w:rPr>
      </w:pPr>
      <w:r>
        <w:rPr>
          <w:rFonts w:hint="eastAsia"/>
          <w:sz w:val="24"/>
          <w:szCs w:val="24"/>
          <w:highlight w:val="none"/>
        </w:rPr>
        <w:t>2.1.3技术升级</w:t>
      </w:r>
    </w:p>
    <w:p>
      <w:pPr>
        <w:spacing w:line="360" w:lineRule="auto"/>
        <w:ind w:firstLine="480" w:firstLineChars="200"/>
        <w:rPr>
          <w:sz w:val="24"/>
          <w:szCs w:val="24"/>
          <w:highlight w:val="none"/>
        </w:rPr>
      </w:pPr>
      <w:r>
        <w:rPr>
          <w:rFonts w:hint="eastAsia"/>
          <w:sz w:val="24"/>
          <w:szCs w:val="24"/>
          <w:highlight w:val="none"/>
        </w:rPr>
        <w:t>在质保期，如果成交供应商和制造商的产品技术升级，成交供应商应及时通知采购人，如采购人有相应要求，成交供应商和制造商应对采购人进行升级服务。质保期内所有软件应提供无条件升级服务。</w:t>
      </w:r>
    </w:p>
    <w:p>
      <w:pPr>
        <w:spacing w:line="360" w:lineRule="auto"/>
        <w:ind w:firstLine="480" w:firstLineChars="200"/>
        <w:rPr>
          <w:sz w:val="24"/>
          <w:szCs w:val="24"/>
          <w:highlight w:val="none"/>
        </w:rPr>
      </w:pPr>
      <w:r>
        <w:rPr>
          <w:rFonts w:hint="eastAsia"/>
          <w:sz w:val="24"/>
          <w:szCs w:val="24"/>
          <w:highlight w:val="none"/>
        </w:rPr>
        <w:t>2.2质保期外服务要求</w:t>
      </w:r>
    </w:p>
    <w:p>
      <w:pPr>
        <w:spacing w:line="360" w:lineRule="auto"/>
        <w:ind w:firstLine="480" w:firstLineChars="200"/>
        <w:rPr>
          <w:sz w:val="24"/>
          <w:szCs w:val="24"/>
          <w:highlight w:val="none"/>
        </w:rPr>
      </w:pPr>
      <w:r>
        <w:rPr>
          <w:rFonts w:hint="eastAsia"/>
          <w:sz w:val="24"/>
          <w:szCs w:val="24"/>
          <w:highlight w:val="none"/>
        </w:rPr>
        <w:t>2.2.1质保期过后，成交供应商和制造商应同样提供无条件电话咨询服务，并应承诺提供产品上门维护服务。</w:t>
      </w:r>
    </w:p>
    <w:p>
      <w:pPr>
        <w:spacing w:line="360" w:lineRule="auto"/>
        <w:ind w:firstLine="480" w:firstLineChars="200"/>
        <w:rPr>
          <w:sz w:val="24"/>
          <w:szCs w:val="24"/>
          <w:highlight w:val="none"/>
        </w:rPr>
      </w:pPr>
      <w:r>
        <w:rPr>
          <w:rFonts w:hint="eastAsia"/>
          <w:sz w:val="24"/>
          <w:szCs w:val="24"/>
          <w:highlight w:val="none"/>
        </w:rPr>
        <w:t>2.2.2质保期过后，采购人需要继续由原成交供应商和制造商提供售后服务的，成交供应商和制造商应以优惠价格提供售后服务。</w:t>
      </w:r>
    </w:p>
    <w:p>
      <w:pPr>
        <w:spacing w:line="360" w:lineRule="auto"/>
        <w:ind w:firstLine="480" w:firstLineChars="200"/>
        <w:rPr>
          <w:sz w:val="24"/>
          <w:szCs w:val="24"/>
          <w:highlight w:val="none"/>
        </w:rPr>
      </w:pPr>
      <w:r>
        <w:rPr>
          <w:rFonts w:hint="eastAsia"/>
          <w:sz w:val="24"/>
          <w:szCs w:val="24"/>
          <w:highlight w:val="none"/>
        </w:rPr>
        <w:t>2.2.3</w:t>
      </w:r>
      <w:r>
        <w:rPr>
          <w:sz w:val="24"/>
          <w:szCs w:val="24"/>
          <w:highlight w:val="none"/>
        </w:rPr>
        <w:tab/>
      </w:r>
      <w:r>
        <w:rPr>
          <w:sz w:val="24"/>
          <w:szCs w:val="24"/>
          <w:highlight w:val="none"/>
        </w:rPr>
        <w:t>中标人提供不得少于3年的现场技术售后服务,每年派遣2名工程师到现场服务，每年现场服务时间不得少于4个月。</w:t>
      </w:r>
    </w:p>
    <w:p>
      <w:pPr>
        <w:spacing w:line="360" w:lineRule="auto"/>
        <w:ind w:firstLine="480" w:firstLineChars="200"/>
        <w:rPr>
          <w:sz w:val="24"/>
          <w:szCs w:val="24"/>
          <w:highlight w:val="none"/>
        </w:rPr>
      </w:pPr>
      <w:r>
        <w:rPr>
          <w:rFonts w:hint="eastAsia"/>
          <w:sz w:val="24"/>
          <w:szCs w:val="24"/>
          <w:highlight w:val="none"/>
        </w:rPr>
        <w:t>2.</w:t>
      </w:r>
      <w:r>
        <w:rPr>
          <w:sz w:val="24"/>
          <w:szCs w:val="24"/>
          <w:highlight w:val="none"/>
        </w:rPr>
        <w:t>2.</w:t>
      </w:r>
      <w:r>
        <w:rPr>
          <w:rFonts w:hint="eastAsia"/>
          <w:sz w:val="24"/>
          <w:szCs w:val="24"/>
          <w:highlight w:val="none"/>
        </w:rPr>
        <w:t>4</w:t>
      </w:r>
      <w:r>
        <w:rPr>
          <w:sz w:val="24"/>
          <w:szCs w:val="24"/>
          <w:highlight w:val="none"/>
        </w:rPr>
        <w:tab/>
      </w:r>
      <w:r>
        <w:rPr>
          <w:sz w:val="24"/>
          <w:szCs w:val="24"/>
          <w:highlight w:val="none"/>
        </w:rPr>
        <w:t>现场服务工程师要求：计算机专业大学本科以上学历或者中级以上职称(工程师)或者项目经理职务；5年以行业项目经验。</w:t>
      </w:r>
    </w:p>
    <w:p>
      <w:pPr>
        <w:spacing w:line="360" w:lineRule="auto"/>
        <w:ind w:firstLine="480" w:firstLineChars="200"/>
        <w:rPr>
          <w:sz w:val="24"/>
          <w:szCs w:val="24"/>
          <w:highlight w:val="none"/>
        </w:rPr>
      </w:pPr>
      <w:r>
        <w:rPr>
          <w:rFonts w:hint="eastAsia"/>
          <w:sz w:val="24"/>
          <w:szCs w:val="24"/>
          <w:highlight w:val="none"/>
        </w:rPr>
        <w:t>2.2.5</w:t>
      </w:r>
      <w:r>
        <w:rPr>
          <w:sz w:val="24"/>
          <w:szCs w:val="24"/>
          <w:highlight w:val="none"/>
        </w:rPr>
        <w:t>.</w:t>
      </w:r>
      <w:r>
        <w:rPr>
          <w:sz w:val="24"/>
          <w:szCs w:val="24"/>
          <w:highlight w:val="none"/>
        </w:rPr>
        <w:tab/>
      </w:r>
      <w:r>
        <w:rPr>
          <w:sz w:val="24"/>
          <w:szCs w:val="24"/>
          <w:highlight w:val="none"/>
        </w:rPr>
        <w:t>服务内容包括，设备的软硬件调试、运行，人工智能应用场景的搭建，协助开展人工智能场景项目实训，为项目化课程实施提供技术支持。</w:t>
      </w:r>
    </w:p>
    <w:p>
      <w:pPr>
        <w:spacing w:line="360" w:lineRule="auto"/>
        <w:ind w:firstLine="480" w:firstLineChars="200"/>
        <w:rPr>
          <w:sz w:val="24"/>
          <w:szCs w:val="24"/>
          <w:highlight w:val="none"/>
        </w:rPr>
      </w:pPr>
      <w:r>
        <w:rPr>
          <w:rFonts w:hint="eastAsia"/>
          <w:sz w:val="24"/>
          <w:szCs w:val="24"/>
          <w:highlight w:val="none"/>
        </w:rPr>
        <w:t>2.2.6</w:t>
      </w:r>
      <w:r>
        <w:rPr>
          <w:sz w:val="24"/>
          <w:szCs w:val="24"/>
          <w:highlight w:val="none"/>
        </w:rPr>
        <w:t>.</w:t>
      </w:r>
      <w:r>
        <w:rPr>
          <w:sz w:val="24"/>
          <w:szCs w:val="24"/>
          <w:highlight w:val="none"/>
        </w:rPr>
        <w:tab/>
      </w:r>
      <w:r>
        <w:rPr>
          <w:sz w:val="24"/>
          <w:szCs w:val="24"/>
          <w:highlight w:val="none"/>
        </w:rPr>
        <w:t>培训学习</w:t>
      </w:r>
    </w:p>
    <w:p>
      <w:pPr>
        <w:spacing w:line="360" w:lineRule="auto"/>
        <w:ind w:firstLine="480" w:firstLineChars="200"/>
        <w:rPr>
          <w:sz w:val="24"/>
          <w:szCs w:val="24"/>
          <w:highlight w:val="none"/>
        </w:rPr>
      </w:pPr>
      <w:r>
        <w:rPr>
          <w:rFonts w:hint="eastAsia"/>
          <w:sz w:val="24"/>
          <w:szCs w:val="24"/>
          <w:highlight w:val="none"/>
        </w:rPr>
        <w:t>设备制造厂商需具备深度学习相关的培训学院，可提供自学式在线学习和面对面讲师指导等课程形式，教授学员开启构建、优化</w:t>
      </w:r>
      <w:r>
        <w:rPr>
          <w:sz w:val="24"/>
          <w:szCs w:val="24"/>
          <w:highlight w:val="none"/>
        </w:rPr>
        <w:t xml:space="preserve"> 和部署神经网络，从而解决各行业的现实问题。</w:t>
      </w:r>
    </w:p>
    <w:p>
      <w:pPr>
        <w:spacing w:line="360" w:lineRule="auto"/>
        <w:ind w:firstLine="480" w:firstLineChars="200"/>
        <w:rPr>
          <w:sz w:val="24"/>
          <w:szCs w:val="24"/>
          <w:highlight w:val="none"/>
        </w:rPr>
      </w:pPr>
      <w:r>
        <w:rPr>
          <w:rFonts w:hint="eastAsia"/>
          <w:sz w:val="24"/>
          <w:szCs w:val="24"/>
          <w:highlight w:val="none"/>
        </w:rPr>
        <w:t>3.故障响应时间要求</w:t>
      </w:r>
    </w:p>
    <w:p>
      <w:pPr>
        <w:spacing w:line="360" w:lineRule="auto"/>
        <w:ind w:firstLine="480" w:firstLineChars="200"/>
        <w:rPr>
          <w:sz w:val="24"/>
          <w:szCs w:val="24"/>
          <w:highlight w:val="none"/>
        </w:rPr>
      </w:pPr>
      <w:r>
        <w:rPr>
          <w:rFonts w:hint="eastAsia"/>
          <w:sz w:val="24"/>
          <w:szCs w:val="24"/>
          <w:highlight w:val="none"/>
        </w:rPr>
        <w:t>供应商接到使用方产品出现问题的通知后立即作出响应，8小时内到达现场进行处理。</w:t>
      </w:r>
    </w:p>
    <w:p>
      <w:pPr>
        <w:spacing w:line="360" w:lineRule="auto"/>
        <w:ind w:firstLine="480" w:firstLineChars="200"/>
        <w:rPr>
          <w:sz w:val="24"/>
          <w:szCs w:val="24"/>
          <w:highlight w:val="none"/>
        </w:rPr>
      </w:pPr>
      <w:r>
        <w:rPr>
          <w:rFonts w:hint="eastAsia"/>
          <w:sz w:val="24"/>
          <w:szCs w:val="24"/>
          <w:highlight w:val="none"/>
        </w:rPr>
        <w:t>4.维修配件</w:t>
      </w:r>
    </w:p>
    <w:p>
      <w:pPr>
        <w:spacing w:line="360" w:lineRule="auto"/>
        <w:ind w:firstLine="480" w:firstLineChars="200"/>
        <w:rPr>
          <w:sz w:val="24"/>
          <w:szCs w:val="24"/>
          <w:highlight w:val="none"/>
        </w:rPr>
      </w:pPr>
      <w:r>
        <w:rPr>
          <w:rFonts w:hint="eastAsia"/>
          <w:sz w:val="24"/>
          <w:szCs w:val="24"/>
          <w:highlight w:val="none"/>
        </w:rPr>
        <w:t>成交供应商或制造商应提供备品备件，保证用户应急所需。使用的维修零配件应为原厂配件，未经用户同意不得使用非原厂配件。</w:t>
      </w:r>
      <w:bookmarkEnd w:id="276"/>
    </w:p>
    <w:p>
      <w:pPr>
        <w:rPr>
          <w:highlight w:val="none"/>
        </w:rPr>
      </w:pP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质保期</w:t>
      </w:r>
    </w:p>
    <w:p>
      <w:pPr>
        <w:pStyle w:val="88"/>
        <w:tabs>
          <w:tab w:val="left" w:pos="851"/>
          <w:tab w:val="left" w:pos="993"/>
          <w:tab w:val="left" w:pos="1134"/>
        </w:tabs>
        <w:spacing w:line="360" w:lineRule="auto"/>
        <w:ind w:left="560" w:firstLine="0" w:firstLineChars="0"/>
        <w:rPr>
          <w:rFonts w:ascii="宋体" w:hAnsi="宋体" w:cs="宋体"/>
          <w:sz w:val="24"/>
          <w:szCs w:val="24"/>
          <w:highlight w:val="none"/>
        </w:rPr>
      </w:pPr>
      <w:r>
        <w:rPr>
          <w:rFonts w:hint="eastAsia" w:ascii="Times New Roman" w:hAnsi="Times New Roman"/>
          <w:sz w:val="24"/>
          <w:szCs w:val="24"/>
          <w:highlight w:val="none"/>
        </w:rPr>
        <w:t>自验收合格之日起，提供3年的质保</w:t>
      </w:r>
      <w:r>
        <w:rPr>
          <w:rFonts w:ascii="Times New Roman" w:hAnsi="Times New Roman"/>
          <w:sz w:val="24"/>
          <w:szCs w:val="24"/>
          <w:highlight w:val="none"/>
        </w:rPr>
        <w:t>。</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验收标准</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1.货物到达现场后，供应商应经采购人或其指定验收单位清点品名、规格、数量；检查外观，作出验收记录，双方签字确认。</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2.供应商应保证货物到达用户所在地完好无损，如有缺漏、损坏，由供应商负责调换、补齐或赔偿。</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3.供应商应提供完备的技术资料、装箱单和合格证等，并派遣专业技术人员进行现场安装调试。验收合格条件如下：</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3.1设备品种、规格、数量、技术参数以及商品品牌、制造商等与采购合同一致，性能指标达到规定的标准。</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3.2货物技术资料、装箱单、合格证等资料齐全。</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3.3在规定时间内完成交货并验收，并经采购人确认。</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4.供应商提供的货物未达到采购规定要求，且对采购人造成损失的，由供应商承担一切责任，并赔偿所造成的损失。</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5.大型或者复杂的政府采购产品项目，采购人可邀请国家认可的质量检测机构参加验收工作。</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6.采购人需要制造商对中标供应商交付的产品（包括质量、技术参数等）进行确认的，制造商应予以配合，并出具书面意见。</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7.产品包装材料归采购人所有。</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采购人违约责任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1.采购人无正当理由拒收货物的，采购人应偿付合同总价百分之五的违约金。</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2.因采购人原因逾期支付货款的，除应及时付足货款外，应向投标人偿付欠款总额万分之十/天的违约金；逾期付款超过 30天的，投标人有权终止合同。</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3.采购人偿付的违约金不足以弥补投标人损失的，还应按投标人损失尚未弥补的部分，支付赔偿金给投标人。</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投标人（供应商）违约责任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投标人（供应商）交付的货物质量不符合合同规定的，投标人（供应商）应向采购人支付合同总价的百分之五的违约金，并须在合同规定的交货时间内更换合格的货物给采购人，否则，视作投标人不能交付货物而违约。</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3.如货物经投标人（供应商）3次维修仍不能达到合同约定的质量标准，采购人有权退货，并视作投标人（供应商）不能交付货物而须支付违约赔偿金给采购人，采购人还可依法追究投标人（供应商）的违约责任。</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切损失。</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6.投标人（供应商）偿付的违约金不足以弥补采购人损失的，还应按采购人损失尚未弥补的部分，支付赔偿金给采购人。</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交货时间</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交货期限为合同签订生效后的30日内，在60日内全部完成安装调试验收合格交付使用。</w:t>
      </w:r>
    </w:p>
    <w:p>
      <w:pPr>
        <w:tabs>
          <w:tab w:val="left" w:pos="851"/>
        </w:tabs>
        <w:spacing w:line="360" w:lineRule="auto"/>
        <w:ind w:firstLine="480" w:firstLineChars="200"/>
        <w:rPr>
          <w:rFonts w:ascii="宋体" w:hAnsi="宋体" w:cs="宋体"/>
          <w:b/>
          <w:sz w:val="24"/>
          <w:szCs w:val="24"/>
          <w:highlight w:val="none"/>
        </w:rPr>
      </w:pPr>
      <w:r>
        <w:rPr>
          <w:rFonts w:hint="eastAsia" w:ascii="宋体" w:hAnsi="宋体" w:cs="宋体"/>
          <w:kern w:val="0"/>
          <w:sz w:val="24"/>
          <w:szCs w:val="24"/>
          <w:highlight w:val="none"/>
        </w:rPr>
        <w:t>安装及调试：提供本次项目所投软件/硬件的安装、调试、配套辅材及施工工作。</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交货地点</w:t>
      </w:r>
    </w:p>
    <w:p>
      <w:pPr>
        <w:tabs>
          <w:tab w:val="left" w:pos="851"/>
        </w:tabs>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成都职业技术学院高新校区软件大楼（成都市高新区益州大道北段天益街83号）</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付款方式</w:t>
      </w:r>
    </w:p>
    <w:p>
      <w:pPr>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签订合同之前中标人支付合同金额的5%作为履约保证金，合同签订后支付合同金额的30%，货到清点并完成设备功能调试、验收合格后支付合同金额的</w:t>
      </w:r>
      <w:r>
        <w:rPr>
          <w:rFonts w:hint="eastAsia" w:ascii="宋体" w:hAnsi="宋体" w:cs="宋体"/>
          <w:kern w:val="0"/>
          <w:sz w:val="24"/>
          <w:szCs w:val="24"/>
          <w:highlight w:val="none"/>
          <w:lang w:val="en-US" w:eastAsia="zh-CN"/>
        </w:rPr>
        <w:t>6</w:t>
      </w:r>
      <w:r>
        <w:rPr>
          <w:rFonts w:hint="eastAsia" w:ascii="宋体" w:hAnsi="宋体" w:cs="宋体"/>
          <w:kern w:val="0"/>
          <w:sz w:val="24"/>
          <w:szCs w:val="24"/>
          <w:highlight w:val="none"/>
        </w:rPr>
        <w:t>0%，进入1个月的试用期，</w:t>
      </w:r>
      <w:r>
        <w:rPr>
          <w:rFonts w:hint="eastAsia" w:ascii="宋体" w:hAnsi="宋体" w:cs="宋体"/>
          <w:color w:val="0000FF"/>
          <w:kern w:val="0"/>
          <w:sz w:val="24"/>
          <w:szCs w:val="24"/>
          <w:highlight w:val="none"/>
        </w:rPr>
        <w:t>试</w:t>
      </w:r>
      <w:r>
        <w:rPr>
          <w:rFonts w:hint="eastAsia" w:ascii="宋体" w:hAnsi="宋体" w:cs="宋体"/>
          <w:kern w:val="0"/>
          <w:sz w:val="24"/>
          <w:szCs w:val="24"/>
          <w:highlight w:val="none"/>
        </w:rPr>
        <w:t>用期间无质量问题，支付合同金额的</w:t>
      </w:r>
      <w:r>
        <w:rPr>
          <w:rFonts w:hint="eastAsia" w:ascii="宋体" w:hAnsi="宋体" w:cs="宋体"/>
          <w:kern w:val="0"/>
          <w:sz w:val="24"/>
          <w:szCs w:val="24"/>
          <w:highlight w:val="none"/>
          <w:lang w:val="en-US" w:eastAsia="zh-CN"/>
        </w:rPr>
        <w:t>1</w:t>
      </w:r>
      <w:r>
        <w:rPr>
          <w:rFonts w:hint="eastAsia" w:ascii="宋体" w:hAnsi="宋体" w:cs="宋体"/>
          <w:kern w:val="0"/>
          <w:sz w:val="24"/>
          <w:szCs w:val="24"/>
          <w:highlight w:val="none"/>
        </w:rPr>
        <w:t>0%。</w:t>
      </w:r>
    </w:p>
    <w:p>
      <w:pPr>
        <w:pStyle w:val="4"/>
        <w:numPr>
          <w:ilvl w:val="0"/>
          <w:numId w:val="96"/>
        </w:numPr>
        <w:ind w:left="3119" w:hanging="3119"/>
        <w:rPr>
          <w:rFonts w:cs="宋体"/>
          <w:color w:val="auto"/>
          <w:sz w:val="24"/>
          <w:szCs w:val="24"/>
          <w:highlight w:val="none"/>
        </w:rPr>
      </w:pPr>
      <w:r>
        <w:rPr>
          <w:rFonts w:hint="eastAsia" w:cs="宋体"/>
          <w:color w:val="auto"/>
          <w:sz w:val="24"/>
          <w:szCs w:val="24"/>
          <w:highlight w:val="none"/>
        </w:rPr>
        <w:t>履约要求</w:t>
      </w:r>
    </w:p>
    <w:p>
      <w:pPr>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合同签订前，中标人应按要求支付履约保证金；质保期满后无产品质量问题无息返还中标人全部履约保证金。</w:t>
      </w:r>
    </w:p>
    <w:p>
      <w:pPr>
        <w:rPr>
          <w:highlight w:val="none"/>
        </w:rPr>
      </w:pPr>
    </w:p>
    <w:p>
      <w:pPr>
        <w:pStyle w:val="2"/>
        <w:numPr>
          <w:ilvl w:val="0"/>
          <w:numId w:val="94"/>
        </w:numPr>
        <w:tabs>
          <w:tab w:val="left" w:pos="0"/>
          <w:tab w:val="left" w:pos="426"/>
          <w:tab w:val="left" w:pos="576"/>
          <w:tab w:val="left" w:pos="786"/>
        </w:tabs>
        <w:spacing w:line="416" w:lineRule="auto"/>
        <w:ind w:firstLine="0"/>
        <w:jc w:val="both"/>
        <w:rPr>
          <w:rFonts w:cs="宋体"/>
          <w:sz w:val="24"/>
          <w:szCs w:val="24"/>
          <w:highlight w:val="none"/>
        </w:rPr>
      </w:pPr>
      <w:r>
        <w:rPr>
          <w:rFonts w:hint="eastAsia" w:cs="宋体"/>
          <w:sz w:val="24"/>
          <w:szCs w:val="24"/>
          <w:highlight w:val="none"/>
          <w:lang w:val="zh-CN"/>
        </w:rPr>
        <w:t>★</w:t>
      </w:r>
      <w:r>
        <w:rPr>
          <w:rFonts w:hint="eastAsia" w:cs="宋体"/>
          <w:sz w:val="24"/>
          <w:szCs w:val="24"/>
          <w:highlight w:val="none"/>
        </w:rPr>
        <w:t>强制性产品认证及强制节能产品认证</w:t>
      </w:r>
    </w:p>
    <w:p>
      <w:pPr>
        <w:pStyle w:val="88"/>
        <w:tabs>
          <w:tab w:val="left" w:pos="1134"/>
        </w:tabs>
        <w:spacing w:line="360" w:lineRule="auto"/>
        <w:ind w:firstLine="470" w:firstLineChars="196"/>
        <w:rPr>
          <w:rFonts w:ascii="宋体" w:hAnsi="宋体" w:cs="宋体"/>
          <w:sz w:val="24"/>
          <w:szCs w:val="24"/>
          <w:highlight w:val="none"/>
        </w:rPr>
      </w:pPr>
      <w:r>
        <w:rPr>
          <w:rFonts w:hint="eastAsia" w:ascii="宋体" w:hAnsi="宋体" w:cs="宋体"/>
          <w:sz w:val="24"/>
          <w:szCs w:val="24"/>
          <w:highlight w:val="none"/>
        </w:rPr>
        <w:t>供应商所投产品涉及国家强制认证的（CCC）或前置许可认证的，在投标文件中提供符合国家强制认证（CCC）或前置许可、认证的承诺函件，在供货时一并提供相关许可、认证材料。（提供承诺函原件加盖供应商公章）。</w:t>
      </w:r>
    </w:p>
    <w:p>
      <w:pPr>
        <w:pStyle w:val="12"/>
        <w:spacing w:line="560" w:lineRule="exact"/>
        <w:ind w:firstLine="420" w:firstLineChars="175"/>
        <w:rPr>
          <w:rFonts w:ascii="宋体" w:hAnsi="宋体" w:cs="宋体"/>
          <w:b/>
          <w:bCs/>
          <w:sz w:val="24"/>
          <w:szCs w:val="24"/>
          <w:highlight w:val="none"/>
        </w:rPr>
      </w:pPr>
    </w:p>
    <w:p>
      <w:pPr>
        <w:pStyle w:val="12"/>
        <w:spacing w:line="560" w:lineRule="exact"/>
        <w:ind w:firstLine="420" w:firstLineChars="175"/>
        <w:rPr>
          <w:highlight w:val="none"/>
        </w:rPr>
      </w:pPr>
      <w:r>
        <w:rPr>
          <w:rFonts w:hint="eastAsia" w:ascii="宋体" w:hAnsi="宋体" w:cs="宋体"/>
          <w:b/>
          <w:bCs/>
          <w:sz w:val="24"/>
          <w:szCs w:val="24"/>
          <w:highlight w:val="none"/>
        </w:rPr>
        <w:t>注意：以上打</w:t>
      </w:r>
      <w:r>
        <w:rPr>
          <w:rFonts w:hint="eastAsia" w:ascii="宋体" w:hAnsi="宋体" w:cs="宋体"/>
          <w:sz w:val="24"/>
          <w:szCs w:val="24"/>
          <w:highlight w:val="none"/>
        </w:rPr>
        <w:t>★</w:t>
      </w:r>
      <w:r>
        <w:rPr>
          <w:rFonts w:hint="eastAsia" w:ascii="宋体" w:hAnsi="宋体" w:cs="宋体"/>
          <w:b/>
          <w:bCs/>
          <w:sz w:val="24"/>
          <w:szCs w:val="24"/>
          <w:highlight w:val="none"/>
        </w:rPr>
        <w:t>号的为本章的实质性要求，不允许有负偏离。</w:t>
      </w:r>
    </w:p>
    <w:p>
      <w:pPr>
        <w:pStyle w:val="149"/>
        <w:spacing w:line="360" w:lineRule="auto"/>
        <w:ind w:firstLine="480" w:firstLineChars="200"/>
        <w:rPr>
          <w:highlight w:val="none"/>
          <w:lang w:val="zh-CN"/>
        </w:rPr>
      </w:pPr>
      <w:r>
        <w:rPr>
          <w:rFonts w:hint="eastAsia"/>
          <w:highlight w:val="none"/>
          <w:lang w:val="zh-CN"/>
        </w:rPr>
        <w:br w:type="page"/>
      </w:r>
    </w:p>
    <w:p>
      <w:pPr>
        <w:pStyle w:val="3"/>
        <w:rPr>
          <w:rFonts w:cs="宋体"/>
          <w:highlight w:val="none"/>
        </w:rPr>
      </w:pPr>
      <w:bookmarkStart w:id="277" w:name="_Toc494464919"/>
      <w:bookmarkStart w:id="278" w:name="_Toc13652513"/>
      <w:r>
        <w:rPr>
          <w:rFonts w:hint="eastAsia" w:cs="宋体"/>
          <w:highlight w:val="none"/>
        </w:rPr>
        <w:t>资格审查</w:t>
      </w:r>
      <w:bookmarkEnd w:id="277"/>
      <w:bookmarkEnd w:id="278"/>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本项目资格审查由采购人和代理机构共同组建的资格审查小组依据法律法规和招标文件的规定，对投标保证金、投标文件中的资格证明等进行审查，以确定投标人是否具备投标资格，并出具资格审查报告。</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资格性审查标准见下表（以下证明材料均应加盖投标人鲜章）：</w:t>
      </w:r>
    </w:p>
    <w:tbl>
      <w:tblPr>
        <w:tblStyle w:val="4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24"/>
        <w:gridCol w:w="1053"/>
        <w:gridCol w:w="481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36" w:type="dxa"/>
            <w:gridSpan w:val="3"/>
            <w:vAlign w:val="center"/>
          </w:tcPr>
          <w:p>
            <w:pPr>
              <w:widowControl/>
              <w:spacing w:line="36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资格审查项</w:t>
            </w:r>
          </w:p>
        </w:tc>
        <w:tc>
          <w:tcPr>
            <w:tcW w:w="4819" w:type="dxa"/>
            <w:vAlign w:val="center"/>
          </w:tcPr>
          <w:p>
            <w:pPr>
              <w:widowControl/>
              <w:spacing w:line="36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通过条件</w:t>
            </w:r>
          </w:p>
        </w:tc>
        <w:tc>
          <w:tcPr>
            <w:tcW w:w="709" w:type="dxa"/>
            <w:vAlign w:val="center"/>
          </w:tcPr>
          <w:p>
            <w:pPr>
              <w:widowControl/>
              <w:spacing w:line="36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trPr>
        <w:tc>
          <w:tcPr>
            <w:tcW w:w="959" w:type="dxa"/>
            <w:vMerge w:val="restart"/>
            <w:vAlign w:val="center"/>
          </w:tcPr>
          <w:p>
            <w:pPr>
              <w:spacing w:line="360" w:lineRule="auto"/>
              <w:rPr>
                <w:rFonts w:ascii="宋体" w:hAnsi="宋体" w:cs="宋体"/>
                <w:bCs/>
                <w:kern w:val="0"/>
                <w:sz w:val="24"/>
                <w:szCs w:val="24"/>
                <w:highlight w:val="none"/>
              </w:rPr>
            </w:pPr>
            <w:r>
              <w:rPr>
                <w:rFonts w:hint="eastAsia" w:ascii="宋体" w:hAnsi="宋体" w:cs="宋体"/>
                <w:sz w:val="24"/>
                <w:szCs w:val="24"/>
                <w:highlight w:val="none"/>
              </w:rPr>
              <w:t>（一）资格要求</w:t>
            </w:r>
            <w:r>
              <w:rPr>
                <w:rFonts w:hint="eastAsia" w:ascii="宋体" w:hAnsi="宋体" w:cs="宋体"/>
                <w:kern w:val="0"/>
                <w:sz w:val="24"/>
                <w:szCs w:val="24"/>
                <w:highlight w:val="none"/>
              </w:rPr>
              <w:t>　</w:t>
            </w:r>
          </w:p>
        </w:tc>
        <w:tc>
          <w:tcPr>
            <w:tcW w:w="2977" w:type="dxa"/>
            <w:gridSpan w:val="2"/>
            <w:vAlign w:val="center"/>
          </w:tcPr>
          <w:p>
            <w:pPr>
              <w:spacing w:line="360" w:lineRule="auto"/>
              <w:jc w:val="left"/>
              <w:rPr>
                <w:rFonts w:ascii="宋体" w:hAnsi="宋体" w:cs="宋体"/>
                <w:bCs/>
                <w:kern w:val="0"/>
                <w:sz w:val="24"/>
                <w:szCs w:val="24"/>
                <w:highlight w:val="none"/>
              </w:rPr>
            </w:pPr>
            <w:r>
              <w:rPr>
                <w:rFonts w:hint="eastAsia" w:ascii="宋体" w:hAnsi="宋体" w:cs="宋体"/>
                <w:sz w:val="24"/>
                <w:szCs w:val="24"/>
                <w:highlight w:val="none"/>
              </w:rPr>
              <w:t>1、具有独立承担民事责任的能力</w:t>
            </w:r>
          </w:p>
        </w:tc>
        <w:tc>
          <w:tcPr>
            <w:tcW w:w="4819" w:type="dxa"/>
            <w:vAlign w:val="center"/>
          </w:tcPr>
          <w:p>
            <w:pPr>
              <w:spacing w:line="360" w:lineRule="auto"/>
              <w:jc w:val="left"/>
              <w:rPr>
                <w:rFonts w:ascii="宋体" w:hAnsi="宋体" w:cs="宋体"/>
                <w:bCs/>
                <w:kern w:val="0"/>
                <w:sz w:val="24"/>
                <w:szCs w:val="24"/>
                <w:highlight w:val="none"/>
              </w:rPr>
            </w:pPr>
            <w:r>
              <w:rPr>
                <w:rFonts w:hint="eastAsia" w:ascii="宋体" w:hAnsi="宋体" w:cs="宋体"/>
                <w:bCs/>
                <w:kern w:val="0"/>
                <w:sz w:val="24"/>
                <w:szCs w:val="24"/>
                <w:highlight w:val="none"/>
              </w:rPr>
              <w:t>营业执照复印件（正本或副本）或法人证书复印件（正本或副本）【供应商为自然人的仅提供身份证复印件。】。</w:t>
            </w:r>
          </w:p>
        </w:tc>
        <w:tc>
          <w:tcPr>
            <w:tcW w:w="709" w:type="dxa"/>
            <w:vAlign w:val="center"/>
          </w:tcPr>
          <w:p>
            <w:pPr>
              <w:widowControl/>
              <w:spacing w:line="360" w:lineRule="auto"/>
              <w:jc w:val="center"/>
              <w:rPr>
                <w:rFonts w:ascii="宋体" w:hAnsi="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959" w:type="dxa"/>
            <w:vMerge w:val="continue"/>
            <w:vAlign w:val="center"/>
          </w:tcPr>
          <w:p>
            <w:pPr>
              <w:spacing w:line="360" w:lineRule="auto"/>
              <w:jc w:val="left"/>
              <w:rPr>
                <w:rFonts w:ascii="宋体" w:hAnsi="宋体" w:cs="宋体"/>
                <w:bCs/>
                <w:kern w:val="0"/>
                <w:sz w:val="24"/>
                <w:szCs w:val="24"/>
                <w:highlight w:val="none"/>
              </w:rPr>
            </w:pPr>
          </w:p>
        </w:tc>
        <w:tc>
          <w:tcPr>
            <w:tcW w:w="1924" w:type="dxa"/>
            <w:vMerge w:val="restart"/>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2、具有良好的商业信誉和健全的财务会计制度</w:t>
            </w:r>
          </w:p>
        </w:tc>
        <w:tc>
          <w:tcPr>
            <w:tcW w:w="1053"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（1）具有良好的商业信誉的证明材料</w:t>
            </w:r>
          </w:p>
        </w:tc>
        <w:tc>
          <w:tcPr>
            <w:tcW w:w="4819" w:type="dxa"/>
            <w:vAlign w:val="center"/>
          </w:tcPr>
          <w:p>
            <w:pPr>
              <w:widowControl/>
              <w:shd w:val="clear" w:color="auto" w:fill="FFFFFF"/>
              <w:spacing w:line="360" w:lineRule="auto"/>
              <w:jc w:val="left"/>
              <w:rPr>
                <w:rFonts w:ascii="宋体" w:hAnsi="宋体" w:cs="宋体"/>
                <w:sz w:val="24"/>
                <w:szCs w:val="24"/>
                <w:highlight w:val="none"/>
              </w:rPr>
            </w:pPr>
            <w:r>
              <w:rPr>
                <w:rFonts w:hint="eastAsia" w:ascii="宋体" w:hAnsi="宋体" w:cs="宋体"/>
                <w:sz w:val="24"/>
                <w:szCs w:val="24"/>
                <w:highlight w:val="none"/>
              </w:rPr>
              <w:t>供应商具有良好的商业信誉的书面声明或承诺函原件加盖鲜章。</w:t>
            </w:r>
          </w:p>
        </w:tc>
        <w:tc>
          <w:tcPr>
            <w:tcW w:w="709" w:type="dxa"/>
            <w:vAlign w:val="center"/>
          </w:tcPr>
          <w:p>
            <w:pPr>
              <w:spacing w:line="360" w:lineRule="auto"/>
              <w:jc w:val="center"/>
              <w:rPr>
                <w:rFonts w:ascii="宋体" w:hAnsi="宋体" w:cs="宋体"/>
                <w:bCs/>
                <w:kern w:val="0"/>
                <w:sz w:val="24"/>
                <w:szCs w:val="24"/>
                <w:highlight w:val="none"/>
              </w:rPr>
            </w:pPr>
            <w:r>
              <w:rPr>
                <w:rFonts w:hint="eastAsia" w:ascii="宋体" w:hAnsi="宋体" w:cs="宋体"/>
                <w:bCs/>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959" w:type="dxa"/>
            <w:vMerge w:val="continue"/>
            <w:vAlign w:val="center"/>
          </w:tcPr>
          <w:p>
            <w:pPr>
              <w:spacing w:line="360" w:lineRule="auto"/>
              <w:jc w:val="left"/>
              <w:rPr>
                <w:rFonts w:ascii="宋体" w:hAnsi="宋体" w:cs="宋体"/>
                <w:bCs/>
                <w:kern w:val="0"/>
                <w:sz w:val="24"/>
                <w:szCs w:val="24"/>
                <w:highlight w:val="none"/>
              </w:rPr>
            </w:pPr>
          </w:p>
        </w:tc>
        <w:tc>
          <w:tcPr>
            <w:tcW w:w="1924" w:type="dxa"/>
            <w:vMerge w:val="continue"/>
            <w:vAlign w:val="center"/>
          </w:tcPr>
          <w:p>
            <w:pPr>
              <w:spacing w:line="360" w:lineRule="auto"/>
              <w:jc w:val="left"/>
              <w:rPr>
                <w:rFonts w:ascii="宋体" w:hAnsi="宋体" w:cs="宋体"/>
                <w:sz w:val="24"/>
                <w:szCs w:val="24"/>
                <w:highlight w:val="none"/>
              </w:rPr>
            </w:pPr>
          </w:p>
        </w:tc>
        <w:tc>
          <w:tcPr>
            <w:tcW w:w="1053"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（2）具有健全的财务会计制度的证明材料</w:t>
            </w:r>
          </w:p>
        </w:tc>
        <w:tc>
          <w:tcPr>
            <w:tcW w:w="4819" w:type="dxa"/>
            <w:vAlign w:val="center"/>
          </w:tcPr>
          <w:p>
            <w:pPr>
              <w:widowControl/>
              <w:spacing w:line="360" w:lineRule="auto"/>
              <w:jc w:val="left"/>
              <w:rPr>
                <w:rFonts w:ascii="宋体" w:hAnsi="宋体" w:cs="宋体"/>
                <w:sz w:val="24"/>
                <w:szCs w:val="24"/>
                <w:highlight w:val="none"/>
              </w:rPr>
            </w:pPr>
            <w:r>
              <w:rPr>
                <w:rFonts w:hint="eastAsia" w:ascii="宋体" w:hAnsi="宋体" w:cs="宋体"/>
                <w:sz w:val="24"/>
                <w:szCs w:val="24"/>
                <w:highlight w:val="none"/>
              </w:rPr>
              <w:t>①可提供2019或2020年度经审计的财务报告复印件（包含审计报告和审计报告中所涉及的财务报表和报表附注），</w:t>
            </w:r>
            <w:r>
              <w:rPr>
                <w:rFonts w:hint="eastAsia" w:ascii="宋体" w:hAnsi="宋体" w:cs="宋体"/>
                <w:sz w:val="24"/>
                <w:szCs w:val="24"/>
                <w:highlight w:val="none"/>
                <w:lang w:eastAsia="zh-CN"/>
              </w:rPr>
              <w:t>或</w:t>
            </w:r>
            <w:r>
              <w:rPr>
                <w:rFonts w:hint="eastAsia" w:ascii="宋体" w:hAnsi="宋体" w:cs="宋体"/>
                <w:sz w:val="24"/>
                <w:szCs w:val="24"/>
                <w:highlight w:val="none"/>
              </w:rPr>
              <w:t>②可提供2019或2020年度供应商的资产负债表，</w:t>
            </w:r>
            <w:r>
              <w:rPr>
                <w:rFonts w:hint="eastAsia" w:ascii="宋体" w:hAnsi="宋体" w:cs="宋体"/>
                <w:sz w:val="24"/>
                <w:szCs w:val="24"/>
                <w:highlight w:val="none"/>
                <w:lang w:eastAsia="zh-CN"/>
              </w:rPr>
              <w:t>或</w:t>
            </w:r>
            <w:r>
              <w:rPr>
                <w:rFonts w:hint="eastAsia" w:ascii="宋体" w:hAnsi="宋体" w:cs="宋体"/>
                <w:sz w:val="24"/>
                <w:szCs w:val="24"/>
                <w:highlight w:val="none"/>
              </w:rPr>
              <w:t>③可提供截至响应文件递交截止日一年内银行出具的资信证明（复印件），</w:t>
            </w:r>
            <w:r>
              <w:rPr>
                <w:rFonts w:hint="eastAsia" w:ascii="宋体" w:hAnsi="宋体" w:cs="宋体"/>
                <w:sz w:val="24"/>
                <w:szCs w:val="24"/>
                <w:highlight w:val="none"/>
                <w:lang w:eastAsia="zh-CN"/>
              </w:rPr>
              <w:t>或</w:t>
            </w:r>
            <w:r>
              <w:rPr>
                <w:rFonts w:hint="eastAsia" w:ascii="宋体" w:hAnsi="宋体" w:cs="宋体"/>
                <w:sz w:val="24"/>
                <w:szCs w:val="24"/>
                <w:highlight w:val="none"/>
              </w:rPr>
              <w:t>④供应商注册时间截至响应文件递交截止日不足一年的，也可提供在工商备案的公司章程（复印件）。</w:t>
            </w:r>
          </w:p>
        </w:tc>
        <w:tc>
          <w:tcPr>
            <w:tcW w:w="709" w:type="dxa"/>
            <w:vAlign w:val="center"/>
          </w:tcPr>
          <w:p>
            <w:pPr>
              <w:spacing w:line="360" w:lineRule="auto"/>
              <w:jc w:val="center"/>
              <w:rPr>
                <w:rFonts w:ascii="宋体" w:hAnsi="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959" w:type="dxa"/>
            <w:vMerge w:val="continue"/>
            <w:vAlign w:val="center"/>
          </w:tcPr>
          <w:p>
            <w:pPr>
              <w:spacing w:line="360" w:lineRule="auto"/>
              <w:jc w:val="left"/>
              <w:rPr>
                <w:rFonts w:ascii="宋体" w:hAnsi="宋体" w:cs="宋体"/>
                <w:bCs/>
                <w:kern w:val="0"/>
                <w:sz w:val="24"/>
                <w:szCs w:val="24"/>
                <w:highlight w:val="none"/>
              </w:rPr>
            </w:pPr>
          </w:p>
        </w:tc>
        <w:tc>
          <w:tcPr>
            <w:tcW w:w="2977" w:type="dxa"/>
            <w:gridSpan w:val="2"/>
            <w:vAlign w:val="center"/>
          </w:tcPr>
          <w:p>
            <w:pPr>
              <w:widowControl/>
              <w:spacing w:line="360" w:lineRule="auto"/>
              <w:jc w:val="left"/>
              <w:rPr>
                <w:rFonts w:ascii="宋体" w:hAnsi="宋体" w:cs="宋体"/>
                <w:bCs/>
                <w:kern w:val="0"/>
                <w:sz w:val="24"/>
                <w:szCs w:val="24"/>
                <w:highlight w:val="none"/>
              </w:rPr>
            </w:pPr>
            <w:r>
              <w:rPr>
                <w:rFonts w:hint="eastAsia" w:ascii="宋体" w:hAnsi="宋体" w:cs="宋体"/>
                <w:sz w:val="24"/>
                <w:szCs w:val="24"/>
                <w:highlight w:val="none"/>
              </w:rPr>
              <w:t>3、具有履行合同所必须的设备和专业技术能力</w:t>
            </w:r>
          </w:p>
        </w:tc>
        <w:tc>
          <w:tcPr>
            <w:tcW w:w="4819" w:type="dxa"/>
            <w:vAlign w:val="center"/>
          </w:tcPr>
          <w:p>
            <w:pPr>
              <w:widowControl/>
              <w:spacing w:line="360" w:lineRule="auto"/>
              <w:jc w:val="left"/>
              <w:rPr>
                <w:rFonts w:ascii="宋体" w:hAnsi="宋体" w:cs="宋体"/>
                <w:sz w:val="24"/>
                <w:szCs w:val="24"/>
                <w:highlight w:val="none"/>
              </w:rPr>
            </w:pPr>
            <w:r>
              <w:rPr>
                <w:rFonts w:hint="eastAsia" w:ascii="宋体" w:hAnsi="宋体" w:cs="宋体"/>
                <w:sz w:val="24"/>
                <w:szCs w:val="24"/>
                <w:highlight w:val="none"/>
              </w:rPr>
              <w:t>承诺函原件加盖鲜章</w:t>
            </w:r>
          </w:p>
        </w:tc>
        <w:tc>
          <w:tcPr>
            <w:tcW w:w="709" w:type="dxa"/>
            <w:vAlign w:val="center"/>
          </w:tcPr>
          <w:p>
            <w:pPr>
              <w:spacing w:line="360" w:lineRule="auto"/>
              <w:jc w:val="center"/>
              <w:rPr>
                <w:rFonts w:ascii="宋体" w:hAnsi="宋体" w:cs="宋体"/>
                <w:bCs/>
                <w:kern w:val="0"/>
                <w:sz w:val="24"/>
                <w:szCs w:val="24"/>
                <w:highlight w:val="none"/>
              </w:rPr>
            </w:pPr>
            <w:r>
              <w:rPr>
                <w:rFonts w:hint="eastAsia" w:ascii="宋体" w:hAnsi="宋体" w:cs="宋体"/>
                <w:bCs/>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59" w:type="dxa"/>
            <w:vMerge w:val="continue"/>
            <w:vAlign w:val="center"/>
          </w:tcPr>
          <w:p>
            <w:pPr>
              <w:spacing w:line="360" w:lineRule="auto"/>
              <w:jc w:val="left"/>
              <w:rPr>
                <w:rFonts w:ascii="宋体" w:hAnsi="宋体" w:cs="宋体"/>
                <w:bCs/>
                <w:kern w:val="0"/>
                <w:sz w:val="24"/>
                <w:szCs w:val="24"/>
                <w:highlight w:val="none"/>
              </w:rPr>
            </w:pPr>
          </w:p>
        </w:tc>
        <w:tc>
          <w:tcPr>
            <w:tcW w:w="1924" w:type="dxa"/>
            <w:vMerge w:val="restart"/>
            <w:vAlign w:val="center"/>
          </w:tcPr>
          <w:p>
            <w:pPr>
              <w:widowControl/>
              <w:spacing w:line="360" w:lineRule="auto"/>
              <w:jc w:val="left"/>
              <w:rPr>
                <w:rFonts w:ascii="宋体" w:hAnsi="宋体" w:cs="宋体"/>
                <w:bCs/>
                <w:kern w:val="0"/>
                <w:sz w:val="24"/>
                <w:szCs w:val="24"/>
                <w:highlight w:val="none"/>
              </w:rPr>
            </w:pPr>
            <w:r>
              <w:rPr>
                <w:rFonts w:hint="eastAsia" w:ascii="宋体" w:hAnsi="宋体" w:cs="宋体"/>
                <w:sz w:val="24"/>
                <w:szCs w:val="24"/>
                <w:highlight w:val="none"/>
              </w:rPr>
              <w:t>4、有依法缴纳税收和社会保障资金的良好记录（供应商响应为承诺的，应保证为诚信承诺，并对真实性负责，采购活动结束后采购人或采购代理机构将通过信用中国等网站核实供应商所作承诺的真实性。）</w:t>
            </w:r>
          </w:p>
        </w:tc>
        <w:tc>
          <w:tcPr>
            <w:tcW w:w="1053" w:type="dxa"/>
            <w:vAlign w:val="center"/>
          </w:tcPr>
          <w:p>
            <w:pPr>
              <w:widowControl/>
              <w:spacing w:line="360" w:lineRule="auto"/>
              <w:jc w:val="left"/>
              <w:rPr>
                <w:rFonts w:ascii="宋体" w:hAnsi="宋体" w:cs="宋体"/>
                <w:bCs/>
                <w:kern w:val="0"/>
                <w:sz w:val="24"/>
                <w:szCs w:val="24"/>
                <w:highlight w:val="none"/>
              </w:rPr>
            </w:pPr>
            <w:r>
              <w:rPr>
                <w:rFonts w:hint="eastAsia" w:ascii="宋体" w:hAnsi="宋体" w:cs="宋体"/>
                <w:bCs/>
                <w:kern w:val="0"/>
                <w:sz w:val="24"/>
                <w:szCs w:val="24"/>
                <w:highlight w:val="none"/>
              </w:rPr>
              <w:t>（1）缴纳社会保障资金的证明材料</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承诺函原件加盖鲜章</w:t>
            </w:r>
          </w:p>
        </w:tc>
        <w:tc>
          <w:tcPr>
            <w:tcW w:w="709" w:type="dxa"/>
            <w:vAlign w:val="center"/>
          </w:tcPr>
          <w:p>
            <w:pPr>
              <w:spacing w:line="360" w:lineRule="auto"/>
              <w:jc w:val="center"/>
              <w:rPr>
                <w:rFonts w:ascii="宋体" w:hAnsi="宋体" w:cs="宋体"/>
                <w:bCs/>
                <w:kern w:val="0"/>
                <w:sz w:val="24"/>
                <w:szCs w:val="24"/>
                <w:highlight w:val="none"/>
              </w:rPr>
            </w:pPr>
            <w:r>
              <w:rPr>
                <w:rFonts w:hint="eastAsia" w:ascii="宋体" w:hAnsi="宋体" w:cs="宋体"/>
                <w:bCs/>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59" w:type="dxa"/>
            <w:vMerge w:val="restart"/>
            <w:vAlign w:val="center"/>
          </w:tcPr>
          <w:p>
            <w:pPr>
              <w:spacing w:line="360" w:lineRule="auto"/>
              <w:jc w:val="left"/>
              <w:rPr>
                <w:rFonts w:ascii="宋体" w:hAnsi="宋体" w:cs="宋体"/>
                <w:kern w:val="0"/>
                <w:sz w:val="24"/>
                <w:szCs w:val="24"/>
                <w:highlight w:val="none"/>
              </w:rPr>
            </w:pPr>
            <w:r>
              <w:rPr>
                <w:rFonts w:hint="eastAsia" w:ascii="宋体" w:hAnsi="宋体" w:cs="宋体"/>
                <w:sz w:val="24"/>
                <w:szCs w:val="24"/>
                <w:highlight w:val="none"/>
              </w:rPr>
              <w:t>（一）资格要求</w:t>
            </w:r>
          </w:p>
        </w:tc>
        <w:tc>
          <w:tcPr>
            <w:tcW w:w="1924" w:type="dxa"/>
            <w:vMerge w:val="continue"/>
            <w:vAlign w:val="center"/>
          </w:tcPr>
          <w:p>
            <w:pPr>
              <w:widowControl/>
              <w:spacing w:line="360" w:lineRule="auto"/>
              <w:jc w:val="left"/>
              <w:rPr>
                <w:rFonts w:ascii="宋体" w:hAnsi="宋体" w:cs="宋体"/>
                <w:sz w:val="24"/>
                <w:szCs w:val="24"/>
                <w:highlight w:val="none"/>
              </w:rPr>
            </w:pPr>
          </w:p>
        </w:tc>
        <w:tc>
          <w:tcPr>
            <w:tcW w:w="1053" w:type="dxa"/>
            <w:vAlign w:val="center"/>
          </w:tcPr>
          <w:p>
            <w:pPr>
              <w:widowControl/>
              <w:spacing w:line="360" w:lineRule="auto"/>
              <w:jc w:val="left"/>
              <w:rPr>
                <w:rFonts w:ascii="宋体" w:hAnsi="宋体" w:cs="宋体"/>
                <w:sz w:val="24"/>
                <w:szCs w:val="24"/>
                <w:highlight w:val="none"/>
              </w:rPr>
            </w:pPr>
            <w:r>
              <w:rPr>
                <w:rFonts w:hint="eastAsia" w:ascii="宋体" w:hAnsi="宋体" w:cs="宋体"/>
                <w:bCs/>
                <w:kern w:val="0"/>
                <w:sz w:val="24"/>
                <w:szCs w:val="24"/>
                <w:highlight w:val="none"/>
              </w:rPr>
              <w:t>（2）缴纳税收的证明材料</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承诺函原件加盖鲜章</w:t>
            </w:r>
          </w:p>
        </w:tc>
        <w:tc>
          <w:tcPr>
            <w:tcW w:w="709" w:type="dxa"/>
            <w:vAlign w:val="center"/>
          </w:tcPr>
          <w:p>
            <w:pPr>
              <w:spacing w:line="360" w:lineRule="auto"/>
              <w:jc w:val="center"/>
              <w:rPr>
                <w:rFonts w:ascii="宋体" w:hAnsi="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bCs/>
                <w:kern w:val="0"/>
                <w:sz w:val="24"/>
                <w:szCs w:val="24"/>
                <w:highlight w:val="none"/>
              </w:rPr>
            </w:pPr>
            <w:r>
              <w:rPr>
                <w:rFonts w:hint="eastAsia" w:ascii="宋体" w:hAnsi="宋体" w:cs="宋体"/>
                <w:sz w:val="24"/>
                <w:szCs w:val="24"/>
                <w:highlight w:val="none"/>
              </w:rPr>
              <w:t>5、向采购代理机构登记购买了招标文件的投标人</w:t>
            </w:r>
          </w:p>
        </w:tc>
        <w:tc>
          <w:tcPr>
            <w:tcW w:w="4819" w:type="dxa"/>
            <w:vAlign w:val="center"/>
          </w:tcPr>
          <w:p>
            <w:pPr>
              <w:spacing w:line="360" w:lineRule="auto"/>
              <w:jc w:val="left"/>
              <w:rPr>
                <w:rFonts w:ascii="宋体" w:hAnsi="宋体" w:cs="宋体"/>
                <w:sz w:val="24"/>
                <w:szCs w:val="24"/>
                <w:highlight w:val="none"/>
                <w:lang w:val="zh-CN"/>
              </w:rPr>
            </w:pPr>
            <w:r>
              <w:rPr>
                <w:rFonts w:hint="eastAsia" w:ascii="宋体" w:hAnsi="宋体" w:cs="宋体"/>
                <w:sz w:val="24"/>
                <w:szCs w:val="24"/>
                <w:highlight w:val="none"/>
                <w:lang w:val="zh-CN"/>
              </w:rPr>
              <w:t>四川正汇恒招标代理有限公司向资格审查小组出具的投标人报名情况汇总表。</w:t>
            </w:r>
          </w:p>
          <w:p>
            <w:pPr>
              <w:widowControl/>
              <w:spacing w:line="360" w:lineRule="auto"/>
              <w:jc w:val="left"/>
              <w:rPr>
                <w:rFonts w:ascii="宋体" w:hAnsi="宋体" w:cs="宋体"/>
                <w:sz w:val="24"/>
                <w:szCs w:val="24"/>
                <w:highlight w:val="none"/>
              </w:rPr>
            </w:pPr>
            <w:r>
              <w:rPr>
                <w:rFonts w:hint="eastAsia" w:ascii="宋体" w:hAnsi="宋体" w:cs="宋体"/>
                <w:sz w:val="24"/>
                <w:szCs w:val="24"/>
                <w:highlight w:val="none"/>
              </w:rPr>
              <w:t>【注：内容显示项目名称或项目编号、包件号（若有）、供应商名称与供应商递交文件名称一致】。</w:t>
            </w:r>
          </w:p>
        </w:tc>
        <w:tc>
          <w:tcPr>
            <w:tcW w:w="709" w:type="dxa"/>
            <w:vAlign w:val="center"/>
          </w:tcPr>
          <w:p>
            <w:pPr>
              <w:spacing w:line="360" w:lineRule="auto"/>
              <w:jc w:val="center"/>
              <w:rPr>
                <w:rFonts w:ascii="宋体" w:hAnsi="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widowControl/>
              <w:spacing w:line="360" w:lineRule="auto"/>
              <w:jc w:val="left"/>
              <w:rPr>
                <w:rFonts w:ascii="宋体" w:hAnsi="宋体" w:cs="宋体"/>
                <w:kern w:val="0"/>
                <w:sz w:val="24"/>
                <w:szCs w:val="24"/>
                <w:highlight w:val="none"/>
              </w:rPr>
            </w:pPr>
            <w:r>
              <w:rPr>
                <w:rFonts w:hint="eastAsia" w:ascii="宋体" w:hAnsi="宋体" w:cs="宋体"/>
                <w:sz w:val="24"/>
                <w:szCs w:val="24"/>
                <w:highlight w:val="none"/>
              </w:rPr>
              <w:t>6、参加政府采购活动前三年内，在经营活动中没有重大违法记录</w:t>
            </w:r>
          </w:p>
        </w:tc>
        <w:tc>
          <w:tcPr>
            <w:tcW w:w="4819" w:type="dxa"/>
            <w:vAlign w:val="center"/>
          </w:tcPr>
          <w:p>
            <w:pPr>
              <w:widowControl/>
              <w:spacing w:line="360" w:lineRule="auto"/>
              <w:jc w:val="left"/>
              <w:rPr>
                <w:rFonts w:ascii="宋体" w:hAnsi="宋体" w:cs="宋体"/>
                <w:sz w:val="24"/>
                <w:szCs w:val="24"/>
                <w:highlight w:val="none"/>
              </w:rPr>
            </w:pPr>
            <w:r>
              <w:rPr>
                <w:rFonts w:hint="eastAsia" w:ascii="宋体" w:hAnsi="宋体" w:cs="宋体"/>
                <w:sz w:val="24"/>
                <w:szCs w:val="24"/>
                <w:highlight w:val="none"/>
              </w:rPr>
              <w:t>1、投标人参加政府采购活动前三年内，在经营活动中没有重大违法记录的书面声明材料原件【注：（1）投标人参加政府采购活动前三年内，在经营活动中没有重大违法记录（说明：投标人在参加政府采购活动前3年内因违法经营被禁止在一定期限内参加政府采购活动，期限届满的，可以参加政府采购活动，但投标人应提供相关证明材料）；（2）提供书面声明材料原件。】。</w:t>
            </w:r>
          </w:p>
          <w:p>
            <w:pPr>
              <w:widowControl/>
              <w:spacing w:line="360" w:lineRule="auto"/>
              <w:jc w:val="left"/>
              <w:rPr>
                <w:rFonts w:ascii="宋体" w:hAnsi="宋体" w:cs="宋体"/>
                <w:sz w:val="24"/>
                <w:szCs w:val="24"/>
                <w:highlight w:val="none"/>
              </w:rPr>
            </w:pPr>
            <w:r>
              <w:rPr>
                <w:rFonts w:hint="eastAsia" w:ascii="宋体" w:hAnsi="宋体" w:cs="宋体"/>
                <w:sz w:val="24"/>
                <w:szCs w:val="24"/>
                <w:highlight w:val="none"/>
              </w:rPr>
              <w:t>2、采购人及代理机构工作人员共同通过“信用中国”网站、“中国政府采购网”、“四川政府采购”网站（曝光台）、“成都信用”网站，在投标文件截止时间对投标人进行查询（说明：</w:t>
            </w:r>
            <w:r>
              <w:rPr>
                <w:rFonts w:hint="eastAsia" w:ascii="宋体" w:hAnsi="宋体" w:cs="宋体"/>
                <w:kern w:val="0"/>
                <w:sz w:val="24"/>
                <w:szCs w:val="24"/>
                <w:highlight w:val="none"/>
              </w:rPr>
              <w:t>①</w:t>
            </w:r>
            <w:r>
              <w:rPr>
                <w:rFonts w:hint="eastAsia" w:ascii="宋体" w:hAnsi="宋体" w:cs="宋体"/>
                <w:sz w:val="24"/>
                <w:szCs w:val="24"/>
                <w:highlight w:val="none"/>
              </w:rPr>
              <w:t>投标人参加政府采购活动前三年内，在经营活动中没有重大违法记录[注：投标人在参加政府采购活动前3年内因违法经营被禁止在一定期限内参加政府采购活动，期限届满的可以参加政府采购活动，但投标人应提供相关证明材料]；②向资格审查小组出具查询结果书面说明；③书面说明应由查询人员签字。）。</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widowControl/>
              <w:spacing w:line="360" w:lineRule="auto"/>
              <w:jc w:val="left"/>
              <w:rPr>
                <w:rFonts w:ascii="宋体" w:hAnsi="宋体" w:cs="宋体"/>
                <w:kern w:val="0"/>
                <w:sz w:val="24"/>
                <w:szCs w:val="24"/>
                <w:highlight w:val="none"/>
              </w:rPr>
            </w:pPr>
            <w:r>
              <w:rPr>
                <w:rFonts w:hint="eastAsia" w:ascii="宋体" w:hAnsi="宋体" w:cs="宋体"/>
                <w:sz w:val="24"/>
                <w:szCs w:val="24"/>
                <w:highlight w:val="none"/>
              </w:rPr>
              <w:t>7、法律、行政法规规定的其他条件</w:t>
            </w:r>
          </w:p>
        </w:tc>
        <w:tc>
          <w:tcPr>
            <w:tcW w:w="4819" w:type="dxa"/>
            <w:vAlign w:val="center"/>
          </w:tcPr>
          <w:p>
            <w:pPr>
              <w:widowControl/>
              <w:spacing w:line="360" w:lineRule="auto"/>
              <w:jc w:val="left"/>
              <w:rPr>
                <w:rFonts w:ascii="宋体" w:hAnsi="宋体" w:cs="宋体"/>
                <w:kern w:val="0"/>
                <w:sz w:val="24"/>
                <w:szCs w:val="24"/>
                <w:highlight w:val="none"/>
              </w:rPr>
            </w:pPr>
            <w:r>
              <w:rPr>
                <w:rFonts w:hint="eastAsia" w:ascii="宋体" w:hAnsi="宋体" w:cs="宋体"/>
                <w:sz w:val="24"/>
                <w:szCs w:val="24"/>
                <w:highlight w:val="none"/>
              </w:rPr>
              <w:t>投标人具有有效的营业执照或法人证书即可，可不提供其他证明材料。</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9" w:type="dxa"/>
            <w:vMerge w:val="continue"/>
            <w:vAlign w:val="center"/>
          </w:tcPr>
          <w:p>
            <w:pPr>
              <w:widowControl/>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8、投标保证金</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无</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9" w:type="dxa"/>
            <w:vMerge w:val="continue"/>
            <w:vAlign w:val="center"/>
          </w:tcPr>
          <w:p>
            <w:pPr>
              <w:widowControl/>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9、法定代表人身份证明书原件及法定代表人身份证复印件或护照复印件</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法定代表人身份证明书原件（自然人参加投标的不须提供身份证明书）及身份证复印件或护照复印件【注：（1）法定代表人身份证明书符合招标文件要求；（2）法定代表人身份证复印件（身份证两面均应复印，在有效期内）或护照复印件（法定代表人为外籍人士的，按此提供）；（3）供应商为非法人单位的，上述“法定代表人”指供应商的主要负责人；（4）供应商为自然人的仅提供本人身份证复印件】。</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9" w:type="dxa"/>
            <w:vMerge w:val="continue"/>
            <w:vAlign w:val="center"/>
          </w:tcPr>
          <w:p>
            <w:pPr>
              <w:widowControl/>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10、法定代表人授权书原件及代理人身份证复印件</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法定代表人授权书原件及身份证复印件【注：（1）代理人身份证复印件（身份证两面均应复印，在有效期内）；（2）如投标文件均由投标人法定代表人签字的或为自然人的，则可不提供法定代表人授权书及身份证。（3）供应商为非法人单位的，上述“法定代表人”指供应商的主要负责人】。</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9" w:type="dxa"/>
            <w:vMerge w:val="continue"/>
            <w:vAlign w:val="center"/>
          </w:tcPr>
          <w:p>
            <w:pPr>
              <w:widowControl/>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11、联合体投标</w:t>
            </w:r>
          </w:p>
        </w:tc>
        <w:tc>
          <w:tcPr>
            <w:tcW w:w="4819"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非联合体投标</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59" w:type="dxa"/>
            <w:vAlign w:val="center"/>
          </w:tcPr>
          <w:p>
            <w:pPr>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（二）资质要求</w:t>
            </w:r>
          </w:p>
        </w:tc>
        <w:tc>
          <w:tcPr>
            <w:tcW w:w="2977" w:type="dxa"/>
            <w:gridSpan w:val="2"/>
            <w:vAlign w:val="center"/>
          </w:tcPr>
          <w:p>
            <w:pPr>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无</w:t>
            </w:r>
          </w:p>
        </w:tc>
        <w:tc>
          <w:tcPr>
            <w:tcW w:w="4819" w:type="dxa"/>
            <w:vAlign w:val="center"/>
          </w:tcPr>
          <w:p>
            <w:pPr>
              <w:spacing w:line="360" w:lineRule="auto"/>
              <w:ind w:left="34"/>
              <w:rPr>
                <w:rFonts w:ascii="宋体" w:hAnsi="宋体" w:cs="宋体"/>
                <w:sz w:val="24"/>
                <w:szCs w:val="24"/>
                <w:highlight w:val="none"/>
              </w:rPr>
            </w:pPr>
            <w:r>
              <w:rPr>
                <w:rFonts w:hint="eastAsia" w:ascii="宋体" w:hAnsi="宋体" w:cs="宋体"/>
                <w:sz w:val="24"/>
                <w:szCs w:val="24"/>
                <w:highlight w:val="none"/>
              </w:rPr>
              <w:t>无。</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59" w:type="dxa"/>
            <w:vMerge w:val="restart"/>
            <w:vAlign w:val="center"/>
          </w:tcPr>
          <w:p>
            <w:pPr>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（三）其他要求</w:t>
            </w:r>
          </w:p>
        </w:tc>
        <w:tc>
          <w:tcPr>
            <w:tcW w:w="2977" w:type="dxa"/>
            <w:gridSpan w:val="2"/>
            <w:vAlign w:val="center"/>
          </w:tcPr>
          <w:p>
            <w:pPr>
              <w:spacing w:line="360" w:lineRule="auto"/>
              <w:ind w:firstLine="240" w:firstLineChars="100"/>
              <w:jc w:val="left"/>
              <w:rPr>
                <w:rFonts w:ascii="宋体" w:hAnsi="宋体" w:cs="宋体"/>
                <w:kern w:val="0"/>
                <w:sz w:val="24"/>
                <w:szCs w:val="24"/>
                <w:highlight w:val="none"/>
              </w:rPr>
            </w:pPr>
            <w:r>
              <w:rPr>
                <w:rFonts w:hint="eastAsia" w:ascii="宋体" w:hAnsi="宋体" w:cs="宋体"/>
                <w:sz w:val="24"/>
                <w:szCs w:val="24"/>
                <w:highlight w:val="none"/>
              </w:rPr>
              <w:t>行贿犯罪记录</w:t>
            </w:r>
          </w:p>
        </w:tc>
        <w:tc>
          <w:tcPr>
            <w:tcW w:w="4819" w:type="dxa"/>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在行贿犯罪信息查询期限内，投标人及其现任法定代表人、主要负责人没有行贿犯罪记录的书面声明材料原件【注：提供书面声明材料原件，投标文件中不需提供人民检察院出具的行贿犯罪档案查询结果的证明材料。】。</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ind w:firstLine="240" w:firstLineChars="100"/>
              <w:jc w:val="left"/>
              <w:rPr>
                <w:rFonts w:ascii="宋体" w:hAnsi="宋体" w:cs="宋体"/>
                <w:sz w:val="24"/>
                <w:szCs w:val="24"/>
                <w:highlight w:val="none"/>
              </w:rPr>
            </w:pPr>
            <w:r>
              <w:rPr>
                <w:rFonts w:hint="eastAsia" w:ascii="宋体" w:hAnsi="宋体" w:cs="宋体"/>
                <w:sz w:val="24"/>
                <w:szCs w:val="24"/>
                <w:highlight w:val="none"/>
              </w:rPr>
              <w:t>信用记录</w:t>
            </w:r>
          </w:p>
        </w:tc>
        <w:tc>
          <w:tcPr>
            <w:tcW w:w="4819" w:type="dxa"/>
            <w:vAlign w:val="center"/>
          </w:tcPr>
          <w:p>
            <w:pPr>
              <w:pStyle w:val="135"/>
              <w:tabs>
                <w:tab w:val="left" w:pos="634"/>
              </w:tabs>
              <w:spacing w:line="360" w:lineRule="auto"/>
              <w:ind w:firstLine="0" w:firstLineChars="0"/>
              <w:rPr>
                <w:rFonts w:ascii="宋体" w:hAnsi="宋体" w:cs="宋体"/>
                <w:sz w:val="24"/>
                <w:szCs w:val="24"/>
                <w:highlight w:val="none"/>
              </w:rPr>
            </w:pPr>
            <w:r>
              <w:rPr>
                <w:rFonts w:hint="eastAsia" w:ascii="宋体" w:hAnsi="宋体" w:cs="宋体"/>
                <w:sz w:val="24"/>
                <w:szCs w:val="24"/>
                <w:highlight w:val="none"/>
              </w:rPr>
              <w:t>1.投标人未被列入经营异常、失信被执行人、重大税收违法案件当事人名单、政府采购严重违法失信行为记录名单【注：（1）投标人未被列入失信被执行人、重大税收违法案件当事人名单、政府采购严重违法失信行为记录名单（投标人在参加政府采购活动前被禁止在一定期限内参加政府采购活动，期限届满的可以参加政府采购活动，但投标人应提供相关证明材料）；（2）提供书面声明材料原件。】。</w:t>
            </w:r>
          </w:p>
          <w:p>
            <w:pPr>
              <w:pStyle w:val="135"/>
              <w:tabs>
                <w:tab w:val="left" w:pos="634"/>
              </w:tabs>
              <w:spacing w:line="360" w:lineRule="auto"/>
              <w:ind w:firstLine="0" w:firstLineChars="0"/>
              <w:rPr>
                <w:rFonts w:ascii="宋体" w:hAnsi="宋体" w:cs="宋体"/>
                <w:sz w:val="24"/>
                <w:szCs w:val="24"/>
                <w:highlight w:val="none"/>
              </w:rPr>
            </w:pPr>
            <w:r>
              <w:rPr>
                <w:rFonts w:hint="eastAsia" w:ascii="宋体" w:hAnsi="宋体" w:cs="宋体"/>
                <w:sz w:val="24"/>
                <w:szCs w:val="24"/>
                <w:highlight w:val="none"/>
              </w:rPr>
              <w:t>2.采购代理机构通过“信用中国”网站、“中国政府采购网”、“四川政府采购”网站（曝光台）、“成都信用”网站，在投标文件截止时间对投标人进行查询（说明：投标人未被列入失信被执行人、重大税收违法案件当事人名单、政府采购严重违法失信行为记录名单[投标人在参加政府采购活动前被禁止在一定期限内参加政府采购活动，期限届满的可以参加政府采购活动，但投标人应提供相关证明材料]）。</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jc w:val="left"/>
              <w:rPr>
                <w:rFonts w:ascii="宋体" w:hAnsi="宋体" w:cs="宋体"/>
                <w:bCs/>
                <w:kern w:val="0"/>
                <w:sz w:val="24"/>
                <w:szCs w:val="24"/>
                <w:highlight w:val="none"/>
              </w:rPr>
            </w:pPr>
            <w:r>
              <w:rPr>
                <w:rFonts w:hint="eastAsia" w:ascii="宋体" w:hAnsi="宋体" w:cs="宋体"/>
                <w:bCs/>
                <w:kern w:val="0"/>
                <w:sz w:val="24"/>
                <w:szCs w:val="24"/>
                <w:highlight w:val="none"/>
              </w:rPr>
              <w:t>投标文件</w:t>
            </w:r>
            <w:r>
              <w:rPr>
                <w:rFonts w:hint="eastAsia" w:ascii="宋体" w:hAnsi="宋体" w:cs="宋体"/>
                <w:sz w:val="24"/>
                <w:szCs w:val="24"/>
                <w:highlight w:val="none"/>
              </w:rPr>
              <w:t>资格审查部分</w:t>
            </w:r>
            <w:r>
              <w:rPr>
                <w:rFonts w:hint="eastAsia" w:ascii="宋体" w:hAnsi="宋体" w:cs="宋体"/>
                <w:bCs/>
                <w:kern w:val="0"/>
                <w:sz w:val="24"/>
                <w:szCs w:val="24"/>
                <w:highlight w:val="none"/>
              </w:rPr>
              <w:t>盖章</w:t>
            </w:r>
          </w:p>
        </w:tc>
        <w:tc>
          <w:tcPr>
            <w:tcW w:w="4819" w:type="dxa"/>
            <w:vAlign w:val="center"/>
          </w:tcPr>
          <w:p>
            <w:pPr>
              <w:jc w:val="left"/>
              <w:rPr>
                <w:rFonts w:ascii="宋体" w:hAnsi="宋体" w:cs="宋体"/>
                <w:bCs/>
                <w:kern w:val="0"/>
                <w:sz w:val="24"/>
                <w:szCs w:val="24"/>
                <w:highlight w:val="none"/>
              </w:rPr>
            </w:pPr>
            <w:r>
              <w:rPr>
                <w:rFonts w:hint="eastAsia" w:ascii="宋体" w:hAnsi="宋体" w:cs="宋体"/>
                <w:sz w:val="24"/>
                <w:szCs w:val="24"/>
                <w:highlight w:val="none"/>
              </w:rPr>
              <w:t>均按招标文件要求盖章。</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widowControl/>
              <w:jc w:val="left"/>
              <w:rPr>
                <w:rFonts w:ascii="宋体" w:hAnsi="宋体" w:cs="宋体"/>
                <w:bCs/>
                <w:kern w:val="0"/>
                <w:sz w:val="24"/>
                <w:szCs w:val="24"/>
                <w:highlight w:val="none"/>
              </w:rPr>
            </w:pPr>
            <w:r>
              <w:rPr>
                <w:rFonts w:hint="eastAsia" w:ascii="宋体" w:hAnsi="宋体" w:cs="宋体"/>
                <w:bCs/>
                <w:kern w:val="0"/>
                <w:sz w:val="24"/>
                <w:szCs w:val="24"/>
                <w:highlight w:val="none"/>
              </w:rPr>
              <w:t>投标文件</w:t>
            </w:r>
            <w:r>
              <w:rPr>
                <w:rFonts w:hint="eastAsia" w:ascii="宋体" w:hAnsi="宋体" w:cs="宋体"/>
                <w:sz w:val="24"/>
                <w:szCs w:val="24"/>
                <w:highlight w:val="none"/>
              </w:rPr>
              <w:t>资格性审查部分</w:t>
            </w:r>
            <w:r>
              <w:rPr>
                <w:rFonts w:hint="eastAsia" w:ascii="宋体" w:hAnsi="宋体" w:cs="宋体"/>
                <w:bCs/>
                <w:kern w:val="0"/>
                <w:sz w:val="24"/>
                <w:szCs w:val="24"/>
                <w:highlight w:val="none"/>
              </w:rPr>
              <w:t>的语言</w:t>
            </w:r>
          </w:p>
        </w:tc>
        <w:tc>
          <w:tcPr>
            <w:tcW w:w="4819" w:type="dxa"/>
            <w:vAlign w:val="center"/>
          </w:tcPr>
          <w:p>
            <w:pPr>
              <w:ind w:left="33"/>
              <w:rPr>
                <w:rFonts w:ascii="宋体" w:hAnsi="宋体" w:cs="宋体"/>
                <w:b/>
                <w:bCs/>
                <w:kern w:val="0"/>
                <w:sz w:val="24"/>
                <w:szCs w:val="24"/>
                <w:highlight w:val="none"/>
              </w:rPr>
            </w:pPr>
            <w:r>
              <w:rPr>
                <w:rFonts w:hint="eastAsia" w:ascii="宋体" w:hAnsi="宋体" w:cs="宋体"/>
                <w:sz w:val="24"/>
                <w:szCs w:val="24"/>
                <w:highlight w:val="none"/>
              </w:rPr>
              <w:t>语言符合招标文件的要求。</w:t>
            </w:r>
          </w:p>
        </w:tc>
        <w:tc>
          <w:tcPr>
            <w:tcW w:w="709" w:type="dxa"/>
            <w:vAlign w:val="center"/>
          </w:tcPr>
          <w:p>
            <w:pPr>
              <w:widowControl/>
              <w:spacing w:line="360" w:lineRule="auto"/>
              <w:jc w:val="left"/>
              <w:rPr>
                <w:rFonts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9" w:type="dxa"/>
            <w:vMerge w:val="continue"/>
            <w:vAlign w:val="center"/>
          </w:tcPr>
          <w:p>
            <w:pPr>
              <w:spacing w:line="360" w:lineRule="auto"/>
              <w:jc w:val="left"/>
              <w:rPr>
                <w:rFonts w:ascii="宋体" w:hAnsi="宋体" w:cs="宋体"/>
                <w:kern w:val="0"/>
                <w:sz w:val="24"/>
                <w:szCs w:val="24"/>
                <w:highlight w:val="none"/>
              </w:rPr>
            </w:pPr>
          </w:p>
        </w:tc>
        <w:tc>
          <w:tcPr>
            <w:tcW w:w="2977" w:type="dxa"/>
            <w:gridSpan w:val="2"/>
            <w:vAlign w:val="center"/>
          </w:tcPr>
          <w:p>
            <w:pPr>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不属于禁止参加投标或投标无效的供应商</w:t>
            </w:r>
          </w:p>
        </w:tc>
        <w:tc>
          <w:tcPr>
            <w:tcW w:w="4819" w:type="dxa"/>
            <w:vAlign w:val="center"/>
          </w:tcPr>
          <w:p>
            <w:pPr>
              <w:spacing w:line="360" w:lineRule="auto"/>
              <w:ind w:left="34"/>
              <w:rPr>
                <w:rFonts w:ascii="宋体" w:hAnsi="宋体" w:cs="宋体"/>
                <w:sz w:val="24"/>
                <w:szCs w:val="24"/>
                <w:highlight w:val="none"/>
              </w:rPr>
            </w:pPr>
            <w:r>
              <w:rPr>
                <w:rFonts w:hint="eastAsia" w:ascii="宋体" w:hAnsi="宋体" w:cs="宋体"/>
                <w:sz w:val="24"/>
                <w:szCs w:val="24"/>
                <w:highlight w:val="none"/>
              </w:rPr>
              <w:t>根据招标文件的要求不属于禁止参加投标</w:t>
            </w:r>
            <w:r>
              <w:rPr>
                <w:rFonts w:hint="eastAsia" w:ascii="宋体" w:hAnsi="宋体" w:cs="宋体"/>
                <w:kern w:val="0"/>
                <w:sz w:val="24"/>
                <w:szCs w:val="24"/>
                <w:highlight w:val="none"/>
              </w:rPr>
              <w:t>或投标无效</w:t>
            </w:r>
            <w:r>
              <w:rPr>
                <w:rFonts w:hint="eastAsia" w:ascii="宋体" w:hAnsi="宋体" w:cs="宋体"/>
                <w:sz w:val="24"/>
                <w:szCs w:val="24"/>
                <w:highlight w:val="none"/>
              </w:rPr>
              <w:t>的供应商；承诺函原件加盖鲜章。</w:t>
            </w:r>
          </w:p>
        </w:tc>
        <w:tc>
          <w:tcPr>
            <w:tcW w:w="709" w:type="dxa"/>
            <w:vAlign w:val="center"/>
          </w:tcPr>
          <w:p>
            <w:pPr>
              <w:widowControl/>
              <w:spacing w:line="360" w:lineRule="auto"/>
              <w:jc w:val="left"/>
              <w:rPr>
                <w:rFonts w:ascii="宋体" w:hAnsi="宋体" w:cs="宋体"/>
                <w:kern w:val="0"/>
                <w:sz w:val="24"/>
                <w:szCs w:val="24"/>
                <w:highlight w:val="none"/>
              </w:rPr>
            </w:pPr>
          </w:p>
        </w:tc>
      </w:tr>
    </w:tbl>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审查报告中载明不通过的具体原因。</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二、采购代理机构通过“信用中国”网站、“中国政府采购网”、“四川政府采购”网站（曝光台）、“成都信用”网站，在投标文件截止时间对投标人进行信用记录查询的结果，将以纸质截图或将截图保存至电子介质的形式留存。</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三、通过资格审查的供应商＜3名，本项目采购失败。</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四、本章所称重大违法记录是指，供应商因违法经营受到刑事处罚或者责令停产停业、吊销许可证或者执照、较大数额罚款等行政处罚。同时规定，供应商在参加政府采购活动前3年内因违法经营被禁止在一定期限内参加政府采购活动，期限届满的，可以参加政府采购活动。</w:t>
      </w:r>
    </w:p>
    <w:p>
      <w:pPr>
        <w:tabs>
          <w:tab w:val="left" w:pos="851"/>
        </w:tabs>
        <w:spacing w:line="360" w:lineRule="auto"/>
        <w:rPr>
          <w:rFonts w:ascii="宋体" w:hAnsi="宋体" w:cs="宋体"/>
          <w:sz w:val="24"/>
          <w:szCs w:val="24"/>
          <w:highlight w:val="none"/>
        </w:rPr>
      </w:pPr>
    </w:p>
    <w:p>
      <w:pPr>
        <w:pStyle w:val="3"/>
        <w:rPr>
          <w:rFonts w:cs="宋体"/>
          <w:highlight w:val="none"/>
        </w:rPr>
      </w:pPr>
      <w:bookmarkStart w:id="279" w:name="_Toc494464920"/>
      <w:bookmarkStart w:id="280" w:name="_Toc13652514"/>
      <w:r>
        <w:rPr>
          <w:rFonts w:hint="eastAsia" w:cs="宋体"/>
          <w:highlight w:val="none"/>
        </w:rPr>
        <w:br w:type="page"/>
      </w:r>
      <w:r>
        <w:rPr>
          <w:rFonts w:hint="eastAsia" w:cs="宋体"/>
          <w:highlight w:val="none"/>
        </w:rPr>
        <w:t>评标办法</w:t>
      </w:r>
      <w:bookmarkEnd w:id="279"/>
      <w:bookmarkEnd w:id="280"/>
    </w:p>
    <w:p>
      <w:pPr>
        <w:pStyle w:val="2"/>
        <w:rPr>
          <w:rFonts w:cs="宋体"/>
          <w:sz w:val="24"/>
          <w:szCs w:val="24"/>
          <w:highlight w:val="none"/>
        </w:rPr>
      </w:pPr>
      <w:bookmarkStart w:id="281" w:name="_Toc13652515"/>
      <w:bookmarkStart w:id="282" w:name="_Toc494464921"/>
      <w:r>
        <w:rPr>
          <w:rFonts w:hint="eastAsia" w:cs="宋体"/>
          <w:sz w:val="24"/>
          <w:szCs w:val="24"/>
          <w:highlight w:val="none"/>
        </w:rPr>
        <w:t>总则</w:t>
      </w:r>
      <w:bookmarkEnd w:id="281"/>
      <w:bookmarkEnd w:id="282"/>
    </w:p>
    <w:p>
      <w:pPr>
        <w:spacing w:line="560" w:lineRule="exact"/>
        <w:ind w:firstLine="480" w:firstLineChars="200"/>
        <w:rPr>
          <w:rFonts w:ascii="宋体" w:hAnsi="宋体" w:cs="宋体"/>
          <w:sz w:val="24"/>
          <w:szCs w:val="24"/>
          <w:highlight w:val="none"/>
        </w:rPr>
      </w:pPr>
      <w:bookmarkStart w:id="283" w:name="_Toc494464922"/>
      <w:r>
        <w:rPr>
          <w:rFonts w:hint="eastAsia" w:ascii="宋体" w:hAnsi="宋体" w:cs="宋体"/>
          <w:sz w:val="24"/>
          <w:szCs w:val="24"/>
          <w:highlight w:val="none"/>
        </w:rPr>
        <w:t>一、 根据《中华人民共和国政府采购法》、《中华人民共和国政府采购法实施条例》、《政府采购货物和服务招标投标管理办法》（财政部第87号令）等法律规章，结合采购项目特点制定本评标办法。</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二、</w:t>
      </w:r>
      <w:r>
        <w:rPr>
          <w:rFonts w:hint="eastAsia" w:ascii="宋体" w:hAnsi="宋体" w:cs="宋体"/>
          <w:bCs/>
          <w:sz w:val="24"/>
          <w:szCs w:val="24"/>
          <w:highlight w:val="none"/>
        </w:rPr>
        <w:t>评标工作由采购代理机构负责组织，具体评标事务由招标采购单位依法组建的评标委员会负责。评标委员会由采购人代表和有关技术、经济等方面的专家组成。</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三、评标工作应遵循公平、公正、科学及择优的原则，并以相同的评标程序和标准对待所有的投标人。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四、 评标委员会按照招标文件规定的评标方法和标准进行评标，并独立履行下列职责：</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（一）熟悉和理解招标文件；</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（二）审查投标人投标文件等是否满足招标文件要求，并作出评价；</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（三）根据需要要求招标采购单位对招标文件作出解释；根据需要要求投标人对投标文件有关事项作出澄清、说明或者更正；</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（四）推荐中标候选投标人，或者受采购人委托确定中标人；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（五）起草评标报告并进行签署；</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（六）向招标采购单位、财政部门或者其他监督部门报告非法干预评标工作的行为；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（七）法律、法规和规章规定的其他职责。</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五、评标过程独立、保密。投标人非法干预评标过程的行为将导致其投标文件作为无效处理。</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六、评标委员会决定投标文件的响应性依据投标文件本身的内容，而不寻求外部的证据。</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七、评标委员会评价投标文件的响应性，对于投标人而言，除评标委员会要求其澄清、说明或者更正而提供的资料外，仅依据投标文件本身的内容，不寻求其他外部证据。</w:t>
      </w:r>
    </w:p>
    <w:p>
      <w:pPr>
        <w:pStyle w:val="2"/>
        <w:rPr>
          <w:rFonts w:cs="宋体"/>
          <w:sz w:val="24"/>
          <w:szCs w:val="24"/>
          <w:highlight w:val="none"/>
        </w:rPr>
      </w:pPr>
      <w:bookmarkStart w:id="284" w:name="_Toc13652516"/>
      <w:r>
        <w:rPr>
          <w:rFonts w:hint="eastAsia" w:cs="宋体"/>
          <w:sz w:val="24"/>
          <w:szCs w:val="24"/>
          <w:highlight w:val="none"/>
        </w:rPr>
        <w:t>评标方法</w:t>
      </w:r>
      <w:bookmarkEnd w:id="283"/>
      <w:bookmarkEnd w:id="284"/>
    </w:p>
    <w:p>
      <w:pPr>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综合评分法。</w:t>
      </w:r>
    </w:p>
    <w:p>
      <w:pPr>
        <w:pStyle w:val="2"/>
        <w:rPr>
          <w:rFonts w:cs="宋体"/>
          <w:sz w:val="24"/>
          <w:szCs w:val="24"/>
          <w:highlight w:val="none"/>
        </w:rPr>
      </w:pPr>
      <w:bookmarkStart w:id="285" w:name="_Toc494464923"/>
      <w:bookmarkStart w:id="286" w:name="_Toc13652517"/>
      <w:r>
        <w:rPr>
          <w:rFonts w:hint="eastAsia" w:cs="宋体"/>
          <w:sz w:val="24"/>
          <w:szCs w:val="24"/>
          <w:highlight w:val="none"/>
        </w:rPr>
        <w:t>评标程序</w:t>
      </w:r>
      <w:bookmarkEnd w:id="285"/>
      <w:bookmarkEnd w:id="286"/>
    </w:p>
    <w:p>
      <w:pPr>
        <w:pStyle w:val="4"/>
        <w:ind w:hanging="3119"/>
        <w:rPr>
          <w:rFonts w:cs="宋体"/>
          <w:color w:val="auto"/>
          <w:sz w:val="24"/>
          <w:szCs w:val="24"/>
          <w:highlight w:val="none"/>
        </w:rPr>
      </w:pPr>
      <w:r>
        <w:rPr>
          <w:rFonts w:hint="eastAsia" w:cs="宋体"/>
          <w:color w:val="auto"/>
          <w:sz w:val="24"/>
          <w:szCs w:val="24"/>
          <w:highlight w:val="none"/>
        </w:rPr>
        <w:t>熟悉、理解招标文件和停止评标</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一、评标委员会正式评标前，应当对招标文件进行熟悉和理解，内容主要包括招标文件中投标人采购项目技术、服务和商务要求、评标方法和标准以及可能涉及签订政府采购合同的内容等。</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二、评标委员会熟悉和理解招标文件以及评标过程中，发现本招标文件有下列情形之一的，评标委员会应当停止评标：</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（一）招标文件的规定存在歧义、重大缺陷的；</w:t>
      </w:r>
    </w:p>
    <w:p>
      <w:pPr>
        <w:spacing w:line="560" w:lineRule="exact"/>
        <w:ind w:left="425"/>
        <w:rPr>
          <w:rFonts w:ascii="宋体" w:hAnsi="宋体" w:cs="宋体"/>
          <w:sz w:val="24"/>
          <w:szCs w:val="24"/>
          <w:highlight w:val="none"/>
        </w:rPr>
      </w:pPr>
      <w:r>
        <w:rPr>
          <w:rFonts w:hint="eastAsia" w:ascii="宋体" w:hAnsi="宋体" w:cs="宋体"/>
          <w:sz w:val="24"/>
          <w:szCs w:val="24"/>
          <w:highlight w:val="none"/>
        </w:rPr>
        <w:t>（二）招标文件明显以不合理条件对投标人实行差别待遇或者歧视待遇的；</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（三）采购项目属于国家规定的优先、强制采购范围，但是招标文件未依法体现优先、强制采购相关规定的；</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（四）采购项目属于政府采购促进中小企业发展的范围，但是招标文件未依法体现促进中小企业发展相关规定的；</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（五）招标文件规定的评标方法是综合评分法之外的评标方法，或者虽然名称为综合评分法，但实际上不符合国家规定；</w:t>
      </w:r>
    </w:p>
    <w:p>
      <w:pPr>
        <w:spacing w:line="560" w:lineRule="exact"/>
        <w:ind w:left="425"/>
        <w:rPr>
          <w:rFonts w:ascii="宋体" w:hAnsi="宋体" w:cs="宋体"/>
          <w:sz w:val="24"/>
          <w:szCs w:val="24"/>
          <w:highlight w:val="none"/>
        </w:rPr>
      </w:pPr>
      <w:r>
        <w:rPr>
          <w:rFonts w:hint="eastAsia" w:ascii="宋体" w:hAnsi="宋体" w:cs="宋体"/>
          <w:sz w:val="24"/>
          <w:szCs w:val="24"/>
          <w:highlight w:val="none"/>
        </w:rPr>
        <w:t>（六）招标文件将投标人的资格条件列为评分因素的；</w:t>
      </w:r>
    </w:p>
    <w:p>
      <w:pPr>
        <w:spacing w:line="560" w:lineRule="exact"/>
        <w:ind w:left="425"/>
        <w:rPr>
          <w:rFonts w:ascii="宋体" w:hAnsi="宋体" w:cs="宋体"/>
          <w:sz w:val="24"/>
          <w:szCs w:val="24"/>
          <w:highlight w:val="none"/>
        </w:rPr>
      </w:pPr>
      <w:r>
        <w:rPr>
          <w:rFonts w:hint="eastAsia" w:ascii="宋体" w:hAnsi="宋体" w:cs="宋体"/>
          <w:sz w:val="24"/>
          <w:szCs w:val="24"/>
          <w:highlight w:val="none"/>
        </w:rPr>
        <w:t>（七）招标文件有违反国家其他有关强制性规定的情形。</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三、出现上述第二条规定应当停止评标情形的，评标委员会成员应当向招标采购单位书面说明情况。除本条规定和评标委员会无法依法组建的情形外，评标委员会成员不得以任何方式和理由停止评标。</w:t>
      </w:r>
    </w:p>
    <w:p>
      <w:pPr>
        <w:pStyle w:val="4"/>
        <w:ind w:hanging="3119"/>
        <w:rPr>
          <w:rFonts w:cs="宋体"/>
          <w:color w:val="auto"/>
          <w:sz w:val="24"/>
          <w:szCs w:val="24"/>
          <w:highlight w:val="none"/>
        </w:rPr>
      </w:pPr>
      <w:r>
        <w:rPr>
          <w:rFonts w:hint="eastAsia" w:cs="宋体"/>
          <w:color w:val="auto"/>
          <w:sz w:val="24"/>
          <w:szCs w:val="24"/>
          <w:highlight w:val="none"/>
        </w:rPr>
        <w:t>符合性检查</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评标委员会依据本招标文件的实质性要求，对符合资格的投标文件进行审查，以确定其是否满足本招标文件的实质性要求。本项目符合性审查事项仅限于本招标文件的明确规定。对于文件第2章标注“实质性要求”但未标明如何响应的，可不提供具体证明或单独响应，投标文件是否满足招标文件的实质性要求，必须以本招标文件的明确规定作为依据，否则，不能对投标文件作为无效处理，评标委员会不得臆测符合性审查事项。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5812"/>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vAlign w:val="center"/>
          </w:tcPr>
          <w:p>
            <w:pPr>
              <w:widowControl/>
              <w:spacing w:line="560" w:lineRule="exact"/>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2268" w:type="dxa"/>
            <w:vAlign w:val="center"/>
          </w:tcPr>
          <w:p>
            <w:pPr>
              <w:spacing w:line="560" w:lineRule="exact"/>
              <w:jc w:val="center"/>
              <w:rPr>
                <w:rFonts w:ascii="宋体" w:hAnsi="宋体" w:cs="宋体"/>
                <w:b/>
                <w:bCs/>
                <w:kern w:val="0"/>
                <w:szCs w:val="21"/>
                <w:highlight w:val="none"/>
              </w:rPr>
            </w:pPr>
            <w:r>
              <w:rPr>
                <w:rFonts w:hint="eastAsia" w:ascii="宋体" w:hAnsi="宋体" w:cs="宋体"/>
                <w:b/>
                <w:bCs/>
                <w:kern w:val="0"/>
                <w:szCs w:val="21"/>
                <w:highlight w:val="none"/>
              </w:rPr>
              <w:t>符合性审查项</w:t>
            </w:r>
          </w:p>
        </w:tc>
        <w:tc>
          <w:tcPr>
            <w:tcW w:w="5812" w:type="dxa"/>
            <w:vAlign w:val="center"/>
          </w:tcPr>
          <w:p>
            <w:pPr>
              <w:widowControl/>
              <w:spacing w:line="560" w:lineRule="exact"/>
              <w:jc w:val="center"/>
              <w:rPr>
                <w:rFonts w:ascii="宋体" w:hAnsi="宋体" w:cs="宋体"/>
                <w:b/>
                <w:bCs/>
                <w:kern w:val="0"/>
                <w:szCs w:val="21"/>
                <w:highlight w:val="none"/>
              </w:rPr>
            </w:pPr>
            <w:r>
              <w:rPr>
                <w:rFonts w:hint="eastAsia" w:ascii="宋体" w:hAnsi="宋体" w:cs="宋体"/>
                <w:b/>
                <w:bCs/>
                <w:kern w:val="0"/>
                <w:szCs w:val="21"/>
                <w:highlight w:val="none"/>
              </w:rPr>
              <w:t>通过条件</w:t>
            </w:r>
          </w:p>
        </w:tc>
        <w:tc>
          <w:tcPr>
            <w:tcW w:w="567" w:type="dxa"/>
            <w:vAlign w:val="center"/>
          </w:tcPr>
          <w:p>
            <w:pPr>
              <w:widowControl/>
              <w:spacing w:line="560" w:lineRule="exact"/>
              <w:jc w:val="center"/>
              <w:rPr>
                <w:rFonts w:ascii="宋体" w:hAnsi="宋体" w:cs="宋体"/>
                <w:b/>
                <w:bCs/>
                <w:kern w:val="0"/>
                <w:szCs w:val="21"/>
                <w:highlight w:val="none"/>
              </w:rPr>
            </w:pPr>
            <w:r>
              <w:rPr>
                <w:rFonts w:hint="eastAsia" w:ascii="宋体" w:hAnsi="宋体" w:cs="宋体"/>
                <w:b/>
                <w:bCs/>
                <w:kern w:val="0"/>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1</w:t>
            </w:r>
          </w:p>
        </w:tc>
        <w:tc>
          <w:tcPr>
            <w:tcW w:w="2268" w:type="dxa"/>
            <w:vAlign w:val="center"/>
          </w:tcPr>
          <w:p>
            <w:pPr>
              <w:spacing w:line="560" w:lineRule="exact"/>
              <w:jc w:val="left"/>
              <w:rPr>
                <w:rFonts w:ascii="宋体" w:hAnsi="宋体" w:cs="宋体"/>
                <w:bCs/>
                <w:kern w:val="0"/>
                <w:szCs w:val="21"/>
                <w:highlight w:val="none"/>
              </w:rPr>
            </w:pPr>
            <w:r>
              <w:rPr>
                <w:rFonts w:hint="eastAsia" w:ascii="宋体" w:hAnsi="宋体" w:cs="宋体"/>
                <w:bCs/>
                <w:kern w:val="0"/>
                <w:szCs w:val="21"/>
                <w:highlight w:val="none"/>
              </w:rPr>
              <w:t>投标文件正、副本数量</w:t>
            </w:r>
          </w:p>
        </w:tc>
        <w:tc>
          <w:tcPr>
            <w:tcW w:w="5812" w:type="dxa"/>
            <w:vAlign w:val="center"/>
          </w:tcPr>
          <w:p>
            <w:pPr>
              <w:spacing w:line="560" w:lineRule="exact"/>
              <w:jc w:val="left"/>
              <w:rPr>
                <w:rFonts w:ascii="宋体" w:hAnsi="宋体" w:cs="宋体"/>
                <w:bCs/>
                <w:kern w:val="0"/>
                <w:szCs w:val="21"/>
                <w:highlight w:val="none"/>
              </w:rPr>
            </w:pPr>
            <w:r>
              <w:rPr>
                <w:rFonts w:hint="eastAsia" w:ascii="宋体" w:hAnsi="宋体" w:cs="宋体"/>
                <w:szCs w:val="21"/>
                <w:highlight w:val="none"/>
              </w:rPr>
              <w:t>1正，至少2副。</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2</w:t>
            </w:r>
          </w:p>
        </w:tc>
        <w:tc>
          <w:tcPr>
            <w:tcW w:w="2268" w:type="dxa"/>
            <w:vAlign w:val="center"/>
          </w:tcPr>
          <w:p>
            <w:pPr>
              <w:spacing w:line="560" w:lineRule="exact"/>
              <w:jc w:val="left"/>
              <w:rPr>
                <w:rFonts w:ascii="宋体" w:hAnsi="宋体" w:cs="宋体"/>
                <w:bCs/>
                <w:kern w:val="0"/>
                <w:szCs w:val="21"/>
                <w:highlight w:val="none"/>
              </w:rPr>
            </w:pPr>
            <w:r>
              <w:rPr>
                <w:rFonts w:hint="eastAsia" w:ascii="宋体" w:hAnsi="宋体" w:cs="宋体"/>
                <w:bCs/>
                <w:kern w:val="0"/>
                <w:szCs w:val="21"/>
                <w:highlight w:val="none"/>
              </w:rPr>
              <w:t>投标文件签署、盖章</w:t>
            </w:r>
          </w:p>
        </w:tc>
        <w:tc>
          <w:tcPr>
            <w:tcW w:w="5812" w:type="dxa"/>
            <w:vAlign w:val="center"/>
          </w:tcPr>
          <w:p>
            <w:pPr>
              <w:spacing w:line="560" w:lineRule="exact"/>
              <w:jc w:val="left"/>
              <w:rPr>
                <w:rFonts w:ascii="宋体" w:hAnsi="宋体" w:cs="宋体"/>
                <w:bCs/>
                <w:kern w:val="0"/>
                <w:szCs w:val="21"/>
                <w:highlight w:val="none"/>
              </w:rPr>
            </w:pPr>
            <w:r>
              <w:rPr>
                <w:rFonts w:hint="eastAsia" w:ascii="宋体" w:hAnsi="宋体" w:cs="宋体"/>
                <w:szCs w:val="21"/>
                <w:highlight w:val="none"/>
              </w:rPr>
              <w:t>投标文件均按招标文件要求签字、盖章（评分标准中要求提供的证明材料除外）。</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3</w:t>
            </w:r>
          </w:p>
        </w:tc>
        <w:tc>
          <w:tcPr>
            <w:tcW w:w="2268" w:type="dxa"/>
            <w:vAlign w:val="center"/>
          </w:tcPr>
          <w:p>
            <w:pPr>
              <w:widowControl/>
              <w:spacing w:line="560" w:lineRule="exact"/>
              <w:jc w:val="left"/>
              <w:rPr>
                <w:rFonts w:ascii="宋体" w:hAnsi="宋体" w:cs="宋体"/>
                <w:bCs/>
                <w:kern w:val="0"/>
                <w:szCs w:val="21"/>
                <w:highlight w:val="none"/>
              </w:rPr>
            </w:pPr>
            <w:r>
              <w:rPr>
                <w:rFonts w:hint="eastAsia" w:ascii="宋体" w:hAnsi="宋体" w:cs="宋体"/>
                <w:bCs/>
                <w:kern w:val="0"/>
                <w:szCs w:val="21"/>
                <w:highlight w:val="none"/>
              </w:rPr>
              <w:t>投标文件组成</w:t>
            </w:r>
          </w:p>
        </w:tc>
        <w:tc>
          <w:tcPr>
            <w:tcW w:w="5812" w:type="dxa"/>
            <w:vAlign w:val="center"/>
          </w:tcPr>
          <w:p>
            <w:pPr>
              <w:spacing w:line="560" w:lineRule="exact"/>
              <w:rPr>
                <w:rFonts w:ascii="宋体" w:hAnsi="宋体" w:cs="宋体"/>
                <w:b/>
                <w:bCs/>
                <w:kern w:val="0"/>
                <w:szCs w:val="21"/>
                <w:highlight w:val="none"/>
              </w:rPr>
            </w:pPr>
            <w:r>
              <w:rPr>
                <w:rFonts w:hint="eastAsia" w:ascii="宋体" w:hAnsi="宋体" w:cs="宋体"/>
                <w:szCs w:val="21"/>
                <w:highlight w:val="none"/>
              </w:rPr>
              <w:t>符合招标文件第2章2.4.6条“三、投标文件第二部分  技术、商务及其他要求响应部分”要求</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4</w:t>
            </w:r>
          </w:p>
        </w:tc>
        <w:tc>
          <w:tcPr>
            <w:tcW w:w="2268" w:type="dxa"/>
            <w:vAlign w:val="center"/>
          </w:tcPr>
          <w:p>
            <w:pPr>
              <w:widowControl/>
              <w:spacing w:line="560" w:lineRule="exact"/>
              <w:jc w:val="left"/>
              <w:rPr>
                <w:rFonts w:ascii="宋体" w:hAnsi="宋体" w:cs="宋体"/>
                <w:bCs/>
                <w:kern w:val="0"/>
                <w:szCs w:val="21"/>
                <w:highlight w:val="none"/>
              </w:rPr>
            </w:pPr>
            <w:r>
              <w:rPr>
                <w:rFonts w:hint="eastAsia" w:ascii="宋体" w:hAnsi="宋体" w:cs="宋体"/>
                <w:bCs/>
                <w:kern w:val="0"/>
                <w:szCs w:val="21"/>
                <w:highlight w:val="none"/>
              </w:rPr>
              <w:t>投标文件的计量单位、语言、报价货币、投标有效期</w:t>
            </w:r>
          </w:p>
        </w:tc>
        <w:tc>
          <w:tcPr>
            <w:tcW w:w="5812" w:type="dxa"/>
            <w:vAlign w:val="center"/>
          </w:tcPr>
          <w:p>
            <w:pPr>
              <w:spacing w:line="560" w:lineRule="exact"/>
              <w:ind w:left="33"/>
              <w:rPr>
                <w:rFonts w:ascii="宋体" w:hAnsi="宋体" w:cs="宋体"/>
                <w:b/>
                <w:bCs/>
                <w:kern w:val="0"/>
                <w:szCs w:val="21"/>
                <w:highlight w:val="none"/>
              </w:rPr>
            </w:pPr>
            <w:r>
              <w:rPr>
                <w:rFonts w:hint="eastAsia" w:ascii="宋体" w:hAnsi="宋体" w:cs="宋体"/>
                <w:szCs w:val="21"/>
                <w:highlight w:val="none"/>
              </w:rPr>
              <w:t>计量单位、语言、报价货币、投标有效期均符合招标文件的要求。</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5</w:t>
            </w:r>
          </w:p>
        </w:tc>
        <w:tc>
          <w:tcPr>
            <w:tcW w:w="2268" w:type="dxa"/>
            <w:vAlign w:val="center"/>
          </w:tcPr>
          <w:p>
            <w:pPr>
              <w:spacing w:line="560" w:lineRule="exact"/>
              <w:jc w:val="left"/>
              <w:rPr>
                <w:rFonts w:ascii="宋体" w:hAnsi="宋体" w:cs="宋体"/>
                <w:bCs/>
                <w:kern w:val="0"/>
                <w:szCs w:val="21"/>
                <w:highlight w:val="none"/>
              </w:rPr>
            </w:pPr>
            <w:r>
              <w:rPr>
                <w:rFonts w:hint="eastAsia" w:ascii="宋体" w:hAnsi="宋体" w:cs="宋体"/>
                <w:bCs/>
                <w:kern w:val="0"/>
                <w:szCs w:val="21"/>
                <w:highlight w:val="none"/>
              </w:rPr>
              <w:t>投标报价</w:t>
            </w:r>
          </w:p>
        </w:tc>
        <w:tc>
          <w:tcPr>
            <w:tcW w:w="5812" w:type="dxa"/>
            <w:vAlign w:val="center"/>
          </w:tcPr>
          <w:p>
            <w:pPr>
              <w:pStyle w:val="104"/>
              <w:tabs>
                <w:tab w:val="left" w:pos="846"/>
                <w:tab w:val="left" w:pos="1050"/>
              </w:tabs>
              <w:spacing w:line="560" w:lineRule="exact"/>
              <w:ind w:firstLine="0" w:firstLineChars="0"/>
              <w:rPr>
                <w:rFonts w:ascii="宋体" w:hAnsi="宋体" w:cs="宋体"/>
                <w:szCs w:val="21"/>
                <w:highlight w:val="none"/>
              </w:rPr>
            </w:pPr>
            <w:r>
              <w:rPr>
                <w:rFonts w:hint="eastAsia" w:ascii="宋体" w:hAnsi="宋体" w:cs="宋体"/>
                <w:szCs w:val="21"/>
                <w:highlight w:val="none"/>
              </w:rPr>
              <w:t>（1）报价唯一；</w:t>
            </w:r>
          </w:p>
          <w:p>
            <w:pPr>
              <w:numPr>
                <w:ilvl w:val="0"/>
                <w:numId w:val="97"/>
              </w:numPr>
              <w:spacing w:line="560" w:lineRule="exact"/>
              <w:ind w:right="210"/>
              <w:jc w:val="left"/>
              <w:rPr>
                <w:rFonts w:ascii="宋体" w:hAnsi="宋体" w:cs="宋体"/>
                <w:szCs w:val="21"/>
                <w:highlight w:val="none"/>
              </w:rPr>
            </w:pPr>
            <w:r>
              <w:rPr>
                <w:rFonts w:hint="eastAsia" w:ascii="宋体" w:hAnsi="宋体" w:cs="宋体"/>
                <w:szCs w:val="21"/>
                <w:highlight w:val="none"/>
              </w:rPr>
              <w:t>未超过招标文件规定的最高限价；</w:t>
            </w:r>
          </w:p>
          <w:p>
            <w:pPr>
              <w:numPr>
                <w:ilvl w:val="0"/>
                <w:numId w:val="97"/>
              </w:numPr>
              <w:spacing w:line="560" w:lineRule="exact"/>
              <w:ind w:right="210"/>
              <w:jc w:val="left"/>
              <w:rPr>
                <w:rFonts w:ascii="宋体" w:hAnsi="宋体" w:cs="宋体"/>
                <w:szCs w:val="21"/>
                <w:highlight w:val="none"/>
              </w:rPr>
            </w:pPr>
            <w:r>
              <w:rPr>
                <w:rFonts w:hint="eastAsia" w:ascii="宋体" w:hAnsi="宋体" w:cs="宋体"/>
                <w:szCs w:val="21"/>
                <w:highlight w:val="none"/>
              </w:rPr>
              <w:t>投标报价应包含本次招标要求的所有货物及服务的费用；</w:t>
            </w:r>
          </w:p>
          <w:p>
            <w:pPr>
              <w:tabs>
                <w:tab w:val="left" w:pos="1155"/>
              </w:tabs>
              <w:spacing w:line="360" w:lineRule="auto"/>
              <w:rPr>
                <w:rFonts w:ascii="宋体" w:hAnsi="宋体" w:cs="宋体"/>
                <w:szCs w:val="21"/>
                <w:highlight w:val="none"/>
              </w:rPr>
            </w:pPr>
            <w:r>
              <w:rPr>
                <w:rFonts w:hint="eastAsia" w:ascii="宋体" w:hAnsi="宋体" w:cs="宋体"/>
                <w:szCs w:val="21"/>
                <w:highlight w:val="none"/>
              </w:rPr>
              <w:t>（4）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处理。（供应商应自行衡量并准备相关证明材料）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75" w:type="dxa"/>
            <w:vAlign w:val="center"/>
          </w:tcPr>
          <w:p>
            <w:pPr>
              <w:spacing w:line="560" w:lineRule="exact"/>
              <w:jc w:val="center"/>
              <w:rPr>
                <w:rFonts w:ascii="宋体" w:hAnsi="宋体" w:cs="宋体"/>
                <w:bCs/>
                <w:kern w:val="0"/>
                <w:szCs w:val="21"/>
                <w:highlight w:val="none"/>
              </w:rPr>
            </w:pPr>
            <w:r>
              <w:rPr>
                <w:rFonts w:hint="eastAsia" w:ascii="宋体" w:hAnsi="宋体" w:cs="宋体"/>
                <w:bCs/>
                <w:kern w:val="0"/>
                <w:szCs w:val="21"/>
                <w:highlight w:val="none"/>
              </w:rPr>
              <w:t>6</w:t>
            </w:r>
          </w:p>
        </w:tc>
        <w:tc>
          <w:tcPr>
            <w:tcW w:w="2268" w:type="dxa"/>
            <w:vAlign w:val="center"/>
          </w:tcPr>
          <w:p>
            <w:pPr>
              <w:spacing w:line="560" w:lineRule="exact"/>
              <w:jc w:val="left"/>
              <w:rPr>
                <w:rFonts w:ascii="宋体" w:hAnsi="宋体" w:cs="宋体"/>
                <w:bCs/>
                <w:kern w:val="0"/>
                <w:szCs w:val="21"/>
                <w:highlight w:val="none"/>
              </w:rPr>
            </w:pPr>
            <w:r>
              <w:rPr>
                <w:rFonts w:hint="eastAsia" w:ascii="宋体" w:hAnsi="宋体" w:cs="宋体"/>
                <w:bCs/>
                <w:kern w:val="0"/>
                <w:szCs w:val="21"/>
                <w:highlight w:val="none"/>
              </w:rPr>
              <w:t>第4章打★号的技术、商务和其他要求</w:t>
            </w:r>
          </w:p>
        </w:tc>
        <w:tc>
          <w:tcPr>
            <w:tcW w:w="5812" w:type="dxa"/>
            <w:vAlign w:val="center"/>
          </w:tcPr>
          <w:p>
            <w:pPr>
              <w:spacing w:line="560" w:lineRule="exact"/>
              <w:rPr>
                <w:rFonts w:ascii="宋体" w:hAnsi="宋体" w:cs="宋体"/>
                <w:szCs w:val="21"/>
                <w:highlight w:val="none"/>
              </w:rPr>
            </w:pPr>
            <w:r>
              <w:rPr>
                <w:rFonts w:hint="eastAsia" w:ascii="宋体" w:hAnsi="宋体" w:cs="宋体"/>
                <w:szCs w:val="21"/>
                <w:highlight w:val="none"/>
              </w:rPr>
              <w:t>投标文件均实质性响应招标文件第4章中加★号的技术、商务和其他要求。</w:t>
            </w:r>
          </w:p>
        </w:tc>
        <w:tc>
          <w:tcPr>
            <w:tcW w:w="567" w:type="dxa"/>
            <w:vAlign w:val="center"/>
          </w:tcPr>
          <w:p>
            <w:pPr>
              <w:widowControl/>
              <w:spacing w:line="560" w:lineRule="exact"/>
              <w:jc w:val="center"/>
              <w:rPr>
                <w:rFonts w:ascii="宋体" w:hAnsi="宋体" w:cs="宋体"/>
                <w:b/>
                <w:bCs/>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75" w:type="dxa"/>
            <w:vAlign w:val="center"/>
          </w:tcPr>
          <w:p>
            <w:pPr>
              <w:spacing w:line="560" w:lineRule="exact"/>
              <w:jc w:val="center"/>
              <w:rPr>
                <w:rFonts w:ascii="宋体" w:hAnsi="宋体" w:cs="宋体"/>
                <w:szCs w:val="21"/>
                <w:highlight w:val="none"/>
              </w:rPr>
            </w:pPr>
            <w:r>
              <w:rPr>
                <w:rFonts w:hint="eastAsia" w:ascii="宋体" w:hAnsi="宋体" w:cs="宋体"/>
                <w:szCs w:val="21"/>
                <w:highlight w:val="none"/>
              </w:rPr>
              <w:t>7</w:t>
            </w:r>
          </w:p>
        </w:tc>
        <w:tc>
          <w:tcPr>
            <w:tcW w:w="2268" w:type="dxa"/>
            <w:vAlign w:val="center"/>
          </w:tcPr>
          <w:p>
            <w:pPr>
              <w:spacing w:line="560" w:lineRule="exact"/>
              <w:jc w:val="left"/>
              <w:rPr>
                <w:rFonts w:ascii="宋体" w:hAnsi="宋体" w:cs="宋体"/>
                <w:bCs/>
                <w:kern w:val="0"/>
                <w:szCs w:val="21"/>
                <w:highlight w:val="none"/>
              </w:rPr>
            </w:pPr>
            <w:r>
              <w:rPr>
                <w:rFonts w:hint="eastAsia" w:ascii="宋体" w:hAnsi="宋体" w:cs="宋体"/>
                <w:bCs/>
                <w:kern w:val="0"/>
                <w:szCs w:val="21"/>
                <w:highlight w:val="none"/>
              </w:rPr>
              <w:t>除资格性审查要求的证明材料外，招标文件要求提供的其他证明材料</w:t>
            </w:r>
          </w:p>
        </w:tc>
        <w:tc>
          <w:tcPr>
            <w:tcW w:w="5812" w:type="dxa"/>
            <w:vAlign w:val="center"/>
          </w:tcPr>
          <w:p>
            <w:pPr>
              <w:widowControl/>
              <w:spacing w:line="560" w:lineRule="exact"/>
              <w:rPr>
                <w:rFonts w:ascii="宋体" w:hAnsi="宋体" w:cs="宋体"/>
                <w:szCs w:val="21"/>
                <w:highlight w:val="none"/>
              </w:rPr>
            </w:pPr>
            <w:r>
              <w:rPr>
                <w:rFonts w:hint="eastAsia" w:ascii="宋体" w:hAnsi="宋体" w:cs="宋体"/>
                <w:bCs/>
                <w:kern w:val="0"/>
                <w:szCs w:val="21"/>
                <w:highlight w:val="none"/>
              </w:rPr>
              <w:t>无。</w:t>
            </w:r>
          </w:p>
        </w:tc>
        <w:tc>
          <w:tcPr>
            <w:tcW w:w="567" w:type="dxa"/>
            <w:vAlign w:val="center"/>
          </w:tcPr>
          <w:p>
            <w:pPr>
              <w:widowControl/>
              <w:spacing w:line="560" w:lineRule="exact"/>
              <w:jc w:val="center"/>
              <w:rPr>
                <w:rFonts w:ascii="宋体" w:hAnsi="宋体" w:cs="宋体"/>
                <w:b/>
                <w:bCs/>
                <w:kern w:val="0"/>
                <w:szCs w:val="21"/>
                <w:highlight w:val="none"/>
              </w:rPr>
            </w:pPr>
          </w:p>
        </w:tc>
      </w:tr>
    </w:tbl>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一、投标文件（包括投标报价表）有下列情形的，本项目不作为实质性要求进行规定，即不作为符合性审查事项，不得作为无效投标处理：</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（一）正副本数量齐全、密封完好，只是未按照招标文件要求进行分装或者统装的；</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（二）存在个别地方（不超过2个）没有法定代表人签字，但有法定代表人的私人印章或者有效授权代理人签字的；</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（三）除招标文件明确要求加盖单位(法人)公章的以外，其他地方以相关专用章加盖的；</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（四）以骑缝章的形式代替投标文件内容逐页盖章的（但是骑缝章模糊不清，印章名称无法辨认的除外）；</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（五）其他不影响采购项目实质性要求的情形。</w:t>
      </w:r>
    </w:p>
    <w:p>
      <w:pPr>
        <w:pStyle w:val="4"/>
        <w:ind w:left="0" w:firstLine="0"/>
        <w:rPr>
          <w:rFonts w:cs="宋体"/>
          <w:color w:val="auto"/>
          <w:sz w:val="24"/>
          <w:szCs w:val="24"/>
          <w:highlight w:val="none"/>
        </w:rPr>
      </w:pPr>
      <w:r>
        <w:rPr>
          <w:rFonts w:hint="eastAsia" w:cs="宋体"/>
          <w:color w:val="auto"/>
          <w:sz w:val="24"/>
          <w:szCs w:val="24"/>
          <w:highlight w:val="none"/>
        </w:rPr>
        <w:t>解释、澄清有关问题</w:t>
      </w:r>
    </w:p>
    <w:p>
      <w:pPr>
        <w:numPr>
          <w:ilvl w:val="0"/>
          <w:numId w:val="98"/>
        </w:numPr>
        <w:tabs>
          <w:tab w:val="left" w:pos="1134"/>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numPr>
          <w:ilvl w:val="0"/>
          <w:numId w:val="98"/>
        </w:numPr>
        <w:tabs>
          <w:tab w:val="left" w:pos="1134"/>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对投标文件中含义不明确、同类问题表述不一致或者有明显文字和计算错误的内容，评标委员会应当以书面形式（须由评标委员会全体成员签字）要求投标人作出必要的澄清、说明或补正，并给予投标人必要的反馈时间。投标人的澄清、说明或者补正应当采用书面形式，加盖公章或者由法定代表人或其授权的代表签字。投标人的澄清、说明或者补正不得超出投标文件的范围或者改变投标文件的实质性内容。澄清不影响投标文件的效力，有效的澄清材料，是投标文件的组成部分。</w:t>
      </w:r>
    </w:p>
    <w:p>
      <w:pPr>
        <w:numPr>
          <w:ilvl w:val="0"/>
          <w:numId w:val="98"/>
        </w:numPr>
        <w:tabs>
          <w:tab w:val="left" w:pos="1134"/>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澄清应当不超出投标文件的范围、不实质性改变投标文件的内容、不影响投标人的公平竞争、不导致投标文件从不响应招标文件变为响应招标文件的条件。下列内容不得澄清：</w:t>
      </w:r>
    </w:p>
    <w:p>
      <w:pPr>
        <w:pStyle w:val="104"/>
        <w:numPr>
          <w:ilvl w:val="0"/>
          <w:numId w:val="99"/>
        </w:numPr>
        <w:tabs>
          <w:tab w:val="left" w:pos="1260"/>
          <w:tab w:val="clear" w:pos="846"/>
        </w:tabs>
        <w:spacing w:line="360" w:lineRule="auto"/>
        <w:ind w:left="0" w:firstLine="525" w:firstLineChars="0"/>
        <w:rPr>
          <w:rFonts w:ascii="宋体" w:hAnsi="宋体" w:cs="宋体"/>
          <w:sz w:val="24"/>
          <w:szCs w:val="24"/>
          <w:highlight w:val="none"/>
        </w:rPr>
      </w:pPr>
      <w:r>
        <w:rPr>
          <w:rFonts w:hint="eastAsia" w:ascii="宋体" w:hAnsi="宋体" w:cs="宋体"/>
          <w:sz w:val="24"/>
          <w:szCs w:val="24"/>
          <w:highlight w:val="none"/>
        </w:rPr>
        <w:t>投标人投标文件中不响应招标文件规定的技术参数指标和商务应答；</w:t>
      </w:r>
    </w:p>
    <w:p>
      <w:pPr>
        <w:pStyle w:val="104"/>
        <w:numPr>
          <w:ilvl w:val="0"/>
          <w:numId w:val="99"/>
        </w:numPr>
        <w:tabs>
          <w:tab w:val="left" w:pos="1260"/>
          <w:tab w:val="clear" w:pos="846"/>
        </w:tabs>
        <w:spacing w:line="360" w:lineRule="auto"/>
        <w:ind w:left="0" w:firstLine="525" w:firstLineChars="0"/>
        <w:rPr>
          <w:rFonts w:ascii="宋体" w:hAnsi="宋体" w:cs="宋体"/>
          <w:sz w:val="24"/>
          <w:szCs w:val="24"/>
          <w:highlight w:val="none"/>
        </w:rPr>
      </w:pPr>
      <w:r>
        <w:rPr>
          <w:rFonts w:hint="eastAsia" w:ascii="宋体" w:hAnsi="宋体" w:cs="宋体"/>
          <w:sz w:val="24"/>
          <w:szCs w:val="24"/>
          <w:highlight w:val="none"/>
        </w:rPr>
        <w:t>投标人投标文件中未提供的证明其是否符合招标文件资格性、符合性规定要求的相关材料。</w:t>
      </w:r>
    </w:p>
    <w:p>
      <w:pPr>
        <w:pStyle w:val="104"/>
        <w:numPr>
          <w:ilvl w:val="0"/>
          <w:numId w:val="99"/>
        </w:numPr>
        <w:tabs>
          <w:tab w:val="left" w:pos="1260"/>
          <w:tab w:val="clear" w:pos="846"/>
        </w:tabs>
        <w:spacing w:line="360" w:lineRule="auto"/>
        <w:ind w:left="0" w:firstLine="525" w:firstLineChars="0"/>
        <w:rPr>
          <w:rFonts w:ascii="宋体" w:hAnsi="宋体" w:cs="宋体"/>
          <w:sz w:val="24"/>
          <w:szCs w:val="24"/>
          <w:highlight w:val="none"/>
        </w:rPr>
      </w:pPr>
      <w:r>
        <w:rPr>
          <w:rFonts w:hint="eastAsia" w:ascii="宋体" w:hAnsi="宋体" w:cs="宋体"/>
          <w:sz w:val="24"/>
          <w:szCs w:val="24"/>
          <w:highlight w:val="none"/>
        </w:rPr>
        <w:t>投标人投标文件中的材料因印刷、影印等不清晰而难以辨认的。</w:t>
      </w:r>
    </w:p>
    <w:p>
      <w:pPr>
        <w:numPr>
          <w:ilvl w:val="0"/>
          <w:numId w:val="98"/>
        </w:numPr>
        <w:tabs>
          <w:tab w:val="left" w:pos="1134"/>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投标文件报价出现下列情况的，按以下原则处理：</w:t>
      </w:r>
    </w:p>
    <w:p>
      <w:pPr>
        <w:pStyle w:val="104"/>
        <w:numPr>
          <w:ilvl w:val="0"/>
          <w:numId w:val="100"/>
        </w:numPr>
        <w:tabs>
          <w:tab w:val="left" w:pos="1050"/>
          <w:tab w:val="clear" w:pos="846"/>
        </w:tabs>
        <w:spacing w:line="360" w:lineRule="auto"/>
        <w:ind w:left="0" w:firstLine="525" w:firstLineChars="0"/>
        <w:rPr>
          <w:rFonts w:ascii="宋体" w:hAnsi="宋体" w:cs="宋体"/>
          <w:sz w:val="24"/>
          <w:szCs w:val="24"/>
          <w:highlight w:val="none"/>
        </w:rPr>
      </w:pPr>
      <w:r>
        <w:rPr>
          <w:rFonts w:hint="eastAsia" w:ascii="宋体" w:hAnsi="宋体" w:cs="宋体"/>
          <w:sz w:val="24"/>
          <w:szCs w:val="24"/>
          <w:highlight w:val="none"/>
        </w:rPr>
        <w:t>投标文件中的大写金额和小写金额不一致的，以大写金额为准，但大写金额出现文字错误，导致金额无法判断的除外；</w:t>
      </w:r>
    </w:p>
    <w:p>
      <w:pPr>
        <w:pStyle w:val="104"/>
        <w:numPr>
          <w:ilvl w:val="0"/>
          <w:numId w:val="100"/>
        </w:numPr>
        <w:tabs>
          <w:tab w:val="left" w:pos="1050"/>
          <w:tab w:val="clear" w:pos="846"/>
        </w:tabs>
        <w:spacing w:line="360" w:lineRule="auto"/>
        <w:ind w:left="0" w:firstLine="525" w:firstLineChars="0"/>
        <w:rPr>
          <w:rFonts w:ascii="宋体" w:hAnsi="宋体" w:cs="宋体"/>
          <w:sz w:val="24"/>
          <w:szCs w:val="24"/>
          <w:highlight w:val="none"/>
        </w:rPr>
      </w:pPr>
      <w:r>
        <w:rPr>
          <w:rFonts w:hint="eastAsia" w:ascii="宋体" w:hAnsi="宋体" w:cs="宋体"/>
          <w:sz w:val="24"/>
          <w:szCs w:val="24"/>
          <w:highlight w:val="none"/>
        </w:rPr>
        <w:t>单价金额小数点或者百分比有明显错位的，以总价为准，并修改单价；</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（三）总价金额与按单价汇总金额不一致的，以单价金额计算结果为准。</w:t>
      </w:r>
    </w:p>
    <w:p>
      <w:pPr>
        <w:spacing w:line="360" w:lineRule="auto"/>
        <w:ind w:firstLine="560"/>
        <w:rPr>
          <w:rFonts w:ascii="宋体" w:hAnsi="宋体" w:cs="宋体"/>
          <w:sz w:val="24"/>
          <w:szCs w:val="24"/>
          <w:highlight w:val="none"/>
        </w:rPr>
      </w:pPr>
      <w:r>
        <w:rPr>
          <w:rFonts w:hint="eastAsia" w:ascii="宋体" w:hAnsi="宋体" w:cs="宋体"/>
          <w:sz w:val="24"/>
          <w:szCs w:val="24"/>
          <w:highlight w:val="none"/>
        </w:rPr>
        <w:t>同时出现两种以上不一致的，按照前款规定的顺序修正。修正后的报价经投标人以书面形式进行确认，并加盖公章或者由法定代表人或其授权的代表签字后产生约束力，投标人不确认的，其投标无效。</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五、对不同语言文本投标文件的解释发生异议的，以中文文本为准。</w:t>
      </w:r>
    </w:p>
    <w:p>
      <w:pPr>
        <w:tabs>
          <w:tab w:val="left" w:pos="851"/>
        </w:tabs>
        <w:spacing w:line="360" w:lineRule="auto"/>
        <w:ind w:firstLine="484" w:firstLineChars="202"/>
        <w:rPr>
          <w:rFonts w:ascii="宋体" w:hAnsi="宋体" w:cs="宋体"/>
          <w:b/>
          <w:sz w:val="24"/>
          <w:szCs w:val="24"/>
          <w:highlight w:val="none"/>
        </w:rPr>
      </w:pPr>
      <w:r>
        <w:rPr>
          <w:rFonts w:hint="eastAsia" w:ascii="宋体" w:hAnsi="宋体" w:cs="宋体"/>
          <w:b/>
          <w:sz w:val="24"/>
          <w:szCs w:val="24"/>
          <w:highlight w:val="none"/>
        </w:rPr>
        <w:t>评标委员会应当积极履行澄清、说明或者更正的职责，不得滥用权力。投标人的投标文件可以要求澄清、说明或者更正的，不得未经澄清、说明或者更正而直接作无效投标处理。</w:t>
      </w:r>
    </w:p>
    <w:p>
      <w:pPr>
        <w:pStyle w:val="4"/>
        <w:ind w:left="0" w:firstLine="0"/>
        <w:rPr>
          <w:rFonts w:cs="宋体"/>
          <w:color w:val="auto"/>
          <w:sz w:val="24"/>
          <w:szCs w:val="24"/>
          <w:highlight w:val="none"/>
        </w:rPr>
      </w:pPr>
      <w:r>
        <w:rPr>
          <w:rFonts w:hint="eastAsia" w:cs="宋体"/>
          <w:color w:val="auto"/>
          <w:sz w:val="24"/>
          <w:szCs w:val="24"/>
          <w:highlight w:val="none"/>
        </w:rPr>
        <w:t>比较与评价</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按招标文件中规定的评标细则及标准，对符合性检查合格的投标文件进行商务和技术评估，综合比较与评价。</w:t>
      </w:r>
    </w:p>
    <w:p>
      <w:pPr>
        <w:pStyle w:val="4"/>
        <w:ind w:left="0" w:firstLine="0"/>
        <w:rPr>
          <w:rFonts w:cs="宋体"/>
          <w:color w:val="auto"/>
          <w:sz w:val="24"/>
          <w:szCs w:val="24"/>
          <w:highlight w:val="none"/>
        </w:rPr>
      </w:pPr>
      <w:r>
        <w:rPr>
          <w:rFonts w:hint="eastAsia" w:cs="宋体"/>
          <w:color w:val="auto"/>
          <w:sz w:val="24"/>
          <w:szCs w:val="24"/>
          <w:highlight w:val="none"/>
        </w:rPr>
        <w:t>复核</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一、评分汇总结束后，评标委员会应当进行复核，特别要对拟推荐为中标候选供应商的、报价最低的、投标文件被认定为无效的进行重点复核。</w:t>
      </w:r>
    </w:p>
    <w:p>
      <w:pPr>
        <w:tabs>
          <w:tab w:val="left" w:pos="851"/>
        </w:tabs>
        <w:spacing w:line="360" w:lineRule="auto"/>
        <w:ind w:firstLine="484" w:firstLineChars="202"/>
        <w:rPr>
          <w:rFonts w:ascii="宋体" w:hAnsi="宋体" w:cs="宋体"/>
          <w:sz w:val="24"/>
          <w:szCs w:val="24"/>
          <w:highlight w:val="none"/>
        </w:rPr>
      </w:pPr>
      <w:r>
        <w:rPr>
          <w:rFonts w:hint="eastAsia" w:ascii="宋体" w:hAnsi="宋体" w:cs="宋体"/>
          <w:sz w:val="24"/>
          <w:szCs w:val="24"/>
          <w:highlight w:val="none"/>
        </w:rPr>
        <w:t>二、评标结果汇总完成后，评标委员会拟出具评审报告前，招标采购单位应当组织2名以上的工作人员，在采购现场监督人员的监督之下，依据有关的法律制度和采购文件对评审结果进行复核，出具复核报告。</w:t>
      </w:r>
    </w:p>
    <w:p>
      <w:pPr>
        <w:tabs>
          <w:tab w:val="left" w:pos="851"/>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评标结果汇总完成后，除下列情形外，任何人不得修改评标结果：</w:t>
      </w:r>
    </w:p>
    <w:p>
      <w:pPr>
        <w:pStyle w:val="88"/>
        <w:numPr>
          <w:ilvl w:val="0"/>
          <w:numId w:val="101"/>
        </w:numPr>
        <w:tabs>
          <w:tab w:val="left" w:pos="851"/>
          <w:tab w:val="left" w:pos="1276"/>
        </w:tabs>
        <w:spacing w:line="360" w:lineRule="auto"/>
        <w:ind w:left="0" w:firstLine="424" w:firstLineChars="0"/>
        <w:rPr>
          <w:rFonts w:ascii="宋体" w:hAnsi="宋体" w:cs="宋体"/>
          <w:sz w:val="24"/>
          <w:szCs w:val="24"/>
          <w:highlight w:val="none"/>
        </w:rPr>
      </w:pPr>
      <w:r>
        <w:rPr>
          <w:rFonts w:hint="eastAsia" w:ascii="宋体" w:hAnsi="宋体" w:cs="宋体"/>
          <w:sz w:val="24"/>
          <w:szCs w:val="24"/>
          <w:highlight w:val="none"/>
        </w:rPr>
        <w:t>分值汇总计算错误的；</w:t>
      </w:r>
    </w:p>
    <w:p>
      <w:pPr>
        <w:pStyle w:val="88"/>
        <w:numPr>
          <w:ilvl w:val="0"/>
          <w:numId w:val="101"/>
        </w:numPr>
        <w:tabs>
          <w:tab w:val="left" w:pos="851"/>
          <w:tab w:val="left" w:pos="1276"/>
        </w:tabs>
        <w:spacing w:line="360" w:lineRule="auto"/>
        <w:ind w:left="0" w:firstLine="424" w:firstLineChars="0"/>
        <w:rPr>
          <w:rFonts w:ascii="宋体" w:hAnsi="宋体" w:cs="宋体"/>
          <w:sz w:val="24"/>
          <w:szCs w:val="24"/>
          <w:highlight w:val="none"/>
        </w:rPr>
      </w:pPr>
      <w:r>
        <w:rPr>
          <w:rFonts w:hint="eastAsia" w:ascii="宋体" w:hAnsi="宋体" w:cs="宋体"/>
          <w:sz w:val="24"/>
          <w:szCs w:val="24"/>
          <w:highlight w:val="none"/>
        </w:rPr>
        <w:t>分项评分超出评分标准范围的；</w:t>
      </w:r>
    </w:p>
    <w:p>
      <w:pPr>
        <w:pStyle w:val="88"/>
        <w:numPr>
          <w:ilvl w:val="0"/>
          <w:numId w:val="101"/>
        </w:numPr>
        <w:tabs>
          <w:tab w:val="left" w:pos="851"/>
          <w:tab w:val="left" w:pos="1276"/>
          <w:tab w:val="left" w:pos="1418"/>
        </w:tabs>
        <w:spacing w:line="360" w:lineRule="auto"/>
        <w:ind w:left="0" w:firstLine="424" w:firstLineChars="0"/>
        <w:rPr>
          <w:rFonts w:ascii="宋体" w:hAnsi="宋体" w:cs="宋体"/>
          <w:sz w:val="24"/>
          <w:szCs w:val="24"/>
          <w:highlight w:val="none"/>
        </w:rPr>
      </w:pPr>
      <w:r>
        <w:rPr>
          <w:rFonts w:hint="eastAsia" w:ascii="宋体" w:hAnsi="宋体" w:cs="宋体"/>
          <w:sz w:val="24"/>
          <w:szCs w:val="24"/>
          <w:highlight w:val="none"/>
        </w:rPr>
        <w:t>评标委员会成员对客观评审因素评分不一致的；</w:t>
      </w:r>
    </w:p>
    <w:p>
      <w:pPr>
        <w:pStyle w:val="88"/>
        <w:numPr>
          <w:ilvl w:val="0"/>
          <w:numId w:val="101"/>
        </w:numPr>
        <w:tabs>
          <w:tab w:val="left" w:pos="851"/>
          <w:tab w:val="left" w:pos="1276"/>
        </w:tabs>
        <w:spacing w:line="360" w:lineRule="auto"/>
        <w:ind w:left="0" w:firstLine="426" w:firstLineChars="0"/>
        <w:rPr>
          <w:rFonts w:ascii="宋体" w:hAnsi="宋体" w:cs="宋体"/>
          <w:sz w:val="24"/>
          <w:szCs w:val="24"/>
          <w:highlight w:val="none"/>
        </w:rPr>
      </w:pPr>
      <w:r>
        <w:rPr>
          <w:rFonts w:hint="eastAsia" w:ascii="宋体" w:hAnsi="宋体" w:cs="宋体"/>
          <w:sz w:val="24"/>
          <w:szCs w:val="24"/>
          <w:highlight w:val="none"/>
        </w:rPr>
        <w:t>经评标委员会认定评分畸高、畸低的。</w:t>
      </w:r>
    </w:p>
    <w:p>
      <w:pPr>
        <w:pStyle w:val="149"/>
        <w:spacing w:line="560" w:lineRule="exact"/>
        <w:ind w:firstLine="480" w:firstLineChars="200"/>
        <w:jc w:val="both"/>
        <w:rPr>
          <w:highlight w:val="none"/>
        </w:rPr>
      </w:pPr>
      <w:r>
        <w:rPr>
          <w:rFonts w:hint="eastAsia"/>
          <w:highlight w:val="none"/>
        </w:rPr>
        <w:t>评标报告签署前，经复核发现存在以上情形之一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评标报告签署后，招标采购单位发现存在以上情形之一的，应当组织原评标委员会进行重新评审，重新评审改变评标结果的，书面报告本级财政部门。</w:t>
      </w:r>
    </w:p>
    <w:p>
      <w:pPr>
        <w:pStyle w:val="149"/>
        <w:spacing w:line="560" w:lineRule="exact"/>
        <w:ind w:firstLine="480" w:firstLineChars="200"/>
        <w:jc w:val="both"/>
        <w:rPr>
          <w:highlight w:val="none"/>
        </w:rPr>
      </w:pPr>
      <w:r>
        <w:rPr>
          <w:rFonts w:hint="eastAsia"/>
          <w:highlight w:val="none"/>
        </w:rPr>
        <w:t>三、有下列情形之一的，不得修改评标结果或者重新评审：</w:t>
      </w:r>
    </w:p>
    <w:p>
      <w:pPr>
        <w:pStyle w:val="149"/>
        <w:spacing w:line="560" w:lineRule="exact"/>
        <w:ind w:firstLine="480" w:firstLineChars="200"/>
        <w:jc w:val="both"/>
        <w:rPr>
          <w:highlight w:val="none"/>
        </w:rPr>
      </w:pPr>
      <w:r>
        <w:rPr>
          <w:rFonts w:hint="eastAsia"/>
          <w:highlight w:val="none"/>
        </w:rPr>
        <w:t>（一）评标委员会已经出具评标报告并且离开评标现场的；</w:t>
      </w:r>
    </w:p>
    <w:p>
      <w:pPr>
        <w:pStyle w:val="149"/>
        <w:spacing w:line="560" w:lineRule="exact"/>
        <w:ind w:firstLine="480" w:firstLineChars="200"/>
        <w:jc w:val="both"/>
        <w:rPr>
          <w:highlight w:val="none"/>
        </w:rPr>
      </w:pPr>
      <w:r>
        <w:rPr>
          <w:rFonts w:hint="eastAsia"/>
          <w:highlight w:val="none"/>
        </w:rPr>
        <w:t>（二）招标采购单位现场复核时，复核工作人员数量不足的；</w:t>
      </w:r>
    </w:p>
    <w:p>
      <w:pPr>
        <w:pStyle w:val="149"/>
        <w:spacing w:line="560" w:lineRule="exact"/>
        <w:ind w:firstLine="480" w:firstLineChars="200"/>
        <w:jc w:val="both"/>
        <w:rPr>
          <w:highlight w:val="none"/>
        </w:rPr>
      </w:pPr>
      <w:r>
        <w:rPr>
          <w:rFonts w:hint="eastAsia"/>
          <w:highlight w:val="none"/>
        </w:rPr>
        <w:t>（三）招标采购单位现场复核时，没有采购监督人员现场监督的；</w:t>
      </w:r>
    </w:p>
    <w:p>
      <w:pPr>
        <w:pStyle w:val="149"/>
        <w:spacing w:line="560" w:lineRule="exact"/>
        <w:ind w:firstLine="480" w:firstLineChars="200"/>
        <w:jc w:val="both"/>
        <w:rPr>
          <w:highlight w:val="none"/>
        </w:rPr>
      </w:pPr>
      <w:r>
        <w:rPr>
          <w:rFonts w:hint="eastAsia"/>
          <w:highlight w:val="none"/>
        </w:rPr>
        <w:t>（四）招标采购单位现场复核内容超出规定范围的；</w:t>
      </w:r>
    </w:p>
    <w:p>
      <w:pPr>
        <w:pStyle w:val="149"/>
        <w:spacing w:line="560" w:lineRule="exact"/>
        <w:ind w:firstLine="480" w:firstLineChars="200"/>
        <w:jc w:val="both"/>
        <w:rPr>
          <w:highlight w:val="none"/>
        </w:rPr>
      </w:pPr>
      <w:r>
        <w:rPr>
          <w:rFonts w:hint="eastAsia"/>
          <w:highlight w:val="none"/>
        </w:rPr>
        <w:t>（五）招标采购单位未提供书面建议的。</w:t>
      </w:r>
    </w:p>
    <w:p>
      <w:pPr>
        <w:pStyle w:val="4"/>
        <w:ind w:left="0" w:firstLine="0"/>
        <w:rPr>
          <w:rFonts w:cs="宋体"/>
          <w:color w:val="auto"/>
          <w:sz w:val="24"/>
          <w:szCs w:val="24"/>
          <w:highlight w:val="none"/>
        </w:rPr>
      </w:pPr>
      <w:r>
        <w:rPr>
          <w:rFonts w:hint="eastAsia" w:cs="宋体"/>
          <w:color w:val="auto"/>
          <w:sz w:val="24"/>
          <w:szCs w:val="24"/>
          <w:highlight w:val="none"/>
        </w:rPr>
        <w:t>确定中标候选人</w:t>
      </w:r>
    </w:p>
    <w:p>
      <w:pPr>
        <w:spacing w:line="360" w:lineRule="auto"/>
        <w:ind w:firstLine="480" w:firstLineChars="200"/>
        <w:rPr>
          <w:rFonts w:ascii="宋体" w:hAnsi="宋体" w:cs="宋体"/>
          <w:sz w:val="24"/>
          <w:szCs w:val="24"/>
          <w:highlight w:val="none"/>
        </w:rPr>
      </w:pPr>
      <w:r>
        <w:rPr>
          <w:rFonts w:hint="eastAsia" w:ascii="宋体" w:hAnsi="宋体" w:cs="宋体"/>
          <w:kern w:val="0"/>
          <w:sz w:val="24"/>
          <w:szCs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提供核心产品（本项目核心产品为：</w:t>
      </w:r>
      <w:r>
        <w:rPr>
          <w:rFonts w:hint="eastAsia" w:ascii="宋体" w:hAnsi="宋体" w:cs="宋体"/>
          <w:sz w:val="24"/>
          <w:szCs w:val="24"/>
          <w:highlight w:val="none"/>
          <w:u w:val="single"/>
        </w:rPr>
        <w:t>详见每个分包的核心产品说明</w:t>
      </w:r>
      <w:r>
        <w:rPr>
          <w:rFonts w:hint="eastAsia" w:ascii="宋体" w:hAnsi="宋体" w:cs="宋体"/>
          <w:sz w:val="24"/>
          <w:szCs w:val="24"/>
          <w:highlight w:val="none"/>
        </w:rPr>
        <w:t>）品牌均相同的且通过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4"/>
        <w:ind w:left="0" w:firstLine="0"/>
        <w:rPr>
          <w:rFonts w:cs="宋体"/>
          <w:color w:val="auto"/>
          <w:sz w:val="24"/>
          <w:szCs w:val="24"/>
          <w:highlight w:val="none"/>
        </w:rPr>
      </w:pPr>
      <w:r>
        <w:rPr>
          <w:rFonts w:hint="eastAsia" w:cs="宋体"/>
          <w:color w:val="auto"/>
          <w:sz w:val="24"/>
          <w:szCs w:val="24"/>
          <w:highlight w:val="none"/>
        </w:rPr>
        <w:t>出具评标报告</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评标委员会推荐中标候选人后，应当向招标采购单位出具评标报告。评标报告应当包括下列内容： </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招标公告刊登的媒体名称、开标日期和地点；</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投标人名单和评标委员会成员名单；</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评标方法和标准；</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开标记录和评标情况及说明，包括投标无效投标人名单及原因；</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评标结果，确定的中标候选人名单或者经采购人委托直接确定的中标人；</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其他需要说明的情况，包括评标过程中投标人根据评标委员会要求进行的澄清、说明或者补正，评标委员会成员的更换等；</w:t>
      </w:r>
    </w:p>
    <w:p>
      <w:pPr>
        <w:numPr>
          <w:ilvl w:val="0"/>
          <w:numId w:val="102"/>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报价最高的投标人为中标候选人的，评标委员会应当对其报价的合理性予以特别说明。</w:t>
      </w:r>
    </w:p>
    <w:p>
      <w:pPr>
        <w:tabs>
          <w:tab w:val="left" w:pos="1155"/>
        </w:tabs>
        <w:spacing w:line="360" w:lineRule="auto"/>
        <w:ind w:firstLine="448" w:firstLineChars="187"/>
        <w:rPr>
          <w:rFonts w:ascii="宋体" w:hAnsi="宋体" w:cs="宋体"/>
          <w:sz w:val="24"/>
          <w:szCs w:val="24"/>
          <w:highlight w:val="none"/>
        </w:rPr>
      </w:pPr>
      <w:r>
        <w:rPr>
          <w:rFonts w:hint="eastAsia" w:ascii="宋体" w:hAnsi="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2"/>
        <w:rPr>
          <w:rFonts w:cs="宋体"/>
          <w:sz w:val="24"/>
          <w:szCs w:val="24"/>
          <w:highlight w:val="none"/>
        </w:rPr>
      </w:pPr>
      <w:bookmarkStart w:id="287" w:name="_Toc494464924"/>
      <w:bookmarkStart w:id="288" w:name="_Toc13652518"/>
      <w:r>
        <w:rPr>
          <w:rFonts w:hint="eastAsia" w:cs="宋体"/>
          <w:sz w:val="24"/>
          <w:szCs w:val="24"/>
          <w:highlight w:val="none"/>
        </w:rPr>
        <w:t>评标争议处理规则</w:t>
      </w:r>
      <w:bookmarkEnd w:id="287"/>
      <w:bookmarkEnd w:id="288"/>
    </w:p>
    <w:p>
      <w:pPr>
        <w:tabs>
          <w:tab w:val="left" w:pos="1155"/>
        </w:tabs>
        <w:spacing w:line="360" w:lineRule="auto"/>
        <w:ind w:firstLine="448" w:firstLineChars="187"/>
        <w:rPr>
          <w:rFonts w:ascii="宋体" w:hAnsi="宋体" w:cs="宋体"/>
          <w:sz w:val="24"/>
          <w:szCs w:val="24"/>
          <w:highlight w:val="none"/>
        </w:rPr>
      </w:pPr>
      <w:r>
        <w:rPr>
          <w:rFonts w:hint="eastAsia" w:ascii="宋体" w:hAnsi="宋体" w:cs="宋体"/>
          <w:sz w:val="24"/>
          <w:szCs w:val="24"/>
          <w:highlight w:val="none"/>
        </w:rPr>
        <w:t>评标委员会在评审过程中，对于符合性审查、对投标人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招标采购单位书面反映。招标采购单位收到书面反映后，应当书面报告采购项目同级财政部门依法处理。</w:t>
      </w:r>
    </w:p>
    <w:p>
      <w:pPr>
        <w:pStyle w:val="2"/>
        <w:rPr>
          <w:rFonts w:cs="宋体"/>
          <w:sz w:val="24"/>
          <w:szCs w:val="24"/>
          <w:highlight w:val="none"/>
        </w:rPr>
      </w:pPr>
      <w:bookmarkStart w:id="289" w:name="_Toc13652519"/>
      <w:bookmarkStart w:id="290" w:name="_Toc494464925"/>
      <w:r>
        <w:rPr>
          <w:rFonts w:hint="eastAsia" w:cs="宋体"/>
          <w:sz w:val="24"/>
          <w:szCs w:val="24"/>
          <w:highlight w:val="none"/>
        </w:rPr>
        <w:t>低于成本价投标处理</w:t>
      </w:r>
      <w:bookmarkEnd w:id="289"/>
    </w:p>
    <w:p>
      <w:pPr>
        <w:tabs>
          <w:tab w:val="left" w:pos="1155"/>
        </w:tabs>
        <w:spacing w:line="360" w:lineRule="auto"/>
        <w:ind w:firstLine="448" w:firstLineChars="187"/>
        <w:rPr>
          <w:rFonts w:ascii="宋体" w:hAnsi="宋体" w:cs="宋体"/>
          <w:sz w:val="24"/>
          <w:szCs w:val="24"/>
          <w:highlight w:val="none"/>
        </w:rPr>
      </w:pPr>
      <w:r>
        <w:rPr>
          <w:rFonts w:hint="eastAsia" w:ascii="宋体" w:hAnsi="宋体" w:cs="宋体"/>
          <w:sz w:val="24"/>
          <w:szCs w:val="24"/>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处理。（供应商应自行衡量并准备相关证明材料）</w:t>
      </w:r>
    </w:p>
    <w:p>
      <w:pPr>
        <w:tabs>
          <w:tab w:val="left" w:pos="1155"/>
        </w:tabs>
        <w:spacing w:line="360" w:lineRule="auto"/>
        <w:ind w:firstLine="448" w:firstLineChars="187"/>
        <w:rPr>
          <w:rFonts w:ascii="宋体" w:hAnsi="宋体" w:cs="宋体"/>
          <w:sz w:val="24"/>
          <w:szCs w:val="24"/>
          <w:highlight w:val="none"/>
        </w:rPr>
      </w:pPr>
      <w:r>
        <w:rPr>
          <w:rFonts w:hint="eastAsia" w:ascii="宋体" w:hAnsi="宋体" w:cs="宋体"/>
          <w:sz w:val="24"/>
          <w:szCs w:val="24"/>
          <w:highlight w:val="none"/>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tabs>
          <w:tab w:val="left" w:pos="1155"/>
        </w:tabs>
        <w:spacing w:line="360" w:lineRule="auto"/>
        <w:ind w:firstLine="448" w:firstLineChars="187"/>
        <w:rPr>
          <w:rFonts w:ascii="宋体" w:hAnsi="宋体" w:cs="宋体"/>
          <w:sz w:val="24"/>
          <w:szCs w:val="24"/>
          <w:highlight w:val="none"/>
        </w:rPr>
      </w:pPr>
      <w:r>
        <w:rPr>
          <w:rFonts w:hint="eastAsia" w:ascii="宋体" w:hAnsi="宋体" w:cs="宋体"/>
          <w:sz w:val="24"/>
          <w:szCs w:val="24"/>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2"/>
        <w:rPr>
          <w:rFonts w:cs="宋体"/>
          <w:sz w:val="24"/>
          <w:szCs w:val="24"/>
          <w:highlight w:val="none"/>
        </w:rPr>
      </w:pPr>
      <w:bookmarkStart w:id="291" w:name="_Toc13652520"/>
      <w:r>
        <w:rPr>
          <w:rFonts w:hint="eastAsia" w:cs="宋体"/>
          <w:sz w:val="24"/>
          <w:szCs w:val="24"/>
          <w:highlight w:val="none"/>
        </w:rPr>
        <w:t>评标细则及标准</w:t>
      </w:r>
      <w:bookmarkEnd w:id="290"/>
      <w:bookmarkEnd w:id="291"/>
    </w:p>
    <w:p>
      <w:pPr>
        <w:numPr>
          <w:ilvl w:val="0"/>
          <w:numId w:val="103"/>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评标委员会只对通过符合性审查的投标文件，根据招标文件的要求采用相同的评标程序、评分办法及标准进行评价和比较。</w:t>
      </w:r>
    </w:p>
    <w:p>
      <w:pPr>
        <w:numPr>
          <w:ilvl w:val="0"/>
          <w:numId w:val="103"/>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本次综合评分的因素是：详见“评分标准”。</w:t>
      </w:r>
    </w:p>
    <w:p>
      <w:pPr>
        <w:numPr>
          <w:ilvl w:val="0"/>
          <w:numId w:val="103"/>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委员会成员应依据招标文件规定的评分标准和方法独立打分，加权汇总每项评分因素的得分，得出每个有效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4"/>
        <w:ind w:left="0" w:firstLine="0"/>
        <w:rPr>
          <w:rFonts w:cs="宋体"/>
          <w:color w:val="auto"/>
          <w:sz w:val="24"/>
          <w:szCs w:val="24"/>
          <w:highlight w:val="none"/>
        </w:rPr>
      </w:pPr>
      <w:r>
        <w:rPr>
          <w:rFonts w:hint="eastAsia" w:cs="宋体"/>
          <w:color w:val="auto"/>
          <w:sz w:val="24"/>
          <w:szCs w:val="24"/>
          <w:highlight w:val="none"/>
        </w:rPr>
        <w:t>评分办法</w:t>
      </w:r>
    </w:p>
    <w:p>
      <w:pPr>
        <w:spacing w:line="360" w:lineRule="auto"/>
        <w:ind w:firstLine="540" w:firstLineChars="225"/>
        <w:rPr>
          <w:rFonts w:ascii="宋体" w:hAnsi="宋体" w:cs="宋体"/>
          <w:sz w:val="24"/>
          <w:szCs w:val="24"/>
          <w:highlight w:val="none"/>
        </w:rPr>
      </w:pPr>
      <w:r>
        <w:rPr>
          <w:rFonts w:hint="eastAsia" w:ascii="宋体" w:hAnsi="宋体" w:cs="宋体"/>
          <w:sz w:val="24"/>
          <w:szCs w:val="24"/>
          <w:highlight w:val="none"/>
        </w:rPr>
        <w:t>本次评标采用综合评分法，由评标委员会各成员独立对通过符合性审查的投标人的投标文件进行评审和打分。</w:t>
      </w:r>
    </w:p>
    <w:p>
      <w:pPr>
        <w:spacing w:line="360" w:lineRule="auto"/>
        <w:ind w:firstLine="540" w:firstLineChars="225"/>
        <w:rPr>
          <w:rFonts w:ascii="宋体" w:hAnsi="宋体" w:cs="宋体"/>
          <w:sz w:val="24"/>
          <w:szCs w:val="24"/>
          <w:highlight w:val="none"/>
        </w:rPr>
      </w:pPr>
      <w:r>
        <w:rPr>
          <w:rFonts w:hint="eastAsia" w:ascii="宋体" w:hAnsi="宋体" w:cs="宋体"/>
          <w:sz w:val="24"/>
          <w:szCs w:val="24"/>
          <w:highlight w:val="none"/>
        </w:rPr>
        <w:t>评标得分＝（A</w:t>
      </w:r>
      <w:r>
        <w:rPr>
          <w:rFonts w:hint="eastAsia" w:ascii="宋体" w:hAnsi="宋体" w:cs="宋体"/>
          <w:sz w:val="24"/>
          <w:szCs w:val="24"/>
          <w:highlight w:val="none"/>
          <w:vertAlign w:val="subscript"/>
        </w:rPr>
        <w:t>1</w:t>
      </w:r>
      <w:r>
        <w:rPr>
          <w:rFonts w:hint="eastAsia" w:ascii="宋体" w:hAnsi="宋体" w:cs="宋体"/>
          <w:sz w:val="24"/>
          <w:szCs w:val="24"/>
          <w:highlight w:val="none"/>
        </w:rPr>
        <w:t>＋A</w:t>
      </w:r>
      <w:r>
        <w:rPr>
          <w:rFonts w:hint="eastAsia" w:ascii="宋体" w:hAnsi="宋体" w:cs="宋体"/>
          <w:sz w:val="24"/>
          <w:szCs w:val="24"/>
          <w:highlight w:val="none"/>
          <w:vertAlign w:val="subscript"/>
        </w:rPr>
        <w:t>2</w:t>
      </w:r>
      <w:r>
        <w:rPr>
          <w:rFonts w:hint="eastAsia" w:ascii="宋体" w:hAnsi="宋体" w:cs="宋体"/>
          <w:sz w:val="24"/>
          <w:szCs w:val="24"/>
          <w:highlight w:val="none"/>
        </w:rPr>
        <w:t>＋……＋A</w:t>
      </w:r>
      <w:r>
        <w:rPr>
          <w:rFonts w:hint="eastAsia" w:ascii="宋体" w:hAnsi="宋体" w:cs="宋体"/>
          <w:sz w:val="24"/>
          <w:szCs w:val="24"/>
          <w:highlight w:val="none"/>
          <w:vertAlign w:val="subscript"/>
        </w:rPr>
        <w:t>n</w:t>
      </w:r>
      <w:r>
        <w:rPr>
          <w:rFonts w:hint="eastAsia" w:ascii="宋体" w:hAnsi="宋体" w:cs="宋体"/>
          <w:sz w:val="24"/>
          <w:szCs w:val="24"/>
          <w:highlight w:val="none"/>
        </w:rPr>
        <w:t>）/n</w:t>
      </w:r>
      <w:r>
        <w:rPr>
          <w:rFonts w:hint="eastAsia" w:ascii="宋体" w:hAnsi="宋体" w:cs="宋体"/>
          <w:sz w:val="24"/>
          <w:szCs w:val="24"/>
          <w:highlight w:val="none"/>
          <w:vertAlign w:val="subscript"/>
        </w:rPr>
        <w:t>1</w:t>
      </w:r>
      <w:r>
        <w:rPr>
          <w:rFonts w:hint="eastAsia" w:ascii="宋体" w:hAnsi="宋体" w:cs="宋体"/>
          <w:sz w:val="24"/>
          <w:szCs w:val="24"/>
          <w:highlight w:val="none"/>
        </w:rPr>
        <w:t>+（B</w:t>
      </w:r>
      <w:r>
        <w:rPr>
          <w:rFonts w:hint="eastAsia" w:ascii="宋体" w:hAnsi="宋体" w:cs="宋体"/>
          <w:sz w:val="24"/>
          <w:szCs w:val="24"/>
          <w:highlight w:val="none"/>
          <w:vertAlign w:val="subscript"/>
        </w:rPr>
        <w:t>1</w:t>
      </w:r>
      <w:r>
        <w:rPr>
          <w:rFonts w:hint="eastAsia" w:ascii="宋体" w:hAnsi="宋体" w:cs="宋体"/>
          <w:sz w:val="24"/>
          <w:szCs w:val="24"/>
          <w:highlight w:val="none"/>
        </w:rPr>
        <w:t>＋B</w:t>
      </w:r>
      <w:r>
        <w:rPr>
          <w:rFonts w:hint="eastAsia" w:ascii="宋体" w:hAnsi="宋体" w:cs="宋体"/>
          <w:sz w:val="24"/>
          <w:szCs w:val="24"/>
          <w:highlight w:val="none"/>
          <w:vertAlign w:val="subscript"/>
        </w:rPr>
        <w:t>2</w:t>
      </w:r>
      <w:r>
        <w:rPr>
          <w:rFonts w:hint="eastAsia" w:ascii="宋体" w:hAnsi="宋体" w:cs="宋体"/>
          <w:sz w:val="24"/>
          <w:szCs w:val="24"/>
          <w:highlight w:val="none"/>
        </w:rPr>
        <w:t>＋……＋B</w:t>
      </w:r>
      <w:r>
        <w:rPr>
          <w:rFonts w:hint="eastAsia" w:ascii="宋体" w:hAnsi="宋体" w:cs="宋体"/>
          <w:sz w:val="24"/>
          <w:szCs w:val="24"/>
          <w:highlight w:val="none"/>
          <w:vertAlign w:val="subscript"/>
        </w:rPr>
        <w:t>n</w:t>
      </w:r>
      <w:r>
        <w:rPr>
          <w:rFonts w:hint="eastAsia" w:ascii="宋体" w:hAnsi="宋体" w:cs="宋体"/>
          <w:sz w:val="24"/>
          <w:szCs w:val="24"/>
          <w:highlight w:val="none"/>
        </w:rPr>
        <w:t>）/ n</w:t>
      </w:r>
      <w:r>
        <w:rPr>
          <w:rFonts w:hint="eastAsia" w:ascii="宋体" w:hAnsi="宋体" w:cs="宋体"/>
          <w:sz w:val="24"/>
          <w:szCs w:val="24"/>
          <w:highlight w:val="none"/>
          <w:vertAlign w:val="subscript"/>
        </w:rPr>
        <w:t>2</w:t>
      </w:r>
      <w:r>
        <w:rPr>
          <w:rFonts w:hint="eastAsia" w:ascii="宋体" w:hAnsi="宋体" w:cs="宋体"/>
          <w:sz w:val="24"/>
          <w:szCs w:val="24"/>
          <w:highlight w:val="none"/>
        </w:rPr>
        <w:t>+（C</w:t>
      </w:r>
      <w:r>
        <w:rPr>
          <w:rFonts w:hint="eastAsia" w:ascii="宋体" w:hAnsi="宋体" w:cs="宋体"/>
          <w:sz w:val="24"/>
          <w:szCs w:val="24"/>
          <w:highlight w:val="none"/>
          <w:vertAlign w:val="subscript"/>
        </w:rPr>
        <w:t>1</w:t>
      </w:r>
      <w:r>
        <w:rPr>
          <w:rFonts w:hint="eastAsia" w:ascii="宋体" w:hAnsi="宋体" w:cs="宋体"/>
          <w:sz w:val="24"/>
          <w:szCs w:val="24"/>
          <w:highlight w:val="none"/>
        </w:rPr>
        <w:t>＋C</w:t>
      </w:r>
      <w:r>
        <w:rPr>
          <w:rFonts w:hint="eastAsia" w:ascii="宋体" w:hAnsi="宋体" w:cs="宋体"/>
          <w:sz w:val="24"/>
          <w:szCs w:val="24"/>
          <w:highlight w:val="none"/>
          <w:vertAlign w:val="subscript"/>
        </w:rPr>
        <w:t>2</w:t>
      </w:r>
      <w:r>
        <w:rPr>
          <w:rFonts w:hint="eastAsia" w:ascii="宋体" w:hAnsi="宋体" w:cs="宋体"/>
          <w:sz w:val="24"/>
          <w:szCs w:val="24"/>
          <w:highlight w:val="none"/>
        </w:rPr>
        <w:t>＋……＋C</w:t>
      </w:r>
      <w:r>
        <w:rPr>
          <w:rFonts w:hint="eastAsia" w:ascii="宋体" w:hAnsi="宋体" w:cs="宋体"/>
          <w:sz w:val="24"/>
          <w:szCs w:val="24"/>
          <w:highlight w:val="none"/>
          <w:vertAlign w:val="subscript"/>
        </w:rPr>
        <w:t>n</w:t>
      </w:r>
      <w:r>
        <w:rPr>
          <w:rFonts w:hint="eastAsia" w:ascii="宋体" w:hAnsi="宋体" w:cs="宋体"/>
          <w:sz w:val="24"/>
          <w:szCs w:val="24"/>
          <w:highlight w:val="none"/>
        </w:rPr>
        <w:t>）/ n</w:t>
      </w:r>
      <w:r>
        <w:rPr>
          <w:rFonts w:hint="eastAsia" w:ascii="宋体" w:hAnsi="宋体" w:cs="宋体"/>
          <w:sz w:val="24"/>
          <w:szCs w:val="24"/>
          <w:highlight w:val="none"/>
          <w:vertAlign w:val="subscript"/>
        </w:rPr>
        <w:t>3</w:t>
      </w:r>
    </w:p>
    <w:p>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A</w:t>
      </w:r>
      <w:r>
        <w:rPr>
          <w:rFonts w:hint="eastAsia" w:ascii="宋体" w:hAnsi="宋体" w:cs="宋体"/>
          <w:sz w:val="24"/>
          <w:szCs w:val="24"/>
          <w:highlight w:val="none"/>
          <w:vertAlign w:val="subscript"/>
        </w:rPr>
        <w:t>1</w:t>
      </w:r>
      <w:r>
        <w:rPr>
          <w:rFonts w:hint="eastAsia" w:ascii="宋体" w:hAnsi="宋体" w:cs="宋体"/>
          <w:sz w:val="24"/>
          <w:szCs w:val="24"/>
          <w:highlight w:val="none"/>
        </w:rPr>
        <w:t>、A</w:t>
      </w:r>
      <w:r>
        <w:rPr>
          <w:rFonts w:hint="eastAsia" w:ascii="宋体" w:hAnsi="宋体" w:cs="宋体"/>
          <w:sz w:val="24"/>
          <w:szCs w:val="24"/>
          <w:highlight w:val="none"/>
          <w:vertAlign w:val="subscript"/>
        </w:rPr>
        <w:t>2</w:t>
      </w:r>
      <w:r>
        <w:rPr>
          <w:rFonts w:hint="eastAsia" w:ascii="宋体" w:hAnsi="宋体" w:cs="宋体"/>
          <w:sz w:val="24"/>
          <w:szCs w:val="24"/>
          <w:highlight w:val="none"/>
        </w:rPr>
        <w:t>……A</w:t>
      </w:r>
      <w:r>
        <w:rPr>
          <w:rFonts w:hint="eastAsia" w:ascii="宋体" w:hAnsi="宋体" w:cs="宋体"/>
          <w:sz w:val="24"/>
          <w:szCs w:val="24"/>
          <w:highlight w:val="none"/>
          <w:vertAlign w:val="subscript"/>
        </w:rPr>
        <w:t>n</w:t>
      </w:r>
      <w:r>
        <w:rPr>
          <w:rFonts w:hint="eastAsia" w:ascii="宋体" w:hAnsi="宋体" w:cs="宋体"/>
          <w:sz w:val="24"/>
          <w:szCs w:val="24"/>
          <w:highlight w:val="none"/>
        </w:rPr>
        <w:t>分别为每个</w:t>
      </w:r>
      <w:r>
        <w:rPr>
          <w:rFonts w:hint="eastAsia" w:ascii="宋体" w:hAnsi="宋体" w:cs="宋体"/>
          <w:kern w:val="0"/>
          <w:sz w:val="24"/>
          <w:szCs w:val="24"/>
          <w:highlight w:val="none"/>
        </w:rPr>
        <w:t>经济类</w:t>
      </w:r>
      <w:r>
        <w:rPr>
          <w:rFonts w:hint="eastAsia" w:ascii="宋体" w:hAnsi="宋体" w:cs="宋体"/>
          <w:sz w:val="24"/>
          <w:szCs w:val="24"/>
          <w:highlight w:val="none"/>
        </w:rPr>
        <w:t>评委的打分，n</w:t>
      </w:r>
      <w:r>
        <w:rPr>
          <w:rFonts w:hint="eastAsia" w:ascii="宋体" w:hAnsi="宋体" w:cs="宋体"/>
          <w:sz w:val="24"/>
          <w:szCs w:val="24"/>
          <w:highlight w:val="none"/>
          <w:vertAlign w:val="subscript"/>
        </w:rPr>
        <w:t>1</w:t>
      </w:r>
      <w:r>
        <w:rPr>
          <w:rFonts w:hint="eastAsia" w:ascii="宋体" w:hAnsi="宋体" w:cs="宋体"/>
          <w:sz w:val="24"/>
          <w:szCs w:val="24"/>
          <w:highlight w:val="none"/>
        </w:rPr>
        <w:t>为</w:t>
      </w:r>
      <w:r>
        <w:rPr>
          <w:rFonts w:hint="eastAsia" w:ascii="宋体" w:hAnsi="宋体" w:cs="宋体"/>
          <w:kern w:val="0"/>
          <w:sz w:val="24"/>
          <w:szCs w:val="24"/>
          <w:highlight w:val="none"/>
        </w:rPr>
        <w:t>经济类</w:t>
      </w:r>
      <w:r>
        <w:rPr>
          <w:rFonts w:hint="eastAsia" w:ascii="宋体" w:hAnsi="宋体" w:cs="宋体"/>
          <w:sz w:val="24"/>
          <w:szCs w:val="24"/>
          <w:highlight w:val="none"/>
        </w:rPr>
        <w:t>评委人数；B</w:t>
      </w:r>
      <w:r>
        <w:rPr>
          <w:rFonts w:hint="eastAsia" w:ascii="宋体" w:hAnsi="宋体" w:cs="宋体"/>
          <w:sz w:val="24"/>
          <w:szCs w:val="24"/>
          <w:highlight w:val="none"/>
          <w:vertAlign w:val="subscript"/>
        </w:rPr>
        <w:t>1</w:t>
      </w:r>
      <w:r>
        <w:rPr>
          <w:rFonts w:hint="eastAsia" w:ascii="宋体" w:hAnsi="宋体" w:cs="宋体"/>
          <w:sz w:val="24"/>
          <w:szCs w:val="24"/>
          <w:highlight w:val="none"/>
        </w:rPr>
        <w:t>、B</w:t>
      </w:r>
      <w:r>
        <w:rPr>
          <w:rFonts w:hint="eastAsia" w:ascii="宋体" w:hAnsi="宋体" w:cs="宋体"/>
          <w:sz w:val="24"/>
          <w:szCs w:val="24"/>
          <w:highlight w:val="none"/>
          <w:vertAlign w:val="subscript"/>
        </w:rPr>
        <w:t>2</w:t>
      </w:r>
      <w:r>
        <w:rPr>
          <w:rFonts w:hint="eastAsia" w:ascii="宋体" w:hAnsi="宋体" w:cs="宋体"/>
          <w:sz w:val="24"/>
          <w:szCs w:val="24"/>
          <w:highlight w:val="none"/>
        </w:rPr>
        <w:t>＋……B</w:t>
      </w:r>
      <w:r>
        <w:rPr>
          <w:rFonts w:hint="eastAsia" w:ascii="宋体" w:hAnsi="宋体" w:cs="宋体"/>
          <w:sz w:val="24"/>
          <w:szCs w:val="24"/>
          <w:highlight w:val="none"/>
          <w:vertAlign w:val="subscript"/>
        </w:rPr>
        <w:t>n</w:t>
      </w:r>
      <w:r>
        <w:rPr>
          <w:rFonts w:hint="eastAsia" w:ascii="宋体" w:hAnsi="宋体" w:cs="宋体"/>
          <w:sz w:val="24"/>
          <w:szCs w:val="24"/>
          <w:highlight w:val="none"/>
        </w:rPr>
        <w:t xml:space="preserve"> 分别为每个技术类评委（含采购人代表）的打分，n</w:t>
      </w:r>
      <w:r>
        <w:rPr>
          <w:rFonts w:hint="eastAsia" w:ascii="宋体" w:hAnsi="宋体" w:cs="宋体"/>
          <w:sz w:val="24"/>
          <w:szCs w:val="24"/>
          <w:highlight w:val="none"/>
          <w:vertAlign w:val="subscript"/>
        </w:rPr>
        <w:t>2</w:t>
      </w:r>
      <w:r>
        <w:rPr>
          <w:rFonts w:hint="eastAsia" w:ascii="宋体" w:hAnsi="宋体" w:cs="宋体"/>
          <w:sz w:val="24"/>
          <w:szCs w:val="24"/>
          <w:highlight w:val="none"/>
        </w:rPr>
        <w:t>为</w:t>
      </w:r>
      <w:r>
        <w:rPr>
          <w:rFonts w:hint="eastAsia" w:ascii="宋体" w:hAnsi="宋体" w:cs="宋体"/>
          <w:kern w:val="0"/>
          <w:sz w:val="24"/>
          <w:szCs w:val="24"/>
          <w:highlight w:val="none"/>
        </w:rPr>
        <w:t>技术类</w:t>
      </w:r>
      <w:r>
        <w:rPr>
          <w:rFonts w:hint="eastAsia" w:ascii="宋体" w:hAnsi="宋体" w:cs="宋体"/>
          <w:sz w:val="24"/>
          <w:szCs w:val="24"/>
          <w:highlight w:val="none"/>
        </w:rPr>
        <w:t>评委（含采购人代表）人数；C</w:t>
      </w:r>
      <w:r>
        <w:rPr>
          <w:rFonts w:hint="eastAsia" w:ascii="宋体" w:hAnsi="宋体" w:cs="宋体"/>
          <w:sz w:val="24"/>
          <w:szCs w:val="24"/>
          <w:highlight w:val="none"/>
          <w:vertAlign w:val="subscript"/>
        </w:rPr>
        <w:t>1</w:t>
      </w:r>
      <w:r>
        <w:rPr>
          <w:rFonts w:hint="eastAsia" w:ascii="宋体" w:hAnsi="宋体" w:cs="宋体"/>
          <w:sz w:val="24"/>
          <w:szCs w:val="24"/>
          <w:highlight w:val="none"/>
        </w:rPr>
        <w:t>、C</w:t>
      </w:r>
      <w:r>
        <w:rPr>
          <w:rFonts w:hint="eastAsia" w:ascii="宋体" w:hAnsi="宋体" w:cs="宋体"/>
          <w:sz w:val="24"/>
          <w:szCs w:val="24"/>
          <w:highlight w:val="none"/>
          <w:vertAlign w:val="subscript"/>
        </w:rPr>
        <w:t>2</w:t>
      </w:r>
      <w:r>
        <w:rPr>
          <w:rFonts w:hint="eastAsia" w:ascii="宋体" w:hAnsi="宋体" w:cs="宋体"/>
          <w:sz w:val="24"/>
          <w:szCs w:val="24"/>
          <w:highlight w:val="none"/>
        </w:rPr>
        <w:t>……C</w:t>
      </w:r>
      <w:r>
        <w:rPr>
          <w:rFonts w:hint="eastAsia" w:ascii="宋体" w:hAnsi="宋体" w:cs="宋体"/>
          <w:sz w:val="24"/>
          <w:szCs w:val="24"/>
          <w:highlight w:val="none"/>
          <w:vertAlign w:val="subscript"/>
        </w:rPr>
        <w:t>n</w:t>
      </w:r>
      <w:r>
        <w:rPr>
          <w:rFonts w:hint="eastAsia" w:ascii="宋体" w:hAnsi="宋体" w:cs="宋体"/>
          <w:sz w:val="24"/>
          <w:szCs w:val="24"/>
          <w:highlight w:val="none"/>
        </w:rPr>
        <w:t xml:space="preserve"> 分别为评审委员会每个成员的打分，n</w:t>
      </w:r>
      <w:r>
        <w:rPr>
          <w:rFonts w:hint="eastAsia" w:ascii="宋体" w:hAnsi="宋体" w:cs="宋体"/>
          <w:sz w:val="24"/>
          <w:szCs w:val="24"/>
          <w:highlight w:val="none"/>
          <w:vertAlign w:val="subscript"/>
        </w:rPr>
        <w:t>3</w:t>
      </w:r>
      <w:r>
        <w:rPr>
          <w:rFonts w:hint="eastAsia" w:ascii="宋体" w:hAnsi="宋体" w:cs="宋体"/>
          <w:sz w:val="24"/>
          <w:szCs w:val="24"/>
          <w:highlight w:val="none"/>
        </w:rPr>
        <w:t>为评委人数。</w:t>
      </w:r>
    </w:p>
    <w:p>
      <w:pPr>
        <w:pStyle w:val="4"/>
        <w:ind w:left="0" w:firstLine="0"/>
        <w:rPr>
          <w:rFonts w:cs="宋体"/>
          <w:color w:val="auto"/>
          <w:sz w:val="24"/>
          <w:szCs w:val="24"/>
          <w:highlight w:val="none"/>
        </w:rPr>
      </w:pPr>
      <w:r>
        <w:rPr>
          <w:rFonts w:hint="eastAsia" w:cs="宋体"/>
          <w:color w:val="auto"/>
          <w:sz w:val="24"/>
          <w:szCs w:val="24"/>
          <w:highlight w:val="none"/>
        </w:rPr>
        <w:t>评分标准</w:t>
      </w:r>
    </w:p>
    <w:p>
      <w:pPr>
        <w:outlineLvl w:val="0"/>
        <w:rPr>
          <w:highlight w:val="none"/>
        </w:rPr>
      </w:pPr>
      <w:r>
        <w:rPr>
          <w:rFonts w:hint="eastAsia"/>
          <w:highlight w:val="none"/>
        </w:rPr>
        <w:t>包件5</w:t>
      </w:r>
    </w:p>
    <w:p>
      <w:pPr>
        <w:rPr>
          <w:highlight w:val="none"/>
        </w:rPr>
      </w:pPr>
    </w:p>
    <w:tbl>
      <w:tblPr>
        <w:tblStyle w:val="41"/>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703"/>
        <w:gridCol w:w="992"/>
        <w:gridCol w:w="99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68" w:type="dxa"/>
            <w:vAlign w:val="center"/>
          </w:tcPr>
          <w:p>
            <w:pPr>
              <w:widowControl/>
              <w:spacing w:line="380" w:lineRule="exact"/>
              <w:jc w:val="center"/>
              <w:rPr>
                <w:rFonts w:ascii="宋体" w:hAnsi="宋体" w:cs="宋体"/>
                <w:b/>
                <w:bCs/>
                <w:kern w:val="0"/>
                <w:sz w:val="24"/>
                <w:szCs w:val="24"/>
                <w:highlight w:val="none"/>
              </w:rPr>
            </w:pPr>
            <w:r>
              <w:rPr>
                <w:rFonts w:hint="eastAsia" w:ascii="宋体" w:hAnsi="宋体" w:cs="宋体"/>
                <w:b/>
                <w:bCs/>
                <w:kern w:val="0"/>
                <w:sz w:val="24"/>
                <w:szCs w:val="24"/>
                <w:highlight w:val="none"/>
              </w:rPr>
              <w:t>评审因素</w:t>
            </w:r>
          </w:p>
        </w:tc>
        <w:tc>
          <w:tcPr>
            <w:tcW w:w="5703" w:type="dxa"/>
            <w:vAlign w:val="center"/>
          </w:tcPr>
          <w:p>
            <w:pPr>
              <w:widowControl/>
              <w:spacing w:line="380" w:lineRule="exact"/>
              <w:jc w:val="center"/>
              <w:rPr>
                <w:rFonts w:ascii="宋体" w:hAnsi="宋体" w:cs="宋体"/>
                <w:b/>
                <w:bCs/>
                <w:kern w:val="0"/>
                <w:sz w:val="24"/>
                <w:szCs w:val="24"/>
                <w:highlight w:val="none"/>
              </w:rPr>
            </w:pPr>
            <w:r>
              <w:rPr>
                <w:rFonts w:hint="eastAsia" w:ascii="宋体" w:hAnsi="宋体" w:cs="宋体"/>
                <w:b/>
                <w:bCs/>
                <w:kern w:val="0"/>
                <w:sz w:val="24"/>
                <w:szCs w:val="24"/>
                <w:highlight w:val="none"/>
              </w:rPr>
              <w:t>评分标准</w:t>
            </w:r>
          </w:p>
        </w:tc>
        <w:tc>
          <w:tcPr>
            <w:tcW w:w="992" w:type="dxa"/>
            <w:vAlign w:val="center"/>
          </w:tcPr>
          <w:p>
            <w:pPr>
              <w:widowControl/>
              <w:spacing w:line="380" w:lineRule="exact"/>
              <w:jc w:val="center"/>
              <w:rPr>
                <w:rFonts w:ascii="宋体" w:hAnsi="宋体" w:cs="宋体"/>
                <w:b/>
                <w:bCs/>
                <w:kern w:val="0"/>
                <w:sz w:val="24"/>
                <w:szCs w:val="24"/>
                <w:highlight w:val="none"/>
              </w:rPr>
            </w:pPr>
            <w:r>
              <w:rPr>
                <w:rFonts w:hint="eastAsia" w:ascii="宋体" w:hAnsi="宋体" w:cs="宋体"/>
                <w:b/>
                <w:bCs/>
                <w:kern w:val="0"/>
                <w:sz w:val="24"/>
                <w:szCs w:val="24"/>
                <w:highlight w:val="none"/>
              </w:rPr>
              <w:t>分值</w:t>
            </w:r>
          </w:p>
        </w:tc>
        <w:tc>
          <w:tcPr>
            <w:tcW w:w="992" w:type="dxa"/>
            <w:vAlign w:val="center"/>
          </w:tcPr>
          <w:p>
            <w:pPr>
              <w:widowControl/>
              <w:spacing w:line="380" w:lineRule="exact"/>
              <w:jc w:val="center"/>
              <w:rPr>
                <w:rFonts w:ascii="宋体" w:hAnsi="宋体" w:cs="宋体"/>
                <w:b/>
                <w:bCs/>
                <w:kern w:val="0"/>
                <w:sz w:val="24"/>
                <w:szCs w:val="24"/>
                <w:highlight w:val="none"/>
              </w:rPr>
            </w:pPr>
            <w:r>
              <w:rPr>
                <w:rFonts w:hint="eastAsia" w:ascii="宋体" w:hAnsi="宋体" w:cs="宋体"/>
                <w:b/>
                <w:bCs/>
                <w:kern w:val="0"/>
                <w:sz w:val="24"/>
                <w:szCs w:val="24"/>
                <w:highlight w:val="none"/>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68" w:type="dxa"/>
            <w:vAlign w:val="center"/>
          </w:tcPr>
          <w:p>
            <w:pPr>
              <w:widowControl/>
              <w:spacing w:line="380" w:lineRule="exact"/>
              <w:rPr>
                <w:rFonts w:ascii="宋体" w:hAnsi="宋体" w:cs="宋体"/>
                <w:b/>
                <w:kern w:val="0"/>
                <w:sz w:val="24"/>
                <w:szCs w:val="24"/>
                <w:highlight w:val="none"/>
              </w:rPr>
            </w:pPr>
            <w:r>
              <w:rPr>
                <w:rFonts w:hint="eastAsia" w:ascii="宋体" w:hAnsi="宋体" w:cs="宋体"/>
                <w:b/>
                <w:kern w:val="0"/>
                <w:sz w:val="24"/>
                <w:szCs w:val="24"/>
                <w:highlight w:val="none"/>
              </w:rPr>
              <w:t>报价评审</w:t>
            </w:r>
          </w:p>
        </w:tc>
        <w:tc>
          <w:tcPr>
            <w:tcW w:w="5703" w:type="dxa"/>
            <w:vAlign w:val="center"/>
          </w:tcPr>
          <w:p>
            <w:pPr>
              <w:widowControl/>
              <w:numPr>
                <w:ilvl w:val="3"/>
                <w:numId w:val="104"/>
              </w:numPr>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对小型企业、微型企业、监狱企业、残疾人福利性单位生产的产品的价格（如涉及）给予10%的扣除，用扣除后的价格参与评审；</w:t>
            </w:r>
          </w:p>
          <w:p>
            <w:pPr>
              <w:widowControl/>
              <w:numPr>
                <w:ilvl w:val="3"/>
                <w:numId w:val="104"/>
              </w:numPr>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经评标委员会评审，通过符合性审查且投标报价最低的投标人的投标报价作为评标基准价；</w:t>
            </w:r>
          </w:p>
          <w:p>
            <w:pPr>
              <w:widowControl/>
              <w:numPr>
                <w:ilvl w:val="3"/>
                <w:numId w:val="104"/>
              </w:numPr>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投标报价得分=(评标基准价／投标报价)×</w:t>
            </w:r>
            <w:r>
              <w:rPr>
                <w:rFonts w:hint="eastAsia" w:ascii="宋体" w:hAnsi="宋体" w:cs="宋体"/>
                <w:kern w:val="0"/>
                <w:sz w:val="24"/>
                <w:szCs w:val="24"/>
                <w:highlight w:val="none"/>
                <w:u w:val="single"/>
              </w:rPr>
              <w:t>30</w:t>
            </w:r>
            <w:r>
              <w:rPr>
                <w:rFonts w:hint="eastAsia" w:ascii="宋体" w:hAnsi="宋体" w:cs="宋体"/>
                <w:kern w:val="0"/>
                <w:sz w:val="24"/>
                <w:szCs w:val="24"/>
                <w:highlight w:val="none"/>
              </w:rPr>
              <w:t>。</w:t>
            </w:r>
          </w:p>
          <w:p>
            <w:pPr>
              <w:autoSpaceDE w:val="0"/>
              <w:autoSpaceDN w:val="0"/>
              <w:spacing w:line="380" w:lineRule="exact"/>
              <w:rPr>
                <w:rFonts w:ascii="宋体" w:hAnsi="宋体" w:cs="宋体"/>
                <w:kern w:val="0"/>
                <w:sz w:val="24"/>
                <w:szCs w:val="24"/>
                <w:highlight w:val="none"/>
              </w:rPr>
            </w:pPr>
            <w:r>
              <w:rPr>
                <w:rFonts w:hint="eastAsia" w:ascii="宋体" w:hAnsi="宋体" w:cs="宋体"/>
                <w:kern w:val="0"/>
                <w:sz w:val="24"/>
                <w:szCs w:val="24"/>
                <w:highlight w:val="none"/>
              </w:rPr>
              <w:t>（说明：同一产品仅作一次价格扣除。）</w:t>
            </w:r>
          </w:p>
        </w:tc>
        <w:tc>
          <w:tcPr>
            <w:tcW w:w="992" w:type="dxa"/>
            <w:vAlign w:val="center"/>
          </w:tcPr>
          <w:p>
            <w:pPr>
              <w:spacing w:line="380" w:lineRule="exact"/>
              <w:jc w:val="center"/>
              <w:rPr>
                <w:rFonts w:ascii="宋体" w:hAnsi="宋体" w:cs="宋体"/>
                <w:kern w:val="0"/>
                <w:sz w:val="24"/>
                <w:szCs w:val="24"/>
                <w:highlight w:val="none"/>
              </w:rPr>
            </w:pPr>
            <w:r>
              <w:rPr>
                <w:rFonts w:hint="eastAsia" w:ascii="宋体" w:hAnsi="宋体" w:cs="宋体"/>
                <w:kern w:val="0"/>
                <w:sz w:val="24"/>
                <w:szCs w:val="24"/>
                <w:highlight w:val="none"/>
                <w:u w:val="single"/>
              </w:rPr>
              <w:t>30</w:t>
            </w:r>
            <w:r>
              <w:rPr>
                <w:rFonts w:hint="eastAsia" w:ascii="宋体" w:hAnsi="宋体" w:cs="宋体"/>
                <w:kern w:val="0"/>
                <w:sz w:val="24"/>
                <w:szCs w:val="24"/>
                <w:highlight w:val="none"/>
              </w:rPr>
              <w:t>分</w:t>
            </w:r>
          </w:p>
        </w:tc>
        <w:tc>
          <w:tcPr>
            <w:tcW w:w="992" w:type="dxa"/>
          </w:tcPr>
          <w:p>
            <w:pPr>
              <w:spacing w:line="380" w:lineRule="exact"/>
              <w:jc w:val="center"/>
              <w:rPr>
                <w:rFonts w:ascii="宋体" w:hAnsi="宋体" w:cs="宋体"/>
                <w:kern w:val="0"/>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80" w:hRule="atLeast"/>
        </w:trPr>
        <w:tc>
          <w:tcPr>
            <w:tcW w:w="1668" w:type="dxa"/>
            <w:vAlign w:val="center"/>
          </w:tcPr>
          <w:p>
            <w:pPr>
              <w:spacing w:line="380" w:lineRule="exact"/>
              <w:ind w:right="210" w:rightChars="100"/>
              <w:rPr>
                <w:rFonts w:ascii="宋体" w:hAnsi="宋体" w:cs="宋体"/>
                <w:b/>
                <w:kern w:val="0"/>
                <w:sz w:val="24"/>
                <w:szCs w:val="24"/>
                <w:highlight w:val="none"/>
              </w:rPr>
            </w:pPr>
            <w:r>
              <w:rPr>
                <w:rFonts w:hint="eastAsia" w:ascii="宋体" w:hAnsi="宋体" w:cs="宋体"/>
                <w:b/>
                <w:sz w:val="24"/>
                <w:szCs w:val="24"/>
                <w:highlight w:val="none"/>
              </w:rPr>
              <w:t>技术评审</w:t>
            </w:r>
          </w:p>
        </w:tc>
        <w:tc>
          <w:tcPr>
            <w:tcW w:w="5703" w:type="dxa"/>
            <w:vAlign w:val="center"/>
          </w:tcPr>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一、技术参数部分（30分）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1.投标人投标产品的技术参数完全满足文件要求的，得30分；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2.投标人投标产品的技术参数不满足招标文件技术参数及要求的，则在30分的基础上，按以下原则扣分。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（1）投标产品的技术参数中每有一项不满足加▲参数的，扣 1.5分；（说明：此类参数共 10条，共15分）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（2）投标产品的技术参数中每有一项不满足未加▲、★和【现场演示】参数的，扣 0.0625分；（说明：此类参数共240条，共15分）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二、演示部分（15分）</w:t>
            </w:r>
          </w:p>
          <w:p>
            <w:pPr>
              <w:pStyle w:val="88"/>
              <w:tabs>
                <w:tab w:val="left" w:pos="0"/>
                <w:tab w:val="left" w:pos="192"/>
                <w:tab w:val="left" w:pos="274"/>
                <w:tab w:val="left" w:pos="334"/>
                <w:tab w:val="left" w:pos="694"/>
              </w:tabs>
              <w:autoSpaceDE w:val="0"/>
              <w:autoSpaceDN w:val="0"/>
              <w:spacing w:line="380" w:lineRule="exact"/>
              <w:ind w:firstLine="0" w:firstLineChars="0"/>
              <w:rPr>
                <w:rFonts w:ascii="宋体" w:hAnsi="宋体" w:cs="宋体"/>
                <w:kern w:val="2"/>
                <w:sz w:val="24"/>
                <w:szCs w:val="24"/>
                <w:highlight w:val="none"/>
              </w:rPr>
            </w:pPr>
            <w:r>
              <w:rPr>
                <w:rFonts w:hint="eastAsia" w:ascii="宋体" w:hAnsi="宋体" w:cs="宋体"/>
                <w:kern w:val="2"/>
                <w:sz w:val="24"/>
                <w:szCs w:val="24"/>
                <w:highlight w:val="none"/>
              </w:rPr>
              <w:t>技术参数中共有5条参数要求“现场演示”，演示符合参数要求的，每符合一项得3分，共15分；无演示或演示不符合参数要求的项不得分。（演示的硬件产品必须是应用级产品，不能采用实验板；演示的软件产品必须是成熟的行业应用软件或专门针对职业教学的完整实训软件，不能采用DEMO测试软件，也不接受视频和PPT演示说明）</w:t>
            </w:r>
          </w:p>
        </w:tc>
        <w:tc>
          <w:tcPr>
            <w:tcW w:w="992" w:type="dxa"/>
            <w:vAlign w:val="center"/>
          </w:tcPr>
          <w:p>
            <w:pPr>
              <w:widowControl/>
              <w:spacing w:line="380" w:lineRule="exact"/>
              <w:jc w:val="center"/>
              <w:rPr>
                <w:rFonts w:ascii="宋体" w:hAnsi="宋体" w:cs="宋体"/>
                <w:kern w:val="0"/>
                <w:sz w:val="24"/>
                <w:szCs w:val="24"/>
                <w:highlight w:val="none"/>
              </w:rPr>
            </w:pPr>
            <w:r>
              <w:rPr>
                <w:rFonts w:hint="eastAsia" w:ascii="宋体" w:hAnsi="宋体" w:cs="宋体"/>
                <w:kern w:val="0"/>
                <w:sz w:val="24"/>
                <w:szCs w:val="24"/>
                <w:highlight w:val="none"/>
                <w:u w:val="single"/>
              </w:rPr>
              <w:t>45</w:t>
            </w:r>
            <w:r>
              <w:rPr>
                <w:rFonts w:hint="eastAsia" w:ascii="宋体" w:hAnsi="宋体" w:cs="宋体"/>
                <w:kern w:val="0"/>
                <w:sz w:val="24"/>
                <w:szCs w:val="24"/>
                <w:highlight w:val="none"/>
              </w:rPr>
              <w:t>分</w:t>
            </w:r>
          </w:p>
        </w:tc>
        <w:tc>
          <w:tcPr>
            <w:tcW w:w="992" w:type="dxa"/>
          </w:tcPr>
          <w:p>
            <w:pPr>
              <w:widowControl/>
              <w:spacing w:line="380" w:lineRule="exact"/>
              <w:jc w:val="center"/>
              <w:rPr>
                <w:rFonts w:ascii="宋体" w:hAnsi="宋体" w:cs="宋体"/>
                <w:kern w:val="0"/>
                <w:sz w:val="24"/>
                <w:szCs w:val="24"/>
                <w:highlight w:val="none"/>
              </w:rPr>
            </w:pPr>
            <w:r>
              <w:rPr>
                <w:rFonts w:hint="eastAsia" w:ascii="宋体" w:hAnsi="宋体" w:cs="宋体"/>
                <w:sz w:val="24"/>
                <w:szCs w:val="24"/>
                <w:highlight w:val="none"/>
              </w:rPr>
              <w:t>技术类评分因素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380" w:lineRule="exact"/>
              <w:ind w:right="210" w:rightChars="100"/>
              <w:rPr>
                <w:rFonts w:ascii="宋体" w:hAnsi="宋体" w:cs="宋体"/>
                <w:b/>
                <w:sz w:val="24"/>
                <w:szCs w:val="24"/>
                <w:highlight w:val="none"/>
              </w:rPr>
            </w:pPr>
            <w:r>
              <w:rPr>
                <w:szCs w:val="21"/>
                <w:highlight w:val="none"/>
              </w:rPr>
              <w:t>项目实施方案</w:t>
            </w:r>
          </w:p>
        </w:tc>
        <w:tc>
          <w:tcPr>
            <w:tcW w:w="5703" w:type="dxa"/>
            <w:vAlign w:val="center"/>
          </w:tcPr>
          <w:p>
            <w:pPr>
              <w:wordWrap w:val="0"/>
              <w:spacing w:line="360" w:lineRule="auto"/>
              <w:ind w:right="73" w:rightChars="35"/>
              <w:rPr>
                <w:szCs w:val="21"/>
                <w:highlight w:val="none"/>
              </w:rPr>
            </w:pPr>
            <w:r>
              <w:rPr>
                <w:rFonts w:hint="eastAsia"/>
                <w:szCs w:val="21"/>
                <w:highlight w:val="none"/>
              </w:rPr>
              <w:t>根据投标人针对本项目提供的实施方案进行评分：</w:t>
            </w:r>
          </w:p>
          <w:p>
            <w:pPr>
              <w:wordWrap w:val="0"/>
              <w:spacing w:line="360" w:lineRule="auto"/>
              <w:ind w:right="73" w:rightChars="35"/>
              <w:rPr>
                <w:szCs w:val="21"/>
                <w:highlight w:val="none"/>
              </w:rPr>
            </w:pPr>
            <w:r>
              <w:rPr>
                <w:rFonts w:hint="eastAsia"/>
                <w:szCs w:val="21"/>
                <w:highlight w:val="none"/>
              </w:rPr>
              <w:t>1、根据投标人针对本项目提供的实施方案进行评分：</w:t>
            </w:r>
          </w:p>
          <w:p>
            <w:pPr>
              <w:wordWrap w:val="0"/>
              <w:spacing w:line="360" w:lineRule="auto"/>
              <w:ind w:right="73" w:rightChars="35"/>
              <w:rPr>
                <w:szCs w:val="21"/>
                <w:highlight w:val="none"/>
              </w:rPr>
            </w:pPr>
            <w:r>
              <w:rPr>
                <w:rFonts w:hint="eastAsia"/>
                <w:szCs w:val="21"/>
                <w:highlight w:val="none"/>
              </w:rPr>
              <w:t>（1）根据项目组织机构方案（至少包含①各职能机构的构成、②各自职责③相互关系），每有一项内容齐全得1分，本项共3分。每有一项内容缺失扣1分，3分扣完为止。</w:t>
            </w:r>
          </w:p>
          <w:p>
            <w:pPr>
              <w:wordWrap w:val="0"/>
              <w:spacing w:line="360" w:lineRule="auto"/>
              <w:ind w:right="73" w:rightChars="35"/>
              <w:rPr>
                <w:szCs w:val="21"/>
                <w:highlight w:val="none"/>
              </w:rPr>
            </w:pPr>
            <w:r>
              <w:rPr>
                <w:rFonts w:hint="eastAsia"/>
                <w:szCs w:val="21"/>
                <w:highlight w:val="none"/>
              </w:rPr>
              <w:t>（2）根据项目人员组成方案（至少包含①项目负责人学位证书（电子、信息、计算机类理工类专业本科及以上）、②职称证书（电子、信息、计算机类中级及以上）、③项目组成人员清单）每有一项内容齐全得1分，本项共</w:t>
            </w:r>
            <w:r>
              <w:rPr>
                <w:szCs w:val="21"/>
                <w:highlight w:val="none"/>
              </w:rPr>
              <w:t>3</w:t>
            </w:r>
            <w:r>
              <w:rPr>
                <w:rFonts w:hint="eastAsia"/>
                <w:szCs w:val="21"/>
                <w:highlight w:val="none"/>
              </w:rPr>
              <w:t>分。每有一项内容缺失不得分。</w:t>
            </w:r>
          </w:p>
          <w:p>
            <w:pPr>
              <w:wordWrap w:val="0"/>
              <w:spacing w:line="360" w:lineRule="auto"/>
              <w:ind w:right="73" w:rightChars="35"/>
              <w:rPr>
                <w:szCs w:val="21"/>
                <w:highlight w:val="none"/>
              </w:rPr>
            </w:pPr>
            <w:r>
              <w:rPr>
                <w:rFonts w:hint="eastAsia"/>
                <w:szCs w:val="21"/>
                <w:highlight w:val="none"/>
              </w:rPr>
              <w:t>（3）根据项目关键技术预案（至少包含关键工序。）内容齐全得3分，缺失关键工序不得分，未提供不得分。</w:t>
            </w:r>
          </w:p>
          <w:p>
            <w:pPr>
              <w:wordWrap w:val="0"/>
              <w:spacing w:line="360" w:lineRule="auto"/>
              <w:ind w:right="73" w:rightChars="35"/>
              <w:rPr>
                <w:szCs w:val="21"/>
                <w:highlight w:val="none"/>
              </w:rPr>
            </w:pPr>
            <w:r>
              <w:rPr>
                <w:rFonts w:hint="eastAsia"/>
                <w:szCs w:val="21"/>
                <w:highlight w:val="none"/>
              </w:rPr>
              <w:t>（4）根据项目质量安全方案（至少包含①安全总体要求、②施工危险因素分析、③安全措施、④重大施工步骤安全预案）每有一项内容齐全得1分，本项共4分。每有一项内容缺失扣1分，4分扣完为止。</w:t>
            </w:r>
          </w:p>
          <w:p>
            <w:pPr>
              <w:wordWrap w:val="0"/>
              <w:spacing w:line="360" w:lineRule="auto"/>
              <w:ind w:right="73" w:rightChars="35"/>
              <w:rPr>
                <w:rFonts w:ascii="宋体" w:hAnsi="宋体" w:cs="宋体"/>
                <w:sz w:val="24"/>
                <w:szCs w:val="24"/>
                <w:highlight w:val="none"/>
              </w:rPr>
            </w:pPr>
            <w:r>
              <w:rPr>
                <w:rFonts w:hint="eastAsia"/>
                <w:szCs w:val="21"/>
                <w:highlight w:val="none"/>
              </w:rPr>
              <w:t>（5）提供项目工期及进度计划方案的得2分，没有的不得分。</w:t>
            </w:r>
          </w:p>
        </w:tc>
        <w:tc>
          <w:tcPr>
            <w:tcW w:w="992" w:type="dxa"/>
            <w:vAlign w:val="center"/>
          </w:tcPr>
          <w:p>
            <w:pPr>
              <w:widowControl/>
              <w:spacing w:line="380" w:lineRule="exact"/>
              <w:jc w:val="center"/>
              <w:rPr>
                <w:rFonts w:ascii="宋体" w:hAnsi="宋体" w:cs="宋体"/>
                <w:kern w:val="0"/>
                <w:sz w:val="24"/>
                <w:szCs w:val="24"/>
                <w:highlight w:val="none"/>
              </w:rPr>
            </w:pPr>
            <w:r>
              <w:rPr>
                <w:rFonts w:hint="eastAsia" w:ascii="宋体" w:hAnsi="宋体" w:cs="宋体"/>
                <w:kern w:val="0"/>
                <w:sz w:val="24"/>
                <w:szCs w:val="24"/>
                <w:highlight w:val="none"/>
                <w:u w:val="single"/>
              </w:rPr>
              <w:t>15</w:t>
            </w:r>
            <w:r>
              <w:rPr>
                <w:rFonts w:hint="eastAsia" w:ascii="宋体" w:hAnsi="宋体" w:cs="宋体"/>
                <w:kern w:val="0"/>
                <w:sz w:val="24"/>
                <w:szCs w:val="24"/>
                <w:highlight w:val="none"/>
              </w:rPr>
              <w:t>分</w:t>
            </w:r>
          </w:p>
        </w:tc>
        <w:tc>
          <w:tcPr>
            <w:tcW w:w="992" w:type="dxa"/>
          </w:tcPr>
          <w:p>
            <w:pPr>
              <w:widowControl/>
              <w:spacing w:line="380" w:lineRule="exact"/>
              <w:jc w:val="center"/>
              <w:rPr>
                <w:rFonts w:ascii="宋体" w:hAnsi="宋体" w:cs="宋体"/>
                <w:kern w:val="0"/>
                <w:sz w:val="24"/>
                <w:szCs w:val="24"/>
                <w:highlight w:val="none"/>
              </w:rPr>
            </w:pPr>
            <w:r>
              <w:rPr>
                <w:rFonts w:hint="eastAsia" w:ascii="宋体" w:hAnsi="宋体" w:cs="宋体"/>
                <w:sz w:val="24"/>
                <w:szCs w:val="24"/>
                <w:highlight w:val="none"/>
              </w:rPr>
              <w:t>技术类评分因素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380" w:lineRule="exact"/>
              <w:ind w:right="210" w:rightChars="100"/>
              <w:rPr>
                <w:rFonts w:ascii="宋体" w:hAnsi="宋体" w:cs="宋体"/>
                <w:b/>
                <w:sz w:val="24"/>
                <w:szCs w:val="24"/>
                <w:highlight w:val="none"/>
              </w:rPr>
            </w:pPr>
            <w:r>
              <w:rPr>
                <w:rFonts w:hint="eastAsia" w:ascii="宋体" w:hAnsi="宋体" w:cs="宋体"/>
                <w:sz w:val="24"/>
                <w:szCs w:val="24"/>
                <w:highlight w:val="none"/>
              </w:rPr>
              <w:t>履约能力</w:t>
            </w:r>
          </w:p>
        </w:tc>
        <w:tc>
          <w:tcPr>
            <w:tcW w:w="5703" w:type="dxa"/>
            <w:vAlign w:val="center"/>
          </w:tcPr>
          <w:p>
            <w:pPr>
              <w:wordWrap w:val="0"/>
              <w:spacing w:line="360" w:lineRule="auto"/>
              <w:ind w:right="73" w:rightChars="35"/>
              <w:rPr>
                <w:rFonts w:ascii="宋体" w:hAnsi="宋体" w:cs="宋体"/>
                <w:sz w:val="24"/>
                <w:szCs w:val="24"/>
                <w:highlight w:val="none"/>
              </w:rPr>
            </w:pPr>
            <w:r>
              <w:rPr>
                <w:rFonts w:hint="eastAsia" w:ascii="宋体" w:hAnsi="宋体" w:cs="宋体"/>
                <w:sz w:val="24"/>
                <w:szCs w:val="24"/>
                <w:highlight w:val="none"/>
              </w:rPr>
              <w:t>投标人 2019年1月1日以后（含1日）以来的类似项目建设合同（合同内容至少包含智慧城市、传感器、无线通信、自动识别等中的一项实训设备）的，有一个得2分，一共8分，没有不得分。</w:t>
            </w:r>
          </w:p>
          <w:p>
            <w:pPr>
              <w:wordWrap w:val="0"/>
              <w:spacing w:line="360" w:lineRule="auto"/>
              <w:ind w:right="73" w:rightChars="35"/>
              <w:rPr>
                <w:rFonts w:ascii="宋体" w:hAnsi="宋体" w:cs="宋体"/>
                <w:sz w:val="24"/>
                <w:szCs w:val="24"/>
                <w:highlight w:val="none"/>
              </w:rPr>
            </w:pPr>
            <w:r>
              <w:rPr>
                <w:rFonts w:hint="eastAsia" w:ascii="宋体" w:hAnsi="宋体" w:cs="宋体"/>
                <w:sz w:val="24"/>
                <w:szCs w:val="24"/>
                <w:highlight w:val="none"/>
              </w:rPr>
              <w:t>【说明：①提供中标通知书或合同复印件；②合同款项支付的银行票据复印件（如合同款项为分期付款的，至少提供一次支付合同款项的银行票据）】</w:t>
            </w:r>
          </w:p>
        </w:tc>
        <w:tc>
          <w:tcPr>
            <w:tcW w:w="992" w:type="dxa"/>
            <w:vAlign w:val="center"/>
          </w:tcPr>
          <w:p>
            <w:pPr>
              <w:widowControl/>
              <w:spacing w:line="380" w:lineRule="exact"/>
              <w:jc w:val="center"/>
              <w:rPr>
                <w:rFonts w:ascii="宋体" w:hAnsi="宋体" w:cs="宋体"/>
                <w:kern w:val="0"/>
                <w:sz w:val="24"/>
                <w:szCs w:val="24"/>
                <w:highlight w:val="none"/>
                <w:u w:val="single"/>
              </w:rPr>
            </w:pPr>
            <w:r>
              <w:rPr>
                <w:rFonts w:hint="eastAsia" w:ascii="宋体" w:hAnsi="宋体" w:cs="宋体"/>
                <w:kern w:val="0"/>
                <w:sz w:val="24"/>
                <w:szCs w:val="24"/>
                <w:highlight w:val="none"/>
                <w:u w:val="single"/>
              </w:rPr>
              <w:t>8分</w:t>
            </w:r>
          </w:p>
        </w:tc>
        <w:tc>
          <w:tcPr>
            <w:tcW w:w="992" w:type="dxa"/>
          </w:tcPr>
          <w:p>
            <w:pPr>
              <w:rPr>
                <w:rFonts w:ascii="宋体" w:hAnsi="宋体" w:cs="宋体"/>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380" w:lineRule="exact"/>
              <w:ind w:right="210" w:rightChars="100"/>
              <w:rPr>
                <w:rFonts w:ascii="宋体" w:hAnsi="宋体" w:cs="宋体"/>
                <w:b/>
                <w:sz w:val="24"/>
                <w:szCs w:val="24"/>
                <w:highlight w:val="none"/>
              </w:rPr>
            </w:pPr>
            <w:r>
              <w:rPr>
                <w:rFonts w:hint="eastAsia" w:ascii="宋体" w:hAnsi="宋体" w:cs="宋体"/>
                <w:sz w:val="24"/>
                <w:szCs w:val="24"/>
                <w:highlight w:val="none"/>
              </w:rPr>
              <w:t>政策扶持</w:t>
            </w:r>
          </w:p>
        </w:tc>
        <w:tc>
          <w:tcPr>
            <w:tcW w:w="5703" w:type="dxa"/>
            <w:vAlign w:val="center"/>
          </w:tcPr>
          <w:p>
            <w:pPr>
              <w:spacing w:line="500" w:lineRule="exact"/>
              <w:jc w:val="left"/>
              <w:rPr>
                <w:rFonts w:ascii="宋体" w:hAnsi="宋体" w:cs="宋体"/>
                <w:sz w:val="24"/>
                <w:szCs w:val="24"/>
                <w:highlight w:val="none"/>
              </w:rPr>
            </w:pPr>
            <w:r>
              <w:rPr>
                <w:rFonts w:hint="eastAsia" w:ascii="宋体" w:hAnsi="宋体" w:cs="宋体"/>
                <w:szCs w:val="21"/>
                <w:highlight w:val="none"/>
              </w:rPr>
              <w:t>1、如涉及采购的设备、材料（强制节能产品除外）属于“政府采购节能产品品目清单”内规定品目或“政府采购环境标志产品品目清单”内规定品目或无线局域网产品政府采购清单中的产品的的，每有一项得0.5分，最多得1分。非节能、环境标志、无线局域网产品的不得分。（节能、环境标志产品提供国家确定的认证机构出具的、处于有效期之内的认证证书复印件。无线局域网产品提供无线局域网认证产品政府采购清单所在页。）</w:t>
            </w:r>
          </w:p>
        </w:tc>
        <w:tc>
          <w:tcPr>
            <w:tcW w:w="992" w:type="dxa"/>
            <w:vAlign w:val="center"/>
          </w:tcPr>
          <w:p>
            <w:pPr>
              <w:widowControl/>
              <w:spacing w:line="380" w:lineRule="exact"/>
              <w:jc w:val="center"/>
              <w:rPr>
                <w:rFonts w:ascii="宋体" w:hAnsi="宋体" w:cs="宋体"/>
                <w:kern w:val="0"/>
                <w:sz w:val="24"/>
                <w:szCs w:val="24"/>
                <w:highlight w:val="none"/>
              </w:rPr>
            </w:pPr>
            <w:r>
              <w:rPr>
                <w:rFonts w:hint="eastAsia" w:ascii="宋体" w:hAnsi="宋体" w:cs="宋体"/>
                <w:kern w:val="0"/>
                <w:sz w:val="24"/>
                <w:szCs w:val="24"/>
                <w:highlight w:val="none"/>
                <w:u w:val="single"/>
              </w:rPr>
              <w:t>1</w:t>
            </w:r>
            <w:r>
              <w:rPr>
                <w:rFonts w:hint="eastAsia" w:ascii="宋体" w:hAnsi="宋体" w:cs="宋体"/>
                <w:kern w:val="0"/>
                <w:sz w:val="24"/>
                <w:szCs w:val="24"/>
                <w:highlight w:val="none"/>
              </w:rPr>
              <w:t>分</w:t>
            </w:r>
          </w:p>
        </w:tc>
        <w:tc>
          <w:tcPr>
            <w:tcW w:w="992" w:type="dxa"/>
          </w:tcPr>
          <w:p>
            <w:pPr>
              <w:widowControl/>
              <w:spacing w:line="380" w:lineRule="exact"/>
              <w:jc w:val="center"/>
              <w:rPr>
                <w:rFonts w:ascii="宋体" w:hAnsi="宋体" w:cs="宋体"/>
                <w:kern w:val="0"/>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380" w:lineRule="exact"/>
              <w:ind w:right="210" w:rightChars="100"/>
              <w:rPr>
                <w:rFonts w:ascii="宋体" w:hAnsi="宋体" w:cs="宋体"/>
                <w:sz w:val="24"/>
                <w:szCs w:val="24"/>
                <w:highlight w:val="none"/>
              </w:rPr>
            </w:pPr>
            <w:r>
              <w:rPr>
                <w:rFonts w:hint="eastAsia" w:ascii="宋体" w:hAnsi="宋体" w:cs="宋体"/>
                <w:color w:val="000000"/>
                <w:kern w:val="0"/>
                <w:sz w:val="24"/>
                <w:szCs w:val="24"/>
                <w:highlight w:val="none"/>
              </w:rPr>
              <w:t>投标文件的规范性</w:t>
            </w:r>
          </w:p>
        </w:tc>
        <w:tc>
          <w:tcPr>
            <w:tcW w:w="5703" w:type="dxa"/>
            <w:vAlign w:val="center"/>
          </w:tcPr>
          <w:p>
            <w:pPr>
              <w:spacing w:line="500" w:lineRule="exact"/>
              <w:jc w:val="left"/>
              <w:rPr>
                <w:rFonts w:ascii="宋体" w:hAnsi="宋体" w:cs="宋体"/>
                <w:szCs w:val="21"/>
                <w:highlight w:val="none"/>
              </w:rPr>
            </w:pPr>
            <w:r>
              <w:rPr>
                <w:rFonts w:hint="eastAsia" w:ascii="宋体" w:hAnsi="宋体" w:cs="宋体"/>
                <w:color w:val="000000"/>
                <w:kern w:val="0"/>
                <w:sz w:val="24"/>
                <w:szCs w:val="24"/>
                <w:highlight w:val="none"/>
              </w:rPr>
              <w:t>投标文件制作规范，没有细微偏差情形的得1分；有一项细微偏差扣0.5分，直至该项分值扣完为止。</w:t>
            </w:r>
          </w:p>
        </w:tc>
        <w:tc>
          <w:tcPr>
            <w:tcW w:w="992" w:type="dxa"/>
            <w:vAlign w:val="center"/>
          </w:tcPr>
          <w:p>
            <w:pPr>
              <w:widowControl/>
              <w:spacing w:line="380" w:lineRule="exact"/>
              <w:jc w:val="center"/>
              <w:rPr>
                <w:rFonts w:ascii="宋体" w:hAnsi="宋体" w:cs="宋体"/>
                <w:kern w:val="0"/>
                <w:sz w:val="24"/>
                <w:szCs w:val="24"/>
                <w:highlight w:val="none"/>
                <w:u w:val="single"/>
              </w:rPr>
            </w:pPr>
            <w:r>
              <w:rPr>
                <w:rFonts w:hint="eastAsia" w:ascii="宋体" w:hAnsi="宋体" w:cs="宋体"/>
                <w:kern w:val="0"/>
                <w:sz w:val="24"/>
                <w:szCs w:val="24"/>
                <w:highlight w:val="none"/>
                <w:u w:val="single"/>
              </w:rPr>
              <w:t>1</w:t>
            </w:r>
            <w:r>
              <w:rPr>
                <w:rFonts w:hint="eastAsia" w:ascii="宋体" w:hAnsi="宋体" w:cs="宋体"/>
                <w:kern w:val="0"/>
                <w:sz w:val="24"/>
                <w:szCs w:val="24"/>
                <w:highlight w:val="none"/>
              </w:rPr>
              <w:t>分</w:t>
            </w:r>
          </w:p>
        </w:tc>
        <w:tc>
          <w:tcPr>
            <w:tcW w:w="992" w:type="dxa"/>
          </w:tcPr>
          <w:p>
            <w:pPr>
              <w:widowControl/>
              <w:spacing w:line="380" w:lineRule="exact"/>
              <w:jc w:val="center"/>
              <w:rPr>
                <w:rFonts w:ascii="宋体" w:hAnsi="宋体" w:cs="宋体"/>
                <w:sz w:val="24"/>
                <w:szCs w:val="24"/>
                <w:highlight w:val="none"/>
              </w:rPr>
            </w:pPr>
            <w:r>
              <w:rPr>
                <w:rFonts w:hint="eastAsia" w:ascii="宋体" w:hAnsi="宋体" w:cs="宋体"/>
                <w:sz w:val="24"/>
                <w:szCs w:val="24"/>
                <w:highlight w:val="none"/>
              </w:rPr>
              <w:t>共同评分因素</w:t>
            </w:r>
          </w:p>
        </w:tc>
      </w:tr>
    </w:tbl>
    <w:p>
      <w:pPr>
        <w:outlineLvl w:val="0"/>
        <w:rPr>
          <w:highlight w:val="none"/>
        </w:rPr>
      </w:pPr>
      <w:r>
        <w:rPr>
          <w:rFonts w:hint="eastAsia"/>
          <w:highlight w:val="none"/>
        </w:rPr>
        <w:br w:type="page"/>
      </w:r>
      <w:r>
        <w:rPr>
          <w:rFonts w:hint="eastAsia"/>
          <w:highlight w:val="none"/>
        </w:rPr>
        <w:t>包件7</w:t>
      </w:r>
    </w:p>
    <w:p>
      <w:pPr>
        <w:rPr>
          <w:highlight w:val="none"/>
        </w:rPr>
      </w:pPr>
    </w:p>
    <w:tbl>
      <w:tblPr>
        <w:tblStyle w:val="41"/>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703"/>
        <w:gridCol w:w="992"/>
        <w:gridCol w:w="99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68" w:type="dxa"/>
            <w:vAlign w:val="center"/>
          </w:tcPr>
          <w:p>
            <w:pPr>
              <w:widowControl/>
              <w:spacing w:line="24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评审因素</w:t>
            </w:r>
          </w:p>
        </w:tc>
        <w:tc>
          <w:tcPr>
            <w:tcW w:w="5703" w:type="dxa"/>
            <w:vAlign w:val="center"/>
          </w:tcPr>
          <w:p>
            <w:pPr>
              <w:widowControl/>
              <w:spacing w:line="24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评分标准</w:t>
            </w:r>
          </w:p>
        </w:tc>
        <w:tc>
          <w:tcPr>
            <w:tcW w:w="992" w:type="dxa"/>
            <w:vAlign w:val="center"/>
          </w:tcPr>
          <w:p>
            <w:pPr>
              <w:widowControl/>
              <w:spacing w:line="24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分值</w:t>
            </w:r>
          </w:p>
        </w:tc>
        <w:tc>
          <w:tcPr>
            <w:tcW w:w="992" w:type="dxa"/>
            <w:vAlign w:val="center"/>
          </w:tcPr>
          <w:p>
            <w:pPr>
              <w:widowControl/>
              <w:spacing w:line="240" w:lineRule="auto"/>
              <w:jc w:val="center"/>
              <w:rPr>
                <w:rFonts w:ascii="宋体" w:hAnsi="宋体" w:cs="宋体"/>
                <w:b/>
                <w:bCs/>
                <w:kern w:val="0"/>
                <w:sz w:val="24"/>
                <w:szCs w:val="24"/>
                <w:highlight w:val="none"/>
              </w:rPr>
            </w:pPr>
            <w:r>
              <w:rPr>
                <w:rFonts w:hint="eastAsia" w:ascii="宋体" w:hAnsi="宋体" w:cs="宋体"/>
                <w:b/>
                <w:bCs/>
                <w:kern w:val="0"/>
                <w:sz w:val="24"/>
                <w:szCs w:val="24"/>
                <w:highlight w:val="none"/>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68" w:type="dxa"/>
            <w:vAlign w:val="center"/>
          </w:tcPr>
          <w:p>
            <w:pPr>
              <w:widowControl/>
              <w:spacing w:line="240" w:lineRule="auto"/>
              <w:rPr>
                <w:rFonts w:ascii="宋体" w:hAnsi="宋体" w:cs="宋体"/>
                <w:b/>
                <w:kern w:val="0"/>
                <w:sz w:val="24"/>
                <w:szCs w:val="24"/>
                <w:highlight w:val="none"/>
              </w:rPr>
            </w:pPr>
            <w:r>
              <w:rPr>
                <w:rFonts w:hint="eastAsia" w:ascii="宋体" w:hAnsi="宋体" w:cs="宋体"/>
                <w:b/>
                <w:kern w:val="0"/>
                <w:sz w:val="24"/>
                <w:szCs w:val="24"/>
                <w:highlight w:val="none"/>
              </w:rPr>
              <w:t>报价评审</w:t>
            </w:r>
          </w:p>
        </w:tc>
        <w:tc>
          <w:tcPr>
            <w:tcW w:w="5703" w:type="dxa"/>
            <w:vAlign w:val="center"/>
          </w:tcPr>
          <w:p>
            <w:pPr>
              <w:widowControl/>
              <w:numPr>
                <w:ilvl w:val="3"/>
                <w:numId w:val="105"/>
              </w:numPr>
              <w:spacing w:line="240" w:lineRule="auto"/>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对小型企业、微型企业、监狱企业、残疾人福利性单位生产的产品的价格（如涉及）给予10%的扣除，用扣除后的价格参与评审；</w:t>
            </w:r>
          </w:p>
          <w:p>
            <w:pPr>
              <w:widowControl/>
              <w:numPr>
                <w:ilvl w:val="3"/>
                <w:numId w:val="105"/>
              </w:numPr>
              <w:spacing w:line="240" w:lineRule="auto"/>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经评标委员会评审，通过符合性审查且投标报价最低的投标人的投标报价作为评标基准价；</w:t>
            </w:r>
          </w:p>
          <w:p>
            <w:pPr>
              <w:widowControl/>
              <w:numPr>
                <w:ilvl w:val="3"/>
                <w:numId w:val="105"/>
              </w:numPr>
              <w:spacing w:line="240" w:lineRule="auto"/>
              <w:ind w:left="0" w:firstLine="0"/>
              <w:jc w:val="left"/>
              <w:rPr>
                <w:rFonts w:ascii="宋体" w:hAnsi="宋体" w:cs="宋体"/>
                <w:kern w:val="0"/>
                <w:sz w:val="24"/>
                <w:szCs w:val="24"/>
                <w:highlight w:val="none"/>
              </w:rPr>
            </w:pPr>
            <w:r>
              <w:rPr>
                <w:rFonts w:hint="eastAsia" w:ascii="宋体" w:hAnsi="宋体" w:cs="宋体"/>
                <w:kern w:val="0"/>
                <w:sz w:val="24"/>
                <w:szCs w:val="24"/>
                <w:highlight w:val="none"/>
              </w:rPr>
              <w:t>投标报价得分=(评标基准价／投标报价)×</w:t>
            </w:r>
            <w:r>
              <w:rPr>
                <w:rFonts w:hint="eastAsia" w:ascii="宋体" w:hAnsi="宋体" w:cs="宋体"/>
                <w:kern w:val="0"/>
                <w:sz w:val="24"/>
                <w:szCs w:val="24"/>
                <w:highlight w:val="none"/>
                <w:u w:val="single"/>
              </w:rPr>
              <w:t>30</w:t>
            </w:r>
            <w:r>
              <w:rPr>
                <w:rFonts w:hint="eastAsia" w:ascii="宋体" w:hAnsi="宋体" w:cs="宋体"/>
                <w:kern w:val="0"/>
                <w:sz w:val="24"/>
                <w:szCs w:val="24"/>
                <w:highlight w:val="none"/>
              </w:rPr>
              <w:t>。</w:t>
            </w:r>
          </w:p>
          <w:p>
            <w:pPr>
              <w:autoSpaceDE w:val="0"/>
              <w:autoSpaceDN w:val="0"/>
              <w:spacing w:line="240" w:lineRule="auto"/>
              <w:rPr>
                <w:rFonts w:ascii="宋体" w:hAnsi="宋体" w:cs="宋体"/>
                <w:kern w:val="0"/>
                <w:sz w:val="24"/>
                <w:szCs w:val="24"/>
                <w:highlight w:val="none"/>
              </w:rPr>
            </w:pPr>
            <w:r>
              <w:rPr>
                <w:rFonts w:hint="eastAsia" w:ascii="宋体" w:hAnsi="宋体" w:cs="宋体"/>
                <w:kern w:val="0"/>
                <w:sz w:val="24"/>
                <w:szCs w:val="24"/>
                <w:highlight w:val="none"/>
              </w:rPr>
              <w:t>（说明：同一产品仅作一次价格扣除。）</w:t>
            </w:r>
          </w:p>
        </w:tc>
        <w:tc>
          <w:tcPr>
            <w:tcW w:w="992" w:type="dxa"/>
            <w:vAlign w:val="center"/>
          </w:tcPr>
          <w:p>
            <w:pPr>
              <w:spacing w:line="240" w:lineRule="auto"/>
              <w:jc w:val="center"/>
              <w:rPr>
                <w:rFonts w:ascii="宋体" w:hAnsi="宋体" w:cs="宋体"/>
                <w:kern w:val="0"/>
                <w:sz w:val="24"/>
                <w:szCs w:val="24"/>
                <w:highlight w:val="none"/>
              </w:rPr>
            </w:pPr>
            <w:r>
              <w:rPr>
                <w:rFonts w:hint="eastAsia" w:ascii="宋体" w:hAnsi="宋体" w:cs="宋体"/>
                <w:kern w:val="0"/>
                <w:sz w:val="24"/>
                <w:szCs w:val="24"/>
                <w:highlight w:val="none"/>
                <w:u w:val="single"/>
              </w:rPr>
              <w:t>30</w:t>
            </w:r>
            <w:r>
              <w:rPr>
                <w:rFonts w:hint="eastAsia" w:ascii="宋体" w:hAnsi="宋体" w:cs="宋体"/>
                <w:kern w:val="0"/>
                <w:sz w:val="24"/>
                <w:szCs w:val="24"/>
                <w:highlight w:val="none"/>
              </w:rPr>
              <w:t>分</w:t>
            </w:r>
          </w:p>
        </w:tc>
        <w:tc>
          <w:tcPr>
            <w:tcW w:w="992" w:type="dxa"/>
          </w:tcPr>
          <w:p>
            <w:pPr>
              <w:spacing w:line="240" w:lineRule="auto"/>
              <w:jc w:val="center"/>
              <w:rPr>
                <w:rFonts w:ascii="宋体" w:hAnsi="宋体" w:cs="宋体"/>
                <w:kern w:val="0"/>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line="240" w:lineRule="auto"/>
              <w:ind w:right="210" w:rightChars="100"/>
              <w:rPr>
                <w:rFonts w:ascii="宋体" w:hAnsi="宋体" w:cs="宋体"/>
                <w:b/>
                <w:kern w:val="0"/>
                <w:sz w:val="24"/>
                <w:szCs w:val="24"/>
                <w:highlight w:val="none"/>
              </w:rPr>
            </w:pPr>
            <w:r>
              <w:rPr>
                <w:rFonts w:hint="eastAsia" w:ascii="宋体" w:hAnsi="宋体" w:cs="宋体"/>
                <w:b/>
                <w:sz w:val="24"/>
                <w:szCs w:val="24"/>
                <w:highlight w:val="none"/>
              </w:rPr>
              <w:t>技术评审</w:t>
            </w:r>
          </w:p>
        </w:tc>
        <w:tc>
          <w:tcPr>
            <w:tcW w:w="5703" w:type="dxa"/>
            <w:vAlign w:val="center"/>
          </w:tcPr>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1.投标人投标产品的技术参数完全满足文件要求的，得40分；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2.投标人投标产品的技术参数不满足招标文件技术参数及要求的，则在40分的基础上，按以下原则扣分，扣完为止：</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（1）投标产品的技术参数中每有一项不满足加▲参数的，扣0.9分；（说明：此类参数共35条。）</w:t>
            </w:r>
          </w:p>
          <w:p>
            <w:pPr>
              <w:pStyle w:val="88"/>
              <w:tabs>
                <w:tab w:val="left" w:pos="0"/>
                <w:tab w:val="left" w:pos="192"/>
                <w:tab w:val="left" w:pos="274"/>
                <w:tab w:val="left" w:pos="334"/>
                <w:tab w:val="left" w:pos="694"/>
              </w:tabs>
              <w:autoSpaceDE w:val="0"/>
              <w:autoSpaceDN w:val="0"/>
              <w:spacing w:line="240" w:lineRule="auto"/>
              <w:ind w:firstLine="0" w:firstLineChars="0"/>
              <w:rPr>
                <w:rFonts w:ascii="宋体" w:hAnsi="宋体" w:cs="宋体"/>
                <w:kern w:val="2"/>
                <w:sz w:val="24"/>
                <w:szCs w:val="24"/>
                <w:highlight w:val="none"/>
              </w:rPr>
            </w:pPr>
            <w:r>
              <w:rPr>
                <w:rFonts w:hint="eastAsia" w:ascii="宋体" w:hAnsi="宋体" w:cs="宋体"/>
                <w:kern w:val="2"/>
                <w:sz w:val="24"/>
                <w:szCs w:val="24"/>
                <w:highlight w:val="none"/>
              </w:rPr>
              <w:t>（2）投标产品的技术参数中每有一项不满足未加▲和★参数的，扣0.085分；（说明：此类参数共100条。）</w:t>
            </w:r>
          </w:p>
        </w:tc>
        <w:tc>
          <w:tcPr>
            <w:tcW w:w="992" w:type="dxa"/>
            <w:vAlign w:val="center"/>
          </w:tcPr>
          <w:p>
            <w:pPr>
              <w:widowControl/>
              <w:spacing w:line="240" w:lineRule="auto"/>
              <w:jc w:val="center"/>
              <w:rPr>
                <w:rFonts w:ascii="宋体" w:hAnsi="宋体" w:cs="宋体"/>
                <w:kern w:val="0"/>
                <w:sz w:val="24"/>
                <w:szCs w:val="24"/>
                <w:highlight w:val="none"/>
              </w:rPr>
            </w:pPr>
            <w:r>
              <w:rPr>
                <w:rFonts w:ascii="宋体" w:hAnsi="宋体" w:cs="宋体"/>
                <w:color w:val="FF0000"/>
                <w:kern w:val="0"/>
                <w:sz w:val="24"/>
                <w:szCs w:val="24"/>
                <w:highlight w:val="none"/>
                <w:u w:val="single"/>
              </w:rPr>
              <w:t>40</w:t>
            </w:r>
            <w:r>
              <w:rPr>
                <w:rFonts w:hint="eastAsia" w:ascii="宋体" w:hAnsi="宋体" w:cs="宋体"/>
                <w:color w:val="FF0000"/>
                <w:kern w:val="0"/>
                <w:sz w:val="24"/>
                <w:szCs w:val="24"/>
                <w:highlight w:val="none"/>
              </w:rPr>
              <w:t>分</w:t>
            </w:r>
          </w:p>
        </w:tc>
        <w:tc>
          <w:tcPr>
            <w:tcW w:w="992" w:type="dxa"/>
          </w:tcPr>
          <w:p>
            <w:pPr>
              <w:widowControl/>
              <w:spacing w:line="240" w:lineRule="auto"/>
              <w:jc w:val="center"/>
              <w:rPr>
                <w:rFonts w:ascii="宋体" w:hAnsi="宋体" w:cs="宋体"/>
                <w:kern w:val="0"/>
                <w:sz w:val="24"/>
                <w:szCs w:val="24"/>
                <w:highlight w:val="none"/>
              </w:rPr>
            </w:pPr>
            <w:r>
              <w:rPr>
                <w:rFonts w:hint="eastAsia" w:ascii="宋体" w:hAnsi="宋体" w:cs="宋体"/>
                <w:sz w:val="24"/>
                <w:szCs w:val="24"/>
                <w:highlight w:val="none"/>
              </w:rPr>
              <w:t>技术类评分因素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668" w:type="dxa"/>
            <w:vAlign w:val="center"/>
          </w:tcPr>
          <w:p>
            <w:pPr>
              <w:spacing w:line="240" w:lineRule="auto"/>
              <w:ind w:right="210" w:rightChars="100"/>
              <w:rPr>
                <w:rFonts w:ascii="宋体" w:hAnsi="宋体" w:cs="宋体"/>
                <w:b/>
                <w:sz w:val="24"/>
                <w:szCs w:val="24"/>
                <w:highlight w:val="none"/>
              </w:rPr>
            </w:pPr>
            <w:r>
              <w:rPr>
                <w:rFonts w:hint="eastAsia" w:ascii="宋体" w:hAnsi="宋体" w:eastAsia="宋体" w:cs="宋体"/>
                <w:kern w:val="2"/>
                <w:sz w:val="24"/>
                <w:szCs w:val="24"/>
                <w:highlight w:val="none"/>
                <w:lang w:val="en-US" w:eastAsia="zh-CN" w:bidi="ar-SA"/>
              </w:rPr>
              <w:t>项目实施方案</w:t>
            </w:r>
          </w:p>
        </w:tc>
        <w:tc>
          <w:tcPr>
            <w:tcW w:w="5703" w:type="dxa"/>
            <w:vAlign w:val="center"/>
          </w:tcPr>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根据投标人针对本项目提供的实施方案进行评分：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1、根据投标人针对本项目提供的实施方案进行评分：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（1）具有组织机构方案（至少包含各职能机构的构成、各自职责、相互关系）的，得2分。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（2）具有人员组成方案，至少包含项目负责人、技术负责人、实施人员，共计3分。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 xml:space="preserve">（a）项目负责人具有高级职称（信息系统项目管理专业）的，得1分， </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（b）其他相关人员每有1名高级职称（信息系统项目管理专业）及以上的，得1分。（说明：1.提供有效证书复印件。2.同一人员不重复计分。3.本项总计不超过2分。））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（3）具有关键技术预案（至少包含关键工序。）的，得2分。</w:t>
            </w:r>
          </w:p>
          <w:p>
            <w:pPr>
              <w:pStyle w:val="88"/>
              <w:tabs>
                <w:tab w:val="left" w:pos="0"/>
                <w:tab w:val="left" w:pos="192"/>
                <w:tab w:val="left" w:pos="274"/>
                <w:tab w:val="left" w:pos="334"/>
                <w:tab w:val="left" w:pos="694"/>
              </w:tabs>
              <w:autoSpaceDE w:val="0"/>
              <w:autoSpaceDN w:val="0"/>
              <w:spacing w:line="240" w:lineRule="auto"/>
              <w:ind w:firstLine="480"/>
              <w:rPr>
                <w:rFonts w:hint="eastAsia" w:ascii="宋体" w:hAnsi="宋体" w:cs="宋体"/>
                <w:kern w:val="2"/>
                <w:sz w:val="24"/>
                <w:szCs w:val="24"/>
                <w:highlight w:val="none"/>
              </w:rPr>
            </w:pPr>
            <w:r>
              <w:rPr>
                <w:rFonts w:hint="eastAsia" w:ascii="宋体" w:hAnsi="宋体" w:cs="宋体"/>
                <w:kern w:val="2"/>
                <w:sz w:val="24"/>
                <w:szCs w:val="24"/>
                <w:highlight w:val="none"/>
              </w:rPr>
              <w:t>（4）具有质量安全方案（至少包含安全总体要求、施工危险因素分析、安全措施、重大施工步骤安全预案）的，得3分。</w:t>
            </w:r>
          </w:p>
          <w:p>
            <w:pPr>
              <w:pStyle w:val="88"/>
              <w:tabs>
                <w:tab w:val="left" w:pos="0"/>
                <w:tab w:val="left" w:pos="192"/>
                <w:tab w:val="left" w:pos="274"/>
                <w:tab w:val="left" w:pos="334"/>
                <w:tab w:val="left" w:pos="694"/>
              </w:tabs>
              <w:autoSpaceDE w:val="0"/>
              <w:autoSpaceDN w:val="0"/>
              <w:spacing w:line="240" w:lineRule="auto"/>
              <w:ind w:firstLine="480"/>
              <w:rPr>
                <w:rFonts w:ascii="宋体" w:hAnsi="宋体" w:cs="宋体"/>
                <w:sz w:val="24"/>
                <w:szCs w:val="24"/>
                <w:highlight w:val="none"/>
              </w:rPr>
            </w:pPr>
            <w:r>
              <w:rPr>
                <w:rFonts w:hint="eastAsia" w:ascii="宋体" w:hAnsi="宋体" w:cs="宋体"/>
                <w:kern w:val="2"/>
                <w:sz w:val="24"/>
                <w:szCs w:val="24"/>
                <w:highlight w:val="none"/>
              </w:rPr>
              <w:t>（5）具有工期及进度计划且工期及进度能满足招标文件要求的，得2分。</w:t>
            </w:r>
          </w:p>
        </w:tc>
        <w:tc>
          <w:tcPr>
            <w:tcW w:w="992" w:type="dxa"/>
            <w:vAlign w:val="center"/>
          </w:tcPr>
          <w:p>
            <w:pPr>
              <w:widowControl/>
              <w:spacing w:line="240" w:lineRule="auto"/>
              <w:jc w:val="center"/>
              <w:rPr>
                <w:rFonts w:ascii="宋体" w:hAnsi="宋体" w:cs="宋体"/>
                <w:kern w:val="0"/>
                <w:sz w:val="24"/>
                <w:szCs w:val="24"/>
                <w:highlight w:val="none"/>
              </w:rPr>
            </w:pPr>
            <w:r>
              <w:rPr>
                <w:rFonts w:hint="eastAsia" w:ascii="宋体" w:hAnsi="宋体" w:cs="宋体"/>
                <w:kern w:val="0"/>
                <w:sz w:val="24"/>
                <w:szCs w:val="24"/>
                <w:highlight w:val="none"/>
                <w:u w:val="single"/>
              </w:rPr>
              <w:t>12</w:t>
            </w:r>
            <w:r>
              <w:rPr>
                <w:rFonts w:hint="eastAsia" w:ascii="宋体" w:hAnsi="宋体" w:cs="宋体"/>
                <w:kern w:val="0"/>
                <w:sz w:val="24"/>
                <w:szCs w:val="24"/>
                <w:highlight w:val="none"/>
              </w:rPr>
              <w:t>分</w:t>
            </w:r>
          </w:p>
        </w:tc>
        <w:tc>
          <w:tcPr>
            <w:tcW w:w="992" w:type="dxa"/>
          </w:tcPr>
          <w:p>
            <w:pPr>
              <w:widowControl/>
              <w:spacing w:line="240" w:lineRule="auto"/>
              <w:jc w:val="center"/>
              <w:rPr>
                <w:rFonts w:ascii="宋体" w:hAnsi="宋体" w:cs="宋体"/>
                <w:kern w:val="0"/>
                <w:sz w:val="24"/>
                <w:szCs w:val="24"/>
                <w:highlight w:val="none"/>
              </w:rPr>
            </w:pPr>
            <w:r>
              <w:rPr>
                <w:rFonts w:hint="eastAsia" w:ascii="宋体" w:hAnsi="宋体" w:cs="宋体"/>
                <w:sz w:val="24"/>
                <w:szCs w:val="24"/>
                <w:highlight w:val="none"/>
              </w:rPr>
              <w:t>技术类评分因素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240" w:lineRule="auto"/>
              <w:ind w:right="210" w:rightChars="100"/>
              <w:rPr>
                <w:rFonts w:ascii="宋体" w:hAnsi="宋体" w:cs="宋体"/>
                <w:b/>
                <w:sz w:val="24"/>
                <w:szCs w:val="24"/>
                <w:highlight w:val="none"/>
              </w:rPr>
            </w:pPr>
            <w:r>
              <w:rPr>
                <w:rFonts w:hint="eastAsia" w:ascii="宋体" w:hAnsi="宋体" w:cs="宋体"/>
                <w:sz w:val="24"/>
                <w:szCs w:val="24"/>
                <w:highlight w:val="none"/>
              </w:rPr>
              <w:t>履约能力</w:t>
            </w:r>
          </w:p>
        </w:tc>
        <w:tc>
          <w:tcPr>
            <w:tcW w:w="5703" w:type="dxa"/>
            <w:vAlign w:val="center"/>
          </w:tcPr>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投标人2018年1月1日以后（含1日）签订有类似合同的，每有1个得1分，最多得2分。</w:t>
            </w:r>
          </w:p>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【说明：提供合同复印件和合同款项支付的银行票据复印件（如合同款项为分期付款的，至少提供一次支付合同款项的银行票据。）】</w:t>
            </w:r>
          </w:p>
        </w:tc>
        <w:tc>
          <w:tcPr>
            <w:tcW w:w="992" w:type="dxa"/>
            <w:vAlign w:val="center"/>
          </w:tcPr>
          <w:p>
            <w:pPr>
              <w:widowControl/>
              <w:spacing w:line="240" w:lineRule="auto"/>
              <w:jc w:val="center"/>
              <w:rPr>
                <w:rFonts w:ascii="宋体" w:hAnsi="宋体" w:cs="宋体"/>
                <w:kern w:val="0"/>
                <w:sz w:val="24"/>
                <w:szCs w:val="24"/>
                <w:highlight w:val="none"/>
                <w:u w:val="single"/>
              </w:rPr>
            </w:pPr>
            <w:r>
              <w:rPr>
                <w:rFonts w:hint="eastAsia" w:ascii="宋体" w:hAnsi="宋体" w:cs="宋体"/>
                <w:kern w:val="0"/>
                <w:sz w:val="24"/>
                <w:szCs w:val="24"/>
                <w:highlight w:val="none"/>
                <w:u w:val="single"/>
              </w:rPr>
              <w:t>2分</w:t>
            </w:r>
          </w:p>
        </w:tc>
        <w:tc>
          <w:tcPr>
            <w:tcW w:w="992" w:type="dxa"/>
          </w:tcPr>
          <w:p>
            <w:pPr>
              <w:spacing w:line="240" w:lineRule="auto"/>
              <w:rPr>
                <w:rFonts w:ascii="宋体" w:hAnsi="宋体" w:cs="宋体"/>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240" w:lineRule="auto"/>
              <w:ind w:right="210" w:rightChars="100"/>
              <w:rPr>
                <w:rFonts w:ascii="宋体" w:hAnsi="宋体" w:cs="宋体"/>
                <w:sz w:val="24"/>
                <w:szCs w:val="24"/>
                <w:highlight w:val="none"/>
              </w:rPr>
            </w:pPr>
            <w:r>
              <w:rPr>
                <w:rFonts w:hint="eastAsia" w:ascii="宋体" w:hAnsi="宋体" w:cs="宋体"/>
                <w:sz w:val="24"/>
                <w:szCs w:val="24"/>
                <w:highlight w:val="none"/>
              </w:rPr>
              <w:t>管理体系</w:t>
            </w:r>
          </w:p>
        </w:tc>
        <w:tc>
          <w:tcPr>
            <w:tcW w:w="5703" w:type="dxa"/>
            <w:vAlign w:val="center"/>
          </w:tcPr>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1、投标人所投安防监控子系统主要产品（视频综合管理平台、安防平台（软硬件监控一体机）、摄像机）的设备厂商应符合静电防护要求，设备生产厂商具有静电防护标准IEC或ANSI/ESD认证证书，全部提供得6分，提供不全或不提供不得分。提供证书复印件并加盖投标人公章。</w:t>
            </w:r>
          </w:p>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2、为提供高标准的信息安全服务，所投安防平台硬件生产厂商具有国家信息安全测评信息安全服务资质证书（安全工程类）二级及以上得3分，一级得1分，不提供不得分。提供证书复印件并加盖投标人公章。</w:t>
            </w:r>
          </w:p>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3、为保障园区平台服务，所投视频综合管理平台生产厂商具有ITSS私有云服务证书，一级得3分，二级得1.5分，三级得0.5分，不提供不得分，提供证书复印件并加盖投标人公章。</w:t>
            </w:r>
          </w:p>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4、所投安防平台（软硬件监控一体机）生产厂家具备《信息安全应急处理服务资质》一级认证证书、《信息系统安全集成服务资质》一级认证证书；此两项资质，每项加1.5分,共3分</w:t>
            </w:r>
          </w:p>
          <w:p>
            <w:pPr>
              <w:wordWrap w:val="0"/>
              <w:spacing w:line="240" w:lineRule="auto"/>
              <w:ind w:right="73" w:rightChars="35"/>
              <w:rPr>
                <w:rFonts w:ascii="宋体" w:hAnsi="宋体" w:cs="宋体"/>
                <w:sz w:val="24"/>
                <w:szCs w:val="24"/>
                <w:highlight w:val="none"/>
              </w:rPr>
            </w:pPr>
            <w:r>
              <w:rPr>
                <w:rFonts w:hint="eastAsia" w:ascii="宋体" w:hAnsi="宋体" w:cs="宋体"/>
                <w:sz w:val="24"/>
                <w:szCs w:val="24"/>
                <w:highlight w:val="none"/>
              </w:rPr>
              <w:t>（说明：提供有效的证书复印件。）。</w:t>
            </w:r>
          </w:p>
        </w:tc>
        <w:tc>
          <w:tcPr>
            <w:tcW w:w="992" w:type="dxa"/>
            <w:vAlign w:val="center"/>
          </w:tcPr>
          <w:p>
            <w:pPr>
              <w:widowControl/>
              <w:spacing w:line="240" w:lineRule="auto"/>
              <w:jc w:val="center"/>
              <w:rPr>
                <w:rFonts w:ascii="宋体" w:hAnsi="宋体" w:cs="宋体"/>
                <w:kern w:val="0"/>
                <w:sz w:val="24"/>
                <w:szCs w:val="24"/>
                <w:highlight w:val="none"/>
                <w:u w:val="single"/>
              </w:rPr>
            </w:pPr>
            <w:r>
              <w:rPr>
                <w:rFonts w:hint="eastAsia" w:ascii="宋体" w:hAnsi="宋体" w:cs="宋体"/>
                <w:kern w:val="0"/>
                <w:sz w:val="24"/>
                <w:szCs w:val="24"/>
                <w:highlight w:val="none"/>
                <w:u w:val="single"/>
              </w:rPr>
              <w:t>15分</w:t>
            </w:r>
          </w:p>
        </w:tc>
        <w:tc>
          <w:tcPr>
            <w:tcW w:w="992" w:type="dxa"/>
          </w:tcPr>
          <w:p>
            <w:pPr>
              <w:spacing w:line="240" w:lineRule="auto"/>
              <w:rPr>
                <w:rFonts w:ascii="宋体" w:hAnsi="宋体" w:cs="宋体"/>
                <w:sz w:val="24"/>
                <w:szCs w:val="24"/>
                <w:highlight w:val="none"/>
              </w:rPr>
            </w:pPr>
            <w:r>
              <w:rPr>
                <w:rFonts w:hint="eastAsia" w:ascii="宋体" w:hAnsi="宋体" w:cs="宋体"/>
                <w:sz w:val="24"/>
                <w:szCs w:val="24"/>
                <w:highlight w:val="none"/>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Align w:val="center"/>
          </w:tcPr>
          <w:p>
            <w:pPr>
              <w:spacing w:line="240" w:lineRule="auto"/>
              <w:ind w:right="210" w:rightChars="100"/>
              <w:rPr>
                <w:rFonts w:ascii="宋体" w:hAnsi="宋体" w:cs="宋体"/>
                <w:b/>
                <w:sz w:val="24"/>
                <w:szCs w:val="24"/>
                <w:highlight w:val="none"/>
              </w:rPr>
            </w:pPr>
            <w:r>
              <w:rPr>
                <w:rFonts w:hint="eastAsia" w:ascii="宋体" w:hAnsi="宋体" w:cs="宋体"/>
                <w:sz w:val="24"/>
                <w:szCs w:val="24"/>
                <w:highlight w:val="none"/>
              </w:rPr>
              <w:t>政策扶持</w:t>
            </w:r>
          </w:p>
        </w:tc>
        <w:tc>
          <w:tcPr>
            <w:tcW w:w="5703" w:type="dxa"/>
            <w:vAlign w:val="center"/>
          </w:tcPr>
          <w:p>
            <w:pPr>
              <w:spacing w:line="240" w:lineRule="auto"/>
              <w:jc w:val="left"/>
              <w:rPr>
                <w:rFonts w:ascii="宋体" w:hAnsi="宋体" w:cs="宋体"/>
                <w:sz w:val="24"/>
                <w:szCs w:val="24"/>
                <w:highlight w:val="none"/>
              </w:rPr>
            </w:pPr>
            <w:r>
              <w:rPr>
                <w:rFonts w:hint="eastAsia" w:ascii="宋体" w:hAnsi="宋体" w:cs="宋体"/>
                <w:sz w:val="24"/>
                <w:szCs w:val="24"/>
                <w:highlight w:val="none"/>
              </w:rPr>
              <w:t>1、如涉及采购的设备、材料（强制节能产品除外）属于“政府采购节能产品品目清单”内规定品目或“政府采购环境标志产品品目清单”内规定品目或无线局域网产品政府采购清单中的产品的的，每有一项得0.5分，最多得1分。非节能、环境标志、无线局域网产品的不得分。（节能、环境标志产品提供国家确定的认证机构出具的、处于有效期之内的认证证书复印件。无线局域网产品提供无线局域网认证产品政府采购清单所在页。）</w:t>
            </w:r>
          </w:p>
        </w:tc>
        <w:tc>
          <w:tcPr>
            <w:tcW w:w="992" w:type="dxa"/>
            <w:vAlign w:val="center"/>
          </w:tcPr>
          <w:p>
            <w:pPr>
              <w:widowControl/>
              <w:spacing w:line="240" w:lineRule="auto"/>
              <w:jc w:val="center"/>
              <w:rPr>
                <w:rFonts w:ascii="宋体" w:hAnsi="宋体" w:cs="宋体"/>
                <w:kern w:val="0"/>
                <w:sz w:val="24"/>
                <w:szCs w:val="24"/>
                <w:highlight w:val="none"/>
              </w:rPr>
            </w:pPr>
            <w:r>
              <w:rPr>
                <w:rFonts w:hint="eastAsia" w:ascii="宋体" w:hAnsi="宋体" w:cs="宋体"/>
                <w:kern w:val="0"/>
                <w:sz w:val="24"/>
                <w:szCs w:val="24"/>
                <w:highlight w:val="none"/>
                <w:u w:val="single"/>
              </w:rPr>
              <w:t>1</w:t>
            </w:r>
            <w:r>
              <w:rPr>
                <w:rFonts w:hint="eastAsia" w:ascii="宋体" w:hAnsi="宋体" w:cs="宋体"/>
                <w:kern w:val="0"/>
                <w:sz w:val="24"/>
                <w:szCs w:val="24"/>
                <w:highlight w:val="none"/>
              </w:rPr>
              <w:t>分</w:t>
            </w:r>
          </w:p>
        </w:tc>
        <w:tc>
          <w:tcPr>
            <w:tcW w:w="992" w:type="dxa"/>
          </w:tcPr>
          <w:p>
            <w:pPr>
              <w:widowControl/>
              <w:spacing w:line="240" w:lineRule="auto"/>
              <w:jc w:val="center"/>
              <w:rPr>
                <w:rFonts w:ascii="宋体" w:hAnsi="宋体" w:cs="宋体"/>
                <w:kern w:val="0"/>
                <w:sz w:val="24"/>
                <w:szCs w:val="24"/>
                <w:highlight w:val="none"/>
              </w:rPr>
            </w:pPr>
            <w:r>
              <w:rPr>
                <w:rFonts w:hint="eastAsia" w:ascii="宋体" w:hAnsi="宋体" w:cs="宋体"/>
                <w:sz w:val="24"/>
                <w:szCs w:val="24"/>
                <w:highlight w:val="none"/>
              </w:rPr>
              <w:t>共同评分因素</w:t>
            </w:r>
          </w:p>
        </w:tc>
      </w:tr>
    </w:tbl>
    <w:p>
      <w:pPr>
        <w:pStyle w:val="18"/>
        <w:ind w:firstLine="180"/>
        <w:rPr>
          <w:highlight w:val="none"/>
        </w:rPr>
      </w:pPr>
    </w:p>
    <w:p>
      <w:pPr>
        <w:ind w:firstLine="480" w:firstLineChars="200"/>
        <w:rPr>
          <w:rFonts w:ascii="宋体" w:hAnsi="宋体" w:cs="宋体"/>
          <w:b/>
          <w:sz w:val="24"/>
          <w:szCs w:val="24"/>
          <w:highlight w:val="none"/>
        </w:rPr>
      </w:pPr>
      <w:r>
        <w:rPr>
          <w:rFonts w:hint="eastAsia" w:ascii="宋体" w:hAnsi="宋体" w:cs="宋体"/>
          <w:b/>
          <w:sz w:val="24"/>
          <w:szCs w:val="24"/>
          <w:highlight w:val="none"/>
        </w:rPr>
        <w:t>说明：</w:t>
      </w:r>
    </w:p>
    <w:p>
      <w:pPr>
        <w:spacing w:line="276" w:lineRule="auto"/>
        <w:ind w:firstLine="480" w:firstLineChars="200"/>
        <w:rPr>
          <w:rFonts w:ascii="宋体" w:hAnsi="宋体" w:cs="宋体"/>
          <w:b/>
          <w:sz w:val="24"/>
          <w:szCs w:val="24"/>
          <w:highlight w:val="none"/>
        </w:rPr>
      </w:pPr>
      <w:r>
        <w:rPr>
          <w:rFonts w:hint="eastAsia" w:ascii="宋体" w:hAnsi="宋体" w:cs="宋体"/>
          <w:b/>
          <w:sz w:val="24"/>
          <w:szCs w:val="24"/>
          <w:highlight w:val="none"/>
        </w:rPr>
        <w:t>一、评分的取值按四舍五入法，保留小数点后两位；</w:t>
      </w:r>
    </w:p>
    <w:p>
      <w:pPr>
        <w:spacing w:line="276" w:lineRule="auto"/>
        <w:ind w:firstLine="480" w:firstLineChars="200"/>
        <w:rPr>
          <w:rFonts w:ascii="宋体" w:hAnsi="宋体" w:cs="宋体"/>
          <w:b/>
          <w:sz w:val="24"/>
          <w:szCs w:val="24"/>
          <w:highlight w:val="none"/>
        </w:rPr>
      </w:pPr>
      <w:r>
        <w:rPr>
          <w:rFonts w:hint="eastAsia" w:ascii="宋体" w:hAnsi="宋体" w:cs="宋体"/>
          <w:b/>
          <w:sz w:val="24"/>
          <w:szCs w:val="24"/>
          <w:highlight w:val="none"/>
        </w:rPr>
        <w:t>二、评分标准中要求提供复印件的证明材料须清晰可辨；</w:t>
      </w:r>
    </w:p>
    <w:p>
      <w:pPr>
        <w:spacing w:line="276" w:lineRule="auto"/>
        <w:ind w:firstLine="480" w:firstLineChars="200"/>
        <w:rPr>
          <w:rFonts w:ascii="宋体" w:hAnsi="宋体" w:cs="宋体"/>
          <w:b/>
          <w:sz w:val="24"/>
          <w:szCs w:val="24"/>
          <w:highlight w:val="none"/>
        </w:rPr>
      </w:pPr>
      <w:r>
        <w:rPr>
          <w:rFonts w:hint="eastAsia" w:ascii="宋体" w:hAnsi="宋体" w:cs="宋体"/>
          <w:b/>
          <w:sz w:val="24"/>
          <w:szCs w:val="24"/>
          <w:highlight w:val="none"/>
        </w:rPr>
        <w:t>三、以上相关资料，采购人有权在中标后查验原件。</w:t>
      </w:r>
    </w:p>
    <w:p>
      <w:pPr>
        <w:spacing w:line="276" w:lineRule="auto"/>
        <w:ind w:firstLine="480" w:firstLineChars="200"/>
        <w:rPr>
          <w:rFonts w:ascii="宋体" w:hAnsi="宋体" w:cs="宋体"/>
          <w:b/>
          <w:sz w:val="24"/>
          <w:szCs w:val="24"/>
          <w:highlight w:val="none"/>
        </w:rPr>
      </w:pPr>
    </w:p>
    <w:p>
      <w:pPr>
        <w:pStyle w:val="2"/>
        <w:rPr>
          <w:rFonts w:cs="宋体"/>
          <w:sz w:val="24"/>
          <w:szCs w:val="24"/>
          <w:highlight w:val="none"/>
        </w:rPr>
      </w:pPr>
      <w:bookmarkStart w:id="292" w:name="_Toc494464926"/>
      <w:bookmarkStart w:id="293" w:name="_Toc13652521"/>
      <w:r>
        <w:rPr>
          <w:rFonts w:hint="eastAsia" w:cs="宋体"/>
          <w:sz w:val="24"/>
          <w:szCs w:val="24"/>
          <w:highlight w:val="none"/>
        </w:rPr>
        <w:t>废标</w:t>
      </w:r>
      <w:bookmarkEnd w:id="292"/>
      <w:bookmarkEnd w:id="293"/>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本次政府采购活动中，出现下列情形之一的，予以废标：</w:t>
      </w:r>
    </w:p>
    <w:p>
      <w:pPr>
        <w:numPr>
          <w:ilvl w:val="0"/>
          <w:numId w:val="106"/>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符合专业条件的投标人或者对招标文件作实质响应的投标人不足三家的；</w:t>
      </w:r>
    </w:p>
    <w:p>
      <w:pPr>
        <w:numPr>
          <w:ilvl w:val="0"/>
          <w:numId w:val="106"/>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出现影响采购公正的违法、违规行为的；</w:t>
      </w:r>
    </w:p>
    <w:p>
      <w:pPr>
        <w:numPr>
          <w:ilvl w:val="0"/>
          <w:numId w:val="106"/>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投标人的报价均超过了采购预算，采购人不能支付的；</w:t>
      </w:r>
    </w:p>
    <w:p>
      <w:pPr>
        <w:numPr>
          <w:ilvl w:val="0"/>
          <w:numId w:val="106"/>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因重大变故，采购任务取消的。</w:t>
      </w:r>
    </w:p>
    <w:p>
      <w:pPr>
        <w:tabs>
          <w:tab w:val="left" w:pos="1155"/>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废标后，采购代理机构应在四川政府采购网上公告，并公告废标的情形。投标人需要知晓导致废标情形的具体原因和理由的，可以通过书面形式询问招标采购单位。</w:t>
      </w:r>
    </w:p>
    <w:p>
      <w:pPr>
        <w:tabs>
          <w:tab w:val="left" w:pos="1155"/>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对于评标过程中废标的采购项目，评标委员会应当对招标文件是否存在倾向性和歧视性、是否存在不合理条款进行论证，并出具书面论证意见。</w:t>
      </w:r>
    </w:p>
    <w:p>
      <w:pPr>
        <w:pStyle w:val="2"/>
        <w:rPr>
          <w:rFonts w:cs="宋体"/>
          <w:sz w:val="24"/>
          <w:szCs w:val="24"/>
          <w:highlight w:val="none"/>
        </w:rPr>
      </w:pPr>
      <w:bookmarkStart w:id="294" w:name="_Toc13652522"/>
      <w:bookmarkStart w:id="295" w:name="_Toc494464927"/>
      <w:r>
        <w:rPr>
          <w:rFonts w:hint="eastAsia" w:cs="宋体"/>
          <w:sz w:val="24"/>
          <w:szCs w:val="24"/>
          <w:highlight w:val="none"/>
        </w:rPr>
        <w:t>定标</w:t>
      </w:r>
      <w:bookmarkEnd w:id="294"/>
      <w:bookmarkEnd w:id="295"/>
    </w:p>
    <w:p>
      <w:pPr>
        <w:pStyle w:val="4"/>
        <w:ind w:left="0" w:firstLine="0"/>
        <w:rPr>
          <w:rFonts w:cs="宋体"/>
          <w:color w:val="auto"/>
          <w:sz w:val="24"/>
          <w:szCs w:val="24"/>
          <w:highlight w:val="none"/>
        </w:rPr>
      </w:pPr>
      <w:r>
        <w:rPr>
          <w:rFonts w:hint="eastAsia" w:cs="宋体"/>
          <w:color w:val="auto"/>
          <w:sz w:val="24"/>
          <w:szCs w:val="24"/>
          <w:highlight w:val="none"/>
        </w:rPr>
        <w:t>定标原则</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本项目根据评标委员会确定的中标候选人名单，采购人按顺序确定1名中标人。</w:t>
      </w:r>
    </w:p>
    <w:p>
      <w:pPr>
        <w:pStyle w:val="4"/>
        <w:ind w:left="0" w:firstLine="0"/>
        <w:rPr>
          <w:rFonts w:cs="宋体"/>
          <w:color w:val="auto"/>
          <w:sz w:val="24"/>
          <w:szCs w:val="24"/>
          <w:highlight w:val="none"/>
        </w:rPr>
      </w:pPr>
      <w:r>
        <w:rPr>
          <w:rFonts w:hint="eastAsia" w:cs="宋体"/>
          <w:color w:val="auto"/>
          <w:sz w:val="24"/>
          <w:szCs w:val="24"/>
          <w:highlight w:val="none"/>
        </w:rPr>
        <w:t>定标程序</w:t>
      </w:r>
    </w:p>
    <w:p>
      <w:pPr>
        <w:numPr>
          <w:ilvl w:val="0"/>
          <w:numId w:val="107"/>
        </w:numPr>
        <w:tabs>
          <w:tab w:val="left" w:pos="1134"/>
        </w:tabs>
        <w:spacing w:line="560" w:lineRule="exact"/>
        <w:ind w:left="0" w:firstLine="567"/>
        <w:rPr>
          <w:rFonts w:ascii="宋体" w:hAnsi="宋体" w:cs="宋体"/>
          <w:sz w:val="24"/>
          <w:szCs w:val="24"/>
          <w:highlight w:val="none"/>
        </w:rPr>
      </w:pPr>
      <w:r>
        <w:rPr>
          <w:rFonts w:hint="eastAsia" w:ascii="宋体" w:hAnsi="宋体" w:cs="宋体"/>
          <w:sz w:val="24"/>
          <w:szCs w:val="24"/>
          <w:highlight w:val="none"/>
        </w:rPr>
        <w:t>评标委员会将评标情况写出书面报告，推荐中标候选投标人。</w:t>
      </w:r>
    </w:p>
    <w:p>
      <w:pPr>
        <w:numPr>
          <w:ilvl w:val="0"/>
          <w:numId w:val="107"/>
        </w:numPr>
        <w:tabs>
          <w:tab w:val="left" w:pos="1134"/>
        </w:tabs>
        <w:spacing w:line="560" w:lineRule="exact"/>
        <w:ind w:left="0" w:firstLine="567"/>
        <w:rPr>
          <w:rFonts w:ascii="宋体" w:hAnsi="宋体" w:cs="宋体"/>
          <w:sz w:val="24"/>
          <w:szCs w:val="24"/>
          <w:highlight w:val="none"/>
        </w:rPr>
      </w:pPr>
      <w:r>
        <w:rPr>
          <w:rFonts w:hint="eastAsia" w:ascii="宋体" w:hAnsi="宋体" w:cs="宋体"/>
          <w:sz w:val="24"/>
          <w:szCs w:val="24"/>
          <w:highlight w:val="none"/>
        </w:rPr>
        <w:t>采购代理机构在评标结束后2个工作日内将评标报告送采购人。</w:t>
      </w:r>
    </w:p>
    <w:p>
      <w:pPr>
        <w:numPr>
          <w:ilvl w:val="0"/>
          <w:numId w:val="107"/>
        </w:numPr>
        <w:tabs>
          <w:tab w:val="left" w:pos="1134"/>
        </w:tabs>
        <w:spacing w:line="560" w:lineRule="exact"/>
        <w:ind w:left="0" w:firstLine="567"/>
        <w:rPr>
          <w:rFonts w:ascii="宋体" w:hAnsi="宋体" w:cs="宋体"/>
          <w:sz w:val="24"/>
          <w:szCs w:val="24"/>
          <w:highlight w:val="none"/>
        </w:rPr>
      </w:pPr>
      <w:r>
        <w:rPr>
          <w:rFonts w:hint="eastAsia" w:ascii="宋体" w:hAnsi="宋体" w:cs="宋体"/>
          <w:sz w:val="24"/>
          <w:szCs w:val="24"/>
          <w:highlight w:val="none"/>
        </w:rPr>
        <w:t>采购人在收到评标报告后5个工作日内，按照评标报告中推荐的中标候选人顺序确定中标人；中标候选人并列的，采取随机抽取方式选择中标人。</w:t>
      </w:r>
    </w:p>
    <w:p>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如果中标候选人及其现任法定代表人、主要负责人存在行贿犯罪记录，采购人将不确定其为中标人。</w:t>
      </w:r>
    </w:p>
    <w:p>
      <w:pPr>
        <w:spacing w:line="560" w:lineRule="exact"/>
        <w:ind w:firstLine="480" w:firstLineChars="200"/>
        <w:rPr>
          <w:rFonts w:ascii="宋体" w:hAnsi="宋体" w:cs="宋体"/>
          <w:b/>
          <w:sz w:val="24"/>
          <w:szCs w:val="24"/>
          <w:highlight w:val="none"/>
        </w:rPr>
      </w:pPr>
      <w:r>
        <w:rPr>
          <w:rFonts w:hint="eastAsia" w:ascii="宋体" w:hAnsi="宋体" w:cs="宋体"/>
          <w:b/>
          <w:sz w:val="24"/>
          <w:szCs w:val="24"/>
          <w:highlight w:val="none"/>
        </w:rPr>
        <w:t>注意：采购人按照推荐的中标候选投标人顺序确定中标人，不能认为采购人只能确定第一中标候选投标人为中标人，采购人有正当理由的，可以确定后一顺序中标候选投标人为中标人，依次类推。</w:t>
      </w:r>
    </w:p>
    <w:p>
      <w:pPr>
        <w:numPr>
          <w:ilvl w:val="0"/>
          <w:numId w:val="107"/>
        </w:numPr>
        <w:tabs>
          <w:tab w:val="left" w:pos="1134"/>
        </w:tabs>
        <w:spacing w:line="560" w:lineRule="exact"/>
        <w:ind w:left="0" w:firstLine="567"/>
        <w:rPr>
          <w:rFonts w:ascii="宋体" w:hAnsi="宋体" w:cs="宋体"/>
          <w:sz w:val="24"/>
          <w:szCs w:val="24"/>
          <w:highlight w:val="none"/>
        </w:rPr>
      </w:pPr>
      <w:r>
        <w:rPr>
          <w:rFonts w:hint="eastAsia" w:ascii="宋体" w:hAnsi="宋体" w:cs="宋体"/>
          <w:sz w:val="24"/>
          <w:szCs w:val="24"/>
          <w:highlight w:val="none"/>
        </w:rPr>
        <w:t>根据采购人确定的中标人，采购代理机构在四川政府采购网上发布中标公告，并自采购人确定中标之日起2个工作日内向中标人发出中标通知书。</w:t>
      </w:r>
    </w:p>
    <w:p>
      <w:pPr>
        <w:numPr>
          <w:ilvl w:val="0"/>
          <w:numId w:val="107"/>
        </w:numPr>
        <w:tabs>
          <w:tab w:val="left" w:pos="1134"/>
        </w:tabs>
        <w:spacing w:line="560" w:lineRule="exact"/>
        <w:ind w:left="0" w:firstLine="567"/>
        <w:rPr>
          <w:rFonts w:ascii="宋体" w:hAnsi="宋体" w:cs="宋体"/>
          <w:sz w:val="24"/>
          <w:szCs w:val="24"/>
          <w:highlight w:val="none"/>
        </w:rPr>
      </w:pPr>
      <w:r>
        <w:rPr>
          <w:rFonts w:hint="eastAsia" w:ascii="宋体" w:hAnsi="宋体" w:cs="宋体"/>
          <w:sz w:val="24"/>
          <w:szCs w:val="24"/>
          <w:highlight w:val="none"/>
        </w:rPr>
        <w:t>招标采购单位不退回投标人投标文件和其他投标资料。</w:t>
      </w:r>
    </w:p>
    <w:p>
      <w:pPr>
        <w:pStyle w:val="2"/>
        <w:rPr>
          <w:rFonts w:cs="宋体"/>
          <w:sz w:val="24"/>
          <w:szCs w:val="24"/>
          <w:highlight w:val="none"/>
        </w:rPr>
      </w:pPr>
      <w:bookmarkStart w:id="296" w:name="_Toc494464928"/>
      <w:bookmarkStart w:id="297" w:name="_Toc13652523"/>
      <w:r>
        <w:rPr>
          <w:rFonts w:hint="eastAsia" w:cs="宋体"/>
          <w:sz w:val="24"/>
          <w:szCs w:val="24"/>
          <w:highlight w:val="none"/>
        </w:rPr>
        <w:t>评标专家义务</w:t>
      </w:r>
      <w:bookmarkEnd w:id="296"/>
      <w:bookmarkEnd w:id="297"/>
    </w:p>
    <w:p>
      <w:pPr>
        <w:ind w:firstLine="480" w:firstLineChars="200"/>
        <w:rPr>
          <w:rFonts w:ascii="宋体" w:hAnsi="宋体" w:cs="宋体"/>
          <w:sz w:val="24"/>
          <w:szCs w:val="24"/>
          <w:highlight w:val="none"/>
        </w:rPr>
      </w:pPr>
      <w:r>
        <w:rPr>
          <w:rFonts w:hint="eastAsia" w:ascii="宋体" w:hAnsi="宋体" w:cs="宋体"/>
          <w:sz w:val="24"/>
          <w:szCs w:val="24"/>
          <w:highlight w:val="none"/>
        </w:rPr>
        <w:t>评标专家在政府采购活动中承担以下义务：</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 xml:space="preserve">遵守评审工作纪律； </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按照客观、公正、审慎的原则，根据采购文件规定的评审程序、评审方法和评审标准进行独立评审；</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不得泄露评审文件、评审情况和在评审过程中获悉的商业秘密；</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及时向监督部门报告评审过程中采购组织单位向评审专家做倾向性、误导性的解释或者说明，投标人行贿、提供虚假材料或者串通、受到的非法干预情况等违法违规行为；</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发现采购文件内容违反国家有关强制性规定或者存在歧义、重大缺陷导致评审工作无法进行时，停止评审并向采购组织单位书面说明情况；</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配合答复处理投标人的询问、质疑和投诉等事项；</w:t>
      </w:r>
    </w:p>
    <w:p>
      <w:pPr>
        <w:numPr>
          <w:ilvl w:val="0"/>
          <w:numId w:val="108"/>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法律、法规和规章规定的其他义务。</w:t>
      </w:r>
    </w:p>
    <w:p>
      <w:pPr>
        <w:pStyle w:val="2"/>
        <w:rPr>
          <w:rFonts w:cs="宋体"/>
          <w:sz w:val="24"/>
          <w:szCs w:val="24"/>
          <w:highlight w:val="none"/>
        </w:rPr>
      </w:pPr>
      <w:bookmarkStart w:id="298" w:name="_Toc13652524"/>
      <w:bookmarkStart w:id="299" w:name="_Toc494464929"/>
      <w:r>
        <w:rPr>
          <w:rFonts w:hint="eastAsia" w:cs="宋体"/>
          <w:sz w:val="24"/>
          <w:szCs w:val="24"/>
          <w:highlight w:val="none"/>
        </w:rPr>
        <w:t>评标专家工作纪律</w:t>
      </w:r>
      <w:bookmarkEnd w:id="298"/>
    </w:p>
    <w:p>
      <w:pPr>
        <w:ind w:firstLine="480" w:firstLineChars="200"/>
        <w:rPr>
          <w:rFonts w:ascii="宋体" w:hAnsi="宋体" w:cs="宋体"/>
          <w:sz w:val="24"/>
          <w:szCs w:val="24"/>
          <w:highlight w:val="none"/>
        </w:rPr>
      </w:pPr>
      <w:r>
        <w:rPr>
          <w:rFonts w:hint="eastAsia" w:ascii="宋体" w:hAnsi="宋体" w:cs="宋体"/>
          <w:b/>
          <w:bCs/>
          <w:sz w:val="24"/>
          <w:szCs w:val="24"/>
          <w:highlight w:val="none"/>
        </w:rPr>
        <w:t>评标专家在政府采购活动中应当遵守以下工作纪律</w:t>
      </w:r>
      <w:r>
        <w:rPr>
          <w:rFonts w:hint="eastAsia" w:ascii="宋体" w:hAnsi="宋体" w:cs="宋体"/>
          <w:sz w:val="24"/>
          <w:szCs w:val="24"/>
          <w:highlight w:val="none"/>
        </w:rPr>
        <w:t>：</w:t>
      </w:r>
      <w:bookmarkEnd w:id="299"/>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遵行《中华人民共和国政府采购法》第十二条和《中华人民共和国政府采购法实施条例》第九条及财政部关于回避的规定。</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评标前，应当将通讯工具或者相关电子设备交由招标采购单位统一保管。</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评标过程中，不得与外界联系，因发生不可预见情况，确实需要与外界联系的，应当在监督人员监督之下办理。</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在评标过程中和评标结束后，不得记录、复制或带走任何评标资料，除因规定的义务外，不得向外界透露评标内容。</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服从评标现场招标采购单位的现场秩序管理，接受评标现场监督人员的合法监督。</w:t>
      </w:r>
    </w:p>
    <w:p>
      <w:pPr>
        <w:numPr>
          <w:ilvl w:val="0"/>
          <w:numId w:val="109"/>
        </w:numPr>
        <w:tabs>
          <w:tab w:val="left" w:pos="1155"/>
        </w:tabs>
        <w:spacing w:line="360" w:lineRule="auto"/>
        <w:ind w:left="0" w:firstLine="525"/>
        <w:rPr>
          <w:rFonts w:ascii="宋体" w:hAnsi="宋体" w:cs="宋体"/>
          <w:sz w:val="24"/>
          <w:szCs w:val="24"/>
          <w:highlight w:val="none"/>
        </w:rPr>
      </w:pPr>
      <w:r>
        <w:rPr>
          <w:rFonts w:hint="eastAsia" w:ascii="宋体" w:hAnsi="宋体" w:cs="宋体"/>
          <w:sz w:val="24"/>
          <w:szCs w:val="24"/>
          <w:highlight w:val="none"/>
        </w:rPr>
        <w:t>遵守有关廉洁自律规定，不得私下接触投标人，不得收受投标人及有关业务单位和个人的财物或好处，不得接受采购组织单位的请托。</w:t>
      </w:r>
    </w:p>
    <w:p>
      <w:pPr>
        <w:tabs>
          <w:tab w:val="left" w:pos="1155"/>
        </w:tabs>
        <w:spacing w:line="360" w:lineRule="auto"/>
        <w:ind w:left="525"/>
        <w:rPr>
          <w:rFonts w:ascii="宋体" w:hAnsi="宋体" w:cs="宋体"/>
          <w:sz w:val="24"/>
          <w:szCs w:val="24"/>
          <w:highlight w:val="none"/>
        </w:rPr>
      </w:pPr>
      <w:r>
        <w:rPr>
          <w:rFonts w:hint="eastAsia" w:ascii="宋体" w:hAnsi="宋体" w:cs="宋体"/>
          <w:sz w:val="24"/>
          <w:szCs w:val="24"/>
          <w:highlight w:val="none"/>
        </w:rPr>
        <w:br w:type="page"/>
      </w:r>
    </w:p>
    <w:bookmarkEnd w:id="273"/>
    <w:bookmarkEnd w:id="274"/>
    <w:p>
      <w:pPr>
        <w:pStyle w:val="3"/>
        <w:rPr>
          <w:rFonts w:cs="宋体"/>
          <w:highlight w:val="none"/>
        </w:rPr>
      </w:pPr>
      <w:bookmarkStart w:id="300" w:name="_Toc494464931"/>
      <w:bookmarkStart w:id="301" w:name="_Toc13652525"/>
      <w:r>
        <w:rPr>
          <w:rFonts w:hint="eastAsia" w:cs="宋体"/>
          <w:highlight w:val="none"/>
        </w:rPr>
        <w:t>合同主要条款</w:t>
      </w:r>
      <w:bookmarkEnd w:id="300"/>
      <w:bookmarkEnd w:id="301"/>
    </w:p>
    <w:bookmarkEnd w:id="0"/>
    <w:bookmarkEnd w:id="1"/>
    <w:bookmarkEnd w:id="2"/>
    <w:bookmarkEnd w:id="3"/>
    <w:p>
      <w:pPr>
        <w:spacing w:line="400" w:lineRule="exact"/>
        <w:jc w:val="center"/>
        <w:rPr>
          <w:rFonts w:ascii="宋体" w:hAnsi="宋体" w:cs="宋体"/>
          <w:b/>
          <w:sz w:val="24"/>
          <w:szCs w:val="24"/>
          <w:highlight w:val="none"/>
        </w:rPr>
      </w:pPr>
      <w:bookmarkStart w:id="302" w:name="_Toc214858832"/>
      <w:bookmarkEnd w:id="302"/>
      <w:bookmarkStart w:id="303" w:name="_Toc316475666"/>
      <w:bookmarkEnd w:id="303"/>
      <w:bookmarkStart w:id="304" w:name="_Toc316475757"/>
      <w:bookmarkEnd w:id="304"/>
      <w:bookmarkStart w:id="305" w:name="_Toc316475761"/>
      <w:bookmarkEnd w:id="305"/>
      <w:bookmarkStart w:id="306" w:name="_Toc316475758"/>
      <w:bookmarkEnd w:id="306"/>
      <w:bookmarkStart w:id="307" w:name="_Toc316475667"/>
      <w:bookmarkEnd w:id="307"/>
      <w:bookmarkStart w:id="308" w:name="_Toc277152521"/>
      <w:bookmarkEnd w:id="308"/>
      <w:bookmarkStart w:id="309" w:name="_Toc316475664"/>
      <w:bookmarkEnd w:id="309"/>
      <w:bookmarkStart w:id="310" w:name="_Toc316475755"/>
      <w:bookmarkEnd w:id="310"/>
      <w:bookmarkStart w:id="311" w:name="_Toc316475763"/>
      <w:bookmarkEnd w:id="311"/>
      <w:bookmarkStart w:id="312" w:name="_Toc277152523"/>
      <w:bookmarkEnd w:id="312"/>
      <w:bookmarkStart w:id="313" w:name="_Toc316475760"/>
      <w:bookmarkEnd w:id="313"/>
      <w:bookmarkStart w:id="314" w:name="_Toc316475753"/>
      <w:bookmarkEnd w:id="314"/>
      <w:bookmarkStart w:id="315" w:name="_Toc316475754"/>
      <w:bookmarkEnd w:id="315"/>
      <w:bookmarkStart w:id="316" w:name="_Toc316475674"/>
      <w:bookmarkEnd w:id="316"/>
      <w:bookmarkStart w:id="317" w:name="_Toc316475665"/>
      <w:bookmarkEnd w:id="317"/>
      <w:bookmarkStart w:id="318" w:name="_Toc316475756"/>
      <w:bookmarkEnd w:id="318"/>
      <w:bookmarkStart w:id="319" w:name="_Toc316475751"/>
      <w:bookmarkEnd w:id="319"/>
      <w:bookmarkStart w:id="320" w:name="_Toc316475752"/>
      <w:bookmarkEnd w:id="320"/>
      <w:bookmarkStart w:id="321" w:name="_Toc316475671"/>
      <w:bookmarkEnd w:id="321"/>
      <w:bookmarkStart w:id="322" w:name="_Toc316475672"/>
      <w:bookmarkEnd w:id="322"/>
      <w:bookmarkStart w:id="323" w:name="_Toc316475677"/>
      <w:bookmarkEnd w:id="323"/>
      <w:bookmarkStart w:id="324" w:name="_Toc316475764"/>
      <w:bookmarkEnd w:id="324"/>
      <w:bookmarkStart w:id="325" w:name="_Toc316475675"/>
      <w:bookmarkEnd w:id="325"/>
      <w:bookmarkStart w:id="326" w:name="_Toc277152520"/>
      <w:bookmarkEnd w:id="326"/>
      <w:bookmarkStart w:id="327" w:name="_Toc299975392"/>
      <w:bookmarkEnd w:id="327"/>
      <w:bookmarkStart w:id="328" w:name="_Toc316475668"/>
      <w:bookmarkEnd w:id="328"/>
      <w:bookmarkStart w:id="329" w:name="_Toc277152522"/>
      <w:bookmarkEnd w:id="329"/>
      <w:bookmarkStart w:id="330" w:name="_Toc316475670"/>
      <w:bookmarkEnd w:id="330"/>
      <w:bookmarkStart w:id="331" w:name="_Toc316475759"/>
      <w:bookmarkEnd w:id="331"/>
      <w:bookmarkStart w:id="332" w:name="_Toc316475673"/>
      <w:bookmarkEnd w:id="332"/>
      <w:bookmarkStart w:id="333" w:name="_Toc316475762"/>
      <w:bookmarkEnd w:id="333"/>
      <w:bookmarkStart w:id="334" w:name="_Toc316475676"/>
      <w:bookmarkEnd w:id="334"/>
      <w:bookmarkStart w:id="335" w:name="_Toc316475669"/>
      <w:bookmarkEnd w:id="335"/>
      <w:bookmarkStart w:id="336" w:name="_Toc299975364"/>
      <w:bookmarkEnd w:id="336"/>
      <w:r>
        <w:rPr>
          <w:rFonts w:hint="eastAsia" w:ascii="宋体" w:hAnsi="宋体" w:cs="宋体"/>
          <w:b/>
          <w:sz w:val="24"/>
          <w:szCs w:val="24"/>
          <w:highlight w:val="none"/>
        </w:rPr>
        <w:t>拟签订的合同文本</w:t>
      </w:r>
    </w:p>
    <w:p>
      <w:pPr>
        <w:spacing w:line="400" w:lineRule="exact"/>
        <w:jc w:val="center"/>
        <w:rPr>
          <w:rFonts w:ascii="宋体" w:hAnsi="宋体" w:cs="宋体"/>
          <w:b/>
          <w:sz w:val="24"/>
          <w:szCs w:val="24"/>
          <w:highlight w:val="none"/>
        </w:rPr>
      </w:pPr>
    </w:p>
    <w:p>
      <w:pPr>
        <w:spacing w:line="400" w:lineRule="exact"/>
        <w:rPr>
          <w:rFonts w:ascii="宋体" w:hAnsi="宋体" w:cs="宋体"/>
          <w:sz w:val="24"/>
          <w:szCs w:val="24"/>
          <w:highlight w:val="none"/>
        </w:rPr>
      </w:pPr>
    </w:p>
    <w:p>
      <w:pPr>
        <w:spacing w:line="560" w:lineRule="exact"/>
        <w:rPr>
          <w:rFonts w:ascii="宋体" w:hAnsi="宋体" w:cs="宋体"/>
          <w:sz w:val="24"/>
          <w:szCs w:val="24"/>
          <w:highlight w:val="none"/>
        </w:rPr>
      </w:pPr>
      <w:bookmarkStart w:id="337" w:name="_Toc475862814"/>
      <w:bookmarkStart w:id="338" w:name="_Toc475862570"/>
      <w:bookmarkStart w:id="339" w:name="_Toc1019"/>
      <w:r>
        <w:rPr>
          <w:rFonts w:hint="eastAsia" w:ascii="宋体" w:hAnsi="宋体" w:cs="宋体"/>
          <w:sz w:val="24"/>
          <w:szCs w:val="24"/>
          <w:highlight w:val="none"/>
        </w:rPr>
        <w:t>(仅供参考，以实际签订合同为准)</w:t>
      </w:r>
      <w:bookmarkEnd w:id="337"/>
      <w:bookmarkEnd w:id="338"/>
      <w:bookmarkEnd w:id="339"/>
      <w:r>
        <w:rPr>
          <w:rFonts w:hint="eastAsia" w:ascii="宋体" w:hAnsi="宋体" w:cs="宋体"/>
          <w:sz w:val="24"/>
          <w:szCs w:val="24"/>
          <w:highlight w:val="none"/>
        </w:rPr>
        <w:t xml:space="preserve"> </w:t>
      </w:r>
    </w:p>
    <w:p>
      <w:pPr>
        <w:spacing w:line="560" w:lineRule="exact"/>
        <w:rPr>
          <w:rFonts w:ascii="宋体" w:hAnsi="宋体" w:cs="宋体"/>
          <w:sz w:val="24"/>
          <w:szCs w:val="24"/>
          <w:highlight w:val="none"/>
        </w:rPr>
      </w:pPr>
    </w:p>
    <w:p>
      <w:pPr>
        <w:spacing w:line="560" w:lineRule="exact"/>
        <w:rPr>
          <w:rFonts w:ascii="宋体" w:hAnsi="宋体" w:cs="宋体"/>
          <w:sz w:val="24"/>
          <w:szCs w:val="24"/>
          <w:highlight w:val="none"/>
        </w:rPr>
      </w:pPr>
      <w:r>
        <w:rPr>
          <w:rFonts w:hint="eastAsia" w:ascii="宋体" w:hAnsi="宋体" w:cs="宋体"/>
          <w:sz w:val="24"/>
          <w:szCs w:val="24"/>
          <w:highlight w:val="none"/>
        </w:rPr>
        <w:t>合同编号：XXXX。</w:t>
      </w:r>
    </w:p>
    <w:p>
      <w:pPr>
        <w:spacing w:line="560" w:lineRule="exact"/>
        <w:rPr>
          <w:rFonts w:ascii="宋体" w:hAnsi="宋体" w:cs="宋体"/>
          <w:sz w:val="24"/>
          <w:szCs w:val="24"/>
          <w:highlight w:val="none"/>
        </w:rPr>
      </w:pPr>
      <w:r>
        <w:rPr>
          <w:rFonts w:hint="eastAsia" w:ascii="宋体" w:hAnsi="宋体" w:cs="宋体"/>
          <w:sz w:val="24"/>
          <w:szCs w:val="24"/>
          <w:highlight w:val="none"/>
        </w:rPr>
        <w:t>签订地点：XXXX。</w:t>
      </w:r>
    </w:p>
    <w:p>
      <w:pPr>
        <w:spacing w:line="560" w:lineRule="exact"/>
        <w:rPr>
          <w:rFonts w:ascii="宋体" w:hAnsi="宋体" w:cs="宋体"/>
          <w:sz w:val="24"/>
          <w:szCs w:val="24"/>
          <w:highlight w:val="none"/>
        </w:rPr>
      </w:pPr>
      <w:r>
        <w:rPr>
          <w:rFonts w:hint="eastAsia" w:ascii="宋体" w:hAnsi="宋体" w:cs="宋体"/>
          <w:sz w:val="24"/>
          <w:szCs w:val="24"/>
          <w:highlight w:val="none"/>
        </w:rPr>
        <w:t>签订时间：XXXX年XX月XX日。</w:t>
      </w:r>
    </w:p>
    <w:p>
      <w:pPr>
        <w:spacing w:line="560" w:lineRule="exact"/>
        <w:rPr>
          <w:rFonts w:ascii="宋体" w:hAnsi="宋体" w:cs="宋体"/>
          <w:sz w:val="24"/>
          <w:szCs w:val="24"/>
          <w:highlight w:val="none"/>
        </w:rPr>
      </w:pPr>
      <w:r>
        <w:rPr>
          <w:rFonts w:hint="eastAsia" w:ascii="宋体" w:hAnsi="宋体" w:cs="宋体"/>
          <w:sz w:val="24"/>
          <w:szCs w:val="24"/>
          <w:highlight w:val="none"/>
        </w:rPr>
        <w:t xml:space="preserve">采购人（甲方）：                              </w:t>
      </w:r>
    </w:p>
    <w:p>
      <w:pPr>
        <w:spacing w:line="560" w:lineRule="exact"/>
        <w:rPr>
          <w:rFonts w:ascii="宋体" w:hAnsi="宋体" w:cs="宋体"/>
          <w:sz w:val="24"/>
          <w:szCs w:val="24"/>
          <w:highlight w:val="none"/>
        </w:rPr>
      </w:pPr>
      <w:r>
        <w:rPr>
          <w:rFonts w:hint="eastAsia" w:ascii="宋体" w:hAnsi="宋体" w:cs="宋体"/>
          <w:sz w:val="24"/>
          <w:szCs w:val="24"/>
          <w:highlight w:val="none"/>
        </w:rPr>
        <w:t xml:space="preserve">投标人（乙方）：                                                                     </w:t>
      </w:r>
    </w:p>
    <w:p>
      <w:pPr>
        <w:spacing w:line="560" w:lineRule="exact"/>
        <w:rPr>
          <w:rFonts w:ascii="宋体" w:hAnsi="宋体" w:cs="宋体"/>
          <w:sz w:val="24"/>
          <w:szCs w:val="24"/>
          <w:highlight w:val="none"/>
        </w:rPr>
      </w:pPr>
    </w:p>
    <w:p>
      <w:pPr>
        <w:spacing w:line="560" w:lineRule="exact"/>
        <w:rPr>
          <w:rFonts w:ascii="宋体" w:hAnsi="宋体" w:cs="宋体"/>
          <w:sz w:val="24"/>
          <w:szCs w:val="24"/>
          <w:highlight w:val="none"/>
        </w:rPr>
      </w:pPr>
      <w:r>
        <w:rPr>
          <w:rFonts w:hint="eastAsia" w:ascii="宋体" w:hAnsi="宋体" w:cs="宋体"/>
          <w:sz w:val="24"/>
          <w:szCs w:val="24"/>
          <w:highlight w:val="none"/>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560" w:lineRule="exact"/>
        <w:rPr>
          <w:rFonts w:ascii="宋体" w:hAnsi="宋体" w:cs="宋体"/>
          <w:sz w:val="24"/>
          <w:szCs w:val="24"/>
          <w:highlight w:val="none"/>
        </w:rPr>
      </w:pPr>
      <w:bookmarkStart w:id="340" w:name="_Toc475862571"/>
      <w:bookmarkStart w:id="341" w:name="_Toc17359"/>
      <w:bookmarkStart w:id="342" w:name="_Toc475862324"/>
      <w:bookmarkStart w:id="343" w:name="_Toc217446107"/>
      <w:bookmarkStart w:id="344" w:name="_Toc475862815"/>
      <w:r>
        <w:rPr>
          <w:rFonts w:hint="eastAsia" w:ascii="宋体" w:hAnsi="宋体" w:cs="宋体"/>
          <w:sz w:val="24"/>
          <w:szCs w:val="24"/>
          <w:highlight w:val="none"/>
        </w:rPr>
        <w:t>一、合同货物</w:t>
      </w:r>
      <w:bookmarkEnd w:id="340"/>
      <w:bookmarkEnd w:id="341"/>
      <w:bookmarkEnd w:id="342"/>
      <w:bookmarkEnd w:id="343"/>
      <w:bookmarkEnd w:id="344"/>
    </w:p>
    <w:tbl>
      <w:tblPr>
        <w:tblStyle w:val="41"/>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规格</w:t>
            </w:r>
          </w:p>
          <w:p>
            <w:pPr>
              <w:spacing w:line="560" w:lineRule="exact"/>
              <w:rPr>
                <w:rFonts w:ascii="宋体" w:hAnsi="宋体" w:cs="宋体"/>
                <w:sz w:val="24"/>
                <w:szCs w:val="24"/>
                <w:highlight w:val="none"/>
              </w:rPr>
            </w:pPr>
            <w:r>
              <w:rPr>
                <w:rFonts w:hint="eastAsia" w:ascii="宋体" w:hAnsi="宋体" w:cs="宋体"/>
                <w:sz w:val="24"/>
                <w:szCs w:val="24"/>
                <w:highlight w:val="none"/>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单价</w:t>
            </w:r>
          </w:p>
          <w:p>
            <w:pPr>
              <w:spacing w:line="560" w:lineRule="exact"/>
              <w:rPr>
                <w:rFonts w:ascii="宋体" w:hAnsi="宋体" w:cs="宋体"/>
                <w:sz w:val="24"/>
                <w:szCs w:val="24"/>
                <w:highlight w:val="none"/>
              </w:rPr>
            </w:pPr>
            <w:r>
              <w:rPr>
                <w:rFonts w:hint="eastAsia" w:ascii="宋体" w:hAnsi="宋体" w:cs="宋体"/>
                <w:sz w:val="24"/>
                <w:szCs w:val="24"/>
                <w:highlight w:val="none"/>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总价</w:t>
            </w:r>
          </w:p>
          <w:p>
            <w:pPr>
              <w:spacing w:line="560" w:lineRule="exact"/>
              <w:rPr>
                <w:rFonts w:ascii="宋体" w:hAnsi="宋体" w:cs="宋体"/>
                <w:sz w:val="24"/>
                <w:szCs w:val="24"/>
                <w:highlight w:val="none"/>
              </w:rPr>
            </w:pPr>
            <w:r>
              <w:rPr>
                <w:rFonts w:hint="eastAsia" w:ascii="宋体" w:hAnsi="宋体" w:cs="宋体"/>
                <w:sz w:val="24"/>
                <w:szCs w:val="24"/>
                <w:highlight w:val="none"/>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随机</w:t>
            </w:r>
          </w:p>
          <w:p>
            <w:pPr>
              <w:spacing w:line="560" w:lineRule="exact"/>
              <w:rPr>
                <w:rFonts w:ascii="宋体" w:hAnsi="宋体" w:cs="宋体"/>
                <w:sz w:val="24"/>
                <w:szCs w:val="24"/>
                <w:highlight w:val="none"/>
              </w:rPr>
            </w:pPr>
            <w:r>
              <w:rPr>
                <w:rFonts w:hint="eastAsia" w:ascii="宋体" w:hAnsi="宋体" w:cs="宋体"/>
                <w:sz w:val="24"/>
                <w:szCs w:val="24"/>
                <w:highlight w:val="none"/>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cs="宋体"/>
                <w:sz w:val="24"/>
                <w:szCs w:val="24"/>
                <w:highlight w:val="none"/>
              </w:rPr>
            </w:pPr>
            <w:r>
              <w:rPr>
                <w:rFonts w:hint="eastAsia" w:ascii="宋体" w:hAnsi="宋体" w:cs="宋体"/>
                <w:sz w:val="24"/>
                <w:szCs w:val="24"/>
                <w:highlight w:val="none"/>
              </w:rPr>
              <w:t> </w:t>
            </w:r>
          </w:p>
        </w:tc>
      </w:tr>
    </w:tbl>
    <w:p>
      <w:pPr>
        <w:spacing w:line="560" w:lineRule="exact"/>
        <w:rPr>
          <w:rFonts w:ascii="宋体" w:hAnsi="宋体" w:cs="宋体"/>
          <w:sz w:val="24"/>
          <w:szCs w:val="24"/>
          <w:highlight w:val="none"/>
        </w:rPr>
      </w:pPr>
      <w:bookmarkStart w:id="345" w:name="_Toc475862325"/>
      <w:bookmarkStart w:id="346" w:name="_Toc6202"/>
      <w:bookmarkStart w:id="347" w:name="_Toc475862816"/>
      <w:bookmarkStart w:id="348" w:name="_Toc475862572"/>
      <w:bookmarkStart w:id="349" w:name="_Toc217446108"/>
      <w:r>
        <w:rPr>
          <w:rFonts w:hint="eastAsia" w:ascii="宋体" w:hAnsi="宋体" w:cs="宋体"/>
          <w:sz w:val="24"/>
          <w:szCs w:val="24"/>
          <w:highlight w:val="none"/>
        </w:rPr>
        <w:t>二、合同总价</w:t>
      </w:r>
      <w:bookmarkEnd w:id="345"/>
      <w:bookmarkEnd w:id="346"/>
      <w:bookmarkEnd w:id="347"/>
      <w:bookmarkEnd w:id="348"/>
      <w:bookmarkEnd w:id="349"/>
    </w:p>
    <w:p>
      <w:pPr>
        <w:spacing w:line="560" w:lineRule="exact"/>
        <w:rPr>
          <w:rFonts w:ascii="宋体" w:hAnsi="宋体" w:cs="宋体"/>
          <w:sz w:val="24"/>
          <w:szCs w:val="24"/>
          <w:highlight w:val="none"/>
        </w:rPr>
      </w:pPr>
      <w:r>
        <w:rPr>
          <w:rFonts w:hint="eastAsia" w:ascii="宋体" w:hAnsi="宋体" w:cs="宋体"/>
          <w:sz w:val="24"/>
          <w:szCs w:val="24"/>
          <w:highlight w:val="none"/>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560" w:lineRule="exact"/>
        <w:rPr>
          <w:rFonts w:ascii="宋体" w:hAnsi="宋体" w:cs="宋体"/>
          <w:sz w:val="24"/>
          <w:szCs w:val="24"/>
          <w:highlight w:val="none"/>
        </w:rPr>
      </w:pPr>
      <w:bookmarkStart w:id="350" w:name="_Toc217446109"/>
      <w:bookmarkStart w:id="351" w:name="_Toc475862573"/>
      <w:bookmarkStart w:id="352" w:name="_Toc31221"/>
      <w:bookmarkStart w:id="353" w:name="_Toc475862817"/>
      <w:bookmarkStart w:id="354" w:name="_Toc475862326"/>
      <w:r>
        <w:rPr>
          <w:rFonts w:hint="eastAsia" w:ascii="宋体" w:hAnsi="宋体" w:cs="宋体"/>
          <w:sz w:val="24"/>
          <w:szCs w:val="24"/>
          <w:highlight w:val="none"/>
        </w:rPr>
        <w:t>三、质量要求</w:t>
      </w:r>
      <w:bookmarkEnd w:id="350"/>
      <w:bookmarkEnd w:id="351"/>
      <w:bookmarkEnd w:id="352"/>
      <w:bookmarkEnd w:id="353"/>
      <w:bookmarkEnd w:id="354"/>
    </w:p>
    <w:p>
      <w:pPr>
        <w:spacing w:line="560" w:lineRule="exact"/>
        <w:rPr>
          <w:rFonts w:ascii="宋体" w:hAnsi="宋体" w:cs="宋体"/>
          <w:sz w:val="24"/>
          <w:szCs w:val="24"/>
          <w:highlight w:val="none"/>
        </w:rPr>
      </w:pPr>
      <w:r>
        <w:rPr>
          <w:rFonts w:hint="eastAsia" w:ascii="宋体" w:hAnsi="宋体" w:cs="宋体"/>
          <w:sz w:val="24"/>
          <w:szCs w:val="24"/>
          <w:highlight w:val="none"/>
        </w:rPr>
        <w:t>1、乙方须提供全新的货物（含零部件、配件等），表面无划伤、无碰撞痕迹，且权属清楚，不得侵害他人的知识产权。</w:t>
      </w:r>
    </w:p>
    <w:p>
      <w:pPr>
        <w:spacing w:line="560" w:lineRule="exact"/>
        <w:rPr>
          <w:rFonts w:ascii="宋体" w:hAnsi="宋体" w:cs="宋体"/>
          <w:sz w:val="24"/>
          <w:szCs w:val="24"/>
          <w:highlight w:val="none"/>
        </w:rPr>
      </w:pPr>
      <w:r>
        <w:rPr>
          <w:rFonts w:hint="eastAsia" w:ascii="宋体" w:hAnsi="宋体" w:cs="宋体"/>
          <w:sz w:val="24"/>
          <w:szCs w:val="24"/>
          <w:highlight w:val="none"/>
        </w:rPr>
        <w:t>2、货物必须符合或优于国家（行业）          标准，以及本项目招标文件的质量要求和技术指标与出厂标准。</w:t>
      </w:r>
    </w:p>
    <w:p>
      <w:pPr>
        <w:spacing w:line="560" w:lineRule="exact"/>
        <w:rPr>
          <w:rFonts w:ascii="宋体" w:hAnsi="宋体" w:cs="宋体"/>
          <w:sz w:val="24"/>
          <w:szCs w:val="24"/>
          <w:highlight w:val="none"/>
        </w:rPr>
      </w:pPr>
      <w:r>
        <w:rPr>
          <w:rFonts w:hint="eastAsia" w:ascii="宋体" w:hAnsi="宋体" w:cs="宋体"/>
          <w:sz w:val="24"/>
          <w:szCs w:val="24"/>
          <w:highlight w:val="none"/>
        </w:rPr>
        <w:t>3、乙方须在本合同签订之日起   日内送交货物成品样品给甲方确认，在甲方出具确认书并封存成品样品外观尺寸后，乙方才能按样生产，并以此样品作为验收样品；每台货物上均应有产品质量检验合格标志。</w:t>
      </w:r>
    </w:p>
    <w:p>
      <w:pPr>
        <w:spacing w:line="560" w:lineRule="exact"/>
        <w:rPr>
          <w:rFonts w:ascii="宋体" w:hAnsi="宋体" w:cs="宋体"/>
          <w:sz w:val="24"/>
          <w:szCs w:val="24"/>
          <w:highlight w:val="none"/>
        </w:rPr>
      </w:pPr>
      <w:r>
        <w:rPr>
          <w:rFonts w:hint="eastAsia" w:ascii="宋体" w:hAnsi="宋体" w:cs="宋体"/>
          <w:sz w:val="24"/>
          <w:szCs w:val="24"/>
          <w:highlight w:val="none"/>
        </w:rPr>
        <w:t>4、货物制造质量出现问题，乙方应负责三包（包修、包换、包退），费用由乙方负担，甲方有权到乙方生产场地检查货物质量和生产进度。</w:t>
      </w:r>
    </w:p>
    <w:p>
      <w:pPr>
        <w:spacing w:line="560" w:lineRule="exact"/>
        <w:rPr>
          <w:rFonts w:ascii="宋体" w:hAnsi="宋体" w:cs="宋体"/>
          <w:sz w:val="24"/>
          <w:szCs w:val="24"/>
          <w:highlight w:val="none"/>
        </w:rPr>
      </w:pPr>
      <w:r>
        <w:rPr>
          <w:rFonts w:hint="eastAsia" w:ascii="宋体" w:hAnsi="宋体" w:cs="宋体"/>
          <w:sz w:val="24"/>
          <w:szCs w:val="24"/>
          <w:highlight w:val="none"/>
        </w:rPr>
        <w:t>5、货到现场后由于甲方保管不当造成的质量问题，乙方亦应负责修理，但费用由甲方负担。</w:t>
      </w:r>
    </w:p>
    <w:p>
      <w:pPr>
        <w:spacing w:line="560" w:lineRule="exact"/>
        <w:rPr>
          <w:rFonts w:ascii="宋体" w:hAnsi="宋体" w:cs="宋体"/>
          <w:sz w:val="24"/>
          <w:szCs w:val="24"/>
          <w:highlight w:val="none"/>
        </w:rPr>
      </w:pPr>
      <w:bookmarkStart w:id="355" w:name="_Toc217446110"/>
      <w:bookmarkStart w:id="356" w:name="_Toc475862818"/>
      <w:bookmarkStart w:id="357" w:name="_Toc475862574"/>
      <w:bookmarkStart w:id="358" w:name="_Toc10178"/>
      <w:bookmarkStart w:id="359" w:name="_Toc475862327"/>
      <w:r>
        <w:rPr>
          <w:rFonts w:hint="eastAsia" w:ascii="宋体" w:hAnsi="宋体" w:cs="宋体"/>
          <w:sz w:val="24"/>
          <w:szCs w:val="24"/>
          <w:highlight w:val="none"/>
        </w:rPr>
        <w:t>四、交货及验收</w:t>
      </w:r>
      <w:bookmarkEnd w:id="355"/>
      <w:bookmarkEnd w:id="356"/>
      <w:bookmarkEnd w:id="357"/>
      <w:bookmarkEnd w:id="358"/>
      <w:bookmarkEnd w:id="359"/>
      <w:r>
        <w:rPr>
          <w:rFonts w:hint="eastAsia" w:ascii="宋体" w:hAnsi="宋体" w:cs="宋体"/>
          <w:sz w:val="24"/>
          <w:szCs w:val="24"/>
          <w:highlight w:val="none"/>
        </w:rPr>
        <w:t>（含履约时间和履约方式）</w:t>
      </w:r>
    </w:p>
    <w:p>
      <w:pPr>
        <w:spacing w:line="560" w:lineRule="exact"/>
        <w:rPr>
          <w:rFonts w:ascii="宋体" w:hAnsi="宋体" w:cs="宋体"/>
          <w:sz w:val="24"/>
          <w:szCs w:val="24"/>
          <w:highlight w:val="none"/>
        </w:rPr>
      </w:pPr>
      <w:r>
        <w:rPr>
          <w:rFonts w:hint="eastAsia" w:ascii="宋体" w:hAnsi="宋体" w:cs="宋体"/>
          <w:sz w:val="24"/>
          <w:szCs w:val="24"/>
          <w:highlight w:val="none"/>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spacing w:line="560" w:lineRule="exact"/>
        <w:rPr>
          <w:rFonts w:ascii="宋体" w:hAnsi="宋体" w:cs="宋体"/>
          <w:sz w:val="24"/>
          <w:szCs w:val="24"/>
          <w:highlight w:val="none"/>
        </w:rPr>
      </w:pPr>
      <w:r>
        <w:rPr>
          <w:rFonts w:hint="eastAsia" w:ascii="宋体" w:hAnsi="宋体" w:cs="宋体"/>
          <w:sz w:val="24"/>
          <w:szCs w:val="24"/>
          <w:highlight w:val="none"/>
        </w:rPr>
        <w:t>2、验收由甲方组织，乙方配合进行：</w:t>
      </w:r>
    </w:p>
    <w:p>
      <w:pPr>
        <w:spacing w:line="560" w:lineRule="exact"/>
        <w:rPr>
          <w:rFonts w:ascii="宋体" w:hAnsi="宋体" w:cs="宋体"/>
          <w:sz w:val="24"/>
          <w:szCs w:val="24"/>
          <w:highlight w:val="none"/>
        </w:rPr>
      </w:pPr>
      <w:r>
        <w:rPr>
          <w:rFonts w:hint="eastAsia" w:ascii="宋体" w:hAnsi="宋体" w:cs="宋体"/>
          <w:sz w:val="24"/>
          <w:szCs w:val="24"/>
          <w:highlight w:val="none"/>
        </w:rPr>
        <w:t>(1) 货物在乙方通知安装调试完毕后    日内初步验收。初步验收合格后，进入    试用期；试用期间发生重大质量问题，修复后试用相应顺延；试用期结束后    日内完成最终验收；</w:t>
      </w:r>
    </w:p>
    <w:p>
      <w:pPr>
        <w:spacing w:line="560" w:lineRule="exact"/>
        <w:rPr>
          <w:rFonts w:ascii="宋体" w:hAnsi="宋体" w:cs="宋体"/>
          <w:sz w:val="24"/>
          <w:szCs w:val="24"/>
          <w:highlight w:val="none"/>
        </w:rPr>
      </w:pPr>
      <w:r>
        <w:rPr>
          <w:rFonts w:hint="eastAsia" w:ascii="宋体" w:hAnsi="宋体" w:cs="宋体"/>
          <w:sz w:val="24"/>
          <w:szCs w:val="24"/>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560" w:lineRule="exact"/>
        <w:rPr>
          <w:rFonts w:ascii="宋体" w:hAnsi="宋体" w:cs="宋体"/>
          <w:sz w:val="24"/>
          <w:szCs w:val="24"/>
          <w:highlight w:val="none"/>
        </w:rPr>
      </w:pPr>
      <w:r>
        <w:rPr>
          <w:rFonts w:hint="eastAsia" w:ascii="宋体" w:hAnsi="宋体" w:cs="宋体"/>
          <w:sz w:val="24"/>
          <w:szCs w:val="24"/>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560" w:lineRule="exact"/>
        <w:rPr>
          <w:rFonts w:ascii="宋体" w:hAnsi="宋体" w:cs="宋体"/>
          <w:sz w:val="24"/>
          <w:szCs w:val="24"/>
          <w:highlight w:val="none"/>
        </w:rPr>
      </w:pPr>
      <w:r>
        <w:rPr>
          <w:rFonts w:hint="eastAsia" w:ascii="宋体" w:hAnsi="宋体" w:cs="宋体"/>
          <w:sz w:val="24"/>
          <w:szCs w:val="24"/>
          <w:highlight w:val="none"/>
        </w:rPr>
        <w:t>(4) 如质量验收合格，双方签署质量验收报告。</w:t>
      </w:r>
    </w:p>
    <w:p>
      <w:pPr>
        <w:spacing w:line="560" w:lineRule="exact"/>
        <w:rPr>
          <w:rFonts w:ascii="宋体" w:hAnsi="宋体" w:cs="宋体"/>
          <w:sz w:val="24"/>
          <w:szCs w:val="24"/>
          <w:highlight w:val="none"/>
        </w:rPr>
      </w:pPr>
      <w:r>
        <w:rPr>
          <w:rFonts w:hint="eastAsia" w:ascii="宋体" w:hAnsi="宋体" w:cs="宋体"/>
          <w:sz w:val="24"/>
          <w:szCs w:val="24"/>
          <w:highlight w:val="none"/>
        </w:rPr>
        <w:t>3、货物安装完成后     日内，甲方无故不进行验收工作并已使用货物的，视同已安装调试完成并验收合格。</w:t>
      </w:r>
    </w:p>
    <w:p>
      <w:pPr>
        <w:spacing w:line="560" w:lineRule="exact"/>
        <w:rPr>
          <w:rFonts w:ascii="宋体" w:hAnsi="宋体" w:cs="宋体"/>
          <w:sz w:val="24"/>
          <w:szCs w:val="24"/>
          <w:highlight w:val="none"/>
        </w:rPr>
      </w:pPr>
      <w:r>
        <w:rPr>
          <w:rFonts w:hint="eastAsia" w:ascii="宋体" w:hAnsi="宋体" w:cs="宋体"/>
          <w:sz w:val="24"/>
          <w:szCs w:val="24"/>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spacing w:line="560" w:lineRule="exact"/>
        <w:rPr>
          <w:rFonts w:ascii="宋体" w:hAnsi="宋体" w:cs="宋体"/>
          <w:sz w:val="24"/>
          <w:szCs w:val="24"/>
          <w:highlight w:val="none"/>
        </w:rPr>
      </w:pPr>
      <w:r>
        <w:rPr>
          <w:rFonts w:hint="eastAsia" w:ascii="宋体" w:hAnsi="宋体" w:cs="宋体"/>
          <w:sz w:val="24"/>
          <w:szCs w:val="24"/>
          <w:highlight w:val="none"/>
        </w:rPr>
        <w:t>5、如货物经乙方   次维修仍不能达到合同约定的质量标准，甲方有权退货，并视作乙方不能交付货物而须支付违约赔偿金给甲方，甲方还可依法追究乙方的违约责任。 </w:t>
      </w:r>
    </w:p>
    <w:p>
      <w:pPr>
        <w:spacing w:line="560" w:lineRule="exact"/>
        <w:rPr>
          <w:rFonts w:ascii="宋体" w:hAnsi="宋体" w:cs="宋体"/>
          <w:sz w:val="24"/>
          <w:szCs w:val="24"/>
          <w:highlight w:val="none"/>
        </w:rPr>
      </w:pPr>
      <w:r>
        <w:rPr>
          <w:rFonts w:hint="eastAsia" w:ascii="宋体" w:hAnsi="宋体" w:cs="宋体"/>
          <w:sz w:val="24"/>
          <w:szCs w:val="24"/>
          <w:highlight w:val="none"/>
        </w:rPr>
        <w:t>6、其他未尽事宜应严格按照《财政部关于进一步加强政府采购需求和履约验收管理的指导意见》（财库[2016]205号）的要求进行。</w:t>
      </w:r>
    </w:p>
    <w:p>
      <w:pPr>
        <w:spacing w:line="560" w:lineRule="exact"/>
        <w:rPr>
          <w:rFonts w:ascii="宋体" w:hAnsi="宋体" w:cs="宋体"/>
          <w:sz w:val="24"/>
          <w:szCs w:val="24"/>
          <w:highlight w:val="none"/>
        </w:rPr>
      </w:pPr>
      <w:bookmarkStart w:id="360" w:name="_Toc475862575"/>
      <w:bookmarkStart w:id="361" w:name="_Toc475862819"/>
      <w:bookmarkStart w:id="362" w:name="_Toc5521"/>
      <w:bookmarkStart w:id="363" w:name="_Toc475862328"/>
      <w:bookmarkStart w:id="364" w:name="_Toc217446111"/>
      <w:r>
        <w:rPr>
          <w:rFonts w:hint="eastAsia" w:ascii="宋体" w:hAnsi="宋体" w:cs="宋体"/>
          <w:sz w:val="24"/>
          <w:szCs w:val="24"/>
          <w:highlight w:val="none"/>
        </w:rPr>
        <w:t>五、付款方式</w:t>
      </w:r>
      <w:bookmarkEnd w:id="360"/>
      <w:bookmarkEnd w:id="361"/>
      <w:bookmarkEnd w:id="362"/>
      <w:bookmarkEnd w:id="363"/>
      <w:bookmarkEnd w:id="364"/>
      <w:r>
        <w:rPr>
          <w:rFonts w:hint="eastAsia" w:ascii="宋体" w:hAnsi="宋体" w:cs="宋体"/>
          <w:sz w:val="24"/>
          <w:szCs w:val="24"/>
          <w:highlight w:val="none"/>
        </w:rPr>
        <w:t>（含付款时间）</w:t>
      </w:r>
    </w:p>
    <w:p>
      <w:pPr>
        <w:spacing w:line="560" w:lineRule="exact"/>
        <w:rPr>
          <w:rFonts w:ascii="宋体" w:hAnsi="宋体" w:cs="宋体"/>
          <w:sz w:val="24"/>
          <w:szCs w:val="24"/>
          <w:highlight w:val="none"/>
        </w:rPr>
      </w:pPr>
      <w:r>
        <w:rPr>
          <w:rFonts w:hint="eastAsia" w:ascii="宋体" w:hAnsi="宋体" w:cs="宋体"/>
          <w:sz w:val="24"/>
          <w:szCs w:val="24"/>
          <w:highlight w:val="none"/>
        </w:rPr>
        <w:t>（一）适用于无预付款采购项目</w:t>
      </w:r>
    </w:p>
    <w:p>
      <w:pPr>
        <w:spacing w:line="560" w:lineRule="exact"/>
        <w:rPr>
          <w:rFonts w:ascii="宋体" w:hAnsi="宋体" w:cs="宋体"/>
          <w:sz w:val="24"/>
          <w:szCs w:val="24"/>
          <w:highlight w:val="none"/>
        </w:rPr>
      </w:pPr>
      <w:r>
        <w:rPr>
          <w:rFonts w:hint="eastAsia" w:ascii="宋体" w:hAnsi="宋体" w:cs="宋体"/>
          <w:sz w:val="24"/>
          <w:szCs w:val="24"/>
          <w:highlight w:val="none"/>
        </w:rPr>
        <w:t>1、全部货物安装调试完毕并验收合格之日起，甲方接到乙方通知与票据凭证资料以后的      日内，按照财政性资金支付有关规定，向乙方支付合同价款￥     元，人民币大写    元整；</w:t>
      </w:r>
    </w:p>
    <w:p>
      <w:pPr>
        <w:spacing w:line="560" w:lineRule="exact"/>
        <w:rPr>
          <w:rFonts w:ascii="宋体" w:hAnsi="宋体" w:cs="宋体"/>
          <w:sz w:val="24"/>
          <w:szCs w:val="24"/>
          <w:highlight w:val="none"/>
        </w:rPr>
      </w:pPr>
      <w:r>
        <w:rPr>
          <w:rFonts w:hint="eastAsia" w:ascii="宋体" w:hAnsi="宋体" w:cs="宋体"/>
          <w:sz w:val="24"/>
          <w:szCs w:val="24"/>
          <w:highlight w:val="none"/>
        </w:rPr>
        <w:t>2、履约保证金退还：在货物验收合格满    后，甲方接到乙方通知和支付凭证资料文件，以及由甲方确认本合同货物质量与服务等约定事项已经履行完毕的正式书面文件后的     日内，递交结算凭证资料给银行并由其向乙方支付价款￥      元， 人民币大写：              元整；乙方履约不合格的，履约保证金不予退还。</w:t>
      </w:r>
    </w:p>
    <w:p>
      <w:pPr>
        <w:spacing w:line="560" w:lineRule="exact"/>
        <w:rPr>
          <w:rFonts w:ascii="宋体" w:hAnsi="宋体" w:cs="宋体"/>
          <w:sz w:val="24"/>
          <w:szCs w:val="24"/>
          <w:highlight w:val="none"/>
        </w:rPr>
      </w:pPr>
      <w:r>
        <w:rPr>
          <w:rFonts w:hint="eastAsia" w:ascii="宋体" w:hAnsi="宋体" w:cs="宋体"/>
          <w:sz w:val="24"/>
          <w:szCs w:val="24"/>
          <w:highlight w:val="none"/>
        </w:rPr>
        <w:t>3、乙方须向甲方出具合法有效完整的完税发票及凭证资料进行支付结算。</w:t>
      </w:r>
    </w:p>
    <w:p>
      <w:pPr>
        <w:spacing w:line="560" w:lineRule="exact"/>
        <w:rPr>
          <w:rFonts w:ascii="宋体" w:hAnsi="宋体" w:cs="宋体"/>
          <w:sz w:val="24"/>
          <w:szCs w:val="24"/>
          <w:highlight w:val="none"/>
        </w:rPr>
      </w:pPr>
      <w:r>
        <w:rPr>
          <w:rFonts w:hint="eastAsia" w:ascii="宋体" w:hAnsi="宋体" w:cs="宋体"/>
          <w:sz w:val="24"/>
          <w:szCs w:val="24"/>
          <w:highlight w:val="none"/>
        </w:rPr>
        <w:t>（二）适用于有预付款采购项目（预付款建议不超过政府采购合同金额的30%）</w:t>
      </w:r>
    </w:p>
    <w:p>
      <w:pPr>
        <w:spacing w:line="560" w:lineRule="exact"/>
        <w:rPr>
          <w:rFonts w:ascii="宋体" w:hAnsi="宋体" w:cs="宋体"/>
          <w:sz w:val="24"/>
          <w:szCs w:val="24"/>
          <w:highlight w:val="none"/>
        </w:rPr>
      </w:pPr>
      <w:r>
        <w:rPr>
          <w:rFonts w:hint="eastAsia" w:ascii="宋体" w:hAnsi="宋体" w:cs="宋体"/>
          <w:sz w:val="24"/>
          <w:szCs w:val="24"/>
          <w:highlight w:val="none"/>
        </w:rPr>
        <w:t>1、甲方在本合同签订生效之日起接到乙方通知和票据凭证资料以及乙方交给甲方的合同履约保证金（按合同总价的百分之  计算款额￥             元，人民币大写：                            元整）后的    日内支付合同金额百分之     的价款；</w:t>
      </w:r>
    </w:p>
    <w:p>
      <w:pPr>
        <w:spacing w:line="560" w:lineRule="exact"/>
        <w:rPr>
          <w:rFonts w:ascii="宋体" w:hAnsi="宋体" w:cs="宋体"/>
          <w:sz w:val="24"/>
          <w:szCs w:val="24"/>
          <w:highlight w:val="none"/>
        </w:rPr>
      </w:pPr>
      <w:r>
        <w:rPr>
          <w:rFonts w:hint="eastAsia" w:ascii="宋体" w:hAnsi="宋体" w:cs="宋体"/>
          <w:sz w:val="24"/>
          <w:szCs w:val="24"/>
          <w:highlight w:val="none"/>
        </w:rPr>
        <w:t>2、全部货物安装调试完毕并验收合格之日起，甲方接到乙方通知与票据凭证资料以后的      日内，提交支付凭证资料给       财政国库支付执行机构办理财政国库支付手续，并由其向乙方核拨合同总价的百分之   款项：￥     元，人民币大写    元整；</w:t>
      </w:r>
    </w:p>
    <w:p>
      <w:pPr>
        <w:spacing w:line="560" w:lineRule="exact"/>
        <w:rPr>
          <w:rFonts w:ascii="宋体" w:hAnsi="宋体" w:cs="宋体"/>
          <w:sz w:val="24"/>
          <w:szCs w:val="24"/>
          <w:highlight w:val="none"/>
        </w:rPr>
      </w:pPr>
      <w:r>
        <w:rPr>
          <w:rFonts w:hint="eastAsia" w:ascii="宋体" w:hAnsi="宋体" w:cs="宋体"/>
          <w:sz w:val="24"/>
          <w:szCs w:val="24"/>
          <w:highlight w:val="none"/>
        </w:rPr>
        <w:t>3、履约保证金退还：在货物验收合格满    后，甲方接到乙方通知和支付凭证资料文件，以及由甲方确认本合同货物质量与服务等约定事项已经履行完毕的正式书面文件后的     日内，递交结算凭证资料给银行并由其向乙方支付价款￥      元， 人民币大写：              元整；乙方履约不合格的，履约保证金不予退还。</w:t>
      </w:r>
    </w:p>
    <w:p>
      <w:pPr>
        <w:spacing w:line="560" w:lineRule="exact"/>
        <w:rPr>
          <w:rFonts w:ascii="宋体" w:hAnsi="宋体" w:cs="宋体"/>
          <w:sz w:val="24"/>
          <w:szCs w:val="24"/>
          <w:highlight w:val="none"/>
        </w:rPr>
      </w:pPr>
      <w:r>
        <w:rPr>
          <w:rFonts w:hint="eastAsia" w:ascii="宋体" w:hAnsi="宋体" w:cs="宋体"/>
          <w:sz w:val="24"/>
          <w:szCs w:val="24"/>
          <w:highlight w:val="none"/>
        </w:rPr>
        <w:t>4、乙方须向甲方出具合法有效完整的完税发票及凭证资料进行支付结算。</w:t>
      </w:r>
    </w:p>
    <w:p>
      <w:pPr>
        <w:spacing w:line="560" w:lineRule="exact"/>
        <w:rPr>
          <w:rFonts w:ascii="宋体" w:hAnsi="宋体" w:cs="宋体"/>
          <w:sz w:val="24"/>
          <w:szCs w:val="24"/>
          <w:highlight w:val="none"/>
        </w:rPr>
      </w:pPr>
      <w:bookmarkStart w:id="365" w:name="_Toc475862820"/>
      <w:bookmarkStart w:id="366" w:name="_Toc22004"/>
      <w:bookmarkStart w:id="367" w:name="_Toc475862329"/>
      <w:bookmarkStart w:id="368" w:name="_Toc475862576"/>
      <w:bookmarkStart w:id="369" w:name="_Toc217446112"/>
      <w:r>
        <w:rPr>
          <w:rFonts w:hint="eastAsia" w:ascii="宋体" w:hAnsi="宋体" w:cs="宋体"/>
          <w:sz w:val="24"/>
          <w:szCs w:val="24"/>
          <w:highlight w:val="none"/>
        </w:rPr>
        <w:t>六、售后服务</w:t>
      </w:r>
      <w:bookmarkEnd w:id="365"/>
      <w:bookmarkEnd w:id="366"/>
      <w:bookmarkEnd w:id="367"/>
      <w:bookmarkEnd w:id="368"/>
      <w:bookmarkEnd w:id="369"/>
    </w:p>
    <w:p>
      <w:pPr>
        <w:spacing w:line="560" w:lineRule="exact"/>
        <w:rPr>
          <w:rFonts w:ascii="宋体" w:hAnsi="宋体" w:cs="宋体"/>
          <w:sz w:val="24"/>
          <w:szCs w:val="24"/>
          <w:highlight w:val="none"/>
        </w:rPr>
      </w:pPr>
      <w:r>
        <w:rPr>
          <w:rFonts w:hint="eastAsia" w:ascii="宋体" w:hAnsi="宋体" w:cs="宋体"/>
          <w:sz w:val="24"/>
          <w:szCs w:val="24"/>
          <w:highlight w:val="none"/>
        </w:rPr>
        <w:t>1、质保期为验收合格后XX年，质保期内出现质量问题，乙方在接到通知后   小时内响应到场，    小时内完成维修或更换，并承担修理调换的费用；如货物经乙方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spacing w:line="560" w:lineRule="exact"/>
        <w:rPr>
          <w:rFonts w:ascii="宋体" w:hAnsi="宋体" w:cs="宋体"/>
          <w:sz w:val="24"/>
          <w:szCs w:val="24"/>
          <w:highlight w:val="none"/>
        </w:rPr>
      </w:pPr>
      <w:r>
        <w:rPr>
          <w:rFonts w:hint="eastAsia" w:ascii="宋体" w:hAnsi="宋体" w:cs="宋体"/>
          <w:sz w:val="24"/>
          <w:szCs w:val="24"/>
          <w:highlight w:val="none"/>
        </w:rPr>
        <w:t>2、乙方须指派专人负责与甲方联系售后服务事宜。 </w:t>
      </w:r>
    </w:p>
    <w:p>
      <w:pPr>
        <w:spacing w:line="560" w:lineRule="exact"/>
        <w:rPr>
          <w:rFonts w:ascii="宋体" w:hAnsi="宋体" w:cs="宋体"/>
          <w:sz w:val="24"/>
          <w:szCs w:val="24"/>
          <w:highlight w:val="none"/>
        </w:rPr>
      </w:pPr>
      <w:bookmarkStart w:id="370" w:name="_Toc217446113"/>
      <w:bookmarkStart w:id="371" w:name="_Toc26887"/>
      <w:bookmarkStart w:id="372" w:name="_Toc475862330"/>
      <w:bookmarkStart w:id="373" w:name="_Toc475862577"/>
      <w:bookmarkStart w:id="374" w:name="_Toc475862821"/>
      <w:r>
        <w:rPr>
          <w:rFonts w:hint="eastAsia" w:ascii="宋体" w:hAnsi="宋体" w:cs="宋体"/>
          <w:sz w:val="24"/>
          <w:szCs w:val="24"/>
          <w:highlight w:val="none"/>
        </w:rPr>
        <w:t>七、违约责任</w:t>
      </w:r>
      <w:bookmarkEnd w:id="370"/>
      <w:bookmarkEnd w:id="371"/>
      <w:bookmarkEnd w:id="372"/>
      <w:bookmarkEnd w:id="373"/>
      <w:bookmarkEnd w:id="374"/>
    </w:p>
    <w:p>
      <w:pPr>
        <w:spacing w:line="560" w:lineRule="exact"/>
        <w:rPr>
          <w:rFonts w:ascii="宋体" w:hAnsi="宋体" w:cs="宋体"/>
          <w:sz w:val="24"/>
          <w:szCs w:val="24"/>
          <w:highlight w:val="none"/>
        </w:rPr>
      </w:pPr>
      <w:r>
        <w:rPr>
          <w:rFonts w:hint="eastAsia" w:ascii="宋体" w:hAnsi="宋体" w:cs="宋体"/>
          <w:sz w:val="24"/>
          <w:szCs w:val="24"/>
          <w:highlight w:val="none"/>
        </w:rPr>
        <w:t>1、甲方违约责任</w:t>
      </w:r>
    </w:p>
    <w:p>
      <w:pPr>
        <w:spacing w:line="560" w:lineRule="exact"/>
        <w:rPr>
          <w:rFonts w:ascii="宋体" w:hAnsi="宋体" w:cs="宋体"/>
          <w:sz w:val="24"/>
          <w:szCs w:val="24"/>
          <w:highlight w:val="none"/>
        </w:rPr>
      </w:pPr>
      <w:r>
        <w:rPr>
          <w:rFonts w:hint="eastAsia" w:ascii="宋体" w:hAnsi="宋体" w:cs="宋体"/>
          <w:sz w:val="24"/>
          <w:szCs w:val="24"/>
          <w:highlight w:val="none"/>
        </w:rPr>
        <w:t>（1） 甲方无正当理由拒收货物的，甲方应偿付合同总价百分之  的违约金；</w:t>
      </w:r>
    </w:p>
    <w:p>
      <w:pPr>
        <w:spacing w:line="560" w:lineRule="exact"/>
        <w:rPr>
          <w:rFonts w:ascii="宋体" w:hAnsi="宋体" w:cs="宋体"/>
          <w:sz w:val="24"/>
          <w:szCs w:val="24"/>
          <w:highlight w:val="none"/>
        </w:rPr>
      </w:pPr>
      <w:r>
        <w:rPr>
          <w:rFonts w:hint="eastAsia" w:ascii="宋体" w:hAnsi="宋体" w:cs="宋体"/>
          <w:sz w:val="24"/>
          <w:szCs w:val="24"/>
          <w:highlight w:val="none"/>
        </w:rPr>
        <w:t>（2） 甲方逾期支付货款的，除应及时付足货款外，应向乙方偿付欠款总额万分之   /天的违约金；逾期付款超过  天的，乙方有权终止合同；</w:t>
      </w:r>
    </w:p>
    <w:p>
      <w:pPr>
        <w:spacing w:line="560" w:lineRule="exact"/>
        <w:rPr>
          <w:rFonts w:ascii="宋体" w:hAnsi="宋体" w:cs="宋体"/>
          <w:sz w:val="24"/>
          <w:szCs w:val="24"/>
          <w:highlight w:val="none"/>
        </w:rPr>
      </w:pPr>
      <w:r>
        <w:rPr>
          <w:rFonts w:hint="eastAsia" w:ascii="宋体" w:hAnsi="宋体" w:cs="宋体"/>
          <w:sz w:val="24"/>
          <w:szCs w:val="24"/>
          <w:highlight w:val="none"/>
        </w:rPr>
        <w:t>（3） 甲方偿付的违约金不足以弥补乙方损失的，还应按乙方损失尚未弥补的部分，支付赔偿金给乙方。</w:t>
      </w:r>
    </w:p>
    <w:p>
      <w:pPr>
        <w:spacing w:line="560" w:lineRule="exact"/>
        <w:rPr>
          <w:rFonts w:ascii="宋体" w:hAnsi="宋体" w:cs="宋体"/>
          <w:sz w:val="24"/>
          <w:szCs w:val="24"/>
          <w:highlight w:val="none"/>
        </w:rPr>
      </w:pPr>
      <w:r>
        <w:rPr>
          <w:rFonts w:hint="eastAsia" w:ascii="宋体" w:hAnsi="宋体" w:cs="宋体"/>
          <w:sz w:val="24"/>
          <w:szCs w:val="24"/>
          <w:highlight w:val="none"/>
        </w:rPr>
        <w:t>2、乙方违约责任</w:t>
      </w:r>
    </w:p>
    <w:p>
      <w:pPr>
        <w:spacing w:line="560" w:lineRule="exact"/>
        <w:rPr>
          <w:rFonts w:ascii="宋体" w:hAnsi="宋体" w:cs="宋体"/>
          <w:sz w:val="24"/>
          <w:szCs w:val="24"/>
          <w:highlight w:val="none"/>
        </w:rPr>
      </w:pPr>
      <w:r>
        <w:rPr>
          <w:rFonts w:hint="eastAsia" w:ascii="宋体" w:hAnsi="宋体" w:cs="宋体"/>
          <w:sz w:val="24"/>
          <w:szCs w:val="24"/>
          <w:highlight w:val="none"/>
        </w:rPr>
        <w:t>（1）乙方交付的货物质量不符合合同规定的，乙方应向甲方支付合同总价的百分之  的违约金，并须在合同规定的交货时间内更换合格的货物给甲方，否则，视作乙方不能交付货物而违约，按本条本款下述第“（2）”项规定由乙方偿付违约赔偿金给甲方。</w:t>
      </w:r>
    </w:p>
    <w:p>
      <w:pPr>
        <w:spacing w:line="560" w:lineRule="exact"/>
        <w:rPr>
          <w:rFonts w:ascii="宋体" w:hAnsi="宋体" w:cs="宋体"/>
          <w:sz w:val="24"/>
          <w:szCs w:val="24"/>
          <w:highlight w:val="none"/>
        </w:rPr>
      </w:pPr>
      <w:r>
        <w:rPr>
          <w:rFonts w:hint="eastAsia" w:ascii="宋体" w:hAnsi="宋体" w:cs="宋体"/>
          <w:sz w:val="24"/>
          <w:szCs w:val="24"/>
          <w:highlight w:val="none"/>
        </w:rPr>
        <w:t>（2）乙方不能交付货物或逾期交付货物而违约的，除应及时交足货物外，应向甲方偿付逾期交货部分货款总额的万分之   /天的违约金；逾期交货超过XX天，甲方有权终止合同，乙方则应按合同总价的百分之  的款额向甲方偿付赔偿金，并须全额退还甲方已经付给乙方的货款及其利息。</w:t>
      </w:r>
    </w:p>
    <w:p>
      <w:pPr>
        <w:spacing w:line="560" w:lineRule="exact"/>
        <w:rPr>
          <w:rFonts w:ascii="宋体" w:hAnsi="宋体" w:cs="宋体"/>
          <w:sz w:val="24"/>
          <w:szCs w:val="24"/>
          <w:highlight w:val="none"/>
        </w:rPr>
      </w:pPr>
      <w:r>
        <w:rPr>
          <w:rFonts w:hint="eastAsia" w:ascii="宋体" w:hAnsi="宋体" w:cs="宋体"/>
          <w:sz w:val="24"/>
          <w:szCs w:val="24"/>
          <w:highlight w:val="none"/>
        </w:rPr>
        <w:t>（3）乙方货物经甲方送交具有法定资格条件的质量技术监督机构检测后，如检测结果认定货物质量不符合本合同规定标准的，则视为乙方没有按时交货而违约，乙方须在   天内无条件更换合格的货物，如逾期不能更换合格的货物，甲方有权终止本合同，乙方应另付合同总价的百分之   的赔偿金给甲方。</w:t>
      </w:r>
    </w:p>
    <w:p>
      <w:pPr>
        <w:spacing w:line="560" w:lineRule="exact"/>
        <w:rPr>
          <w:rFonts w:ascii="宋体" w:hAnsi="宋体" w:cs="宋体"/>
          <w:sz w:val="24"/>
          <w:szCs w:val="24"/>
          <w:highlight w:val="none"/>
        </w:rPr>
      </w:pPr>
      <w:r>
        <w:rPr>
          <w:rFonts w:hint="eastAsia" w:ascii="宋体" w:hAnsi="宋体" w:cs="宋体"/>
          <w:sz w:val="24"/>
          <w:szCs w:val="24"/>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向甲方支付违约金并赔偿因此给甲方造成的一切损失。</w:t>
      </w:r>
    </w:p>
    <w:p>
      <w:pPr>
        <w:spacing w:line="560" w:lineRule="exact"/>
        <w:rPr>
          <w:rFonts w:ascii="宋体" w:hAnsi="宋体" w:cs="宋体"/>
          <w:sz w:val="24"/>
          <w:szCs w:val="24"/>
          <w:highlight w:val="none"/>
        </w:rPr>
      </w:pPr>
      <w:r>
        <w:rPr>
          <w:rFonts w:hint="eastAsia" w:ascii="宋体" w:hAnsi="宋体" w:cs="宋体"/>
          <w:sz w:val="24"/>
          <w:szCs w:val="24"/>
          <w:highlight w:val="none"/>
        </w:rPr>
        <w:t>（5）乙方偿付的违约金不足以弥补甲方损失的，还应按甲方损失尚未弥补的部分，支付赔偿金给甲方。</w:t>
      </w:r>
    </w:p>
    <w:p>
      <w:pPr>
        <w:spacing w:line="560" w:lineRule="exact"/>
        <w:rPr>
          <w:rFonts w:ascii="宋体" w:hAnsi="宋体" w:cs="宋体"/>
          <w:sz w:val="24"/>
          <w:szCs w:val="24"/>
          <w:highlight w:val="none"/>
        </w:rPr>
      </w:pPr>
      <w:bookmarkStart w:id="375" w:name="_Toc217446114"/>
      <w:bookmarkStart w:id="376" w:name="_Toc7684"/>
      <w:bookmarkStart w:id="377" w:name="_Toc475862331"/>
      <w:bookmarkStart w:id="378" w:name="_Toc475862578"/>
      <w:bookmarkStart w:id="379" w:name="_Toc475862822"/>
      <w:r>
        <w:rPr>
          <w:rFonts w:hint="eastAsia" w:ascii="宋体" w:hAnsi="宋体" w:cs="宋体"/>
          <w:sz w:val="24"/>
          <w:szCs w:val="24"/>
          <w:highlight w:val="none"/>
        </w:rPr>
        <w:t>八、争议解决办法</w:t>
      </w:r>
      <w:bookmarkEnd w:id="375"/>
      <w:bookmarkEnd w:id="376"/>
      <w:bookmarkEnd w:id="377"/>
      <w:bookmarkEnd w:id="378"/>
      <w:bookmarkEnd w:id="379"/>
    </w:p>
    <w:p>
      <w:pPr>
        <w:spacing w:line="560" w:lineRule="exact"/>
        <w:rPr>
          <w:rFonts w:ascii="宋体" w:hAnsi="宋体" w:cs="宋体"/>
          <w:sz w:val="24"/>
          <w:szCs w:val="24"/>
          <w:highlight w:val="none"/>
        </w:rPr>
      </w:pPr>
      <w:r>
        <w:rPr>
          <w:rFonts w:hint="eastAsia" w:ascii="宋体" w:hAnsi="宋体" w:cs="宋体"/>
          <w:sz w:val="24"/>
          <w:szCs w:val="24"/>
          <w:highlight w:val="none"/>
        </w:rPr>
        <w:t>1、因货物的质量问题发生争议，由质量技术监督部门或其指定的质量鉴定机构进行质量鉴定。货物符合标准的，鉴定费由甲方承担；货物不符合质量标准的，鉴定费由乙方承担。</w:t>
      </w:r>
    </w:p>
    <w:p>
      <w:pPr>
        <w:spacing w:line="560" w:lineRule="exact"/>
        <w:rPr>
          <w:rFonts w:ascii="宋体" w:hAnsi="宋体" w:cs="宋体"/>
          <w:sz w:val="24"/>
          <w:szCs w:val="24"/>
          <w:highlight w:val="none"/>
        </w:rPr>
      </w:pPr>
      <w:r>
        <w:rPr>
          <w:rFonts w:hint="eastAsia" w:ascii="宋体" w:hAnsi="宋体" w:cs="宋体"/>
          <w:sz w:val="24"/>
          <w:szCs w:val="24"/>
          <w:highlight w:val="none"/>
        </w:rPr>
        <w:t>2、合同履行期间,若双方发生争议，可协商或由有关部门调解解决，协商或调解不成的，由当事人依法维护其合法权益。</w:t>
      </w:r>
    </w:p>
    <w:p>
      <w:pPr>
        <w:spacing w:line="560" w:lineRule="exact"/>
        <w:rPr>
          <w:rFonts w:ascii="宋体" w:hAnsi="宋体" w:cs="宋体"/>
          <w:sz w:val="24"/>
          <w:szCs w:val="24"/>
          <w:highlight w:val="none"/>
        </w:rPr>
      </w:pPr>
      <w:bookmarkStart w:id="380" w:name="_Toc475862579"/>
      <w:bookmarkStart w:id="381" w:name="_Toc13212"/>
      <w:bookmarkStart w:id="382" w:name="_Toc217446115"/>
      <w:bookmarkStart w:id="383" w:name="_Toc475862823"/>
      <w:bookmarkStart w:id="384" w:name="_Toc475862332"/>
      <w:r>
        <w:rPr>
          <w:rFonts w:hint="eastAsia" w:ascii="宋体" w:hAnsi="宋体" w:cs="宋体"/>
          <w:sz w:val="24"/>
          <w:szCs w:val="24"/>
          <w:highlight w:val="none"/>
        </w:rPr>
        <w:t>九、其他</w:t>
      </w:r>
      <w:bookmarkEnd w:id="380"/>
      <w:bookmarkEnd w:id="381"/>
      <w:bookmarkEnd w:id="382"/>
      <w:bookmarkEnd w:id="383"/>
      <w:bookmarkEnd w:id="384"/>
    </w:p>
    <w:p>
      <w:pPr>
        <w:spacing w:line="560" w:lineRule="exact"/>
        <w:rPr>
          <w:rFonts w:ascii="宋体" w:hAnsi="宋体" w:cs="宋体"/>
          <w:sz w:val="24"/>
          <w:szCs w:val="24"/>
          <w:highlight w:val="none"/>
        </w:rPr>
      </w:pPr>
      <w:r>
        <w:rPr>
          <w:rFonts w:hint="eastAsia" w:ascii="宋体" w:hAnsi="宋体" w:cs="宋体"/>
          <w:sz w:val="24"/>
          <w:szCs w:val="24"/>
          <w:highlight w:val="none"/>
        </w:rPr>
        <w:t>1、如有未尽事宜，由双方依法订立补充合同。</w:t>
      </w:r>
    </w:p>
    <w:p>
      <w:pPr>
        <w:spacing w:line="560" w:lineRule="exact"/>
        <w:rPr>
          <w:rFonts w:ascii="宋体" w:hAnsi="宋体" w:cs="宋体"/>
          <w:sz w:val="24"/>
          <w:szCs w:val="24"/>
          <w:highlight w:val="none"/>
        </w:rPr>
      </w:pPr>
      <w:r>
        <w:rPr>
          <w:rFonts w:hint="eastAsia" w:ascii="宋体" w:hAnsi="宋体" w:cs="宋体"/>
          <w:sz w:val="24"/>
          <w:szCs w:val="24"/>
          <w:highlight w:val="none"/>
        </w:rPr>
        <w:t>2、本合同一式六份，自双方签章之日起生效。甲方三份，乙方、政府采购监管部门、采购代理机构各一份。</w:t>
      </w:r>
    </w:p>
    <w:p>
      <w:pPr>
        <w:spacing w:line="560" w:lineRule="exact"/>
        <w:rPr>
          <w:rFonts w:ascii="宋体" w:hAnsi="宋体" w:cs="宋体"/>
          <w:sz w:val="24"/>
          <w:szCs w:val="24"/>
          <w:highlight w:val="none"/>
        </w:rPr>
      </w:pPr>
    </w:p>
    <w:p>
      <w:pPr>
        <w:spacing w:line="560" w:lineRule="exact"/>
        <w:rPr>
          <w:rFonts w:ascii="宋体" w:hAnsi="宋体" w:cs="宋体"/>
          <w:sz w:val="24"/>
          <w:szCs w:val="24"/>
          <w:highlight w:val="none"/>
        </w:rPr>
      </w:pPr>
      <w:r>
        <w:rPr>
          <w:rFonts w:hint="eastAsia" w:ascii="宋体" w:hAnsi="宋体" w:cs="宋体"/>
          <w:sz w:val="24"/>
          <w:szCs w:val="24"/>
          <w:highlight w:val="none"/>
        </w:rPr>
        <w:t xml:space="preserve">甲方：   （盖章）   </w:t>
      </w:r>
      <w:r>
        <w:rPr>
          <w:rFonts w:hint="eastAsia" w:ascii="宋体" w:hAnsi="宋体" w:cs="宋体"/>
          <w:sz w:val="24"/>
          <w:szCs w:val="24"/>
          <w:highlight w:val="none"/>
        </w:rPr>
        <w:tab/>
      </w:r>
      <w:r>
        <w:rPr>
          <w:rFonts w:hint="eastAsia" w:ascii="宋体" w:hAnsi="宋体" w:cs="宋体"/>
          <w:sz w:val="24"/>
          <w:szCs w:val="24"/>
          <w:highlight w:val="none"/>
        </w:rPr>
        <w:tab/>
      </w:r>
      <w:r>
        <w:rPr>
          <w:rFonts w:hint="eastAsia" w:ascii="宋体" w:hAnsi="宋体" w:cs="宋体"/>
          <w:sz w:val="24"/>
          <w:szCs w:val="24"/>
          <w:highlight w:val="none"/>
        </w:rPr>
        <w:tab/>
      </w:r>
      <w:r>
        <w:rPr>
          <w:rFonts w:hint="eastAsia" w:ascii="宋体" w:hAnsi="宋体" w:cs="宋体"/>
          <w:sz w:val="24"/>
          <w:szCs w:val="24"/>
          <w:highlight w:val="none"/>
        </w:rPr>
        <w:t xml:space="preserve">       乙方：   （盖章）</w:t>
      </w:r>
    </w:p>
    <w:p>
      <w:pPr>
        <w:spacing w:line="560" w:lineRule="exact"/>
        <w:rPr>
          <w:rFonts w:ascii="宋体" w:hAnsi="宋体" w:cs="宋体"/>
          <w:sz w:val="24"/>
          <w:szCs w:val="24"/>
          <w:highlight w:val="none"/>
        </w:rPr>
      </w:pPr>
      <w:r>
        <w:rPr>
          <w:rFonts w:hint="eastAsia" w:ascii="宋体" w:hAnsi="宋体" w:cs="宋体"/>
          <w:sz w:val="24"/>
          <w:szCs w:val="24"/>
          <w:highlight w:val="none"/>
        </w:rPr>
        <w:t>法定代表人（授权代表）：            法定代表人（授权代表）：</w:t>
      </w:r>
    </w:p>
    <w:p>
      <w:pPr>
        <w:spacing w:line="560" w:lineRule="exact"/>
        <w:rPr>
          <w:rFonts w:ascii="宋体" w:hAnsi="宋体" w:cs="宋体"/>
          <w:sz w:val="24"/>
          <w:szCs w:val="24"/>
          <w:highlight w:val="none"/>
        </w:rPr>
      </w:pPr>
      <w:r>
        <w:rPr>
          <w:rFonts w:hint="eastAsia" w:ascii="宋体" w:hAnsi="宋体" w:cs="宋体"/>
          <w:sz w:val="24"/>
          <w:szCs w:val="24"/>
          <w:highlight w:val="none"/>
        </w:rPr>
        <w:t>地    址：                         地    址：</w:t>
      </w:r>
    </w:p>
    <w:p>
      <w:pPr>
        <w:spacing w:line="560" w:lineRule="exact"/>
        <w:rPr>
          <w:rFonts w:ascii="宋体" w:hAnsi="宋体" w:cs="宋体"/>
          <w:sz w:val="24"/>
          <w:szCs w:val="24"/>
          <w:highlight w:val="none"/>
        </w:rPr>
      </w:pPr>
      <w:r>
        <w:rPr>
          <w:rFonts w:hint="eastAsia" w:ascii="宋体" w:hAnsi="宋体" w:cs="宋体"/>
          <w:sz w:val="24"/>
          <w:szCs w:val="24"/>
          <w:highlight w:val="none"/>
        </w:rPr>
        <w:t>开户银行：                         开户银行：</w:t>
      </w:r>
    </w:p>
    <w:p>
      <w:pPr>
        <w:spacing w:line="560" w:lineRule="exact"/>
        <w:rPr>
          <w:rFonts w:ascii="宋体" w:hAnsi="宋体" w:cs="宋体"/>
          <w:sz w:val="24"/>
          <w:szCs w:val="24"/>
          <w:highlight w:val="none"/>
        </w:rPr>
      </w:pPr>
      <w:r>
        <w:rPr>
          <w:rFonts w:hint="eastAsia" w:ascii="宋体" w:hAnsi="宋体" w:cs="宋体"/>
          <w:sz w:val="24"/>
          <w:szCs w:val="24"/>
          <w:highlight w:val="none"/>
        </w:rPr>
        <w:t>账号：                             账号：</w:t>
      </w:r>
    </w:p>
    <w:p>
      <w:pPr>
        <w:spacing w:line="560" w:lineRule="exact"/>
        <w:rPr>
          <w:rFonts w:ascii="宋体" w:hAnsi="宋体" w:cs="宋体"/>
          <w:sz w:val="24"/>
          <w:szCs w:val="24"/>
          <w:highlight w:val="none"/>
        </w:rPr>
      </w:pPr>
      <w:r>
        <w:rPr>
          <w:rFonts w:hint="eastAsia" w:ascii="宋体" w:hAnsi="宋体" w:cs="宋体"/>
          <w:sz w:val="24"/>
          <w:szCs w:val="24"/>
          <w:highlight w:val="none"/>
        </w:rPr>
        <w:t>电    话：                         电    话：</w:t>
      </w:r>
    </w:p>
    <w:p>
      <w:pPr>
        <w:spacing w:line="560" w:lineRule="exact"/>
        <w:rPr>
          <w:rFonts w:ascii="宋体" w:hAnsi="宋体" w:cs="宋体"/>
          <w:sz w:val="24"/>
          <w:szCs w:val="24"/>
          <w:highlight w:val="none"/>
        </w:rPr>
      </w:pPr>
      <w:r>
        <w:rPr>
          <w:rFonts w:hint="eastAsia" w:ascii="宋体" w:hAnsi="宋体" w:cs="宋体"/>
          <w:sz w:val="24"/>
          <w:szCs w:val="24"/>
          <w:highlight w:val="none"/>
        </w:rPr>
        <w:t>传    真：                         传    真：</w:t>
      </w:r>
    </w:p>
    <w:p>
      <w:pPr>
        <w:spacing w:line="560" w:lineRule="exact"/>
        <w:rPr>
          <w:rFonts w:ascii="宋体" w:hAnsi="宋体" w:cs="宋体"/>
          <w:sz w:val="24"/>
          <w:szCs w:val="24"/>
          <w:highlight w:val="none"/>
        </w:rPr>
      </w:pPr>
      <w:r>
        <w:rPr>
          <w:rFonts w:hint="eastAsia" w:ascii="宋体" w:hAnsi="宋体" w:cs="宋体"/>
          <w:sz w:val="24"/>
          <w:szCs w:val="24"/>
          <w:highlight w:val="none"/>
        </w:rPr>
        <w:t xml:space="preserve">签约日期：XX年XX月XX日 </w:t>
      </w:r>
      <w:r>
        <w:rPr>
          <w:rFonts w:hint="eastAsia" w:ascii="宋体" w:hAnsi="宋体" w:cs="宋体"/>
          <w:sz w:val="24"/>
          <w:szCs w:val="24"/>
          <w:highlight w:val="none"/>
        </w:rPr>
        <w:tab/>
      </w:r>
      <w:r>
        <w:rPr>
          <w:rFonts w:hint="eastAsia" w:ascii="宋体" w:hAnsi="宋体" w:cs="宋体"/>
          <w:sz w:val="24"/>
          <w:szCs w:val="24"/>
          <w:highlight w:val="none"/>
        </w:rPr>
        <w:tab/>
      </w:r>
      <w:r>
        <w:rPr>
          <w:rFonts w:hint="eastAsia" w:ascii="宋体" w:hAnsi="宋体" w:cs="宋体"/>
          <w:sz w:val="24"/>
          <w:szCs w:val="24"/>
          <w:highlight w:val="none"/>
        </w:rPr>
        <w:tab/>
      </w:r>
      <w:r>
        <w:rPr>
          <w:rFonts w:hint="eastAsia" w:ascii="宋体" w:hAnsi="宋体" w:cs="宋体"/>
          <w:sz w:val="24"/>
          <w:szCs w:val="24"/>
          <w:highlight w:val="none"/>
        </w:rPr>
        <w:t>签约日期：XX年XX月XX日</w:t>
      </w:r>
    </w:p>
    <w:p>
      <w:pPr>
        <w:pStyle w:val="17"/>
        <w:rPr>
          <w:rFonts w:ascii="宋体" w:hAnsi="宋体" w:cs="宋体"/>
          <w:sz w:val="24"/>
          <w:szCs w:val="24"/>
          <w:highlight w:val="none"/>
        </w:rPr>
      </w:pPr>
    </w:p>
    <w:p>
      <w:pPr>
        <w:widowControl/>
        <w:spacing w:line="560" w:lineRule="exact"/>
        <w:outlineLvl w:val="1"/>
        <w:rPr>
          <w:rFonts w:ascii="宋体" w:hAnsi="宋体" w:cs="宋体"/>
          <w:b/>
          <w:kern w:val="0"/>
          <w:sz w:val="24"/>
          <w:highlight w:val="none"/>
        </w:rPr>
      </w:pPr>
      <w:bookmarkStart w:id="385" w:name="_Toc13652526"/>
      <w:r>
        <w:rPr>
          <w:rFonts w:hint="eastAsia" w:ascii="宋体" w:hAnsi="宋体" w:cs="宋体"/>
          <w:b/>
          <w:kern w:val="0"/>
          <w:sz w:val="24"/>
          <w:highlight w:val="none"/>
        </w:rPr>
        <w:t>注：</w:t>
      </w:r>
    </w:p>
    <w:p>
      <w:pPr>
        <w:widowControl/>
        <w:spacing w:line="560" w:lineRule="exact"/>
        <w:outlineLvl w:val="1"/>
        <w:rPr>
          <w:rFonts w:ascii="宋体" w:hAnsi="宋体" w:cs="宋体"/>
          <w:b/>
          <w:kern w:val="0"/>
          <w:sz w:val="24"/>
          <w:highlight w:val="none"/>
        </w:rPr>
      </w:pPr>
      <w:r>
        <w:rPr>
          <w:rFonts w:hint="eastAsia" w:ascii="宋体" w:hAnsi="宋体" w:cs="宋体"/>
          <w:b/>
          <w:kern w:val="0"/>
          <w:sz w:val="24"/>
          <w:highlight w:val="none"/>
        </w:rPr>
        <w:t>1、其他合同专用条款在合同签订时另商签订。</w:t>
      </w:r>
      <w:bookmarkEnd w:id="385"/>
    </w:p>
    <w:p>
      <w:pPr>
        <w:pStyle w:val="17"/>
        <w:rPr>
          <w:rFonts w:ascii="宋体" w:hAnsi="宋体" w:cs="宋体"/>
          <w:b/>
          <w:sz w:val="24"/>
          <w:szCs w:val="22"/>
          <w:highlight w:val="none"/>
        </w:rPr>
      </w:pPr>
      <w:r>
        <w:rPr>
          <w:rFonts w:hint="eastAsia" w:ascii="宋体" w:hAnsi="宋体" w:cs="宋体"/>
          <w:b/>
          <w:sz w:val="24"/>
          <w:szCs w:val="22"/>
          <w:highlight w:val="none"/>
        </w:rPr>
        <w:t>2、中标人应在中标通知书发出后及时与采购人签订采购合同，根据《成都市政府采购应对新冠肺炎疫情促进中小企业发展实施细则》规定，本项目属于在疫情防控期间开展的政府采购活动，预付款支付比例原则上不低于采购合同金额的30%，一般在5个工作日内完成合同的签订、备案及预付款支付工作。</w:t>
      </w:r>
    </w:p>
    <w:p>
      <w:pPr>
        <w:pStyle w:val="17"/>
        <w:rPr>
          <w:rFonts w:ascii="宋体" w:hAnsi="宋体" w:cs="宋体"/>
          <w:b/>
          <w:sz w:val="24"/>
          <w:szCs w:val="22"/>
          <w:highlight w:val="none"/>
        </w:rPr>
      </w:pPr>
      <w:r>
        <w:rPr>
          <w:rFonts w:hint="eastAsia" w:ascii="宋体" w:hAnsi="宋体" w:cs="宋体"/>
          <w:b/>
          <w:sz w:val="24"/>
          <w:szCs w:val="22"/>
          <w:highlight w:val="none"/>
        </w:rPr>
        <w:t>3、政府采购合同签订后应按照相关法律法规要求及时在四川政府采购网公告。</w:t>
      </w:r>
    </w:p>
    <w:p>
      <w:pPr>
        <w:pStyle w:val="18"/>
        <w:ind w:firstLine="241"/>
        <w:rPr>
          <w:rFonts w:ascii="宋体" w:hAnsi="宋体" w:cs="宋体"/>
          <w:b/>
          <w:sz w:val="24"/>
          <w:szCs w:val="22"/>
          <w:highlight w:val="none"/>
        </w:rPr>
      </w:pPr>
    </w:p>
    <w:p>
      <w:pPr>
        <w:pStyle w:val="18"/>
        <w:ind w:firstLine="241"/>
        <w:rPr>
          <w:rFonts w:ascii="宋体" w:hAnsi="宋体" w:cs="宋体"/>
          <w:b/>
          <w:sz w:val="24"/>
          <w:szCs w:val="22"/>
          <w:highlight w:val="none"/>
        </w:rPr>
      </w:pPr>
    </w:p>
    <w:p>
      <w:pPr>
        <w:pStyle w:val="18"/>
        <w:ind w:firstLine="241"/>
        <w:rPr>
          <w:rFonts w:ascii="宋体" w:hAnsi="宋体" w:cs="宋体"/>
          <w:b/>
          <w:sz w:val="24"/>
          <w:szCs w:val="22"/>
          <w:highlight w:val="none"/>
        </w:rPr>
      </w:pPr>
    </w:p>
    <w:p>
      <w:pPr>
        <w:pStyle w:val="18"/>
        <w:ind w:firstLine="241"/>
        <w:rPr>
          <w:rFonts w:ascii="宋体" w:hAnsi="宋体" w:cs="宋体"/>
          <w:b/>
          <w:sz w:val="24"/>
          <w:szCs w:val="22"/>
          <w:highlight w:val="none"/>
        </w:rPr>
      </w:pPr>
    </w:p>
    <w:p>
      <w:pPr>
        <w:pStyle w:val="18"/>
        <w:ind w:firstLine="0" w:firstLineChars="0"/>
        <w:rPr>
          <w:rFonts w:ascii="宋体" w:hAnsi="宋体" w:cs="宋体"/>
          <w:b/>
          <w:sz w:val="24"/>
          <w:szCs w:val="22"/>
          <w:highlight w:val="none"/>
        </w:rPr>
      </w:pPr>
    </w:p>
    <w:p>
      <w:pPr>
        <w:pStyle w:val="39"/>
        <w:spacing w:before="0" w:beforeAutospacing="0" w:after="0" w:afterAutospacing="0" w:line="580" w:lineRule="atLeast"/>
        <w:rPr>
          <w:rFonts w:cs="宋体"/>
          <w:color w:val="auto"/>
          <w:sz w:val="32"/>
          <w:szCs w:val="32"/>
          <w:highlight w:val="none"/>
        </w:rPr>
      </w:pPr>
      <w:r>
        <w:rPr>
          <w:rFonts w:hint="eastAsia" w:cs="宋体"/>
          <w:color w:val="auto"/>
          <w:highlight w:val="none"/>
        </w:rPr>
        <w:drawing>
          <wp:inline distT="0" distB="0" distL="114300" distR="114300">
            <wp:extent cx="5854065" cy="2160270"/>
            <wp:effectExtent l="0" t="0" r="13335" b="1143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5854065" cy="2160270"/>
                    </a:xfrm>
                    <a:prstGeom prst="rect">
                      <a:avLst/>
                    </a:prstGeom>
                    <a:noFill/>
                    <a:ln>
                      <a:noFill/>
                    </a:ln>
                  </pic:spPr>
                </pic:pic>
              </a:graphicData>
            </a:graphic>
          </wp:inline>
        </w:drawing>
      </w:r>
    </w:p>
    <w:p>
      <w:pPr>
        <w:pStyle w:val="39"/>
        <w:spacing w:before="0" w:beforeAutospacing="0" w:after="0" w:afterAutospacing="0" w:line="580" w:lineRule="atLeast"/>
        <w:rPr>
          <w:rFonts w:cs="宋体"/>
          <w:color w:val="auto"/>
          <w:sz w:val="32"/>
          <w:szCs w:val="32"/>
          <w:highlight w:val="none"/>
        </w:rPr>
      </w:pPr>
      <w:r>
        <w:rPr>
          <w:rFonts w:hint="eastAsia" w:cs="宋体"/>
          <w:color w:val="auto"/>
          <w:sz w:val="32"/>
          <w:szCs w:val="32"/>
          <w:highlight w:val="none"/>
        </w:rPr>
        <w:t>各市（州）、扩权县（市）财政局，各省直机关、事业单位、团体组织，各金融机构，各采购代理机构，各政府采购供应商：</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一、融资概念</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39"/>
        <w:spacing w:before="0" w:beforeAutospacing="0" w:after="0" w:afterAutospacing="0" w:line="580" w:lineRule="atLeast"/>
        <w:ind w:left="634"/>
        <w:rPr>
          <w:rFonts w:cs="宋体"/>
          <w:color w:val="auto"/>
          <w:sz w:val="32"/>
          <w:szCs w:val="32"/>
          <w:highlight w:val="none"/>
        </w:rPr>
      </w:pPr>
      <w:r>
        <w:rPr>
          <w:rFonts w:hint="eastAsia" w:cs="宋体"/>
          <w:color w:val="auto"/>
          <w:sz w:val="32"/>
          <w:szCs w:val="32"/>
          <w:highlight w:val="none"/>
        </w:rPr>
        <w:t>二、基本原则</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（一）财政引导，市场运行</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财政部门推进“政采贷”，银行和供应商按照自愿原则参与。供应商自愿选择是否申请“政采贷”，银行依据其内部审查制度和决策程序决定是否为供应商提供融资，自担风险。</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（二）建立机制，服务银企</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（三）优质优惠，加强扶持</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三、基本条件</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（一）银行暨“政采贷”金融产品</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1、征集。</w:t>
      </w:r>
      <w:r>
        <w:rPr>
          <w:rFonts w:hint="eastAsia" w:cs="宋体"/>
          <w:color w:val="auto"/>
          <w:sz w:val="32"/>
          <w:szCs w:val="32"/>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申请材料应当包括银行基本情况、“政采贷”产品名称、申请贷款条件、申请贷款方式、申请贷款程序、贷款审查流程、贷款额度、发放贷款时间、收款方式及其他优质服务和优惠承诺等。</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银行提供的“政采贷”产品应当满足“无抵押担保、程序简便、利率优惠、放款及时”的基本条件以及本通知其他相关规定。</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银行申请材料中应当载明其自愿提供“政采贷”产品，自担风险，不得要求或者变相要求财政部门和采购人为其提供风险担保、承诺。</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2、公示。</w:t>
      </w:r>
      <w:r>
        <w:rPr>
          <w:rFonts w:hint="eastAsia" w:cs="宋体"/>
          <w:color w:val="auto"/>
          <w:sz w:val="32"/>
          <w:szCs w:val="32"/>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（二）供应商</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政府采购供应商向银行申请“政采贷”，应当满足下列基本条件：</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1、</w:t>
      </w:r>
      <w:r>
        <w:rPr>
          <w:rFonts w:hint="eastAsia" w:cs="宋体"/>
          <w:color w:val="auto"/>
          <w:sz w:val="32"/>
          <w:szCs w:val="32"/>
          <w:highlight w:val="none"/>
        </w:rPr>
        <w:t>具有依法承担民事责任的能力；</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2、</w:t>
      </w:r>
      <w:r>
        <w:rPr>
          <w:rFonts w:hint="eastAsia" w:cs="宋体"/>
          <w:color w:val="auto"/>
          <w:sz w:val="32"/>
          <w:szCs w:val="32"/>
          <w:highlight w:val="none"/>
        </w:rPr>
        <w:t>具有依法履行政府采购合同的能力；</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3、</w:t>
      </w:r>
      <w:r>
        <w:rPr>
          <w:rFonts w:hint="eastAsia" w:cs="宋体"/>
          <w:color w:val="auto"/>
          <w:sz w:val="32"/>
          <w:szCs w:val="32"/>
          <w:highlight w:val="none"/>
        </w:rPr>
        <w:t>参加的政府采购活动未被财政部门依法暂停、责令重新开展或者认定中标、成交无效；</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4、</w:t>
      </w:r>
      <w:r>
        <w:rPr>
          <w:rFonts w:hint="eastAsia" w:cs="宋体"/>
          <w:color w:val="auto"/>
          <w:sz w:val="32"/>
          <w:szCs w:val="32"/>
          <w:highlight w:val="none"/>
        </w:rPr>
        <w:t>无《中华人民共和国政府采购法》第二十二条第一款第（五）项所称的重大违法记录；</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5、</w:t>
      </w:r>
      <w:r>
        <w:rPr>
          <w:rFonts w:hint="eastAsia" w:cs="宋体"/>
          <w:color w:val="auto"/>
          <w:sz w:val="32"/>
          <w:szCs w:val="32"/>
          <w:highlight w:val="none"/>
        </w:rPr>
        <w:t>未被法院、市场监管、税务、银行等部门单位纳入失信名单且在有效期内；</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6、</w:t>
      </w:r>
      <w:r>
        <w:rPr>
          <w:rFonts w:hint="eastAsia" w:cs="宋体"/>
          <w:color w:val="auto"/>
          <w:sz w:val="32"/>
          <w:szCs w:val="32"/>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7、</w:t>
      </w:r>
      <w:r>
        <w:rPr>
          <w:rFonts w:hint="eastAsia" w:cs="宋体"/>
          <w:color w:val="auto"/>
          <w:sz w:val="32"/>
          <w:szCs w:val="32"/>
          <w:highlight w:val="none"/>
        </w:rPr>
        <w:t>其他银行要求的不属于提供财产抵押或第三方担保的条件。</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四、构建平台</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四川省财政厅将在四川政府采购网统一构建四川省“政采贷”信息化服务平台，推进四川省“政采贷”工作信息化建设。</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五、财金互动</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六、基本流程</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（一）意向申请</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39"/>
        <w:spacing w:before="0" w:beforeAutospacing="0" w:after="0" w:afterAutospacing="0" w:line="580" w:lineRule="atLeast"/>
        <w:rPr>
          <w:rFonts w:cs="宋体"/>
          <w:color w:val="auto"/>
          <w:sz w:val="32"/>
          <w:szCs w:val="32"/>
          <w:highlight w:val="none"/>
        </w:rPr>
      </w:pPr>
      <w:r>
        <w:rPr>
          <w:rFonts w:hint="eastAsia" w:cs="宋体"/>
          <w:b/>
          <w:color w:val="auto"/>
          <w:sz w:val="32"/>
          <w:szCs w:val="32"/>
          <w:highlight w:val="none"/>
        </w:rPr>
        <w:t>         （二）正式申请</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39"/>
        <w:spacing w:before="0" w:beforeAutospacing="0" w:after="0" w:afterAutospacing="0" w:line="580" w:lineRule="atLeast"/>
        <w:ind w:firstLine="622"/>
        <w:rPr>
          <w:rFonts w:cs="宋体"/>
          <w:color w:val="auto"/>
          <w:sz w:val="32"/>
          <w:szCs w:val="32"/>
          <w:highlight w:val="none"/>
        </w:rPr>
      </w:pPr>
      <w:r>
        <w:rPr>
          <w:rFonts w:hint="eastAsia" w:cs="宋体"/>
          <w:b/>
          <w:color w:val="auto"/>
          <w:sz w:val="32"/>
          <w:szCs w:val="32"/>
          <w:highlight w:val="none"/>
        </w:rPr>
        <w:t>（三）贷款审查</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（四）信息报送</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（五）资金支付</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政府采购资金支付过程中，银行需要查询采购资金支付进程有关信息的，财政部门和采购人应当支持。</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七、职责要求</w:t>
      </w:r>
    </w:p>
    <w:p>
      <w:pPr>
        <w:pStyle w:val="39"/>
        <w:spacing w:before="0" w:beforeAutospacing="0" w:after="0" w:afterAutospacing="0" w:line="580" w:lineRule="atLeast"/>
        <w:ind w:firstLine="622"/>
        <w:rPr>
          <w:rFonts w:cs="宋体"/>
          <w:color w:val="auto"/>
          <w:sz w:val="32"/>
          <w:szCs w:val="32"/>
          <w:highlight w:val="none"/>
        </w:rPr>
      </w:pPr>
      <w:r>
        <w:rPr>
          <w:rFonts w:hint="eastAsia" w:cs="宋体"/>
          <w:b/>
          <w:color w:val="auto"/>
          <w:sz w:val="32"/>
          <w:szCs w:val="32"/>
          <w:highlight w:val="none"/>
        </w:rPr>
        <w:t>（一）</w:t>
      </w:r>
      <w:r>
        <w:rPr>
          <w:rFonts w:hint="eastAsia" w:cs="宋体"/>
          <w:color w:val="auto"/>
          <w:sz w:val="32"/>
          <w:szCs w:val="32"/>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39"/>
        <w:spacing w:before="0" w:beforeAutospacing="0" w:after="0" w:afterAutospacing="0" w:line="580" w:lineRule="atLeast"/>
        <w:ind w:firstLine="622"/>
        <w:rPr>
          <w:rFonts w:cs="宋体"/>
          <w:color w:val="auto"/>
          <w:sz w:val="32"/>
          <w:szCs w:val="32"/>
          <w:highlight w:val="none"/>
        </w:rPr>
      </w:pPr>
      <w:r>
        <w:rPr>
          <w:rFonts w:hint="eastAsia" w:cs="宋体"/>
          <w:b/>
          <w:color w:val="auto"/>
          <w:sz w:val="32"/>
          <w:szCs w:val="32"/>
          <w:highlight w:val="none"/>
        </w:rPr>
        <w:t>（二）</w:t>
      </w:r>
      <w:r>
        <w:rPr>
          <w:rFonts w:hint="eastAsia" w:cs="宋体"/>
          <w:color w:val="auto"/>
          <w:sz w:val="32"/>
          <w:szCs w:val="32"/>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（三）</w:t>
      </w:r>
      <w:r>
        <w:rPr>
          <w:rFonts w:hint="eastAsia" w:cs="宋体"/>
          <w:color w:val="auto"/>
          <w:sz w:val="32"/>
          <w:szCs w:val="32"/>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39"/>
        <w:spacing w:before="0" w:beforeAutospacing="0" w:after="0" w:afterAutospacing="0" w:line="580" w:lineRule="atLeast"/>
        <w:ind w:firstLine="622"/>
        <w:rPr>
          <w:rFonts w:cs="宋体"/>
          <w:color w:val="auto"/>
          <w:sz w:val="32"/>
          <w:szCs w:val="32"/>
          <w:highlight w:val="none"/>
        </w:rPr>
      </w:pPr>
      <w:r>
        <w:rPr>
          <w:rFonts w:hint="eastAsia" w:cs="宋体"/>
          <w:b/>
          <w:color w:val="auto"/>
          <w:sz w:val="32"/>
          <w:szCs w:val="32"/>
          <w:highlight w:val="none"/>
        </w:rPr>
        <w:t>（四）</w:t>
      </w:r>
      <w:r>
        <w:rPr>
          <w:rFonts w:hint="eastAsia" w:cs="宋体"/>
          <w:color w:val="auto"/>
          <w:sz w:val="32"/>
          <w:szCs w:val="32"/>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（五）</w:t>
      </w:r>
      <w:r>
        <w:rPr>
          <w:rFonts w:hint="eastAsia" w:cs="宋体"/>
          <w:color w:val="auto"/>
          <w:sz w:val="32"/>
          <w:szCs w:val="32"/>
          <w:highlight w:val="none"/>
        </w:rPr>
        <w:t>供应商应当依法参加政府采购活动，公平竞争，诚实守信，严格按照政府采购合同履约，严格按照借款合同偿还债务。</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（六）</w:t>
      </w:r>
      <w:r>
        <w:rPr>
          <w:rFonts w:hint="eastAsia" w:cs="宋体"/>
          <w:color w:val="auto"/>
          <w:sz w:val="32"/>
          <w:szCs w:val="32"/>
          <w:highlight w:val="none"/>
        </w:rPr>
        <w:t>财政部门、采购人、采购代理机构及其他有关单位和个人不得违规干预供应商选择“政采贷”银行及其产品，也不得违规干预银行向供应商进行贷款。</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（七）</w:t>
      </w:r>
      <w:r>
        <w:rPr>
          <w:rFonts w:hint="eastAsia" w:cs="宋体"/>
          <w:color w:val="auto"/>
          <w:sz w:val="32"/>
          <w:szCs w:val="32"/>
          <w:highlight w:val="none"/>
        </w:rPr>
        <w:t>相关单位和个人在开展“政采贷”工作过程中，发现新问题、新情况或者有意见建议的，请及时向四川省财政厅反馈。</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八、违规处理</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（一）银行违规处理</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（二）供应商违规处理</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39"/>
        <w:spacing w:before="0" w:beforeAutospacing="0" w:after="0" w:afterAutospacing="0" w:line="580" w:lineRule="atLeast"/>
        <w:ind w:firstLine="628"/>
        <w:rPr>
          <w:rFonts w:cs="宋体"/>
          <w:color w:val="auto"/>
          <w:sz w:val="32"/>
          <w:szCs w:val="32"/>
          <w:highlight w:val="none"/>
        </w:rPr>
      </w:pPr>
      <w:r>
        <w:rPr>
          <w:rFonts w:hint="eastAsia" w:cs="宋体"/>
          <w:b/>
          <w:color w:val="auto"/>
          <w:sz w:val="32"/>
          <w:szCs w:val="32"/>
          <w:highlight w:val="none"/>
        </w:rPr>
        <w:t>（三）其他违规处理</w:t>
      </w:r>
    </w:p>
    <w:p>
      <w:pPr>
        <w:pStyle w:val="39"/>
        <w:spacing w:before="0" w:beforeAutospacing="0" w:after="0" w:afterAutospacing="0" w:line="580" w:lineRule="atLeast"/>
        <w:ind w:firstLine="628"/>
        <w:rPr>
          <w:rFonts w:cs="宋体"/>
          <w:color w:val="auto"/>
          <w:sz w:val="32"/>
          <w:szCs w:val="32"/>
          <w:highlight w:val="none"/>
        </w:rPr>
      </w:pPr>
      <w:r>
        <w:rPr>
          <w:rFonts w:hint="eastAsia" w:cs="宋体"/>
          <w:color w:val="auto"/>
          <w:sz w:val="32"/>
          <w:szCs w:val="32"/>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rPr>
          <w:rFonts w:ascii="宋体" w:hAnsi="宋体" w:cs="宋体"/>
          <w:sz w:val="28"/>
          <w:szCs w:val="28"/>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890260" cy="7877175"/>
            <wp:effectExtent l="0" t="0" r="1524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890260" cy="787717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69865" cy="6436995"/>
            <wp:effectExtent l="0" t="0" r="6985"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69865" cy="643699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73040" cy="6974205"/>
            <wp:effectExtent l="0" t="0" r="381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73040" cy="697420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05095" cy="7648575"/>
            <wp:effectExtent l="0" t="0" r="1460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05095" cy="764857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72405" cy="7362825"/>
            <wp:effectExtent l="0" t="0" r="444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5272405" cy="736282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4991100" cy="787717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4991100" cy="787717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72405" cy="7431405"/>
            <wp:effectExtent l="0" t="0" r="4445" b="171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8"/>
                    <a:stretch>
                      <a:fillRect/>
                    </a:stretch>
                  </pic:blipFill>
                  <pic:spPr>
                    <a:xfrm>
                      <a:off x="0" y="0"/>
                      <a:ext cx="5272405" cy="743140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43195" cy="7837170"/>
            <wp:effectExtent l="0" t="0" r="14605"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9"/>
                    <a:stretch>
                      <a:fillRect/>
                    </a:stretch>
                  </pic:blipFill>
                  <pic:spPr>
                    <a:xfrm>
                      <a:off x="0" y="0"/>
                      <a:ext cx="5243195" cy="7837170"/>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69230" cy="7506335"/>
            <wp:effectExtent l="0" t="0" r="7620" b="184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0"/>
                    <a:stretch>
                      <a:fillRect/>
                    </a:stretch>
                  </pic:blipFill>
                  <pic:spPr>
                    <a:xfrm>
                      <a:off x="0" y="0"/>
                      <a:ext cx="5269230" cy="7506335"/>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rFonts w:ascii="宋体" w:hAnsi="宋体" w:cs="宋体"/>
          <w:highlight w:val="none"/>
        </w:rPr>
      </w:pPr>
      <w:r>
        <w:rPr>
          <w:rFonts w:hint="eastAsia" w:ascii="宋体" w:hAnsi="宋体" w:cs="宋体"/>
          <w:highlight w:val="none"/>
        </w:rPr>
        <w:drawing>
          <wp:inline distT="0" distB="0" distL="114300" distR="114300">
            <wp:extent cx="5269865" cy="6537960"/>
            <wp:effectExtent l="0" t="0" r="6985" b="1524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1"/>
                    <a:stretch>
                      <a:fillRect/>
                    </a:stretch>
                  </pic:blipFill>
                  <pic:spPr>
                    <a:xfrm>
                      <a:off x="0" y="0"/>
                      <a:ext cx="5269865" cy="6537960"/>
                    </a:xfrm>
                    <a:prstGeom prst="rect">
                      <a:avLst/>
                    </a:prstGeom>
                    <a:noFill/>
                    <a:ln>
                      <a:noFill/>
                    </a:ln>
                  </pic:spPr>
                </pic:pic>
              </a:graphicData>
            </a:graphic>
          </wp:inline>
        </w:drawing>
      </w:r>
    </w:p>
    <w:p>
      <w:pPr>
        <w:pStyle w:val="17"/>
        <w:jc w:val="center"/>
        <w:rPr>
          <w:rFonts w:ascii="宋体" w:hAnsi="宋体" w:cs="宋体"/>
          <w:highlight w:val="none"/>
        </w:rPr>
      </w:pPr>
    </w:p>
    <w:p>
      <w:pPr>
        <w:pStyle w:val="17"/>
        <w:jc w:val="center"/>
        <w:rPr>
          <w:rFonts w:ascii="宋体" w:hAnsi="宋体" w:cs="宋体"/>
          <w:highlight w:val="none"/>
        </w:rPr>
      </w:pPr>
    </w:p>
    <w:p>
      <w:pPr>
        <w:pStyle w:val="17"/>
        <w:jc w:val="center"/>
        <w:rPr>
          <w:highlight w:val="none"/>
        </w:rPr>
      </w:pPr>
      <w:r>
        <w:rPr>
          <w:highlight w:val="none"/>
        </w:rPr>
        <w:drawing>
          <wp:inline distT="0" distB="0" distL="114300" distR="114300">
            <wp:extent cx="5272405" cy="7406640"/>
            <wp:effectExtent l="0" t="0" r="4445" b="381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2"/>
                    <a:stretch>
                      <a:fillRect/>
                    </a:stretch>
                  </pic:blipFill>
                  <pic:spPr>
                    <a:xfrm>
                      <a:off x="0" y="0"/>
                      <a:ext cx="5272405" cy="7406640"/>
                    </a:xfrm>
                    <a:prstGeom prst="rect">
                      <a:avLst/>
                    </a:prstGeom>
                    <a:noFill/>
                    <a:ln>
                      <a:noFill/>
                    </a:ln>
                  </pic:spPr>
                </pic:pic>
              </a:graphicData>
            </a:graphic>
          </wp:inline>
        </w:drawing>
      </w:r>
    </w:p>
    <w:p>
      <w:pPr>
        <w:pStyle w:val="18"/>
        <w:ind w:firstLine="180"/>
        <w:rPr>
          <w:highlight w:val="none"/>
        </w:rPr>
      </w:pPr>
      <w:r>
        <w:rPr>
          <w:highlight w:val="none"/>
        </w:rPr>
        <w:drawing>
          <wp:inline distT="0" distB="0" distL="114300" distR="114300">
            <wp:extent cx="5269865" cy="7198360"/>
            <wp:effectExtent l="0" t="0" r="6985" b="254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stretch>
                      <a:fillRect/>
                    </a:stretch>
                  </pic:blipFill>
                  <pic:spPr>
                    <a:xfrm>
                      <a:off x="0" y="0"/>
                      <a:ext cx="5269865" cy="7198360"/>
                    </a:xfrm>
                    <a:prstGeom prst="rect">
                      <a:avLst/>
                    </a:prstGeom>
                    <a:noFill/>
                    <a:ln>
                      <a:noFill/>
                    </a:ln>
                  </pic:spPr>
                </pic:pic>
              </a:graphicData>
            </a:graphic>
          </wp:inline>
        </w:drawing>
      </w:r>
    </w:p>
    <w:p>
      <w:pPr>
        <w:pStyle w:val="18"/>
        <w:ind w:firstLine="180"/>
        <w:rPr>
          <w:highlight w:val="none"/>
        </w:rPr>
      </w:pPr>
    </w:p>
    <w:p>
      <w:pPr>
        <w:pStyle w:val="18"/>
        <w:ind w:firstLine="180"/>
        <w:rPr>
          <w:highlight w:val="none"/>
        </w:rPr>
      </w:pPr>
    </w:p>
    <w:p>
      <w:pPr>
        <w:pStyle w:val="18"/>
        <w:ind w:firstLine="180"/>
        <w:rPr>
          <w:highlight w:val="none"/>
        </w:rPr>
      </w:pPr>
    </w:p>
    <w:p>
      <w:pPr>
        <w:pStyle w:val="18"/>
        <w:ind w:firstLine="180"/>
        <w:rPr>
          <w:highlight w:val="none"/>
        </w:rPr>
      </w:pPr>
    </w:p>
    <w:p>
      <w:pPr>
        <w:pStyle w:val="18"/>
        <w:ind w:firstLine="180"/>
        <w:rPr>
          <w:highlight w:val="none"/>
        </w:rPr>
      </w:pPr>
    </w:p>
    <w:p>
      <w:pPr>
        <w:pStyle w:val="18"/>
        <w:ind w:firstLine="180"/>
        <w:rPr>
          <w:highlight w:val="none"/>
        </w:rPr>
      </w:pPr>
      <w:r>
        <w:rPr>
          <w:highlight w:val="none"/>
        </w:rPr>
        <w:drawing>
          <wp:inline distT="0" distB="0" distL="114300" distR="114300">
            <wp:extent cx="5272405" cy="7413625"/>
            <wp:effectExtent l="0" t="0" r="4445" b="1587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4"/>
                    <a:stretch>
                      <a:fillRect/>
                    </a:stretch>
                  </pic:blipFill>
                  <pic:spPr>
                    <a:xfrm>
                      <a:off x="0" y="0"/>
                      <a:ext cx="5272405" cy="7413625"/>
                    </a:xfrm>
                    <a:prstGeom prst="rect">
                      <a:avLst/>
                    </a:prstGeom>
                    <a:noFill/>
                    <a:ln>
                      <a:noFill/>
                    </a:ln>
                  </pic:spPr>
                </pic:pic>
              </a:graphicData>
            </a:graphic>
          </wp:inline>
        </w:drawing>
      </w:r>
    </w:p>
    <w:p>
      <w:pPr>
        <w:pStyle w:val="18"/>
        <w:ind w:firstLine="241"/>
        <w:rPr>
          <w:rFonts w:ascii="宋体" w:hAnsi="宋体" w:cs="宋体"/>
          <w:b/>
          <w:sz w:val="24"/>
          <w:szCs w:val="22"/>
          <w:highlight w:val="none"/>
        </w:rPr>
      </w:pPr>
    </w:p>
    <w:sectPr>
      <w:headerReference r:id="rId5" w:type="default"/>
      <w:footerReference r:id="rId6" w:type="default"/>
      <w:footerReference r:id="rId7" w:type="even"/>
      <w:pgSz w:w="11906" w:h="16838"/>
      <w:pgMar w:top="720" w:right="1276"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1FF"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Courier New"/>
    <w:panose1 w:val="00000000000000000000"/>
    <w:charset w:val="00"/>
    <w:family w:val="auto"/>
    <w:pitch w:val="default"/>
    <w:sig w:usb0="00000000" w:usb1="00000000" w:usb2="00000000" w:usb3="00000000" w:csb0="0000019F" w:csb1="00000000"/>
  </w:font>
  <w:font w:name="Arial (W1)">
    <w:altName w:val="Arial"/>
    <w:panose1 w:val="00000000000000000000"/>
    <w:charset w:val="00"/>
    <w:family w:val="swiss"/>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Arial"/>
    <w:panose1 w:val="020B0604020202020204"/>
    <w:charset w:val="80"/>
    <w:family w:val="swiss"/>
    <w:pitch w:val="default"/>
    <w:sig w:usb0="00000000" w:usb1="00000000" w:usb2="0000003F" w:usb3="00000000" w:csb0="603F01FF" w:csb1="FFFF0000"/>
  </w:font>
  <w:font w:name="Arial">
    <w:panose1 w:val="020B0604020202020204"/>
    <w:charset w:val="00"/>
    <w:family w:val="auto"/>
    <w:pitch w:val="default"/>
    <w:sig w:usb0="E0002AFF" w:usb1="C0007843" w:usb2="00000009" w:usb3="00000000" w:csb0="400001FF" w:csb1="FFFF0000"/>
  </w:font>
  <w:font w:name="Helvetica">
    <w:altName w:val="Arial"/>
    <w:panose1 w:val="020B0504020202020204"/>
    <w:charset w:val="00"/>
    <w:family w:val="swiss"/>
    <w:pitch w:val="default"/>
    <w:sig w:usb0="00000000" w:usb1="00000000" w:usb2="00000009" w:usb3="00000000" w:csb0="000001FF" w:csb1="00000000"/>
  </w:font>
  <w:font w:name="Segoe UI Symbol">
    <w:panose1 w:val="020B0502040204020203"/>
    <w:charset w:val="00"/>
    <w:family w:val="swiss"/>
    <w:pitch w:val="default"/>
    <w:sig w:usb0="8000006F" w:usb1="1200FBEF" w:usb2="0064C000" w:usb3="00000002" w:csb0="00000001" w:csb1="40000000"/>
  </w:font>
  <w:font w:name="Cambria Math">
    <w:panose1 w:val="02040503050406030204"/>
    <w:charset w:val="00"/>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3990" cy="139700"/>
              <wp:effectExtent l="0" t="0" r="0" b="0"/>
              <wp:wrapNone/>
              <wp:docPr id="22" name="文本框 2051"/>
              <wp:cNvGraphicFramePr/>
              <a:graphic xmlns:a="http://schemas.openxmlformats.org/drawingml/2006/main">
                <a:graphicData uri="http://schemas.microsoft.com/office/word/2010/wordprocessingShape">
                  <wps:wsp>
                    <wps:cNvSpPr txBox="1"/>
                    <wps:spPr>
                      <a:xfrm>
                        <a:off x="0" y="0"/>
                        <a:ext cx="173990" cy="139700"/>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2051" o:spid="_x0000_s1026" o:spt="202" type="#_x0000_t202" style="position:absolute;left:0pt;margin-top:0pt;height:11pt;width:13.7pt;mso-position-horizontal:center;mso-position-horizontal-relative:margin;mso-wrap-style:none;z-index:251660288;mso-width-relative:page;mso-height-relative:page;" filled="f" stroked="f" coordsize="21600,21600" o:gfxdata="UEsDBAoAAAAAAIdO4kAAAAAAAAAAAAAAAAAEAAAAZHJzL1BLAwQUAAAACACHTuJAVxjtatAAAAAD&#10;AQAADwAAAGRycy9kb3ducmV2LnhtbE2PMU/DMBCFdyT+g3VIbNRuhGiVxulQiYWNgpDY3PgaR9jn&#10;yHbT5N9zsMByT6d3eu+7Zj8HLyZMeYikYb1SIJC6aAfqNby/PT9sQeRiyBofCTUsmGHf3t40prbx&#10;Sq84HUsvOIRybTS4UsZaytw5DCav4ojE3jmmYAqvqZc2mSuHBy8rpZ5kMANxgzMjHhx2X8dL0LCZ&#10;PyKOGQ/4eZ665IZl618Wre/v1moHouBc/o7hB5/RoWWmU7yQzcJr4EfK72Sv2jyCOLFWCmTbyP/s&#10;7TdQSwMEFAAAAAgAh07iQINnP9rLAQAAjwMAAA4AAABkcnMvZTJvRG9jLnhtbK1TS27bMBDdF+gd&#10;CO5ryQra1ILlIIGRokDRFkhyAJoiLQL8gUNb8gXaG3TVTfc9l8+RISU7bbrJohtqODN8M+/NaHk1&#10;GE32IoBytqHzWUmJsNy1ym4b+nB/++Y9JRCZbZl2VjT0IIBerV6/Wva+FpXrnG5FIAhioe59Q7sY&#10;fV0UwDthGMycFxaD0gXDIl7DtmgD6xHd6KIqy3dF70Lrg+MCAL3rMUgnxPASQCel4mLt+M4IG0fU&#10;IDSLSAk65YGucrdSCh6/SAkiEt1QZBrziUXQ3qSzWC1ZvQ3Md4pPLbCXtPCMk2HKYtEz1JpFRnZB&#10;/QNlFA8OnIwz7kwxEsmKIIt5+Uybu455kbmg1ODPosP/g+Wf918DUW1Dq4oSywxO/Pjj+/Hn7+Ov&#10;b6Qq386TRL2HGjPvPObG4cYNuDgnP6AzMR9kMOmLnAjGUeDDWWAxRMLTo8uLxQIjHEPzi8VlmQdQ&#10;PD32AeIH4QxJRkMDzi/LyvafIGIjmHpKSbWsu1Va5xlq+5cDE5OnSJ2PHSYrDpthorNx7QHZ9Dj6&#10;hlrcdEr0R4vKpi05GeFkbCYj1QB/vYtYOPeTUEeoqRjOKbc57VRahD/vOevpP1o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cY7WrQAAAAAwEAAA8AAAAAAAAAAQAgAAAAIgAAAGRycy9kb3ducmV2&#10;LnhtbFBLAQIUABQAAAAIAIdO4kCDZz/aywEAAI8DAAAOAAAAAAAAAAEAIAAAAB8BAABkcnMvZTJv&#10;RG9jLnhtbFBLBQYAAAAABgAGAFkBAABcBQ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990" cy="292735"/>
              <wp:effectExtent l="0" t="0" r="0" b="0"/>
              <wp:wrapNone/>
              <wp:docPr id="21" name="文本框 2050"/>
              <wp:cNvGraphicFramePr/>
              <a:graphic xmlns:a="http://schemas.openxmlformats.org/drawingml/2006/main">
                <a:graphicData uri="http://schemas.microsoft.com/office/word/2010/wordprocessingShape">
                  <wps:wsp>
                    <wps:cNvSpPr txBox="1"/>
                    <wps:spPr>
                      <a:xfrm>
                        <a:off x="0" y="0"/>
                        <a:ext cx="173990" cy="292735"/>
                      </a:xfrm>
                      <a:prstGeom prst="rect">
                        <a:avLst/>
                      </a:prstGeom>
                      <a:noFill/>
                      <a:ln>
                        <a:noFill/>
                      </a:ln>
                    </wps:spPr>
                    <wps:txbx>
                      <w:txbxContent>
                        <w:p>
                          <w:pPr>
                            <w:pStyle w:val="28"/>
                            <w:rPr>
                              <w:rStyle w:val="45"/>
                            </w:rPr>
                          </w:pPr>
                          <w:r>
                            <w:fldChar w:fldCharType="begin"/>
                          </w:r>
                          <w:r>
                            <w:rPr>
                              <w:rStyle w:val="45"/>
                            </w:rPr>
                            <w:instrText xml:space="preserve">PAGE  </w:instrText>
                          </w:r>
                          <w:r>
                            <w:fldChar w:fldCharType="separate"/>
                          </w:r>
                          <w:r>
                            <w:rPr>
                              <w:rStyle w:val="45"/>
                            </w:rPr>
                            <w:t>85</w:t>
                          </w:r>
                          <w:r>
                            <w:fldChar w:fldCharType="end"/>
                          </w:r>
                        </w:p>
                        <w:p/>
                      </w:txbxContent>
                    </wps:txbx>
                    <wps:bodyPr wrap="none" lIns="0" tIns="0" rIns="0" bIns="0">
                      <a:spAutoFit/>
                    </wps:bodyPr>
                  </wps:wsp>
                </a:graphicData>
              </a:graphic>
            </wp:anchor>
          </w:drawing>
        </mc:Choice>
        <mc:Fallback>
          <w:pict>
            <v:shape id="文本框 2050" o:spid="_x0000_s1026" o:spt="202" type="#_x0000_t202" style="position:absolute;left:0pt;margin-top:0pt;height:23.05pt;width:13.7pt;mso-position-horizontal:center;mso-position-horizontal-relative:margin;mso-wrap-style:none;z-index:251659264;mso-width-relative:page;mso-height-relative:page;" filled="f" stroked="f" coordsize="21600,21600" o:gfxdata="UEsDBAoAAAAAAIdO4kAAAAAAAAAAAAAAAAAEAAAAZHJzL1BLAwQUAAAACACHTuJAkHbfBdEAAAAD&#10;AQAADwAAAGRycy9kb3ducmV2LnhtbE2PwWrDMBBE74X8g9hCb43sEJLgWM4hkEtvTUuht421sUyl&#10;lZEUx/77qr20l4Vhhpm39WFyVowUYu9ZQbksQBC3XvfcKXh/Oz3vQMSErNF6JgUzRTg0i4caK+3v&#10;/ErjOXUil3CsUIFJaaikjK0hh3HpB+LsXX1wmLIMndQB77ncWbkqio102HNeMDjQ0VD7db45Bdvp&#10;w9MQ6Uif17ENpp939mVW6umxLPYgEk3pLww/+Bkdmsx08TfWUVgF+ZH0e7O32q5BXBSsNyXIppb/&#10;2ZtvUEsDBBQAAAAIAIdO4kDMQNWMyAEAAI8DAAAOAAAAZHJzL2Uyb0RvYy54bWytU82O0zAQviPx&#10;DpbvNGlWy9Ko6QpULUJCgLTwAK5jN5b8J4/bpC8Ab8CJC3eeq8/B2ElbdveyBy7OeGb8zXzfTJa3&#10;g9FkLwIoZxs6n5WUCMtdq+y2od++3r16QwlEZlumnRUNPQigt6uXL5a9r0XlOqdbEQiCWKh739Au&#10;Rl8XBfBOGAYz54XFoHTBsIjXsC3awHpEN7qoyvJ10bvQ+uC4AEDvegzSCTE8B9BJqbhYO74zwsYR&#10;NQjNIlKCTnmgq9ytlILHz1KCiEQ3FJnGfGIRtDfpLFZLVm8D853iUwvsOS084mSYslj0DLVmkZFd&#10;UE+gjOLBgZNxxp0pRiJZEWQxLx9pc98xLzIXlBr8WXT4f7D80/5LIKptaDWnxDKDEz/+/HH89ef4&#10;+zupyussUe+hxsx7j7lxeOcGXJwkXfIDOhPzQQaTvsiJYBwFPpwFFkMkPD26uVosMMIxVC2qm6vr&#10;hFJcHvsA8b1whiSjoQHnl2Vl+48Qx9RTSqpl3Z3SOs9Q2wcOxEye4tJhsuKwGaa2N649IJseR99Q&#10;i5tOif5gUdm0JScjnIzNZKQa4N/uIhbO/STUEWoqhnPKjKadSovw7z1nXf6j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Qdt8F0QAAAAMBAAAPAAAAAAAAAAEAIAAAACIAAABkcnMvZG93bnJldi54&#10;bWxQSwECFAAUAAAACACHTuJAzEDVjMgBAACPAwAADgAAAAAAAAABACAAAAAgAQAAZHJzL2Uyb0Rv&#10;Yy54bWxQSwUGAAAAAAYABgBZAQAAWgUAAAAA&#10;">
              <v:fill on="f" focussize="0,0"/>
              <v:stroke on="f"/>
              <v:imagedata o:title=""/>
              <o:lock v:ext="edit" aspectratio="f"/>
              <v:textbox inset="0mm,0mm,0mm,0mm" style="mso-fit-shape-to-text:t;">
                <w:txbxContent>
                  <w:p>
                    <w:pPr>
                      <w:pStyle w:val="28"/>
                      <w:rPr>
                        <w:rStyle w:val="45"/>
                      </w:rPr>
                    </w:pPr>
                    <w:r>
                      <w:fldChar w:fldCharType="begin"/>
                    </w:r>
                    <w:r>
                      <w:rPr>
                        <w:rStyle w:val="45"/>
                      </w:rPr>
                      <w:instrText xml:space="preserve">PAGE  </w:instrText>
                    </w:r>
                    <w:r>
                      <w:fldChar w:fldCharType="separate"/>
                    </w:r>
                    <w:r>
                      <w:rPr>
                        <w:rStyle w:val="45"/>
                      </w:rPr>
                      <w:t>85</w:t>
                    </w:r>
                    <w:r>
                      <w:fldChar w:fldCharType="end"/>
                    </w:r>
                  </w:p>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5"/>
      </w:rPr>
    </w:pPr>
    <w:r>
      <w:fldChar w:fldCharType="begin"/>
    </w:r>
    <w:r>
      <w:rPr>
        <w:rStyle w:val="45"/>
      </w:rPr>
      <w:instrText xml:space="preserve">PAGE  </w:instrText>
    </w:r>
    <w:r>
      <w:fldChar w:fldCharType="separate"/>
    </w:r>
    <w:r>
      <w:rPr>
        <w:rStyle w:val="45"/>
      </w:rPr>
      <w:t>71</w:t>
    </w:r>
    <w: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pPr>
    <w:r>
      <w:drawing>
        <wp:inline distT="0" distB="0" distL="114300" distR="114300">
          <wp:extent cx="2107565" cy="457200"/>
          <wp:effectExtent l="0" t="0" r="6985" b="0"/>
          <wp:docPr id="23"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logo"/>
                  <pic:cNvPicPr>
                    <a:picLocks noChangeAspect="1"/>
                  </pic:cNvPicPr>
                </pic:nvPicPr>
                <pic:blipFill>
                  <a:blip r:embed="rId1"/>
                  <a:stretch>
                    <a:fillRect/>
                  </a:stretch>
                </pic:blipFill>
                <pic:spPr>
                  <a:xfrm>
                    <a:off x="0" y="0"/>
                    <a:ext cx="2107565" cy="457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pPr>
    <w:r>
      <w:drawing>
        <wp:inline distT="0" distB="0" distL="114300" distR="114300">
          <wp:extent cx="2056765" cy="342265"/>
          <wp:effectExtent l="0" t="0" r="635" b="635"/>
          <wp:docPr id="24" name="图片 1" descr="QQ图片2016030112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QQ图片20160301124307"/>
                  <pic:cNvPicPr>
                    <a:picLocks noChangeAspect="1"/>
                  </pic:cNvPicPr>
                </pic:nvPicPr>
                <pic:blipFill>
                  <a:blip r:embed="rId1"/>
                  <a:stretch>
                    <a:fillRect/>
                  </a:stretch>
                </pic:blipFill>
                <pic:spPr>
                  <a:xfrm>
                    <a:off x="0" y="0"/>
                    <a:ext cx="2056765" cy="3422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06B5A"/>
    <w:multiLevelType w:val="singleLevel"/>
    <w:tmpl w:val="85406B5A"/>
    <w:lvl w:ilvl="0" w:tentative="0">
      <w:start w:val="1"/>
      <w:numFmt w:val="chineseCounting"/>
      <w:suff w:val="nothing"/>
      <w:lvlText w:val="（%1）"/>
      <w:lvlJc w:val="left"/>
      <w:pPr>
        <w:ind w:left="0" w:firstLine="420"/>
      </w:pPr>
      <w:rPr>
        <w:rFonts w:hint="eastAsia"/>
      </w:rPr>
    </w:lvl>
  </w:abstractNum>
  <w:abstractNum w:abstractNumId="1">
    <w:nsid w:val="91234E37"/>
    <w:multiLevelType w:val="singleLevel"/>
    <w:tmpl w:val="91234E37"/>
    <w:lvl w:ilvl="0" w:tentative="0">
      <w:start w:val="2"/>
      <w:numFmt w:val="decimal"/>
      <w:suff w:val="nothing"/>
      <w:lvlText w:val="%1、"/>
      <w:lvlJc w:val="left"/>
    </w:lvl>
  </w:abstractNum>
  <w:abstractNum w:abstractNumId="2">
    <w:nsid w:val="96E79C6E"/>
    <w:multiLevelType w:val="singleLevel"/>
    <w:tmpl w:val="96E79C6E"/>
    <w:lvl w:ilvl="0" w:tentative="0">
      <w:start w:val="1"/>
      <w:numFmt w:val="chineseCounting"/>
      <w:suff w:val="nothing"/>
      <w:lvlText w:val="%1、"/>
      <w:lvlJc w:val="left"/>
      <w:pPr>
        <w:ind w:left="0" w:firstLine="420"/>
      </w:pPr>
      <w:rPr>
        <w:rFonts w:hint="eastAsia"/>
      </w:rPr>
    </w:lvl>
  </w:abstractNum>
  <w:abstractNum w:abstractNumId="3">
    <w:nsid w:val="B563EB11"/>
    <w:multiLevelType w:val="singleLevel"/>
    <w:tmpl w:val="B563EB11"/>
    <w:lvl w:ilvl="0" w:tentative="0">
      <w:start w:val="1"/>
      <w:numFmt w:val="chineseCounting"/>
      <w:suff w:val="nothing"/>
      <w:lvlText w:val="（%1）"/>
      <w:lvlJc w:val="left"/>
      <w:pPr>
        <w:ind w:left="0" w:firstLine="420"/>
      </w:pPr>
      <w:rPr>
        <w:rFonts w:hint="eastAsia"/>
      </w:rPr>
    </w:lvl>
  </w:abstractNum>
  <w:abstractNum w:abstractNumId="4">
    <w:nsid w:val="B6188A0A"/>
    <w:multiLevelType w:val="singleLevel"/>
    <w:tmpl w:val="B6188A0A"/>
    <w:lvl w:ilvl="0" w:tentative="0">
      <w:start w:val="2"/>
      <w:numFmt w:val="chineseCounting"/>
      <w:suff w:val="nothing"/>
      <w:lvlText w:val="%1、"/>
      <w:lvlJc w:val="left"/>
      <w:rPr>
        <w:rFonts w:hint="eastAsia"/>
      </w:rPr>
    </w:lvl>
  </w:abstractNum>
  <w:abstractNum w:abstractNumId="5">
    <w:nsid w:val="D78510C0"/>
    <w:multiLevelType w:val="singleLevel"/>
    <w:tmpl w:val="D78510C0"/>
    <w:lvl w:ilvl="0" w:tentative="0">
      <w:start w:val="1"/>
      <w:numFmt w:val="chineseCounting"/>
      <w:suff w:val="nothing"/>
      <w:lvlText w:val="%1、"/>
      <w:lvlJc w:val="left"/>
      <w:rPr>
        <w:rFonts w:hint="eastAsia"/>
      </w:rPr>
    </w:lvl>
  </w:abstractNum>
  <w:abstractNum w:abstractNumId="6">
    <w:nsid w:val="DAC48C01"/>
    <w:multiLevelType w:val="multilevel"/>
    <w:tmpl w:val="DAC48C0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F814B18D"/>
    <w:multiLevelType w:val="singleLevel"/>
    <w:tmpl w:val="F814B18D"/>
    <w:lvl w:ilvl="0" w:tentative="0">
      <w:start w:val="1"/>
      <w:numFmt w:val="chineseCounting"/>
      <w:suff w:val="nothing"/>
      <w:lvlText w:val="%1、"/>
      <w:lvlJc w:val="left"/>
      <w:pPr>
        <w:ind w:left="0" w:firstLine="420"/>
      </w:pPr>
      <w:rPr>
        <w:rFonts w:hint="eastAsia"/>
      </w:rPr>
    </w:lvl>
  </w:abstractNum>
  <w:abstractNum w:abstractNumId="8">
    <w:nsid w:val="00000009"/>
    <w:multiLevelType w:val="multilevel"/>
    <w:tmpl w:val="00000009"/>
    <w:lvl w:ilvl="0" w:tentative="0">
      <w:start w:val="1"/>
      <w:numFmt w:val="chineseCountingThousand"/>
      <w:lvlText w:val="%1、"/>
      <w:lvlJc w:val="left"/>
      <w:pPr>
        <w:ind w:left="846" w:hanging="420"/>
      </w:pPr>
    </w:lvl>
    <w:lvl w:ilvl="1" w:tentative="0">
      <w:start w:val="1"/>
      <w:numFmt w:val="japaneseCounting"/>
      <w:lvlText w:val="（%2）"/>
      <w:lvlJc w:val="left"/>
      <w:pPr>
        <w:ind w:left="1595" w:hanging="885"/>
      </w:pPr>
      <w:rPr>
        <w:rFonts w:hint="default"/>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9">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5"/>
    <w:multiLevelType w:val="multilevel"/>
    <w:tmpl w:val="00000015"/>
    <w:lvl w:ilvl="0" w:tentative="0">
      <w:start w:val="1"/>
      <w:numFmt w:val="chineseCountingThousand"/>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17"/>
    <w:multiLevelType w:val="multilevel"/>
    <w:tmpl w:val="00000017"/>
    <w:lvl w:ilvl="0" w:tentative="0">
      <w:start w:val="1"/>
      <w:numFmt w:val="chineseCountingThousand"/>
      <w:lvlText w:val="%1、"/>
      <w:lvlJc w:val="left"/>
      <w:pPr>
        <w:ind w:left="1271"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18"/>
    <w:multiLevelType w:val="multilevel"/>
    <w:tmpl w:val="00000018"/>
    <w:lvl w:ilvl="0" w:tentative="0">
      <w:start w:val="1"/>
      <w:numFmt w:val="chineseCountingThousand"/>
      <w:lvlText w:val="%1、"/>
      <w:lvlJc w:val="left"/>
      <w:pPr>
        <w:ind w:left="966"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400"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lang w:val="en-US"/>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00000025"/>
    <w:multiLevelType w:val="multilevel"/>
    <w:tmpl w:val="00000025"/>
    <w:lvl w:ilvl="0" w:tentative="0">
      <w:start w:val="1"/>
      <w:numFmt w:val="chineseCountingThousand"/>
      <w:lvlText w:val="%1、"/>
      <w:lvlJc w:val="left"/>
      <w:pPr>
        <w:ind w:left="1130" w:hanging="420"/>
      </w:pPr>
      <w:rPr>
        <w:rFonts w:hint="default"/>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2A"/>
    <w:multiLevelType w:val="multilevel"/>
    <w:tmpl w:val="0000002A"/>
    <w:lvl w:ilvl="0" w:tentative="0">
      <w:start w:val="1"/>
      <w:numFmt w:val="chineseCountingThousand"/>
      <w:lvlText w:val="%1、"/>
      <w:lvlJc w:val="left"/>
      <w:pPr>
        <w:ind w:left="3823" w:hanging="420"/>
      </w:pPr>
      <w:rPr>
        <w:rFonts w:hint="default"/>
        <w:b w:val="0"/>
        <w:sz w:val="28"/>
        <w:szCs w:val="28"/>
        <w:lang w:val="en-US"/>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20">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3119"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91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21">
    <w:nsid w:val="00000031"/>
    <w:multiLevelType w:val="multilevel"/>
    <w:tmpl w:val="00000031"/>
    <w:lvl w:ilvl="0" w:tentative="0">
      <w:start w:val="1"/>
      <w:numFmt w:val="chineseCountingThousand"/>
      <w:lvlText w:val="%1、"/>
      <w:lvlJc w:val="left"/>
      <w:pPr>
        <w:ind w:left="96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00000037"/>
    <w:multiLevelType w:val="multilevel"/>
    <w:tmpl w:val="00000037"/>
    <w:lvl w:ilvl="0" w:tentative="0">
      <w:start w:val="1"/>
      <w:numFmt w:val="chineseCountingThousand"/>
      <w:lvlText w:val="%1、"/>
      <w:lvlJc w:val="left"/>
      <w:pPr>
        <w:ind w:left="988"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4">
    <w:nsid w:val="0000003B"/>
    <w:multiLevelType w:val="multilevel"/>
    <w:tmpl w:val="0000003B"/>
    <w:lvl w:ilvl="0" w:tentative="0">
      <w:start w:val="1"/>
      <w:numFmt w:val="chineseCountingThousand"/>
      <w:lvlText w:val="%1、"/>
      <w:lvlJc w:val="left"/>
      <w:pPr>
        <w:ind w:left="720" w:hanging="720"/>
      </w:pPr>
      <w:rPr>
        <w:rFonts w:hint="eastAsia"/>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000003E"/>
    <w:multiLevelType w:val="multilevel"/>
    <w:tmpl w:val="0000003E"/>
    <w:lvl w:ilvl="0" w:tentative="0">
      <w:start w:val="1"/>
      <w:numFmt w:val="chineseCountingThousand"/>
      <w:suff w:val="nothing"/>
      <w:lvlText w:val="%1、"/>
      <w:lvlJc w:val="left"/>
      <w:pPr>
        <w:ind w:left="988" w:hanging="420"/>
      </w:pPr>
      <w:rPr>
        <w:rFonts w:hint="eastAsia"/>
        <w:b/>
        <w:lang w:val="en-US"/>
      </w:rPr>
    </w:lvl>
    <w:lvl w:ilvl="1" w:tentative="0">
      <w:start w:val="1"/>
      <w:numFmt w:val="decimal"/>
      <w:lvlText w:val="%2、"/>
      <w:lvlJc w:val="left"/>
      <w:pPr>
        <w:ind w:left="1693" w:hanging="1125"/>
      </w:pPr>
      <w:rPr>
        <w:rFonts w:hint="default"/>
      </w:r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6">
    <w:nsid w:val="0000003F"/>
    <w:multiLevelType w:val="multilevel"/>
    <w:tmpl w:val="0000003F"/>
    <w:lvl w:ilvl="0" w:tentative="0">
      <w:start w:val="1"/>
      <w:numFmt w:val="chineseCountingThousand"/>
      <w:lvlText w:val="%1、"/>
      <w:lvlJc w:val="left"/>
      <w:pPr>
        <w:ind w:left="1838" w:hanging="420"/>
      </w:pPr>
      <w:rPr>
        <w:rFonts w:hint="eastAsia"/>
        <w:lang w:val="en-US"/>
      </w:r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27">
    <w:nsid w:val="00000043"/>
    <w:multiLevelType w:val="multilevel"/>
    <w:tmpl w:val="00000043"/>
    <w:lvl w:ilvl="0" w:tentative="0">
      <w:start w:val="1"/>
      <w:numFmt w:val="chineseCountingThousand"/>
      <w:lvlText w:val="%1、"/>
      <w:lvlJc w:val="left"/>
      <w:pPr>
        <w:ind w:left="988" w:hanging="420"/>
      </w:pPr>
      <w:rPr>
        <w:rFonts w:hint="eastAsia"/>
        <w:sz w:val="28"/>
        <w:szCs w:val="28"/>
      </w:rPr>
    </w:lvl>
    <w:lvl w:ilvl="1" w:tentative="0">
      <w:start w:val="1"/>
      <w:numFmt w:val="decimal"/>
      <w:isLgl/>
      <w:lvlText w:val="%1.%2"/>
      <w:lvlJc w:val="left"/>
      <w:pPr>
        <w:ind w:left="1528" w:hanging="960"/>
      </w:pPr>
      <w:rPr>
        <w:rFonts w:hint="default"/>
      </w:rPr>
    </w:lvl>
    <w:lvl w:ilvl="2" w:tentative="0">
      <w:start w:val="1"/>
      <w:numFmt w:val="decimal"/>
      <w:isLgl/>
      <w:lvlText w:val="%1.%2.%3"/>
      <w:lvlJc w:val="left"/>
      <w:pPr>
        <w:ind w:left="1528" w:hanging="960"/>
      </w:pPr>
      <w:rPr>
        <w:rFonts w:hint="default"/>
      </w:rPr>
    </w:lvl>
    <w:lvl w:ilvl="3" w:tentative="0">
      <w:start w:val="1"/>
      <w:numFmt w:val="decimal"/>
      <w:isLgl/>
      <w:lvlText w:val="%1.%2.%3.%4"/>
      <w:lvlJc w:val="left"/>
      <w:pPr>
        <w:ind w:left="1648" w:hanging="1080"/>
      </w:pPr>
      <w:rPr>
        <w:rFonts w:hint="default"/>
      </w:rPr>
    </w:lvl>
    <w:lvl w:ilvl="4" w:tentative="0">
      <w:start w:val="1"/>
      <w:numFmt w:val="decimal"/>
      <w:isLgl/>
      <w:lvlText w:val="%1.%2.%3.%4.%5"/>
      <w:lvlJc w:val="left"/>
      <w:pPr>
        <w:ind w:left="1648" w:hanging="1080"/>
      </w:pPr>
      <w:rPr>
        <w:rFonts w:hint="default"/>
      </w:rPr>
    </w:lvl>
    <w:lvl w:ilvl="5" w:tentative="0">
      <w:start w:val="1"/>
      <w:numFmt w:val="decimal"/>
      <w:isLgl/>
      <w:lvlText w:val="%1.%2.%3.%4.%5.%6"/>
      <w:lvlJc w:val="left"/>
      <w:pPr>
        <w:ind w:left="2008" w:hanging="1440"/>
      </w:pPr>
      <w:rPr>
        <w:rFonts w:hint="default"/>
      </w:rPr>
    </w:lvl>
    <w:lvl w:ilvl="6" w:tentative="0">
      <w:start w:val="1"/>
      <w:numFmt w:val="decimal"/>
      <w:isLgl/>
      <w:lvlText w:val="%1.%2.%3.%4.%5.%6.%7"/>
      <w:lvlJc w:val="left"/>
      <w:pPr>
        <w:ind w:left="2368" w:hanging="1800"/>
      </w:pPr>
      <w:rPr>
        <w:rFonts w:hint="default"/>
      </w:rPr>
    </w:lvl>
    <w:lvl w:ilvl="7" w:tentative="0">
      <w:start w:val="1"/>
      <w:numFmt w:val="decimal"/>
      <w:isLgl/>
      <w:lvlText w:val="%1.%2.%3.%4.%5.%6.%7.%8"/>
      <w:lvlJc w:val="left"/>
      <w:pPr>
        <w:ind w:left="2368" w:hanging="1800"/>
      </w:pPr>
      <w:rPr>
        <w:rFonts w:hint="default"/>
      </w:rPr>
    </w:lvl>
    <w:lvl w:ilvl="8" w:tentative="0">
      <w:start w:val="1"/>
      <w:numFmt w:val="decimal"/>
      <w:isLgl/>
      <w:lvlText w:val="%1.%2.%3.%4.%5.%6.%7.%8.%9"/>
      <w:lvlJc w:val="left"/>
      <w:pPr>
        <w:ind w:left="2728" w:hanging="2160"/>
      </w:pPr>
      <w:rPr>
        <w:rFonts w:hint="default"/>
      </w:rPr>
    </w:lvl>
  </w:abstractNum>
  <w:abstractNum w:abstractNumId="28">
    <w:nsid w:val="01B47C6A"/>
    <w:multiLevelType w:val="multilevel"/>
    <w:tmpl w:val="01B47C6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026F13ED"/>
    <w:multiLevelType w:val="multilevel"/>
    <w:tmpl w:val="026F13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04710822"/>
    <w:multiLevelType w:val="multilevel"/>
    <w:tmpl w:val="04710822"/>
    <w:lvl w:ilvl="0" w:tentative="0">
      <w:start w:val="1"/>
      <w:numFmt w:val="decimal"/>
      <w:lvlText w:val="(%1)"/>
      <w:lvlJc w:val="left"/>
      <w:pPr>
        <w:ind w:left="420" w:hanging="420"/>
      </w:pPr>
    </w:lvl>
    <w:lvl w:ilvl="1" w:tentative="0">
      <w:start w:val="1"/>
      <w:numFmt w:val="japaneseCounting"/>
      <w:lvlText w:val="%2、"/>
      <w:lvlJc w:val="left"/>
      <w:pPr>
        <w:ind w:left="870" w:hanging="45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6AF180E"/>
    <w:multiLevelType w:val="multilevel"/>
    <w:tmpl w:val="06AF180E"/>
    <w:lvl w:ilvl="0" w:tentative="0">
      <w:start w:val="1"/>
      <w:numFmt w:val="japaneseCounting"/>
      <w:lvlText w:val="（%1）"/>
      <w:lvlJc w:val="left"/>
      <w:pPr>
        <w:ind w:left="1421" w:hanging="855"/>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08902E19"/>
    <w:multiLevelType w:val="multilevel"/>
    <w:tmpl w:val="08902E19"/>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33">
    <w:nsid w:val="09966703"/>
    <w:multiLevelType w:val="multilevel"/>
    <w:tmpl w:val="09966703"/>
    <w:lvl w:ilvl="0" w:tentative="0">
      <w:start w:val="1"/>
      <w:numFmt w:val="chineseCountingThousand"/>
      <w:lvlText w:val="%1、"/>
      <w:lvlJc w:val="left"/>
      <w:pPr>
        <w:ind w:left="1271"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10C464A8"/>
    <w:multiLevelType w:val="multilevel"/>
    <w:tmpl w:val="10C464A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11192C97"/>
    <w:multiLevelType w:val="multilevel"/>
    <w:tmpl w:val="11192C97"/>
    <w:lvl w:ilvl="0" w:tentative="0">
      <w:start w:val="1"/>
      <w:numFmt w:val="decimal"/>
      <w:lvlText w:val="(%1)"/>
      <w:lvlJc w:val="left"/>
      <w:pPr>
        <w:ind w:left="639" w:hanging="420"/>
      </w:pPr>
      <w:rPr>
        <w:rFonts w:hint="eastAsia"/>
      </w:rPr>
    </w:lvl>
    <w:lvl w:ilvl="1" w:tentative="0">
      <w:start w:val="1"/>
      <w:numFmt w:val="lowerLetter"/>
      <w:lvlText w:val="%2)"/>
      <w:lvlJc w:val="left"/>
      <w:pPr>
        <w:ind w:left="1059" w:hanging="420"/>
      </w:pPr>
    </w:lvl>
    <w:lvl w:ilvl="2" w:tentative="0">
      <w:start w:val="1"/>
      <w:numFmt w:val="lowerRoman"/>
      <w:lvlText w:val="%3."/>
      <w:lvlJc w:val="right"/>
      <w:pPr>
        <w:ind w:left="1479" w:hanging="420"/>
      </w:pPr>
    </w:lvl>
    <w:lvl w:ilvl="3" w:tentative="0">
      <w:start w:val="1"/>
      <w:numFmt w:val="decimal"/>
      <w:lvlText w:val="%4."/>
      <w:lvlJc w:val="left"/>
      <w:pPr>
        <w:ind w:left="1899" w:hanging="420"/>
      </w:pPr>
    </w:lvl>
    <w:lvl w:ilvl="4" w:tentative="0">
      <w:start w:val="1"/>
      <w:numFmt w:val="lowerLetter"/>
      <w:lvlText w:val="%5)"/>
      <w:lvlJc w:val="left"/>
      <w:pPr>
        <w:ind w:left="2319" w:hanging="420"/>
      </w:pPr>
    </w:lvl>
    <w:lvl w:ilvl="5" w:tentative="0">
      <w:start w:val="1"/>
      <w:numFmt w:val="lowerRoman"/>
      <w:lvlText w:val="%6."/>
      <w:lvlJc w:val="right"/>
      <w:pPr>
        <w:ind w:left="2739" w:hanging="420"/>
      </w:pPr>
    </w:lvl>
    <w:lvl w:ilvl="6" w:tentative="0">
      <w:start w:val="1"/>
      <w:numFmt w:val="decimal"/>
      <w:lvlText w:val="%7."/>
      <w:lvlJc w:val="left"/>
      <w:pPr>
        <w:ind w:left="3159" w:hanging="420"/>
      </w:pPr>
    </w:lvl>
    <w:lvl w:ilvl="7" w:tentative="0">
      <w:start w:val="1"/>
      <w:numFmt w:val="lowerLetter"/>
      <w:lvlText w:val="%8)"/>
      <w:lvlJc w:val="left"/>
      <w:pPr>
        <w:ind w:left="3579" w:hanging="420"/>
      </w:pPr>
    </w:lvl>
    <w:lvl w:ilvl="8" w:tentative="0">
      <w:start w:val="1"/>
      <w:numFmt w:val="lowerRoman"/>
      <w:lvlText w:val="%9."/>
      <w:lvlJc w:val="right"/>
      <w:pPr>
        <w:ind w:left="3999" w:hanging="420"/>
      </w:pPr>
    </w:lvl>
  </w:abstractNum>
  <w:abstractNum w:abstractNumId="36">
    <w:nsid w:val="114C5397"/>
    <w:multiLevelType w:val="multilevel"/>
    <w:tmpl w:val="114C53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1A032D52"/>
    <w:multiLevelType w:val="multilevel"/>
    <w:tmpl w:val="1A032D52"/>
    <w:lvl w:ilvl="0" w:tentative="0">
      <w:start w:val="1"/>
      <w:numFmt w:val="chineseCountingThousand"/>
      <w:lvlText w:val="%1、"/>
      <w:lvlJc w:val="left"/>
      <w:pPr>
        <w:ind w:left="2121"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1A31066A"/>
    <w:multiLevelType w:val="multilevel"/>
    <w:tmpl w:val="1A31066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CC27BB7"/>
    <w:multiLevelType w:val="multilevel"/>
    <w:tmpl w:val="1CC27BB7"/>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40">
    <w:nsid w:val="1D743068"/>
    <w:multiLevelType w:val="multilevel"/>
    <w:tmpl w:val="1D743068"/>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41">
    <w:nsid w:val="1E210670"/>
    <w:multiLevelType w:val="multilevel"/>
    <w:tmpl w:val="1E21067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00D325F"/>
    <w:multiLevelType w:val="multilevel"/>
    <w:tmpl w:val="200D325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11008E7"/>
    <w:multiLevelType w:val="multilevel"/>
    <w:tmpl w:val="211008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1271CF0"/>
    <w:multiLevelType w:val="multilevel"/>
    <w:tmpl w:val="21271CF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221416CB"/>
    <w:multiLevelType w:val="multilevel"/>
    <w:tmpl w:val="221416CB"/>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46">
    <w:nsid w:val="225E36F0"/>
    <w:multiLevelType w:val="multilevel"/>
    <w:tmpl w:val="225E36F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28C1133"/>
    <w:multiLevelType w:val="multilevel"/>
    <w:tmpl w:val="228C1133"/>
    <w:lvl w:ilvl="0" w:tentative="0">
      <w:start w:val="1"/>
      <w:numFmt w:val="decimal"/>
      <w:lvlText w:val="(%1)"/>
      <w:lvlJc w:val="left"/>
      <w:pPr>
        <w:ind w:left="639" w:hanging="420"/>
      </w:pPr>
      <w:rPr>
        <w:rFonts w:hint="eastAsia"/>
      </w:rPr>
    </w:lvl>
    <w:lvl w:ilvl="1" w:tentative="0">
      <w:start w:val="27"/>
      <w:numFmt w:val="bullet"/>
      <w:lvlText w:val="▲"/>
      <w:lvlJc w:val="left"/>
      <w:pPr>
        <w:ind w:left="999" w:hanging="360"/>
      </w:pPr>
      <w:rPr>
        <w:rFonts w:hint="eastAsia" w:ascii="宋体" w:hAnsi="宋体" w:eastAsia="宋体" w:cs="Times New Roman"/>
      </w:rPr>
    </w:lvl>
    <w:lvl w:ilvl="2" w:tentative="0">
      <w:start w:val="1"/>
      <w:numFmt w:val="lowerRoman"/>
      <w:lvlText w:val="%3."/>
      <w:lvlJc w:val="right"/>
      <w:pPr>
        <w:ind w:left="1479" w:hanging="420"/>
      </w:pPr>
    </w:lvl>
    <w:lvl w:ilvl="3" w:tentative="0">
      <w:start w:val="1"/>
      <w:numFmt w:val="decimal"/>
      <w:lvlText w:val="%4."/>
      <w:lvlJc w:val="left"/>
      <w:pPr>
        <w:ind w:left="1899" w:hanging="420"/>
      </w:pPr>
    </w:lvl>
    <w:lvl w:ilvl="4" w:tentative="0">
      <w:start w:val="1"/>
      <w:numFmt w:val="lowerLetter"/>
      <w:lvlText w:val="%5)"/>
      <w:lvlJc w:val="left"/>
      <w:pPr>
        <w:ind w:left="2319" w:hanging="420"/>
      </w:pPr>
    </w:lvl>
    <w:lvl w:ilvl="5" w:tentative="0">
      <w:start w:val="1"/>
      <w:numFmt w:val="lowerRoman"/>
      <w:lvlText w:val="%6."/>
      <w:lvlJc w:val="right"/>
      <w:pPr>
        <w:ind w:left="2739" w:hanging="420"/>
      </w:pPr>
    </w:lvl>
    <w:lvl w:ilvl="6" w:tentative="0">
      <w:start w:val="1"/>
      <w:numFmt w:val="decimal"/>
      <w:lvlText w:val="%7."/>
      <w:lvlJc w:val="left"/>
      <w:pPr>
        <w:ind w:left="3159" w:hanging="420"/>
      </w:pPr>
    </w:lvl>
    <w:lvl w:ilvl="7" w:tentative="0">
      <w:start w:val="1"/>
      <w:numFmt w:val="lowerLetter"/>
      <w:lvlText w:val="%8)"/>
      <w:lvlJc w:val="left"/>
      <w:pPr>
        <w:ind w:left="3579" w:hanging="420"/>
      </w:pPr>
    </w:lvl>
    <w:lvl w:ilvl="8" w:tentative="0">
      <w:start w:val="1"/>
      <w:numFmt w:val="lowerRoman"/>
      <w:lvlText w:val="%9."/>
      <w:lvlJc w:val="right"/>
      <w:pPr>
        <w:ind w:left="3999" w:hanging="420"/>
      </w:pPr>
    </w:lvl>
  </w:abstractNum>
  <w:abstractNum w:abstractNumId="48">
    <w:nsid w:val="257E124F"/>
    <w:multiLevelType w:val="multilevel"/>
    <w:tmpl w:val="257E12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7546E6E"/>
    <w:multiLevelType w:val="multilevel"/>
    <w:tmpl w:val="27546E6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81E3C75"/>
    <w:multiLevelType w:val="multilevel"/>
    <w:tmpl w:val="281E3C75"/>
    <w:lvl w:ilvl="0" w:tentative="0">
      <w:start w:val="1"/>
      <w:numFmt w:val="chineseCountingThousand"/>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29350E86"/>
    <w:multiLevelType w:val="multilevel"/>
    <w:tmpl w:val="29350E86"/>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53">
    <w:nsid w:val="29A01985"/>
    <w:multiLevelType w:val="multilevel"/>
    <w:tmpl w:val="29A019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B021A5E"/>
    <w:multiLevelType w:val="multilevel"/>
    <w:tmpl w:val="2B021A5E"/>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5">
    <w:nsid w:val="2B093BAA"/>
    <w:multiLevelType w:val="multilevel"/>
    <w:tmpl w:val="2B093BAA"/>
    <w:lvl w:ilvl="0" w:tentative="0">
      <w:start w:val="1"/>
      <w:numFmt w:val="chineseCountingThousand"/>
      <w:lvlText w:val="%1、"/>
      <w:lvlJc w:val="left"/>
      <w:pPr>
        <w:ind w:left="945"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2FFB6415"/>
    <w:multiLevelType w:val="multilevel"/>
    <w:tmpl w:val="2FFB64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05F65AC"/>
    <w:multiLevelType w:val="multilevel"/>
    <w:tmpl w:val="305F65A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1222F4E"/>
    <w:multiLevelType w:val="multilevel"/>
    <w:tmpl w:val="31222F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316418D8"/>
    <w:multiLevelType w:val="multilevel"/>
    <w:tmpl w:val="316418D8"/>
    <w:lvl w:ilvl="0" w:tentative="0">
      <w:start w:val="1"/>
      <w:numFmt w:val="chineseCountingThousand"/>
      <w:lvlText w:val="%1、"/>
      <w:lvlJc w:val="left"/>
      <w:pPr>
        <w:ind w:left="969"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60">
    <w:nsid w:val="339764A7"/>
    <w:multiLevelType w:val="multilevel"/>
    <w:tmpl w:val="33976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424055C"/>
    <w:multiLevelType w:val="multilevel"/>
    <w:tmpl w:val="3424055C"/>
    <w:lvl w:ilvl="0" w:tentative="0">
      <w:start w:val="1"/>
      <w:numFmt w:val="chineseCountingThousand"/>
      <w:lvlText w:val="%1、"/>
      <w:lvlJc w:val="left"/>
      <w:pPr>
        <w:ind w:left="1130" w:hanging="420"/>
      </w:pPr>
    </w:lvl>
    <w:lvl w:ilvl="1" w:tentative="0">
      <w:start w:val="1"/>
      <w:numFmt w:val="lowerLetter"/>
      <w:lvlText w:val="%2)"/>
      <w:lvlJc w:val="left"/>
      <w:pPr>
        <w:ind w:left="1025" w:hanging="420"/>
      </w:pPr>
    </w:lvl>
    <w:lvl w:ilvl="2" w:tentative="0">
      <w:start w:val="1"/>
      <w:numFmt w:val="lowerRoman"/>
      <w:lvlText w:val="%3."/>
      <w:lvlJc w:val="right"/>
      <w:pPr>
        <w:ind w:left="1445" w:hanging="420"/>
      </w:pPr>
    </w:lvl>
    <w:lvl w:ilvl="3" w:tentative="0">
      <w:start w:val="1"/>
      <w:numFmt w:val="decimal"/>
      <w:lvlText w:val="%4."/>
      <w:lvlJc w:val="left"/>
      <w:pPr>
        <w:ind w:left="1865" w:hanging="420"/>
      </w:pPr>
    </w:lvl>
    <w:lvl w:ilvl="4" w:tentative="0">
      <w:start w:val="1"/>
      <w:numFmt w:val="lowerLetter"/>
      <w:lvlText w:val="%5)"/>
      <w:lvlJc w:val="left"/>
      <w:pPr>
        <w:ind w:left="2285" w:hanging="420"/>
      </w:pPr>
    </w:lvl>
    <w:lvl w:ilvl="5" w:tentative="0">
      <w:start w:val="1"/>
      <w:numFmt w:val="lowerRoman"/>
      <w:lvlText w:val="%6."/>
      <w:lvlJc w:val="right"/>
      <w:pPr>
        <w:ind w:left="2705" w:hanging="420"/>
      </w:pPr>
    </w:lvl>
    <w:lvl w:ilvl="6" w:tentative="0">
      <w:start w:val="1"/>
      <w:numFmt w:val="decimal"/>
      <w:lvlText w:val="%7."/>
      <w:lvlJc w:val="left"/>
      <w:pPr>
        <w:ind w:left="3125" w:hanging="420"/>
      </w:pPr>
    </w:lvl>
    <w:lvl w:ilvl="7" w:tentative="0">
      <w:start w:val="1"/>
      <w:numFmt w:val="lowerLetter"/>
      <w:lvlText w:val="%8)"/>
      <w:lvlJc w:val="left"/>
      <w:pPr>
        <w:ind w:left="3545" w:hanging="420"/>
      </w:pPr>
    </w:lvl>
    <w:lvl w:ilvl="8" w:tentative="0">
      <w:start w:val="1"/>
      <w:numFmt w:val="lowerRoman"/>
      <w:lvlText w:val="%9."/>
      <w:lvlJc w:val="right"/>
      <w:pPr>
        <w:ind w:left="3965" w:hanging="420"/>
      </w:pPr>
    </w:lvl>
  </w:abstractNum>
  <w:abstractNum w:abstractNumId="62">
    <w:nsid w:val="349C0404"/>
    <w:multiLevelType w:val="multilevel"/>
    <w:tmpl w:val="349C04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36953F87"/>
    <w:multiLevelType w:val="multilevel"/>
    <w:tmpl w:val="36953F8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99E28A7"/>
    <w:multiLevelType w:val="multilevel"/>
    <w:tmpl w:val="399E28A7"/>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65">
    <w:nsid w:val="3A4354D3"/>
    <w:multiLevelType w:val="multilevel"/>
    <w:tmpl w:val="3A4354D3"/>
    <w:lvl w:ilvl="0" w:tentative="0">
      <w:start w:val="3"/>
      <w:numFmt w:val="japaneseCounting"/>
      <w:lvlText w:val="%1、"/>
      <w:lvlJc w:val="left"/>
      <w:pPr>
        <w:ind w:left="440" w:hanging="44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3FFC754D"/>
    <w:multiLevelType w:val="multilevel"/>
    <w:tmpl w:val="3FFC754D"/>
    <w:lvl w:ilvl="0" w:tentative="0">
      <w:start w:val="1"/>
      <w:numFmt w:val="chineseCountingThousand"/>
      <w:lvlText w:val="(%1)"/>
      <w:lvlJc w:val="left"/>
      <w:pPr>
        <w:ind w:left="1413"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21F563D"/>
    <w:multiLevelType w:val="multilevel"/>
    <w:tmpl w:val="421F563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42725B0C"/>
    <w:multiLevelType w:val="multilevel"/>
    <w:tmpl w:val="42725B0C"/>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69">
    <w:nsid w:val="429C09C8"/>
    <w:multiLevelType w:val="multilevel"/>
    <w:tmpl w:val="429C09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30B4600"/>
    <w:multiLevelType w:val="multilevel"/>
    <w:tmpl w:val="430B460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438D48F5"/>
    <w:multiLevelType w:val="multilevel"/>
    <w:tmpl w:val="438D48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73">
    <w:nsid w:val="4C72071B"/>
    <w:multiLevelType w:val="multilevel"/>
    <w:tmpl w:val="4C72071B"/>
    <w:lvl w:ilvl="0" w:tentative="0">
      <w:start w:val="1"/>
      <w:numFmt w:val="chineseCountingThousand"/>
      <w:lvlText w:val="%1、"/>
      <w:lvlJc w:val="left"/>
      <w:pPr>
        <w:ind w:left="988"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4">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75">
    <w:nsid w:val="4CC325A4"/>
    <w:multiLevelType w:val="multilevel"/>
    <w:tmpl w:val="4CC325A4"/>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77">
    <w:nsid w:val="4D487B2A"/>
    <w:multiLevelType w:val="multilevel"/>
    <w:tmpl w:val="4D487B2A"/>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78">
    <w:nsid w:val="5002145A"/>
    <w:multiLevelType w:val="multilevel"/>
    <w:tmpl w:val="5002145A"/>
    <w:lvl w:ilvl="0" w:tentative="0">
      <w:start w:val="1"/>
      <w:numFmt w:val="decimal"/>
      <w:lvlText w:val="(%1)"/>
      <w:lvlJc w:val="left"/>
      <w:pPr>
        <w:ind w:left="330" w:hanging="33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0BF7093"/>
    <w:multiLevelType w:val="multilevel"/>
    <w:tmpl w:val="50BF709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2EE42C9"/>
    <w:multiLevelType w:val="multilevel"/>
    <w:tmpl w:val="52EE42C9"/>
    <w:lvl w:ilvl="0" w:tentative="0">
      <w:start w:val="1"/>
      <w:numFmt w:val="decimal"/>
      <w:lvlText w:val="%1）"/>
      <w:lvlJc w:val="left"/>
      <w:pPr>
        <w:ind w:left="800" w:hanging="36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81">
    <w:nsid w:val="54CB3C24"/>
    <w:multiLevelType w:val="multilevel"/>
    <w:tmpl w:val="54CB3C2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87D89C6"/>
    <w:multiLevelType w:val="multilevel"/>
    <w:tmpl w:val="587D89C6"/>
    <w:lvl w:ilvl="0" w:tentative="0">
      <w:start w:val="1"/>
      <w:numFmt w:val="decimal"/>
      <w:suff w:val="nothing"/>
      <w:lvlText w:val="%1、"/>
      <w:lvlJc w:val="left"/>
    </w:lvl>
    <w:lvl w:ilvl="1" w:tentative="0">
      <w:start w:val="1"/>
      <w:numFmt w:val="decimal"/>
      <w:lvlText w:val="%2、"/>
      <w:lvlJc w:val="left"/>
      <w:pPr>
        <w:ind w:left="1693" w:hanging="1125"/>
      </w:pPr>
      <w:rPr>
        <w:rFonts w:hint="default"/>
      </w:r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83">
    <w:nsid w:val="58807131"/>
    <w:multiLevelType w:val="singleLevel"/>
    <w:tmpl w:val="58807131"/>
    <w:lvl w:ilvl="0" w:tentative="0">
      <w:start w:val="1"/>
      <w:numFmt w:val="decimal"/>
      <w:suff w:val="nothing"/>
      <w:lvlText w:val="%1、"/>
      <w:lvlJc w:val="left"/>
    </w:lvl>
  </w:abstractNum>
  <w:abstractNum w:abstractNumId="84">
    <w:nsid w:val="59F05610"/>
    <w:multiLevelType w:val="singleLevel"/>
    <w:tmpl w:val="59F05610"/>
    <w:lvl w:ilvl="0" w:tentative="0">
      <w:start w:val="2"/>
      <w:numFmt w:val="decimal"/>
      <w:suff w:val="nothing"/>
      <w:lvlText w:val="（%1）"/>
      <w:lvlJc w:val="left"/>
    </w:lvl>
  </w:abstractNum>
  <w:abstractNum w:abstractNumId="85">
    <w:nsid w:val="5A6C3437"/>
    <w:multiLevelType w:val="multilevel"/>
    <w:tmpl w:val="5A6C343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5B395354"/>
    <w:multiLevelType w:val="multilevel"/>
    <w:tmpl w:val="5B39535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5E94282E"/>
    <w:multiLevelType w:val="multilevel"/>
    <w:tmpl w:val="5E94282E"/>
    <w:lvl w:ilvl="0" w:tentative="0">
      <w:start w:val="1"/>
      <w:numFmt w:val="decimal"/>
      <w:lvlText w:val="%1."/>
      <w:lvlJc w:val="left"/>
      <w:pPr>
        <w:ind w:left="330" w:hanging="33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5FD24426"/>
    <w:multiLevelType w:val="multilevel"/>
    <w:tmpl w:val="5FD244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603A6405"/>
    <w:multiLevelType w:val="multilevel"/>
    <w:tmpl w:val="603A64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61357AE4"/>
    <w:multiLevelType w:val="multilevel"/>
    <w:tmpl w:val="61357AE4"/>
    <w:lvl w:ilvl="0" w:tentative="0">
      <w:start w:val="1"/>
      <w:numFmt w:val="chineseCountingThousand"/>
      <w:lvlText w:val="%1、"/>
      <w:lvlJc w:val="left"/>
      <w:pPr>
        <w:ind w:left="945"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92">
    <w:nsid w:val="62965A10"/>
    <w:multiLevelType w:val="multilevel"/>
    <w:tmpl w:val="62965A10"/>
    <w:lvl w:ilvl="0" w:tentative="0">
      <w:start w:val="1"/>
      <w:numFmt w:val="decimal"/>
      <w:lvlText w:val="(%1)"/>
      <w:lvlJc w:val="left"/>
      <w:pPr>
        <w:ind w:left="2830" w:hanging="420"/>
      </w:pPr>
    </w:lvl>
    <w:lvl w:ilvl="1" w:tentative="0">
      <w:start w:val="1"/>
      <w:numFmt w:val="decimal"/>
      <w:lvlText w:val="%2."/>
      <w:lvlJc w:val="left"/>
      <w:pPr>
        <w:ind w:left="1220" w:hanging="36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93">
    <w:nsid w:val="62E230F7"/>
    <w:multiLevelType w:val="multilevel"/>
    <w:tmpl w:val="62E230F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3EE7BB8"/>
    <w:multiLevelType w:val="multilevel"/>
    <w:tmpl w:val="63EE7BB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65E3062D"/>
    <w:multiLevelType w:val="multilevel"/>
    <w:tmpl w:val="65E3062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671022AB"/>
    <w:multiLevelType w:val="multilevel"/>
    <w:tmpl w:val="671022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691E7E72"/>
    <w:multiLevelType w:val="multilevel"/>
    <w:tmpl w:val="691E7E7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69F520E3"/>
    <w:multiLevelType w:val="multilevel"/>
    <w:tmpl w:val="69F520E3"/>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99">
    <w:nsid w:val="6F3A634F"/>
    <w:multiLevelType w:val="multilevel"/>
    <w:tmpl w:val="6F3A63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70443EFC"/>
    <w:multiLevelType w:val="multilevel"/>
    <w:tmpl w:val="70443EF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74A8244C"/>
    <w:multiLevelType w:val="multilevel"/>
    <w:tmpl w:val="74A8244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5656F13"/>
    <w:multiLevelType w:val="multilevel"/>
    <w:tmpl w:val="75656F13"/>
    <w:lvl w:ilvl="0" w:tentative="0">
      <w:start w:val="1"/>
      <w:numFmt w:val="chineseCountingThousand"/>
      <w:lvlText w:val="(%1)"/>
      <w:lvlJc w:val="left"/>
      <w:pPr>
        <w:tabs>
          <w:tab w:val="left" w:pos="846"/>
        </w:tabs>
        <w:ind w:left="846" w:hanging="42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3">
    <w:nsid w:val="76C069E7"/>
    <w:multiLevelType w:val="multilevel"/>
    <w:tmpl w:val="76C069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77B80EE0"/>
    <w:multiLevelType w:val="multilevel"/>
    <w:tmpl w:val="77B80EE0"/>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05">
    <w:nsid w:val="7827489C"/>
    <w:multiLevelType w:val="multilevel"/>
    <w:tmpl w:val="7827489C"/>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106">
    <w:nsid w:val="7AC82DA7"/>
    <w:multiLevelType w:val="multilevel"/>
    <w:tmpl w:val="7AC82DA7"/>
    <w:lvl w:ilvl="0" w:tentative="0">
      <w:start w:val="1"/>
      <w:numFmt w:val="decimal"/>
      <w:lvlText w:val="%1."/>
      <w:lvlJc w:val="left"/>
      <w:pPr>
        <w:ind w:left="330" w:hanging="33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7D7960D8"/>
    <w:multiLevelType w:val="multilevel"/>
    <w:tmpl w:val="7D7960D8"/>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8">
    <w:nsid w:val="7F511D7D"/>
    <w:multiLevelType w:val="multilevel"/>
    <w:tmpl w:val="7F511D7D"/>
    <w:lvl w:ilvl="0" w:tentative="0">
      <w:start w:val="1"/>
      <w:numFmt w:val="chineseCountingThousand"/>
      <w:lvlText w:val="%1、"/>
      <w:lvlJc w:val="left"/>
      <w:pPr>
        <w:ind w:left="988" w:hanging="420"/>
      </w:pPr>
      <w:rPr>
        <w:rFonts w:hint="eastAsia"/>
        <w:sz w:val="28"/>
        <w:szCs w:val="28"/>
      </w:rPr>
    </w:lvl>
    <w:lvl w:ilvl="1" w:tentative="0">
      <w:start w:val="1"/>
      <w:numFmt w:val="decimal"/>
      <w:isLgl/>
      <w:lvlText w:val="%1.%2"/>
      <w:lvlJc w:val="left"/>
      <w:pPr>
        <w:ind w:left="1528" w:hanging="960"/>
      </w:pPr>
      <w:rPr>
        <w:rFonts w:hint="default"/>
      </w:rPr>
    </w:lvl>
    <w:lvl w:ilvl="2" w:tentative="0">
      <w:start w:val="1"/>
      <w:numFmt w:val="decimal"/>
      <w:isLgl/>
      <w:lvlText w:val="%1.%2.%3"/>
      <w:lvlJc w:val="left"/>
      <w:pPr>
        <w:ind w:left="1528" w:hanging="960"/>
      </w:pPr>
      <w:rPr>
        <w:rFonts w:hint="default"/>
      </w:rPr>
    </w:lvl>
    <w:lvl w:ilvl="3" w:tentative="0">
      <w:start w:val="1"/>
      <w:numFmt w:val="decimal"/>
      <w:isLgl/>
      <w:lvlText w:val="%1.%2.%3.%4"/>
      <w:lvlJc w:val="left"/>
      <w:pPr>
        <w:ind w:left="1648" w:hanging="1080"/>
      </w:pPr>
      <w:rPr>
        <w:rFonts w:hint="default"/>
      </w:rPr>
    </w:lvl>
    <w:lvl w:ilvl="4" w:tentative="0">
      <w:start w:val="1"/>
      <w:numFmt w:val="decimal"/>
      <w:isLgl/>
      <w:lvlText w:val="%1.%2.%3.%4.%5"/>
      <w:lvlJc w:val="left"/>
      <w:pPr>
        <w:ind w:left="1648" w:hanging="1080"/>
      </w:pPr>
      <w:rPr>
        <w:rFonts w:hint="default"/>
      </w:rPr>
    </w:lvl>
    <w:lvl w:ilvl="5" w:tentative="0">
      <w:start w:val="1"/>
      <w:numFmt w:val="decimal"/>
      <w:isLgl/>
      <w:lvlText w:val="%1.%2.%3.%4.%5.%6"/>
      <w:lvlJc w:val="left"/>
      <w:pPr>
        <w:ind w:left="2008" w:hanging="1440"/>
      </w:pPr>
      <w:rPr>
        <w:rFonts w:hint="default"/>
      </w:rPr>
    </w:lvl>
    <w:lvl w:ilvl="6" w:tentative="0">
      <w:start w:val="1"/>
      <w:numFmt w:val="decimal"/>
      <w:isLgl/>
      <w:lvlText w:val="%1.%2.%3.%4.%5.%6.%7"/>
      <w:lvlJc w:val="left"/>
      <w:pPr>
        <w:ind w:left="2368" w:hanging="1800"/>
      </w:pPr>
      <w:rPr>
        <w:rFonts w:hint="default"/>
      </w:rPr>
    </w:lvl>
    <w:lvl w:ilvl="7" w:tentative="0">
      <w:start w:val="1"/>
      <w:numFmt w:val="decimal"/>
      <w:isLgl/>
      <w:lvlText w:val="%1.%2.%3.%4.%5.%6.%7.%8"/>
      <w:lvlJc w:val="left"/>
      <w:pPr>
        <w:ind w:left="2368" w:hanging="1800"/>
      </w:pPr>
      <w:rPr>
        <w:rFonts w:hint="default"/>
      </w:rPr>
    </w:lvl>
    <w:lvl w:ilvl="8" w:tentative="0">
      <w:start w:val="1"/>
      <w:numFmt w:val="decimal"/>
      <w:isLgl/>
      <w:lvlText w:val="%1.%2.%3.%4.%5.%6.%7.%8.%9"/>
      <w:lvlJc w:val="left"/>
      <w:pPr>
        <w:ind w:left="2728" w:hanging="2160"/>
      </w:pPr>
      <w:rPr>
        <w:rFonts w:hint="default"/>
      </w:rPr>
    </w:lvl>
  </w:abstractNum>
  <w:num w:numId="1">
    <w:abstractNumId w:val="20"/>
  </w:num>
  <w:num w:numId="2">
    <w:abstractNumId w:val="25"/>
  </w:num>
  <w:num w:numId="3">
    <w:abstractNumId w:val="18"/>
  </w:num>
  <w:num w:numId="4">
    <w:abstractNumId w:val="24"/>
  </w:num>
  <w:num w:numId="5">
    <w:abstractNumId w:val="27"/>
  </w:num>
  <w:num w:numId="6">
    <w:abstractNumId w:val="108"/>
  </w:num>
  <w:num w:numId="7">
    <w:abstractNumId w:val="73"/>
  </w:num>
  <w:num w:numId="8">
    <w:abstractNumId w:val="8"/>
  </w:num>
  <w:num w:numId="9">
    <w:abstractNumId w:val="15"/>
  </w:num>
  <w:num w:numId="10">
    <w:abstractNumId w:val="12"/>
  </w:num>
  <w:num w:numId="11">
    <w:abstractNumId w:val="33"/>
  </w:num>
  <w:num w:numId="12">
    <w:abstractNumId w:val="23"/>
  </w:num>
  <w:num w:numId="13">
    <w:abstractNumId w:val="104"/>
  </w:num>
  <w:num w:numId="14">
    <w:abstractNumId w:val="59"/>
  </w:num>
  <w:num w:numId="15">
    <w:abstractNumId w:val="5"/>
  </w:num>
  <w:num w:numId="16">
    <w:abstractNumId w:val="4"/>
  </w:num>
  <w:num w:numId="17">
    <w:abstractNumId w:val="66"/>
  </w:num>
  <w:num w:numId="18">
    <w:abstractNumId w:val="13"/>
  </w:num>
  <w:num w:numId="19">
    <w:abstractNumId w:val="21"/>
  </w:num>
  <w:num w:numId="20">
    <w:abstractNumId w:val="14"/>
  </w:num>
  <w:num w:numId="21">
    <w:abstractNumId w:val="19"/>
  </w:num>
  <w:num w:numId="22">
    <w:abstractNumId w:val="26"/>
  </w:num>
  <w:num w:numId="23">
    <w:abstractNumId w:val="17"/>
  </w:num>
  <w:num w:numId="24">
    <w:abstractNumId w:val="22"/>
  </w:num>
  <w:num w:numId="25">
    <w:abstractNumId w:val="61"/>
  </w:num>
  <w:num w:numId="26">
    <w:abstractNumId w:val="55"/>
  </w:num>
  <w:num w:numId="27">
    <w:abstractNumId w:val="90"/>
  </w:num>
  <w:num w:numId="28">
    <w:abstractNumId w:val="11"/>
  </w:num>
  <w:num w:numId="29">
    <w:abstractNumId w:val="50"/>
  </w:num>
  <w:num w:numId="30">
    <w:abstractNumId w:val="10"/>
  </w:num>
  <w:num w:numId="31">
    <w:abstractNumId w:val="16"/>
  </w:num>
  <w:num w:numId="32">
    <w:abstractNumId w:val="9"/>
  </w:num>
  <w:num w:numId="33">
    <w:abstractNumId w:val="28"/>
  </w:num>
  <w:num w:numId="34">
    <w:abstractNumId w:val="75"/>
  </w:num>
  <w:num w:numId="35">
    <w:abstractNumId w:val="1"/>
  </w:num>
  <w:num w:numId="36">
    <w:abstractNumId w:val="83"/>
  </w:num>
  <w:num w:numId="37">
    <w:abstractNumId w:val="82"/>
  </w:num>
  <w:num w:numId="38">
    <w:abstractNumId w:val="7"/>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7"/>
  </w:num>
  <w:num w:numId="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60"/>
  </w:num>
  <w:num w:numId="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70"/>
  </w:num>
  <w:num w:numId="58">
    <w:abstractNumId w:val="101"/>
  </w:num>
  <w:num w:numId="59">
    <w:abstractNumId w:val="79"/>
  </w:num>
  <w:num w:numId="60">
    <w:abstractNumId w:val="103"/>
  </w:num>
  <w:num w:numId="61">
    <w:abstractNumId w:val="86"/>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num>
  <w:num w:numId="66">
    <w:abstractNumId w:val="65"/>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num>
  <w:num w:numId="70">
    <w:abstractNumId w:val="81"/>
  </w:num>
  <w:num w:numId="71">
    <w:abstractNumId w:val="96"/>
  </w:num>
  <w:num w:numId="72">
    <w:abstractNumId w:val="35"/>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num>
  <w:num w:numId="77">
    <w:abstractNumId w:val="71"/>
  </w:num>
  <w:num w:numId="78">
    <w:abstractNumId w:val="80"/>
  </w:num>
  <w:num w:numId="79">
    <w:abstractNumId w:val="34"/>
  </w:num>
  <w:num w:numId="80">
    <w:abstractNumId w:val="36"/>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8"/>
  </w:num>
  <w:num w:numId="92">
    <w:abstractNumId w:val="56"/>
  </w:num>
  <w:num w:numId="93">
    <w:abstractNumId w:val="3"/>
  </w:num>
  <w:num w:numId="94">
    <w:abstractNumId w:val="2"/>
  </w:num>
  <w:num w:numId="95">
    <w:abstractNumId w:val="89"/>
  </w:num>
  <w:num w:numId="96">
    <w:abstractNumId w:val="0"/>
  </w:num>
  <w:num w:numId="97">
    <w:abstractNumId w:val="84"/>
  </w:num>
  <w:num w:numId="98">
    <w:abstractNumId w:val="51"/>
  </w:num>
  <w:num w:numId="99">
    <w:abstractNumId w:val="102"/>
  </w:num>
  <w:num w:numId="100">
    <w:abstractNumId w:val="76"/>
  </w:num>
  <w:num w:numId="101">
    <w:abstractNumId w:val="31"/>
  </w:num>
  <w:num w:numId="102">
    <w:abstractNumId w:val="37"/>
  </w:num>
  <w:num w:numId="103">
    <w:abstractNumId w:val="91"/>
  </w:num>
  <w:num w:numId="104">
    <w:abstractNumId w:val="42"/>
  </w:num>
  <w:num w:numId="105">
    <w:abstractNumId w:val="6"/>
  </w:num>
  <w:num w:numId="106">
    <w:abstractNumId w:val="72"/>
  </w:num>
  <w:num w:numId="107">
    <w:abstractNumId w:val="107"/>
  </w:num>
  <w:num w:numId="108">
    <w:abstractNumId w:val="74"/>
  </w:num>
  <w:num w:numId="10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2CB"/>
    <w:rsid w:val="000156AD"/>
    <w:rsid w:val="000200B4"/>
    <w:rsid w:val="000207D4"/>
    <w:rsid w:val="000226A4"/>
    <w:rsid w:val="000238B7"/>
    <w:rsid w:val="00032575"/>
    <w:rsid w:val="000410F9"/>
    <w:rsid w:val="000501B5"/>
    <w:rsid w:val="00052B7D"/>
    <w:rsid w:val="00066B4E"/>
    <w:rsid w:val="0006736C"/>
    <w:rsid w:val="000A5AA8"/>
    <w:rsid w:val="000A5F1F"/>
    <w:rsid w:val="000C47F3"/>
    <w:rsid w:val="000D12D6"/>
    <w:rsid w:val="000E59E9"/>
    <w:rsid w:val="00102259"/>
    <w:rsid w:val="001069BD"/>
    <w:rsid w:val="00114612"/>
    <w:rsid w:val="00116B29"/>
    <w:rsid w:val="00125133"/>
    <w:rsid w:val="00143A31"/>
    <w:rsid w:val="00144B44"/>
    <w:rsid w:val="0017033B"/>
    <w:rsid w:val="00176C79"/>
    <w:rsid w:val="001830EF"/>
    <w:rsid w:val="00197E2F"/>
    <w:rsid w:val="001A06EE"/>
    <w:rsid w:val="001A0ADC"/>
    <w:rsid w:val="001A117F"/>
    <w:rsid w:val="001A4E6D"/>
    <w:rsid w:val="001B4C8F"/>
    <w:rsid w:val="001D53F3"/>
    <w:rsid w:val="001E0975"/>
    <w:rsid w:val="00221127"/>
    <w:rsid w:val="002264FC"/>
    <w:rsid w:val="00232643"/>
    <w:rsid w:val="00235314"/>
    <w:rsid w:val="00240C75"/>
    <w:rsid w:val="00242809"/>
    <w:rsid w:val="00245B20"/>
    <w:rsid w:val="00250974"/>
    <w:rsid w:val="00257873"/>
    <w:rsid w:val="00260846"/>
    <w:rsid w:val="00280086"/>
    <w:rsid w:val="00280E79"/>
    <w:rsid w:val="0028371A"/>
    <w:rsid w:val="002B0F28"/>
    <w:rsid w:val="002B718C"/>
    <w:rsid w:val="002C4012"/>
    <w:rsid w:val="002E26C7"/>
    <w:rsid w:val="00303250"/>
    <w:rsid w:val="00313575"/>
    <w:rsid w:val="003245FB"/>
    <w:rsid w:val="00347852"/>
    <w:rsid w:val="0035587A"/>
    <w:rsid w:val="00356E1C"/>
    <w:rsid w:val="00362AA1"/>
    <w:rsid w:val="00372A08"/>
    <w:rsid w:val="003839B8"/>
    <w:rsid w:val="00386933"/>
    <w:rsid w:val="00387B8D"/>
    <w:rsid w:val="003916C8"/>
    <w:rsid w:val="00392ADC"/>
    <w:rsid w:val="003B1902"/>
    <w:rsid w:val="003C19D3"/>
    <w:rsid w:val="003C6E48"/>
    <w:rsid w:val="003E12AE"/>
    <w:rsid w:val="003F045B"/>
    <w:rsid w:val="003F3FA7"/>
    <w:rsid w:val="004000BA"/>
    <w:rsid w:val="00405A89"/>
    <w:rsid w:val="00431CA6"/>
    <w:rsid w:val="004408F1"/>
    <w:rsid w:val="00453A5E"/>
    <w:rsid w:val="00453D56"/>
    <w:rsid w:val="004673FA"/>
    <w:rsid w:val="0047511A"/>
    <w:rsid w:val="004770FF"/>
    <w:rsid w:val="004774C3"/>
    <w:rsid w:val="00477A39"/>
    <w:rsid w:val="00482209"/>
    <w:rsid w:val="00486336"/>
    <w:rsid w:val="0049090F"/>
    <w:rsid w:val="004A30EE"/>
    <w:rsid w:val="004D1030"/>
    <w:rsid w:val="004E0065"/>
    <w:rsid w:val="004F749D"/>
    <w:rsid w:val="00511F18"/>
    <w:rsid w:val="00512451"/>
    <w:rsid w:val="00515E24"/>
    <w:rsid w:val="0054416F"/>
    <w:rsid w:val="005661E1"/>
    <w:rsid w:val="00575B7C"/>
    <w:rsid w:val="00584116"/>
    <w:rsid w:val="00586D8D"/>
    <w:rsid w:val="005C08EA"/>
    <w:rsid w:val="005C564F"/>
    <w:rsid w:val="005E3BFB"/>
    <w:rsid w:val="00606719"/>
    <w:rsid w:val="00620431"/>
    <w:rsid w:val="00641E74"/>
    <w:rsid w:val="00642F86"/>
    <w:rsid w:val="00657168"/>
    <w:rsid w:val="006814CB"/>
    <w:rsid w:val="00686319"/>
    <w:rsid w:val="00691B42"/>
    <w:rsid w:val="006B02E7"/>
    <w:rsid w:val="006C33A6"/>
    <w:rsid w:val="00713A3D"/>
    <w:rsid w:val="0071665E"/>
    <w:rsid w:val="00727251"/>
    <w:rsid w:val="00736593"/>
    <w:rsid w:val="0075032A"/>
    <w:rsid w:val="0075694A"/>
    <w:rsid w:val="00757E2C"/>
    <w:rsid w:val="00763CCA"/>
    <w:rsid w:val="007656CB"/>
    <w:rsid w:val="0076744F"/>
    <w:rsid w:val="00792C18"/>
    <w:rsid w:val="00792EBB"/>
    <w:rsid w:val="007A72F1"/>
    <w:rsid w:val="007B38F9"/>
    <w:rsid w:val="007B79C5"/>
    <w:rsid w:val="007C5D22"/>
    <w:rsid w:val="0082062C"/>
    <w:rsid w:val="0083719E"/>
    <w:rsid w:val="00846939"/>
    <w:rsid w:val="0086062F"/>
    <w:rsid w:val="00866997"/>
    <w:rsid w:val="00871E38"/>
    <w:rsid w:val="0087325C"/>
    <w:rsid w:val="00887D7D"/>
    <w:rsid w:val="00887D8F"/>
    <w:rsid w:val="008926E5"/>
    <w:rsid w:val="008B0C44"/>
    <w:rsid w:val="008B185A"/>
    <w:rsid w:val="008B5661"/>
    <w:rsid w:val="008D440A"/>
    <w:rsid w:val="008D52CB"/>
    <w:rsid w:val="008E0E42"/>
    <w:rsid w:val="008E1055"/>
    <w:rsid w:val="008F3FC6"/>
    <w:rsid w:val="00914D15"/>
    <w:rsid w:val="00920871"/>
    <w:rsid w:val="00933818"/>
    <w:rsid w:val="00933B98"/>
    <w:rsid w:val="00934EFD"/>
    <w:rsid w:val="009432B6"/>
    <w:rsid w:val="00956E22"/>
    <w:rsid w:val="00960659"/>
    <w:rsid w:val="00965D34"/>
    <w:rsid w:val="00974E3A"/>
    <w:rsid w:val="009A4595"/>
    <w:rsid w:val="009A465B"/>
    <w:rsid w:val="009B035A"/>
    <w:rsid w:val="009B7514"/>
    <w:rsid w:val="009C2B61"/>
    <w:rsid w:val="009D654D"/>
    <w:rsid w:val="009E24AE"/>
    <w:rsid w:val="00A128D1"/>
    <w:rsid w:val="00A14021"/>
    <w:rsid w:val="00A21F93"/>
    <w:rsid w:val="00A22803"/>
    <w:rsid w:val="00A9208C"/>
    <w:rsid w:val="00AA2D5E"/>
    <w:rsid w:val="00AA3F72"/>
    <w:rsid w:val="00AA7CD1"/>
    <w:rsid w:val="00AE34F4"/>
    <w:rsid w:val="00AF3BDA"/>
    <w:rsid w:val="00AF426E"/>
    <w:rsid w:val="00AF5C9D"/>
    <w:rsid w:val="00B06D97"/>
    <w:rsid w:val="00B139A1"/>
    <w:rsid w:val="00B1592C"/>
    <w:rsid w:val="00B1696B"/>
    <w:rsid w:val="00B34631"/>
    <w:rsid w:val="00B35C82"/>
    <w:rsid w:val="00B50E6E"/>
    <w:rsid w:val="00B537D0"/>
    <w:rsid w:val="00B561D1"/>
    <w:rsid w:val="00B70C8A"/>
    <w:rsid w:val="00B86FBA"/>
    <w:rsid w:val="00B93716"/>
    <w:rsid w:val="00B955AB"/>
    <w:rsid w:val="00BA64BA"/>
    <w:rsid w:val="00BB6C8B"/>
    <w:rsid w:val="00BC0B1C"/>
    <w:rsid w:val="00BE3800"/>
    <w:rsid w:val="00BF0CBE"/>
    <w:rsid w:val="00BF7A48"/>
    <w:rsid w:val="00C202C2"/>
    <w:rsid w:val="00C24FAF"/>
    <w:rsid w:val="00C36204"/>
    <w:rsid w:val="00C36F21"/>
    <w:rsid w:val="00C51317"/>
    <w:rsid w:val="00C536C8"/>
    <w:rsid w:val="00C536D6"/>
    <w:rsid w:val="00C61F09"/>
    <w:rsid w:val="00C62778"/>
    <w:rsid w:val="00C76FFF"/>
    <w:rsid w:val="00CA0A06"/>
    <w:rsid w:val="00CB012B"/>
    <w:rsid w:val="00CC498A"/>
    <w:rsid w:val="00CC69EE"/>
    <w:rsid w:val="00CD48BA"/>
    <w:rsid w:val="00CE17FF"/>
    <w:rsid w:val="00CF2AD2"/>
    <w:rsid w:val="00D029C1"/>
    <w:rsid w:val="00D03955"/>
    <w:rsid w:val="00D07456"/>
    <w:rsid w:val="00D10DCD"/>
    <w:rsid w:val="00D34B9A"/>
    <w:rsid w:val="00D55E52"/>
    <w:rsid w:val="00D6562A"/>
    <w:rsid w:val="00D72D3F"/>
    <w:rsid w:val="00D8163A"/>
    <w:rsid w:val="00D82AE3"/>
    <w:rsid w:val="00D90CC1"/>
    <w:rsid w:val="00DC3BD0"/>
    <w:rsid w:val="00DD7027"/>
    <w:rsid w:val="00DE400C"/>
    <w:rsid w:val="00DE45D7"/>
    <w:rsid w:val="00E5726F"/>
    <w:rsid w:val="00E979EF"/>
    <w:rsid w:val="00EB4A93"/>
    <w:rsid w:val="00EB665E"/>
    <w:rsid w:val="00EC674D"/>
    <w:rsid w:val="00ED0C8F"/>
    <w:rsid w:val="00EF5B46"/>
    <w:rsid w:val="00F05307"/>
    <w:rsid w:val="00F058BA"/>
    <w:rsid w:val="00F06305"/>
    <w:rsid w:val="00F10D92"/>
    <w:rsid w:val="00F1160F"/>
    <w:rsid w:val="00F15559"/>
    <w:rsid w:val="00F36EF2"/>
    <w:rsid w:val="00F400E9"/>
    <w:rsid w:val="00F4197F"/>
    <w:rsid w:val="00F63AB4"/>
    <w:rsid w:val="00F70E35"/>
    <w:rsid w:val="00FB1CBF"/>
    <w:rsid w:val="00FC4097"/>
    <w:rsid w:val="00FC6C6E"/>
    <w:rsid w:val="00FD05DC"/>
    <w:rsid w:val="00FE739B"/>
    <w:rsid w:val="00FE7EE0"/>
    <w:rsid w:val="00FF04F9"/>
    <w:rsid w:val="023256EF"/>
    <w:rsid w:val="02AF4958"/>
    <w:rsid w:val="034A0471"/>
    <w:rsid w:val="03D10FD5"/>
    <w:rsid w:val="04393CF4"/>
    <w:rsid w:val="063E3348"/>
    <w:rsid w:val="06955C83"/>
    <w:rsid w:val="06FB2014"/>
    <w:rsid w:val="09577131"/>
    <w:rsid w:val="09E34DC1"/>
    <w:rsid w:val="0A032EA3"/>
    <w:rsid w:val="0AEF5005"/>
    <w:rsid w:val="0BC92CBE"/>
    <w:rsid w:val="0BCA6561"/>
    <w:rsid w:val="0C3E2316"/>
    <w:rsid w:val="0D2A703E"/>
    <w:rsid w:val="0DBB112F"/>
    <w:rsid w:val="0E4C2948"/>
    <w:rsid w:val="0E68039A"/>
    <w:rsid w:val="0EC37C7E"/>
    <w:rsid w:val="0EE3207E"/>
    <w:rsid w:val="0FDC6610"/>
    <w:rsid w:val="11970172"/>
    <w:rsid w:val="12156E58"/>
    <w:rsid w:val="12353814"/>
    <w:rsid w:val="14BA5B36"/>
    <w:rsid w:val="158825D9"/>
    <w:rsid w:val="15F67455"/>
    <w:rsid w:val="15F82EA9"/>
    <w:rsid w:val="16065C77"/>
    <w:rsid w:val="168B2FF9"/>
    <w:rsid w:val="17580B08"/>
    <w:rsid w:val="17A31547"/>
    <w:rsid w:val="1816173C"/>
    <w:rsid w:val="184325B8"/>
    <w:rsid w:val="18455052"/>
    <w:rsid w:val="184F65C3"/>
    <w:rsid w:val="19100920"/>
    <w:rsid w:val="1A8A676E"/>
    <w:rsid w:val="1BCC18FB"/>
    <w:rsid w:val="1CB71A2B"/>
    <w:rsid w:val="211105FE"/>
    <w:rsid w:val="212238C9"/>
    <w:rsid w:val="21F867E0"/>
    <w:rsid w:val="23283E7D"/>
    <w:rsid w:val="232A6F8F"/>
    <w:rsid w:val="2399231F"/>
    <w:rsid w:val="2488267E"/>
    <w:rsid w:val="24972465"/>
    <w:rsid w:val="256B5B28"/>
    <w:rsid w:val="27B33916"/>
    <w:rsid w:val="28F17C87"/>
    <w:rsid w:val="29F73989"/>
    <w:rsid w:val="2A0C0DB3"/>
    <w:rsid w:val="2A7456E8"/>
    <w:rsid w:val="2C875CDB"/>
    <w:rsid w:val="2CC6624E"/>
    <w:rsid w:val="2CCE4C7B"/>
    <w:rsid w:val="2CF45DD4"/>
    <w:rsid w:val="2D360256"/>
    <w:rsid w:val="2DE5367A"/>
    <w:rsid w:val="2E03084F"/>
    <w:rsid w:val="2E6D731B"/>
    <w:rsid w:val="2E9E396B"/>
    <w:rsid w:val="2FAD1ED3"/>
    <w:rsid w:val="2FDE6C6C"/>
    <w:rsid w:val="31C83C51"/>
    <w:rsid w:val="33F05273"/>
    <w:rsid w:val="344A6D7B"/>
    <w:rsid w:val="34F50FA3"/>
    <w:rsid w:val="3584578A"/>
    <w:rsid w:val="35E2076D"/>
    <w:rsid w:val="38C750F6"/>
    <w:rsid w:val="390E65AC"/>
    <w:rsid w:val="3A8078CA"/>
    <w:rsid w:val="3DDE12AB"/>
    <w:rsid w:val="3E0A454D"/>
    <w:rsid w:val="3E0E594F"/>
    <w:rsid w:val="3E340798"/>
    <w:rsid w:val="400C7C55"/>
    <w:rsid w:val="403841E6"/>
    <w:rsid w:val="40B756E2"/>
    <w:rsid w:val="410F5832"/>
    <w:rsid w:val="42C73EA6"/>
    <w:rsid w:val="437121A9"/>
    <w:rsid w:val="43B649E9"/>
    <w:rsid w:val="43C138BB"/>
    <w:rsid w:val="46FE588B"/>
    <w:rsid w:val="475C6536"/>
    <w:rsid w:val="47766D22"/>
    <w:rsid w:val="4905782F"/>
    <w:rsid w:val="49F931F5"/>
    <w:rsid w:val="4C692889"/>
    <w:rsid w:val="4CA7465F"/>
    <w:rsid w:val="4D485E52"/>
    <w:rsid w:val="4D5023A9"/>
    <w:rsid w:val="4D6B0C0D"/>
    <w:rsid w:val="4ED84C6A"/>
    <w:rsid w:val="4F5D7CDB"/>
    <w:rsid w:val="50663936"/>
    <w:rsid w:val="50685603"/>
    <w:rsid w:val="52357A8E"/>
    <w:rsid w:val="531D2A8F"/>
    <w:rsid w:val="5472440B"/>
    <w:rsid w:val="54BB4973"/>
    <w:rsid w:val="54D84550"/>
    <w:rsid w:val="553D1833"/>
    <w:rsid w:val="55576498"/>
    <w:rsid w:val="55C0072B"/>
    <w:rsid w:val="568B133B"/>
    <w:rsid w:val="58EC24CE"/>
    <w:rsid w:val="59854EBB"/>
    <w:rsid w:val="5A7D5A07"/>
    <w:rsid w:val="5AC32FA4"/>
    <w:rsid w:val="5B176E51"/>
    <w:rsid w:val="5B3B1175"/>
    <w:rsid w:val="5DB06C11"/>
    <w:rsid w:val="5E2F107A"/>
    <w:rsid w:val="5E43197A"/>
    <w:rsid w:val="5E5E30FA"/>
    <w:rsid w:val="5FA21EFA"/>
    <w:rsid w:val="5FF85CD1"/>
    <w:rsid w:val="60A36745"/>
    <w:rsid w:val="60E90F25"/>
    <w:rsid w:val="63DB2A40"/>
    <w:rsid w:val="641D0E5D"/>
    <w:rsid w:val="65A5733D"/>
    <w:rsid w:val="66847A6B"/>
    <w:rsid w:val="66D10093"/>
    <w:rsid w:val="67892427"/>
    <w:rsid w:val="67D83771"/>
    <w:rsid w:val="67E772A0"/>
    <w:rsid w:val="681D3492"/>
    <w:rsid w:val="68ED5C84"/>
    <w:rsid w:val="6B4711B1"/>
    <w:rsid w:val="6C80719E"/>
    <w:rsid w:val="6CC43FEF"/>
    <w:rsid w:val="6D0867F4"/>
    <w:rsid w:val="6D555CBD"/>
    <w:rsid w:val="6E4C6672"/>
    <w:rsid w:val="6ECE4FFB"/>
    <w:rsid w:val="6FAD5BF8"/>
    <w:rsid w:val="6FC272B7"/>
    <w:rsid w:val="6FEE7B82"/>
    <w:rsid w:val="71B85E9B"/>
    <w:rsid w:val="72E04F92"/>
    <w:rsid w:val="72EA74FD"/>
    <w:rsid w:val="73903B7C"/>
    <w:rsid w:val="74B343B0"/>
    <w:rsid w:val="74FF4E33"/>
    <w:rsid w:val="75FA72CE"/>
    <w:rsid w:val="77512404"/>
    <w:rsid w:val="775924C8"/>
    <w:rsid w:val="7887581C"/>
    <w:rsid w:val="78B335BA"/>
    <w:rsid w:val="7AD90587"/>
    <w:rsid w:val="7B005CDB"/>
    <w:rsid w:val="7B3A18A8"/>
    <w:rsid w:val="7B7F37C4"/>
    <w:rsid w:val="7C377254"/>
    <w:rsid w:val="7CEF2757"/>
    <w:rsid w:val="7D975A63"/>
    <w:rsid w:val="7DA71936"/>
    <w:rsid w:val="7E5204FD"/>
    <w:rsid w:val="7F126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51"/>
    <w:qFormat/>
    <w:uiPriority w:val="0"/>
    <w:pPr>
      <w:keepNext/>
      <w:keepLines/>
      <w:numPr>
        <w:ilvl w:val="0"/>
        <w:numId w:val="1"/>
      </w:numPr>
      <w:spacing w:before="340" w:after="330" w:line="400" w:lineRule="exact"/>
      <w:jc w:val="center"/>
      <w:outlineLvl w:val="0"/>
    </w:pPr>
    <w:rPr>
      <w:rFonts w:ascii="宋体" w:hAnsi="宋体"/>
      <w:b/>
      <w:bCs/>
      <w:spacing w:val="-20"/>
      <w:kern w:val="44"/>
      <w:sz w:val="32"/>
      <w:szCs w:val="32"/>
    </w:rPr>
  </w:style>
  <w:style w:type="paragraph" w:styleId="2">
    <w:name w:val="heading 2"/>
    <w:basedOn w:val="1"/>
    <w:next w:val="1"/>
    <w:link w:val="50"/>
    <w:qFormat/>
    <w:uiPriority w:val="0"/>
    <w:pPr>
      <w:keepNext/>
      <w:keepLines/>
      <w:numPr>
        <w:ilvl w:val="1"/>
        <w:numId w:val="1"/>
      </w:numPr>
      <w:spacing w:before="260" w:after="260" w:line="360" w:lineRule="auto"/>
      <w:jc w:val="left"/>
      <w:outlineLvl w:val="1"/>
    </w:pPr>
    <w:rPr>
      <w:rFonts w:ascii="宋体" w:hAnsi="宋体"/>
      <w:b/>
      <w:bCs/>
      <w:sz w:val="28"/>
      <w:szCs w:val="28"/>
    </w:rPr>
  </w:style>
  <w:style w:type="paragraph" w:styleId="4">
    <w:name w:val="heading 3"/>
    <w:basedOn w:val="1"/>
    <w:next w:val="1"/>
    <w:link w:val="52"/>
    <w:qFormat/>
    <w:uiPriority w:val="0"/>
    <w:pPr>
      <w:keepNext/>
      <w:keepLines/>
      <w:numPr>
        <w:ilvl w:val="2"/>
        <w:numId w:val="1"/>
      </w:numPr>
      <w:spacing w:line="360" w:lineRule="auto"/>
      <w:outlineLvl w:val="2"/>
    </w:pPr>
    <w:rPr>
      <w:rFonts w:ascii="宋体" w:hAnsi="宋体"/>
      <w:b/>
      <w:bCs/>
      <w:color w:val="000000"/>
      <w:kern w:val="0"/>
      <w:sz w:val="28"/>
      <w:szCs w:val="28"/>
    </w:rPr>
  </w:style>
  <w:style w:type="paragraph" w:styleId="5">
    <w:name w:val="heading 4"/>
    <w:basedOn w:val="1"/>
    <w:next w:val="1"/>
    <w:link w:val="53"/>
    <w:qFormat/>
    <w:uiPriority w:val="0"/>
    <w:pPr>
      <w:keepNext/>
      <w:keepLines/>
      <w:spacing w:before="120" w:after="120" w:line="360" w:lineRule="auto"/>
      <w:ind w:left="918" w:hanging="708"/>
      <w:jc w:val="left"/>
      <w:outlineLvl w:val="3"/>
    </w:pPr>
    <w:rPr>
      <w:rFonts w:ascii="Arial" w:hAnsi="Arial"/>
      <w:b/>
      <w:bCs/>
      <w:kern w:val="0"/>
      <w:sz w:val="28"/>
      <w:szCs w:val="28"/>
    </w:rPr>
  </w:style>
  <w:style w:type="paragraph" w:styleId="6">
    <w:name w:val="heading 5"/>
    <w:basedOn w:val="1"/>
    <w:next w:val="1"/>
    <w:link w:val="54"/>
    <w:qFormat/>
    <w:uiPriority w:val="0"/>
    <w:pPr>
      <w:tabs>
        <w:tab w:val="left" w:pos="1134"/>
      </w:tabs>
      <w:spacing w:before="280" w:after="290" w:line="360" w:lineRule="auto"/>
      <w:ind w:left="1560" w:hanging="992"/>
      <w:outlineLvl w:val="4"/>
    </w:pPr>
    <w:rPr>
      <w:rFonts w:ascii="Calibri" w:hAnsi="Calibri"/>
      <w:b/>
      <w:bCs/>
      <w:kern w:val="0"/>
      <w:sz w:val="28"/>
      <w:szCs w:val="28"/>
    </w:rPr>
  </w:style>
  <w:style w:type="paragraph" w:styleId="7">
    <w:name w:val="heading 6"/>
    <w:basedOn w:val="1"/>
    <w:next w:val="1"/>
    <w:link w:val="55"/>
    <w:qFormat/>
    <w:uiPriority w:val="0"/>
    <w:pPr>
      <w:keepNext/>
      <w:keepLines/>
      <w:tabs>
        <w:tab w:val="left" w:pos="1702"/>
      </w:tabs>
      <w:spacing w:before="240" w:after="64" w:line="316" w:lineRule="auto"/>
      <w:ind w:left="1702" w:hanging="1134"/>
      <w:outlineLvl w:val="5"/>
    </w:pPr>
    <w:rPr>
      <w:rFonts w:ascii="Arial" w:hAnsi="Arial"/>
      <w:b/>
      <w:bCs/>
      <w:kern w:val="0"/>
      <w:sz w:val="28"/>
      <w:szCs w:val="18"/>
    </w:rPr>
  </w:style>
  <w:style w:type="paragraph" w:styleId="8">
    <w:name w:val="heading 7"/>
    <w:basedOn w:val="1"/>
    <w:next w:val="1"/>
    <w:link w:val="56"/>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qFormat/>
    <w:uiPriority w:val="0"/>
    <w:pPr>
      <w:keepNext/>
      <w:keepLines/>
      <w:spacing w:before="240" w:after="64" w:line="316" w:lineRule="auto"/>
      <w:outlineLvl w:val="7"/>
    </w:pPr>
    <w:rPr>
      <w:rFonts w:ascii="Arial" w:hAnsi="Arial" w:eastAsia="黑体"/>
      <w:kern w:val="0"/>
      <w:sz w:val="24"/>
      <w:szCs w:val="24"/>
    </w:rPr>
  </w:style>
  <w:style w:type="paragraph" w:styleId="10">
    <w:name w:val="heading 9"/>
    <w:basedOn w:val="1"/>
    <w:next w:val="1"/>
    <w:link w:val="58"/>
    <w:qFormat/>
    <w:uiPriority w:val="0"/>
    <w:pPr>
      <w:keepNext/>
      <w:keepLines/>
      <w:spacing w:before="240" w:after="64" w:line="316" w:lineRule="auto"/>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szCs w:val="24"/>
    </w:rPr>
  </w:style>
  <w:style w:type="paragraph" w:styleId="12">
    <w:name w:val="Normal Indent"/>
    <w:basedOn w:val="1"/>
    <w:link w:val="59"/>
    <w:qFormat/>
    <w:uiPriority w:val="0"/>
    <w:pPr>
      <w:spacing w:after="180" w:line="309" w:lineRule="auto"/>
      <w:ind w:firstLine="420"/>
    </w:pPr>
    <w:rPr>
      <w:szCs w:val="20"/>
    </w:rPr>
  </w:style>
  <w:style w:type="paragraph" w:styleId="13">
    <w:name w:val="caption"/>
    <w:basedOn w:val="1"/>
    <w:next w:val="1"/>
    <w:qFormat/>
    <w:uiPriority w:val="0"/>
    <w:pPr>
      <w:spacing w:before="152" w:after="160" w:line="360" w:lineRule="auto"/>
    </w:pPr>
    <w:rPr>
      <w:rFonts w:ascii="Arial" w:hAnsi="Arial" w:eastAsia="黑体" w:cs="Arial"/>
      <w:sz w:val="20"/>
      <w:szCs w:val="20"/>
    </w:rPr>
  </w:style>
  <w:style w:type="paragraph" w:styleId="14">
    <w:name w:val="Document Map"/>
    <w:basedOn w:val="1"/>
    <w:link w:val="60"/>
    <w:qFormat/>
    <w:uiPriority w:val="0"/>
    <w:pPr>
      <w:shd w:val="clear" w:color="auto" w:fill="000080"/>
    </w:pPr>
    <w:rPr>
      <w:kern w:val="0"/>
      <w:sz w:val="18"/>
      <w:szCs w:val="18"/>
    </w:rPr>
  </w:style>
  <w:style w:type="paragraph" w:styleId="15">
    <w:name w:val="annotation text"/>
    <w:basedOn w:val="1"/>
    <w:link w:val="61"/>
    <w:unhideWhenUsed/>
    <w:qFormat/>
    <w:uiPriority w:val="0"/>
    <w:pPr>
      <w:jc w:val="left"/>
    </w:pPr>
    <w:rPr>
      <w:rFonts w:ascii="Calibri" w:hAnsi="Calibri"/>
      <w:kern w:val="0"/>
      <w:sz w:val="20"/>
      <w:szCs w:val="20"/>
    </w:rPr>
  </w:style>
  <w:style w:type="paragraph" w:styleId="16">
    <w:name w:val="Body Text 3"/>
    <w:basedOn w:val="1"/>
    <w:link w:val="62"/>
    <w:qFormat/>
    <w:uiPriority w:val="0"/>
    <w:pPr>
      <w:jc w:val="center"/>
    </w:pPr>
    <w:rPr>
      <w:rFonts w:eastAsia="黑体"/>
      <w:kern w:val="0"/>
      <w:sz w:val="44"/>
      <w:szCs w:val="24"/>
    </w:rPr>
  </w:style>
  <w:style w:type="paragraph" w:styleId="17">
    <w:name w:val="Body Text"/>
    <w:basedOn w:val="1"/>
    <w:next w:val="18"/>
    <w:link w:val="63"/>
    <w:unhideWhenUsed/>
    <w:qFormat/>
    <w:uiPriority w:val="0"/>
    <w:pPr>
      <w:spacing w:after="120"/>
    </w:pPr>
    <w:rPr>
      <w:rFonts w:ascii="Calibri" w:hAnsi="Calibri"/>
      <w:kern w:val="0"/>
      <w:sz w:val="20"/>
      <w:szCs w:val="20"/>
    </w:rPr>
  </w:style>
  <w:style w:type="paragraph" w:styleId="18">
    <w:name w:val="Body Text First Indent"/>
    <w:basedOn w:val="17"/>
    <w:link w:val="64"/>
    <w:qFormat/>
    <w:uiPriority w:val="0"/>
    <w:pPr>
      <w:ind w:firstLine="420" w:firstLineChars="100"/>
    </w:pPr>
    <w:rPr>
      <w:rFonts w:ascii="Times New Roman" w:hAnsi="Times New Roman"/>
      <w:sz w:val="18"/>
      <w:szCs w:val="18"/>
    </w:rPr>
  </w:style>
  <w:style w:type="paragraph" w:styleId="19">
    <w:name w:val="Body Text Indent"/>
    <w:basedOn w:val="1"/>
    <w:link w:val="65"/>
    <w:qFormat/>
    <w:uiPriority w:val="0"/>
    <w:pPr>
      <w:spacing w:after="120"/>
      <w:ind w:left="420" w:leftChars="200"/>
    </w:pPr>
    <w:rPr>
      <w:kern w:val="0"/>
      <w:sz w:val="20"/>
      <w:szCs w:val="24"/>
    </w:rPr>
  </w:style>
  <w:style w:type="paragraph" w:styleId="20">
    <w:name w:val="Block Text"/>
    <w:basedOn w:val="1"/>
    <w:qFormat/>
    <w:uiPriority w:val="0"/>
    <w:pPr>
      <w:ind w:left="-540" w:leftChars="-257" w:right="-334" w:rightChars="-159" w:firstLine="540" w:firstLineChars="180"/>
    </w:pPr>
    <w:rPr>
      <w:sz w:val="30"/>
      <w:szCs w:val="24"/>
    </w:rPr>
  </w:style>
  <w:style w:type="paragraph" w:styleId="21">
    <w:name w:val="toc 5"/>
    <w:basedOn w:val="1"/>
    <w:next w:val="1"/>
    <w:qFormat/>
    <w:uiPriority w:val="0"/>
    <w:pPr>
      <w:ind w:left="1680" w:leftChars="800"/>
    </w:pPr>
    <w:rPr>
      <w:sz w:val="18"/>
      <w:szCs w:val="18"/>
    </w:rPr>
  </w:style>
  <w:style w:type="paragraph" w:styleId="22">
    <w:name w:val="toc 3"/>
    <w:basedOn w:val="1"/>
    <w:next w:val="1"/>
    <w:qFormat/>
    <w:uiPriority w:val="0"/>
    <w:pPr>
      <w:tabs>
        <w:tab w:val="left" w:pos="709"/>
        <w:tab w:val="left" w:pos="993"/>
        <w:tab w:val="right" w:leader="dot" w:pos="8364"/>
      </w:tabs>
      <w:ind w:left="360"/>
      <w:jc w:val="left"/>
    </w:pPr>
    <w:rPr>
      <w:rFonts w:eastAsia="楷体_GB2312"/>
      <w:iCs/>
      <w:sz w:val="20"/>
      <w:szCs w:val="20"/>
    </w:rPr>
  </w:style>
  <w:style w:type="paragraph" w:styleId="23">
    <w:name w:val="Plain Text"/>
    <w:basedOn w:val="1"/>
    <w:link w:val="66"/>
    <w:qFormat/>
    <w:uiPriority w:val="0"/>
    <w:rPr>
      <w:rFonts w:ascii="宋体" w:hAnsi="Courier New"/>
      <w:kern w:val="0"/>
      <w:sz w:val="20"/>
      <w:szCs w:val="18"/>
    </w:rPr>
  </w:style>
  <w:style w:type="paragraph" w:styleId="24">
    <w:name w:val="toc 8"/>
    <w:basedOn w:val="1"/>
    <w:next w:val="1"/>
    <w:qFormat/>
    <w:uiPriority w:val="0"/>
    <w:pPr>
      <w:ind w:left="2940" w:leftChars="1400"/>
    </w:pPr>
    <w:rPr>
      <w:szCs w:val="24"/>
    </w:rPr>
  </w:style>
  <w:style w:type="paragraph" w:styleId="25">
    <w:name w:val="Date"/>
    <w:basedOn w:val="1"/>
    <w:next w:val="1"/>
    <w:link w:val="67"/>
    <w:qFormat/>
    <w:uiPriority w:val="0"/>
    <w:pPr>
      <w:ind w:left="100" w:leftChars="2500"/>
    </w:pPr>
    <w:rPr>
      <w:kern w:val="0"/>
      <w:sz w:val="24"/>
      <w:szCs w:val="24"/>
    </w:rPr>
  </w:style>
  <w:style w:type="paragraph" w:styleId="26">
    <w:name w:val="Body Text Indent 2"/>
    <w:basedOn w:val="1"/>
    <w:link w:val="68"/>
    <w:qFormat/>
    <w:uiPriority w:val="0"/>
    <w:pPr>
      <w:spacing w:after="120" w:line="480" w:lineRule="auto"/>
      <w:ind w:left="420" w:leftChars="200"/>
    </w:pPr>
    <w:rPr>
      <w:rFonts w:ascii="Calibri" w:hAnsi="Calibri"/>
      <w:kern w:val="0"/>
      <w:sz w:val="20"/>
      <w:szCs w:val="20"/>
    </w:rPr>
  </w:style>
  <w:style w:type="paragraph" w:styleId="27">
    <w:name w:val="Balloon Text"/>
    <w:basedOn w:val="1"/>
    <w:link w:val="69"/>
    <w:qFormat/>
    <w:uiPriority w:val="0"/>
    <w:rPr>
      <w:kern w:val="0"/>
      <w:sz w:val="18"/>
      <w:szCs w:val="18"/>
    </w:rPr>
  </w:style>
  <w:style w:type="paragraph" w:styleId="28">
    <w:name w:val="footer"/>
    <w:basedOn w:val="1"/>
    <w:link w:val="70"/>
    <w:qFormat/>
    <w:uiPriority w:val="0"/>
    <w:pPr>
      <w:tabs>
        <w:tab w:val="center" w:pos="4153"/>
        <w:tab w:val="right" w:pos="8306"/>
      </w:tabs>
      <w:snapToGrid w:val="0"/>
      <w:jc w:val="left"/>
    </w:pPr>
    <w:rPr>
      <w:rFonts w:ascii="Calibri" w:hAnsi="Calibri"/>
      <w:kern w:val="0"/>
      <w:sz w:val="18"/>
      <w:szCs w:val="18"/>
    </w:rPr>
  </w:style>
  <w:style w:type="paragraph" w:styleId="29">
    <w:name w:val="header"/>
    <w:basedOn w:val="1"/>
    <w:link w:val="7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30">
    <w:name w:val="toc 1"/>
    <w:basedOn w:val="1"/>
    <w:next w:val="1"/>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qFormat/>
    <w:uiPriority w:val="0"/>
    <w:pPr>
      <w:ind w:left="1260" w:leftChars="600"/>
    </w:pPr>
    <w:rPr>
      <w:sz w:val="18"/>
      <w:szCs w:val="18"/>
    </w:rPr>
  </w:style>
  <w:style w:type="paragraph" w:styleId="32">
    <w:name w:val="Subtitle"/>
    <w:basedOn w:val="1"/>
    <w:next w:val="1"/>
    <w:link w:val="72"/>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73"/>
    <w:semiHidden/>
    <w:qFormat/>
    <w:uiPriority w:val="0"/>
    <w:pPr>
      <w:snapToGrid w:val="0"/>
      <w:jc w:val="left"/>
    </w:pPr>
    <w:rPr>
      <w:rFonts w:ascii="Calibri" w:hAnsi="Calibri"/>
      <w:kern w:val="0"/>
      <w:sz w:val="18"/>
      <w:szCs w:val="18"/>
    </w:rPr>
  </w:style>
  <w:style w:type="paragraph" w:styleId="34">
    <w:name w:val="toc 6"/>
    <w:basedOn w:val="1"/>
    <w:next w:val="1"/>
    <w:qFormat/>
    <w:uiPriority w:val="0"/>
    <w:pPr>
      <w:ind w:left="2100" w:leftChars="1000"/>
    </w:pPr>
    <w:rPr>
      <w:szCs w:val="24"/>
    </w:rPr>
  </w:style>
  <w:style w:type="paragraph" w:styleId="35">
    <w:name w:val="Body Text Indent 3"/>
    <w:basedOn w:val="1"/>
    <w:link w:val="74"/>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qFormat/>
    <w:uiPriority w:val="0"/>
    <w:pPr>
      <w:ind w:left="3360" w:leftChars="1600"/>
    </w:pPr>
    <w:rPr>
      <w:szCs w:val="24"/>
    </w:rPr>
  </w:style>
  <w:style w:type="paragraph" w:styleId="38">
    <w:name w:val="Body Text 2"/>
    <w:basedOn w:val="1"/>
    <w:link w:val="75"/>
    <w:qFormat/>
    <w:uiPriority w:val="0"/>
    <w:pPr>
      <w:spacing w:after="120" w:line="480" w:lineRule="auto"/>
    </w:pPr>
    <w:rPr>
      <w:kern w:val="0"/>
      <w:sz w:val="18"/>
      <w:szCs w:val="18"/>
    </w:rPr>
  </w:style>
  <w:style w:type="paragraph" w:styleId="39">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6"/>
    <w:semiHidden/>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style>
  <w:style w:type="character" w:styleId="46">
    <w:name w:val="FollowedHyperlink"/>
    <w:unhideWhenUsed/>
    <w:qFormat/>
    <w:uiPriority w:val="99"/>
    <w:rPr>
      <w:color w:val="000000"/>
      <w:sz w:val="9"/>
      <w:szCs w:val="9"/>
      <w:u w:val="none"/>
    </w:rPr>
  </w:style>
  <w:style w:type="character" w:styleId="47">
    <w:name w:val="Hyperlink"/>
    <w:qFormat/>
    <w:uiPriority w:val="99"/>
    <w:rPr>
      <w:color w:val="000000"/>
      <w:sz w:val="9"/>
      <w:szCs w:val="9"/>
      <w:u w:val="none"/>
    </w:rPr>
  </w:style>
  <w:style w:type="character" w:styleId="48">
    <w:name w:val="annotation reference"/>
    <w:qFormat/>
    <w:uiPriority w:val="0"/>
    <w:rPr>
      <w:sz w:val="21"/>
      <w:szCs w:val="21"/>
    </w:rPr>
  </w:style>
  <w:style w:type="character" w:styleId="49">
    <w:name w:val="footnote reference"/>
    <w:semiHidden/>
    <w:qFormat/>
    <w:uiPriority w:val="0"/>
    <w:rPr>
      <w:vertAlign w:val="superscript"/>
    </w:rPr>
  </w:style>
  <w:style w:type="character" w:customStyle="1" w:styleId="50">
    <w:name w:val="标题 2 字符"/>
    <w:link w:val="2"/>
    <w:qFormat/>
    <w:uiPriority w:val="0"/>
    <w:rPr>
      <w:rFonts w:ascii="宋体" w:hAnsi="宋体"/>
      <w:b/>
      <w:bCs/>
      <w:kern w:val="2"/>
      <w:sz w:val="28"/>
      <w:szCs w:val="28"/>
    </w:rPr>
  </w:style>
  <w:style w:type="character" w:customStyle="1" w:styleId="51">
    <w:name w:val="标题 1 字符"/>
    <w:link w:val="3"/>
    <w:qFormat/>
    <w:uiPriority w:val="0"/>
    <w:rPr>
      <w:rFonts w:ascii="宋体" w:hAnsi="宋体"/>
      <w:b/>
      <w:bCs/>
      <w:spacing w:val="-20"/>
      <w:kern w:val="44"/>
      <w:sz w:val="32"/>
      <w:szCs w:val="32"/>
    </w:rPr>
  </w:style>
  <w:style w:type="character" w:customStyle="1" w:styleId="52">
    <w:name w:val="标题 3 字符"/>
    <w:link w:val="4"/>
    <w:qFormat/>
    <w:uiPriority w:val="0"/>
    <w:rPr>
      <w:rFonts w:ascii="宋体" w:hAnsi="宋体"/>
      <w:b/>
      <w:bCs/>
      <w:color w:val="000000"/>
      <w:sz w:val="28"/>
      <w:szCs w:val="28"/>
    </w:rPr>
  </w:style>
  <w:style w:type="character" w:customStyle="1" w:styleId="53">
    <w:name w:val="标题 4 字符"/>
    <w:link w:val="5"/>
    <w:qFormat/>
    <w:uiPriority w:val="0"/>
    <w:rPr>
      <w:rFonts w:ascii="Arial" w:hAnsi="Arial" w:eastAsia="宋体" w:cs="Times New Roman"/>
      <w:b/>
      <w:bCs/>
      <w:kern w:val="0"/>
      <w:sz w:val="28"/>
      <w:szCs w:val="28"/>
    </w:rPr>
  </w:style>
  <w:style w:type="character" w:customStyle="1" w:styleId="54">
    <w:name w:val="标题 5 字符"/>
    <w:link w:val="6"/>
    <w:qFormat/>
    <w:uiPriority w:val="0"/>
    <w:rPr>
      <w:rFonts w:ascii="Calibri" w:hAnsi="Calibri" w:eastAsia="宋体" w:cs="Times New Roman"/>
      <w:b/>
      <w:bCs/>
      <w:kern w:val="0"/>
      <w:sz w:val="28"/>
      <w:szCs w:val="28"/>
    </w:rPr>
  </w:style>
  <w:style w:type="character" w:customStyle="1" w:styleId="55">
    <w:name w:val="标题 6 字符"/>
    <w:link w:val="7"/>
    <w:qFormat/>
    <w:uiPriority w:val="0"/>
    <w:rPr>
      <w:rFonts w:ascii="Arial" w:hAnsi="Arial" w:eastAsia="宋体" w:cs="Times New Roman"/>
      <w:b/>
      <w:bCs/>
      <w:kern w:val="0"/>
      <w:sz w:val="28"/>
      <w:szCs w:val="18"/>
    </w:rPr>
  </w:style>
  <w:style w:type="character" w:customStyle="1" w:styleId="56">
    <w:name w:val="标题 7 字符"/>
    <w:link w:val="8"/>
    <w:qFormat/>
    <w:uiPriority w:val="0"/>
    <w:rPr>
      <w:rFonts w:ascii="Arial Narrow" w:hAnsi="Arial Narrow" w:eastAsia="宋体" w:cs="Times New Roman"/>
      <w:b/>
      <w:bCs/>
      <w:iCs/>
      <w:kern w:val="0"/>
      <w:sz w:val="20"/>
      <w:szCs w:val="24"/>
      <w:lang w:eastAsia="en-US"/>
    </w:rPr>
  </w:style>
  <w:style w:type="character" w:customStyle="1" w:styleId="57">
    <w:name w:val="标题 8 字符"/>
    <w:link w:val="9"/>
    <w:qFormat/>
    <w:uiPriority w:val="0"/>
    <w:rPr>
      <w:rFonts w:ascii="Arial" w:hAnsi="Arial" w:eastAsia="黑体" w:cs="Times New Roman"/>
      <w:kern w:val="0"/>
      <w:sz w:val="24"/>
      <w:szCs w:val="24"/>
    </w:rPr>
  </w:style>
  <w:style w:type="character" w:customStyle="1" w:styleId="58">
    <w:name w:val="标题 9 字符"/>
    <w:link w:val="10"/>
    <w:qFormat/>
    <w:uiPriority w:val="0"/>
    <w:rPr>
      <w:rFonts w:ascii="Arial" w:hAnsi="Arial" w:eastAsia="黑体" w:cs="Times New Roman"/>
      <w:kern w:val="0"/>
      <w:sz w:val="20"/>
      <w:szCs w:val="21"/>
    </w:rPr>
  </w:style>
  <w:style w:type="character" w:customStyle="1" w:styleId="59">
    <w:name w:val="正文缩进 字符"/>
    <w:link w:val="12"/>
    <w:qFormat/>
    <w:uiPriority w:val="0"/>
    <w:rPr>
      <w:rFonts w:ascii="Times New Roman" w:hAnsi="Times New Roman"/>
      <w:kern w:val="2"/>
      <w:sz w:val="21"/>
    </w:rPr>
  </w:style>
  <w:style w:type="character" w:customStyle="1" w:styleId="60">
    <w:name w:val="文档结构图 字符"/>
    <w:link w:val="14"/>
    <w:qFormat/>
    <w:uiPriority w:val="0"/>
    <w:rPr>
      <w:rFonts w:ascii="Times New Roman" w:hAnsi="Times New Roman" w:eastAsia="宋体" w:cs="Times New Roman"/>
      <w:kern w:val="0"/>
      <w:sz w:val="18"/>
      <w:szCs w:val="18"/>
      <w:shd w:val="clear" w:color="auto" w:fill="000080"/>
    </w:rPr>
  </w:style>
  <w:style w:type="character" w:customStyle="1" w:styleId="61">
    <w:name w:val="批注文字 字符"/>
    <w:link w:val="15"/>
    <w:qFormat/>
    <w:uiPriority w:val="0"/>
    <w:rPr>
      <w:rFonts w:ascii="Calibri" w:hAnsi="Calibri" w:eastAsia="宋体" w:cs="Times New Roman"/>
    </w:rPr>
  </w:style>
  <w:style w:type="character" w:customStyle="1" w:styleId="62">
    <w:name w:val="正文文本 3 字符"/>
    <w:link w:val="16"/>
    <w:qFormat/>
    <w:uiPriority w:val="0"/>
    <w:rPr>
      <w:rFonts w:ascii="Times New Roman" w:hAnsi="Times New Roman" w:eastAsia="黑体" w:cs="Times New Roman"/>
      <w:sz w:val="44"/>
      <w:szCs w:val="24"/>
    </w:rPr>
  </w:style>
  <w:style w:type="character" w:customStyle="1" w:styleId="63">
    <w:name w:val="正文文本 字符"/>
    <w:link w:val="17"/>
    <w:qFormat/>
    <w:uiPriority w:val="0"/>
    <w:rPr>
      <w:rFonts w:ascii="Calibri" w:hAnsi="Calibri" w:eastAsia="宋体" w:cs="Times New Roman"/>
    </w:rPr>
  </w:style>
  <w:style w:type="character" w:customStyle="1" w:styleId="64">
    <w:name w:val="正文文本首行缩进 字符"/>
    <w:link w:val="18"/>
    <w:qFormat/>
    <w:uiPriority w:val="0"/>
    <w:rPr>
      <w:rFonts w:ascii="Times New Roman" w:hAnsi="Times New Roman" w:eastAsia="宋体" w:cs="Times New Roman"/>
      <w:kern w:val="0"/>
      <w:sz w:val="18"/>
      <w:szCs w:val="18"/>
    </w:rPr>
  </w:style>
  <w:style w:type="character" w:customStyle="1" w:styleId="65">
    <w:name w:val="正文文本缩进 字符"/>
    <w:link w:val="19"/>
    <w:qFormat/>
    <w:uiPriority w:val="0"/>
    <w:rPr>
      <w:rFonts w:ascii="Times New Roman" w:hAnsi="Times New Roman" w:eastAsia="宋体" w:cs="Times New Roman"/>
      <w:kern w:val="0"/>
      <w:sz w:val="20"/>
      <w:szCs w:val="24"/>
    </w:rPr>
  </w:style>
  <w:style w:type="character" w:customStyle="1" w:styleId="66">
    <w:name w:val="纯文本 字符"/>
    <w:link w:val="23"/>
    <w:qFormat/>
    <w:uiPriority w:val="0"/>
    <w:rPr>
      <w:rFonts w:ascii="宋体" w:hAnsi="Courier New" w:eastAsia="宋体" w:cs="Times New Roman"/>
      <w:kern w:val="0"/>
      <w:sz w:val="20"/>
      <w:szCs w:val="18"/>
    </w:rPr>
  </w:style>
  <w:style w:type="character" w:customStyle="1" w:styleId="67">
    <w:name w:val="日期 字符"/>
    <w:link w:val="25"/>
    <w:qFormat/>
    <w:uiPriority w:val="0"/>
    <w:rPr>
      <w:rFonts w:ascii="Times New Roman" w:hAnsi="Times New Roman" w:eastAsia="宋体" w:cs="Times New Roman"/>
      <w:kern w:val="0"/>
      <w:sz w:val="24"/>
      <w:szCs w:val="24"/>
    </w:rPr>
  </w:style>
  <w:style w:type="character" w:customStyle="1" w:styleId="68">
    <w:name w:val="正文文本缩进 2 字符"/>
    <w:link w:val="26"/>
    <w:qFormat/>
    <w:uiPriority w:val="0"/>
    <w:rPr>
      <w:rFonts w:ascii="Calibri" w:hAnsi="Calibri" w:eastAsia="宋体" w:cs="Times New Roman"/>
    </w:rPr>
  </w:style>
  <w:style w:type="character" w:customStyle="1" w:styleId="69">
    <w:name w:val="批注框文本 字符"/>
    <w:link w:val="27"/>
    <w:qFormat/>
    <w:uiPriority w:val="0"/>
    <w:rPr>
      <w:rFonts w:ascii="Times New Roman" w:hAnsi="Times New Roman" w:eastAsia="宋体" w:cs="Times New Roman"/>
      <w:kern w:val="0"/>
      <w:sz w:val="18"/>
      <w:szCs w:val="18"/>
    </w:rPr>
  </w:style>
  <w:style w:type="character" w:customStyle="1" w:styleId="70">
    <w:name w:val="页脚 字符"/>
    <w:link w:val="28"/>
    <w:qFormat/>
    <w:uiPriority w:val="0"/>
    <w:rPr>
      <w:rFonts w:ascii="Calibri" w:hAnsi="Calibri" w:eastAsia="宋体" w:cs="Times New Roman"/>
      <w:kern w:val="0"/>
      <w:sz w:val="18"/>
      <w:szCs w:val="18"/>
    </w:rPr>
  </w:style>
  <w:style w:type="character" w:customStyle="1" w:styleId="71">
    <w:name w:val="页眉 字符"/>
    <w:link w:val="29"/>
    <w:qFormat/>
    <w:uiPriority w:val="0"/>
    <w:rPr>
      <w:rFonts w:ascii="Calibri" w:hAnsi="Calibri" w:eastAsia="宋体" w:cs="Times New Roman"/>
      <w:kern w:val="0"/>
      <w:sz w:val="18"/>
      <w:szCs w:val="18"/>
    </w:rPr>
  </w:style>
  <w:style w:type="character" w:customStyle="1" w:styleId="72">
    <w:name w:val="副标题 字符"/>
    <w:link w:val="32"/>
    <w:qFormat/>
    <w:uiPriority w:val="0"/>
    <w:rPr>
      <w:rFonts w:ascii="Cambria" w:hAnsi="Cambria" w:eastAsia="宋体" w:cs="Times New Roman"/>
      <w:b/>
      <w:bCs/>
      <w:kern w:val="28"/>
      <w:sz w:val="32"/>
      <w:szCs w:val="32"/>
    </w:rPr>
  </w:style>
  <w:style w:type="character" w:customStyle="1" w:styleId="73">
    <w:name w:val="脚注文本 字符"/>
    <w:link w:val="33"/>
    <w:semiHidden/>
    <w:qFormat/>
    <w:uiPriority w:val="0"/>
    <w:rPr>
      <w:rFonts w:ascii="Calibri" w:hAnsi="Calibri" w:eastAsia="宋体" w:cs="Times New Roman"/>
      <w:sz w:val="18"/>
      <w:szCs w:val="18"/>
    </w:rPr>
  </w:style>
  <w:style w:type="character" w:customStyle="1" w:styleId="74">
    <w:name w:val="正文文本缩进 3 字符"/>
    <w:link w:val="35"/>
    <w:qFormat/>
    <w:uiPriority w:val="0"/>
    <w:rPr>
      <w:rFonts w:ascii="宋体" w:hAnsi="宋体" w:eastAsia="宋体" w:cs="Times New Roman"/>
      <w:kern w:val="0"/>
      <w:sz w:val="28"/>
      <w:szCs w:val="28"/>
    </w:rPr>
  </w:style>
  <w:style w:type="character" w:customStyle="1" w:styleId="75">
    <w:name w:val="正文文本 2 字符"/>
    <w:link w:val="38"/>
    <w:qFormat/>
    <w:uiPriority w:val="0"/>
    <w:rPr>
      <w:rFonts w:ascii="Times New Roman" w:hAnsi="Times New Roman" w:eastAsia="宋体" w:cs="Times New Roman"/>
      <w:kern w:val="0"/>
      <w:sz w:val="18"/>
      <w:szCs w:val="18"/>
    </w:rPr>
  </w:style>
  <w:style w:type="character" w:customStyle="1" w:styleId="76">
    <w:name w:val="批注主题 字符"/>
    <w:link w:val="40"/>
    <w:semiHidden/>
    <w:qFormat/>
    <w:uiPriority w:val="0"/>
    <w:rPr>
      <w:rFonts w:ascii="Calibri" w:hAnsi="Calibri" w:eastAsia="宋体" w:cs="Times New Roman"/>
      <w:b/>
      <w:bCs/>
    </w:rPr>
  </w:style>
  <w:style w:type="character" w:customStyle="1" w:styleId="77">
    <w:name w:val="副标题 Char1"/>
    <w:qFormat/>
    <w:uiPriority w:val="11"/>
    <w:rPr>
      <w:rFonts w:ascii="Cambria" w:hAnsi="Cambria" w:cs="Times New Roman"/>
      <w:b/>
      <w:bCs/>
      <w:kern w:val="28"/>
      <w:sz w:val="32"/>
      <w:szCs w:val="32"/>
    </w:rPr>
  </w:style>
  <w:style w:type="character" w:customStyle="1" w:styleId="78">
    <w:name w:val="Char Char3"/>
    <w:qFormat/>
    <w:uiPriority w:val="0"/>
    <w:rPr>
      <w:b/>
      <w:bCs/>
      <w:kern w:val="2"/>
      <w:sz w:val="18"/>
      <w:szCs w:val="18"/>
    </w:rPr>
  </w:style>
  <w:style w:type="character" w:customStyle="1" w:styleId="79">
    <w:name w:val="Char Char11"/>
    <w:qFormat/>
    <w:uiPriority w:val="0"/>
    <w:rPr>
      <w:rFonts w:hint="default" w:ascii="Arial Narrow" w:hAnsi="Arial Narrow"/>
      <w:b/>
      <w:bCs/>
      <w:iCs/>
      <w:szCs w:val="24"/>
      <w:lang w:eastAsia="en-US"/>
    </w:rPr>
  </w:style>
  <w:style w:type="character" w:customStyle="1" w:styleId="80">
    <w:name w:val="Char Char5"/>
    <w:qFormat/>
    <w:uiPriority w:val="0"/>
    <w:rPr>
      <w:kern w:val="2"/>
      <w:sz w:val="21"/>
      <w:szCs w:val="24"/>
    </w:rPr>
  </w:style>
  <w:style w:type="character" w:customStyle="1" w:styleId="81">
    <w:name w:val="Char Char2"/>
    <w:qFormat/>
    <w:uiPriority w:val="0"/>
    <w:rPr>
      <w:kern w:val="2"/>
      <w:sz w:val="18"/>
      <w:szCs w:val="18"/>
    </w:rPr>
  </w:style>
  <w:style w:type="character" w:customStyle="1" w:styleId="82">
    <w:name w:val="正文文本 Char Char"/>
    <w:qFormat/>
    <w:uiPriority w:val="0"/>
    <w:rPr>
      <w:kern w:val="2"/>
      <w:sz w:val="21"/>
      <w:szCs w:val="24"/>
    </w:rPr>
  </w:style>
  <w:style w:type="character" w:customStyle="1" w:styleId="83">
    <w:name w:val="表正文 Char1"/>
    <w:qFormat/>
    <w:uiPriority w:val="0"/>
    <w:rPr>
      <w:rFonts w:hint="eastAsia" w:ascii="宋体" w:hAnsi="宋体" w:eastAsia="宋体"/>
      <w:kern w:val="2"/>
      <w:sz w:val="21"/>
      <w:lang w:val="en-US" w:eastAsia="zh-CN" w:bidi="ar-SA"/>
    </w:rPr>
  </w:style>
  <w:style w:type="character" w:customStyle="1" w:styleId="84">
    <w:name w:val="标书（正文） Char Char"/>
    <w:qFormat/>
    <w:uiPriority w:val="0"/>
    <w:rPr>
      <w:rFonts w:hint="eastAsia" w:ascii="宋体" w:hAnsi="宋体" w:eastAsia="宋体"/>
      <w:b/>
      <w:kern w:val="10"/>
      <w:sz w:val="21"/>
      <w:szCs w:val="21"/>
      <w:lang w:val="en-US" w:eastAsia="zh-CN" w:bidi="ar-SA"/>
    </w:rPr>
  </w:style>
  <w:style w:type="character" w:customStyle="1" w:styleId="85">
    <w:name w:val="Char Char8"/>
    <w:qFormat/>
    <w:uiPriority w:val="0"/>
    <w:rPr>
      <w:rFonts w:hint="eastAsia" w:ascii="宋体" w:hAnsi="宋体" w:eastAsia="宋体"/>
      <w:kern w:val="2"/>
      <w:sz w:val="28"/>
      <w:szCs w:val="28"/>
    </w:rPr>
  </w:style>
  <w:style w:type="character" w:customStyle="1" w:styleId="86">
    <w:name w:val="文章正文 Char Char"/>
    <w:qFormat/>
    <w:uiPriority w:val="0"/>
    <w:rPr>
      <w:rFonts w:hint="eastAsia" w:ascii="宋体" w:hAnsi="宋体" w:eastAsia="宋体"/>
      <w:kern w:val="2"/>
      <w:sz w:val="24"/>
      <w:szCs w:val="24"/>
      <w:lang w:val="en-US" w:eastAsia="zh-CN" w:bidi="ar-SA"/>
    </w:rPr>
  </w:style>
  <w:style w:type="character" w:customStyle="1" w:styleId="87">
    <w:name w:val="列表段落 字符"/>
    <w:link w:val="88"/>
    <w:qFormat/>
    <w:uiPriority w:val="99"/>
    <w:rPr>
      <w:rFonts w:ascii="Calibri" w:hAnsi="Calibri" w:eastAsia="宋体" w:cs="Times New Roman"/>
    </w:rPr>
  </w:style>
  <w:style w:type="paragraph" w:styleId="88">
    <w:name w:val="List Paragraph"/>
    <w:basedOn w:val="1"/>
    <w:link w:val="87"/>
    <w:qFormat/>
    <w:uiPriority w:val="99"/>
    <w:pPr>
      <w:ind w:firstLine="420" w:firstLineChars="200"/>
    </w:pPr>
    <w:rPr>
      <w:rFonts w:ascii="Calibri" w:hAnsi="Calibri"/>
      <w:kern w:val="0"/>
      <w:sz w:val="20"/>
      <w:szCs w:val="20"/>
    </w:rPr>
  </w:style>
  <w:style w:type="character" w:customStyle="1" w:styleId="89">
    <w:name w:val="Legal Level 1.1.1. Char"/>
    <w:qFormat/>
    <w:uiPriority w:val="0"/>
    <w:rPr>
      <w:rFonts w:hint="default" w:ascii="Arial" w:hAnsi="Arial" w:eastAsia="黑体" w:cs="Arial"/>
      <w:kern w:val="2"/>
      <w:sz w:val="24"/>
      <w:szCs w:val="24"/>
    </w:rPr>
  </w:style>
  <w:style w:type="character" w:customStyle="1" w:styleId="90">
    <w:name w:val="样式 小四2 Char Char"/>
    <w:qFormat/>
    <w:uiPriority w:val="0"/>
    <w:rPr>
      <w:rFonts w:hint="eastAsia" w:ascii="宋体" w:hAnsi="宋体" w:eastAsia="宋体"/>
      <w:kern w:val="2"/>
      <w:sz w:val="24"/>
      <w:szCs w:val="24"/>
    </w:rPr>
  </w:style>
  <w:style w:type="character" w:customStyle="1" w:styleId="91">
    <w:name w:val="正文文本 Char2"/>
    <w:qFormat/>
    <w:uiPriority w:val="0"/>
  </w:style>
  <w:style w:type="character" w:customStyle="1" w:styleId="92">
    <w:name w:val="Char Char7"/>
    <w:qFormat/>
    <w:uiPriority w:val="0"/>
    <w:rPr>
      <w:kern w:val="2"/>
      <w:sz w:val="18"/>
      <w:szCs w:val="18"/>
    </w:rPr>
  </w:style>
  <w:style w:type="character" w:customStyle="1" w:styleId="93">
    <w:name w:val="纯文本 Char"/>
    <w:qFormat/>
    <w:uiPriority w:val="0"/>
    <w:rPr>
      <w:rFonts w:ascii="宋体" w:hAnsi="Courier New" w:eastAsia="宋体" w:cs="Courier New"/>
      <w:szCs w:val="21"/>
    </w:rPr>
  </w:style>
  <w:style w:type="character" w:customStyle="1" w:styleId="94">
    <w:name w:val="Char Char9"/>
    <w:qFormat/>
    <w:uiPriority w:val="0"/>
    <w:rPr>
      <w:kern w:val="2"/>
      <w:sz w:val="18"/>
      <w:szCs w:val="18"/>
    </w:rPr>
  </w:style>
  <w:style w:type="character" w:customStyle="1" w:styleId="95">
    <w:name w:val="标题 1 Char1"/>
    <w:qFormat/>
    <w:uiPriority w:val="0"/>
    <w:rPr>
      <w:b/>
      <w:bCs/>
      <w:kern w:val="44"/>
      <w:sz w:val="44"/>
      <w:szCs w:val="44"/>
    </w:rPr>
  </w:style>
  <w:style w:type="character" w:customStyle="1" w:styleId="96">
    <w:name w:val="（符号）邀请函中一、"/>
    <w:qFormat/>
    <w:uiPriority w:val="0"/>
    <w:rPr>
      <w:rFonts w:ascii="黑体" w:hAnsi="黑体" w:eastAsia="黑体"/>
      <w:b/>
      <w:bCs/>
      <w:sz w:val="24"/>
    </w:rPr>
  </w:style>
  <w:style w:type="character" w:customStyle="1" w:styleId="97">
    <w:name w:val="Char Char10"/>
    <w:qFormat/>
    <w:uiPriority w:val="0"/>
    <w:rPr>
      <w:kern w:val="2"/>
      <w:sz w:val="24"/>
      <w:szCs w:val="24"/>
    </w:rPr>
  </w:style>
  <w:style w:type="character" w:customStyle="1" w:styleId="98">
    <w:name w:val="标题 3 Char Char Char"/>
    <w:qFormat/>
    <w:uiPriority w:val="0"/>
    <w:rPr>
      <w:rFonts w:eastAsia="宋体"/>
      <w:b/>
      <w:kern w:val="2"/>
      <w:sz w:val="32"/>
      <w:lang w:val="en-US" w:eastAsia="zh-CN" w:bidi="ar-SA"/>
    </w:rPr>
  </w:style>
  <w:style w:type="character" w:customStyle="1" w:styleId="99">
    <w:name w:val="tt Char"/>
    <w:qFormat/>
    <w:uiPriority w:val="0"/>
    <w:rPr>
      <w:rFonts w:hint="default" w:ascii="Arial" w:hAnsi="Arial" w:eastAsia="黑体" w:cs="Arial"/>
      <w:kern w:val="2"/>
      <w:sz w:val="21"/>
      <w:szCs w:val="21"/>
    </w:rPr>
  </w:style>
  <w:style w:type="character" w:customStyle="1" w:styleId="100">
    <w:name w:val="正文首行缩进两字符 Char Char"/>
    <w:link w:val="101"/>
    <w:qFormat/>
    <w:uiPriority w:val="0"/>
    <w:rPr>
      <w:rFonts w:ascii="Times New Roman" w:hAnsi="Times New Roman" w:eastAsia="宋体" w:cs="Times New Roman"/>
      <w:szCs w:val="24"/>
    </w:rPr>
  </w:style>
  <w:style w:type="paragraph" w:customStyle="1" w:styleId="101">
    <w:name w:val="正文首行缩进两字符"/>
    <w:basedOn w:val="1"/>
    <w:link w:val="100"/>
    <w:qFormat/>
    <w:uiPriority w:val="0"/>
    <w:pPr>
      <w:spacing w:line="360" w:lineRule="auto"/>
      <w:ind w:firstLine="200" w:firstLineChars="200"/>
    </w:pPr>
    <w:rPr>
      <w:kern w:val="0"/>
      <w:sz w:val="20"/>
      <w:szCs w:val="24"/>
    </w:rPr>
  </w:style>
  <w:style w:type="character" w:customStyle="1" w:styleId="102">
    <w:name w:val="标书正文:  0.74 厘米 Char Char"/>
    <w:qFormat/>
    <w:uiPriority w:val="0"/>
    <w:rPr>
      <w:kern w:val="2"/>
      <w:sz w:val="24"/>
    </w:rPr>
  </w:style>
  <w:style w:type="character" w:customStyle="1" w:styleId="103">
    <w:name w:val="彩色列表 - 强调文字颜色 1 Char"/>
    <w:link w:val="104"/>
    <w:qFormat/>
    <w:uiPriority w:val="0"/>
    <w:rPr>
      <w:rFonts w:ascii="Calibri" w:hAnsi="Calibri"/>
    </w:rPr>
  </w:style>
  <w:style w:type="paragraph" w:customStyle="1" w:styleId="104">
    <w:name w:val="彩色列表 - 强调文字颜色 12"/>
    <w:basedOn w:val="1"/>
    <w:link w:val="103"/>
    <w:qFormat/>
    <w:uiPriority w:val="0"/>
    <w:pPr>
      <w:ind w:firstLine="420" w:firstLineChars="200"/>
    </w:pPr>
    <w:rPr>
      <w:rFonts w:ascii="Calibri" w:hAnsi="Calibri"/>
      <w:kern w:val="0"/>
      <w:sz w:val="20"/>
      <w:szCs w:val="20"/>
    </w:rPr>
  </w:style>
  <w:style w:type="character" w:customStyle="1" w:styleId="105">
    <w:name w:val="列出段落 Char Char"/>
    <w:qFormat/>
    <w:uiPriority w:val="0"/>
    <w:rPr>
      <w:rFonts w:hint="default" w:ascii="Calibri" w:hAnsi="Calibri" w:cs="Calibri"/>
      <w:kern w:val="2"/>
      <w:sz w:val="21"/>
      <w:szCs w:val="22"/>
    </w:rPr>
  </w:style>
  <w:style w:type="character" w:customStyle="1" w:styleId="106">
    <w:name w:val="line2"/>
    <w:qFormat/>
    <w:uiPriority w:val="0"/>
  </w:style>
  <w:style w:type="character" w:customStyle="1" w:styleId="107">
    <w:name w:val="apple-style-span"/>
    <w:qFormat/>
    <w:uiPriority w:val="0"/>
  </w:style>
  <w:style w:type="character" w:customStyle="1" w:styleId="108">
    <w:name w:val="正文首行缩进 2 Char1"/>
    <w:qFormat/>
    <w:uiPriority w:val="99"/>
    <w:rPr>
      <w:kern w:val="2"/>
      <w:sz w:val="21"/>
      <w:szCs w:val="24"/>
    </w:rPr>
  </w:style>
  <w:style w:type="character" w:customStyle="1" w:styleId="109">
    <w:name w:val="正文文本 Char1"/>
    <w:qFormat/>
    <w:uiPriority w:val="0"/>
    <w:rPr>
      <w:rFonts w:ascii="Times New Roman" w:hAnsi="Times New Roman" w:eastAsia="宋体" w:cs="Times New Roman"/>
      <w:kern w:val="0"/>
      <w:sz w:val="18"/>
      <w:szCs w:val="18"/>
    </w:rPr>
  </w:style>
  <w:style w:type="character" w:customStyle="1" w:styleId="110">
    <w:name w:val="MM Topic 3 Char Char"/>
    <w:qFormat/>
    <w:uiPriority w:val="0"/>
    <w:rPr>
      <w:rFonts w:hint="eastAsia" w:ascii="宋体" w:hAnsi="宋体" w:eastAsia="宋体"/>
      <w:b/>
      <w:bCs/>
      <w:color w:val="000000"/>
      <w:kern w:val="2"/>
      <w:sz w:val="28"/>
      <w:szCs w:val="28"/>
    </w:rPr>
  </w:style>
  <w:style w:type="character" w:customStyle="1" w:styleId="111">
    <w:name w:val="Char Char4"/>
    <w:qFormat/>
    <w:uiPriority w:val="0"/>
    <w:rPr>
      <w:kern w:val="2"/>
      <w:sz w:val="18"/>
      <w:szCs w:val="18"/>
    </w:rPr>
  </w:style>
  <w:style w:type="character" w:customStyle="1" w:styleId="112">
    <w:name w:val="Char Char6"/>
    <w:qFormat/>
    <w:uiPriority w:val="0"/>
    <w:rPr>
      <w:kern w:val="2"/>
      <w:sz w:val="21"/>
      <w:szCs w:val="24"/>
    </w:rPr>
  </w:style>
  <w:style w:type="character" w:customStyle="1" w:styleId="113">
    <w:name w:val="Char Char Char"/>
    <w:qFormat/>
    <w:uiPriority w:val="0"/>
    <w:rPr>
      <w:rFonts w:hint="eastAsia" w:ascii="宋体" w:hAnsi="宋体" w:eastAsia="宋体"/>
      <w:kern w:val="2"/>
      <w:sz w:val="18"/>
      <w:szCs w:val="18"/>
      <w:lang w:val="en-US" w:eastAsia="zh-CN" w:bidi="ar-SA"/>
    </w:rPr>
  </w:style>
  <w:style w:type="character" w:customStyle="1" w:styleId="114">
    <w:name w:val="CD正文 Char Char"/>
    <w:qFormat/>
    <w:uiPriority w:val="0"/>
    <w:rPr>
      <w:rFonts w:hint="eastAsia" w:ascii="宋体" w:hAnsi="宋体" w:eastAsia="宋体"/>
      <w:kern w:val="2"/>
      <w:sz w:val="30"/>
      <w:szCs w:val="28"/>
      <w:lang w:val="en-US" w:eastAsia="zh-CN" w:bidi="ar-SA"/>
    </w:rPr>
  </w:style>
  <w:style w:type="character" w:customStyle="1" w:styleId="115">
    <w:name w:val="small"/>
    <w:qFormat/>
    <w:uiPriority w:val="0"/>
  </w:style>
  <w:style w:type="character" w:customStyle="1" w:styleId="116">
    <w:name w:val="MM Topic 4 Char Char"/>
    <w:qFormat/>
    <w:uiPriority w:val="0"/>
    <w:rPr>
      <w:rFonts w:hint="default" w:ascii="Arial" w:hAnsi="Arial" w:cs="Arial"/>
      <w:b/>
      <w:bCs/>
      <w:kern w:val="2"/>
      <w:sz w:val="28"/>
      <w:szCs w:val="28"/>
    </w:rPr>
  </w:style>
  <w:style w:type="paragraph" w:customStyle="1" w:styleId="117">
    <w:name w:val="样式1"/>
    <w:basedOn w:val="1"/>
    <w:qFormat/>
    <w:uiPriority w:val="0"/>
    <w:rPr>
      <w:rFonts w:eastAsia="隶书"/>
      <w:i/>
      <w:dstrike/>
      <w:sz w:val="28"/>
      <w:szCs w:val="18"/>
    </w:rPr>
  </w:style>
  <w:style w:type="paragraph" w:customStyle="1" w:styleId="11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19">
    <w:name w:val="样式 行距: 1.5 倍行距 左  3.42 字符"/>
    <w:basedOn w:val="1"/>
    <w:qFormat/>
    <w:uiPriority w:val="0"/>
    <w:pPr>
      <w:spacing w:line="360" w:lineRule="auto"/>
      <w:ind w:left="200" w:leftChars="200" w:firstLine="200" w:firstLineChars="200"/>
    </w:pPr>
    <w:rPr>
      <w:rFonts w:cs="宋体"/>
      <w:szCs w:val="20"/>
    </w:rPr>
  </w:style>
  <w:style w:type="paragraph" w:customStyle="1" w:styleId="120">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12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22">
    <w:name w:val="样式 首行缩进:  2 字符"/>
    <w:basedOn w:val="1"/>
    <w:qFormat/>
    <w:uiPriority w:val="0"/>
    <w:pPr>
      <w:spacing w:line="400" w:lineRule="exact"/>
      <w:ind w:firstLine="200" w:firstLineChars="200"/>
    </w:pPr>
    <w:rPr>
      <w:rFonts w:cs="宋体"/>
      <w:sz w:val="24"/>
      <w:szCs w:val="24"/>
    </w:rPr>
  </w:style>
  <w:style w:type="paragraph" w:customStyle="1" w:styleId="123">
    <w:name w:val="Body Text 21"/>
    <w:basedOn w:val="1"/>
    <w:qFormat/>
    <w:uiPriority w:val="0"/>
    <w:pPr>
      <w:adjustRightInd w:val="0"/>
      <w:spacing w:line="300" w:lineRule="auto"/>
      <w:jc w:val="center"/>
      <w:textAlignment w:val="baseline"/>
    </w:pPr>
    <w:rPr>
      <w:rFonts w:ascii="宋体" w:hAnsi="宋体"/>
      <w:sz w:val="24"/>
      <w:szCs w:val="20"/>
    </w:rPr>
  </w:style>
  <w:style w:type="paragraph" w:customStyle="1" w:styleId="124">
    <w:name w:val="文章正文"/>
    <w:basedOn w:val="1"/>
    <w:qFormat/>
    <w:uiPriority w:val="0"/>
    <w:pPr>
      <w:spacing w:line="360" w:lineRule="auto"/>
      <w:ind w:firstLine="420"/>
    </w:pPr>
    <w:rPr>
      <w:sz w:val="24"/>
      <w:szCs w:val="24"/>
    </w:rPr>
  </w:style>
  <w:style w:type="paragraph" w:customStyle="1" w:styleId="125">
    <w:name w:val="MM Topic 4"/>
    <w:basedOn w:val="5"/>
    <w:qFormat/>
    <w:uiPriority w:val="0"/>
    <w:pPr>
      <w:tabs>
        <w:tab w:val="left" w:pos="1984"/>
      </w:tabs>
      <w:ind w:left="0" w:firstLine="0"/>
    </w:pPr>
  </w:style>
  <w:style w:type="paragraph" w:customStyle="1" w:styleId="12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7">
    <w:name w:val="标题 5 + 首行缩进:  2 字符"/>
    <w:basedOn w:val="6"/>
    <w:next w:val="19"/>
    <w:qFormat/>
    <w:uiPriority w:val="0"/>
    <w:pPr>
      <w:tabs>
        <w:tab w:val="left" w:pos="992"/>
        <w:tab w:val="clear" w:pos="1134"/>
      </w:tabs>
      <w:snapToGrid w:val="0"/>
      <w:spacing w:beforeLines="50" w:afterLines="50"/>
      <w:ind w:left="3570" w:firstLine="482" w:firstLineChars="200"/>
    </w:pPr>
    <w:rPr>
      <w:color w:val="000000"/>
      <w:szCs w:val="20"/>
    </w:rPr>
  </w:style>
  <w:style w:type="paragraph" w:customStyle="1" w:styleId="128">
    <w:name w:val="MM Topic 6"/>
    <w:basedOn w:val="7"/>
    <w:qFormat/>
    <w:uiPriority w:val="0"/>
    <w:pPr>
      <w:tabs>
        <w:tab w:val="left" w:pos="3260"/>
        <w:tab w:val="clear" w:pos="1702"/>
      </w:tabs>
      <w:ind w:left="0" w:firstLine="0"/>
    </w:pPr>
    <w:rPr>
      <w:rFonts w:eastAsia="黑体"/>
    </w:rPr>
  </w:style>
  <w:style w:type="paragraph" w:customStyle="1" w:styleId="129">
    <w:name w:val="Char1 Char Char Char Char Char Char1"/>
    <w:basedOn w:val="1"/>
    <w:qFormat/>
    <w:uiPriority w:val="0"/>
    <w:rPr>
      <w:rFonts w:ascii="Tahoma" w:hAnsi="Tahoma"/>
      <w:sz w:val="24"/>
      <w:szCs w:val="20"/>
    </w:rPr>
  </w:style>
  <w:style w:type="paragraph" w:customStyle="1" w:styleId="130">
    <w:name w:val="正文（首行缩进2字符）"/>
    <w:basedOn w:val="1"/>
    <w:qFormat/>
    <w:uiPriority w:val="0"/>
    <w:pPr>
      <w:spacing w:line="360" w:lineRule="auto"/>
      <w:ind w:firstLine="200" w:firstLineChars="200"/>
      <w:jc w:val="left"/>
    </w:pPr>
    <w:rPr>
      <w:szCs w:val="24"/>
    </w:rPr>
  </w:style>
  <w:style w:type="paragraph" w:customStyle="1" w:styleId="131">
    <w:name w:val="文章正文 Char Char1"/>
    <w:basedOn w:val="1"/>
    <w:qFormat/>
    <w:uiPriority w:val="0"/>
    <w:pPr>
      <w:spacing w:line="360" w:lineRule="auto"/>
      <w:ind w:firstLine="420"/>
    </w:pPr>
    <w:rPr>
      <w:sz w:val="24"/>
      <w:szCs w:val="24"/>
    </w:rPr>
  </w:style>
  <w:style w:type="paragraph" w:customStyle="1" w:styleId="132">
    <w:name w:val="列出段落11"/>
    <w:basedOn w:val="1"/>
    <w:qFormat/>
    <w:uiPriority w:val="34"/>
    <w:pPr>
      <w:ind w:firstLine="420" w:firstLineChars="200"/>
    </w:pPr>
  </w:style>
  <w:style w:type="paragraph" w:customStyle="1" w:styleId="133">
    <w:name w:val="MM Topic 7"/>
    <w:basedOn w:val="8"/>
    <w:qFormat/>
    <w:uiPriority w:val="0"/>
    <w:pPr>
      <w:keepLines/>
      <w:widowControl w:val="0"/>
      <w:tabs>
        <w:tab w:val="left" w:pos="3827"/>
        <w:tab w:val="clear" w:pos="3600"/>
      </w:tabs>
      <w:spacing w:before="240" w:after="64" w:line="316" w:lineRule="auto"/>
      <w:jc w:val="both"/>
    </w:pPr>
    <w:rPr>
      <w:rFonts w:ascii="Times New Roman" w:hAnsi="Times New Roman"/>
      <w:iCs w:val="0"/>
      <w:kern w:val="2"/>
      <w:sz w:val="24"/>
      <w:lang w:eastAsia="zh-CN"/>
    </w:rPr>
  </w:style>
  <w:style w:type="paragraph" w:customStyle="1" w:styleId="134">
    <w:name w:val="Char1 Char Char Char Char Char Char"/>
    <w:basedOn w:val="1"/>
    <w:qFormat/>
    <w:uiPriority w:val="0"/>
    <w:rPr>
      <w:rFonts w:ascii="Tahoma" w:hAnsi="Tahoma"/>
      <w:sz w:val="24"/>
      <w:szCs w:val="20"/>
    </w:rPr>
  </w:style>
  <w:style w:type="paragraph" w:customStyle="1" w:styleId="135">
    <w:name w:val="列出段落1"/>
    <w:basedOn w:val="1"/>
    <w:qFormat/>
    <w:uiPriority w:val="0"/>
    <w:pPr>
      <w:ind w:firstLine="420" w:firstLineChars="200"/>
    </w:pPr>
  </w:style>
  <w:style w:type="paragraph" w:customStyle="1" w:styleId="136">
    <w:name w:val="图"/>
    <w:basedOn w:val="1"/>
    <w:qFormat/>
    <w:uiPriority w:val="0"/>
    <w:pPr>
      <w:widowControl/>
      <w:adjustRightInd w:val="0"/>
      <w:snapToGrid w:val="0"/>
      <w:jc w:val="center"/>
    </w:pPr>
    <w:rPr>
      <w:rFonts w:ascii="宋体" w:hAnsi="宋体"/>
      <w:bCs/>
      <w:szCs w:val="24"/>
    </w:rPr>
  </w:style>
  <w:style w:type="paragraph" w:customStyle="1" w:styleId="137">
    <w:name w:val="我的正文"/>
    <w:basedOn w:val="1"/>
    <w:qFormat/>
    <w:uiPriority w:val="0"/>
    <w:pPr>
      <w:spacing w:line="360" w:lineRule="auto"/>
      <w:ind w:firstLine="420" w:firstLineChars="200"/>
    </w:pPr>
    <w:rPr>
      <w:rFonts w:ascii="宋体" w:hAnsi="宋体"/>
      <w:szCs w:val="24"/>
    </w:rPr>
  </w:style>
  <w:style w:type="paragraph" w:customStyle="1" w:styleId="138">
    <w:name w:val="大纲正文"/>
    <w:basedOn w:val="1"/>
    <w:qFormat/>
    <w:uiPriority w:val="0"/>
    <w:pPr>
      <w:spacing w:line="360" w:lineRule="auto"/>
      <w:ind w:firstLine="480" w:firstLineChars="200"/>
    </w:pPr>
    <w:rPr>
      <w:sz w:val="24"/>
      <w:szCs w:val="20"/>
    </w:rPr>
  </w:style>
  <w:style w:type="paragraph" w:customStyle="1" w:styleId="139">
    <w:name w:val="Char2 Char Char Char"/>
    <w:basedOn w:val="1"/>
    <w:qFormat/>
    <w:uiPriority w:val="0"/>
    <w:rPr>
      <w:rFonts w:ascii="仿宋_GB2312"/>
      <w:b/>
      <w:sz w:val="30"/>
      <w:szCs w:val="32"/>
    </w:rPr>
  </w:style>
  <w:style w:type="paragraph" w:customStyle="1" w:styleId="140">
    <w:name w:val="样式 标题 3 + (西文) 仿宋_GB2312 (中文) 仿宋_GB2312 四号"/>
    <w:basedOn w:val="4"/>
    <w:qFormat/>
    <w:uiPriority w:val="0"/>
    <w:pPr>
      <w:numPr>
        <w:ilvl w:val="0"/>
        <w:numId w:val="0"/>
      </w:numPr>
      <w:tabs>
        <w:tab w:val="left" w:pos="-1991"/>
      </w:tabs>
      <w:snapToGrid w:val="0"/>
      <w:spacing w:beforeLines="50" w:line="412" w:lineRule="auto"/>
      <w:ind w:right="180" w:rightChars="100"/>
    </w:pPr>
    <w:rPr>
      <w:rFonts w:ascii="仿宋_GB2312" w:hAnsi="仿宋_GB2312" w:eastAsia="仿宋_GB2312"/>
      <w:color w:val="auto"/>
    </w:rPr>
  </w:style>
  <w:style w:type="paragraph" w:customStyle="1" w:styleId="141">
    <w:name w:val="项目符号：一级"/>
    <w:basedOn w:val="118"/>
    <w:next w:val="118"/>
    <w:qFormat/>
    <w:uiPriority w:val="0"/>
  </w:style>
  <w:style w:type="paragraph" w:customStyle="1" w:styleId="142">
    <w:name w:val="彩色列表 - 强调文字颜色 11"/>
    <w:basedOn w:val="1"/>
    <w:qFormat/>
    <w:uiPriority w:val="0"/>
    <w:pPr>
      <w:ind w:firstLine="420" w:firstLineChars="200"/>
    </w:pPr>
  </w:style>
  <w:style w:type="paragraph" w:customStyle="1" w:styleId="14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44">
    <w:name w:val="样式 右侧:  1 字符1"/>
    <w:basedOn w:val="1"/>
    <w:qFormat/>
    <w:uiPriority w:val="0"/>
    <w:pPr>
      <w:ind w:left="240" w:leftChars="100" w:right="240" w:rightChars="100"/>
    </w:pPr>
    <w:rPr>
      <w:rFonts w:eastAsia="仿宋_GB2312" w:cs="宋体"/>
      <w:sz w:val="28"/>
      <w:szCs w:val="20"/>
    </w:rPr>
  </w:style>
  <w:style w:type="paragraph" w:customStyle="1" w:styleId="14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4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47">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48">
    <w:name w:val="正文 首行缩进:  2 字符 Char Char"/>
    <w:basedOn w:val="1"/>
    <w:qFormat/>
    <w:uiPriority w:val="0"/>
    <w:pPr>
      <w:spacing w:line="360" w:lineRule="auto"/>
      <w:ind w:firstLine="480"/>
    </w:pPr>
    <w:rPr>
      <w:rFonts w:cs="宋体"/>
      <w:sz w:val="24"/>
      <w:szCs w:val="20"/>
    </w:rPr>
  </w:style>
  <w:style w:type="paragraph" w:customStyle="1" w:styleId="14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2 Char Char Char Char Char Char"/>
    <w:basedOn w:val="1"/>
    <w:qFormat/>
    <w:uiPriority w:val="0"/>
    <w:rPr>
      <w:rFonts w:ascii="仿宋_GB2312"/>
      <w:b/>
      <w:sz w:val="30"/>
      <w:szCs w:val="32"/>
    </w:rPr>
  </w:style>
  <w:style w:type="paragraph" w:customStyle="1" w:styleId="151">
    <w:name w:val="MM Topic 2"/>
    <w:basedOn w:val="2"/>
    <w:qFormat/>
    <w:uiPriority w:val="0"/>
    <w:pPr>
      <w:numPr>
        <w:ilvl w:val="0"/>
        <w:numId w:val="0"/>
      </w:numPr>
      <w:tabs>
        <w:tab w:val="left" w:pos="992"/>
      </w:tabs>
    </w:pPr>
  </w:style>
  <w:style w:type="paragraph" w:customStyle="1" w:styleId="152">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53">
    <w:name w:val="修订2"/>
    <w:unhideWhenUsed/>
    <w:qFormat/>
    <w:uiPriority w:val="99"/>
    <w:rPr>
      <w:rFonts w:ascii="Times New Roman" w:hAnsi="Times New Roman" w:eastAsia="宋体" w:cs="Times New Roman"/>
      <w:kern w:val="2"/>
      <w:sz w:val="21"/>
      <w:szCs w:val="22"/>
      <w:lang w:val="en-US" w:eastAsia="zh-CN" w:bidi="ar-SA"/>
    </w:rPr>
  </w:style>
  <w:style w:type="paragraph" w:customStyle="1" w:styleId="154">
    <w:name w:val="MM Topic 1"/>
    <w:basedOn w:val="3"/>
    <w:qFormat/>
    <w:uiPriority w:val="0"/>
    <w:pPr>
      <w:tabs>
        <w:tab w:val="left" w:pos="425"/>
      </w:tabs>
    </w:pPr>
    <w:rPr>
      <w:sz w:val="44"/>
    </w:rPr>
  </w:style>
  <w:style w:type="paragraph" w:customStyle="1" w:styleId="15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6">
    <w:name w:val="列出段落2"/>
    <w:basedOn w:val="1"/>
    <w:qFormat/>
    <w:uiPriority w:val="0"/>
    <w:pPr>
      <w:ind w:firstLine="420" w:firstLineChars="200"/>
    </w:pPr>
  </w:style>
  <w:style w:type="paragraph" w:customStyle="1" w:styleId="157">
    <w:name w:val="CD正文"/>
    <w:basedOn w:val="124"/>
    <w:qFormat/>
    <w:uiPriority w:val="0"/>
  </w:style>
  <w:style w:type="paragraph" w:customStyle="1" w:styleId="158">
    <w:name w:val="修订1"/>
    <w:qFormat/>
    <w:uiPriority w:val="0"/>
    <w:rPr>
      <w:rFonts w:ascii="Times New Roman" w:hAnsi="Times New Roman" w:eastAsia="宋体" w:cs="Times New Roman"/>
      <w:kern w:val="2"/>
      <w:sz w:val="21"/>
      <w:szCs w:val="22"/>
      <w:lang w:val="en-US" w:eastAsia="zh-CN" w:bidi="ar-SA"/>
    </w:rPr>
  </w:style>
  <w:style w:type="paragraph" w:customStyle="1" w:styleId="15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6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61">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textAlignment w:val="baseline"/>
      <w:outlineLvl w:val="1"/>
    </w:pPr>
    <w:rPr>
      <w:rFonts w:ascii="宋体" w:hAnsi="宋体" w:cs="宋体"/>
      <w:color w:val="000000"/>
      <w:kern w:val="0"/>
      <w:szCs w:val="20"/>
    </w:rPr>
  </w:style>
  <w:style w:type="paragraph" w:customStyle="1" w:styleId="162">
    <w:name w:val="List Paragraph1"/>
    <w:basedOn w:val="1"/>
    <w:qFormat/>
    <w:uiPriority w:val="0"/>
    <w:pPr>
      <w:ind w:firstLine="420" w:firstLineChars="200"/>
    </w:pPr>
    <w:rPr>
      <w:szCs w:val="24"/>
    </w:rPr>
  </w:style>
  <w:style w:type="paragraph" w:customStyle="1" w:styleId="163">
    <w:name w:val="Char1 Char Char Char"/>
    <w:basedOn w:val="1"/>
    <w:next w:val="1"/>
    <w:qFormat/>
    <w:uiPriority w:val="0"/>
    <w:pPr>
      <w:spacing w:line="240" w:lineRule="atLeast"/>
      <w:ind w:left="420" w:firstLine="420"/>
      <w:jc w:val="left"/>
    </w:pPr>
    <w:rPr>
      <w:kern w:val="0"/>
      <w:szCs w:val="21"/>
    </w:rPr>
  </w:style>
  <w:style w:type="paragraph" w:customStyle="1" w:styleId="164">
    <w:name w:val="zw1"/>
    <w:basedOn w:val="1"/>
    <w:qFormat/>
    <w:uiPriority w:val="0"/>
    <w:pPr>
      <w:widowControl/>
      <w:spacing w:line="360" w:lineRule="auto"/>
      <w:ind w:firstLine="480" w:firstLineChars="200"/>
    </w:pPr>
    <w:rPr>
      <w:kern w:val="0"/>
      <w:sz w:val="24"/>
      <w:szCs w:val="20"/>
    </w:rPr>
  </w:style>
  <w:style w:type="paragraph" w:customStyle="1" w:styleId="165">
    <w:name w:val="默认段落字体 Para Char Char"/>
    <w:basedOn w:val="1"/>
    <w:qFormat/>
    <w:uiPriority w:val="0"/>
    <w:rPr>
      <w:szCs w:val="24"/>
    </w:rPr>
  </w:style>
  <w:style w:type="paragraph" w:customStyle="1" w:styleId="166">
    <w:name w:val="表格文字"/>
    <w:basedOn w:val="1"/>
    <w:qFormat/>
    <w:uiPriority w:val="0"/>
    <w:pPr>
      <w:spacing w:beforeLines="25"/>
    </w:pPr>
    <w:rPr>
      <w:rFonts w:ascii="Times New (W1)" w:hAnsi="Times New (W1)"/>
      <w:spacing w:val="10"/>
      <w:szCs w:val="24"/>
    </w:rPr>
  </w:style>
  <w:style w:type="paragraph" w:customStyle="1" w:styleId="16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68">
    <w:name w:val="_Style 167"/>
    <w:semiHidden/>
    <w:qFormat/>
    <w:uiPriority w:val="99"/>
    <w:rPr>
      <w:rFonts w:ascii="Times New Roman" w:hAnsi="Times New Roman" w:eastAsia="宋体" w:cs="Times New Roman"/>
      <w:kern w:val="2"/>
      <w:sz w:val="21"/>
      <w:szCs w:val="22"/>
      <w:lang w:val="en-US" w:eastAsia="zh-CN" w:bidi="ar-SA"/>
    </w:rPr>
  </w:style>
  <w:style w:type="paragraph" w:customStyle="1" w:styleId="16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70">
    <w:name w:val="MM Topic 9"/>
    <w:basedOn w:val="10"/>
    <w:qFormat/>
    <w:uiPriority w:val="0"/>
    <w:pPr>
      <w:tabs>
        <w:tab w:val="left" w:pos="5102"/>
      </w:tabs>
    </w:pPr>
  </w:style>
  <w:style w:type="paragraph" w:customStyle="1" w:styleId="171">
    <w:name w:val="Char"/>
    <w:basedOn w:val="1"/>
    <w:next w:val="1"/>
    <w:qFormat/>
    <w:uiPriority w:val="0"/>
    <w:pPr>
      <w:spacing w:line="240" w:lineRule="atLeast"/>
      <w:ind w:left="420" w:firstLine="420"/>
      <w:jc w:val="left"/>
    </w:pPr>
    <w:rPr>
      <w:kern w:val="0"/>
      <w:szCs w:val="21"/>
    </w:rPr>
  </w:style>
  <w:style w:type="paragraph" w:customStyle="1" w:styleId="172">
    <w:name w:val="Char Char Char Char Char Char Char Char Char Char Char Char Char"/>
    <w:basedOn w:val="14"/>
    <w:qFormat/>
    <w:uiPriority w:val="0"/>
    <w:rPr>
      <w:rFonts w:ascii="Tahoma" w:hAnsi="Tahoma"/>
      <w:sz w:val="24"/>
      <w:szCs w:val="24"/>
    </w:rPr>
  </w:style>
  <w:style w:type="paragraph" w:customStyle="1" w:styleId="17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74">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175">
    <w:name w:val="MM Topic 5"/>
    <w:basedOn w:val="6"/>
    <w:qFormat/>
    <w:uiPriority w:val="0"/>
    <w:pPr>
      <w:tabs>
        <w:tab w:val="left" w:pos="2551"/>
        <w:tab w:val="clear" w:pos="1134"/>
      </w:tabs>
      <w:ind w:left="0" w:firstLine="0"/>
    </w:pPr>
  </w:style>
  <w:style w:type="paragraph" w:customStyle="1" w:styleId="176">
    <w:name w:val="MM Topic 8"/>
    <w:basedOn w:val="9"/>
    <w:qFormat/>
    <w:uiPriority w:val="0"/>
    <w:pPr>
      <w:tabs>
        <w:tab w:val="left" w:pos="4394"/>
      </w:tabs>
    </w:pPr>
  </w:style>
  <w:style w:type="paragraph" w:customStyle="1" w:styleId="17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79">
    <w:name w:val="样式 小四2"/>
    <w:basedOn w:val="1"/>
    <w:qFormat/>
    <w:uiPriority w:val="0"/>
    <w:rPr>
      <w:rFonts w:ascii="宋体" w:hAnsi="宋体"/>
      <w:sz w:val="24"/>
      <w:szCs w:val="24"/>
    </w:rPr>
  </w:style>
  <w:style w:type="paragraph" w:customStyle="1" w:styleId="180">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181">
    <w:name w:val="表格"/>
    <w:basedOn w:val="1"/>
    <w:qFormat/>
    <w:uiPriority w:val="0"/>
    <w:pPr>
      <w:spacing w:line="400" w:lineRule="exact"/>
    </w:pPr>
    <w:rPr>
      <w:sz w:val="24"/>
      <w:szCs w:val="24"/>
    </w:rPr>
  </w:style>
  <w:style w:type="paragraph" w:customStyle="1" w:styleId="182">
    <w:name w:val="样式 标题 2H2第一章 标题 2Heading 2 HiddenHeading 2 CCBSheading 2h2..."/>
    <w:basedOn w:val="2"/>
    <w:qFormat/>
    <w:uiPriority w:val="0"/>
    <w:pPr>
      <w:tabs>
        <w:tab w:val="left" w:pos="-2493"/>
      </w:tabs>
    </w:pPr>
    <w:rPr>
      <w:szCs w:val="20"/>
    </w:rPr>
  </w:style>
  <w:style w:type="paragraph" w:customStyle="1" w:styleId="183">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184">
    <w:name w:val="正文2"/>
    <w:qFormat/>
    <w:uiPriority w:val="99"/>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185">
    <w:name w:val="默认段落字体 Para Char"/>
    <w:basedOn w:val="1"/>
    <w:qFormat/>
    <w:uiPriority w:val="0"/>
    <w:rPr>
      <w:rFonts w:ascii="Tahoma" w:hAnsi="Tahoma"/>
      <w:sz w:val="24"/>
      <w:szCs w:val="20"/>
    </w:rPr>
  </w:style>
  <w:style w:type="paragraph" w:customStyle="1" w:styleId="186">
    <w:name w:val="标书正文:  0.74 厘米"/>
    <w:basedOn w:val="1"/>
    <w:qFormat/>
    <w:uiPriority w:val="0"/>
    <w:pPr>
      <w:snapToGrid w:val="0"/>
      <w:spacing w:line="360" w:lineRule="auto"/>
      <w:ind w:firstLine="420"/>
    </w:pPr>
    <w:rPr>
      <w:sz w:val="24"/>
      <w:szCs w:val="18"/>
    </w:rPr>
  </w:style>
  <w:style w:type="paragraph" w:customStyle="1" w:styleId="187">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88">
    <w:name w:val="Char Char Char Char"/>
    <w:basedOn w:val="1"/>
    <w:qFormat/>
    <w:uiPriority w:val="0"/>
    <w:rPr>
      <w:rFonts w:ascii="Tahoma" w:hAnsi="Tahoma"/>
      <w:sz w:val="24"/>
      <w:szCs w:val="20"/>
    </w:rPr>
  </w:style>
  <w:style w:type="paragraph" w:customStyle="1" w:styleId="189">
    <w:name w:val="MM Title"/>
    <w:basedOn w:val="1"/>
    <w:qFormat/>
    <w:uiPriority w:val="0"/>
    <w:pPr>
      <w:spacing w:before="240" w:after="60"/>
      <w:jc w:val="center"/>
      <w:outlineLvl w:val="0"/>
    </w:pPr>
    <w:rPr>
      <w:rFonts w:ascii="Arial" w:hAnsi="Arial" w:cs="Arial"/>
      <w:b/>
      <w:bCs/>
      <w:sz w:val="32"/>
      <w:szCs w:val="32"/>
    </w:rPr>
  </w:style>
  <w:style w:type="paragraph" w:customStyle="1" w:styleId="190">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91">
    <w:name w:val="Char1"/>
    <w:basedOn w:val="1"/>
    <w:next w:val="1"/>
    <w:qFormat/>
    <w:uiPriority w:val="0"/>
    <w:pPr>
      <w:spacing w:line="240" w:lineRule="atLeast"/>
      <w:ind w:left="420" w:firstLine="420"/>
      <w:jc w:val="left"/>
    </w:pPr>
    <w:rPr>
      <w:kern w:val="0"/>
      <w:szCs w:val="21"/>
    </w:rPr>
  </w:style>
  <w:style w:type="paragraph" w:customStyle="1" w:styleId="192">
    <w:name w:val="论文正文"/>
    <w:basedOn w:val="1"/>
    <w:qFormat/>
    <w:uiPriority w:val="0"/>
    <w:pPr>
      <w:spacing w:line="360" w:lineRule="auto"/>
      <w:ind w:firstLine="700" w:firstLineChars="250"/>
    </w:pPr>
    <w:rPr>
      <w:rFonts w:ascii="宋体" w:hAnsi="宋体"/>
      <w:bCs/>
      <w:sz w:val="28"/>
      <w:szCs w:val="28"/>
    </w:rPr>
  </w:style>
  <w:style w:type="paragraph" w:customStyle="1" w:styleId="1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
    <w:name w:val="MM Topic 3"/>
    <w:basedOn w:val="4"/>
    <w:qFormat/>
    <w:uiPriority w:val="0"/>
    <w:pPr>
      <w:numPr>
        <w:ilvl w:val="0"/>
        <w:numId w:val="0"/>
      </w:numPr>
      <w:tabs>
        <w:tab w:val="left" w:pos="1418"/>
      </w:tabs>
    </w:pPr>
  </w:style>
  <w:style w:type="paragraph" w:customStyle="1" w:styleId="195">
    <w:name w:val="gb_master正文"/>
    <w:basedOn w:val="1"/>
    <w:qFormat/>
    <w:uiPriority w:val="0"/>
    <w:pPr>
      <w:ind w:firstLine="200" w:firstLineChars="200"/>
    </w:pPr>
    <w:rPr>
      <w:szCs w:val="24"/>
    </w:rPr>
  </w:style>
  <w:style w:type="paragraph" w:customStyle="1" w:styleId="19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9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table" w:customStyle="1" w:styleId="198">
    <w:name w:val="网格型2"/>
    <w:basedOn w:val="4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网格型1"/>
    <w:basedOn w:val="4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0">
    <w:name w:val="列表段落1"/>
    <w:basedOn w:val="1"/>
    <w:qFormat/>
    <w:uiPriority w:val="0"/>
    <w:pPr>
      <w:spacing w:line="360" w:lineRule="auto"/>
      <w:ind w:firstLine="420" w:firstLineChars="200"/>
      <w:jc w:val="left"/>
    </w:pPr>
    <w:rPr>
      <w:rFonts w:hint="eastAsia" w:ascii="等线" w:hAnsi="等线" w:eastAsia="楷体"/>
      <w:kern w:val="0"/>
      <w:sz w:val="20"/>
      <w:szCs w:val="20"/>
    </w:rPr>
  </w:style>
  <w:style w:type="paragraph" w:customStyle="1" w:styleId="201">
    <w:name w:val="_Style 13"/>
    <w:basedOn w:val="1"/>
    <w:next w:val="88"/>
    <w:qFormat/>
    <w:uiPriority w:val="34"/>
    <w:pPr>
      <w:widowControl/>
      <w:spacing w:before="100" w:beforeAutospacing="1" w:after="100" w:afterAutospacing="1"/>
      <w:jc w:val="left"/>
    </w:pPr>
    <w:rPr>
      <w:rFonts w:ascii="宋体" w:hAnsi="宋体" w:cs="宋体"/>
      <w:kern w:val="0"/>
      <w:sz w:val="24"/>
      <w:szCs w:val="24"/>
    </w:rPr>
  </w:style>
  <w:style w:type="paragraph" w:customStyle="1" w:styleId="202">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3">
    <w:name w:val="表格样式 2 A"/>
    <w:qFormat/>
    <w:uiPriority w:val="0"/>
    <w:rPr>
      <w:rFonts w:hint="eastAsia" w:ascii="Arial Unicode MS" w:hAnsi="Arial Unicode MS" w:eastAsia="Helvetica" w:cs="Arial Unicode MS"/>
      <w:color w:val="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248</Pages>
  <Words>130962</Words>
  <Characters>142673</Characters>
  <Lines>1085</Lines>
  <Paragraphs>305</Paragraphs>
  <TotalTime>65</TotalTime>
  <ScaleCrop>false</ScaleCrop>
  <LinksUpToDate>false</LinksUpToDate>
  <CharactersWithSpaces>145867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2021-06-29T11:03:00Z</dcterms:created>
  <dc:creator>Administrator</dc:creator>
  <cp:lastModifiedBy>WPS_1593672881</cp:lastModifiedBy>
  <dcterms:modified xsi:type="dcterms:W3CDTF">2021-08-02T07:33:03Z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49BA494EDFEE46A1B449745A174C4577</vt:lpwstr>
  </property>
</Properties>
</file>